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D2C78" w:rsidP="72838004" w:rsidRDefault="54C7A20B" w14:paraId="5F9BCC00" w14:textId="45ECA76F">
      <w:pPr>
        <w:rPr>
          <w:rFonts w:ascii="Calibri" w:hAnsi="Calibri" w:eastAsia="Calibri" w:cs="Calibri"/>
          <w:color w:val="000000" w:themeColor="text1"/>
        </w:rPr>
      </w:pPr>
      <w:r>
        <w:rPr>
          <w:noProof/>
        </w:rPr>
        <w:drawing>
          <wp:inline distT="0" distB="0" distL="0" distR="0" wp14:anchorId="579565C2" wp14:editId="44962D4C">
            <wp:extent cx="1790700" cy="714375"/>
            <wp:effectExtent l="0" t="0" r="0" b="0"/>
            <wp:docPr id="206906176" name="Obraz 20690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790700" cy="714375"/>
                    </a:xfrm>
                    <a:prstGeom prst="rect">
                      <a:avLst/>
                    </a:prstGeom>
                  </pic:spPr>
                </pic:pic>
              </a:graphicData>
            </a:graphic>
          </wp:inline>
        </w:drawing>
      </w:r>
    </w:p>
    <w:p w:rsidR="00BD2C78" w:rsidP="72838004" w:rsidRDefault="3FC85585" w14:paraId="0F7DA9ED" w14:textId="20254FAD">
      <w:pPr>
        <w:rPr>
          <w:rFonts w:ascii="Grandview Display" w:hAnsi="Grandview Display" w:eastAsia="Grandview Display" w:cs="Grandview Display"/>
          <w:b/>
          <w:bCs/>
          <w:i/>
          <w:iCs/>
          <w:color w:val="0070C0"/>
          <w:sz w:val="144"/>
          <w:szCs w:val="144"/>
          <w:vertAlign w:val="subscript"/>
          <w:lang w:val="en-GB"/>
        </w:rPr>
      </w:pPr>
      <w:r w:rsidRPr="72838004">
        <w:rPr>
          <w:rFonts w:ascii="Grandview Display" w:hAnsi="Grandview Display" w:eastAsia="Grandview Display" w:cs="Grandview Display"/>
          <w:b/>
          <w:bCs/>
          <w:i/>
          <w:iCs/>
          <w:color w:val="0070C0"/>
          <w:sz w:val="144"/>
          <w:szCs w:val="144"/>
          <w:vertAlign w:val="subscript"/>
          <w:lang w:val="en-GB"/>
        </w:rPr>
        <w:t>Consent and its role in cases involving battery</w:t>
      </w:r>
    </w:p>
    <w:p w:rsidR="00BD2C78" w:rsidP="72838004" w:rsidRDefault="00BD2C78" w14:paraId="49038B7A" w14:textId="56C9E2DC">
      <w:pPr>
        <w:ind w:left="1440"/>
        <w:rPr>
          <w:rFonts w:ascii="Grandview Display" w:hAnsi="Grandview Display" w:eastAsia="Grandview Display" w:cs="Grandview Display"/>
          <w:color w:val="0070C0"/>
          <w:sz w:val="64"/>
          <w:szCs w:val="64"/>
        </w:rPr>
      </w:pPr>
    </w:p>
    <w:p w:rsidR="00BD2C78" w:rsidP="72838004" w:rsidRDefault="54C7A20B" w14:paraId="1E667C9A" w14:textId="5B4F9D3A">
      <w:pPr>
        <w:spacing w:line="240" w:lineRule="exact"/>
        <w:rPr>
          <w:rFonts w:ascii="Bahnschrift" w:hAnsi="Bahnschrift" w:eastAsia="Bahnschrift" w:cs="Bahnschrift"/>
          <w:color w:val="000000" w:themeColor="text1"/>
        </w:rPr>
      </w:pPr>
      <w:r w:rsidRPr="72838004">
        <w:rPr>
          <w:rFonts w:ascii="Bahnschrift" w:hAnsi="Bahnschrift" w:eastAsia="Bahnschrift" w:cs="Bahnschrift"/>
          <w:caps/>
          <w:color w:val="0070C0"/>
          <w:sz w:val="28"/>
          <w:szCs w:val="28"/>
          <w:vertAlign w:val="subscript"/>
        </w:rPr>
        <w:t>STUDENT NAME</w:t>
      </w:r>
      <w:r w:rsidRPr="72838004">
        <w:rPr>
          <w:rFonts w:ascii="Bahnschrift" w:hAnsi="Bahnschrift" w:eastAsia="Bahnschrift" w:cs="Bahnschrift"/>
          <w:caps/>
          <w:color w:val="000000" w:themeColor="text1"/>
          <w:sz w:val="28"/>
          <w:szCs w:val="28"/>
          <w:vertAlign w:val="subscript"/>
        </w:rPr>
        <w:t>: NATALIA MARIA KONCIAK</w:t>
      </w:r>
    </w:p>
    <w:p w:rsidR="00BD2C78" w:rsidP="72838004" w:rsidRDefault="54C7A20B" w14:paraId="7C8E5A49" w14:textId="70116F16">
      <w:pPr>
        <w:spacing w:line="240" w:lineRule="exact"/>
        <w:rPr>
          <w:rFonts w:ascii="Bahnschrift" w:hAnsi="Bahnschrift" w:eastAsia="Bahnschrift" w:cs="Bahnschrift"/>
          <w:color w:val="000000" w:themeColor="text1"/>
        </w:rPr>
      </w:pPr>
      <w:r w:rsidRPr="72838004">
        <w:rPr>
          <w:rFonts w:ascii="Bahnschrift" w:hAnsi="Bahnschrift" w:eastAsia="Bahnschrift" w:cs="Bahnschrift"/>
          <w:caps/>
          <w:color w:val="0070C0"/>
          <w:sz w:val="28"/>
          <w:szCs w:val="28"/>
          <w:vertAlign w:val="subscript"/>
        </w:rPr>
        <w:t>STUDENT ID NUMBER</w:t>
      </w:r>
      <w:r w:rsidRPr="72838004">
        <w:rPr>
          <w:rFonts w:ascii="Bahnschrift" w:hAnsi="Bahnschrift" w:eastAsia="Bahnschrift" w:cs="Bahnschrift"/>
          <w:caps/>
          <w:color w:val="000000" w:themeColor="text1"/>
          <w:sz w:val="28"/>
          <w:szCs w:val="28"/>
          <w:vertAlign w:val="subscript"/>
        </w:rPr>
        <w:t>: 2238990</w:t>
      </w:r>
    </w:p>
    <w:p w:rsidR="00BD2C78" w:rsidP="72838004" w:rsidRDefault="54C7A20B" w14:paraId="3308265D" w14:textId="3CD27CF0">
      <w:pPr>
        <w:spacing w:line="240" w:lineRule="exact"/>
        <w:rPr>
          <w:rFonts w:ascii="Bahnschrift" w:hAnsi="Bahnschrift" w:eastAsia="Bahnschrift" w:cs="Bahnschrift"/>
          <w:color w:val="000000" w:themeColor="text1"/>
        </w:rPr>
      </w:pPr>
      <w:r w:rsidRPr="72838004">
        <w:rPr>
          <w:rFonts w:ascii="Bahnschrift" w:hAnsi="Bahnschrift" w:eastAsia="Bahnschrift" w:cs="Bahnschrift"/>
          <w:caps/>
          <w:color w:val="0070C0"/>
          <w:sz w:val="28"/>
          <w:szCs w:val="28"/>
          <w:vertAlign w:val="subscript"/>
        </w:rPr>
        <w:t>MODULE</w:t>
      </w:r>
      <w:r w:rsidRPr="72838004">
        <w:rPr>
          <w:rFonts w:ascii="Bahnschrift" w:hAnsi="Bahnschrift" w:eastAsia="Bahnschrift" w:cs="Bahnschrift"/>
          <w:caps/>
          <w:color w:val="000000" w:themeColor="text1"/>
          <w:sz w:val="28"/>
          <w:szCs w:val="28"/>
          <w:vertAlign w:val="subscript"/>
        </w:rPr>
        <w:t>: Criminal</w:t>
      </w:r>
      <w:r w:rsidRPr="72838004" w:rsidR="7EFCCDC2">
        <w:rPr>
          <w:rFonts w:ascii="Bahnschrift" w:hAnsi="Bahnschrift" w:eastAsia="Bahnschrift" w:cs="Bahnschrift"/>
          <w:caps/>
          <w:color w:val="000000" w:themeColor="text1"/>
          <w:sz w:val="28"/>
          <w:szCs w:val="28"/>
          <w:vertAlign w:val="subscript"/>
        </w:rPr>
        <w:t xml:space="preserve"> Law</w:t>
      </w:r>
    </w:p>
    <w:p w:rsidR="00BD2C78" w:rsidP="72838004" w:rsidRDefault="54C7A20B" w14:paraId="37DD4F10" w14:textId="3A643F39">
      <w:pPr>
        <w:spacing w:line="240" w:lineRule="exact"/>
        <w:rPr>
          <w:rFonts w:ascii="Bahnschrift" w:hAnsi="Bahnschrift" w:eastAsia="Bahnschrift" w:cs="Bahnschrift"/>
          <w:color w:val="000000" w:themeColor="text1"/>
        </w:rPr>
      </w:pPr>
      <w:r w:rsidRPr="72838004">
        <w:rPr>
          <w:rFonts w:ascii="Bahnschrift" w:hAnsi="Bahnschrift" w:eastAsia="Bahnschrift" w:cs="Bahnschrift"/>
          <w:caps/>
          <w:color w:val="4472C4" w:themeColor="accent1"/>
          <w:sz w:val="28"/>
          <w:szCs w:val="28"/>
          <w:vertAlign w:val="subscript"/>
        </w:rPr>
        <w:t>MODULE CODE</w:t>
      </w:r>
      <w:r w:rsidRPr="72838004">
        <w:rPr>
          <w:rFonts w:ascii="Bahnschrift" w:hAnsi="Bahnschrift" w:eastAsia="Bahnschrift" w:cs="Bahnschrift"/>
          <w:caps/>
          <w:color w:val="000000" w:themeColor="text1"/>
          <w:sz w:val="28"/>
          <w:szCs w:val="28"/>
          <w:vertAlign w:val="subscript"/>
        </w:rPr>
        <w:t>- BMPL4009</w:t>
      </w:r>
    </w:p>
    <w:p w:rsidR="00BD2C78" w:rsidP="72838004" w:rsidRDefault="00BD2C78" w14:paraId="2C078E63" w14:textId="1FD72955"/>
    <w:p w:rsidR="72838004" w:rsidP="72838004" w:rsidRDefault="72838004" w14:paraId="5D321F52" w14:textId="2ECAE84E"/>
    <w:p w:rsidR="72838004" w:rsidP="72838004" w:rsidRDefault="72838004" w14:paraId="04232522" w14:textId="4E584F59"/>
    <w:p w:rsidR="72838004" w:rsidP="72838004" w:rsidRDefault="72838004" w14:paraId="37D1FC11" w14:textId="7FB89BDA"/>
    <w:p w:rsidR="72838004" w:rsidP="72838004" w:rsidRDefault="72838004" w14:paraId="042733C5" w14:textId="2E5CE93E"/>
    <w:p w:rsidR="2C275084" w:rsidP="3A3EFC00" w:rsidRDefault="2C275084" w14:paraId="1B39E790" w14:textId="6F5BAF5E">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Introduction </w:t>
      </w:r>
    </w:p>
    <w:p w:rsidR="2C275084" w:rsidP="3A3EFC00" w:rsidRDefault="2C275084" w14:paraId="127879CD" w14:textId="3B39EFB7">
      <w:pPr>
        <w:pStyle w:val="Normalny"/>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p>
    <w:p w:rsidR="2C275084" w:rsidP="3A3EFC00" w:rsidRDefault="2C275084" w14:paraId="4AAFD5D6" w14:textId="151A3B5D">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Legal Consent refers to individuals' explicit or implicit agreement to behave, conduct business, or engage with one another in a specific manner, considering a person's </w:t>
      </w:r>
      <w:r w:rsidRPr="3A3EFC00" w:rsidR="1D9C2C80">
        <w:rPr>
          <w:rFonts w:ascii="Calibri" w:hAnsi="Calibri" w:eastAsia="Calibri" w:cs="Calibri" w:asciiTheme="minorAscii" w:hAnsiTheme="minorAscii" w:eastAsiaTheme="minorAscii" w:cstheme="minorAscii"/>
          <w:noProof w:val="0"/>
          <w:color w:val="0E101A"/>
          <w:sz w:val="24"/>
          <w:szCs w:val="24"/>
          <w:lang w:val="en-US"/>
        </w:rPr>
        <w:t>capacity</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comprehend</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the ramifications of a situation and reach a mutually satisfactory resolution. Legally, Consent holds substantial implications in multiple domains, such as criminal law, contract law, and delict law (Beyleveld,2007). The concept of Consent holds great significance within the legal framework of the United Kingdom, particularly in circumstances involving battery. Consent is a vital aspect to consider when analyzing the legality of a specific type of physical contact. As defined by criminal law, battery is applying illegal physical force against an individual. Forceful physical contact is not legally classified as a battery if the victim explicitly grants Informed Consent. Consent, in the realms of ethics, law, and human rights, is a fundamental concept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determining</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the legality of a provided </w:t>
      </w:r>
      <w:r w:rsidRPr="3A3EFC00" w:rsidR="1D9C2C80">
        <w:rPr>
          <w:rFonts w:ascii="Calibri" w:hAnsi="Calibri" w:eastAsia="Calibri" w:cs="Calibri" w:asciiTheme="minorAscii" w:hAnsiTheme="minorAscii" w:eastAsiaTheme="minorAscii" w:cstheme="minorAscii"/>
          <w:noProof w:val="0"/>
          <w:color w:val="0E101A"/>
          <w:sz w:val="24"/>
          <w:szCs w:val="24"/>
          <w:lang w:val="en-US"/>
        </w:rPr>
        <w:t>behaviour</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When examining the causes and consequences of battery, the issue of Consent </w:t>
      </w:r>
      <w:r w:rsidRPr="3A3EFC00" w:rsidR="1D9C2C80">
        <w:rPr>
          <w:rFonts w:ascii="Calibri" w:hAnsi="Calibri" w:eastAsia="Calibri" w:cs="Calibri" w:asciiTheme="minorAscii" w:hAnsiTheme="minorAscii" w:eastAsiaTheme="minorAscii" w:cstheme="minorAscii"/>
          <w:noProof w:val="0"/>
          <w:color w:val="0E101A"/>
          <w:sz w:val="24"/>
          <w:szCs w:val="24"/>
          <w:lang w:val="en-US"/>
        </w:rPr>
        <w:t>frequently</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w:t>
      </w:r>
      <w:r w:rsidRPr="3A3EFC00" w:rsidR="1D9C2C80">
        <w:rPr>
          <w:rFonts w:ascii="Calibri" w:hAnsi="Calibri" w:eastAsia="Calibri" w:cs="Calibri" w:asciiTheme="minorAscii" w:hAnsiTheme="minorAscii" w:eastAsiaTheme="minorAscii" w:cstheme="minorAscii"/>
          <w:noProof w:val="0"/>
          <w:color w:val="0E101A"/>
          <w:sz w:val="24"/>
          <w:szCs w:val="24"/>
          <w:lang w:val="en-US"/>
        </w:rPr>
        <w:t>emerges</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as a crucial factor (Wortley,2021). This essay evaluates the concept of Consent in the United Kingdom and its crucial significance in battery-related cases. Through an analysis of the legal framework and relevant case law, we will completely understand the English viewpoint on Consent and its implications within the realm of battery. </w:t>
      </w:r>
    </w:p>
    <w:p w:rsidR="2C275084" w:rsidP="3A3EFC00" w:rsidRDefault="2C275084" w14:paraId="33ED5A9F" w14:textId="0B2AD6C8">
      <w:pPr>
        <w:pStyle w:val="Normalny"/>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p>
    <w:p w:rsidR="2C275084" w:rsidP="3A3EFC00" w:rsidRDefault="2C275084" w14:paraId="5E792AFC" w14:textId="400277BD">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w:t>
      </w:r>
    </w:p>
    <w:p w:rsidR="2C275084" w:rsidP="3A3EFC00" w:rsidRDefault="2C275084" w14:paraId="629AA425" w14:textId="398300A0">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Main Body </w:t>
      </w:r>
    </w:p>
    <w:p w:rsidR="2C275084" w:rsidP="3A3EFC00" w:rsidRDefault="2C275084" w14:paraId="453F95CC" w14:textId="5B059889">
      <w:pPr>
        <w:pStyle w:val="Normalny"/>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p>
    <w:p w:rsidR="2C275084" w:rsidP="3A3EFC00" w:rsidRDefault="2C275084" w14:paraId="595CB58F" w14:textId="0EFFE11A">
      <w:pPr>
        <w:pStyle w:val="Normalny"/>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Consent is a conscious and voluntary agreement made by a person capable of giving Consent, in which they consent to infringing their legally protected rights. Consent plays a pivotal role as a vital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defence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against criminal responsibility in the circumstances related to the battery. For Consent to be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deemed</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legitimate within the framework of battery cases in the UK, it must satisfy specific criteria. Consent includes receiving something voluntarily, without pressure, deception, or</w:t>
      </w:r>
      <w:r w:rsidRPr="3A3EFC00" w:rsidR="44724B4F">
        <w:rPr>
          <w:rFonts w:ascii="Calibri" w:hAnsi="Calibri" w:eastAsia="Calibri" w:cs="Calibri" w:asciiTheme="minorAscii" w:hAnsiTheme="minorAscii" w:eastAsiaTheme="minorAscii" w:cstheme="minorAscii"/>
          <w:noProof w:val="0"/>
          <w:color w:val="0E101A"/>
          <w:sz w:val="24"/>
          <w:szCs w:val="24"/>
          <w:lang w:val="en-US"/>
        </w:rPr>
        <w:t xml:space="preserve"> </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dishonesty. Therefore, if an individual gains Consent via coercion or deceit, they may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deem</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it invalid, making the act of battery unlawful. The characteristics of valid Consent include three essential components: voluntariness, being well-informed, and being provided by an individual who can make the decision </w:t>
      </w:r>
      <w:r w:rsidRPr="3A3EFC00" w:rsidR="2B508245">
        <w:rPr>
          <w:rFonts w:ascii="Calibri" w:hAnsi="Calibri" w:eastAsia="Calibri" w:cs="Calibri" w:asciiTheme="minorAscii" w:hAnsiTheme="minorAscii" w:eastAsiaTheme="minorAscii" w:cstheme="minorAscii"/>
          <w:noProof w:val="0"/>
          <w:color w:val="0E101A"/>
          <w:sz w:val="24"/>
          <w:szCs w:val="24"/>
          <w:lang w:val="en-US"/>
        </w:rPr>
        <w:t>(</w:t>
      </w:r>
      <w:r w:rsidRPr="3A3EFC00" w:rsidR="2B508245">
        <w:rPr>
          <w:rFonts w:ascii="Source Sans Pro" w:hAnsi="Source Sans Pro" w:eastAsia="Source Sans Pro" w:cs="Source Sans Pro"/>
          <w:color w:val="2A2A2A"/>
        </w:rPr>
        <w:t>Candilis ,2010)</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Voluntary Consent means deciding to either give or withhold Consent without external pressure. For example, Consent to treatment applies to the voluntary agreement of an individual to accept medical care, treatment, or services. The individual has the authority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determine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whether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permit</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treatment, and no external party can influence or pressure them into deciding (Haghighi,2023). Informed Consent provides the individual with comprehensive information </w:t>
      </w:r>
      <w:r w:rsidRPr="3A3EFC00" w:rsidR="1D9C2C80">
        <w:rPr>
          <w:rFonts w:ascii="Calibri" w:hAnsi="Calibri" w:eastAsia="Calibri" w:cs="Calibri" w:asciiTheme="minorAscii" w:hAnsiTheme="minorAscii" w:eastAsiaTheme="minorAscii" w:cstheme="minorAscii"/>
          <w:noProof w:val="0"/>
          <w:color w:val="0E101A"/>
          <w:sz w:val="24"/>
          <w:szCs w:val="24"/>
          <w:lang w:val="en-US"/>
        </w:rPr>
        <w:t>regarding</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each action—the case of White v. Beeks (2015). An argument for informed Consent arises when a patient grants permission for a procedure without being correctly informed about its significant hazards. The issue pertains to the method by which the doctor got the patient's Consent, while a claim for medical battery pertains to whether the surgery was initially authorized (Clinton,2016). People </w:t>
      </w:r>
      <w:r w:rsidRPr="3A3EFC00" w:rsidR="1D9C2C80">
        <w:rPr>
          <w:rFonts w:ascii="Calibri" w:hAnsi="Calibri" w:eastAsia="Calibri" w:cs="Calibri" w:asciiTheme="minorAscii" w:hAnsiTheme="minorAscii" w:eastAsiaTheme="minorAscii" w:cstheme="minorAscii"/>
          <w:noProof w:val="0"/>
          <w:color w:val="0E101A"/>
          <w:sz w:val="24"/>
          <w:szCs w:val="24"/>
          <w:lang w:val="en-US"/>
        </w:rPr>
        <w:t>generally assume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Consent in life-saving situations, but individuals can decline it, as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demonstrated</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in the case of R v. Blaue (</w:t>
      </w:r>
      <w:r w:rsidRPr="3A3EFC00" w:rsidR="1D9C2C80">
        <w:rPr>
          <w:rFonts w:ascii="Calibri" w:hAnsi="Calibri" w:eastAsia="Calibri" w:cs="Calibri" w:asciiTheme="minorAscii" w:hAnsiTheme="minorAscii" w:eastAsiaTheme="minorAscii" w:cstheme="minorAscii"/>
          <w:noProof w:val="0"/>
          <w:color w:val="0E101A"/>
          <w:sz w:val="24"/>
          <w:szCs w:val="24"/>
          <w:lang w:val="en-US"/>
        </w:rPr>
        <w:t>1975)(</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Wortley,2021). </w:t>
      </w:r>
      <w:r w:rsidRPr="3A3EFC00" w:rsidR="1D9C2C80">
        <w:rPr>
          <w:rFonts w:ascii="Calibri" w:hAnsi="Calibri" w:eastAsia="Calibri" w:cs="Calibri" w:asciiTheme="minorAscii" w:hAnsiTheme="minorAscii" w:eastAsiaTheme="minorAscii" w:cstheme="minorAscii"/>
          <w:noProof w:val="0"/>
          <w:color w:val="0E101A"/>
          <w:sz w:val="24"/>
          <w:szCs w:val="24"/>
          <w:lang w:val="en-US"/>
        </w:rPr>
        <w:t>Capacity</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refers to the individual's ability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provide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Consent, </w:t>
      </w:r>
      <w:r w:rsidRPr="3A3EFC00" w:rsidR="1D9C2C80">
        <w:rPr>
          <w:rFonts w:ascii="Calibri" w:hAnsi="Calibri" w:eastAsia="Calibri" w:cs="Calibri" w:asciiTheme="minorAscii" w:hAnsiTheme="minorAscii" w:eastAsiaTheme="minorAscii" w:cstheme="minorAscii"/>
          <w:noProof w:val="0"/>
          <w:color w:val="0E101A"/>
          <w:sz w:val="24"/>
          <w:szCs w:val="24"/>
          <w:lang w:val="en-US"/>
        </w:rPr>
        <w:t>indicating</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their comprehension of the information presented to them and their ability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utilize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it to make an informed choice. Individuals classified as adults with incapacity are people who </w:t>
      </w:r>
      <w:r w:rsidRPr="3A3EFC00" w:rsidR="1D9C2C80">
        <w:rPr>
          <w:rFonts w:ascii="Calibri" w:hAnsi="Calibri" w:eastAsia="Calibri" w:cs="Calibri" w:asciiTheme="minorAscii" w:hAnsiTheme="minorAscii" w:eastAsiaTheme="minorAscii" w:cstheme="minorAscii"/>
          <w:noProof w:val="0"/>
          <w:color w:val="0E101A"/>
          <w:sz w:val="24"/>
          <w:szCs w:val="24"/>
          <w:lang w:val="en-US"/>
        </w:rPr>
        <w:t>possess</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 mental condition or an inability to speak, resulting in their inability to make certain decisions for themselves (Nhs,2023).</w:t>
      </w:r>
    </w:p>
    <w:p w:rsidR="2C275084" w:rsidP="3A3EFC00" w:rsidRDefault="2C275084" w14:paraId="43A858BA" w14:textId="4352A458">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Section 39 of the Criminal Justice Act, 1988, references assault and battery without being explicitly specified. Instead, precedent is what gives rise to the underlying legal </w:t>
      </w:r>
      <w:r w:rsidRPr="3A3EFC00" w:rsidR="1D9C2C80">
        <w:rPr>
          <w:rFonts w:ascii="Calibri" w:hAnsi="Calibri" w:eastAsia="Calibri" w:cs="Calibri" w:asciiTheme="minorAscii" w:hAnsiTheme="minorAscii" w:eastAsiaTheme="minorAscii" w:cstheme="minorAscii"/>
          <w:noProof w:val="0"/>
          <w:color w:val="0E101A"/>
          <w:sz w:val="24"/>
          <w:szCs w:val="24"/>
          <w:lang w:val="en-US"/>
        </w:rPr>
        <w:t>principles.</w:t>
      </w:r>
      <w:r w:rsidRPr="3A3EFC00" w:rsidR="1D9C2C80">
        <w:rPr>
          <w:rFonts w:ascii="Calibri" w:hAnsi="Calibri" w:eastAsia="Calibri" w:cs="Calibri" w:asciiTheme="minorAscii" w:hAnsiTheme="minorAscii" w:eastAsiaTheme="minorAscii" w:cstheme="minorAscii"/>
          <w:noProof w:val="0"/>
          <w:color w:val="0E101A"/>
          <w:sz w:val="24"/>
          <w:szCs w:val="24"/>
          <w:lang w:val="en-US"/>
        </w:rPr>
        <w:t>Assault</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and battery serve as foundational elements for various non-lethal crimes (Chisholm,2020). According to (Wortley,2021), assault and battery are different offences from a legal standpoint. </w:t>
      </w:r>
      <w:r w:rsidRPr="3A3EFC00" w:rsidR="1D9C2C80">
        <w:rPr>
          <w:rFonts w:ascii="Calibri" w:hAnsi="Calibri" w:eastAsia="Calibri" w:cs="Calibri" w:asciiTheme="minorAscii" w:hAnsiTheme="minorAscii" w:eastAsiaTheme="minorAscii" w:cstheme="minorAscii"/>
          <w:i w:val="1"/>
          <w:iCs w:val="1"/>
          <w:noProof w:val="0"/>
          <w:color w:val="0E101A"/>
          <w:sz w:val="24"/>
          <w:szCs w:val="24"/>
          <w:lang w:val="en-US"/>
        </w:rPr>
        <w:t>Assault</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is the intentional action that makes the victim </w:t>
      </w:r>
      <w:r w:rsidRPr="3A3EFC00" w:rsidR="1D9C2C80">
        <w:rPr>
          <w:rFonts w:ascii="Calibri" w:hAnsi="Calibri" w:eastAsia="Calibri" w:cs="Calibri" w:asciiTheme="minorAscii" w:hAnsiTheme="minorAscii" w:eastAsiaTheme="minorAscii" w:cstheme="minorAscii"/>
          <w:noProof w:val="0"/>
          <w:color w:val="0E101A"/>
          <w:sz w:val="24"/>
          <w:szCs w:val="24"/>
          <w:lang w:val="en-US"/>
        </w:rPr>
        <w:t>anticipate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the immediate and illegal use of force. Battery, often known as assault by beating, constitutes the second </w:t>
      </w:r>
      <w:r w:rsidRPr="3A3EFC00" w:rsidR="1D9C2C80">
        <w:rPr>
          <w:rFonts w:ascii="Calibri" w:hAnsi="Calibri" w:eastAsia="Calibri" w:cs="Calibri" w:asciiTheme="minorAscii" w:hAnsiTheme="minorAscii" w:eastAsiaTheme="minorAscii" w:cstheme="minorAscii"/>
          <w:noProof w:val="0"/>
          <w:color w:val="0E101A"/>
          <w:sz w:val="24"/>
          <w:szCs w:val="24"/>
          <w:lang w:val="en-US"/>
        </w:rPr>
        <w:t>component</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of the usual offence. The term "unlawful force" refers to applying physical action to another individual to cause harm or act recklessly without considering whether the force is lawful. Battery refers to illegal and non-consensual physical contact with someone else's body. It is also possible to commit battery without </w:t>
      </w:r>
      <w:r w:rsidRPr="3A3EFC00" w:rsidR="1D9C2C80">
        <w:rPr>
          <w:rFonts w:ascii="Calibri" w:hAnsi="Calibri" w:eastAsia="Calibri" w:cs="Calibri" w:asciiTheme="minorAscii" w:hAnsiTheme="minorAscii" w:eastAsiaTheme="minorAscii" w:cstheme="minorAscii"/>
          <w:noProof w:val="0"/>
          <w:color w:val="0E101A"/>
          <w:sz w:val="24"/>
          <w:szCs w:val="24"/>
          <w:lang w:val="en-US"/>
        </w:rPr>
        <w:t>actually causing</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any injuries to the victim. Physical contact can legally be a battery. Therefore, the offence of battery does not inherently entail physical injury; rather, it encompasses the encroachment into one's "personal space" (Herring, 2022).  </w:t>
      </w:r>
    </w:p>
    <w:p w:rsidR="2C275084" w:rsidP="3A3EFC00" w:rsidRDefault="2C275084" w14:paraId="3ADCB951" w14:textId="15748673">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Per Herring (2022), everyday physical contact is not considered offensive, and there are potential reasons for this. The implied Consent means that when individuals enter crowded places or attend events, physical contact is expected and accepted. Wilson v Pringle (1987) shows that the ordinary of everyday life was not battery. Any form of physical contact </w:t>
      </w:r>
      <w:r w:rsidRPr="3A3EFC00" w:rsidR="1D9C2C80">
        <w:rPr>
          <w:rFonts w:ascii="Calibri" w:hAnsi="Calibri" w:eastAsia="Calibri" w:cs="Calibri" w:asciiTheme="minorAscii" w:hAnsiTheme="minorAscii" w:eastAsiaTheme="minorAscii" w:cstheme="minorAscii"/>
          <w:noProof w:val="0"/>
          <w:color w:val="0E101A"/>
          <w:sz w:val="24"/>
          <w:szCs w:val="24"/>
          <w:lang w:val="en-US"/>
        </w:rPr>
        <w:t>generally accepted</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as part of everyday life should be exempt from </w:t>
      </w:r>
      <w:r w:rsidRPr="3A3EFC00" w:rsidR="1D9C2C80">
        <w:rPr>
          <w:rFonts w:ascii="Calibri" w:hAnsi="Calibri" w:eastAsia="Calibri" w:cs="Calibri" w:asciiTheme="minorAscii" w:hAnsiTheme="minorAscii" w:eastAsiaTheme="minorAscii" w:cstheme="minorAscii"/>
          <w:noProof w:val="0"/>
          <w:color w:val="0E101A"/>
          <w:sz w:val="24"/>
          <w:szCs w:val="24"/>
          <w:lang w:val="en-US"/>
        </w:rPr>
        <w:t>the battery</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crime. (Herring,2022). Assault and battery are two types of offences where the Consent of the victim is a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defence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The case of R v. Donovan (1934) illustrates this. The case supporting the same argument is R v. Slingsby (1995). Victims can be held responsible for such crimes with very narrow exceptions. In the context of physical contact sports, this is often the case. Participants are presumed to consent to the risks of physical contact and injury inherent in their chosen sport (Justia,2023). The violation of the regulations of the sport must be significant. The case of R v. </w:t>
      </w:r>
      <w:r w:rsidRPr="3A3EFC00" w:rsidR="1D9C2C80">
        <w:rPr>
          <w:rFonts w:ascii="Calibri" w:hAnsi="Calibri" w:eastAsia="Calibri" w:cs="Calibri" w:asciiTheme="minorAscii" w:hAnsiTheme="minorAscii" w:eastAsiaTheme="minorAscii" w:cstheme="minorAscii"/>
          <w:noProof w:val="0"/>
          <w:color w:val="0E101A"/>
          <w:sz w:val="24"/>
          <w:szCs w:val="24"/>
          <w:lang w:val="en-US"/>
        </w:rPr>
        <w:t>Barnes(</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2004) shows that criminal prosecution should only occur if an injury occurs during a match if the </w:t>
      </w:r>
      <w:r w:rsidRPr="3A3EFC00" w:rsidR="1D9C2C80">
        <w:rPr>
          <w:rFonts w:ascii="Calibri" w:hAnsi="Calibri" w:eastAsia="Calibri" w:cs="Calibri" w:asciiTheme="minorAscii" w:hAnsiTheme="minorAscii" w:eastAsiaTheme="minorAscii" w:cstheme="minorAscii"/>
          <w:noProof w:val="0"/>
          <w:color w:val="0E101A"/>
          <w:sz w:val="24"/>
          <w:szCs w:val="24"/>
          <w:lang w:val="en-US"/>
        </w:rPr>
        <w:t>behaviour</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is severe enough to be considered a criminal offence. If the defendant sincerely but incorrectly believes that the victim is giving Consent, there may be a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defence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against a non-natal offence charge against the person. It is </w:t>
      </w:r>
      <w:r w:rsidRPr="3A3EFC00" w:rsidR="1D9C2C80">
        <w:rPr>
          <w:rFonts w:ascii="Calibri" w:hAnsi="Calibri" w:eastAsia="Calibri" w:cs="Calibri" w:asciiTheme="minorAscii" w:hAnsiTheme="minorAscii" w:eastAsiaTheme="minorAscii" w:cstheme="minorAscii"/>
          <w:noProof w:val="0"/>
          <w:color w:val="0E101A"/>
          <w:sz w:val="24"/>
          <w:szCs w:val="24"/>
          <w:lang w:val="en-US"/>
        </w:rPr>
        <w:t>evident</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in R v. </w:t>
      </w:r>
      <w:r w:rsidRPr="3A3EFC00" w:rsidR="1D9C2C80">
        <w:rPr>
          <w:rFonts w:ascii="Calibri" w:hAnsi="Calibri" w:eastAsia="Calibri" w:cs="Calibri" w:asciiTheme="minorAscii" w:hAnsiTheme="minorAscii" w:eastAsiaTheme="minorAscii" w:cstheme="minorAscii"/>
          <w:noProof w:val="0"/>
          <w:color w:val="0E101A"/>
          <w:sz w:val="24"/>
          <w:szCs w:val="24"/>
          <w:lang w:val="en-US"/>
        </w:rPr>
        <w:t>Olugboja</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(1982), where the offender pressured the victim into engaging in sexual activity without obtaining their Consent</w:t>
      </w:r>
      <w:r w:rsidRPr="3A3EFC00" w:rsidR="3EC376A2">
        <w:rPr>
          <w:rFonts w:ascii="Calibri" w:hAnsi="Calibri" w:eastAsia="Calibri" w:cs="Calibri" w:asciiTheme="minorAscii" w:hAnsiTheme="minorAscii" w:eastAsiaTheme="minorAscii" w:cstheme="minorAscii"/>
          <w:noProof w:val="0"/>
          <w:color w:val="0E101A"/>
          <w:sz w:val="24"/>
          <w:szCs w:val="24"/>
          <w:lang w:val="en-US"/>
        </w:rPr>
        <w:t xml:space="preserve"> (</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Wortley,2021). </w:t>
      </w:r>
    </w:p>
    <w:p w:rsidR="2C275084" w:rsidP="3A3EFC00" w:rsidRDefault="2C275084" w14:paraId="3B52D5CB" w14:textId="288363AC">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Individual knowledge of sexual Consent may not be adequate to forecast its use or application (</w:t>
      </w:r>
      <w:r w:rsidRPr="3A3EFC00" w:rsidR="1D9C2C80">
        <w:rPr>
          <w:rFonts w:ascii="Calibri" w:hAnsi="Calibri" w:eastAsia="Calibri" w:cs="Calibri" w:asciiTheme="minorAscii" w:hAnsiTheme="minorAscii" w:eastAsiaTheme="minorAscii" w:cstheme="minorAscii"/>
          <w:noProof w:val="0"/>
          <w:color w:val="0E101A"/>
          <w:sz w:val="24"/>
          <w:szCs w:val="24"/>
          <w:lang w:val="en-US"/>
        </w:rPr>
        <w:t>Muehlenhard</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2016). So, while the fundamentals of sexual Consent may be the same for men and women, there may be disparities in the extent to which </w:t>
      </w:r>
      <w:r w:rsidRPr="3A3EFC00" w:rsidR="1D9C2C80">
        <w:rPr>
          <w:rFonts w:ascii="Calibri" w:hAnsi="Calibri" w:eastAsia="Calibri" w:cs="Calibri" w:asciiTheme="minorAscii" w:hAnsiTheme="minorAscii" w:eastAsiaTheme="minorAscii" w:cstheme="minorAscii"/>
          <w:noProof w:val="0"/>
          <w:color w:val="0E101A"/>
          <w:sz w:val="24"/>
          <w:szCs w:val="24"/>
          <w:lang w:val="en-US"/>
        </w:rPr>
        <w:t>additional</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rules or elements apply to them individually. There is not a solitary agreed-upon definition of sexual Consent. Some </w:t>
      </w:r>
      <w:r w:rsidRPr="3A3EFC00" w:rsidR="1D9C2C80">
        <w:rPr>
          <w:rFonts w:ascii="Calibri" w:hAnsi="Calibri" w:eastAsia="Calibri" w:cs="Calibri" w:asciiTheme="minorAscii" w:hAnsiTheme="minorAscii" w:eastAsiaTheme="minorAscii" w:cstheme="minorAscii"/>
          <w:noProof w:val="0"/>
          <w:color w:val="0E101A"/>
          <w:sz w:val="24"/>
          <w:szCs w:val="24"/>
          <w:lang w:val="en-US"/>
        </w:rPr>
        <w:t>persons</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are unable to differentiate between voluntary and involuntary interactions. Cases like Andrea Constand v. William H. Cosby, Jr. </w:t>
      </w:r>
      <w:r w:rsidRPr="3A3EFC00" w:rsidR="1D9C2C80">
        <w:rPr>
          <w:rFonts w:ascii="Calibri" w:hAnsi="Calibri" w:eastAsia="Calibri" w:cs="Calibri" w:asciiTheme="minorAscii" w:hAnsiTheme="minorAscii" w:eastAsiaTheme="minorAscii" w:cstheme="minorAscii"/>
          <w:noProof w:val="0"/>
          <w:color w:val="0E101A"/>
          <w:sz w:val="24"/>
          <w:szCs w:val="24"/>
          <w:lang w:val="en-US"/>
        </w:rPr>
        <w:t>( 1969</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where a woman was drugged prior to sexual activity, make assertions of Consent seem clear-cut despite the horrific specifics. Some cases are more nuanced than others, like the one involving Missouri Governor Eric Greitens, in which a consensual encounter may have evolved into allegations of force and abuse. New York's former attorney general Eric Schneiderman, who resigned after being accused of hitting and strangling multiple women, </w:t>
      </w:r>
      <w:r w:rsidRPr="3A3EFC00" w:rsidR="1D9C2C80">
        <w:rPr>
          <w:rFonts w:ascii="Calibri" w:hAnsi="Calibri" w:eastAsia="Calibri" w:cs="Calibri" w:asciiTheme="minorAscii" w:hAnsiTheme="minorAscii" w:eastAsiaTheme="minorAscii" w:cstheme="minorAscii"/>
          <w:noProof w:val="0"/>
          <w:color w:val="0E101A"/>
          <w:sz w:val="24"/>
          <w:szCs w:val="24"/>
          <w:lang w:val="en-US"/>
        </w:rPr>
        <w:t>maintained</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that all sexual interactions in question were voluntary. His detractors, predictably, disagreed (Barrett, 2018). </w:t>
      </w:r>
    </w:p>
    <w:p w:rsidR="2C275084" w:rsidP="3A3EFC00" w:rsidRDefault="2C275084" w14:paraId="25E0F580" w14:textId="01DC6915">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Battery crimes in England and Wales are punished based on severity, injury, and defendant circumstances. </w:t>
      </w:r>
      <w:r w:rsidRPr="3A3EFC00" w:rsidR="1D9C2C80">
        <w:rPr>
          <w:rFonts w:ascii="Calibri" w:hAnsi="Calibri" w:eastAsia="Calibri" w:cs="Calibri" w:asciiTheme="minorAscii" w:hAnsiTheme="minorAscii" w:eastAsiaTheme="minorAscii" w:cstheme="minorAscii"/>
          <w:noProof w:val="0"/>
          <w:color w:val="0E101A"/>
          <w:sz w:val="24"/>
          <w:szCs w:val="24"/>
          <w:lang w:val="en-US"/>
        </w:rPr>
        <w:t>In order to</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show battery, the prosecution must prove the act, intent, lack of permission, and harm or crime. </w:t>
      </w:r>
      <w:r w:rsidRPr="3A3EFC00" w:rsidR="1D9C2C80">
        <w:rPr>
          <w:rFonts w:ascii="Calibri" w:hAnsi="Calibri" w:eastAsia="Calibri" w:cs="Calibri" w:asciiTheme="minorAscii" w:hAnsiTheme="minorAscii" w:eastAsiaTheme="minorAscii" w:cstheme="minorAscii"/>
          <w:noProof w:val="0"/>
          <w:color w:val="0E101A"/>
          <w:sz w:val="24"/>
          <w:szCs w:val="24"/>
          <w:lang w:val="en-US"/>
        </w:rPr>
        <w:t>In order to</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w:t>
      </w:r>
      <w:r w:rsidRPr="3A3EFC00" w:rsidR="1D9C2C80">
        <w:rPr>
          <w:rFonts w:ascii="Calibri" w:hAnsi="Calibri" w:eastAsia="Calibri" w:cs="Calibri" w:asciiTheme="minorAscii" w:hAnsiTheme="minorAscii" w:eastAsiaTheme="minorAscii" w:cstheme="minorAscii"/>
          <w:noProof w:val="0"/>
          <w:color w:val="0E101A"/>
          <w:sz w:val="24"/>
          <w:szCs w:val="24"/>
          <w:lang w:val="en-US"/>
        </w:rPr>
        <w:t>establish</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the veracity of this claim, it is imperative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demonstrate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that the victim was deliberately coerced, lacked Consent, and experienced either physical or emotional detriment. The criminal act must have been voluntary, and the offender must have meant or known it would cause injury. </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Depending on the seriousness of the conduct and the accused's criminal history, battery charges can result in fines, community orders, or prison time. More serious battery cases may result in longer sentences, heavier fines, or compensation orders (CPS,2023). </w:t>
      </w:r>
    </w:p>
    <w:p w:rsidR="2C275084" w:rsidP="3A3EFC00" w:rsidRDefault="2C275084" w14:paraId="4D7B4693" w14:textId="1DA393CB">
      <w:pPr>
        <w:spacing w:before="0" w:beforeAutospacing="off" w:after="0" w:afterAutospacing="off"/>
        <w:rPr>
          <w:rFonts w:ascii="Calibri" w:hAnsi="Calibri" w:eastAsia="Calibri" w:cs="Calibri" w:asciiTheme="minorAscii" w:hAnsiTheme="minorAscii" w:eastAsiaTheme="minorAscii" w:cstheme="minorAscii"/>
          <w:sz w:val="24"/>
          <w:szCs w:val="24"/>
        </w:rPr>
      </w:pPr>
      <w:r>
        <w:br/>
      </w:r>
    </w:p>
    <w:p w:rsidR="2C275084" w:rsidP="3A3EFC00" w:rsidRDefault="2C275084" w14:paraId="7B6C73CB" w14:textId="29C87D9E">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noProof w:val="0"/>
          <w:color w:val="0E101A"/>
          <w:sz w:val="24"/>
          <w:szCs w:val="24"/>
          <w:lang w:val="en-US"/>
        </w:rPr>
        <w:t>Conclusion</w:t>
      </w:r>
    </w:p>
    <w:p w:rsidR="2C275084" w:rsidP="3A3EFC00" w:rsidRDefault="2C275084" w14:paraId="13694FE3" w14:textId="20CE4D34">
      <w:pPr>
        <w:pStyle w:val="Normalny"/>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p>
    <w:p w:rsidR="2C275084" w:rsidP="3A3EFC00" w:rsidRDefault="2C275084" w14:paraId="43DFC2A1" w14:textId="7EB49C05">
      <w:pPr>
        <w:spacing w:before="0" w:beforeAutospacing="off" w:after="0" w:afterAutospacing="off"/>
        <w:rPr>
          <w:rFonts w:ascii="Calibri" w:hAnsi="Calibri" w:eastAsia="Calibri" w:cs="Calibri" w:asciiTheme="minorAscii" w:hAnsiTheme="minorAscii" w:eastAsiaTheme="minorAscii" w:cstheme="minorAscii"/>
          <w:noProof w:val="0"/>
          <w:color w:val="0E101A"/>
          <w:sz w:val="24"/>
          <w:szCs w:val="24"/>
          <w:lang w:val="en-US"/>
        </w:rPr>
      </w:pPr>
      <w:r w:rsidRPr="3A3EFC00" w:rsidR="1D9C2C80">
        <w:rPr>
          <w:rFonts w:ascii="Calibri" w:hAnsi="Calibri" w:eastAsia="Calibri" w:cs="Calibri" w:asciiTheme="minorAscii" w:hAnsiTheme="minorAscii" w:eastAsiaTheme="minorAscii" w:cstheme="minorAscii"/>
          <w:i w:val="1"/>
          <w:iCs w:val="1"/>
          <w:noProof w:val="0"/>
          <w:color w:val="0E101A"/>
          <w:sz w:val="24"/>
          <w:szCs w:val="24"/>
          <w:lang w:val="en-US"/>
        </w:rPr>
        <w:t>Legal Consent</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is a voluntary agreement made by an individual to behave or engage in a specific manner, with implications in criminal law, contract law, and delict law. In the UK, it is crucial in battery cases, where the victim grants Informed Consent. Consent must satisfy three essential components: voluntariness, being well-informed, and being provided by an individual who can make the decision. People </w:t>
      </w:r>
      <w:r w:rsidRPr="3A3EFC00" w:rsidR="1D9C2C80">
        <w:rPr>
          <w:rFonts w:ascii="Calibri" w:hAnsi="Calibri" w:eastAsia="Calibri" w:cs="Calibri" w:asciiTheme="minorAscii" w:hAnsiTheme="minorAscii" w:eastAsiaTheme="minorAscii" w:cstheme="minorAscii"/>
          <w:noProof w:val="0"/>
          <w:color w:val="0E101A"/>
          <w:sz w:val="24"/>
          <w:szCs w:val="24"/>
          <w:lang w:val="en-US"/>
        </w:rPr>
        <w:t>generally assume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Informed Consent in life-saving situations, but they can choose to decline it. Adults with incapacity may need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provide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Consent. Assault and battery are legal offences based on customary principles and foundational elements for various non-lethal crimes. Assault involves the intentional action that causes the victim to </w:t>
      </w:r>
      <w:r w:rsidRPr="3A3EFC00" w:rsidR="1D9C2C80">
        <w:rPr>
          <w:rFonts w:ascii="Calibri" w:hAnsi="Calibri" w:eastAsia="Calibri" w:cs="Calibri" w:asciiTheme="minorAscii" w:hAnsiTheme="minorAscii" w:eastAsiaTheme="minorAscii" w:cstheme="minorAscii"/>
          <w:noProof w:val="0"/>
          <w:color w:val="0E101A"/>
          <w:sz w:val="24"/>
          <w:szCs w:val="24"/>
          <w:lang w:val="en-US"/>
        </w:rPr>
        <w:t>anticipate</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the immediate and illegal use of force. At the same time, battery refers to illegal and non-consensual physical contact with someone else's body. In everyday physical contact, it is not considered offensive. Battery crimes in England and Wales are punished based on severity, injury, and defendant circumstances. The prosecution must prove the act, intent, lack of permission, and harm or crime to prove battery. More serious battery cases may result in longer sentences, heavier fines, or compensation orders. Efforts to prevent battery offences and support victims are vital to ensuring a safer society. We can create a community that discourages harmful </w:t>
      </w:r>
      <w:r w:rsidRPr="3A3EFC00" w:rsidR="1D9C2C80">
        <w:rPr>
          <w:rFonts w:ascii="Calibri" w:hAnsi="Calibri" w:eastAsia="Calibri" w:cs="Calibri" w:asciiTheme="minorAscii" w:hAnsiTheme="minorAscii" w:eastAsiaTheme="minorAscii" w:cstheme="minorAscii"/>
          <w:noProof w:val="0"/>
          <w:color w:val="0E101A"/>
          <w:sz w:val="24"/>
          <w:szCs w:val="24"/>
          <w:lang w:val="en-US"/>
        </w:rPr>
        <w:t>behaviour</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and promotes the well-being of those affected by battery crime by recognizing common warning signs of potential battery, enhancing the role of educational institutions and society in prevention, and </w:t>
      </w:r>
      <w:r w:rsidRPr="3A3EFC00" w:rsidR="1D9C2C80">
        <w:rPr>
          <w:rFonts w:ascii="Calibri" w:hAnsi="Calibri" w:eastAsia="Calibri" w:cs="Calibri" w:asciiTheme="minorAscii" w:hAnsiTheme="minorAscii" w:eastAsiaTheme="minorAscii" w:cstheme="minorAscii"/>
          <w:noProof w:val="0"/>
          <w:color w:val="0E101A"/>
          <w:sz w:val="24"/>
          <w:szCs w:val="24"/>
          <w:lang w:val="en-US"/>
        </w:rPr>
        <w:t>providing</w:t>
      </w:r>
      <w:r w:rsidRPr="3A3EFC00" w:rsidR="1D9C2C80">
        <w:rPr>
          <w:rFonts w:ascii="Calibri" w:hAnsi="Calibri" w:eastAsia="Calibri" w:cs="Calibri" w:asciiTheme="minorAscii" w:hAnsiTheme="minorAscii" w:eastAsiaTheme="minorAscii" w:cstheme="minorAscii"/>
          <w:noProof w:val="0"/>
          <w:color w:val="0E101A"/>
          <w:sz w:val="24"/>
          <w:szCs w:val="24"/>
          <w:lang w:val="en-US"/>
        </w:rPr>
        <w:t xml:space="preserve"> resources and support for victims.</w:t>
      </w:r>
    </w:p>
    <w:p w:rsidR="2C275084" w:rsidP="3A3EFC00" w:rsidRDefault="2C275084" w14:paraId="7C494482" w14:textId="2E1D1A78">
      <w:pPr>
        <w:spacing w:before="0" w:beforeAutospacing="off" w:after="0" w:afterAutospacing="off"/>
      </w:pPr>
    </w:p>
    <w:p w:rsidR="2C275084" w:rsidP="3A3EFC00" w:rsidRDefault="2C275084" w14:paraId="049D0625" w14:textId="5A680191">
      <w:pPr>
        <w:spacing w:before="0" w:beforeAutospacing="off" w:after="0" w:afterAutospacing="off"/>
      </w:pPr>
    </w:p>
    <w:p w:rsidR="2C275084" w:rsidP="3A3EFC00" w:rsidRDefault="2C275084" w14:paraId="30A89ED2" w14:textId="19C2A445">
      <w:pPr>
        <w:spacing w:before="0" w:beforeAutospacing="off" w:after="0" w:afterAutospacing="off"/>
      </w:pPr>
    </w:p>
    <w:p w:rsidR="2C275084" w:rsidP="3A3EFC00" w:rsidRDefault="2C275084" w14:paraId="19F9E24F" w14:textId="3855F76A">
      <w:pPr>
        <w:spacing w:before="0" w:beforeAutospacing="off" w:after="0" w:afterAutospacing="off"/>
      </w:pPr>
    </w:p>
    <w:p w:rsidR="2C275084" w:rsidP="3A3EFC00" w:rsidRDefault="2C275084" w14:paraId="6B9663B0" w14:textId="540FD203">
      <w:pPr>
        <w:spacing w:before="0" w:beforeAutospacing="off" w:after="0" w:afterAutospacing="off"/>
      </w:pPr>
    </w:p>
    <w:p w:rsidR="2C275084" w:rsidP="3A3EFC00" w:rsidRDefault="2C275084" w14:paraId="5815829F" w14:textId="3AE81F06">
      <w:pPr>
        <w:spacing w:before="0" w:beforeAutospacing="off" w:after="0" w:afterAutospacing="off"/>
      </w:pPr>
    </w:p>
    <w:p w:rsidR="2C275084" w:rsidP="3A3EFC00" w:rsidRDefault="2C275084" w14:paraId="3283A715" w14:textId="6C070F22">
      <w:pPr>
        <w:spacing w:before="0" w:beforeAutospacing="off" w:after="0" w:afterAutospacing="off"/>
      </w:pPr>
    </w:p>
    <w:p w:rsidR="2C275084" w:rsidP="3A3EFC00" w:rsidRDefault="2C275084" w14:paraId="2DAAEC00" w14:textId="1B130F53">
      <w:pPr>
        <w:spacing w:before="0" w:beforeAutospacing="off" w:after="0" w:afterAutospacing="off"/>
      </w:pPr>
    </w:p>
    <w:p w:rsidR="2C275084" w:rsidP="3A3EFC00" w:rsidRDefault="2C275084" w14:paraId="5A04806F" w14:textId="60B6A373">
      <w:pPr>
        <w:spacing w:before="0" w:beforeAutospacing="off" w:after="0" w:afterAutospacing="off"/>
      </w:pPr>
    </w:p>
    <w:p w:rsidR="2C275084" w:rsidP="3A3EFC00" w:rsidRDefault="2C275084" w14:paraId="4D388D4A" w14:textId="4B6E8DE3">
      <w:pPr>
        <w:spacing w:before="0" w:beforeAutospacing="off" w:after="0" w:afterAutospacing="off"/>
      </w:pPr>
    </w:p>
    <w:p w:rsidR="2C275084" w:rsidP="3A3EFC00" w:rsidRDefault="2C275084" w14:paraId="5239920F" w14:textId="2E566C07">
      <w:pPr>
        <w:spacing w:before="0" w:beforeAutospacing="off" w:after="0" w:afterAutospacing="off"/>
      </w:pPr>
    </w:p>
    <w:p w:rsidR="2C275084" w:rsidP="3A3EFC00" w:rsidRDefault="2C275084" w14:paraId="4786A643" w14:textId="1C1B7842">
      <w:pPr>
        <w:spacing w:before="0" w:beforeAutospacing="off" w:after="0" w:afterAutospacing="off"/>
      </w:pPr>
    </w:p>
    <w:p w:rsidR="2C275084" w:rsidP="3A3EFC00" w:rsidRDefault="2C275084" w14:paraId="6CAA4F9C" w14:textId="7B11CDC5">
      <w:pPr>
        <w:spacing w:before="0" w:beforeAutospacing="off" w:after="0" w:afterAutospacing="off"/>
      </w:pPr>
    </w:p>
    <w:p w:rsidR="2C275084" w:rsidP="3A3EFC00" w:rsidRDefault="2C275084" w14:paraId="0764F506" w14:textId="1DE1903A">
      <w:pPr>
        <w:spacing w:before="0" w:beforeAutospacing="off" w:after="0" w:afterAutospacing="off"/>
      </w:pPr>
    </w:p>
    <w:p w:rsidR="2C275084" w:rsidP="3A3EFC00" w:rsidRDefault="2C275084" w14:paraId="15CAD745" w14:textId="2F782D4A">
      <w:pPr>
        <w:spacing w:before="0" w:beforeAutospacing="off" w:after="0" w:afterAutospacing="off"/>
      </w:pPr>
    </w:p>
    <w:p w:rsidR="2C275084" w:rsidP="3A3EFC00" w:rsidRDefault="2C275084" w14:paraId="3F96C5C3" w14:textId="76F6AF63">
      <w:pPr>
        <w:spacing w:before="0" w:beforeAutospacing="off" w:after="0" w:afterAutospacing="off"/>
      </w:pPr>
    </w:p>
    <w:p w:rsidR="2C275084" w:rsidP="3A3EFC00" w:rsidRDefault="2C275084" w14:paraId="72E07F42" w14:textId="196719C3">
      <w:pPr>
        <w:spacing w:before="0" w:beforeAutospacing="off" w:after="0" w:afterAutospacing="off"/>
      </w:pPr>
    </w:p>
    <w:p w:rsidR="2C275084" w:rsidP="3A3EFC00" w:rsidRDefault="2C275084" w14:paraId="7FB57813" w14:textId="75A02587">
      <w:pPr>
        <w:spacing w:before="0" w:beforeAutospacing="off" w:after="0" w:afterAutospacing="off"/>
      </w:pPr>
    </w:p>
    <w:p w:rsidR="2C275084" w:rsidP="3A3EFC00" w:rsidRDefault="2C275084" w14:paraId="7E271B56" w14:textId="49A350BC">
      <w:pPr>
        <w:spacing w:before="0" w:beforeAutospacing="off" w:after="0" w:afterAutospacing="off"/>
      </w:pPr>
    </w:p>
    <w:p w:rsidR="2C275084" w:rsidP="3A3EFC00" w:rsidRDefault="2C275084" w14:paraId="58043037" w14:textId="5F1F239C">
      <w:pPr>
        <w:spacing w:before="0" w:beforeAutospacing="off" w:after="0" w:afterAutospacing="off"/>
      </w:pPr>
      <w:r>
        <w:br/>
      </w:r>
    </w:p>
    <w:p w:rsidR="2C275084" w:rsidP="3A3EFC00" w:rsidRDefault="2C275084" w14:paraId="7FD10C0C" w14:textId="5FBEF749">
      <w:pPr>
        <w:spacing w:before="0" w:beforeAutospacing="off" w:after="0" w:afterAutospacing="off"/>
      </w:pPr>
      <w:r w:rsidRPr="3A3EFC00" w:rsidR="1D9C2C80">
        <w:rPr>
          <w:rFonts w:ascii="Calibri" w:hAnsi="Calibri" w:eastAsia="Calibri" w:cs="Calibri"/>
          <w:noProof w:val="0"/>
          <w:color w:val="0E101A"/>
          <w:sz w:val="22"/>
          <w:szCs w:val="22"/>
          <w:lang w:val="en-US"/>
        </w:rPr>
        <w:t>Case List</w:t>
      </w:r>
    </w:p>
    <w:p w:rsidR="2C275084" w:rsidP="3A3EFC00" w:rsidRDefault="2C275084" w14:paraId="1D02AE37" w14:textId="47358E49">
      <w:pPr>
        <w:spacing w:before="0" w:beforeAutospacing="off" w:after="0" w:afterAutospacing="off"/>
      </w:pPr>
      <w:r w:rsidRPr="3A3EFC00" w:rsidR="1D9C2C80">
        <w:rPr>
          <w:rFonts w:ascii="Calibri" w:hAnsi="Calibri" w:eastAsia="Calibri" w:cs="Calibri"/>
          <w:noProof w:val="0"/>
          <w:color w:val="0E101A"/>
          <w:sz w:val="22"/>
          <w:szCs w:val="22"/>
          <w:lang w:val="en-US"/>
        </w:rPr>
        <w:t xml:space="preserve"> White v. Beeks,2015(Justia,2015)</w:t>
      </w:r>
    </w:p>
    <w:p w:rsidR="2C275084" w:rsidP="3A3EFC00" w:rsidRDefault="2C275084" w14:paraId="6787DFD1" w14:textId="6AEFB0D4">
      <w:pPr>
        <w:spacing w:before="0" w:beforeAutospacing="off" w:after="0" w:afterAutospacing="off"/>
        <w:rPr>
          <w:rFonts w:ascii="Calibri" w:hAnsi="Calibri" w:eastAsia="Calibri" w:cs="Calibri"/>
          <w:noProof w:val="0"/>
          <w:color w:val="0E101A"/>
          <w:sz w:val="22"/>
          <w:szCs w:val="22"/>
          <w:lang w:val="en-US"/>
        </w:rPr>
      </w:pPr>
      <w:r w:rsidRPr="3A3EFC00" w:rsidR="1D9C2C80">
        <w:rPr>
          <w:rFonts w:ascii="Calibri" w:hAnsi="Calibri" w:eastAsia="Calibri" w:cs="Calibri"/>
          <w:noProof w:val="0"/>
          <w:color w:val="0E101A"/>
          <w:sz w:val="22"/>
          <w:szCs w:val="22"/>
          <w:lang w:val="en-US"/>
        </w:rPr>
        <w:t xml:space="preserve"> R v. Blaue,1975(</w:t>
      </w:r>
      <w:r w:rsidRPr="3A3EFC00" w:rsidR="7744CF28">
        <w:rPr>
          <w:rFonts w:ascii="Calibri" w:hAnsi="Calibri" w:eastAsia="Calibri" w:cs="Calibri"/>
          <w:noProof w:val="0"/>
          <w:color w:val="0E101A"/>
          <w:sz w:val="22"/>
          <w:szCs w:val="22"/>
          <w:lang w:val="en-US"/>
        </w:rPr>
        <w:t>Wortley,2021)</w:t>
      </w:r>
    </w:p>
    <w:p w:rsidR="2C275084" w:rsidP="3A3EFC00" w:rsidRDefault="2C275084" w14:paraId="58253BF0" w14:textId="4EC15C7C">
      <w:pPr>
        <w:spacing w:before="0" w:beforeAutospacing="off" w:after="0" w:afterAutospacing="off"/>
      </w:pPr>
      <w:r w:rsidRPr="3A3EFC00" w:rsidR="1D9C2C80">
        <w:rPr>
          <w:rFonts w:ascii="Calibri" w:hAnsi="Calibri" w:eastAsia="Calibri" w:cs="Calibri"/>
          <w:noProof w:val="0"/>
          <w:color w:val="0E101A"/>
          <w:sz w:val="22"/>
          <w:szCs w:val="22"/>
          <w:lang w:val="en-US"/>
        </w:rPr>
        <w:t xml:space="preserve">Wilson v Pringle </w:t>
      </w:r>
      <w:r w:rsidRPr="3A3EFC00" w:rsidR="2100EF77">
        <w:rPr>
          <w:rFonts w:ascii="Calibri" w:hAnsi="Calibri" w:eastAsia="Calibri" w:cs="Calibri"/>
          <w:noProof w:val="0"/>
          <w:color w:val="0E101A"/>
          <w:sz w:val="22"/>
          <w:szCs w:val="22"/>
          <w:lang w:val="en-US"/>
        </w:rPr>
        <w:t>,</w:t>
      </w:r>
      <w:r w:rsidRPr="3A3EFC00" w:rsidR="1D9C2C80">
        <w:rPr>
          <w:rFonts w:ascii="Calibri" w:hAnsi="Calibri" w:eastAsia="Calibri" w:cs="Calibri"/>
          <w:noProof w:val="0"/>
          <w:color w:val="0E101A"/>
          <w:sz w:val="22"/>
          <w:szCs w:val="22"/>
          <w:lang w:val="en-US"/>
        </w:rPr>
        <w:t>1987</w:t>
      </w:r>
      <w:r w:rsidRPr="3A3EFC00" w:rsidR="18F041BF">
        <w:rPr>
          <w:rFonts w:ascii="Calibri" w:hAnsi="Calibri" w:eastAsia="Calibri" w:cs="Calibri"/>
          <w:noProof w:val="0"/>
          <w:color w:val="0E101A"/>
          <w:sz w:val="22"/>
          <w:szCs w:val="22"/>
          <w:lang w:val="en-US"/>
        </w:rPr>
        <w:t>(Wortley,2023)</w:t>
      </w:r>
    </w:p>
    <w:p w:rsidR="2C275084" w:rsidP="3A3EFC00" w:rsidRDefault="2C275084" w14:paraId="32C48CC0" w14:textId="4F1D7FE4">
      <w:pPr>
        <w:spacing w:before="0" w:beforeAutospacing="off" w:after="0" w:afterAutospacing="off"/>
      </w:pPr>
      <w:r w:rsidRPr="3A3EFC00" w:rsidR="1D9C2C80">
        <w:rPr>
          <w:rFonts w:ascii="Calibri" w:hAnsi="Calibri" w:eastAsia="Calibri" w:cs="Calibri"/>
          <w:noProof w:val="0"/>
          <w:color w:val="0E101A"/>
          <w:sz w:val="22"/>
          <w:szCs w:val="22"/>
          <w:lang w:val="en-US"/>
        </w:rPr>
        <w:t>R v. Donovan</w:t>
      </w:r>
      <w:r w:rsidRPr="3A3EFC00" w:rsidR="7ACDB375">
        <w:rPr>
          <w:rFonts w:ascii="Calibri" w:hAnsi="Calibri" w:eastAsia="Calibri" w:cs="Calibri"/>
          <w:noProof w:val="0"/>
          <w:color w:val="0E101A"/>
          <w:sz w:val="22"/>
          <w:szCs w:val="22"/>
          <w:lang w:val="en-US"/>
        </w:rPr>
        <w:t>,</w:t>
      </w:r>
      <w:r w:rsidRPr="3A3EFC00" w:rsidR="1D9C2C80">
        <w:rPr>
          <w:rFonts w:ascii="Calibri" w:hAnsi="Calibri" w:eastAsia="Calibri" w:cs="Calibri"/>
          <w:noProof w:val="0"/>
          <w:color w:val="0E101A"/>
          <w:sz w:val="22"/>
          <w:szCs w:val="22"/>
          <w:lang w:val="en-US"/>
        </w:rPr>
        <w:t xml:space="preserve"> 1934</w:t>
      </w:r>
      <w:r w:rsidRPr="3A3EFC00" w:rsidR="6D49042C">
        <w:rPr>
          <w:rFonts w:ascii="Calibri" w:hAnsi="Calibri" w:eastAsia="Calibri" w:cs="Calibri"/>
          <w:noProof w:val="0"/>
          <w:color w:val="0E101A"/>
          <w:sz w:val="22"/>
          <w:szCs w:val="22"/>
          <w:lang w:val="en-US"/>
        </w:rPr>
        <w:t>(Wortley,2023)</w:t>
      </w:r>
    </w:p>
    <w:p w:rsidR="2C275084" w:rsidP="3A3EFC00" w:rsidRDefault="2C275084" w14:paraId="4BD9E430" w14:textId="656D5516">
      <w:pPr>
        <w:spacing w:before="0" w:beforeAutospacing="off" w:after="0" w:afterAutospacing="off"/>
        <w:rPr>
          <w:rFonts w:ascii="Calibri" w:hAnsi="Calibri" w:eastAsia="Calibri" w:cs="Calibri"/>
          <w:noProof w:val="0"/>
          <w:color w:val="0E101A"/>
          <w:sz w:val="22"/>
          <w:szCs w:val="22"/>
          <w:lang w:val="en-US"/>
        </w:rPr>
      </w:pPr>
      <w:r w:rsidRPr="3A3EFC00" w:rsidR="1D9C2C80">
        <w:rPr>
          <w:rFonts w:ascii="Calibri" w:hAnsi="Calibri" w:eastAsia="Calibri" w:cs="Calibri"/>
          <w:noProof w:val="0"/>
          <w:color w:val="0E101A"/>
          <w:sz w:val="22"/>
          <w:szCs w:val="22"/>
          <w:lang w:val="en-US"/>
        </w:rPr>
        <w:t xml:space="preserve"> R v. Slingsby </w:t>
      </w:r>
      <w:r w:rsidRPr="3A3EFC00" w:rsidR="42F56A27">
        <w:rPr>
          <w:rFonts w:ascii="Calibri" w:hAnsi="Calibri" w:eastAsia="Calibri" w:cs="Calibri"/>
          <w:noProof w:val="0"/>
          <w:color w:val="0E101A"/>
          <w:sz w:val="22"/>
          <w:szCs w:val="22"/>
          <w:lang w:val="en-US"/>
        </w:rPr>
        <w:t>,</w:t>
      </w:r>
      <w:r w:rsidRPr="3A3EFC00" w:rsidR="1D9C2C80">
        <w:rPr>
          <w:rFonts w:ascii="Calibri" w:hAnsi="Calibri" w:eastAsia="Calibri" w:cs="Calibri"/>
          <w:noProof w:val="0"/>
          <w:color w:val="0E101A"/>
          <w:sz w:val="22"/>
          <w:szCs w:val="22"/>
          <w:lang w:val="en-US"/>
        </w:rPr>
        <w:t>1995</w:t>
      </w:r>
      <w:r w:rsidRPr="3A3EFC00" w:rsidR="6BA17C44">
        <w:rPr>
          <w:rFonts w:ascii="Calibri" w:hAnsi="Calibri" w:eastAsia="Calibri" w:cs="Calibri"/>
          <w:noProof w:val="0"/>
          <w:color w:val="0E101A"/>
          <w:sz w:val="22"/>
          <w:szCs w:val="22"/>
          <w:lang w:val="en-US"/>
        </w:rPr>
        <w:t>(Wortley,2023)</w:t>
      </w:r>
    </w:p>
    <w:p w:rsidR="2C275084" w:rsidP="3A3EFC00" w:rsidRDefault="2C275084" w14:paraId="364A195A" w14:textId="7E199776">
      <w:pPr>
        <w:spacing w:before="0" w:beforeAutospacing="off" w:after="0" w:afterAutospacing="off"/>
        <w:rPr>
          <w:rFonts w:ascii="Calibri" w:hAnsi="Calibri" w:eastAsia="Calibri" w:cs="Calibri"/>
          <w:noProof w:val="0"/>
          <w:color w:val="0E101A"/>
          <w:sz w:val="22"/>
          <w:szCs w:val="22"/>
          <w:lang w:val="en-US"/>
        </w:rPr>
      </w:pPr>
      <w:r w:rsidRPr="3A3EFC00" w:rsidR="1D9C2C80">
        <w:rPr>
          <w:rFonts w:ascii="Calibri" w:hAnsi="Calibri" w:eastAsia="Calibri" w:cs="Calibri"/>
          <w:noProof w:val="0"/>
          <w:color w:val="0E101A"/>
          <w:sz w:val="22"/>
          <w:szCs w:val="22"/>
          <w:lang w:val="en-US"/>
        </w:rPr>
        <w:t>R v. Barnes</w:t>
      </w:r>
      <w:r w:rsidRPr="3A3EFC00" w:rsidR="50B4DD7F">
        <w:rPr>
          <w:rFonts w:ascii="Calibri" w:hAnsi="Calibri" w:eastAsia="Calibri" w:cs="Calibri"/>
          <w:noProof w:val="0"/>
          <w:color w:val="0E101A"/>
          <w:sz w:val="22"/>
          <w:szCs w:val="22"/>
          <w:lang w:val="en-US"/>
        </w:rPr>
        <w:t>,</w:t>
      </w:r>
      <w:r w:rsidRPr="3A3EFC00" w:rsidR="1D9C2C80">
        <w:rPr>
          <w:rFonts w:ascii="Calibri" w:hAnsi="Calibri" w:eastAsia="Calibri" w:cs="Calibri"/>
          <w:noProof w:val="0"/>
          <w:color w:val="0E101A"/>
          <w:sz w:val="22"/>
          <w:szCs w:val="22"/>
          <w:lang w:val="en-US"/>
        </w:rPr>
        <w:t>2004</w:t>
      </w:r>
      <w:r w:rsidRPr="3A3EFC00" w:rsidR="141D4FA1">
        <w:rPr>
          <w:rFonts w:ascii="Calibri" w:hAnsi="Calibri" w:eastAsia="Calibri" w:cs="Calibri"/>
          <w:noProof w:val="0"/>
          <w:color w:val="0E101A"/>
          <w:sz w:val="22"/>
          <w:szCs w:val="22"/>
          <w:lang w:val="en-US"/>
        </w:rPr>
        <w:t>(Wortley,2023)</w:t>
      </w:r>
    </w:p>
    <w:p w:rsidR="2C275084" w:rsidP="3A3EFC00" w:rsidRDefault="2C275084" w14:paraId="4CADE95D" w14:textId="7C66E6CD">
      <w:pPr>
        <w:spacing w:before="0" w:beforeAutospacing="off" w:after="0" w:afterAutospacing="off"/>
        <w:rPr>
          <w:rFonts w:ascii="Calibri" w:hAnsi="Calibri" w:eastAsia="Calibri" w:cs="Calibri"/>
          <w:noProof w:val="0"/>
          <w:color w:val="0E101A"/>
          <w:sz w:val="22"/>
          <w:szCs w:val="22"/>
          <w:lang w:val="en-US"/>
        </w:rPr>
      </w:pPr>
      <w:r w:rsidRPr="3A3EFC00" w:rsidR="1D9C2C80">
        <w:rPr>
          <w:rFonts w:ascii="Calibri" w:hAnsi="Calibri" w:eastAsia="Calibri" w:cs="Calibri"/>
          <w:noProof w:val="0"/>
          <w:color w:val="0E101A"/>
          <w:sz w:val="22"/>
          <w:szCs w:val="22"/>
          <w:lang w:val="en-US"/>
        </w:rPr>
        <w:t xml:space="preserve">R v. </w:t>
      </w:r>
      <w:r w:rsidRPr="3A3EFC00" w:rsidR="1D9C2C80">
        <w:rPr>
          <w:rFonts w:ascii="Calibri" w:hAnsi="Calibri" w:eastAsia="Calibri" w:cs="Calibri"/>
          <w:noProof w:val="0"/>
          <w:color w:val="0E101A"/>
          <w:sz w:val="22"/>
          <w:szCs w:val="22"/>
          <w:lang w:val="en-US"/>
        </w:rPr>
        <w:t>Olugboja</w:t>
      </w:r>
      <w:r w:rsidRPr="3A3EFC00" w:rsidR="1D9C2C80">
        <w:rPr>
          <w:rFonts w:ascii="Calibri" w:hAnsi="Calibri" w:eastAsia="Calibri" w:cs="Calibri"/>
          <w:noProof w:val="0"/>
          <w:color w:val="0E101A"/>
          <w:sz w:val="22"/>
          <w:szCs w:val="22"/>
          <w:lang w:val="en-US"/>
        </w:rPr>
        <w:t xml:space="preserve"> </w:t>
      </w:r>
      <w:r w:rsidRPr="3A3EFC00" w:rsidR="4A63DDFA">
        <w:rPr>
          <w:rFonts w:ascii="Calibri" w:hAnsi="Calibri" w:eastAsia="Calibri" w:cs="Calibri"/>
          <w:noProof w:val="0"/>
          <w:color w:val="0E101A"/>
          <w:sz w:val="22"/>
          <w:szCs w:val="22"/>
          <w:lang w:val="en-US"/>
        </w:rPr>
        <w:t>,</w:t>
      </w:r>
      <w:r w:rsidRPr="3A3EFC00" w:rsidR="1D9C2C80">
        <w:rPr>
          <w:rFonts w:ascii="Calibri" w:hAnsi="Calibri" w:eastAsia="Calibri" w:cs="Calibri"/>
          <w:noProof w:val="0"/>
          <w:color w:val="0E101A"/>
          <w:sz w:val="22"/>
          <w:szCs w:val="22"/>
          <w:lang w:val="en-US"/>
        </w:rPr>
        <w:t>1982</w:t>
      </w:r>
      <w:r w:rsidRPr="3A3EFC00" w:rsidR="4FDBB231">
        <w:rPr>
          <w:rFonts w:ascii="Calibri" w:hAnsi="Calibri" w:eastAsia="Calibri" w:cs="Calibri"/>
          <w:noProof w:val="0"/>
          <w:color w:val="0E101A"/>
          <w:sz w:val="22"/>
          <w:szCs w:val="22"/>
          <w:lang w:val="en-US"/>
        </w:rPr>
        <w:t>(Wortley,2023)</w:t>
      </w:r>
    </w:p>
    <w:p w:rsidR="2C275084" w:rsidP="3A3EFC00" w:rsidRDefault="2C275084" w14:paraId="22B3B560" w14:textId="29FE7A1E">
      <w:pPr>
        <w:spacing w:before="0" w:beforeAutospacing="off" w:after="0" w:afterAutospacing="off"/>
      </w:pPr>
      <w:r w:rsidRPr="3A3EFC00" w:rsidR="1D9C2C80">
        <w:rPr>
          <w:rFonts w:ascii="Calibri" w:hAnsi="Calibri" w:eastAsia="Calibri" w:cs="Calibri"/>
          <w:noProof w:val="0"/>
          <w:color w:val="0E101A"/>
          <w:sz w:val="22"/>
          <w:szCs w:val="22"/>
          <w:lang w:val="en-US"/>
        </w:rPr>
        <w:t>R v. William H. Cosby, Jr.,( 1969)</w:t>
      </w:r>
    </w:p>
    <w:p w:rsidR="2C275084" w:rsidP="3A3EFC00" w:rsidRDefault="2C275084" w14:paraId="757817F5" w14:textId="3AA26BF2">
      <w:pPr>
        <w:spacing w:before="0" w:beforeAutospacing="off" w:after="0" w:afterAutospacing="off"/>
      </w:pPr>
      <w:r>
        <w:br/>
      </w:r>
    </w:p>
    <w:p w:rsidR="2C275084" w:rsidP="3A3EFC00" w:rsidRDefault="2C275084" w14:paraId="5F7D6A70" w14:textId="643EC8B2">
      <w:pPr>
        <w:pStyle w:val="Normalny"/>
        <w:spacing w:after="160" w:line="259" w:lineRule="auto"/>
        <w:rPr>
          <w:rFonts w:ascii="Calibri" w:hAnsi="Calibri" w:eastAsia="Calibri" w:cs="Calibri"/>
          <w:b w:val="0"/>
          <w:bCs w:val="0"/>
          <w:i w:val="0"/>
          <w:iCs w:val="0"/>
          <w:caps w:val="0"/>
          <w:smallCaps w:val="0"/>
          <w:noProof w:val="0"/>
          <w:color w:val="0070C0"/>
          <w:sz w:val="28"/>
          <w:szCs w:val="28"/>
          <w:lang w:val="en-US"/>
        </w:rPr>
      </w:pPr>
    </w:p>
    <w:p w:rsidR="2C275084" w:rsidP="3A3EFC00" w:rsidRDefault="2C275084" w14:paraId="63BD4121" w14:textId="1A7AF2A5">
      <w:pPr>
        <w:pStyle w:val="Normalny"/>
        <w:spacing w:before="0" w:beforeAutospacing="off" w:after="0" w:afterAutospacing="off"/>
      </w:pPr>
    </w:p>
    <w:p w:rsidR="2C275084" w:rsidP="3A3EFC00" w:rsidRDefault="2C275084" w14:paraId="377813DF" w14:textId="6F5495E5">
      <w:pPr>
        <w:pStyle w:val="Normalny"/>
        <w:spacing w:before="0" w:beforeAutospacing="off" w:after="0" w:afterAutospacing="off"/>
      </w:pPr>
    </w:p>
    <w:p w:rsidR="2C275084" w:rsidP="3A3EFC00" w:rsidRDefault="2C275084" w14:paraId="355D89F2" w14:textId="605959C6">
      <w:pPr>
        <w:spacing w:before="0" w:beforeAutospacing="off" w:after="0" w:afterAutospacing="off"/>
      </w:pPr>
      <w:r w:rsidRPr="3A3EFC00" w:rsidR="1D9C2C80">
        <w:rPr>
          <w:rFonts w:ascii="Calibri" w:hAnsi="Calibri" w:eastAsia="Calibri" w:cs="Calibri"/>
          <w:noProof w:val="0"/>
          <w:color w:val="0E101A"/>
          <w:sz w:val="22"/>
          <w:szCs w:val="22"/>
          <w:lang w:val="en-US"/>
        </w:rPr>
        <w:t>Reference List</w:t>
      </w:r>
    </w:p>
    <w:p w:rsidR="2C275084" w:rsidP="3A3EFC00" w:rsidRDefault="2C275084" w14:paraId="2819E089" w14:textId="24642CAC">
      <w:pPr>
        <w:pStyle w:val="Normalny"/>
        <w:spacing w:before="0" w:beforeAutospacing="off" w:after="0" w:afterAutospacing="off"/>
        <w:rPr>
          <w:rFonts w:ascii="Calibri" w:hAnsi="Calibri" w:eastAsia="Calibri" w:cs="Calibri"/>
          <w:noProof w:val="0"/>
          <w:color w:val="0E101A"/>
          <w:sz w:val="22"/>
          <w:szCs w:val="22"/>
          <w:lang w:val="en-US"/>
        </w:rPr>
      </w:pPr>
    </w:p>
    <w:p w:rsidR="2C275084" w:rsidP="2C275084" w:rsidRDefault="2C275084" w14:paraId="2471E1A2" w14:textId="4571FB63">
      <w:pPr/>
      <w:r w:rsidRPr="3A3EFC00" w:rsidR="7C342963">
        <w:rPr>
          <w:rFonts w:ascii="Calibri" w:hAnsi="Calibri" w:eastAsia="Calibri" w:cs="Calibri"/>
          <w:noProof w:val="0"/>
          <w:sz w:val="22"/>
          <w:szCs w:val="22"/>
          <w:lang w:val="en-US"/>
        </w:rPr>
        <w:t xml:space="preserve">Andrea Constand v. William H. Cosby, Jr. - Wikipedia. 2015. Available at: </w:t>
      </w:r>
      <w:hyperlink r:id="R5a0d1ab911bb4bca">
        <w:r w:rsidRPr="3A3EFC00" w:rsidR="7C342963">
          <w:rPr>
            <w:rStyle w:val="Hipercze"/>
            <w:rFonts w:ascii="Calibri" w:hAnsi="Calibri" w:eastAsia="Calibri" w:cs="Calibri"/>
            <w:noProof w:val="0"/>
            <w:sz w:val="22"/>
            <w:szCs w:val="22"/>
            <w:lang w:val="en-US"/>
          </w:rPr>
          <w:t>https://en.wikipedia.org/wiki/Andrea_Constand_v._William_H._Cosby,_Jr</w:t>
        </w:r>
      </w:hyperlink>
      <w:r w:rsidRPr="3A3EFC00" w:rsidR="7C342963">
        <w:rPr>
          <w:rFonts w:ascii="Calibri" w:hAnsi="Calibri" w:eastAsia="Calibri" w:cs="Calibri"/>
          <w:noProof w:val="0"/>
          <w:sz w:val="22"/>
          <w:szCs w:val="22"/>
          <w:lang w:val="en-US"/>
        </w:rPr>
        <w:t>. (Accessed November 10,2023).</w:t>
      </w:r>
    </w:p>
    <w:p w:rsidR="2C275084" w:rsidP="2C275084" w:rsidRDefault="2C275084" w14:paraId="649EA820" w14:textId="509FB78A">
      <w:pPr/>
      <w:r w:rsidRPr="3A3EFC00" w:rsidR="0DEB11A9">
        <w:rPr>
          <w:rFonts w:ascii="Calibri" w:hAnsi="Calibri" w:eastAsia="Calibri" w:cs="Calibri"/>
          <w:noProof w:val="0"/>
          <w:sz w:val="22"/>
          <w:szCs w:val="22"/>
          <w:lang w:val="en-US"/>
        </w:rPr>
        <w:t>Barret (2018</w:t>
      </w:r>
      <w:r w:rsidRPr="3A3EFC00" w:rsidR="0DEB11A9">
        <w:rPr>
          <w:rFonts w:ascii="Calibri" w:hAnsi="Calibri" w:eastAsia="Calibri" w:cs="Calibri"/>
          <w:noProof w:val="0"/>
          <w:sz w:val="22"/>
          <w:szCs w:val="22"/>
          <w:lang w:val="en-US"/>
        </w:rPr>
        <w:t>).Why</w:t>
      </w:r>
      <w:r w:rsidRPr="3A3EFC00" w:rsidR="0DEB11A9">
        <w:rPr>
          <w:rFonts w:ascii="Calibri" w:hAnsi="Calibri" w:eastAsia="Calibri" w:cs="Calibri"/>
          <w:noProof w:val="0"/>
          <w:sz w:val="22"/>
          <w:szCs w:val="22"/>
          <w:lang w:val="en-US"/>
        </w:rPr>
        <w:t xml:space="preserve"> Men Need to Stop Relying on Non-Verbal Consent. Available at: </w:t>
      </w:r>
      <w:hyperlink r:id="Rf4e9eddafc7d4341">
        <w:r w:rsidRPr="3A3EFC00" w:rsidR="0DEB11A9">
          <w:rPr>
            <w:rStyle w:val="Hipercze"/>
            <w:rFonts w:ascii="Calibri" w:hAnsi="Calibri" w:eastAsia="Calibri" w:cs="Calibri"/>
            <w:noProof w:val="0"/>
            <w:sz w:val="22"/>
            <w:szCs w:val="22"/>
            <w:lang w:val="en-US"/>
          </w:rPr>
          <w:t>https://time.com/5274505/metoo-verbal-nonverbal-consent-cosby-schneiderman/</w:t>
        </w:r>
      </w:hyperlink>
      <w:r w:rsidRPr="3A3EFC00" w:rsidR="0DEB11A9">
        <w:rPr>
          <w:rFonts w:ascii="Calibri" w:hAnsi="Calibri" w:eastAsia="Calibri" w:cs="Calibri"/>
          <w:noProof w:val="0"/>
          <w:sz w:val="22"/>
          <w:szCs w:val="22"/>
          <w:lang w:val="en-US"/>
        </w:rPr>
        <w:t xml:space="preserve">. (Accessed </w:t>
      </w:r>
      <w:r w:rsidRPr="3A3EFC00" w:rsidR="06F29417">
        <w:rPr>
          <w:rFonts w:ascii="Calibri" w:hAnsi="Calibri" w:eastAsia="Calibri" w:cs="Calibri"/>
          <w:noProof w:val="0"/>
          <w:sz w:val="22"/>
          <w:szCs w:val="22"/>
          <w:lang w:val="en-US"/>
        </w:rPr>
        <w:t>November</w:t>
      </w:r>
      <w:r w:rsidRPr="3A3EFC00" w:rsidR="0DEB11A9">
        <w:rPr>
          <w:rFonts w:ascii="Calibri" w:hAnsi="Calibri" w:eastAsia="Calibri" w:cs="Calibri"/>
          <w:noProof w:val="0"/>
          <w:sz w:val="22"/>
          <w:szCs w:val="22"/>
          <w:lang w:val="en-US"/>
        </w:rPr>
        <w:t xml:space="preserve"> 10,2023).</w:t>
      </w:r>
    </w:p>
    <w:p w:rsidR="2C275084" w:rsidP="2C275084" w:rsidRDefault="2C275084" w14:paraId="29023A87" w14:textId="68F26F56">
      <w:pPr/>
      <w:r w:rsidRPr="3A3EFC00" w:rsidR="241F2207">
        <w:rPr>
          <w:rFonts w:ascii="Source Sans Pro" w:hAnsi="Source Sans Pro" w:eastAsia="Source Sans Pro" w:cs="Source Sans Pro"/>
          <w:noProof w:val="0"/>
          <w:sz w:val="22"/>
          <w:szCs w:val="22"/>
          <w:lang w:val="en-US"/>
        </w:rPr>
        <w:t>Beyleveld</w:t>
      </w:r>
      <w:r w:rsidRPr="3A3EFC00" w:rsidR="5066DFB5">
        <w:rPr>
          <w:rFonts w:ascii="Source Sans Pro" w:hAnsi="Source Sans Pro" w:eastAsia="Source Sans Pro" w:cs="Source Sans Pro"/>
          <w:noProof w:val="0"/>
          <w:sz w:val="22"/>
          <w:szCs w:val="22"/>
          <w:lang w:val="en-US"/>
        </w:rPr>
        <w:t xml:space="preserve"> </w:t>
      </w:r>
      <w:r w:rsidRPr="3A3EFC00" w:rsidR="5066DFB5">
        <w:rPr>
          <w:rFonts w:ascii="Source Sans Pro" w:hAnsi="Source Sans Pro" w:eastAsia="Source Sans Pro" w:cs="Source Sans Pro"/>
          <w:noProof w:val="0"/>
          <w:sz w:val="22"/>
          <w:szCs w:val="22"/>
          <w:lang w:val="en-US"/>
        </w:rPr>
        <w:t>Deryck</w:t>
      </w:r>
      <w:r w:rsidRPr="3A3EFC00" w:rsidR="241F2207">
        <w:rPr>
          <w:rFonts w:ascii="Source Sans Pro" w:hAnsi="Source Sans Pro" w:eastAsia="Source Sans Pro" w:cs="Source Sans Pro"/>
          <w:noProof w:val="0"/>
          <w:sz w:val="22"/>
          <w:szCs w:val="22"/>
          <w:lang w:val="en-US"/>
        </w:rPr>
        <w:t>,Roger</w:t>
      </w:r>
      <w:r w:rsidRPr="3A3EFC00" w:rsidR="241F2207">
        <w:rPr>
          <w:rFonts w:ascii="Source Sans Pro" w:hAnsi="Source Sans Pro" w:eastAsia="Source Sans Pro" w:cs="Source Sans Pro"/>
          <w:noProof w:val="0"/>
          <w:sz w:val="22"/>
          <w:szCs w:val="22"/>
          <w:lang w:val="en-US"/>
        </w:rPr>
        <w:t xml:space="preserve"> Brownsword</w:t>
      </w:r>
      <w:r w:rsidRPr="3A3EFC00" w:rsidR="13742E99">
        <w:rPr>
          <w:rFonts w:ascii="Source Sans Pro" w:hAnsi="Source Sans Pro" w:eastAsia="Source Sans Pro" w:cs="Source Sans Pro"/>
          <w:noProof w:val="0"/>
          <w:sz w:val="22"/>
          <w:szCs w:val="22"/>
          <w:lang w:val="en-US"/>
        </w:rPr>
        <w:t xml:space="preserve"> </w:t>
      </w:r>
      <w:r w:rsidRPr="3A3EFC00" w:rsidR="241F2207">
        <w:rPr>
          <w:rFonts w:ascii="Source Sans Pro" w:hAnsi="Source Sans Pro" w:eastAsia="Source Sans Pro" w:cs="Source Sans Pro"/>
          <w:noProof w:val="0"/>
          <w:sz w:val="22"/>
          <w:szCs w:val="22"/>
          <w:lang w:val="en-US"/>
        </w:rPr>
        <w:t>(2007).</w:t>
      </w:r>
      <w:r w:rsidRPr="3A3EFC00" w:rsidR="0339177E">
        <w:rPr>
          <w:rFonts w:ascii="Source Sans Pro" w:hAnsi="Source Sans Pro" w:eastAsia="Source Sans Pro" w:cs="Source Sans Pro"/>
          <w:noProof w:val="0"/>
          <w:sz w:val="22"/>
          <w:szCs w:val="22"/>
          <w:lang w:val="en-US"/>
        </w:rPr>
        <w:t xml:space="preserve"> </w:t>
      </w:r>
      <w:r w:rsidRPr="3A3EFC00" w:rsidR="029140E3">
        <w:rPr>
          <w:rFonts w:ascii="Source Sans Pro" w:hAnsi="Source Sans Pro" w:eastAsia="Source Sans Pro" w:cs="Source Sans Pro"/>
          <w:noProof w:val="0"/>
          <w:sz w:val="22"/>
          <w:szCs w:val="22"/>
          <w:lang w:val="en-US"/>
        </w:rPr>
        <w:t>Consent in the La</w:t>
      </w:r>
      <w:r w:rsidRPr="3A3EFC00" w:rsidR="4D24A286">
        <w:rPr>
          <w:rFonts w:ascii="Source Sans Pro" w:hAnsi="Source Sans Pro" w:eastAsia="Source Sans Pro" w:cs="Source Sans Pro"/>
          <w:noProof w:val="0"/>
          <w:sz w:val="22"/>
          <w:szCs w:val="22"/>
          <w:lang w:val="en-US"/>
        </w:rPr>
        <w:t>w</w:t>
      </w:r>
      <w:r w:rsidRPr="3A3EFC00" w:rsidR="7AB56B3F">
        <w:rPr>
          <w:rFonts w:ascii="Source Sans Pro" w:hAnsi="Source Sans Pro" w:eastAsia="Source Sans Pro" w:cs="Source Sans Pro"/>
          <w:noProof w:val="0"/>
          <w:sz w:val="22"/>
          <w:szCs w:val="22"/>
          <w:lang w:val="en-US"/>
        </w:rPr>
        <w:t xml:space="preserve">. Available at: </w:t>
      </w:r>
      <w:hyperlink r:id="R9660ef9beac347f0">
        <w:r w:rsidRPr="3A3EFC00" w:rsidR="7AB56B3F">
          <w:rPr>
            <w:rStyle w:val="Hipercze"/>
            <w:rFonts w:ascii="Source Sans Pro" w:hAnsi="Source Sans Pro" w:eastAsia="Source Sans Pro" w:cs="Source Sans Pro"/>
            <w:noProof w:val="0"/>
            <w:sz w:val="22"/>
            <w:szCs w:val="22"/>
            <w:lang w:val="en-US"/>
          </w:rPr>
          <w:t>https://books.google.com/books/about/Consent_in_the_Law.html?id=auDbBAAAQBAJ</w:t>
        </w:r>
      </w:hyperlink>
      <w:r w:rsidRPr="3A3EFC00" w:rsidR="7AB56B3F">
        <w:rPr>
          <w:rFonts w:ascii="Source Sans Pro" w:hAnsi="Source Sans Pro" w:eastAsia="Source Sans Pro" w:cs="Source Sans Pro"/>
          <w:noProof w:val="0"/>
          <w:sz w:val="22"/>
          <w:szCs w:val="22"/>
          <w:lang w:val="en-US"/>
        </w:rPr>
        <w:t xml:space="preserve">. </w:t>
      </w:r>
      <w:r w:rsidRPr="3A3EFC00" w:rsidR="0ED3964B">
        <w:rPr>
          <w:rFonts w:ascii="Source Sans Pro" w:hAnsi="Source Sans Pro" w:eastAsia="Source Sans Pro" w:cs="Source Sans Pro"/>
          <w:noProof w:val="0"/>
          <w:sz w:val="22"/>
          <w:szCs w:val="22"/>
          <w:lang w:val="en-US"/>
        </w:rPr>
        <w:t>(</w:t>
      </w:r>
      <w:r w:rsidRPr="3A3EFC00" w:rsidR="029140E3">
        <w:rPr>
          <w:rFonts w:ascii="Source Sans Pro" w:hAnsi="Source Sans Pro" w:eastAsia="Source Sans Pro" w:cs="Source Sans Pro"/>
          <w:noProof w:val="0"/>
          <w:sz w:val="22"/>
          <w:szCs w:val="22"/>
          <w:lang w:val="en-US"/>
        </w:rPr>
        <w:t xml:space="preserve">Accessed </w:t>
      </w:r>
      <w:r w:rsidRPr="3A3EFC00" w:rsidR="5AFD3FEF">
        <w:rPr>
          <w:rFonts w:ascii="Source Sans Pro" w:hAnsi="Source Sans Pro" w:eastAsia="Source Sans Pro" w:cs="Source Sans Pro"/>
          <w:noProof w:val="0"/>
          <w:sz w:val="22"/>
          <w:szCs w:val="22"/>
          <w:lang w:val="en-US"/>
        </w:rPr>
        <w:t>November</w:t>
      </w:r>
      <w:r w:rsidRPr="3A3EFC00" w:rsidR="61667E9E">
        <w:rPr>
          <w:rFonts w:ascii="Source Sans Pro" w:hAnsi="Source Sans Pro" w:eastAsia="Source Sans Pro" w:cs="Source Sans Pro"/>
          <w:noProof w:val="0"/>
          <w:sz w:val="22"/>
          <w:szCs w:val="22"/>
          <w:lang w:val="en-US"/>
        </w:rPr>
        <w:t xml:space="preserve"> 10,2023).</w:t>
      </w:r>
    </w:p>
    <w:p w:rsidR="2C275084" w:rsidP="3A3EFC00" w:rsidRDefault="2C275084" w14:paraId="13D206A9" w14:textId="7A203B4A">
      <w:pPr>
        <w:pStyle w:val="Normalny"/>
      </w:pPr>
      <w:r w:rsidRPr="3A3EFC00" w:rsidR="0542CB86">
        <w:rPr>
          <w:rFonts w:ascii="Calibri" w:hAnsi="Calibri" w:eastAsia="Calibri" w:cs="Calibri"/>
          <w:noProof w:val="0"/>
          <w:sz w:val="22"/>
          <w:szCs w:val="22"/>
          <w:lang w:val="en-US"/>
        </w:rPr>
        <w:t xml:space="preserve">Bill Cosby accused of drugging and sexually assaulting woman in 1969. 2023. Available at: </w:t>
      </w:r>
      <w:hyperlink r:id="R16a28aa851e64efb">
        <w:r w:rsidRPr="3A3EFC00" w:rsidR="0542CB86">
          <w:rPr>
            <w:rStyle w:val="Hipercze"/>
            <w:rFonts w:ascii="Calibri" w:hAnsi="Calibri" w:eastAsia="Calibri" w:cs="Calibri"/>
            <w:noProof w:val="0"/>
            <w:sz w:val="22"/>
            <w:szCs w:val="22"/>
            <w:lang w:val="en-US"/>
          </w:rPr>
          <w:t>https://www.theguardian.com/world/2023/jun/01/bill-cosby-lawsuit-sexual-assault</w:t>
        </w:r>
      </w:hyperlink>
      <w:r w:rsidRPr="3A3EFC00" w:rsidR="0542CB86">
        <w:rPr>
          <w:rFonts w:ascii="Calibri" w:hAnsi="Calibri" w:eastAsia="Calibri" w:cs="Calibri"/>
          <w:noProof w:val="0"/>
          <w:sz w:val="22"/>
          <w:szCs w:val="22"/>
          <w:lang w:val="en-US"/>
        </w:rPr>
        <w:t>. (Accessed November 10,2023).</w:t>
      </w:r>
    </w:p>
    <w:p w:rsidR="2C275084" w:rsidP="3A3EFC00" w:rsidRDefault="2C275084" w14:paraId="7AD9A9C3" w14:textId="0A61816C">
      <w:pPr>
        <w:pStyle w:val="Normalny"/>
        <w:rPr>
          <w:rFonts w:ascii="Calibri" w:hAnsi="Calibri" w:eastAsia="Calibri" w:cs="Calibri"/>
        </w:rPr>
      </w:pPr>
      <w:r w:rsidRPr="3A3EFC00" w:rsidR="6F61D2B0">
        <w:rPr>
          <w:rFonts w:ascii="Source Sans Pro" w:hAnsi="Source Sans Pro" w:eastAsia="Source Sans Pro" w:cs="Source Sans Pro"/>
          <w:color w:val="2A2A2A"/>
        </w:rPr>
        <w:t>Candilis</w:t>
      </w:r>
      <w:r w:rsidRPr="3A3EFC00" w:rsidR="6F61D2B0">
        <w:rPr>
          <w:rFonts w:ascii="Source Sans Pro" w:hAnsi="Source Sans Pro" w:eastAsia="Source Sans Pro" w:cs="Source Sans Pro"/>
          <w:color w:val="2A2A2A"/>
        </w:rPr>
        <w:t xml:space="preserve"> (2010)., Philip J., and Charles W. </w:t>
      </w:r>
      <w:r w:rsidRPr="3A3EFC00" w:rsidR="6F61D2B0">
        <w:rPr>
          <w:rFonts w:ascii="Source Sans Pro" w:hAnsi="Source Sans Pro" w:eastAsia="Source Sans Pro" w:cs="Source Sans Pro"/>
          <w:color w:val="2A2A2A"/>
        </w:rPr>
        <w:t>Lidz</w:t>
      </w:r>
      <w:r w:rsidRPr="3A3EFC00" w:rsidR="6F61D2B0">
        <w:rPr>
          <w:rFonts w:ascii="Source Sans Pro" w:hAnsi="Source Sans Pro" w:eastAsia="Source Sans Pro" w:cs="Source Sans Pro"/>
          <w:color w:val="2A2A2A"/>
        </w:rPr>
        <w:t xml:space="preserve">, '13 Advances in Informed Consent Research', in Franklin Miller, and Alan Wertheimer (eds), </w:t>
      </w:r>
      <w:r w:rsidRPr="3A3EFC00" w:rsidR="6F61D2B0">
        <w:rPr>
          <w:rFonts w:ascii="Source Sans Pro" w:hAnsi="Source Sans Pro" w:eastAsia="Source Sans Pro" w:cs="Source Sans Pro"/>
          <w:i w:val="1"/>
          <w:iCs w:val="1"/>
          <w:color w:val="2A2A2A"/>
        </w:rPr>
        <w:t>The Ethics of Consent: Theory and Practice</w:t>
      </w:r>
      <w:r w:rsidRPr="3A3EFC00" w:rsidR="6F61D2B0">
        <w:rPr>
          <w:rFonts w:ascii="Source Sans Pro" w:hAnsi="Source Sans Pro" w:eastAsia="Source Sans Pro" w:cs="Source Sans Pro"/>
          <w:color w:val="2A2A2A"/>
        </w:rPr>
        <w:t xml:space="preserve"> (New York, 2009; online </w:t>
      </w:r>
      <w:r w:rsidRPr="3A3EFC00" w:rsidR="6F61D2B0">
        <w:rPr>
          <w:rFonts w:ascii="Source Sans Pro" w:hAnsi="Source Sans Pro" w:eastAsia="Source Sans Pro" w:cs="Source Sans Pro"/>
          <w:color w:val="2A2A2A"/>
        </w:rPr>
        <w:t>edn</w:t>
      </w:r>
      <w:r w:rsidRPr="3A3EFC00" w:rsidR="6F61D2B0">
        <w:rPr>
          <w:rFonts w:ascii="Source Sans Pro" w:hAnsi="Source Sans Pro" w:eastAsia="Source Sans Pro" w:cs="Source Sans Pro"/>
          <w:color w:val="2A2A2A"/>
        </w:rPr>
        <w:t xml:space="preserve">, Oxford Academic, 1 Feb. 2010), </w:t>
      </w:r>
      <w:hyperlink r:id="R886010aa77d9432c">
        <w:r w:rsidRPr="3A3EFC00" w:rsidR="6F61D2B0">
          <w:rPr>
            <w:rStyle w:val="Hipercze"/>
            <w:rFonts w:ascii="Source Sans Pro" w:hAnsi="Source Sans Pro" w:eastAsia="Source Sans Pro" w:cs="Source Sans Pro"/>
            <w:color w:val="006FB7"/>
            <w:u w:val="none"/>
          </w:rPr>
          <w:t>https://doi.org/10.1093/acprof:oso/9780195335149.003.0013</w:t>
        </w:r>
      </w:hyperlink>
      <w:r w:rsidRPr="3A3EFC00" w:rsidR="6F61D2B0">
        <w:rPr>
          <w:rFonts w:ascii="Source Sans Pro" w:hAnsi="Source Sans Pro" w:eastAsia="Source Sans Pro" w:cs="Source Sans Pro"/>
          <w:color w:val="2A2A2A"/>
        </w:rPr>
        <w:t>, (</w:t>
      </w:r>
      <w:r w:rsidRPr="3A3EFC00" w:rsidR="6F61D2B0">
        <w:rPr>
          <w:rFonts w:ascii="Source Sans Pro" w:hAnsi="Source Sans Pro" w:eastAsia="Source Sans Pro" w:cs="Source Sans Pro"/>
          <w:color w:val="2A2A2A"/>
        </w:rPr>
        <w:t>Accessed 30 Oct.</w:t>
      </w:r>
      <w:r w:rsidRPr="3A3EFC00" w:rsidR="6F61D2B0">
        <w:rPr>
          <w:rFonts w:ascii="Source Sans Pro" w:hAnsi="Source Sans Pro" w:eastAsia="Source Sans Pro" w:cs="Source Sans Pro"/>
          <w:color w:val="2A2A2A"/>
        </w:rPr>
        <w:t xml:space="preserve"> 2023).</w:t>
      </w:r>
    </w:p>
    <w:p w:rsidR="2C275084" w:rsidP="3A3EFC00" w:rsidRDefault="2C275084" w14:paraId="2C8E6BF9" w14:textId="021F78C6">
      <w:pPr>
        <w:pStyle w:val="Normalny"/>
        <w:rPr>
          <w:rFonts w:ascii="Source Sans Pro" w:hAnsi="Source Sans Pro" w:eastAsia="Source Sans Pro" w:cs="Source Sans Pro"/>
          <w:noProof w:val="0"/>
          <w:sz w:val="22"/>
          <w:szCs w:val="22"/>
          <w:lang w:val="en-US"/>
        </w:rPr>
      </w:pPr>
    </w:p>
    <w:p w:rsidR="2C275084" w:rsidP="3A3EFC00" w:rsidRDefault="2C275084" w14:paraId="21C664FD" w14:textId="581529E7">
      <w:pPr>
        <w:pStyle w:val="Normalny"/>
        <w:spacing w:before="0" w:beforeAutospacing="off" w:after="0" w:afterAutospacing="off"/>
        <w:rPr>
          <w:rFonts w:ascii="Source Sans Pro" w:hAnsi="Source Sans Pro" w:eastAsia="Source Sans Pro" w:cs="Source Sans Pro"/>
          <w:noProof w:val="0"/>
          <w:sz w:val="22"/>
          <w:szCs w:val="22"/>
          <w:lang w:val="en-US"/>
        </w:rPr>
      </w:pPr>
      <w:r w:rsidRPr="3A3EFC00" w:rsidR="36B1C23A">
        <w:rPr>
          <w:rFonts w:ascii="Source Sans Pro" w:hAnsi="Source Sans Pro" w:eastAsia="Source Sans Pro" w:cs="Source Sans Pro"/>
          <w:noProof w:val="0"/>
          <w:sz w:val="22"/>
          <w:szCs w:val="22"/>
          <w:lang w:val="en-US"/>
        </w:rPr>
        <w:t xml:space="preserve">Chisholm, N. 2020. English Law of Assault and Battery: Outline and Case Summaries. Available at: </w:t>
      </w:r>
      <w:hyperlink r:id="Ra3fd3d400aa147bb">
        <w:r w:rsidRPr="3A3EFC00" w:rsidR="36B1C23A">
          <w:rPr>
            <w:rStyle w:val="Hipercze"/>
            <w:rFonts w:ascii="Source Sans Pro" w:hAnsi="Source Sans Pro" w:eastAsia="Source Sans Pro" w:cs="Source Sans Pro"/>
            <w:noProof w:val="0"/>
            <w:sz w:val="22"/>
            <w:szCs w:val="22"/>
            <w:lang w:val="en-US"/>
          </w:rPr>
          <w:t>https://papers.ssrn.com/sol3/papers.cfm?abstract_id=3705763</w:t>
        </w:r>
      </w:hyperlink>
      <w:r w:rsidRPr="3A3EFC00" w:rsidR="36B1C23A">
        <w:rPr>
          <w:rFonts w:ascii="Source Sans Pro" w:hAnsi="Source Sans Pro" w:eastAsia="Source Sans Pro" w:cs="Source Sans Pro"/>
          <w:noProof w:val="0"/>
          <w:sz w:val="22"/>
          <w:szCs w:val="22"/>
          <w:lang w:val="en-US"/>
        </w:rPr>
        <w:t xml:space="preserve">. (Accessed </w:t>
      </w:r>
      <w:r w:rsidRPr="3A3EFC00" w:rsidR="5A5654B3">
        <w:rPr>
          <w:rFonts w:ascii="Source Sans Pro" w:hAnsi="Source Sans Pro" w:eastAsia="Source Sans Pro" w:cs="Source Sans Pro"/>
          <w:noProof w:val="0"/>
          <w:sz w:val="22"/>
          <w:szCs w:val="22"/>
          <w:lang w:val="en-US"/>
        </w:rPr>
        <w:t>November</w:t>
      </w:r>
      <w:r w:rsidRPr="3A3EFC00" w:rsidR="36B1C23A">
        <w:rPr>
          <w:rFonts w:ascii="Source Sans Pro" w:hAnsi="Source Sans Pro" w:eastAsia="Source Sans Pro" w:cs="Source Sans Pro"/>
          <w:noProof w:val="0"/>
          <w:sz w:val="22"/>
          <w:szCs w:val="22"/>
          <w:lang w:val="en-US"/>
        </w:rPr>
        <w:t>10,2023).</w:t>
      </w:r>
    </w:p>
    <w:p w:rsidR="2C275084" w:rsidP="3A3EFC00" w:rsidRDefault="2C275084" w14:paraId="2667A4EA" w14:textId="1792D6AC">
      <w:pPr>
        <w:pStyle w:val="Normalny"/>
        <w:spacing w:before="0" w:beforeAutospacing="off" w:after="0" w:afterAutospacing="off"/>
        <w:rPr>
          <w:rFonts w:ascii="Source Sans Pro" w:hAnsi="Source Sans Pro" w:eastAsia="Source Sans Pro" w:cs="Source Sans Pro"/>
          <w:noProof w:val="0"/>
          <w:sz w:val="22"/>
          <w:szCs w:val="22"/>
          <w:lang w:val="en-US"/>
        </w:rPr>
      </w:pPr>
    </w:p>
    <w:p w:rsidR="2C275084" w:rsidP="3A3EFC00" w:rsidRDefault="2C275084" w14:paraId="294ECF68" w14:textId="53815077">
      <w:pPr>
        <w:pStyle w:val="Normalny"/>
        <w:spacing w:before="0" w:beforeAutospacing="off" w:after="0" w:afterAutospacing="off"/>
        <w:rPr>
          <w:rFonts w:ascii="Calibri" w:hAnsi="Calibri" w:eastAsia="Calibri" w:cs="Calibri"/>
          <w:noProof w:val="0"/>
          <w:sz w:val="22"/>
          <w:szCs w:val="22"/>
          <w:lang w:val="en-US"/>
        </w:rPr>
      </w:pPr>
      <w:r w:rsidRPr="3A3EFC00" w:rsidR="7FC972B9">
        <w:rPr>
          <w:rFonts w:ascii="Calibri" w:hAnsi="Calibri" w:eastAsia="Calibri" w:cs="Calibri"/>
          <w:noProof w:val="0"/>
          <w:sz w:val="22"/>
          <w:szCs w:val="22"/>
          <w:lang w:val="en-US"/>
        </w:rPr>
        <w:t>CPS (2023</w:t>
      </w:r>
      <w:r w:rsidRPr="3A3EFC00" w:rsidR="7FC972B9">
        <w:rPr>
          <w:rFonts w:ascii="Calibri" w:hAnsi="Calibri" w:eastAsia="Calibri" w:cs="Calibri"/>
          <w:noProof w:val="0"/>
          <w:sz w:val="22"/>
          <w:szCs w:val="22"/>
          <w:lang w:val="en-US"/>
        </w:rPr>
        <w:t>).Offences</w:t>
      </w:r>
      <w:r w:rsidRPr="3A3EFC00" w:rsidR="7FC972B9">
        <w:rPr>
          <w:rFonts w:ascii="Calibri" w:hAnsi="Calibri" w:eastAsia="Calibri" w:cs="Calibri"/>
          <w:noProof w:val="0"/>
          <w:sz w:val="22"/>
          <w:szCs w:val="22"/>
          <w:lang w:val="en-US"/>
        </w:rPr>
        <w:t xml:space="preserve"> against the Person, incorporating the Charging Standard | The Crown Prosecution Service. 2023. Available at: </w:t>
      </w:r>
      <w:hyperlink r:id="R96391efb90e943e3">
        <w:r w:rsidRPr="3A3EFC00" w:rsidR="7FC972B9">
          <w:rPr>
            <w:rStyle w:val="Hipercze"/>
            <w:rFonts w:ascii="Calibri" w:hAnsi="Calibri" w:eastAsia="Calibri" w:cs="Calibri"/>
            <w:noProof w:val="0"/>
            <w:sz w:val="22"/>
            <w:szCs w:val="22"/>
            <w:lang w:val="en-US"/>
          </w:rPr>
          <w:t>https://www.cps.gov.uk/legal-guidance/offences-against-person-incorporating-charging-standard</w:t>
        </w:r>
      </w:hyperlink>
      <w:r w:rsidRPr="3A3EFC00" w:rsidR="7FC972B9">
        <w:rPr>
          <w:rFonts w:ascii="Calibri" w:hAnsi="Calibri" w:eastAsia="Calibri" w:cs="Calibri"/>
          <w:noProof w:val="0"/>
          <w:sz w:val="22"/>
          <w:szCs w:val="22"/>
          <w:lang w:val="en-US"/>
        </w:rPr>
        <w:t>.</w:t>
      </w:r>
      <w:r w:rsidRPr="3A3EFC00" w:rsidR="38169E45">
        <w:rPr>
          <w:rFonts w:ascii="Calibri" w:hAnsi="Calibri" w:eastAsia="Calibri" w:cs="Calibri"/>
          <w:noProof w:val="0"/>
          <w:sz w:val="22"/>
          <w:szCs w:val="22"/>
          <w:lang w:val="en-US"/>
        </w:rPr>
        <w:t xml:space="preserve"> (Accessed November 10,2023).</w:t>
      </w:r>
    </w:p>
    <w:p w:rsidR="2C275084" w:rsidP="3A3EFC00" w:rsidRDefault="2C275084" w14:paraId="2B31F0A3" w14:textId="7722F5E3">
      <w:pPr>
        <w:pStyle w:val="Normalny"/>
        <w:spacing w:before="0" w:beforeAutospacing="off" w:after="0" w:afterAutospacing="off"/>
        <w:rPr>
          <w:rFonts w:ascii="Calibri" w:hAnsi="Calibri" w:eastAsia="Calibri" w:cs="Calibri"/>
          <w:noProof w:val="0"/>
          <w:sz w:val="22"/>
          <w:szCs w:val="22"/>
          <w:lang w:val="en-US"/>
        </w:rPr>
      </w:pPr>
    </w:p>
    <w:p w:rsidR="2C275084" w:rsidP="3A3EFC00" w:rsidRDefault="2C275084" w14:paraId="508F5F66" w14:textId="6768A1CD">
      <w:pPr>
        <w:rPr>
          <w:rFonts w:ascii="Source Sans Pro" w:hAnsi="Source Sans Pro" w:eastAsia="Source Sans Pro" w:cs="Source Sans Pro"/>
        </w:rPr>
      </w:pPr>
      <w:r w:rsidRPr="3A3EFC00" w:rsidR="5410F116">
        <w:rPr>
          <w:rFonts w:ascii="Source Sans Pro" w:hAnsi="Source Sans Pro" w:eastAsia="Source Sans Pro" w:cs="Source Sans Pro"/>
        </w:rPr>
        <w:t xml:space="preserve">Haghighi, A.S. 2023. Biases in healthcare: An overview. Available at: </w:t>
      </w:r>
      <w:hyperlink r:id="R10387d45e51c48f2">
        <w:r w:rsidRPr="3A3EFC00" w:rsidR="5410F116">
          <w:rPr>
            <w:rStyle w:val="Hipercze"/>
            <w:rFonts w:ascii="Source Sans Pro" w:hAnsi="Source Sans Pro" w:eastAsia="Source Sans Pro" w:cs="Source Sans Pro"/>
          </w:rPr>
          <w:t>https://www.medicalnewstoday.com/articles/biases-in-healthcare</w:t>
        </w:r>
      </w:hyperlink>
      <w:r w:rsidRPr="3A3EFC00" w:rsidR="5410F116">
        <w:rPr>
          <w:rFonts w:ascii="Source Sans Pro" w:hAnsi="Source Sans Pro" w:eastAsia="Source Sans Pro" w:cs="Source Sans Pro"/>
        </w:rPr>
        <w:t xml:space="preserve"> (Accessed </w:t>
      </w:r>
      <w:r w:rsidRPr="3A3EFC00" w:rsidR="6CAB9D13">
        <w:rPr>
          <w:rFonts w:ascii="Source Sans Pro" w:hAnsi="Source Sans Pro" w:eastAsia="Source Sans Pro" w:cs="Source Sans Pro"/>
        </w:rPr>
        <w:t>November</w:t>
      </w:r>
      <w:r w:rsidRPr="3A3EFC00" w:rsidR="5410F116">
        <w:rPr>
          <w:rFonts w:ascii="Source Sans Pro" w:hAnsi="Source Sans Pro" w:eastAsia="Source Sans Pro" w:cs="Source Sans Pro"/>
        </w:rPr>
        <w:t xml:space="preserve"> 10,2023).</w:t>
      </w:r>
    </w:p>
    <w:p w:rsidR="2C275084" w:rsidP="3A3EFC00" w:rsidRDefault="2C275084" w14:paraId="4AA1D158" w14:textId="3BEF1214">
      <w:pPr>
        <w:pStyle w:val="Normalny"/>
        <w:rPr>
          <w:rFonts w:ascii="Source Sans Pro" w:hAnsi="Source Sans Pro" w:eastAsia="Source Sans Pro" w:cs="Source Sans Pro"/>
        </w:rPr>
      </w:pPr>
      <w:r w:rsidRPr="3A3EFC00" w:rsidR="58B00EF5">
        <w:rPr>
          <w:rFonts w:ascii="Source Sans Pro" w:hAnsi="Source Sans Pro" w:eastAsia="Source Sans Pro" w:cs="Source Sans Pro"/>
        </w:rPr>
        <w:t>Herring, J. (2020) Criminal Law: Text, Cases, and Materials. Oxford University Press.</w:t>
      </w:r>
    </w:p>
    <w:p w:rsidR="2C275084" w:rsidP="3A3EFC00" w:rsidRDefault="2C275084" w14:paraId="242B55D4" w14:textId="12C52D90">
      <w:pPr>
        <w:rPr>
          <w:rFonts w:ascii="Source Sans Pro" w:hAnsi="Source Sans Pro" w:eastAsia="Source Sans Pro" w:cs="Source Sans Pro"/>
          <w:noProof w:val="0"/>
          <w:sz w:val="22"/>
          <w:szCs w:val="22"/>
          <w:lang w:val="en-US"/>
        </w:rPr>
      </w:pPr>
      <w:r w:rsidRPr="3A3EFC00" w:rsidR="78277FA6">
        <w:rPr>
          <w:rFonts w:ascii="Source Sans Pro" w:hAnsi="Source Sans Pro" w:eastAsia="Source Sans Pro" w:cs="Source Sans Pro"/>
          <w:noProof w:val="0"/>
          <w:sz w:val="22"/>
          <w:szCs w:val="22"/>
          <w:lang w:val="en-US"/>
        </w:rPr>
        <w:t>Justia</w:t>
      </w:r>
      <w:r w:rsidRPr="3A3EFC00" w:rsidR="78277FA6">
        <w:rPr>
          <w:rFonts w:ascii="Source Sans Pro" w:hAnsi="Source Sans Pro" w:eastAsia="Source Sans Pro" w:cs="Source Sans Pro"/>
          <w:noProof w:val="0"/>
          <w:sz w:val="22"/>
          <w:szCs w:val="22"/>
          <w:lang w:val="en-US"/>
        </w:rPr>
        <w:t xml:space="preserve"> (2023) The Consent Defense in Criminal Law Cases. 2018. Available at: </w:t>
      </w:r>
      <w:hyperlink r:id="Rdf2501d542e64e51">
        <w:r w:rsidRPr="3A3EFC00" w:rsidR="78277FA6">
          <w:rPr>
            <w:rStyle w:val="Hipercze"/>
            <w:rFonts w:ascii="Source Sans Pro" w:hAnsi="Source Sans Pro" w:eastAsia="Source Sans Pro" w:cs="Source Sans Pro"/>
            <w:noProof w:val="0"/>
            <w:sz w:val="22"/>
            <w:szCs w:val="22"/>
            <w:lang w:val="en-US"/>
          </w:rPr>
          <w:t>https://www.justia.com/criminal/defenses/consent/</w:t>
        </w:r>
      </w:hyperlink>
      <w:r w:rsidRPr="3A3EFC00" w:rsidR="78277FA6">
        <w:rPr>
          <w:rFonts w:ascii="Source Sans Pro" w:hAnsi="Source Sans Pro" w:eastAsia="Source Sans Pro" w:cs="Source Sans Pro"/>
          <w:noProof w:val="0"/>
          <w:sz w:val="22"/>
          <w:szCs w:val="22"/>
          <w:lang w:val="en-US"/>
        </w:rPr>
        <w:t>.</w:t>
      </w:r>
      <w:r w:rsidRPr="3A3EFC00" w:rsidR="47D512A7">
        <w:rPr>
          <w:rFonts w:ascii="Source Sans Pro" w:hAnsi="Source Sans Pro" w:eastAsia="Source Sans Pro" w:cs="Source Sans Pro"/>
          <w:noProof w:val="0"/>
          <w:sz w:val="22"/>
          <w:szCs w:val="22"/>
          <w:lang w:val="en-US"/>
        </w:rPr>
        <w:t xml:space="preserve"> (Accessed November 10,2023).</w:t>
      </w:r>
    </w:p>
    <w:p w:rsidR="2C275084" w:rsidP="3A3EFC00" w:rsidRDefault="2C275084" w14:paraId="092C24EF" w14:textId="64511B8A">
      <w:pPr>
        <w:pStyle w:val="Normalny"/>
      </w:pPr>
      <w:r w:rsidR="44745119">
        <w:rPr/>
        <w:t>Muehlenhard</w:t>
      </w:r>
      <w:r w:rsidR="44745119">
        <w:rPr/>
        <w:t xml:space="preserve">, C. L., Humphreys, T. P., </w:t>
      </w:r>
      <w:r w:rsidR="44745119">
        <w:rPr/>
        <w:t>Jozkowski</w:t>
      </w:r>
      <w:r w:rsidR="44745119">
        <w:rPr/>
        <w:t xml:space="preserve">, K. N., &amp; Peterson, Z. </w:t>
      </w:r>
      <w:r w:rsidR="44745119">
        <w:rPr/>
        <w:t>D.(</w:t>
      </w:r>
      <w:r w:rsidR="44745119">
        <w:rPr/>
        <w:t xml:space="preserve">2016). The complexities of sexual consent among college </w:t>
      </w:r>
      <w:r w:rsidR="44745119">
        <w:rPr/>
        <w:t>students:A</w:t>
      </w:r>
      <w:r w:rsidR="44745119">
        <w:rPr/>
        <w:t xml:space="preserve"> conceptual and empirical review. Journal of Sex Research, 53(4–5),457–487.Available at: </w:t>
      </w:r>
      <w:r w:rsidR="44745119">
        <w:rPr/>
        <w:t>https://doi.org/10.1080/00224499.2016.1146651</w:t>
      </w:r>
      <w:r w:rsidR="44745119">
        <w:rPr/>
        <w:t xml:space="preserve">   (</w:t>
      </w:r>
      <w:r w:rsidR="44745119">
        <w:rPr/>
        <w:t xml:space="preserve">Accessed November </w:t>
      </w:r>
      <w:r w:rsidR="559E7C1B">
        <w:rPr/>
        <w:t>10,2023).</w:t>
      </w:r>
    </w:p>
    <w:p w:rsidR="2C275084" w:rsidP="2C275084" w:rsidRDefault="2C275084" w14:paraId="5B4DEF5F" w14:textId="1452BF29">
      <w:pPr/>
      <w:r w:rsidRPr="3A3EFC00" w:rsidR="7395D3E5">
        <w:rPr>
          <w:rFonts w:ascii="Source Sans Pro" w:hAnsi="Source Sans Pro" w:eastAsia="Source Sans Pro" w:cs="Source Sans Pro"/>
          <w:noProof w:val="0"/>
          <w:sz w:val="22"/>
          <w:szCs w:val="22"/>
          <w:lang w:val="en-US"/>
        </w:rPr>
        <w:t>NHS(</w:t>
      </w:r>
      <w:r w:rsidRPr="3A3EFC00" w:rsidR="7395D3E5">
        <w:rPr>
          <w:rFonts w:ascii="Source Sans Pro" w:hAnsi="Source Sans Pro" w:eastAsia="Source Sans Pro" w:cs="Source Sans Pro"/>
          <w:noProof w:val="0"/>
          <w:sz w:val="22"/>
          <w:szCs w:val="22"/>
          <w:lang w:val="en-US"/>
        </w:rPr>
        <w:t>2023</w:t>
      </w:r>
      <w:r w:rsidRPr="3A3EFC00" w:rsidR="7395D3E5">
        <w:rPr>
          <w:rFonts w:ascii="Source Sans Pro" w:hAnsi="Source Sans Pro" w:eastAsia="Source Sans Pro" w:cs="Source Sans Pro"/>
          <w:noProof w:val="0"/>
          <w:sz w:val="22"/>
          <w:szCs w:val="22"/>
          <w:lang w:val="en-US"/>
        </w:rPr>
        <w:t>).Consent</w:t>
      </w:r>
      <w:r w:rsidRPr="3A3EFC00" w:rsidR="7395D3E5">
        <w:rPr>
          <w:rFonts w:ascii="Source Sans Pro" w:hAnsi="Source Sans Pro" w:eastAsia="Source Sans Pro" w:cs="Source Sans Pro"/>
          <w:noProof w:val="0"/>
          <w:sz w:val="22"/>
          <w:szCs w:val="22"/>
          <w:lang w:val="en-US"/>
        </w:rPr>
        <w:t xml:space="preserve"> to treatment - Assessing capacity. [no date]. Available at: https://www.nhs.uk/conditions/consent-to-treatment/capacity/. (Accessed November 10,2023).</w:t>
      </w:r>
    </w:p>
    <w:p w:rsidR="2C275084" w:rsidP="2C275084" w:rsidRDefault="2C275084" w14:paraId="1A75E933" w14:textId="70CC22A5">
      <w:pPr/>
      <w:r w:rsidRPr="3A3EFC00" w:rsidR="2A26A771">
        <w:rPr>
          <w:rFonts w:ascii="Source Sans Pro" w:hAnsi="Source Sans Pro" w:eastAsia="Source Sans Pro" w:cs="Source Sans Pro"/>
        </w:rPr>
        <w:t xml:space="preserve">White v. Beeks. [2015]. Available at: </w:t>
      </w:r>
      <w:hyperlink r:id="R1d5d1a03c52145ff">
        <w:r w:rsidRPr="3A3EFC00" w:rsidR="2A26A771">
          <w:rPr>
            <w:rStyle w:val="Hipercze"/>
            <w:rFonts w:ascii="Source Sans Pro" w:hAnsi="Source Sans Pro" w:eastAsia="Source Sans Pro" w:cs="Source Sans Pro"/>
          </w:rPr>
          <w:t>https://law.justia.com/cases/tennessee/supreme-court/2015/e2012-02443-sc-r11-cv.html.(Accessed</w:t>
        </w:r>
      </w:hyperlink>
      <w:r w:rsidRPr="3A3EFC00" w:rsidR="2A26A771">
        <w:rPr>
          <w:rFonts w:ascii="Source Sans Pro" w:hAnsi="Source Sans Pro" w:eastAsia="Source Sans Pro" w:cs="Source Sans Pro"/>
        </w:rPr>
        <w:t xml:space="preserve"> November 10,2023).</w:t>
      </w:r>
    </w:p>
    <w:p w:rsidR="2C275084" w:rsidP="3A3EFC00" w:rsidRDefault="2C275084" w14:paraId="1EB9024A" w14:textId="18A769B5">
      <w:pPr>
        <w:pStyle w:val="Normalny"/>
        <w:rPr>
          <w:rFonts w:ascii="Source Sans Pro" w:hAnsi="Source Sans Pro" w:eastAsia="Source Sans Pro" w:cs="Source Sans Pro"/>
        </w:rPr>
      </w:pPr>
      <w:r w:rsidRPr="3A3EFC00" w:rsidR="6BD1894A">
        <w:rPr>
          <w:rFonts w:ascii="Source Sans Pro" w:hAnsi="Source Sans Pro" w:eastAsia="Source Sans Pro" w:cs="Source Sans Pro"/>
        </w:rPr>
        <w:t xml:space="preserve">Wortley </w:t>
      </w:r>
      <w:r w:rsidRPr="3A3EFC00" w:rsidR="6BD1894A">
        <w:rPr>
          <w:rFonts w:ascii="Source Sans Pro" w:hAnsi="Source Sans Pro" w:eastAsia="Source Sans Pro" w:cs="Source Sans Pro"/>
        </w:rPr>
        <w:t>Richard,Price</w:t>
      </w:r>
      <w:r w:rsidRPr="3A3EFC00" w:rsidR="6BD1894A">
        <w:rPr>
          <w:rFonts w:ascii="Source Sans Pro" w:hAnsi="Source Sans Pro" w:eastAsia="Source Sans Pro" w:cs="Source Sans Pro"/>
        </w:rPr>
        <w:t xml:space="preserve"> </w:t>
      </w:r>
      <w:r w:rsidRPr="3A3EFC00" w:rsidR="6BD1894A">
        <w:rPr>
          <w:rFonts w:ascii="Source Sans Pro" w:hAnsi="Source Sans Pro" w:eastAsia="Source Sans Pro" w:cs="Source Sans Pro"/>
        </w:rPr>
        <w:t>Nicholas,Briggs</w:t>
      </w:r>
      <w:r w:rsidRPr="3A3EFC00" w:rsidR="6BD1894A">
        <w:rPr>
          <w:rFonts w:ascii="Source Sans Pro" w:hAnsi="Source Sans Pro" w:eastAsia="Source Sans Pro" w:cs="Source Sans Pro"/>
        </w:rPr>
        <w:t xml:space="preserve"> Nigel (2021</w:t>
      </w:r>
      <w:r w:rsidRPr="3A3EFC00" w:rsidR="6BD1894A">
        <w:rPr>
          <w:rFonts w:ascii="Source Sans Pro" w:hAnsi="Source Sans Pro" w:eastAsia="Source Sans Pro" w:cs="Source Sans Pro"/>
        </w:rPr>
        <w:t>).Law</w:t>
      </w:r>
      <w:r w:rsidRPr="3A3EFC00" w:rsidR="4B23FBE3">
        <w:rPr>
          <w:rFonts w:ascii="Source Sans Pro" w:hAnsi="Source Sans Pro" w:eastAsia="Source Sans Pro" w:cs="Source Sans Pro"/>
        </w:rPr>
        <w:t xml:space="preserve"> (</w:t>
      </w:r>
      <w:r w:rsidRPr="3A3EFC00" w:rsidR="0DE3CCD2">
        <w:rPr>
          <w:rFonts w:ascii="Source Sans Pro" w:hAnsi="Source Sans Pro" w:eastAsia="Source Sans Pro" w:cs="Source Sans Pro"/>
        </w:rPr>
        <w:t xml:space="preserve">second </w:t>
      </w:r>
      <w:r w:rsidRPr="3A3EFC00" w:rsidR="0DE3CCD2">
        <w:rPr>
          <w:rFonts w:ascii="Source Sans Pro" w:hAnsi="Source Sans Pro" w:eastAsia="Source Sans Pro" w:cs="Source Sans Pro"/>
        </w:rPr>
        <w:t>edicion</w:t>
      </w:r>
      <w:r w:rsidRPr="3A3EFC00" w:rsidR="0DE3CCD2">
        <w:rPr>
          <w:rFonts w:ascii="Source Sans Pro" w:hAnsi="Source Sans Pro" w:eastAsia="Source Sans Pro" w:cs="Source Sans Pro"/>
        </w:rPr>
        <w:t>),page</w:t>
      </w:r>
      <w:r w:rsidRPr="3A3EFC00" w:rsidR="0DE3CCD2">
        <w:rPr>
          <w:rFonts w:ascii="Source Sans Pro" w:hAnsi="Source Sans Pro" w:eastAsia="Source Sans Pro" w:cs="Source Sans Pro"/>
        </w:rPr>
        <w:t xml:space="preserve"> 97-150</w:t>
      </w:r>
    </w:p>
    <w:p w:rsidR="2C275084" w:rsidP="3A3EFC00" w:rsidRDefault="2C275084" w14:paraId="63184C10" w14:textId="3BB22F64">
      <w:pPr>
        <w:pStyle w:val="Normalny"/>
        <w:rPr>
          <w:rFonts w:ascii="Source Sans Pro" w:hAnsi="Source Sans Pro" w:eastAsia="Source Sans Pro" w:cs="Source Sans Pro"/>
        </w:rPr>
      </w:pPr>
    </w:p>
    <w:p w:rsidR="2C275084" w:rsidP="3A3EFC00" w:rsidRDefault="2C275084" w14:paraId="67F954D4" w14:textId="6FB1661F">
      <w:pPr>
        <w:pStyle w:val="Normalny"/>
        <w:rPr>
          <w:rFonts w:ascii="Source Sans Pro" w:hAnsi="Source Sans Pro" w:eastAsia="Source Sans Pro" w:cs="Source Sans Pro"/>
          <w:noProof w:val="0"/>
          <w:sz w:val="22"/>
          <w:szCs w:val="22"/>
          <w:lang w:val="en-US"/>
        </w:rPr>
      </w:pPr>
    </w:p>
    <w:p w:rsidR="2C275084" w:rsidP="3A3EFC00" w:rsidRDefault="2C275084" w14:paraId="451C5310" w14:textId="5E801163">
      <w:pPr>
        <w:pStyle w:val="Normalny"/>
        <w:rPr>
          <w:rFonts w:ascii="Source Sans Pro" w:hAnsi="Source Sans Pro" w:eastAsia="Source Sans Pro" w:cs="Source Sans Pro"/>
          <w:noProof w:val="0"/>
          <w:sz w:val="22"/>
          <w:szCs w:val="22"/>
          <w:lang w:val="en-US"/>
        </w:rPr>
      </w:pPr>
    </w:p>
    <w:p w:rsidR="2C275084" w:rsidP="3A3EFC00" w:rsidRDefault="2C275084" w14:paraId="5E70EA61" w14:textId="533095E4">
      <w:pPr>
        <w:pStyle w:val="Normalny"/>
      </w:pPr>
    </w:p>
    <w:p w:rsidR="2C275084" w:rsidP="3A3EFC00" w:rsidRDefault="2C275084" w14:paraId="1A465F29" w14:textId="42D97D93">
      <w:pPr>
        <w:pStyle w:val="Normalny"/>
        <w:rPr>
          <w:rFonts w:ascii="Source Sans Pro" w:hAnsi="Source Sans Pro" w:eastAsia="Source Sans Pro" w:cs="Source Sans Pro"/>
          <w:noProof w:val="0"/>
          <w:sz w:val="22"/>
          <w:szCs w:val="22"/>
          <w:lang w:val="en-US"/>
        </w:rPr>
      </w:pPr>
    </w:p>
    <w:p w:rsidR="2C275084" w:rsidP="3A3EFC00" w:rsidRDefault="2C275084" w14:paraId="1C7C49A0" w14:textId="49AFCB9C">
      <w:pPr>
        <w:pStyle w:val="Normalny"/>
        <w:rPr>
          <w:rFonts w:ascii="Source Sans Pro" w:hAnsi="Source Sans Pro" w:eastAsia="Source Sans Pro" w:cs="Source Sans Pro"/>
          <w:noProof w:val="0"/>
          <w:sz w:val="22"/>
          <w:szCs w:val="22"/>
          <w:lang w:val="en-US"/>
        </w:rPr>
      </w:pPr>
    </w:p>
    <w:p w:rsidR="2C275084" w:rsidP="3A3EFC00" w:rsidRDefault="2C275084" w14:paraId="18EBC5EF" w14:textId="6BA51BD1">
      <w:pPr>
        <w:pStyle w:val="Normalny"/>
        <w:rPr>
          <w:rFonts w:ascii="Source Sans Pro" w:hAnsi="Source Sans Pro" w:eastAsia="Source Sans Pro" w:cs="Source Sans Pro"/>
        </w:rPr>
      </w:pPr>
    </w:p>
    <w:p w:rsidR="2C275084" w:rsidP="3A3EFC00" w:rsidRDefault="2C275084" w14:paraId="540AD699" w14:textId="31225890">
      <w:pPr>
        <w:pStyle w:val="Normalny"/>
        <w:spacing w:before="0" w:beforeAutospacing="off" w:after="0" w:afterAutospacing="off"/>
        <w:rPr>
          <w:rFonts w:ascii="Calibri" w:hAnsi="Calibri" w:eastAsia="Calibri" w:cs="Calibri"/>
          <w:noProof w:val="0"/>
          <w:sz w:val="22"/>
          <w:szCs w:val="22"/>
          <w:lang w:val="en-US"/>
        </w:rPr>
      </w:pPr>
    </w:p>
    <w:p w:rsidR="2C275084" w:rsidP="3A3EFC00" w:rsidRDefault="2C275084" w14:paraId="6588B0C6" w14:textId="77F867D4">
      <w:pPr>
        <w:pStyle w:val="Normalny"/>
        <w:rPr>
          <w:rFonts w:ascii="Source Sans Pro" w:hAnsi="Source Sans Pro" w:eastAsia="Source Sans Pro" w:cs="Source Sans Pro"/>
          <w:noProof w:val="0"/>
          <w:sz w:val="22"/>
          <w:szCs w:val="22"/>
          <w:lang w:val="en-US"/>
        </w:rPr>
      </w:pPr>
    </w:p>
    <w:p w:rsidR="2C275084" w:rsidP="3A3EFC00" w:rsidRDefault="2C275084" w14:paraId="57FFB8D2" w14:textId="3A907487">
      <w:pPr>
        <w:pStyle w:val="Normalny"/>
        <w:spacing w:before="0" w:beforeAutospacing="off" w:after="0" w:afterAutospacing="off"/>
        <w:rPr>
          <w:rFonts w:ascii="Source Sans Pro" w:hAnsi="Source Sans Pro" w:eastAsia="Source Sans Pro" w:cs="Source Sans Pro"/>
          <w:noProof w:val="0"/>
          <w:sz w:val="22"/>
          <w:szCs w:val="22"/>
          <w:lang w:val="en-US"/>
        </w:rPr>
      </w:pPr>
    </w:p>
    <w:p w:rsidR="2C275084" w:rsidP="3A3EFC00" w:rsidRDefault="2C275084" w14:paraId="42B63D08" w14:textId="713EB0D5">
      <w:pPr>
        <w:pStyle w:val="Normalny"/>
        <w:spacing w:before="0" w:beforeAutospacing="off" w:after="0" w:afterAutospacing="off"/>
        <w:rPr>
          <w:rFonts w:ascii="Calibri" w:hAnsi="Calibri" w:eastAsia="Calibri" w:cs="Calibri"/>
          <w:noProof w:val="0"/>
          <w:color w:val="0E101A"/>
          <w:sz w:val="22"/>
          <w:szCs w:val="22"/>
          <w:lang w:val="en-US"/>
        </w:rPr>
      </w:pPr>
    </w:p>
    <w:p w:rsidR="2C275084" w:rsidP="3A3EFC00" w:rsidRDefault="2C275084" w14:paraId="42588A8A" w14:textId="1DD1F6C6">
      <w:pPr>
        <w:pStyle w:val="Normalny"/>
        <w:rPr>
          <w:rFonts w:ascii="Source Sans Pro" w:hAnsi="Source Sans Pro" w:eastAsia="Source Sans Pro" w:cs="Source Sans Pro"/>
        </w:rPr>
      </w:pPr>
    </w:p>
    <w:p w:rsidR="2C275084" w:rsidP="3A3EFC00" w:rsidRDefault="2C275084" w14:paraId="4A4220D1" w14:textId="5F9F2FA5">
      <w:pPr>
        <w:pStyle w:val="Normalny"/>
        <w:rPr>
          <w:rFonts w:ascii="Source Sans Pro" w:hAnsi="Source Sans Pro" w:eastAsia="Source Sans Pro" w:cs="Source Sans Pro"/>
        </w:rPr>
      </w:pPr>
    </w:p>
    <w:p w:rsidR="2C275084" w:rsidP="2C275084" w:rsidRDefault="2C275084" w14:paraId="1A6BACBA" w14:textId="5F8F803A">
      <w:pPr>
        <w:rPr>
          <w:rFonts w:ascii="Source Sans Pro" w:hAnsi="Source Sans Pro" w:eastAsia="Source Sans Pro" w:cs="Source Sans Pro"/>
        </w:rPr>
      </w:pPr>
    </w:p>
    <w:p w:rsidR="2C275084" w:rsidP="2C275084" w:rsidRDefault="2C275084" w14:paraId="091F3E31" w14:textId="438FFC04">
      <w:pPr>
        <w:rPr>
          <w:rFonts w:ascii="Source Sans Pro" w:hAnsi="Source Sans Pro" w:eastAsia="Source Sans Pro" w:cs="Source Sans Pro"/>
        </w:rPr>
      </w:pPr>
    </w:p>
    <w:p w:rsidR="3A3EFC00" w:rsidP="3A3EFC00" w:rsidRDefault="3A3EFC00" w14:paraId="72950319" w14:textId="5298B3DB">
      <w:pPr>
        <w:pStyle w:val="Normalny"/>
        <w:rPr>
          <w:rFonts w:ascii="Source Sans Pro" w:hAnsi="Source Sans Pro" w:eastAsia="Source Sans Pro" w:cs="Source Sans Pro"/>
        </w:rPr>
      </w:pPr>
    </w:p>
    <w:p w:rsidR="2C275084" w:rsidP="2C275084" w:rsidRDefault="2C275084" w14:paraId="2AF091B1" w14:textId="42A60441">
      <w:pPr>
        <w:rPr>
          <w:rFonts w:ascii="Source Sans Pro" w:hAnsi="Source Sans Pro" w:eastAsia="Source Sans Pro" w:cs="Source Sans Pro"/>
        </w:rPr>
      </w:pPr>
    </w:p>
    <w:p w:rsidR="3A3EFC00" w:rsidP="3A3EFC00" w:rsidRDefault="3A3EFC00" w14:paraId="534280C0" w14:textId="3B83CC6A">
      <w:pPr>
        <w:pStyle w:val="Normalny"/>
        <w:rPr>
          <w:rFonts w:ascii="Source Sans Pro" w:hAnsi="Source Sans Pro" w:eastAsia="Source Sans Pro" w:cs="Source Sans Pro"/>
        </w:rPr>
      </w:pPr>
    </w:p>
    <w:p w:rsidR="3A3EFC00" w:rsidP="3A3EFC00" w:rsidRDefault="3A3EFC00" w14:paraId="5698CA24" w14:textId="2101B9ED">
      <w:pPr>
        <w:pStyle w:val="Normalny"/>
        <w:rPr>
          <w:rFonts w:ascii="Source Sans Pro" w:hAnsi="Source Sans Pro" w:eastAsia="Source Sans Pro" w:cs="Source Sans Pro"/>
        </w:rPr>
      </w:pPr>
    </w:p>
    <w:p w:rsidR="2C275084" w:rsidP="2C275084" w:rsidRDefault="2C275084" w14:paraId="717349FD" w14:textId="056D7C86">
      <w:pPr>
        <w:rPr>
          <w:rFonts w:ascii="Source Sans Pro" w:hAnsi="Source Sans Pro" w:eastAsia="Source Sans Pro" w:cs="Source Sans Pro"/>
        </w:rPr>
      </w:pPr>
    </w:p>
    <w:p w:rsidR="2C275084" w:rsidP="2C275084" w:rsidRDefault="2C275084" w14:paraId="2B023217" w14:textId="3298E3CB">
      <w:pPr>
        <w:rPr>
          <w:rFonts w:ascii="Source Sans Pro" w:hAnsi="Source Sans Pro" w:eastAsia="Source Sans Pro" w:cs="Source Sans Pro"/>
        </w:rPr>
      </w:pPr>
    </w:p>
    <w:p w:rsidR="72838004" w:rsidP="3A3EFC00" w:rsidRDefault="72838004" w14:paraId="252C1510" w14:textId="4B1E0E7F">
      <w:pPr>
        <w:pStyle w:val="Normalny"/>
        <w:rPr>
          <w:rFonts w:ascii="Source Sans Pro" w:hAnsi="Source Sans Pro" w:eastAsia="Source Sans Pro" w:cs="Source Sans Pro"/>
        </w:rPr>
      </w:pPr>
    </w:p>
    <w:p w:rsidR="72838004" w:rsidP="3A3EFC00" w:rsidRDefault="72838004" w14:paraId="4917442C" w14:textId="57486DA4">
      <w:pPr>
        <w:pStyle w:val="Normalny"/>
        <w:rPr>
          <w:rFonts w:ascii="Source Sans Pro" w:hAnsi="Source Sans Pro" w:eastAsia="Source Sans Pro" w:cs="Source Sans Pro"/>
        </w:rPr>
      </w:pPr>
    </w:p>
    <w:p w:rsidR="72838004" w:rsidP="3A3EFC00" w:rsidRDefault="72838004" w14:paraId="12DA215C" w14:textId="0903C76A">
      <w:pPr>
        <w:pStyle w:val="Normalny"/>
        <w:rPr>
          <w:rFonts w:ascii="Source Sans Pro" w:hAnsi="Source Sans Pro" w:eastAsia="Source Sans Pro" w:cs="Source Sans Pro"/>
        </w:rPr>
      </w:pPr>
    </w:p>
    <w:p w:rsidR="72838004" w:rsidP="3A3EFC00" w:rsidRDefault="72838004" w14:paraId="3199C4B9" w14:textId="3DD1499E">
      <w:pPr>
        <w:pStyle w:val="Normalny"/>
      </w:pPr>
    </w:p>
    <w:p w:rsidR="32FA9554" w:rsidP="3A3EFC00" w:rsidRDefault="32FA9554" w14:paraId="23AAB7A1" w14:textId="7FF38D67">
      <w:pPr>
        <w:pStyle w:val="Normalny"/>
      </w:pPr>
      <w:r w:rsidR="32FA9554">
        <w:rPr/>
        <w:t xml:space="preserve"> </w:t>
      </w:r>
    </w:p>
    <w:p w:rsidR="32FA9554" w:rsidP="3A3EFC00" w:rsidRDefault="32FA9554" w14:paraId="64DCADE7" w14:textId="708C7059">
      <w:pPr>
        <w:pStyle w:val="Normalny"/>
        <w:rPr>
          <w:rFonts w:ascii="Calibri" w:hAnsi="Calibri" w:eastAsia="Calibri" w:cs="Calibri"/>
          <w:noProof w:val="0"/>
          <w:sz w:val="22"/>
          <w:szCs w:val="22"/>
          <w:lang w:val="en-US"/>
        </w:rPr>
      </w:pPr>
      <w:r w:rsidR="32FA9554">
        <w:rPr/>
        <w:t xml:space="preserve"> </w:t>
      </w:r>
    </w:p>
    <w:p w:rsidR="3A3EFC00" w:rsidP="3A3EFC00" w:rsidRDefault="3A3EFC00" w14:paraId="7A34A5BA" w14:textId="24D374BE">
      <w:pPr>
        <w:pStyle w:val="Normalny"/>
      </w:pPr>
    </w:p>
    <w:p w:rsidR="32FA9554" w:rsidP="3A3EFC00" w:rsidRDefault="32FA9554" w14:paraId="7981AD30" w14:textId="62E3D39E">
      <w:pPr>
        <w:pStyle w:val="Normalny"/>
      </w:pPr>
      <w:r w:rsidR="32FA9554">
        <w:rPr/>
        <w:t xml:space="preserve"> </w:t>
      </w:r>
    </w:p>
    <w:p w:rsidR="32FA9554" w:rsidP="3A3EFC00" w:rsidRDefault="32FA9554" w14:paraId="2134B480" w14:textId="686F07B6">
      <w:pPr>
        <w:pStyle w:val="Normalny"/>
      </w:pPr>
      <w:r w:rsidR="32FA9554">
        <w:rPr/>
        <w:t xml:space="preserve"> </w:t>
      </w:r>
    </w:p>
    <w:p w:rsidR="32FA9554" w:rsidP="3A3EFC00" w:rsidRDefault="32FA9554" w14:paraId="429DBF21" w14:textId="63D94A10">
      <w:pPr>
        <w:pStyle w:val="Normalny"/>
      </w:pPr>
      <w:r w:rsidR="32FA9554">
        <w:rPr/>
        <w:t xml:space="preserve"> </w:t>
      </w:r>
    </w:p>
    <w:p w:rsidR="32FA9554" w:rsidP="3A3EFC00" w:rsidRDefault="32FA9554" w14:paraId="57764AA7" w14:textId="4F1BA4C1">
      <w:pPr>
        <w:pStyle w:val="Normalny"/>
      </w:pPr>
      <w:r w:rsidR="32FA9554">
        <w:rPr/>
        <w:t xml:space="preserve"> </w:t>
      </w:r>
    </w:p>
    <w:p w:rsidR="32FA9554" w:rsidP="3A3EFC00" w:rsidRDefault="32FA9554" w14:paraId="45415B0E" w14:textId="4A1EEEDD">
      <w:pPr>
        <w:pStyle w:val="Normalny"/>
      </w:pPr>
      <w:r w:rsidR="32FA9554">
        <w:rPr/>
        <w:t xml:space="preserve"> </w:t>
      </w:r>
    </w:p>
    <w:p w:rsidR="3A3EFC00" w:rsidP="3A3EFC00" w:rsidRDefault="3A3EFC00" w14:paraId="5C1B54AE" w14:textId="6028950C">
      <w:pPr>
        <w:pStyle w:val="Normalny"/>
      </w:pPr>
    </w:p>
    <w:sectPr w:rsidR="72838004">
      <w:pgSz w:w="12240" w:h="15840" w:orient="portrait"/>
      <w:pgMar w:top="1440" w:right="1440" w:bottom="1440" w:left="1440" w:header="720" w:footer="720" w:gutter="0"/>
      <w:cols w:space="720"/>
      <w:docGrid w:linePitch="360"/>
      <w:headerReference w:type="default" r:id="R43d612bdcf734734"/>
      <w:footerReference w:type="default" r:id="R1bb3f20a38e14d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randview Display">
    <w:panose1 w:val="020B0502040204020203"/>
    <w:charset w:val="00"/>
    <w:family w:val="swiss"/>
    <w:pitch w:val="variable"/>
    <w:sig w:usb0="A00002C7" w:usb1="00000002"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Standardowy"/>
      <w:bidiVisual w:val="0"/>
      <w:tblW w:w="0" w:type="auto"/>
      <w:tblLayout w:type="fixed"/>
      <w:tblLook w:val="06A0" w:firstRow="1" w:lastRow="0" w:firstColumn="1" w:lastColumn="0" w:noHBand="1" w:noVBand="1"/>
    </w:tblPr>
    <w:tblGrid>
      <w:gridCol w:w="3120"/>
      <w:gridCol w:w="3120"/>
      <w:gridCol w:w="3120"/>
    </w:tblGrid>
    <w:tr w:rsidR="3A3EFC00" w:rsidTr="3A3EFC00" w14:paraId="35AAAB7A">
      <w:trPr>
        <w:trHeight w:val="300"/>
      </w:trPr>
      <w:tc>
        <w:tcPr>
          <w:tcW w:w="3120" w:type="dxa"/>
          <w:tcMar/>
        </w:tcPr>
        <w:p w:rsidR="3A3EFC00" w:rsidP="3A3EFC00" w:rsidRDefault="3A3EFC00" w14:paraId="21EFF481" w14:textId="7292FCCD">
          <w:pPr>
            <w:pStyle w:val="Header"/>
            <w:bidi w:val="0"/>
            <w:ind w:left="-115"/>
            <w:jc w:val="left"/>
          </w:pPr>
        </w:p>
      </w:tc>
      <w:tc>
        <w:tcPr>
          <w:tcW w:w="3120" w:type="dxa"/>
          <w:tcMar/>
        </w:tcPr>
        <w:p w:rsidR="3A3EFC00" w:rsidP="3A3EFC00" w:rsidRDefault="3A3EFC00" w14:paraId="581E1CDE" w14:textId="4DF5BEA1">
          <w:pPr>
            <w:pStyle w:val="Header"/>
            <w:bidi w:val="0"/>
            <w:jc w:val="center"/>
          </w:pPr>
        </w:p>
      </w:tc>
      <w:tc>
        <w:tcPr>
          <w:tcW w:w="3120" w:type="dxa"/>
          <w:tcMar/>
        </w:tcPr>
        <w:p w:rsidR="3A3EFC00" w:rsidP="3A3EFC00" w:rsidRDefault="3A3EFC00" w14:paraId="56473665" w14:textId="0AFAD9EC">
          <w:pPr>
            <w:pStyle w:val="Header"/>
            <w:bidi w:val="0"/>
            <w:ind w:right="-115"/>
            <w:jc w:val="right"/>
          </w:pPr>
        </w:p>
      </w:tc>
    </w:tr>
  </w:tbl>
  <w:p w:rsidR="3A3EFC00" w:rsidP="3A3EFC00" w:rsidRDefault="3A3EFC00" w14:paraId="0F24AC41" w14:textId="3BD41523">
    <w:pPr>
      <w:pStyle w:val="Footer"/>
      <w:bidi w:val="0"/>
    </w:pPr>
  </w:p>
</w:ftr>
</file>

<file path=word/header.xml><?xml version="1.0" encoding="utf-8"?>
<w:hdr xmlns:w14="http://schemas.microsoft.com/office/word/2010/wordml" xmlns:w="http://schemas.openxmlformats.org/wordprocessingml/2006/main">
  <w:tbl>
    <w:tblPr>
      <w:tblStyle w:val="Standardowy"/>
      <w:bidiVisual w:val="0"/>
      <w:tblW w:w="0" w:type="auto"/>
      <w:tblLayout w:type="fixed"/>
      <w:tblLook w:val="06A0" w:firstRow="1" w:lastRow="0" w:firstColumn="1" w:lastColumn="0" w:noHBand="1" w:noVBand="1"/>
    </w:tblPr>
    <w:tblGrid>
      <w:gridCol w:w="3120"/>
      <w:gridCol w:w="3120"/>
      <w:gridCol w:w="3120"/>
    </w:tblGrid>
    <w:tr w:rsidR="3A3EFC00" w:rsidTr="3A3EFC00" w14:paraId="60DBB870">
      <w:trPr>
        <w:trHeight w:val="300"/>
      </w:trPr>
      <w:tc>
        <w:tcPr>
          <w:tcW w:w="3120" w:type="dxa"/>
          <w:tcMar/>
        </w:tcPr>
        <w:p w:rsidR="3A3EFC00" w:rsidP="3A3EFC00" w:rsidRDefault="3A3EFC00" w14:paraId="73C06AB3" w14:textId="0B450F31">
          <w:pPr>
            <w:pStyle w:val="Header"/>
            <w:bidi w:val="0"/>
            <w:ind w:left="-115"/>
            <w:jc w:val="left"/>
          </w:pPr>
        </w:p>
      </w:tc>
      <w:tc>
        <w:tcPr>
          <w:tcW w:w="3120" w:type="dxa"/>
          <w:tcMar/>
        </w:tcPr>
        <w:p w:rsidR="3A3EFC00" w:rsidP="3A3EFC00" w:rsidRDefault="3A3EFC00" w14:paraId="71EFBE20" w14:textId="6273EACD">
          <w:pPr>
            <w:pStyle w:val="Header"/>
            <w:bidi w:val="0"/>
            <w:jc w:val="center"/>
          </w:pPr>
        </w:p>
      </w:tc>
      <w:tc>
        <w:tcPr>
          <w:tcW w:w="3120" w:type="dxa"/>
          <w:tcMar/>
        </w:tcPr>
        <w:p w:rsidR="3A3EFC00" w:rsidP="3A3EFC00" w:rsidRDefault="3A3EFC00" w14:paraId="3716294E" w14:textId="12E84DAF">
          <w:pPr>
            <w:pStyle w:val="Header"/>
            <w:bidi w:val="0"/>
            <w:ind w:right="-115"/>
            <w:jc w:val="right"/>
          </w:pPr>
        </w:p>
      </w:tc>
    </w:tr>
  </w:tbl>
  <w:p w:rsidR="3A3EFC00" w:rsidP="3A3EFC00" w:rsidRDefault="3A3EFC00" w14:paraId="598A531F" w14:textId="5DA7038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0141CC"/>
    <w:rsid w:val="00024951"/>
    <w:rsid w:val="000C7E0E"/>
    <w:rsid w:val="000D1DFC"/>
    <w:rsid w:val="000F7659"/>
    <w:rsid w:val="0037371B"/>
    <w:rsid w:val="00377446"/>
    <w:rsid w:val="003B7ABB"/>
    <w:rsid w:val="004A3743"/>
    <w:rsid w:val="0051061F"/>
    <w:rsid w:val="005152DB"/>
    <w:rsid w:val="00575360"/>
    <w:rsid w:val="00624150"/>
    <w:rsid w:val="00662B7E"/>
    <w:rsid w:val="007024E4"/>
    <w:rsid w:val="007A2EF2"/>
    <w:rsid w:val="007A3C27"/>
    <w:rsid w:val="007C5BF5"/>
    <w:rsid w:val="0088710E"/>
    <w:rsid w:val="008C1CB6"/>
    <w:rsid w:val="008E3A69"/>
    <w:rsid w:val="008E5037"/>
    <w:rsid w:val="009E6E05"/>
    <w:rsid w:val="00A04858"/>
    <w:rsid w:val="00A2057D"/>
    <w:rsid w:val="00A667A2"/>
    <w:rsid w:val="00A762C6"/>
    <w:rsid w:val="00A8B8F4"/>
    <w:rsid w:val="00BD2C78"/>
    <w:rsid w:val="00BE4FCC"/>
    <w:rsid w:val="00C423E7"/>
    <w:rsid w:val="00C46FD9"/>
    <w:rsid w:val="00CD6DBF"/>
    <w:rsid w:val="00D62C76"/>
    <w:rsid w:val="00DB2580"/>
    <w:rsid w:val="00DB41A0"/>
    <w:rsid w:val="00DE4923"/>
    <w:rsid w:val="00E15572"/>
    <w:rsid w:val="00E41E20"/>
    <w:rsid w:val="00EC46B2"/>
    <w:rsid w:val="01ED0161"/>
    <w:rsid w:val="02448955"/>
    <w:rsid w:val="029140E3"/>
    <w:rsid w:val="0339177E"/>
    <w:rsid w:val="03C5DB2B"/>
    <w:rsid w:val="0481DB5F"/>
    <w:rsid w:val="04950042"/>
    <w:rsid w:val="04ABCBF8"/>
    <w:rsid w:val="0542CB86"/>
    <w:rsid w:val="05CD69CB"/>
    <w:rsid w:val="05E4DAD1"/>
    <w:rsid w:val="062784F8"/>
    <w:rsid w:val="06536016"/>
    <w:rsid w:val="06D9B593"/>
    <w:rsid w:val="06F29417"/>
    <w:rsid w:val="06F80903"/>
    <w:rsid w:val="087585F4"/>
    <w:rsid w:val="08C2D9BC"/>
    <w:rsid w:val="0917B639"/>
    <w:rsid w:val="09D00080"/>
    <w:rsid w:val="0B7ABB4A"/>
    <w:rsid w:val="0C29874E"/>
    <w:rsid w:val="0D8C0BF1"/>
    <w:rsid w:val="0DE3CCD2"/>
    <w:rsid w:val="0DEB11A9"/>
    <w:rsid w:val="0E6A837A"/>
    <w:rsid w:val="0EB25C0C"/>
    <w:rsid w:val="0ED3964B"/>
    <w:rsid w:val="0FF27AF9"/>
    <w:rsid w:val="1007F15E"/>
    <w:rsid w:val="1285B1EE"/>
    <w:rsid w:val="129BEF07"/>
    <w:rsid w:val="133F9220"/>
    <w:rsid w:val="13742E99"/>
    <w:rsid w:val="13CBFC46"/>
    <w:rsid w:val="1405BF1E"/>
    <w:rsid w:val="141D4FA1"/>
    <w:rsid w:val="14DB6281"/>
    <w:rsid w:val="1512824C"/>
    <w:rsid w:val="15A18F7F"/>
    <w:rsid w:val="15B8966C"/>
    <w:rsid w:val="16505B83"/>
    <w:rsid w:val="175466CD"/>
    <w:rsid w:val="18F041BF"/>
    <w:rsid w:val="1958D3A0"/>
    <w:rsid w:val="19FD7884"/>
    <w:rsid w:val="1B46742C"/>
    <w:rsid w:val="1C188BCE"/>
    <w:rsid w:val="1CAE25F9"/>
    <w:rsid w:val="1CE2448D"/>
    <w:rsid w:val="1D0E9687"/>
    <w:rsid w:val="1D90F7C5"/>
    <w:rsid w:val="1D9C2C80"/>
    <w:rsid w:val="1E5576BA"/>
    <w:rsid w:val="1E7E14EE"/>
    <w:rsid w:val="1EE4EBB4"/>
    <w:rsid w:val="1FE452B5"/>
    <w:rsid w:val="20E1BE03"/>
    <w:rsid w:val="2100EF77"/>
    <w:rsid w:val="2120B6E3"/>
    <w:rsid w:val="2153BCAE"/>
    <w:rsid w:val="21F6FA85"/>
    <w:rsid w:val="2280E0A5"/>
    <w:rsid w:val="2318D955"/>
    <w:rsid w:val="2392CAE6"/>
    <w:rsid w:val="239DD99D"/>
    <w:rsid w:val="23C7BAB8"/>
    <w:rsid w:val="241EFBE4"/>
    <w:rsid w:val="241F2207"/>
    <w:rsid w:val="25BACC45"/>
    <w:rsid w:val="25BE71DF"/>
    <w:rsid w:val="27421400"/>
    <w:rsid w:val="27569CA6"/>
    <w:rsid w:val="280A3D34"/>
    <w:rsid w:val="285CF855"/>
    <w:rsid w:val="28B7046E"/>
    <w:rsid w:val="28F26D07"/>
    <w:rsid w:val="28F4EF44"/>
    <w:rsid w:val="29782E39"/>
    <w:rsid w:val="29A184A6"/>
    <w:rsid w:val="2A26A771"/>
    <w:rsid w:val="2B508245"/>
    <w:rsid w:val="2BF355D0"/>
    <w:rsid w:val="2C275084"/>
    <w:rsid w:val="2C2C9006"/>
    <w:rsid w:val="2DE0D68C"/>
    <w:rsid w:val="2F0FBB06"/>
    <w:rsid w:val="2F730327"/>
    <w:rsid w:val="2FBFFCCC"/>
    <w:rsid w:val="300EE831"/>
    <w:rsid w:val="30175D82"/>
    <w:rsid w:val="30644899"/>
    <w:rsid w:val="3091EA9C"/>
    <w:rsid w:val="318E8BBE"/>
    <w:rsid w:val="31DB8065"/>
    <w:rsid w:val="326D8615"/>
    <w:rsid w:val="327FE6A6"/>
    <w:rsid w:val="32917B8C"/>
    <w:rsid w:val="32A67410"/>
    <w:rsid w:val="32FA9554"/>
    <w:rsid w:val="3576516A"/>
    <w:rsid w:val="366EC956"/>
    <w:rsid w:val="3671A589"/>
    <w:rsid w:val="36B1C23A"/>
    <w:rsid w:val="38169E45"/>
    <w:rsid w:val="38DD46C7"/>
    <w:rsid w:val="3A3EFC00"/>
    <w:rsid w:val="3B08A9D3"/>
    <w:rsid w:val="3B5A1029"/>
    <w:rsid w:val="3B6A0C76"/>
    <w:rsid w:val="3BA894E6"/>
    <w:rsid w:val="3C036C81"/>
    <w:rsid w:val="3C245F9C"/>
    <w:rsid w:val="3CF5E08A"/>
    <w:rsid w:val="3D67A227"/>
    <w:rsid w:val="3DE3ECC0"/>
    <w:rsid w:val="3E10292B"/>
    <w:rsid w:val="3E2D5FCB"/>
    <w:rsid w:val="3EC376A2"/>
    <w:rsid w:val="3FC85585"/>
    <w:rsid w:val="405319AC"/>
    <w:rsid w:val="40B6AA47"/>
    <w:rsid w:val="42F56A27"/>
    <w:rsid w:val="438C8FEA"/>
    <w:rsid w:val="43BFD74C"/>
    <w:rsid w:val="4412D574"/>
    <w:rsid w:val="44724B4F"/>
    <w:rsid w:val="44745119"/>
    <w:rsid w:val="452B3A76"/>
    <w:rsid w:val="46401326"/>
    <w:rsid w:val="46F5F38B"/>
    <w:rsid w:val="47D512A7"/>
    <w:rsid w:val="4858B692"/>
    <w:rsid w:val="49E3B0C3"/>
    <w:rsid w:val="4A63DDFA"/>
    <w:rsid w:val="4B23FBE3"/>
    <w:rsid w:val="4C7EAD63"/>
    <w:rsid w:val="4D24A286"/>
    <w:rsid w:val="4E1A7DC4"/>
    <w:rsid w:val="4F7C8AAB"/>
    <w:rsid w:val="4F83C579"/>
    <w:rsid w:val="4FB64E25"/>
    <w:rsid w:val="4FDBB231"/>
    <w:rsid w:val="5066DFB5"/>
    <w:rsid w:val="50B4DD7F"/>
    <w:rsid w:val="50F28087"/>
    <w:rsid w:val="51521E86"/>
    <w:rsid w:val="51C3A348"/>
    <w:rsid w:val="524A5143"/>
    <w:rsid w:val="529ED947"/>
    <w:rsid w:val="52A1FC6E"/>
    <w:rsid w:val="53196CFB"/>
    <w:rsid w:val="53700CC7"/>
    <w:rsid w:val="53E621A4"/>
    <w:rsid w:val="5410F116"/>
    <w:rsid w:val="543AA9A8"/>
    <w:rsid w:val="54B902A7"/>
    <w:rsid w:val="54C7A20B"/>
    <w:rsid w:val="54EC74C6"/>
    <w:rsid w:val="550BDD28"/>
    <w:rsid w:val="55271714"/>
    <w:rsid w:val="559E7C1B"/>
    <w:rsid w:val="55F306FD"/>
    <w:rsid w:val="55FD1306"/>
    <w:rsid w:val="56424601"/>
    <w:rsid w:val="57CD915D"/>
    <w:rsid w:val="57D636C5"/>
    <w:rsid w:val="57F3CA70"/>
    <w:rsid w:val="58968882"/>
    <w:rsid w:val="58B00EF5"/>
    <w:rsid w:val="592AA7BF"/>
    <w:rsid w:val="5950BF6D"/>
    <w:rsid w:val="5A3258E3"/>
    <w:rsid w:val="5A5654B3"/>
    <w:rsid w:val="5AABF995"/>
    <w:rsid w:val="5AFD3FEF"/>
    <w:rsid w:val="5B24FA1F"/>
    <w:rsid w:val="5B2C3761"/>
    <w:rsid w:val="5C2FF446"/>
    <w:rsid w:val="5C47C9F6"/>
    <w:rsid w:val="5CA06434"/>
    <w:rsid w:val="5CF2054C"/>
    <w:rsid w:val="5E0141CC"/>
    <w:rsid w:val="5FD804F6"/>
    <w:rsid w:val="602F65AC"/>
    <w:rsid w:val="61667E9E"/>
    <w:rsid w:val="62AC32AB"/>
    <w:rsid w:val="63339633"/>
    <w:rsid w:val="633A24AD"/>
    <w:rsid w:val="635B50A2"/>
    <w:rsid w:val="64CF6694"/>
    <w:rsid w:val="6547F4FC"/>
    <w:rsid w:val="659114ED"/>
    <w:rsid w:val="676DC98D"/>
    <w:rsid w:val="690999EE"/>
    <w:rsid w:val="69227318"/>
    <w:rsid w:val="69940919"/>
    <w:rsid w:val="69FEB3B9"/>
    <w:rsid w:val="6A142B51"/>
    <w:rsid w:val="6A1B661F"/>
    <w:rsid w:val="6B46557B"/>
    <w:rsid w:val="6BA17C44"/>
    <w:rsid w:val="6BD1894A"/>
    <w:rsid w:val="6CA49C03"/>
    <w:rsid w:val="6CAB9D13"/>
    <w:rsid w:val="6CDCDA1A"/>
    <w:rsid w:val="6D49042C"/>
    <w:rsid w:val="6DC24B6C"/>
    <w:rsid w:val="6ECC0658"/>
    <w:rsid w:val="6F61D2B0"/>
    <w:rsid w:val="70E9157A"/>
    <w:rsid w:val="712C294C"/>
    <w:rsid w:val="713F4E2F"/>
    <w:rsid w:val="71912818"/>
    <w:rsid w:val="722C9296"/>
    <w:rsid w:val="726DD76B"/>
    <w:rsid w:val="72838004"/>
    <w:rsid w:val="72DB1E90"/>
    <w:rsid w:val="7395D3E5"/>
    <w:rsid w:val="75D4A47B"/>
    <w:rsid w:val="76195542"/>
    <w:rsid w:val="767F16A4"/>
    <w:rsid w:val="7744CF28"/>
    <w:rsid w:val="7824B3A7"/>
    <w:rsid w:val="78277FA6"/>
    <w:rsid w:val="7909D6CA"/>
    <w:rsid w:val="79ABD583"/>
    <w:rsid w:val="7AB56B3F"/>
    <w:rsid w:val="7ACDB375"/>
    <w:rsid w:val="7B47A5E4"/>
    <w:rsid w:val="7BB8BADC"/>
    <w:rsid w:val="7BD547D0"/>
    <w:rsid w:val="7BDBF47F"/>
    <w:rsid w:val="7C342963"/>
    <w:rsid w:val="7CB23F4B"/>
    <w:rsid w:val="7D26ABE1"/>
    <w:rsid w:val="7D60E411"/>
    <w:rsid w:val="7E0565AA"/>
    <w:rsid w:val="7E418F9A"/>
    <w:rsid w:val="7EFCCDC2"/>
    <w:rsid w:val="7FC97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E9485"/>
  <w15:chartTrackingRefBased/>
  <w15:docId w15:val="{EB53FA12-9FFF-4375-A77E-6AA497CC2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Hipercze">
    <w:name w:val="Hyperlink"/>
    <w:basedOn w:val="Domylnaczcionkaakapitu"/>
    <w:uiPriority w:val="99"/>
    <w:unhideWhenUsed/>
    <w:rsid w:val="00A667A2"/>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Standardowy"/>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omylnaczcionkaakapitu"/>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ny"/>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omylnaczcionkaakapitu"/>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ny"/>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s://en.wikipedia.org/wiki/Andrea_Constand_v._William_H._Cosby,_Jr" TargetMode="External" Id="R5a0d1ab911bb4bca" /><Relationship Type="http://schemas.openxmlformats.org/officeDocument/2006/relationships/hyperlink" Target="https://time.com/5274505/metoo-verbal-nonverbal-consent-cosby-schneiderman/" TargetMode="External" Id="Rf4e9eddafc7d4341" /><Relationship Type="http://schemas.openxmlformats.org/officeDocument/2006/relationships/hyperlink" Target="https://books.google.com/books/about/Consent_in_the_Law.html?id=auDbBAAAQBAJ" TargetMode="External" Id="R9660ef9beac347f0" /><Relationship Type="http://schemas.openxmlformats.org/officeDocument/2006/relationships/hyperlink" Target="https://www.theguardian.com/world/2023/jun/01/bill-cosby-lawsuit-sexual-assault" TargetMode="External" Id="R16a28aa851e64efb" /><Relationship Type="http://schemas.openxmlformats.org/officeDocument/2006/relationships/hyperlink" Target="https://doi.org/10.1093/acprof:oso/9780195335149.003.0013" TargetMode="External" Id="R886010aa77d9432c" /><Relationship Type="http://schemas.openxmlformats.org/officeDocument/2006/relationships/hyperlink" Target="https://papers.ssrn.com/sol3/papers.cfm?abstract_id=3705763" TargetMode="External" Id="Ra3fd3d400aa147bb" /><Relationship Type="http://schemas.openxmlformats.org/officeDocument/2006/relationships/hyperlink" Target="https://www.cps.gov.uk/legal-guidance/offences-against-person-incorporating-charging-standard" TargetMode="External" Id="R96391efb90e943e3" /><Relationship Type="http://schemas.openxmlformats.org/officeDocument/2006/relationships/hyperlink" Target="https://www.medicalnewstoday.com/articles/biases-in-healthcare" TargetMode="External" Id="R10387d45e51c48f2" /><Relationship Type="http://schemas.openxmlformats.org/officeDocument/2006/relationships/hyperlink" Target="https://www.justia.com/criminal/defenses/consent/" TargetMode="External" Id="Rdf2501d542e64e51" /><Relationship Type="http://schemas.openxmlformats.org/officeDocument/2006/relationships/hyperlink" Target="https://law.justia.com/cases/tennessee/supreme-court/2015/e2012-02443-sc-r11-cv.html.(Accessed" TargetMode="External" Id="R1d5d1a03c52145ff" /><Relationship Type="http://schemas.openxmlformats.org/officeDocument/2006/relationships/header" Target="header.xml" Id="R43d612bdcf734734" /><Relationship Type="http://schemas.openxmlformats.org/officeDocument/2006/relationships/footer" Target="footer.xml" Id="R1bb3f20a38e14d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Maria Konciak (2238990)</dc:creator>
  <keywords/>
  <dc:description/>
  <lastModifiedBy>Natalia Maria Konciak (2238990)</lastModifiedBy>
  <revision>34</revision>
  <dcterms:created xsi:type="dcterms:W3CDTF">2023-10-29T09:57:00.0000000Z</dcterms:created>
  <dcterms:modified xsi:type="dcterms:W3CDTF">2023-11-10T10:37:41.4371019Z</dcterms:modified>
</coreProperties>
</file>