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7963006"/>
        <w:docPartObj>
          <w:docPartGallery w:val="Cover Pages"/>
          <w:docPartUnique/>
        </w:docPartObj>
      </w:sdtPr>
      <w:sdtEndPr>
        <w:rPr>
          <w:rFonts w:ascii="Arial" w:hAnsi="Arial" w:cs="Arial"/>
          <w:b/>
          <w:bCs/>
          <w:color w:val="156082" w:themeColor="accent1"/>
        </w:rPr>
      </w:sdtEndPr>
      <w:sdtContent>
        <w:p w14:paraId="6C4C2180" w14:textId="5C708193" w:rsidR="00B32ABB" w:rsidRDefault="00B32ABB"/>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B32ABB" w14:paraId="13B07987" w14:textId="77777777">
            <w:tc>
              <w:tcPr>
                <w:tcW w:w="7672" w:type="dxa"/>
                <w:tcMar>
                  <w:top w:w="216" w:type="dxa"/>
                  <w:left w:w="115" w:type="dxa"/>
                  <w:bottom w:w="216" w:type="dxa"/>
                  <w:right w:w="115" w:type="dxa"/>
                </w:tcMar>
              </w:tcPr>
              <w:p w14:paraId="3FAE1034" w14:textId="010572F2" w:rsidR="00B32ABB" w:rsidRDefault="00B32ABB">
                <w:pPr>
                  <w:pStyle w:val="NoSpacing"/>
                  <w:rPr>
                    <w:color w:val="0F4761" w:themeColor="accent1" w:themeShade="BF"/>
                    <w:sz w:val="24"/>
                  </w:rPr>
                </w:pPr>
              </w:p>
            </w:tc>
          </w:tr>
          <w:tr w:rsidR="00B32ABB" w14:paraId="61ADBBB3" w14:textId="77777777">
            <w:tc>
              <w:tcPr>
                <w:tcW w:w="7672" w:type="dxa"/>
              </w:tcPr>
              <w:sdt>
                <w:sdtPr>
                  <w:rPr>
                    <w:rFonts w:ascii="Arial Black" w:eastAsiaTheme="majorEastAsia" w:hAnsi="Arial Black" w:cstheme="majorBidi"/>
                    <w:color w:val="156082" w:themeColor="accent1"/>
                    <w:sz w:val="56"/>
                    <w:szCs w:val="56"/>
                  </w:rPr>
                  <w:alias w:val="Title"/>
                  <w:id w:val="13406919"/>
                  <w:placeholder>
                    <w:docPart w:val="A7A76AE935C045128C7F960767ABBD61"/>
                  </w:placeholder>
                  <w:dataBinding w:prefixMappings="xmlns:ns0='http://schemas.openxmlformats.org/package/2006/metadata/core-properties' xmlns:ns1='http://purl.org/dc/elements/1.1/'" w:xpath="/ns0:coreProperties[1]/ns1:title[1]" w:storeItemID="{6C3C8BC8-F283-45AE-878A-BAB7291924A1}"/>
                  <w:text/>
                </w:sdtPr>
                <w:sdtContent>
                  <w:p w14:paraId="7432F353" w14:textId="6EF51E14" w:rsidR="00B32ABB" w:rsidRPr="00B32ABB" w:rsidRDefault="00B32ABB">
                    <w:pPr>
                      <w:pStyle w:val="NoSpacing"/>
                      <w:spacing w:line="216" w:lineRule="auto"/>
                      <w:rPr>
                        <w:rFonts w:ascii="Arial Black" w:eastAsiaTheme="majorEastAsia" w:hAnsi="Arial Black" w:cstheme="majorBidi"/>
                        <w:color w:val="156082" w:themeColor="accent1"/>
                        <w:sz w:val="56"/>
                        <w:szCs w:val="56"/>
                      </w:rPr>
                    </w:pPr>
                    <w:r w:rsidRPr="00B32ABB">
                      <w:rPr>
                        <w:rFonts w:ascii="Arial Black" w:eastAsiaTheme="majorEastAsia" w:hAnsi="Arial Black" w:cstheme="majorBidi"/>
                        <w:color w:val="156082" w:themeColor="accent1"/>
                        <w:sz w:val="56"/>
                        <w:szCs w:val="56"/>
                      </w:rPr>
                      <w:t>Financial Ratio Analysis of Apple Inc. (FY2025 vs FY2024)</w:t>
                    </w:r>
                  </w:p>
                </w:sdtContent>
              </w:sdt>
            </w:tc>
          </w:tr>
          <w:tr w:rsidR="00B32ABB" w14:paraId="57738FDA" w14:textId="77777777">
            <w:tc>
              <w:tcPr>
                <w:tcW w:w="7672" w:type="dxa"/>
                <w:tcMar>
                  <w:top w:w="216" w:type="dxa"/>
                  <w:left w:w="115" w:type="dxa"/>
                  <w:bottom w:w="216" w:type="dxa"/>
                  <w:right w:w="115" w:type="dxa"/>
                </w:tcMar>
              </w:tcPr>
              <w:p w14:paraId="6106A84E" w14:textId="642D0859" w:rsidR="00B32ABB" w:rsidRDefault="00B32ABB">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B32ABB" w14:paraId="4C24ABFF" w14:textId="77777777">
            <w:tc>
              <w:tcPr>
                <w:tcW w:w="7221" w:type="dxa"/>
                <w:tcMar>
                  <w:top w:w="216" w:type="dxa"/>
                  <w:left w:w="115" w:type="dxa"/>
                  <w:bottom w:w="216" w:type="dxa"/>
                  <w:right w:w="115" w:type="dxa"/>
                </w:tcMar>
              </w:tcPr>
              <w:sdt>
                <w:sdtPr>
                  <w:rPr>
                    <w:rFonts w:ascii="Arial Black" w:hAnsi="Arial Black"/>
                    <w:color w:val="156082" w:themeColor="accent1"/>
                    <w:sz w:val="44"/>
                    <w:szCs w:val="44"/>
                  </w:rPr>
                  <w:alias w:val="Author"/>
                  <w:id w:val="13406928"/>
                  <w:placeholder>
                    <w:docPart w:val="7CE6BA0D7EBB45DB917D6C3584370756"/>
                  </w:placeholder>
                  <w:dataBinding w:prefixMappings="xmlns:ns0='http://schemas.openxmlformats.org/package/2006/metadata/core-properties' xmlns:ns1='http://purl.org/dc/elements/1.1/'" w:xpath="/ns0:coreProperties[1]/ns1:creator[1]" w:storeItemID="{6C3C8BC8-F283-45AE-878A-BAB7291924A1}"/>
                  <w:text/>
                </w:sdtPr>
                <w:sdtContent>
                  <w:p w14:paraId="07627E08" w14:textId="0734D478" w:rsidR="00B32ABB" w:rsidRPr="00B32ABB" w:rsidRDefault="00B32ABB">
                    <w:pPr>
                      <w:pStyle w:val="NoSpacing"/>
                      <w:rPr>
                        <w:rFonts w:ascii="Arial Black" w:hAnsi="Arial Black"/>
                        <w:color w:val="156082" w:themeColor="accent1"/>
                        <w:sz w:val="44"/>
                        <w:szCs w:val="44"/>
                      </w:rPr>
                    </w:pPr>
                    <w:r w:rsidRPr="00B32ABB">
                      <w:rPr>
                        <w:rFonts w:ascii="Arial Black" w:hAnsi="Arial Black"/>
                        <w:color w:val="156082" w:themeColor="accent1"/>
                        <w:sz w:val="44"/>
                        <w:szCs w:val="44"/>
                      </w:rPr>
                      <w:t xml:space="preserve">Student name: </w:t>
                    </w:r>
                    <w:r w:rsidR="001B3D4B">
                      <w:rPr>
                        <w:rFonts w:ascii="Arial Black" w:hAnsi="Arial Black"/>
                        <w:color w:val="156082" w:themeColor="accent1"/>
                        <w:sz w:val="44"/>
                        <w:szCs w:val="44"/>
                      </w:rPr>
                      <w:t>Armina Margel</w:t>
                    </w:r>
                  </w:p>
                </w:sdtContent>
              </w:sdt>
              <w:sdt>
                <w:sdtPr>
                  <w:rPr>
                    <w:rFonts w:ascii="Arial Black" w:hAnsi="Arial Black"/>
                    <w:color w:val="156082" w:themeColor="accent1"/>
                    <w:sz w:val="44"/>
                    <w:szCs w:val="44"/>
                  </w:rPr>
                  <w:alias w:val="Date"/>
                  <w:tag w:val="Date"/>
                  <w:id w:val="13406932"/>
                  <w:placeholder>
                    <w:docPart w:val="04610167E0DF440FB2C4DBEA09E34CDA"/>
                  </w:placeholder>
                  <w:dataBinding w:prefixMappings="xmlns:ns0='http://schemas.microsoft.com/office/2006/coverPageProps'" w:xpath="/ns0:CoverPageProperties[1]/ns0:PublishDate[1]" w:storeItemID="{55AF091B-3C7A-41E3-B477-F2FDAA23CFDA}"/>
                  <w:date w:fullDate="2026-04-22T00:00:00Z">
                    <w:dateFormat w:val="M-d-yyyy"/>
                    <w:lid w:val="en-US"/>
                    <w:storeMappedDataAs w:val="dateTime"/>
                    <w:calendar w:val="gregorian"/>
                  </w:date>
                </w:sdtPr>
                <w:sdtContent>
                  <w:p w14:paraId="6889B898" w14:textId="71822C6D" w:rsidR="00B32ABB" w:rsidRPr="00B32ABB" w:rsidRDefault="00B32ABB">
                    <w:pPr>
                      <w:pStyle w:val="NoSpacing"/>
                      <w:rPr>
                        <w:rFonts w:ascii="Arial Black" w:hAnsi="Arial Black"/>
                        <w:color w:val="156082" w:themeColor="accent1"/>
                        <w:sz w:val="44"/>
                        <w:szCs w:val="44"/>
                      </w:rPr>
                    </w:pPr>
                    <w:r w:rsidRPr="00B32ABB">
                      <w:rPr>
                        <w:rFonts w:ascii="Arial Black" w:hAnsi="Arial Black"/>
                        <w:color w:val="156082" w:themeColor="accent1"/>
                        <w:sz w:val="44"/>
                        <w:szCs w:val="44"/>
                      </w:rPr>
                      <w:t>4-22-2026</w:t>
                    </w:r>
                  </w:p>
                </w:sdtContent>
              </w:sdt>
              <w:p w14:paraId="067B8832" w14:textId="77777777" w:rsidR="00B32ABB" w:rsidRDefault="00B32ABB">
                <w:pPr>
                  <w:pStyle w:val="NoSpacing"/>
                  <w:rPr>
                    <w:color w:val="156082" w:themeColor="accent1"/>
                  </w:rPr>
                </w:pPr>
              </w:p>
            </w:tc>
          </w:tr>
        </w:tbl>
        <w:p w14:paraId="0C9286DA" w14:textId="69F7A48C" w:rsidR="00B32ABB" w:rsidRDefault="00B32ABB">
          <w:pPr>
            <w:rPr>
              <w:rFonts w:ascii="Arial" w:hAnsi="Arial" w:cs="Arial"/>
              <w:b/>
              <w:bCs/>
              <w:color w:val="156082" w:themeColor="accent1"/>
            </w:rPr>
          </w:pPr>
          <w:r>
            <w:rPr>
              <w:rFonts w:ascii="Arial" w:hAnsi="Arial" w:cs="Arial"/>
              <w:b/>
              <w:bCs/>
              <w:color w:val="156082" w:themeColor="accent1"/>
            </w:rPr>
            <w:br w:type="page"/>
          </w:r>
        </w:p>
      </w:sdtContent>
    </w:sdt>
    <w:p w14:paraId="71E2B42B" w14:textId="6872862E" w:rsidR="001025B1" w:rsidRPr="00FF24A5" w:rsidRDefault="00FF24A5" w:rsidP="001025B1">
      <w:pPr>
        <w:spacing w:line="480" w:lineRule="auto"/>
        <w:rPr>
          <w:rFonts w:ascii="Arial" w:hAnsi="Arial" w:cs="Arial"/>
          <w:b/>
          <w:bCs/>
          <w:color w:val="156082" w:themeColor="accent1"/>
        </w:rPr>
      </w:pPr>
      <w:r w:rsidRPr="00FF24A5">
        <w:rPr>
          <w:rFonts w:ascii="Arial" w:hAnsi="Arial" w:cs="Arial"/>
          <w:b/>
          <w:bCs/>
          <w:color w:val="156082" w:themeColor="accent1"/>
        </w:rPr>
        <w:lastRenderedPageBreak/>
        <w:t xml:space="preserve">Introduction </w:t>
      </w:r>
    </w:p>
    <w:p w14:paraId="66F1D356" w14:textId="48E9D9C8" w:rsidR="001025B1" w:rsidRPr="001025B1" w:rsidRDefault="001025B1" w:rsidP="001025B1">
      <w:pPr>
        <w:spacing w:line="480" w:lineRule="auto"/>
        <w:rPr>
          <w:rFonts w:ascii="Arial" w:hAnsi="Arial" w:cs="Arial"/>
        </w:rPr>
      </w:pPr>
      <w:r w:rsidRPr="001025B1">
        <w:rPr>
          <w:rFonts w:ascii="Arial" w:hAnsi="Arial" w:cs="Arial"/>
        </w:rPr>
        <w:t xml:space="preserve">This report looks at Apple Inc.'s 2-year financial results using Apple's 2 years of financial statements (FY2025 and FY2024). Apple makes a good candidate for this analysis, given the completeness and comparability of their financial statements (income statement, statement of financial position, and statement of cash flows). The analysis converts raw financial data into ratio analysis to demonstrate Apple’s performance in profitability, liquidity, efficiency, and financial risk (e.g., relative to other entities), thereby providing information on the performance of the </w:t>
      </w:r>
      <w:r w:rsidR="00FF24A5">
        <w:rPr>
          <w:rFonts w:ascii="Arial" w:hAnsi="Arial" w:cs="Arial"/>
        </w:rPr>
        <w:t>organisation</w:t>
      </w:r>
      <w:r w:rsidRPr="001025B1">
        <w:rPr>
          <w:rFonts w:ascii="Arial" w:hAnsi="Arial" w:cs="Arial"/>
        </w:rPr>
        <w:t xml:space="preserve"> over time using ratios and assisting in understanding/deciding how to use that information to make informed business decisions. </w:t>
      </w:r>
      <w:r w:rsidR="00FF24A5">
        <w:rPr>
          <w:rFonts w:ascii="Arial" w:hAnsi="Arial" w:cs="Arial"/>
        </w:rPr>
        <w:t>Financial</w:t>
      </w:r>
      <w:r w:rsidRPr="001025B1">
        <w:rPr>
          <w:rFonts w:ascii="Arial" w:hAnsi="Arial" w:cs="Arial"/>
        </w:rPr>
        <w:t xml:space="preserve"> statement analysis </w:t>
      </w:r>
      <w:r w:rsidR="00FF24A5">
        <w:rPr>
          <w:rFonts w:ascii="Arial" w:hAnsi="Arial" w:cs="Arial"/>
        </w:rPr>
        <w:t>helps assess a company’s performance and provides</w:t>
      </w:r>
      <w:r w:rsidRPr="001025B1">
        <w:rPr>
          <w:rFonts w:ascii="Arial" w:hAnsi="Arial" w:cs="Arial"/>
        </w:rPr>
        <w:t xml:space="preserve"> useful information for business decisions. </w:t>
      </w:r>
      <w:r w:rsidR="00FF24A5">
        <w:rPr>
          <w:rFonts w:ascii="Arial" w:hAnsi="Arial" w:cs="Arial"/>
        </w:rPr>
        <w:t>R</w:t>
      </w:r>
      <w:r w:rsidRPr="001025B1">
        <w:rPr>
          <w:rFonts w:ascii="Arial" w:hAnsi="Arial" w:cs="Arial"/>
        </w:rPr>
        <w:t xml:space="preserve">atio analysis is useful for understanding the financial position of Apple. </w:t>
      </w:r>
      <w:r w:rsidR="00FF24A5">
        <w:rPr>
          <w:rFonts w:ascii="Arial" w:hAnsi="Arial" w:cs="Arial"/>
        </w:rPr>
        <w:t>R</w:t>
      </w:r>
      <w:r w:rsidRPr="001025B1">
        <w:rPr>
          <w:rFonts w:ascii="Arial" w:hAnsi="Arial" w:cs="Arial"/>
        </w:rPr>
        <w:t xml:space="preserve">atio analysis </w:t>
      </w:r>
      <w:r w:rsidR="00FF24A5">
        <w:rPr>
          <w:rFonts w:ascii="Arial" w:hAnsi="Arial" w:cs="Arial"/>
        </w:rPr>
        <w:t xml:space="preserve">was </w:t>
      </w:r>
      <w:r w:rsidRPr="001025B1">
        <w:rPr>
          <w:rFonts w:ascii="Arial" w:hAnsi="Arial" w:cs="Arial"/>
        </w:rPr>
        <w:t>done specifically on Apple as the basis for her investment decision. Financial statement data (FY2025 and FY2024) can be found in the financial data section of this report.</w:t>
      </w:r>
    </w:p>
    <w:p w14:paraId="107EDB66" w14:textId="28127263" w:rsidR="001025B1" w:rsidRPr="00FF24A5" w:rsidRDefault="001025B1" w:rsidP="001025B1">
      <w:pPr>
        <w:spacing w:line="480" w:lineRule="auto"/>
        <w:rPr>
          <w:rFonts w:ascii="Arial" w:hAnsi="Arial" w:cs="Arial"/>
          <w:b/>
          <w:bCs/>
          <w:color w:val="156082" w:themeColor="accent1"/>
        </w:rPr>
      </w:pPr>
      <w:r w:rsidRPr="00FF24A5">
        <w:rPr>
          <w:rFonts w:ascii="Arial" w:hAnsi="Arial" w:cs="Arial"/>
          <w:b/>
          <w:bCs/>
          <w:color w:val="156082" w:themeColor="accent1"/>
        </w:rPr>
        <w:t xml:space="preserve">Financial Data </w:t>
      </w:r>
      <w:r w:rsidR="00FF24A5" w:rsidRPr="00FF24A5">
        <w:rPr>
          <w:rFonts w:ascii="Arial" w:hAnsi="Arial" w:cs="Arial"/>
          <w:b/>
          <w:bCs/>
          <w:color w:val="156082" w:themeColor="accent1"/>
        </w:rPr>
        <w:t>Utilised</w:t>
      </w:r>
    </w:p>
    <w:p w14:paraId="1AB220F4" w14:textId="30745832" w:rsidR="001025B1" w:rsidRPr="00FF24A5" w:rsidRDefault="001025B1" w:rsidP="00FF24A5">
      <w:pPr>
        <w:pStyle w:val="ListParagraph"/>
        <w:numPr>
          <w:ilvl w:val="0"/>
          <w:numId w:val="1"/>
        </w:numPr>
        <w:spacing w:line="480" w:lineRule="auto"/>
        <w:rPr>
          <w:rFonts w:ascii="Arial" w:hAnsi="Arial" w:cs="Arial"/>
          <w:b/>
          <w:bCs/>
          <w:color w:val="156082" w:themeColor="accent1"/>
        </w:rPr>
      </w:pPr>
      <w:r w:rsidRPr="00FF24A5">
        <w:rPr>
          <w:rFonts w:ascii="Arial" w:hAnsi="Arial" w:cs="Arial"/>
          <w:b/>
          <w:bCs/>
          <w:color w:val="156082" w:themeColor="accent1"/>
        </w:rPr>
        <w:t>FY2025 Financial Data</w:t>
      </w:r>
    </w:p>
    <w:p w14:paraId="25840DD0" w14:textId="18289447"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Net Sales: $416,161 million</w:t>
      </w:r>
    </w:p>
    <w:p w14:paraId="56129B2F" w14:textId="6C997A77"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Gross Margin: $195,201 million</w:t>
      </w:r>
    </w:p>
    <w:p w14:paraId="22D843E0" w14:textId="6C8AB526"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Operating Income: $133,050 million</w:t>
      </w:r>
    </w:p>
    <w:p w14:paraId="5DB0AE22" w14:textId="7716725F"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Net Income: $112,010 million</w:t>
      </w:r>
    </w:p>
    <w:p w14:paraId="5E152C4F" w14:textId="59CDD9DC"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Current Assets: $147,957 million</w:t>
      </w:r>
    </w:p>
    <w:p w14:paraId="6D51CA5B" w14:textId="33F506C3"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Inventories: $5,718 million</w:t>
      </w:r>
    </w:p>
    <w:p w14:paraId="75CD0854" w14:textId="02E1DC54"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Current Liabilities: $165,631 million</w:t>
      </w:r>
    </w:p>
    <w:p w14:paraId="55C587B5" w14:textId="1CA40673"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lastRenderedPageBreak/>
        <w:t>Total Assets: $359,241 million</w:t>
      </w:r>
    </w:p>
    <w:p w14:paraId="15F41B13" w14:textId="55753976"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Total Liabilities: $285,508 million</w:t>
      </w:r>
    </w:p>
    <w:p w14:paraId="50BF6618" w14:textId="17FF998D" w:rsidR="001025B1" w:rsidRPr="00FF24A5" w:rsidRDefault="00FF24A5" w:rsidP="00FF24A5">
      <w:pPr>
        <w:pStyle w:val="ListParagraph"/>
        <w:numPr>
          <w:ilvl w:val="1"/>
          <w:numId w:val="2"/>
        </w:numPr>
        <w:spacing w:line="480" w:lineRule="auto"/>
        <w:rPr>
          <w:rFonts w:ascii="Arial" w:hAnsi="Arial" w:cs="Arial"/>
        </w:rPr>
      </w:pPr>
      <w:r>
        <w:rPr>
          <w:rFonts w:ascii="Arial" w:hAnsi="Arial" w:cs="Arial"/>
        </w:rPr>
        <w:t>Shareholders'</w:t>
      </w:r>
      <w:r w:rsidR="001025B1" w:rsidRPr="00FF24A5">
        <w:rPr>
          <w:rFonts w:ascii="Arial" w:hAnsi="Arial" w:cs="Arial"/>
        </w:rPr>
        <w:t xml:space="preserve"> Equity: $73,733 million</w:t>
      </w:r>
    </w:p>
    <w:p w14:paraId="59BC776A" w14:textId="703A85B6" w:rsidR="001025B1" w:rsidRPr="00FF24A5" w:rsidRDefault="001025B1" w:rsidP="00FF24A5">
      <w:pPr>
        <w:pStyle w:val="ListParagraph"/>
        <w:numPr>
          <w:ilvl w:val="1"/>
          <w:numId w:val="2"/>
        </w:numPr>
        <w:spacing w:line="480" w:lineRule="auto"/>
        <w:rPr>
          <w:rFonts w:ascii="Arial" w:hAnsi="Arial" w:cs="Arial"/>
        </w:rPr>
      </w:pPr>
      <w:r w:rsidRPr="00FF24A5">
        <w:rPr>
          <w:rFonts w:ascii="Arial" w:hAnsi="Arial" w:cs="Arial"/>
        </w:rPr>
        <w:t>Operating Cash Flow: $111,482 million</w:t>
      </w:r>
    </w:p>
    <w:p w14:paraId="1DE1997E" w14:textId="17E598D1" w:rsidR="001025B1" w:rsidRPr="00FF24A5" w:rsidRDefault="001025B1" w:rsidP="00FF24A5">
      <w:pPr>
        <w:pStyle w:val="ListParagraph"/>
        <w:numPr>
          <w:ilvl w:val="0"/>
          <w:numId w:val="1"/>
        </w:numPr>
        <w:spacing w:line="480" w:lineRule="auto"/>
        <w:rPr>
          <w:rFonts w:ascii="Arial" w:hAnsi="Arial" w:cs="Arial"/>
          <w:b/>
          <w:bCs/>
          <w:color w:val="156082" w:themeColor="accent1"/>
        </w:rPr>
      </w:pPr>
      <w:r w:rsidRPr="00FF24A5">
        <w:rPr>
          <w:rFonts w:ascii="Arial" w:hAnsi="Arial" w:cs="Arial"/>
          <w:b/>
          <w:bCs/>
          <w:color w:val="156082" w:themeColor="accent1"/>
        </w:rPr>
        <w:t>FY2024 Financial Data</w:t>
      </w:r>
    </w:p>
    <w:p w14:paraId="53AC296D" w14:textId="51259B7B"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Net Sales: $391,035 million</w:t>
      </w:r>
    </w:p>
    <w:p w14:paraId="0EBE1AE2" w14:textId="359962ED"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Gross Margin: $180,683 million</w:t>
      </w:r>
    </w:p>
    <w:p w14:paraId="2E1A133D" w14:textId="0AAA92EB"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Operating Income: $123,216 million</w:t>
      </w:r>
    </w:p>
    <w:p w14:paraId="3960DB69" w14:textId="15B29986"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Net Income: $93,736 million</w:t>
      </w:r>
    </w:p>
    <w:p w14:paraId="53CE133A" w14:textId="6964BFB3"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Current Assets: $152,987 million</w:t>
      </w:r>
    </w:p>
    <w:p w14:paraId="23C467DF" w14:textId="276390C1"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Inventories: $7,286 million</w:t>
      </w:r>
    </w:p>
    <w:p w14:paraId="40D19AA5" w14:textId="6BF54C14"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Current Liabilities: $176,392 million</w:t>
      </w:r>
    </w:p>
    <w:p w14:paraId="44269477" w14:textId="3E2AD840"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Total Assets: $364,980 million</w:t>
      </w:r>
    </w:p>
    <w:p w14:paraId="171A81FC" w14:textId="5B515AE8"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Total Liabilities: $308,030 million</w:t>
      </w:r>
    </w:p>
    <w:p w14:paraId="6EF95179" w14:textId="4536B302" w:rsidR="001025B1" w:rsidRPr="00FF24A5" w:rsidRDefault="00FF24A5" w:rsidP="00FF24A5">
      <w:pPr>
        <w:pStyle w:val="ListParagraph"/>
        <w:numPr>
          <w:ilvl w:val="1"/>
          <w:numId w:val="4"/>
        </w:numPr>
        <w:spacing w:line="480" w:lineRule="auto"/>
        <w:rPr>
          <w:rFonts w:ascii="Arial" w:hAnsi="Arial" w:cs="Arial"/>
        </w:rPr>
      </w:pPr>
      <w:r>
        <w:rPr>
          <w:rFonts w:ascii="Arial" w:hAnsi="Arial" w:cs="Arial"/>
        </w:rPr>
        <w:t>Shareholders'</w:t>
      </w:r>
      <w:r w:rsidR="001025B1" w:rsidRPr="00FF24A5">
        <w:rPr>
          <w:rFonts w:ascii="Arial" w:hAnsi="Arial" w:cs="Arial"/>
        </w:rPr>
        <w:t xml:space="preserve"> Equity: $56,950 million</w:t>
      </w:r>
    </w:p>
    <w:p w14:paraId="6DB7803F" w14:textId="4AA4AAA5" w:rsidR="001025B1" w:rsidRPr="00FF24A5" w:rsidRDefault="001025B1" w:rsidP="00FF24A5">
      <w:pPr>
        <w:pStyle w:val="ListParagraph"/>
        <w:numPr>
          <w:ilvl w:val="1"/>
          <w:numId w:val="4"/>
        </w:numPr>
        <w:spacing w:line="480" w:lineRule="auto"/>
        <w:rPr>
          <w:rFonts w:ascii="Arial" w:hAnsi="Arial" w:cs="Arial"/>
        </w:rPr>
      </w:pPr>
      <w:r w:rsidRPr="00FF24A5">
        <w:rPr>
          <w:rFonts w:ascii="Arial" w:hAnsi="Arial" w:cs="Arial"/>
        </w:rPr>
        <w:t>Operating Cash Flow: $118,254 million</w:t>
      </w:r>
    </w:p>
    <w:p w14:paraId="637FE8E5" w14:textId="77777777" w:rsidR="001025B1" w:rsidRPr="00FF24A5" w:rsidRDefault="001025B1" w:rsidP="001025B1">
      <w:pPr>
        <w:spacing w:line="480" w:lineRule="auto"/>
        <w:rPr>
          <w:rFonts w:ascii="Arial" w:hAnsi="Arial" w:cs="Arial"/>
          <w:b/>
          <w:bCs/>
          <w:color w:val="156082" w:themeColor="accent1"/>
        </w:rPr>
      </w:pPr>
      <w:r w:rsidRPr="00FF24A5">
        <w:rPr>
          <w:rFonts w:ascii="Arial" w:hAnsi="Arial" w:cs="Arial"/>
          <w:b/>
          <w:bCs/>
          <w:color w:val="156082" w:themeColor="accent1"/>
        </w:rPr>
        <w:t>Ratio Calculations</w:t>
      </w:r>
    </w:p>
    <w:p w14:paraId="6CDDCBE1" w14:textId="19B054B2" w:rsidR="001025B1" w:rsidRPr="001025B1" w:rsidRDefault="001025B1" w:rsidP="001025B1">
      <w:pPr>
        <w:spacing w:line="480" w:lineRule="auto"/>
        <w:rPr>
          <w:rFonts w:ascii="Arial" w:hAnsi="Arial" w:cs="Arial"/>
        </w:rPr>
      </w:pPr>
      <w:r w:rsidRPr="001025B1">
        <w:rPr>
          <w:rFonts w:ascii="Arial" w:hAnsi="Arial" w:cs="Arial"/>
        </w:rPr>
        <w:t xml:space="preserve">FY2025 GM% = $195,201/$416,161 </w:t>
      </w:r>
      <w:r w:rsidR="00FF24A5">
        <w:rPr>
          <w:rFonts w:ascii="Arial" w:hAnsi="Arial" w:cs="Arial"/>
        </w:rPr>
        <w:t>x</w:t>
      </w:r>
      <w:r w:rsidRPr="001025B1">
        <w:rPr>
          <w:rFonts w:ascii="Arial" w:hAnsi="Arial" w:cs="Arial"/>
        </w:rPr>
        <w:t xml:space="preserve"> 100 = 46.9%</w:t>
      </w:r>
    </w:p>
    <w:p w14:paraId="3E24118D" w14:textId="72D99322" w:rsidR="00FF24A5" w:rsidRDefault="001025B1" w:rsidP="001025B1">
      <w:pPr>
        <w:spacing w:line="480" w:lineRule="auto"/>
        <w:rPr>
          <w:rFonts w:ascii="Arial" w:hAnsi="Arial" w:cs="Arial"/>
        </w:rPr>
      </w:pPr>
      <w:r w:rsidRPr="001025B1">
        <w:rPr>
          <w:rFonts w:ascii="Arial" w:hAnsi="Arial" w:cs="Arial"/>
        </w:rPr>
        <w:t xml:space="preserve">FY2024 GM% = $180,683/$391,035 </w:t>
      </w:r>
      <w:r w:rsidR="00FF24A5">
        <w:rPr>
          <w:rFonts w:ascii="Arial" w:hAnsi="Arial" w:cs="Arial"/>
        </w:rPr>
        <w:t xml:space="preserve">x </w:t>
      </w:r>
      <w:r w:rsidRPr="001025B1">
        <w:rPr>
          <w:rFonts w:ascii="Arial" w:hAnsi="Arial" w:cs="Arial"/>
        </w:rPr>
        <w:t>11</w:t>
      </w:r>
      <w:r w:rsidR="00FF24A5">
        <w:rPr>
          <w:rFonts w:ascii="Arial" w:hAnsi="Arial" w:cs="Arial"/>
        </w:rPr>
        <w:t xml:space="preserve"> = 46.2%</w:t>
      </w:r>
    </w:p>
    <w:p w14:paraId="5C6A7605" w14:textId="1FEE6EB3" w:rsidR="001025B1" w:rsidRPr="00FF24A5" w:rsidRDefault="001025B1" w:rsidP="001025B1">
      <w:pPr>
        <w:spacing w:line="480" w:lineRule="auto"/>
        <w:rPr>
          <w:rFonts w:ascii="Arial" w:hAnsi="Arial" w:cs="Arial"/>
          <w:b/>
          <w:bCs/>
          <w:color w:val="156082" w:themeColor="accent1"/>
        </w:rPr>
      </w:pPr>
      <w:r w:rsidRPr="00FF24A5">
        <w:rPr>
          <w:rFonts w:ascii="Arial" w:hAnsi="Arial" w:cs="Arial"/>
          <w:b/>
          <w:bCs/>
          <w:color w:val="156082" w:themeColor="accent1"/>
        </w:rPr>
        <w:t>Prospect Ratio</w:t>
      </w:r>
    </w:p>
    <w:p w14:paraId="28A920E0" w14:textId="015737B6" w:rsidR="001025B1" w:rsidRPr="001025B1" w:rsidRDefault="001025B1" w:rsidP="001025B1">
      <w:pPr>
        <w:spacing w:line="480" w:lineRule="auto"/>
        <w:rPr>
          <w:rFonts w:ascii="Arial" w:hAnsi="Arial" w:cs="Arial"/>
        </w:rPr>
      </w:pPr>
      <w:r w:rsidRPr="001025B1">
        <w:rPr>
          <w:rFonts w:ascii="Arial" w:hAnsi="Arial" w:cs="Arial"/>
        </w:rPr>
        <w:t>FY2025:</w:t>
      </w:r>
      <w:r w:rsidR="00FF24A5">
        <w:rPr>
          <w:rFonts w:ascii="Arial" w:hAnsi="Arial" w:cs="Arial"/>
        </w:rPr>
        <w:t xml:space="preserve"> </w:t>
      </w:r>
      <w:r w:rsidRPr="001025B1">
        <w:rPr>
          <w:rFonts w:ascii="Arial" w:hAnsi="Arial" w:cs="Arial"/>
        </w:rPr>
        <w:t>(416,161 × 13.84%) + (416,161 × 6.70%) = 57,780 + 27,891 = 85,671</w:t>
      </w:r>
    </w:p>
    <w:p w14:paraId="7B5EF2EF" w14:textId="1DF84882" w:rsidR="001025B1" w:rsidRPr="001025B1" w:rsidRDefault="001025B1" w:rsidP="001025B1">
      <w:pPr>
        <w:spacing w:line="480" w:lineRule="auto"/>
        <w:rPr>
          <w:rFonts w:ascii="Arial" w:hAnsi="Arial" w:cs="Arial"/>
        </w:rPr>
      </w:pPr>
      <w:r w:rsidRPr="001025B1">
        <w:rPr>
          <w:rFonts w:ascii="Arial" w:hAnsi="Arial" w:cs="Arial"/>
        </w:rPr>
        <w:t xml:space="preserve">85,671 </w:t>
      </w:r>
      <w:r w:rsidR="00FF24A5">
        <w:rPr>
          <w:rFonts w:ascii="Arial" w:hAnsi="Arial" w:cs="Arial"/>
        </w:rPr>
        <w:t>/</w:t>
      </w:r>
      <w:r w:rsidRPr="001025B1">
        <w:rPr>
          <w:rFonts w:ascii="Arial" w:hAnsi="Arial" w:cs="Arial"/>
        </w:rPr>
        <w:t xml:space="preserve"> 73,733 = 1.16</w:t>
      </w:r>
    </w:p>
    <w:p w14:paraId="3A0F5FC0" w14:textId="77777777" w:rsidR="00FF24A5" w:rsidRDefault="001025B1" w:rsidP="001025B1">
      <w:pPr>
        <w:spacing w:line="480" w:lineRule="auto"/>
        <w:rPr>
          <w:rFonts w:ascii="Arial" w:hAnsi="Arial" w:cs="Arial"/>
        </w:rPr>
      </w:pPr>
      <w:r w:rsidRPr="001025B1">
        <w:rPr>
          <w:rFonts w:ascii="Arial" w:hAnsi="Arial" w:cs="Arial"/>
        </w:rPr>
        <w:t>FY2024:</w:t>
      </w:r>
      <w:r w:rsidR="00FF24A5">
        <w:rPr>
          <w:rFonts w:ascii="Arial" w:hAnsi="Arial" w:cs="Arial"/>
        </w:rPr>
        <w:t xml:space="preserve"> </w:t>
      </w:r>
      <w:r w:rsidRPr="001025B1">
        <w:rPr>
          <w:rFonts w:ascii="Arial" w:hAnsi="Arial" w:cs="Arial"/>
        </w:rPr>
        <w:t>(391,035 × 13.84%) + (391,035 × 6.70%) = 54,221 + 26,081 = 80,302</w:t>
      </w:r>
    </w:p>
    <w:p w14:paraId="6F967F70" w14:textId="77777777" w:rsidR="00FF24A5" w:rsidRDefault="001025B1" w:rsidP="001025B1">
      <w:pPr>
        <w:spacing w:line="480" w:lineRule="auto"/>
        <w:rPr>
          <w:rFonts w:ascii="Arial" w:hAnsi="Arial" w:cs="Arial"/>
        </w:rPr>
      </w:pPr>
      <w:r w:rsidRPr="001025B1">
        <w:rPr>
          <w:rFonts w:ascii="Arial" w:hAnsi="Arial" w:cs="Arial"/>
        </w:rPr>
        <w:lastRenderedPageBreak/>
        <w:t xml:space="preserve">80,302 </w:t>
      </w:r>
      <w:r w:rsidR="00FF24A5">
        <w:rPr>
          <w:rFonts w:ascii="Arial" w:hAnsi="Arial" w:cs="Arial"/>
        </w:rPr>
        <w:t>/</w:t>
      </w:r>
      <w:r w:rsidRPr="001025B1">
        <w:rPr>
          <w:rFonts w:ascii="Arial" w:hAnsi="Arial" w:cs="Arial"/>
        </w:rPr>
        <w:t xml:space="preserve"> 56,950 = 1.</w:t>
      </w:r>
    </w:p>
    <w:p w14:paraId="2590A9B9" w14:textId="06225EAB" w:rsidR="001025B1" w:rsidRPr="00FF24A5" w:rsidRDefault="001025B1" w:rsidP="001025B1">
      <w:pPr>
        <w:spacing w:line="480" w:lineRule="auto"/>
        <w:rPr>
          <w:rFonts w:ascii="Arial" w:hAnsi="Arial" w:cs="Arial"/>
          <w:b/>
          <w:bCs/>
          <w:color w:val="156082" w:themeColor="accent1"/>
        </w:rPr>
      </w:pPr>
      <w:r w:rsidRPr="00FF24A5">
        <w:rPr>
          <w:rFonts w:ascii="Arial" w:hAnsi="Arial" w:cs="Arial"/>
          <w:b/>
          <w:bCs/>
          <w:color w:val="156082" w:themeColor="accent1"/>
        </w:rPr>
        <w:t>Operating Cash Flow Margin</w:t>
      </w:r>
    </w:p>
    <w:p w14:paraId="5C23ADA4" w14:textId="270A5054" w:rsidR="001025B1" w:rsidRPr="00FF24A5" w:rsidRDefault="001025B1" w:rsidP="00FF24A5">
      <w:pPr>
        <w:spacing w:line="480" w:lineRule="auto"/>
        <w:jc w:val="center"/>
        <w:rPr>
          <w:rFonts w:ascii="Arial" w:hAnsi="Arial" w:cs="Arial"/>
          <w:b/>
          <w:bCs/>
        </w:rPr>
      </w:pPr>
      <w:r w:rsidRPr="00FF24A5">
        <w:rPr>
          <w:rFonts w:ascii="Arial" w:hAnsi="Arial" w:cs="Arial"/>
          <w:b/>
          <w:bCs/>
        </w:rPr>
        <w:t>Operating Cash Flow / Net Sales x 100</w:t>
      </w:r>
    </w:p>
    <w:p w14:paraId="5FC94D4F" w14:textId="60F7EA77" w:rsidR="001025B1" w:rsidRPr="001025B1" w:rsidRDefault="001025B1" w:rsidP="001025B1">
      <w:pPr>
        <w:spacing w:line="480" w:lineRule="auto"/>
        <w:rPr>
          <w:rFonts w:ascii="Arial" w:hAnsi="Arial" w:cs="Arial"/>
        </w:rPr>
      </w:pPr>
      <w:r w:rsidRPr="001025B1">
        <w:rPr>
          <w:rFonts w:ascii="Arial" w:hAnsi="Arial" w:cs="Arial"/>
        </w:rPr>
        <w:t>FY2025</w:t>
      </w:r>
      <w:r w:rsidR="00AF22F7">
        <w:rPr>
          <w:rFonts w:ascii="Arial" w:hAnsi="Arial" w:cs="Arial"/>
        </w:rPr>
        <w:t xml:space="preserve">: </w:t>
      </w:r>
      <w:r w:rsidRPr="001025B1">
        <w:rPr>
          <w:rFonts w:ascii="Arial" w:hAnsi="Arial" w:cs="Arial"/>
        </w:rPr>
        <w:t xml:space="preserve">111,482 </w:t>
      </w:r>
      <w:r w:rsidR="00AF22F7">
        <w:rPr>
          <w:rFonts w:ascii="Arial" w:hAnsi="Arial" w:cs="Arial"/>
        </w:rPr>
        <w:t>/</w:t>
      </w:r>
      <w:r w:rsidRPr="001025B1">
        <w:rPr>
          <w:rFonts w:ascii="Arial" w:hAnsi="Arial" w:cs="Arial"/>
        </w:rPr>
        <w:t xml:space="preserve"> 416,161 </w:t>
      </w:r>
      <w:r w:rsidR="00AF22F7">
        <w:rPr>
          <w:rFonts w:ascii="Arial" w:hAnsi="Arial" w:cs="Arial"/>
        </w:rPr>
        <w:t>x</w:t>
      </w:r>
      <w:r w:rsidRPr="001025B1">
        <w:rPr>
          <w:rFonts w:ascii="Arial" w:hAnsi="Arial" w:cs="Arial"/>
        </w:rPr>
        <w:t xml:space="preserve"> 100 = 26.8%</w:t>
      </w:r>
    </w:p>
    <w:p w14:paraId="48A7BCA5" w14:textId="6C36C9A6" w:rsidR="001025B1" w:rsidRPr="001025B1" w:rsidRDefault="001025B1" w:rsidP="001025B1">
      <w:pPr>
        <w:spacing w:line="480" w:lineRule="auto"/>
        <w:rPr>
          <w:rFonts w:ascii="Arial" w:hAnsi="Arial" w:cs="Arial"/>
        </w:rPr>
      </w:pPr>
      <w:r w:rsidRPr="001025B1">
        <w:rPr>
          <w:rFonts w:ascii="Arial" w:hAnsi="Arial" w:cs="Arial"/>
        </w:rPr>
        <w:t>FY2024</w:t>
      </w:r>
      <w:r w:rsidR="00AF22F7">
        <w:rPr>
          <w:rFonts w:ascii="Arial" w:hAnsi="Arial" w:cs="Arial"/>
        </w:rPr>
        <w:t xml:space="preserve">: </w:t>
      </w:r>
      <w:r w:rsidRPr="001025B1">
        <w:rPr>
          <w:rFonts w:ascii="Arial" w:hAnsi="Arial" w:cs="Arial"/>
        </w:rPr>
        <w:t xml:space="preserve">118,254 </w:t>
      </w:r>
      <w:r w:rsidR="00AF22F7">
        <w:rPr>
          <w:rFonts w:ascii="Arial" w:hAnsi="Arial" w:cs="Arial"/>
        </w:rPr>
        <w:t>/</w:t>
      </w:r>
      <w:r w:rsidRPr="001025B1">
        <w:rPr>
          <w:rFonts w:ascii="Arial" w:hAnsi="Arial" w:cs="Arial"/>
        </w:rPr>
        <w:t xml:space="preserve"> 391,035 </w:t>
      </w:r>
      <w:r w:rsidR="00AF22F7">
        <w:rPr>
          <w:rFonts w:ascii="Arial" w:hAnsi="Arial" w:cs="Arial"/>
        </w:rPr>
        <w:t>x</w:t>
      </w:r>
      <w:r w:rsidRPr="001025B1">
        <w:rPr>
          <w:rFonts w:ascii="Arial" w:hAnsi="Arial" w:cs="Arial"/>
        </w:rPr>
        <w:t xml:space="preserve"> 100 = 30.2%</w:t>
      </w:r>
    </w:p>
    <w:p w14:paraId="31BD0658" w14:textId="77777777" w:rsidR="001025B1" w:rsidRPr="00AF22F7" w:rsidRDefault="001025B1" w:rsidP="001025B1">
      <w:pPr>
        <w:spacing w:line="480" w:lineRule="auto"/>
        <w:rPr>
          <w:rFonts w:ascii="Arial" w:hAnsi="Arial" w:cs="Arial"/>
          <w:b/>
          <w:bCs/>
          <w:color w:val="156082" w:themeColor="accent1"/>
        </w:rPr>
      </w:pPr>
      <w:r w:rsidRPr="00AF22F7">
        <w:rPr>
          <w:rFonts w:ascii="Arial" w:hAnsi="Arial" w:cs="Arial"/>
          <w:b/>
          <w:bCs/>
          <w:color w:val="156082" w:themeColor="accent1"/>
        </w:rPr>
        <w:t>Ratio Analysis &amp; Comparison of Profitability</w:t>
      </w:r>
    </w:p>
    <w:p w14:paraId="3BA93F00" w14:textId="2D80FF65" w:rsidR="001025B1" w:rsidRPr="001025B1" w:rsidRDefault="001025B1" w:rsidP="001025B1">
      <w:pPr>
        <w:spacing w:line="480" w:lineRule="auto"/>
        <w:rPr>
          <w:rFonts w:ascii="Arial" w:hAnsi="Arial" w:cs="Arial"/>
        </w:rPr>
      </w:pPr>
      <w:r w:rsidRPr="001025B1">
        <w:rPr>
          <w:rFonts w:ascii="Arial" w:hAnsi="Arial" w:cs="Arial"/>
        </w:rPr>
        <w:t>Apple outperformed relative to profitability metrics during FY2025. Specifically, Gross Profit Margin increased from 46.2% to 46.9%, Operating Margin increased from 31.5% to 32.0%, and Net Profit Margin increased from 24.0% to 26.9%. Collectively</w:t>
      </w:r>
      <w:r w:rsidR="00AF22F7">
        <w:rPr>
          <w:rFonts w:ascii="Arial" w:hAnsi="Arial" w:cs="Arial"/>
        </w:rPr>
        <w:t>,</w:t>
      </w:r>
      <w:r w:rsidRPr="001025B1">
        <w:rPr>
          <w:rFonts w:ascii="Arial" w:hAnsi="Arial" w:cs="Arial"/>
        </w:rPr>
        <w:t xml:space="preserve"> these margins indicate that Apple generated greater profit for each dollar of revenue. In terms of total revenues, Apple grew by approximately $25.1 billion from FY2024 to FY2025. There was also an increase of approximately $14.5 billion in gross margin, suggesting that Apple was able to tightly control </w:t>
      </w:r>
      <w:r w:rsidR="00AF22F7">
        <w:rPr>
          <w:rFonts w:ascii="Arial" w:hAnsi="Arial" w:cs="Arial"/>
        </w:rPr>
        <w:t xml:space="preserve">the </w:t>
      </w:r>
      <w:r w:rsidRPr="001025B1">
        <w:rPr>
          <w:rFonts w:ascii="Arial" w:hAnsi="Arial" w:cs="Arial"/>
        </w:rPr>
        <w:t xml:space="preserve">cost of production and continue to benefit from </w:t>
      </w:r>
      <w:r w:rsidR="00AF22F7">
        <w:rPr>
          <w:rFonts w:ascii="Arial" w:hAnsi="Arial" w:cs="Arial"/>
        </w:rPr>
        <w:t xml:space="preserve">a </w:t>
      </w:r>
      <w:r w:rsidRPr="001025B1">
        <w:rPr>
          <w:rFonts w:ascii="Arial" w:hAnsi="Arial" w:cs="Arial"/>
        </w:rPr>
        <w:t xml:space="preserve">high pricing strategy (selling products for more than they should be sold). In terms of services revenue, Apple grew </w:t>
      </w:r>
      <w:r w:rsidR="00AF22F7">
        <w:rPr>
          <w:rFonts w:ascii="Arial" w:hAnsi="Arial" w:cs="Arial"/>
        </w:rPr>
        <w:t xml:space="preserve">its </w:t>
      </w:r>
      <w:r w:rsidRPr="001025B1">
        <w:rPr>
          <w:rFonts w:ascii="Arial" w:hAnsi="Arial" w:cs="Arial"/>
        </w:rPr>
        <w:t>services revenue from $96.2 billion in FY2024 to $109.2 billion in FY2025, and service revenue tends to have greater margins than hardware. Prior research has established that diversification and strong profit margins are both key strengths of Apple's business model.</w:t>
      </w:r>
    </w:p>
    <w:p w14:paraId="24BDE6E8" w14:textId="77777777" w:rsidR="001025B1" w:rsidRPr="001025B1" w:rsidRDefault="001025B1" w:rsidP="001025B1">
      <w:pPr>
        <w:spacing w:line="480" w:lineRule="auto"/>
        <w:rPr>
          <w:rFonts w:ascii="Arial" w:hAnsi="Arial" w:cs="Arial"/>
        </w:rPr>
      </w:pPr>
      <w:r w:rsidRPr="001025B1">
        <w:rPr>
          <w:rFonts w:ascii="Arial" w:hAnsi="Arial" w:cs="Arial"/>
        </w:rPr>
        <w:t xml:space="preserve">It is essential to take into consideration how to properly interpret Apple’s improvement in net profit from FY2024 to FY2025: Apple reported net profit in FY2024 that included $10.2 billion of a one-time tax charge incurred as a result of a European Union State Aid ruling; therefore the $93.74 billion of net income Apple reported for FY2024 would have been $103.98 billion but for this one-time </w:t>
      </w:r>
      <w:r w:rsidRPr="001025B1">
        <w:rPr>
          <w:rFonts w:ascii="Arial" w:hAnsi="Arial" w:cs="Arial"/>
        </w:rPr>
        <w:lastRenderedPageBreak/>
        <w:t>adjustment. Therefore, it is true that Apple improved its net profit in FY2025; however, it is misleading to compare the percentage increase in net profit margin on a GAAP basis with the actual improvement in net profit margin without first adjusting for the one-time tax charge that occurred in FY2024.</w:t>
      </w:r>
    </w:p>
    <w:p w14:paraId="309FEB1E" w14:textId="14C7340A" w:rsidR="001025B1" w:rsidRPr="00AF22F7" w:rsidRDefault="00AF22F7" w:rsidP="001025B1">
      <w:pPr>
        <w:spacing w:line="480" w:lineRule="auto"/>
        <w:rPr>
          <w:rFonts w:ascii="Arial" w:hAnsi="Arial" w:cs="Arial"/>
          <w:b/>
          <w:bCs/>
          <w:color w:val="156082" w:themeColor="accent1"/>
        </w:rPr>
      </w:pPr>
      <w:r>
        <w:rPr>
          <w:rFonts w:ascii="Arial" w:hAnsi="Arial" w:cs="Arial"/>
          <w:b/>
          <w:bCs/>
          <w:color w:val="156082" w:themeColor="accent1"/>
        </w:rPr>
        <w:t>Liquidity</w:t>
      </w:r>
    </w:p>
    <w:p w14:paraId="020BBAAA" w14:textId="3BB378F8" w:rsidR="001025B1" w:rsidRPr="001025B1" w:rsidRDefault="001025B1" w:rsidP="001025B1">
      <w:pPr>
        <w:spacing w:line="480" w:lineRule="auto"/>
        <w:rPr>
          <w:rFonts w:ascii="Arial" w:hAnsi="Arial" w:cs="Arial"/>
        </w:rPr>
      </w:pPr>
      <w:r w:rsidRPr="001025B1">
        <w:rPr>
          <w:rFonts w:ascii="Arial" w:hAnsi="Arial" w:cs="Arial"/>
        </w:rPr>
        <w:t>Apple experienced a slight overall improvement in liquidity from FY2024 to FY2025. Current Ratio went from 0.87 to 0.89</w:t>
      </w:r>
      <w:r w:rsidR="00AF22F7">
        <w:rPr>
          <w:rFonts w:ascii="Arial" w:hAnsi="Arial" w:cs="Arial"/>
        </w:rPr>
        <w:t>,</w:t>
      </w:r>
      <w:r w:rsidRPr="001025B1">
        <w:rPr>
          <w:rFonts w:ascii="Arial" w:hAnsi="Arial" w:cs="Arial"/>
        </w:rPr>
        <w:t xml:space="preserve"> and Quick Ratio went from 0.83 to 0.86; however, both </w:t>
      </w:r>
      <w:r w:rsidR="00AF22F7">
        <w:rPr>
          <w:rFonts w:ascii="Arial" w:hAnsi="Arial" w:cs="Arial"/>
        </w:rPr>
        <w:t>ratios are still below 1.0, indicating that Apple has insufficient liquidity. Although</w:t>
      </w:r>
      <w:r w:rsidRPr="001025B1">
        <w:rPr>
          <w:rFonts w:ascii="Arial" w:hAnsi="Arial" w:cs="Arial"/>
        </w:rPr>
        <w:t xml:space="preserve"> many companies </w:t>
      </w:r>
      <w:r w:rsidR="00AF22F7">
        <w:rPr>
          <w:rFonts w:ascii="Arial" w:hAnsi="Arial" w:cs="Arial"/>
        </w:rPr>
        <w:t xml:space="preserve">share this concern, Apple is unique in that it has </w:t>
      </w:r>
      <w:r w:rsidRPr="001025B1">
        <w:rPr>
          <w:rFonts w:ascii="Arial" w:hAnsi="Arial" w:cs="Arial"/>
        </w:rPr>
        <w:t>strong cash flow and can access capital markets easily. According to Wu, Apple can overcome its issues related to its debt thanks to its size and its ability to earn.</w:t>
      </w:r>
    </w:p>
    <w:p w14:paraId="2B6B7B02" w14:textId="57987578" w:rsidR="001025B1" w:rsidRPr="00AF22F7" w:rsidRDefault="001025B1" w:rsidP="001025B1">
      <w:pPr>
        <w:spacing w:line="480" w:lineRule="auto"/>
        <w:rPr>
          <w:rFonts w:ascii="Arial" w:hAnsi="Arial" w:cs="Arial"/>
          <w:b/>
          <w:bCs/>
          <w:color w:val="156082" w:themeColor="accent1"/>
        </w:rPr>
      </w:pPr>
      <w:r w:rsidRPr="00AF22F7">
        <w:rPr>
          <w:rFonts w:ascii="Arial" w:hAnsi="Arial" w:cs="Arial"/>
          <w:b/>
          <w:bCs/>
          <w:color w:val="156082" w:themeColor="accent1"/>
        </w:rPr>
        <w:t>Effectiveness</w:t>
      </w:r>
    </w:p>
    <w:p w14:paraId="555AC934" w14:textId="77777777" w:rsidR="001025B1" w:rsidRPr="001025B1" w:rsidRDefault="001025B1" w:rsidP="001025B1">
      <w:pPr>
        <w:spacing w:line="480" w:lineRule="auto"/>
        <w:rPr>
          <w:rFonts w:ascii="Arial" w:hAnsi="Arial" w:cs="Arial"/>
        </w:rPr>
      </w:pPr>
      <w:r w:rsidRPr="001025B1">
        <w:rPr>
          <w:rFonts w:ascii="Arial" w:hAnsi="Arial" w:cs="Arial"/>
        </w:rPr>
        <w:t>The company's number of times its assets were turned over in FY2025 improved from 1.07 times to 1.16 times. Therefore, Apple generated more revenue from using its assets. There was also a decrease in inventory from $7.3 billion to $5.7 billion; therefore, it appears as if Apple has better control over its inventory. These findings suggest that Apple was able to operate more effectively in FY2025 than in FY2024. In addition, DuPont's analysis of Apple's operating performance supports the notion that profit margins, the efficiency with which assets are used, and the capital structure together account for Apple's operating performance and not just one of these measures alone.</w:t>
      </w:r>
    </w:p>
    <w:p w14:paraId="16E5A2B0" w14:textId="77777777" w:rsidR="001025B1" w:rsidRPr="001025B1" w:rsidRDefault="001025B1" w:rsidP="001025B1">
      <w:pPr>
        <w:spacing w:line="480" w:lineRule="auto"/>
        <w:rPr>
          <w:rFonts w:ascii="Arial" w:hAnsi="Arial" w:cs="Arial"/>
        </w:rPr>
      </w:pPr>
    </w:p>
    <w:p w14:paraId="3B0A02A7" w14:textId="77777777" w:rsidR="00AF22F7" w:rsidRDefault="00AF22F7" w:rsidP="001025B1">
      <w:pPr>
        <w:spacing w:line="480" w:lineRule="auto"/>
        <w:rPr>
          <w:rFonts w:ascii="Arial" w:hAnsi="Arial" w:cs="Arial"/>
        </w:rPr>
      </w:pPr>
    </w:p>
    <w:p w14:paraId="029F08C4" w14:textId="0A148A07" w:rsidR="001025B1" w:rsidRPr="00AF22F7" w:rsidRDefault="001025B1" w:rsidP="001025B1">
      <w:pPr>
        <w:spacing w:line="480" w:lineRule="auto"/>
        <w:rPr>
          <w:rFonts w:ascii="Arial" w:hAnsi="Arial" w:cs="Arial"/>
          <w:b/>
          <w:bCs/>
          <w:color w:val="156082" w:themeColor="accent1"/>
        </w:rPr>
      </w:pPr>
      <w:r w:rsidRPr="00AF22F7">
        <w:rPr>
          <w:rFonts w:ascii="Arial" w:hAnsi="Arial" w:cs="Arial"/>
          <w:b/>
          <w:bCs/>
          <w:color w:val="156082" w:themeColor="accent1"/>
        </w:rPr>
        <w:lastRenderedPageBreak/>
        <w:t>Gearing and Financial Risk</w:t>
      </w:r>
    </w:p>
    <w:p w14:paraId="2A1FFDFA" w14:textId="50FFDB59" w:rsidR="001025B1" w:rsidRPr="001025B1" w:rsidRDefault="001025B1" w:rsidP="001025B1">
      <w:pPr>
        <w:spacing w:line="480" w:lineRule="auto"/>
        <w:rPr>
          <w:rFonts w:ascii="Arial" w:hAnsi="Arial" w:cs="Arial"/>
        </w:rPr>
      </w:pPr>
      <w:r w:rsidRPr="001025B1">
        <w:rPr>
          <w:rFonts w:ascii="Arial" w:hAnsi="Arial" w:cs="Arial"/>
        </w:rPr>
        <w:t>Apple's debt ratio improved from 82.3% to 81.2%</w:t>
      </w:r>
      <w:r w:rsidR="00AF22F7">
        <w:rPr>
          <w:rFonts w:ascii="Arial" w:hAnsi="Arial" w:cs="Arial"/>
        </w:rPr>
        <w:t>,</w:t>
      </w:r>
      <w:r w:rsidRPr="001025B1">
        <w:rPr>
          <w:rFonts w:ascii="Arial" w:hAnsi="Arial" w:cs="Arial"/>
        </w:rPr>
        <w:t xml:space="preserve"> and its debt-to-equity ratio improved from 4.41 to 3.22. The total value of the company's liabilities went down while the total value of its equity went up, which resulted in Apple having less financial risk. This is a positive indicator because although Apple still carries a significant amount of leverage, it is not as leveraged as it was in FY2024. Wu points out that because Apple heavily relies on debt and share repurchases for funding, there is an increased risk for shareholders. However, the decrease in the amount of leverage provides some promise to shareholders.</w:t>
      </w:r>
    </w:p>
    <w:p w14:paraId="66EF1FAE" w14:textId="408F1DFA" w:rsidR="001025B1" w:rsidRPr="00AF22F7" w:rsidRDefault="001025B1" w:rsidP="001025B1">
      <w:pPr>
        <w:spacing w:line="480" w:lineRule="auto"/>
        <w:rPr>
          <w:rFonts w:ascii="Arial" w:hAnsi="Arial" w:cs="Arial"/>
          <w:b/>
          <w:bCs/>
          <w:color w:val="156082" w:themeColor="accent1"/>
        </w:rPr>
      </w:pPr>
      <w:r w:rsidRPr="00AF22F7">
        <w:rPr>
          <w:rFonts w:ascii="Arial" w:hAnsi="Arial" w:cs="Arial"/>
          <w:b/>
          <w:bCs/>
          <w:color w:val="156082" w:themeColor="accent1"/>
        </w:rPr>
        <w:t>Reasons for Performance Change</w:t>
      </w:r>
    </w:p>
    <w:p w14:paraId="7E9F5237" w14:textId="41F1ADCD" w:rsidR="001025B1" w:rsidRPr="001025B1" w:rsidRDefault="001025B1" w:rsidP="001025B1">
      <w:pPr>
        <w:spacing w:line="480" w:lineRule="auto"/>
        <w:rPr>
          <w:rFonts w:ascii="Arial" w:hAnsi="Arial" w:cs="Arial"/>
        </w:rPr>
      </w:pPr>
      <w:r w:rsidRPr="001025B1">
        <w:rPr>
          <w:rFonts w:ascii="Arial" w:hAnsi="Arial" w:cs="Arial"/>
        </w:rPr>
        <w:t xml:space="preserve">Apple's better performance in FY2025 was primarily the result of higher sales from its Service division, iPhone sales and Mac sales. Services are a significant component of Apple's business model due to their ability to produce </w:t>
      </w:r>
      <w:r w:rsidR="00AF22F7">
        <w:rPr>
          <w:rFonts w:ascii="Arial" w:hAnsi="Arial" w:cs="Arial"/>
        </w:rPr>
        <w:t>recurring</w:t>
      </w:r>
      <w:r w:rsidRPr="001025B1">
        <w:rPr>
          <w:rFonts w:ascii="Arial" w:hAnsi="Arial" w:cs="Arial"/>
        </w:rPr>
        <w:t xml:space="preserve"> revenues and higher profit margins.</w:t>
      </w:r>
      <w:r w:rsidR="00AF22F7">
        <w:rPr>
          <w:rFonts w:ascii="Arial" w:hAnsi="Arial" w:cs="Arial"/>
        </w:rPr>
        <w:t xml:space="preserve"> </w:t>
      </w:r>
      <w:r w:rsidRPr="001025B1">
        <w:rPr>
          <w:rFonts w:ascii="Arial" w:hAnsi="Arial" w:cs="Arial"/>
        </w:rPr>
        <w:t xml:space="preserve">Apple’s premium prices and branding strength depend on the quality of </w:t>
      </w:r>
      <w:r w:rsidR="00AF22F7">
        <w:rPr>
          <w:rFonts w:ascii="Arial" w:hAnsi="Arial" w:cs="Arial"/>
        </w:rPr>
        <w:t>its</w:t>
      </w:r>
      <w:r w:rsidRPr="001025B1">
        <w:rPr>
          <w:rFonts w:ascii="Arial" w:hAnsi="Arial" w:cs="Arial"/>
        </w:rPr>
        <w:t xml:space="preserve"> products. Apple’s ability to retain customers is due primarily to </w:t>
      </w:r>
      <w:r w:rsidR="00AF22F7">
        <w:rPr>
          <w:rFonts w:ascii="Arial" w:hAnsi="Arial" w:cs="Arial"/>
        </w:rPr>
        <w:t>its</w:t>
      </w:r>
      <w:r w:rsidRPr="001025B1">
        <w:rPr>
          <w:rFonts w:ascii="Arial" w:hAnsi="Arial" w:cs="Arial"/>
        </w:rPr>
        <w:t xml:space="preserve"> quality management system and </w:t>
      </w:r>
      <w:r w:rsidR="00AF22F7">
        <w:rPr>
          <w:rFonts w:ascii="Arial" w:hAnsi="Arial" w:cs="Arial"/>
        </w:rPr>
        <w:t>its</w:t>
      </w:r>
      <w:r w:rsidRPr="001025B1">
        <w:rPr>
          <w:rFonts w:ascii="Arial" w:hAnsi="Arial" w:cs="Arial"/>
        </w:rPr>
        <w:t xml:space="preserve"> ability to integrate with an ecosystem, but </w:t>
      </w:r>
      <w:r w:rsidR="00AF22F7">
        <w:rPr>
          <w:rFonts w:ascii="Arial" w:hAnsi="Arial" w:cs="Arial"/>
        </w:rPr>
        <w:t>it</w:t>
      </w:r>
      <w:r w:rsidRPr="001025B1">
        <w:rPr>
          <w:rFonts w:ascii="Arial" w:hAnsi="Arial" w:cs="Arial"/>
        </w:rPr>
        <w:t xml:space="preserve"> will require continued innovation to maintain </w:t>
      </w:r>
      <w:r w:rsidR="00AF22F7">
        <w:rPr>
          <w:rFonts w:ascii="Arial" w:hAnsi="Arial" w:cs="Arial"/>
        </w:rPr>
        <w:t>its</w:t>
      </w:r>
      <w:r w:rsidRPr="001025B1">
        <w:rPr>
          <w:rFonts w:ascii="Arial" w:hAnsi="Arial" w:cs="Arial"/>
        </w:rPr>
        <w:t xml:space="preserve"> competitive edge.</w:t>
      </w:r>
    </w:p>
    <w:p w14:paraId="4F6A7E5F" w14:textId="64C94A58" w:rsidR="001025B1" w:rsidRPr="001025B1" w:rsidRDefault="001025B1" w:rsidP="001025B1">
      <w:pPr>
        <w:spacing w:line="480" w:lineRule="auto"/>
        <w:rPr>
          <w:rFonts w:ascii="Arial" w:hAnsi="Arial" w:cs="Arial"/>
        </w:rPr>
      </w:pPr>
      <w:r w:rsidRPr="001025B1">
        <w:rPr>
          <w:rFonts w:ascii="Arial" w:hAnsi="Arial" w:cs="Arial"/>
        </w:rPr>
        <w:t>Conversely, Apple had weak performance in several areas during the current fiscal year. The decline in sales in the Greater China region, for example, was evident in the $2.57 billion drop in revenue from $66.95 billion to $64.38 billion</w:t>
      </w:r>
      <w:r w:rsidR="00AF22F7">
        <w:rPr>
          <w:rFonts w:ascii="Arial" w:hAnsi="Arial" w:cs="Arial"/>
        </w:rPr>
        <w:t>,</w:t>
      </w:r>
      <w:r w:rsidRPr="001025B1">
        <w:rPr>
          <w:rFonts w:ascii="Arial" w:hAnsi="Arial" w:cs="Arial"/>
        </w:rPr>
        <w:t xml:space="preserve"> attributed to weakening demand. Additionally, operating cash flow also fell from $118.25 billion to $111.48 billion</w:t>
      </w:r>
      <w:r w:rsidR="00AF22F7">
        <w:rPr>
          <w:rFonts w:ascii="Arial" w:hAnsi="Arial" w:cs="Arial"/>
        </w:rPr>
        <w:t>,</w:t>
      </w:r>
      <w:r w:rsidRPr="001025B1">
        <w:rPr>
          <w:rFonts w:ascii="Arial" w:hAnsi="Arial" w:cs="Arial"/>
        </w:rPr>
        <w:t xml:space="preserve"> indicating, in the context of record-high rates of revenue growth, that Apple generated cash in operations slower than revenue; thus, the accelerated rates </w:t>
      </w:r>
      <w:r w:rsidRPr="001025B1">
        <w:rPr>
          <w:rFonts w:ascii="Arial" w:hAnsi="Arial" w:cs="Arial"/>
        </w:rPr>
        <w:lastRenderedPageBreak/>
        <w:t>of revenue growth pose risks to Apple because revenue generation does not equate to cash generated.</w:t>
      </w:r>
    </w:p>
    <w:p w14:paraId="77CC385A" w14:textId="77777777" w:rsidR="001025B1" w:rsidRPr="00AF22F7" w:rsidRDefault="001025B1" w:rsidP="001025B1">
      <w:pPr>
        <w:spacing w:line="480" w:lineRule="auto"/>
        <w:rPr>
          <w:rFonts w:ascii="Arial" w:hAnsi="Arial" w:cs="Arial"/>
          <w:b/>
          <w:bCs/>
          <w:color w:val="156082" w:themeColor="accent1"/>
        </w:rPr>
      </w:pPr>
      <w:r w:rsidRPr="00AF22F7">
        <w:rPr>
          <w:rFonts w:ascii="Arial" w:hAnsi="Arial" w:cs="Arial"/>
          <w:b/>
          <w:bCs/>
          <w:color w:val="156082" w:themeColor="accent1"/>
        </w:rPr>
        <w:t>Future Improvements and Sustainability Recommendations for Apple</w:t>
      </w:r>
    </w:p>
    <w:p w14:paraId="7D623EAF" w14:textId="6909012F" w:rsidR="001025B1" w:rsidRPr="001025B1" w:rsidRDefault="001025B1" w:rsidP="001025B1">
      <w:pPr>
        <w:spacing w:line="480" w:lineRule="auto"/>
        <w:rPr>
          <w:rFonts w:ascii="Arial" w:hAnsi="Arial" w:cs="Arial"/>
        </w:rPr>
      </w:pPr>
      <w:r w:rsidRPr="001025B1">
        <w:rPr>
          <w:rFonts w:ascii="Arial" w:hAnsi="Arial" w:cs="Arial"/>
        </w:rPr>
        <w:t xml:space="preserve">Going forward, Apple must increase their expansion efforts in the </w:t>
      </w:r>
      <w:r w:rsidR="00AF22F7">
        <w:rPr>
          <w:rFonts w:ascii="Arial" w:hAnsi="Arial" w:cs="Arial"/>
        </w:rPr>
        <w:t>s</w:t>
      </w:r>
      <w:r w:rsidRPr="001025B1">
        <w:rPr>
          <w:rFonts w:ascii="Arial" w:hAnsi="Arial" w:cs="Arial"/>
        </w:rPr>
        <w:t xml:space="preserve">ervices segment, as the addition of revenues from the </w:t>
      </w:r>
      <w:r w:rsidR="00AF22F7">
        <w:rPr>
          <w:rFonts w:ascii="Arial" w:hAnsi="Arial" w:cs="Arial"/>
        </w:rPr>
        <w:t>s</w:t>
      </w:r>
      <w:r w:rsidRPr="001025B1">
        <w:rPr>
          <w:rFonts w:ascii="Arial" w:hAnsi="Arial" w:cs="Arial"/>
        </w:rPr>
        <w:t>ervices segment increases margin quality</w:t>
      </w:r>
      <w:r w:rsidR="00AF22F7">
        <w:rPr>
          <w:rFonts w:ascii="Arial" w:hAnsi="Arial" w:cs="Arial"/>
        </w:rPr>
        <w:t>,</w:t>
      </w:r>
      <w:r w:rsidRPr="001025B1">
        <w:rPr>
          <w:rFonts w:ascii="Arial" w:hAnsi="Arial" w:cs="Arial"/>
        </w:rPr>
        <w:t xml:space="preserve"> plus the addition of stable, recurring revenues. In addition to expanding </w:t>
      </w:r>
      <w:r w:rsidR="00AF22F7">
        <w:rPr>
          <w:rFonts w:ascii="Arial" w:hAnsi="Arial" w:cs="Arial"/>
        </w:rPr>
        <w:t>its</w:t>
      </w:r>
      <w:r w:rsidRPr="001025B1">
        <w:rPr>
          <w:rFonts w:ascii="Arial" w:hAnsi="Arial" w:cs="Arial"/>
        </w:rPr>
        <w:t xml:space="preserve"> </w:t>
      </w:r>
      <w:r w:rsidR="00AF22F7">
        <w:rPr>
          <w:rFonts w:ascii="Arial" w:hAnsi="Arial" w:cs="Arial"/>
        </w:rPr>
        <w:t>s</w:t>
      </w:r>
      <w:r w:rsidRPr="001025B1">
        <w:rPr>
          <w:rFonts w:ascii="Arial" w:hAnsi="Arial" w:cs="Arial"/>
        </w:rPr>
        <w:t xml:space="preserve">ervices segment, Apple must also continue to work on their business operations within China, focusing on product </w:t>
      </w:r>
      <w:r w:rsidR="00AF22F7">
        <w:rPr>
          <w:rFonts w:ascii="Arial" w:hAnsi="Arial" w:cs="Arial"/>
        </w:rPr>
        <w:t>localisation</w:t>
      </w:r>
      <w:r w:rsidRPr="001025B1">
        <w:rPr>
          <w:rFonts w:ascii="Arial" w:hAnsi="Arial" w:cs="Arial"/>
        </w:rPr>
        <w:t xml:space="preserve">, building ecosystem partnerships, and improving </w:t>
      </w:r>
      <w:r w:rsidR="00AF22F7">
        <w:rPr>
          <w:rFonts w:ascii="Arial" w:hAnsi="Arial" w:cs="Arial"/>
        </w:rPr>
        <w:t>its</w:t>
      </w:r>
      <w:r w:rsidRPr="001025B1">
        <w:rPr>
          <w:rFonts w:ascii="Arial" w:hAnsi="Arial" w:cs="Arial"/>
        </w:rPr>
        <w:t xml:space="preserve"> competitive position. Additionally, due to the decline of operating cash flows for FY2025, Apple should closely manage their accounts receivable and other working capital accounts to increase the rate of cash conversion. Finally, Apple must increase their investments in sustainability and engage with </w:t>
      </w:r>
      <w:r w:rsidR="00AF22F7">
        <w:rPr>
          <w:rFonts w:ascii="Arial" w:hAnsi="Arial" w:cs="Arial"/>
        </w:rPr>
        <w:t>its</w:t>
      </w:r>
      <w:r w:rsidRPr="001025B1">
        <w:rPr>
          <w:rFonts w:ascii="Arial" w:hAnsi="Arial" w:cs="Arial"/>
        </w:rPr>
        <w:t xml:space="preserve"> stakeholders; according to Lu et al., by focusing on engaging in environmental and social governance (ESG)</w:t>
      </w:r>
      <w:r w:rsidR="00AF22F7">
        <w:rPr>
          <w:rFonts w:ascii="Arial" w:hAnsi="Arial" w:cs="Arial"/>
        </w:rPr>
        <w:t>,</w:t>
      </w:r>
      <w:r w:rsidRPr="001025B1">
        <w:rPr>
          <w:rFonts w:ascii="Arial" w:hAnsi="Arial" w:cs="Arial"/>
        </w:rPr>
        <w:t xml:space="preserve"> the result will be an increase in eco-efficiency and profit efficiency. According to </w:t>
      </w:r>
      <w:proofErr w:type="spellStart"/>
      <w:r w:rsidRPr="001025B1">
        <w:rPr>
          <w:rFonts w:ascii="Arial" w:hAnsi="Arial" w:cs="Arial"/>
        </w:rPr>
        <w:t>Nikmah</w:t>
      </w:r>
      <w:proofErr w:type="spellEnd"/>
      <w:r w:rsidRPr="001025B1">
        <w:rPr>
          <w:rFonts w:ascii="Arial" w:hAnsi="Arial" w:cs="Arial"/>
        </w:rPr>
        <w:t xml:space="preserve"> and </w:t>
      </w:r>
      <w:proofErr w:type="spellStart"/>
      <w:r w:rsidRPr="001025B1">
        <w:rPr>
          <w:rFonts w:ascii="Arial" w:hAnsi="Arial" w:cs="Arial"/>
        </w:rPr>
        <w:t>Fajarini</w:t>
      </w:r>
      <w:proofErr w:type="spellEnd"/>
      <w:r w:rsidRPr="001025B1">
        <w:rPr>
          <w:rFonts w:ascii="Arial" w:hAnsi="Arial" w:cs="Arial"/>
        </w:rPr>
        <w:t xml:space="preserve"> </w:t>
      </w:r>
      <w:r w:rsidR="00AF22F7">
        <w:rPr>
          <w:rFonts w:ascii="Arial" w:hAnsi="Arial" w:cs="Arial"/>
        </w:rPr>
        <w:t xml:space="preserve">(2020), </w:t>
      </w:r>
      <w:r w:rsidRPr="001025B1">
        <w:rPr>
          <w:rFonts w:ascii="Arial" w:hAnsi="Arial" w:cs="Arial"/>
        </w:rPr>
        <w:t>superior financial performance and visibility of corporate social responsibility (CSR) disclosures will deliver increased profits; the conclusions from the above studies indicate the long-term benefits of sustainability through both ethical and financial outcomes.</w:t>
      </w:r>
    </w:p>
    <w:p w14:paraId="03DDA8AB" w14:textId="77777777" w:rsidR="001025B1" w:rsidRPr="00B32ABB" w:rsidRDefault="001025B1" w:rsidP="001025B1">
      <w:pPr>
        <w:spacing w:line="480" w:lineRule="auto"/>
        <w:rPr>
          <w:rFonts w:ascii="Arial" w:hAnsi="Arial" w:cs="Arial"/>
          <w:b/>
          <w:bCs/>
          <w:color w:val="156082" w:themeColor="accent1"/>
        </w:rPr>
      </w:pPr>
      <w:r w:rsidRPr="00B32ABB">
        <w:rPr>
          <w:rFonts w:ascii="Arial" w:hAnsi="Arial" w:cs="Arial"/>
          <w:b/>
          <w:bCs/>
          <w:color w:val="156082" w:themeColor="accent1"/>
        </w:rPr>
        <w:t>Conclusion</w:t>
      </w:r>
    </w:p>
    <w:p w14:paraId="2D68E7A8" w14:textId="4611178D" w:rsidR="001025B1" w:rsidRDefault="001025B1" w:rsidP="001025B1">
      <w:pPr>
        <w:spacing w:line="480" w:lineRule="auto"/>
        <w:rPr>
          <w:rFonts w:ascii="Arial" w:hAnsi="Arial" w:cs="Arial"/>
        </w:rPr>
      </w:pPr>
      <w:r w:rsidRPr="001025B1">
        <w:rPr>
          <w:rFonts w:ascii="Arial" w:hAnsi="Arial" w:cs="Arial"/>
        </w:rPr>
        <w:t xml:space="preserve">To </w:t>
      </w:r>
      <w:r w:rsidR="00B32ABB">
        <w:rPr>
          <w:rFonts w:ascii="Arial" w:hAnsi="Arial" w:cs="Arial"/>
        </w:rPr>
        <w:t>summarise</w:t>
      </w:r>
      <w:r w:rsidRPr="001025B1">
        <w:rPr>
          <w:rFonts w:ascii="Arial" w:hAnsi="Arial" w:cs="Arial"/>
        </w:rPr>
        <w:t xml:space="preserve">, through ratio analysis, Apple had a strong FY2025 performance over FY2024. Overall, Apple’s profitability grew, </w:t>
      </w:r>
      <w:r w:rsidR="00B32ABB">
        <w:rPr>
          <w:rFonts w:ascii="Arial" w:hAnsi="Arial" w:cs="Arial"/>
        </w:rPr>
        <w:t>its</w:t>
      </w:r>
      <w:r w:rsidRPr="001025B1">
        <w:rPr>
          <w:rFonts w:ascii="Arial" w:hAnsi="Arial" w:cs="Arial"/>
        </w:rPr>
        <w:t xml:space="preserve"> efficiency grew, </w:t>
      </w:r>
      <w:r w:rsidR="00B32ABB">
        <w:rPr>
          <w:rFonts w:ascii="Arial" w:hAnsi="Arial" w:cs="Arial"/>
        </w:rPr>
        <w:t xml:space="preserve">and </w:t>
      </w:r>
      <w:r w:rsidRPr="001025B1">
        <w:rPr>
          <w:rFonts w:ascii="Arial" w:hAnsi="Arial" w:cs="Arial"/>
        </w:rPr>
        <w:t xml:space="preserve">the condition of </w:t>
      </w:r>
      <w:r w:rsidR="00B32ABB">
        <w:rPr>
          <w:rFonts w:ascii="Arial" w:hAnsi="Arial" w:cs="Arial"/>
        </w:rPr>
        <w:t>its</w:t>
      </w:r>
      <w:r w:rsidRPr="001025B1">
        <w:rPr>
          <w:rFonts w:ascii="Arial" w:hAnsi="Arial" w:cs="Arial"/>
        </w:rPr>
        <w:t xml:space="preserve"> liquidity improved only slightly. The primary focus of the increases was </w:t>
      </w:r>
      <w:r w:rsidR="00B32ABB" w:rsidRPr="001025B1">
        <w:rPr>
          <w:rFonts w:ascii="Arial" w:hAnsi="Arial" w:cs="Arial"/>
        </w:rPr>
        <w:t>on</w:t>
      </w:r>
      <w:r w:rsidRPr="001025B1">
        <w:rPr>
          <w:rFonts w:ascii="Arial" w:hAnsi="Arial" w:cs="Arial"/>
        </w:rPr>
        <w:t xml:space="preserve"> margin expansion, how efficiently Apple utili</w:t>
      </w:r>
      <w:r w:rsidR="00B32ABB">
        <w:rPr>
          <w:rFonts w:ascii="Arial" w:hAnsi="Arial" w:cs="Arial"/>
        </w:rPr>
        <w:t>s</w:t>
      </w:r>
      <w:r w:rsidRPr="001025B1">
        <w:rPr>
          <w:rFonts w:ascii="Arial" w:hAnsi="Arial" w:cs="Arial"/>
        </w:rPr>
        <w:t xml:space="preserve">ed their assets, how much leverage Apple had, and the continued growth of their Service revenues. The weaknesses identified by </w:t>
      </w:r>
      <w:r w:rsidRPr="001025B1">
        <w:rPr>
          <w:rFonts w:ascii="Arial" w:hAnsi="Arial" w:cs="Arial"/>
        </w:rPr>
        <w:lastRenderedPageBreak/>
        <w:t xml:space="preserve">the ratio analyses </w:t>
      </w:r>
      <w:r w:rsidR="00B32ABB" w:rsidRPr="001025B1">
        <w:rPr>
          <w:rFonts w:ascii="Arial" w:hAnsi="Arial" w:cs="Arial"/>
        </w:rPr>
        <w:t>include</w:t>
      </w:r>
      <w:r w:rsidRPr="001025B1">
        <w:rPr>
          <w:rFonts w:ascii="Arial" w:hAnsi="Arial" w:cs="Arial"/>
        </w:rPr>
        <w:t xml:space="preserve"> low liquidity ratios, continued decreasing margins for operating cash flows, and reduced sales in operations within the Greater China region. With the use of ratio analyses, comparisons were made with Apple’s FY2025 financial statements to develop key indicators to evaluate Apple’s performance, as well as risks. It is concluded that Apple is a very highly profitable and highly efficient business, and that if Apple is to be successful </w:t>
      </w:r>
      <w:r w:rsidR="00B32ABB">
        <w:rPr>
          <w:rFonts w:ascii="Arial" w:hAnsi="Arial" w:cs="Arial"/>
        </w:rPr>
        <w:t>in</w:t>
      </w:r>
      <w:r w:rsidRPr="001025B1">
        <w:rPr>
          <w:rFonts w:ascii="Arial" w:hAnsi="Arial" w:cs="Arial"/>
        </w:rPr>
        <w:t xml:space="preserve"> the future, they need to continue to innovate for sustainability, improve the quality of </w:t>
      </w:r>
      <w:r w:rsidR="00B32ABB">
        <w:rPr>
          <w:rFonts w:ascii="Arial" w:hAnsi="Arial" w:cs="Arial"/>
        </w:rPr>
        <w:t>its</w:t>
      </w:r>
      <w:r w:rsidRPr="001025B1">
        <w:rPr>
          <w:rFonts w:ascii="Arial" w:hAnsi="Arial" w:cs="Arial"/>
        </w:rPr>
        <w:t xml:space="preserve"> cash flows, reduce market concentration risk, and continue to have parity between growth and long-term sustainability.</w:t>
      </w:r>
    </w:p>
    <w:p w14:paraId="4DF79A4D" w14:textId="77777777" w:rsidR="00B32ABB" w:rsidRDefault="00B32ABB" w:rsidP="001025B1">
      <w:pPr>
        <w:spacing w:line="480" w:lineRule="auto"/>
        <w:rPr>
          <w:rFonts w:ascii="Arial" w:hAnsi="Arial" w:cs="Arial"/>
        </w:rPr>
      </w:pPr>
    </w:p>
    <w:p w14:paraId="7CF6312B" w14:textId="77777777" w:rsidR="00B32ABB" w:rsidRDefault="00B32ABB" w:rsidP="001025B1">
      <w:pPr>
        <w:spacing w:line="480" w:lineRule="auto"/>
        <w:rPr>
          <w:rFonts w:ascii="Arial" w:hAnsi="Arial" w:cs="Arial"/>
        </w:rPr>
      </w:pPr>
    </w:p>
    <w:p w14:paraId="43480D4B" w14:textId="77777777" w:rsidR="00B32ABB" w:rsidRDefault="00B32ABB" w:rsidP="001025B1">
      <w:pPr>
        <w:spacing w:line="480" w:lineRule="auto"/>
        <w:rPr>
          <w:rFonts w:ascii="Arial" w:hAnsi="Arial" w:cs="Arial"/>
        </w:rPr>
      </w:pPr>
    </w:p>
    <w:p w14:paraId="3CD05FE6" w14:textId="77777777" w:rsidR="00B32ABB" w:rsidRDefault="00B32ABB" w:rsidP="001025B1">
      <w:pPr>
        <w:spacing w:line="480" w:lineRule="auto"/>
        <w:rPr>
          <w:rFonts w:ascii="Arial" w:hAnsi="Arial" w:cs="Arial"/>
        </w:rPr>
      </w:pPr>
    </w:p>
    <w:p w14:paraId="78D64F70" w14:textId="77777777" w:rsidR="00B32ABB" w:rsidRDefault="00B32ABB" w:rsidP="001025B1">
      <w:pPr>
        <w:spacing w:line="480" w:lineRule="auto"/>
        <w:rPr>
          <w:rFonts w:ascii="Arial" w:hAnsi="Arial" w:cs="Arial"/>
        </w:rPr>
      </w:pPr>
    </w:p>
    <w:p w14:paraId="67D7E7B6" w14:textId="77777777" w:rsidR="00B32ABB" w:rsidRDefault="00B32ABB" w:rsidP="001025B1">
      <w:pPr>
        <w:spacing w:line="480" w:lineRule="auto"/>
        <w:rPr>
          <w:rFonts w:ascii="Arial" w:hAnsi="Arial" w:cs="Arial"/>
        </w:rPr>
      </w:pPr>
    </w:p>
    <w:p w14:paraId="383C9ED6" w14:textId="77777777" w:rsidR="00B32ABB" w:rsidRDefault="00B32ABB" w:rsidP="001025B1">
      <w:pPr>
        <w:spacing w:line="480" w:lineRule="auto"/>
        <w:rPr>
          <w:rFonts w:ascii="Arial" w:hAnsi="Arial" w:cs="Arial"/>
        </w:rPr>
      </w:pPr>
    </w:p>
    <w:p w14:paraId="6D1F0F1F" w14:textId="77777777" w:rsidR="00B32ABB" w:rsidRDefault="00B32ABB" w:rsidP="001025B1">
      <w:pPr>
        <w:spacing w:line="480" w:lineRule="auto"/>
        <w:rPr>
          <w:rFonts w:ascii="Arial" w:hAnsi="Arial" w:cs="Arial"/>
        </w:rPr>
      </w:pPr>
    </w:p>
    <w:p w14:paraId="58AF9F41" w14:textId="77777777" w:rsidR="00B32ABB" w:rsidRDefault="00B32ABB" w:rsidP="001025B1">
      <w:pPr>
        <w:spacing w:line="480" w:lineRule="auto"/>
        <w:rPr>
          <w:rFonts w:ascii="Arial" w:hAnsi="Arial" w:cs="Arial"/>
        </w:rPr>
      </w:pPr>
    </w:p>
    <w:p w14:paraId="38967F38" w14:textId="77777777" w:rsidR="00B32ABB" w:rsidRDefault="00B32ABB" w:rsidP="001025B1">
      <w:pPr>
        <w:spacing w:line="480" w:lineRule="auto"/>
        <w:rPr>
          <w:rFonts w:ascii="Arial" w:hAnsi="Arial" w:cs="Arial"/>
        </w:rPr>
      </w:pPr>
    </w:p>
    <w:p w14:paraId="611A9A35" w14:textId="77777777" w:rsidR="00B32ABB" w:rsidRDefault="00B32ABB" w:rsidP="001025B1">
      <w:pPr>
        <w:spacing w:line="480" w:lineRule="auto"/>
        <w:rPr>
          <w:rFonts w:ascii="Arial" w:hAnsi="Arial" w:cs="Arial"/>
        </w:rPr>
      </w:pPr>
    </w:p>
    <w:p w14:paraId="4F0D4216" w14:textId="77777777" w:rsidR="00B32ABB" w:rsidRDefault="00B32ABB" w:rsidP="001025B1">
      <w:pPr>
        <w:spacing w:line="480" w:lineRule="auto"/>
        <w:rPr>
          <w:rFonts w:ascii="Arial" w:hAnsi="Arial" w:cs="Arial"/>
        </w:rPr>
      </w:pPr>
    </w:p>
    <w:p w14:paraId="71572145" w14:textId="77777777" w:rsidR="00B32ABB" w:rsidRDefault="00B32ABB" w:rsidP="001025B1">
      <w:pPr>
        <w:spacing w:line="480" w:lineRule="auto"/>
        <w:rPr>
          <w:rFonts w:ascii="Arial" w:hAnsi="Arial" w:cs="Arial"/>
        </w:rPr>
      </w:pPr>
    </w:p>
    <w:p w14:paraId="55EED318" w14:textId="249C9A76" w:rsidR="00B32ABB" w:rsidRPr="00B32ABB" w:rsidRDefault="00B32ABB" w:rsidP="001025B1">
      <w:pPr>
        <w:spacing w:line="480" w:lineRule="auto"/>
        <w:rPr>
          <w:rFonts w:ascii="Arial" w:hAnsi="Arial" w:cs="Arial"/>
          <w:b/>
          <w:bCs/>
          <w:color w:val="156082" w:themeColor="accent1"/>
        </w:rPr>
      </w:pPr>
      <w:r w:rsidRPr="00B32ABB">
        <w:rPr>
          <w:rFonts w:ascii="Arial" w:hAnsi="Arial" w:cs="Arial"/>
          <w:b/>
          <w:bCs/>
          <w:color w:val="156082" w:themeColor="accent1"/>
        </w:rPr>
        <w:lastRenderedPageBreak/>
        <w:t xml:space="preserve">References </w:t>
      </w:r>
    </w:p>
    <w:p w14:paraId="4BF4658C" w14:textId="77777777" w:rsidR="00B32ABB" w:rsidRPr="00B32ABB" w:rsidRDefault="00B32ABB" w:rsidP="00B32ABB">
      <w:pPr>
        <w:spacing w:line="480" w:lineRule="auto"/>
        <w:rPr>
          <w:rFonts w:ascii="Arial" w:hAnsi="Arial" w:cs="Arial"/>
        </w:rPr>
      </w:pPr>
      <w:proofErr w:type="spellStart"/>
      <w:r w:rsidRPr="00B32ABB">
        <w:rPr>
          <w:rFonts w:ascii="Arial" w:hAnsi="Arial" w:cs="Arial"/>
        </w:rPr>
        <w:t>Akhonzada</w:t>
      </w:r>
      <w:proofErr w:type="spellEnd"/>
      <w:r w:rsidRPr="00B32ABB">
        <w:rPr>
          <w:rFonts w:ascii="Arial" w:hAnsi="Arial" w:cs="Arial"/>
        </w:rPr>
        <w:t xml:space="preserve">, Z. (2025). Managing quality in Apple’s products and services: A comparative analysis of excellence and ongoing challenges. </w:t>
      </w:r>
      <w:r w:rsidRPr="00B32ABB">
        <w:rPr>
          <w:rFonts w:ascii="Arial" w:hAnsi="Arial" w:cs="Arial"/>
          <w:i/>
          <w:iCs/>
        </w:rPr>
        <w:t>Journal Home Page, 4</w:t>
      </w:r>
      <w:r w:rsidRPr="00B32ABB">
        <w:rPr>
          <w:rFonts w:ascii="Arial" w:hAnsi="Arial" w:cs="Arial"/>
        </w:rPr>
        <w:t>(2), 1–15.</w:t>
      </w:r>
    </w:p>
    <w:p w14:paraId="6652CD3C" w14:textId="50A7B533" w:rsidR="00B32ABB" w:rsidRPr="00B32ABB" w:rsidRDefault="00B32ABB" w:rsidP="00B32ABB">
      <w:pPr>
        <w:spacing w:line="480" w:lineRule="auto"/>
        <w:rPr>
          <w:rFonts w:ascii="Arial" w:hAnsi="Arial" w:cs="Arial"/>
        </w:rPr>
      </w:pPr>
      <w:r w:rsidRPr="00B32ABB">
        <w:rPr>
          <w:rFonts w:ascii="Arial" w:hAnsi="Arial" w:cs="Arial"/>
        </w:rPr>
        <w:t xml:space="preserve">Al Mheiri, R., Al Hosani, N., Saif, E., &amp; </w:t>
      </w:r>
      <w:proofErr w:type="spellStart"/>
      <w:r w:rsidRPr="00B32ABB">
        <w:rPr>
          <w:rFonts w:ascii="Arial" w:hAnsi="Arial" w:cs="Arial"/>
        </w:rPr>
        <w:t>Nobanee</w:t>
      </w:r>
      <w:proofErr w:type="spellEnd"/>
      <w:r w:rsidRPr="00B32ABB">
        <w:rPr>
          <w:rFonts w:ascii="Arial" w:hAnsi="Arial" w:cs="Arial"/>
        </w:rPr>
        <w:t xml:space="preserve">, H. (2021). </w:t>
      </w:r>
      <w:r w:rsidRPr="00B32ABB">
        <w:rPr>
          <w:rFonts w:ascii="Arial" w:hAnsi="Arial" w:cs="Arial"/>
          <w:i/>
          <w:iCs/>
        </w:rPr>
        <w:t>Ratio analysis of Apple.</w:t>
      </w:r>
      <w:r w:rsidRPr="00B32ABB">
        <w:rPr>
          <w:rFonts w:ascii="Arial" w:hAnsi="Arial" w:cs="Arial"/>
        </w:rPr>
        <w:t xml:space="preserve"> SSRN. </w:t>
      </w:r>
    </w:p>
    <w:p w14:paraId="1E73AB32" w14:textId="4CDF41EA" w:rsidR="00B32ABB" w:rsidRPr="00B32ABB" w:rsidRDefault="00B32ABB" w:rsidP="00B32ABB">
      <w:pPr>
        <w:spacing w:line="480" w:lineRule="auto"/>
        <w:rPr>
          <w:rFonts w:ascii="Arial" w:hAnsi="Arial" w:cs="Arial"/>
        </w:rPr>
      </w:pPr>
      <w:r w:rsidRPr="00B32ABB">
        <w:rPr>
          <w:rFonts w:ascii="Arial" w:hAnsi="Arial" w:cs="Arial"/>
        </w:rPr>
        <w:t xml:space="preserve">Gunawan, I. P. E. G., </w:t>
      </w:r>
      <w:proofErr w:type="spellStart"/>
      <w:r w:rsidRPr="00B32ABB">
        <w:rPr>
          <w:rFonts w:ascii="Arial" w:hAnsi="Arial" w:cs="Arial"/>
        </w:rPr>
        <w:t>Ardiansyah</w:t>
      </w:r>
      <w:proofErr w:type="spellEnd"/>
      <w:r w:rsidRPr="00B32ABB">
        <w:rPr>
          <w:rFonts w:ascii="Arial" w:hAnsi="Arial" w:cs="Arial"/>
        </w:rPr>
        <w:t xml:space="preserve">, F., &amp; Sudipa, I. G. I. (2025). Intelligent forecasting of Apple stock prices using </w:t>
      </w:r>
      <w:r>
        <w:rPr>
          <w:rFonts w:ascii="Arial" w:hAnsi="Arial" w:cs="Arial"/>
        </w:rPr>
        <w:t xml:space="preserve">the </w:t>
      </w:r>
      <w:r w:rsidRPr="00B32ABB">
        <w:rPr>
          <w:rFonts w:ascii="Arial" w:hAnsi="Arial" w:cs="Arial"/>
        </w:rPr>
        <w:t xml:space="preserve">fuzzy time series Cheng method. </w:t>
      </w:r>
      <w:r w:rsidRPr="00B32ABB">
        <w:rPr>
          <w:rFonts w:ascii="Arial" w:hAnsi="Arial" w:cs="Arial"/>
          <w:i/>
          <w:iCs/>
        </w:rPr>
        <w:t>ISAR Journal of Science and Technology, 3</w:t>
      </w:r>
      <w:r w:rsidRPr="00B32ABB">
        <w:rPr>
          <w:rFonts w:ascii="Arial" w:hAnsi="Arial" w:cs="Arial"/>
        </w:rPr>
        <w:t>(8), 34–39.</w:t>
      </w:r>
    </w:p>
    <w:p w14:paraId="55C59EBF" w14:textId="77777777" w:rsidR="00B32ABB" w:rsidRPr="00B32ABB" w:rsidRDefault="00B32ABB" w:rsidP="00B32ABB">
      <w:pPr>
        <w:spacing w:line="480" w:lineRule="auto"/>
        <w:rPr>
          <w:rFonts w:ascii="Arial" w:hAnsi="Arial" w:cs="Arial"/>
        </w:rPr>
      </w:pPr>
      <w:r w:rsidRPr="00B32ABB">
        <w:rPr>
          <w:rFonts w:ascii="Arial" w:hAnsi="Arial" w:cs="Arial"/>
        </w:rPr>
        <w:t xml:space="preserve">Lu, W. M., </w:t>
      </w:r>
      <w:proofErr w:type="spellStart"/>
      <w:r w:rsidRPr="00B32ABB">
        <w:rPr>
          <w:rFonts w:ascii="Arial" w:hAnsi="Arial" w:cs="Arial"/>
        </w:rPr>
        <w:t>Kweh</w:t>
      </w:r>
      <w:proofErr w:type="spellEnd"/>
      <w:r w:rsidRPr="00B32ABB">
        <w:rPr>
          <w:rFonts w:ascii="Arial" w:hAnsi="Arial" w:cs="Arial"/>
        </w:rPr>
        <w:t>, Q. L., Ting, I. W. K., &amp; Ren, C. (2023). How does stakeholder engagement through environmental, social, and governance affect eco</w:t>
      </w:r>
      <w:r w:rsidRPr="00B32ABB">
        <w:rPr>
          <w:rFonts w:ascii="Cambria Math" w:hAnsi="Cambria Math" w:cs="Cambria Math"/>
        </w:rPr>
        <w:t>‐</w:t>
      </w:r>
      <w:r w:rsidRPr="00B32ABB">
        <w:rPr>
          <w:rFonts w:ascii="Arial" w:hAnsi="Arial" w:cs="Arial"/>
        </w:rPr>
        <w:t xml:space="preserve">efficiency and profitability efficiency? Zooming into Apple Inc.'s counterparts. </w:t>
      </w:r>
      <w:r w:rsidRPr="00B32ABB">
        <w:rPr>
          <w:rFonts w:ascii="Arial" w:hAnsi="Arial" w:cs="Arial"/>
          <w:i/>
          <w:iCs/>
        </w:rPr>
        <w:t>Business Strategy and the Environment, 32</w:t>
      </w:r>
      <w:r w:rsidRPr="00B32ABB">
        <w:rPr>
          <w:rFonts w:ascii="Arial" w:hAnsi="Arial" w:cs="Arial"/>
        </w:rPr>
        <w:t>(1), 587–601.</w:t>
      </w:r>
    </w:p>
    <w:p w14:paraId="42A07216" w14:textId="16913AED" w:rsidR="00B32ABB" w:rsidRPr="00B32ABB" w:rsidRDefault="00B32ABB" w:rsidP="00B32ABB">
      <w:pPr>
        <w:spacing w:line="480" w:lineRule="auto"/>
        <w:rPr>
          <w:rFonts w:ascii="Arial" w:hAnsi="Arial" w:cs="Arial"/>
        </w:rPr>
      </w:pPr>
      <w:proofErr w:type="spellStart"/>
      <w:r w:rsidRPr="00B32ABB">
        <w:rPr>
          <w:rFonts w:ascii="Arial" w:hAnsi="Arial" w:cs="Arial"/>
        </w:rPr>
        <w:t>Nikmah</w:t>
      </w:r>
      <w:proofErr w:type="spellEnd"/>
      <w:r w:rsidRPr="00B32ABB">
        <w:rPr>
          <w:rFonts w:ascii="Arial" w:hAnsi="Arial" w:cs="Arial"/>
        </w:rPr>
        <w:t xml:space="preserve">, U., &amp; </w:t>
      </w:r>
      <w:proofErr w:type="spellStart"/>
      <w:r w:rsidRPr="00B32ABB">
        <w:rPr>
          <w:rFonts w:ascii="Arial" w:hAnsi="Arial" w:cs="Arial"/>
        </w:rPr>
        <w:t>Fajarini</w:t>
      </w:r>
      <w:proofErr w:type="spellEnd"/>
      <w:r w:rsidRPr="00B32ABB">
        <w:rPr>
          <w:rFonts w:ascii="Arial" w:hAnsi="Arial" w:cs="Arial"/>
        </w:rPr>
        <w:t xml:space="preserve">, I. (2020). The effect of financial performance on profit growth </w:t>
      </w:r>
      <w:r>
        <w:rPr>
          <w:rFonts w:ascii="Arial" w:hAnsi="Arial" w:cs="Arial"/>
        </w:rPr>
        <w:t xml:space="preserve">is </w:t>
      </w:r>
      <w:r w:rsidRPr="00B32ABB">
        <w:rPr>
          <w:rFonts w:ascii="Arial" w:hAnsi="Arial" w:cs="Arial"/>
        </w:rPr>
        <w:t xml:space="preserve">moderated by CSR disclosure. </w:t>
      </w:r>
      <w:r w:rsidRPr="00B32ABB">
        <w:rPr>
          <w:rFonts w:ascii="Arial" w:hAnsi="Arial" w:cs="Arial"/>
          <w:i/>
          <w:iCs/>
        </w:rPr>
        <w:t>Accounting Analysis Journal, 9</w:t>
      </w:r>
      <w:r w:rsidRPr="00B32ABB">
        <w:rPr>
          <w:rFonts w:ascii="Arial" w:hAnsi="Arial" w:cs="Arial"/>
        </w:rPr>
        <w:t>(3), 179–185.</w:t>
      </w:r>
    </w:p>
    <w:p w14:paraId="25B7868E" w14:textId="1A0A71AC" w:rsidR="00B32ABB" w:rsidRPr="00B32ABB" w:rsidRDefault="00B32ABB" w:rsidP="00B32ABB">
      <w:pPr>
        <w:spacing w:line="480" w:lineRule="auto"/>
        <w:rPr>
          <w:rFonts w:ascii="Arial" w:hAnsi="Arial" w:cs="Arial"/>
        </w:rPr>
      </w:pPr>
      <w:r w:rsidRPr="00B32ABB">
        <w:rPr>
          <w:rFonts w:ascii="Arial" w:hAnsi="Arial" w:cs="Arial"/>
        </w:rPr>
        <w:t xml:space="preserve">Qi, R., &amp; Hu, L. (2025). Stock price prediction of Apple Inc. based on </w:t>
      </w:r>
      <w:r>
        <w:rPr>
          <w:rFonts w:ascii="Arial" w:hAnsi="Arial" w:cs="Arial"/>
        </w:rPr>
        <w:t xml:space="preserve">an </w:t>
      </w:r>
      <w:r w:rsidRPr="00B32ABB">
        <w:rPr>
          <w:rFonts w:ascii="Arial" w:hAnsi="Arial" w:cs="Arial"/>
        </w:rPr>
        <w:t xml:space="preserve">LSTM model: An application of artificial intelligence in individual stock analysis. </w:t>
      </w:r>
      <w:r w:rsidRPr="00B32ABB">
        <w:rPr>
          <w:rFonts w:ascii="Arial" w:hAnsi="Arial" w:cs="Arial"/>
          <w:i/>
          <w:iCs/>
        </w:rPr>
        <w:t>European Journal of AI, Computing &amp; Informatics, 1</w:t>
      </w:r>
      <w:r w:rsidRPr="00B32ABB">
        <w:rPr>
          <w:rFonts w:ascii="Arial" w:hAnsi="Arial" w:cs="Arial"/>
        </w:rPr>
        <w:t>(3), 1–9.</w:t>
      </w:r>
    </w:p>
    <w:p w14:paraId="1A97EF7B" w14:textId="77777777" w:rsidR="00B32ABB" w:rsidRPr="00B32ABB" w:rsidRDefault="00B32ABB" w:rsidP="00B32ABB">
      <w:pPr>
        <w:spacing w:line="480" w:lineRule="auto"/>
        <w:rPr>
          <w:rFonts w:ascii="Arial" w:hAnsi="Arial" w:cs="Arial"/>
        </w:rPr>
      </w:pPr>
      <w:r w:rsidRPr="00B32ABB">
        <w:rPr>
          <w:rFonts w:ascii="Arial" w:hAnsi="Arial" w:cs="Arial"/>
        </w:rPr>
        <w:t xml:space="preserve">Simic, N., &amp; Jovicic, T. (2023). Fundamental analysis of the Apple company. In </w:t>
      </w:r>
      <w:r w:rsidRPr="00B32ABB">
        <w:rPr>
          <w:rFonts w:ascii="Arial" w:hAnsi="Arial" w:cs="Arial"/>
          <w:i/>
          <w:iCs/>
        </w:rPr>
        <w:t>Economic and Social Development: Book of Proceedings (pp. 97–106).</w:t>
      </w:r>
    </w:p>
    <w:p w14:paraId="7B0F4EB7" w14:textId="77777777" w:rsidR="00B32ABB" w:rsidRDefault="00B32ABB" w:rsidP="00B32ABB">
      <w:pPr>
        <w:spacing w:line="480" w:lineRule="auto"/>
        <w:rPr>
          <w:rFonts w:ascii="Arial" w:hAnsi="Arial" w:cs="Arial"/>
        </w:rPr>
      </w:pPr>
      <w:r w:rsidRPr="00B32ABB">
        <w:rPr>
          <w:rFonts w:ascii="Arial" w:hAnsi="Arial" w:cs="Arial"/>
        </w:rPr>
        <w:t xml:space="preserve">Song, Z. (2025). Financial performance research of Apple Inc. based on DuPont analysis. </w:t>
      </w:r>
      <w:r w:rsidRPr="00B32ABB">
        <w:rPr>
          <w:rFonts w:ascii="Arial" w:hAnsi="Arial" w:cs="Arial"/>
          <w:i/>
          <w:iCs/>
        </w:rPr>
        <w:t>Financial Economics Research, 2</w:t>
      </w:r>
      <w:r w:rsidRPr="00B32ABB">
        <w:rPr>
          <w:rFonts w:ascii="Arial" w:hAnsi="Arial" w:cs="Arial"/>
        </w:rPr>
        <w:t>(3), 100–109.</w:t>
      </w:r>
    </w:p>
    <w:p w14:paraId="79E02C55" w14:textId="597BBD05" w:rsidR="00B32ABB" w:rsidRPr="00B32ABB" w:rsidRDefault="00B32ABB" w:rsidP="00B32ABB">
      <w:pPr>
        <w:spacing w:line="480" w:lineRule="auto"/>
        <w:rPr>
          <w:rFonts w:ascii="Arial" w:hAnsi="Arial" w:cs="Arial"/>
        </w:rPr>
      </w:pPr>
      <w:r w:rsidRPr="00B32ABB">
        <w:rPr>
          <w:rFonts w:ascii="Arial" w:hAnsi="Arial" w:cs="Arial"/>
        </w:rPr>
        <w:lastRenderedPageBreak/>
        <w:t xml:space="preserve">Taty, J. (2026). </w:t>
      </w:r>
      <w:r w:rsidRPr="00B32ABB">
        <w:rPr>
          <w:rFonts w:ascii="Arial" w:hAnsi="Arial" w:cs="Arial"/>
          <w:i/>
          <w:iCs/>
        </w:rPr>
        <w:t>Is Apple’s valuation premium justified? A risk-based assessment of cash-flow resilience.</w:t>
      </w:r>
    </w:p>
    <w:p w14:paraId="47447700" w14:textId="77777777" w:rsidR="00B32ABB" w:rsidRPr="00B32ABB" w:rsidRDefault="00B32ABB" w:rsidP="00B32ABB">
      <w:pPr>
        <w:spacing w:line="480" w:lineRule="auto"/>
        <w:rPr>
          <w:rFonts w:ascii="Arial" w:hAnsi="Arial" w:cs="Arial"/>
        </w:rPr>
      </w:pPr>
      <w:r w:rsidRPr="00B32ABB">
        <w:rPr>
          <w:rFonts w:ascii="Arial" w:hAnsi="Arial" w:cs="Arial"/>
        </w:rPr>
        <w:t xml:space="preserve">Wu, Y. (2025). Investment recommendation on Apple Inc. through ratio analysis. In </w:t>
      </w:r>
      <w:r w:rsidRPr="00B32ABB">
        <w:rPr>
          <w:rFonts w:ascii="Arial" w:hAnsi="Arial" w:cs="Arial"/>
          <w:i/>
          <w:iCs/>
        </w:rPr>
        <w:t>Proceedings of the 2025 3rd International Academic Conference on Management Innovation and Economic Development (MIED 2025) (p. 320).</w:t>
      </w:r>
      <w:r w:rsidRPr="00B32ABB">
        <w:rPr>
          <w:rFonts w:ascii="Arial" w:hAnsi="Arial" w:cs="Arial"/>
        </w:rPr>
        <w:t xml:space="preserve"> Springer Nature.</w:t>
      </w:r>
    </w:p>
    <w:p w14:paraId="1EE70215" w14:textId="615072C4" w:rsidR="00B32ABB" w:rsidRPr="00B32ABB" w:rsidRDefault="00B32ABB" w:rsidP="00B32ABB">
      <w:pPr>
        <w:spacing w:line="480" w:lineRule="auto"/>
        <w:rPr>
          <w:rFonts w:ascii="Arial" w:hAnsi="Arial" w:cs="Arial"/>
        </w:rPr>
      </w:pPr>
      <w:r w:rsidRPr="00B32ABB">
        <w:rPr>
          <w:rFonts w:ascii="Arial" w:hAnsi="Arial" w:cs="Arial"/>
        </w:rPr>
        <w:t xml:space="preserve">Zhang, Y. (2025). Financial statement analysis as a tool for company </w:t>
      </w:r>
      <w:r>
        <w:rPr>
          <w:rFonts w:ascii="Arial" w:hAnsi="Arial" w:cs="Arial"/>
        </w:rPr>
        <w:t>operations</w:t>
      </w:r>
      <w:r w:rsidRPr="00B32ABB">
        <w:rPr>
          <w:rFonts w:ascii="Arial" w:hAnsi="Arial" w:cs="Arial"/>
        </w:rPr>
        <w:t xml:space="preserve">. In </w:t>
      </w:r>
      <w:r w:rsidRPr="00B32ABB">
        <w:rPr>
          <w:rFonts w:ascii="Arial" w:hAnsi="Arial" w:cs="Arial"/>
          <w:i/>
          <w:iCs/>
        </w:rPr>
        <w:t xml:space="preserve">International Workshop on Navigating the Digital Business Frontier for Sustainable Financial Innovation (ICDEBA 2024) (pp. 462–470). </w:t>
      </w:r>
      <w:r w:rsidRPr="00B32ABB">
        <w:rPr>
          <w:rFonts w:ascii="Arial" w:hAnsi="Arial" w:cs="Arial"/>
        </w:rPr>
        <w:t>Atlantis Press.</w:t>
      </w:r>
    </w:p>
    <w:p w14:paraId="1CCB6BF8" w14:textId="3F62E8FE" w:rsidR="00B32ABB" w:rsidRPr="00B32ABB" w:rsidRDefault="00B32ABB" w:rsidP="00B32ABB">
      <w:pPr>
        <w:spacing w:line="480" w:lineRule="auto"/>
        <w:rPr>
          <w:rFonts w:ascii="Arial" w:hAnsi="Arial" w:cs="Arial"/>
        </w:rPr>
      </w:pPr>
      <w:r w:rsidRPr="00B32ABB">
        <w:rPr>
          <w:rFonts w:ascii="Arial" w:hAnsi="Arial" w:cs="Arial"/>
        </w:rPr>
        <w:t xml:space="preserve">Zhong, M. (2025). Enhancing the accuracy of Apple stock rise and fall prediction based on news sentiment analysis and </w:t>
      </w:r>
      <w:r>
        <w:rPr>
          <w:rFonts w:ascii="Arial" w:hAnsi="Arial" w:cs="Arial"/>
        </w:rPr>
        <w:t xml:space="preserve">a </w:t>
      </w:r>
      <w:r w:rsidRPr="00B32ABB">
        <w:rPr>
          <w:rFonts w:ascii="Arial" w:hAnsi="Arial" w:cs="Arial"/>
        </w:rPr>
        <w:t xml:space="preserve">multi-factor model. In </w:t>
      </w:r>
      <w:r w:rsidRPr="00B32ABB">
        <w:rPr>
          <w:rFonts w:ascii="Arial" w:hAnsi="Arial" w:cs="Arial"/>
          <w:i/>
          <w:iCs/>
        </w:rPr>
        <w:t>Proceedings of the 2025 3rd International Conference on Image, Algorithms, and Artificial Intelligence (ICIAAI 2025) (pp. 761–769).</w:t>
      </w:r>
      <w:r w:rsidRPr="00B32ABB">
        <w:rPr>
          <w:rFonts w:ascii="Arial" w:hAnsi="Arial" w:cs="Arial"/>
        </w:rPr>
        <w:t xml:space="preserve"> Atlantis Press.</w:t>
      </w:r>
    </w:p>
    <w:p w14:paraId="3DCEBDAE" w14:textId="49EDCE56" w:rsidR="00B32ABB" w:rsidRPr="001025B1" w:rsidRDefault="00B32ABB" w:rsidP="00B32ABB">
      <w:pPr>
        <w:spacing w:line="480" w:lineRule="auto"/>
        <w:rPr>
          <w:rFonts w:ascii="Arial" w:hAnsi="Arial" w:cs="Arial"/>
        </w:rPr>
      </w:pPr>
      <w:r w:rsidRPr="00B32ABB">
        <w:rPr>
          <w:rFonts w:ascii="Arial" w:hAnsi="Arial" w:cs="Arial"/>
        </w:rPr>
        <w:t xml:space="preserve">Zhong, X. (2026). Design of </w:t>
      </w:r>
      <w:r>
        <w:rPr>
          <w:rFonts w:ascii="Arial" w:hAnsi="Arial" w:cs="Arial"/>
        </w:rPr>
        <w:t xml:space="preserve">an </w:t>
      </w:r>
      <w:r w:rsidRPr="00B32ABB">
        <w:rPr>
          <w:rFonts w:ascii="Arial" w:hAnsi="Arial" w:cs="Arial"/>
        </w:rPr>
        <w:t xml:space="preserve">intelligent early warning system for enterprise financial risks. In </w:t>
      </w:r>
      <w:r w:rsidRPr="00B32ABB">
        <w:rPr>
          <w:rFonts w:ascii="Arial" w:hAnsi="Arial" w:cs="Arial"/>
          <w:i/>
          <w:iCs/>
        </w:rPr>
        <w:t>Second International Conference on Communication, Information, and Digital Technologies (CIDT 2025) (Vol. 14064, pp. 1428–1437).</w:t>
      </w:r>
      <w:r w:rsidRPr="00B32ABB">
        <w:rPr>
          <w:rFonts w:ascii="Arial" w:hAnsi="Arial" w:cs="Arial"/>
        </w:rPr>
        <w:t xml:space="preserve"> SPIE.</w:t>
      </w:r>
    </w:p>
    <w:sectPr w:rsidR="00B32ABB" w:rsidRPr="001025B1" w:rsidSect="00B32A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06781"/>
    <w:multiLevelType w:val="hybridMultilevel"/>
    <w:tmpl w:val="02527CA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5822AA"/>
    <w:multiLevelType w:val="hybridMultilevel"/>
    <w:tmpl w:val="242854FA"/>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766DA2"/>
    <w:multiLevelType w:val="hybridMultilevel"/>
    <w:tmpl w:val="818A213A"/>
    <w:lvl w:ilvl="0" w:tplc="FFFFFFFF">
      <w:start w:val="1"/>
      <w:numFmt w:val="decimal"/>
      <w:lvlText w:val="%1."/>
      <w:lvlJc w:val="left"/>
      <w:pPr>
        <w:ind w:left="720" w:hanging="360"/>
      </w:pPr>
      <w:rPr>
        <w:rFonts w:hint="default"/>
      </w:rPr>
    </w:lvl>
    <w:lvl w:ilvl="1" w:tplc="EFC88932">
      <w:start w:val="1"/>
      <w:numFmt w:val="bullet"/>
      <w:lvlText w:val="o"/>
      <w:lvlJc w:val="left"/>
      <w:pPr>
        <w:ind w:left="144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A670C62"/>
    <w:multiLevelType w:val="hybridMultilevel"/>
    <w:tmpl w:val="DFA44424"/>
    <w:lvl w:ilvl="0" w:tplc="0809000F">
      <w:start w:val="1"/>
      <w:numFmt w:val="decimal"/>
      <w:lvlText w:val="%1."/>
      <w:lvlJc w:val="left"/>
      <w:pPr>
        <w:ind w:left="720" w:hanging="360"/>
      </w:pPr>
      <w:rPr>
        <w:rFonts w:hint="default"/>
      </w:rPr>
    </w:lvl>
    <w:lvl w:ilvl="1" w:tplc="7E1450CE">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3050234">
    <w:abstractNumId w:val="3"/>
  </w:num>
  <w:num w:numId="2" w16cid:durableId="1994406786">
    <w:abstractNumId w:val="1"/>
  </w:num>
  <w:num w:numId="3" w16cid:durableId="1448281588">
    <w:abstractNumId w:val="0"/>
  </w:num>
  <w:num w:numId="4" w16cid:durableId="9806976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5B1"/>
    <w:rsid w:val="001025B1"/>
    <w:rsid w:val="001B3D4B"/>
    <w:rsid w:val="007B1C0D"/>
    <w:rsid w:val="00972E8F"/>
    <w:rsid w:val="00AF22F7"/>
    <w:rsid w:val="00B32ABB"/>
    <w:rsid w:val="00FF2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70470"/>
  <w15:chartTrackingRefBased/>
  <w15:docId w15:val="{47246DEC-B512-4123-B968-651BB00E6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2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2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2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5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5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5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5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2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2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2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5B1"/>
    <w:rPr>
      <w:rFonts w:eastAsiaTheme="majorEastAsia" w:cstheme="majorBidi"/>
      <w:color w:val="272727" w:themeColor="text1" w:themeTint="D8"/>
    </w:rPr>
  </w:style>
  <w:style w:type="paragraph" w:styleId="Title">
    <w:name w:val="Title"/>
    <w:basedOn w:val="Normal"/>
    <w:next w:val="Normal"/>
    <w:link w:val="TitleChar"/>
    <w:uiPriority w:val="10"/>
    <w:qFormat/>
    <w:rsid w:val="00102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2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5B1"/>
    <w:pPr>
      <w:spacing w:before="160"/>
      <w:jc w:val="center"/>
    </w:pPr>
    <w:rPr>
      <w:i/>
      <w:iCs/>
      <w:color w:val="404040" w:themeColor="text1" w:themeTint="BF"/>
    </w:rPr>
  </w:style>
  <w:style w:type="character" w:customStyle="1" w:styleId="QuoteChar">
    <w:name w:val="Quote Char"/>
    <w:basedOn w:val="DefaultParagraphFont"/>
    <w:link w:val="Quote"/>
    <w:uiPriority w:val="29"/>
    <w:rsid w:val="001025B1"/>
    <w:rPr>
      <w:i/>
      <w:iCs/>
      <w:color w:val="404040" w:themeColor="text1" w:themeTint="BF"/>
    </w:rPr>
  </w:style>
  <w:style w:type="paragraph" w:styleId="ListParagraph">
    <w:name w:val="List Paragraph"/>
    <w:basedOn w:val="Normal"/>
    <w:uiPriority w:val="34"/>
    <w:qFormat/>
    <w:rsid w:val="001025B1"/>
    <w:pPr>
      <w:ind w:left="720"/>
      <w:contextualSpacing/>
    </w:pPr>
  </w:style>
  <w:style w:type="character" w:styleId="IntenseEmphasis">
    <w:name w:val="Intense Emphasis"/>
    <w:basedOn w:val="DefaultParagraphFont"/>
    <w:uiPriority w:val="21"/>
    <w:qFormat/>
    <w:rsid w:val="001025B1"/>
    <w:rPr>
      <w:i/>
      <w:iCs/>
      <w:color w:val="0F4761" w:themeColor="accent1" w:themeShade="BF"/>
    </w:rPr>
  </w:style>
  <w:style w:type="paragraph" w:styleId="IntenseQuote">
    <w:name w:val="Intense Quote"/>
    <w:basedOn w:val="Normal"/>
    <w:next w:val="Normal"/>
    <w:link w:val="IntenseQuoteChar"/>
    <w:uiPriority w:val="30"/>
    <w:qFormat/>
    <w:rsid w:val="00102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5B1"/>
    <w:rPr>
      <w:i/>
      <w:iCs/>
      <w:color w:val="0F4761" w:themeColor="accent1" w:themeShade="BF"/>
    </w:rPr>
  </w:style>
  <w:style w:type="character" w:styleId="IntenseReference">
    <w:name w:val="Intense Reference"/>
    <w:basedOn w:val="DefaultParagraphFont"/>
    <w:uiPriority w:val="32"/>
    <w:qFormat/>
    <w:rsid w:val="001025B1"/>
    <w:rPr>
      <w:b/>
      <w:bCs/>
      <w:smallCaps/>
      <w:color w:val="0F4761" w:themeColor="accent1" w:themeShade="BF"/>
      <w:spacing w:val="5"/>
    </w:rPr>
  </w:style>
  <w:style w:type="paragraph" w:styleId="NoSpacing">
    <w:name w:val="No Spacing"/>
    <w:link w:val="NoSpacingChar"/>
    <w:uiPriority w:val="1"/>
    <w:qFormat/>
    <w:rsid w:val="00B32AB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32AB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7A76AE935C045128C7F960767ABBD61"/>
        <w:category>
          <w:name w:val="General"/>
          <w:gallery w:val="placeholder"/>
        </w:category>
        <w:types>
          <w:type w:val="bbPlcHdr"/>
        </w:types>
        <w:behaviors>
          <w:behavior w:val="content"/>
        </w:behaviors>
        <w:guid w:val="{FB67E5FA-4A01-421C-9D94-CA171C0BCF05}"/>
      </w:docPartPr>
      <w:docPartBody>
        <w:p w:rsidR="006905F8" w:rsidRDefault="002A69E6" w:rsidP="002A69E6">
          <w:pPr>
            <w:pStyle w:val="A7A76AE935C045128C7F960767ABBD61"/>
          </w:pPr>
          <w:r>
            <w:rPr>
              <w:rFonts w:asciiTheme="majorHAnsi" w:eastAsiaTheme="majorEastAsia" w:hAnsiTheme="majorHAnsi" w:cstheme="majorBidi"/>
              <w:color w:val="156082" w:themeColor="accent1"/>
              <w:sz w:val="88"/>
              <w:szCs w:val="88"/>
            </w:rPr>
            <w:t>[Document title]</w:t>
          </w:r>
        </w:p>
      </w:docPartBody>
    </w:docPart>
    <w:docPart>
      <w:docPartPr>
        <w:name w:val="7CE6BA0D7EBB45DB917D6C3584370756"/>
        <w:category>
          <w:name w:val="General"/>
          <w:gallery w:val="placeholder"/>
        </w:category>
        <w:types>
          <w:type w:val="bbPlcHdr"/>
        </w:types>
        <w:behaviors>
          <w:behavior w:val="content"/>
        </w:behaviors>
        <w:guid w:val="{D7AB7638-6575-4C41-9D11-9BF3EE0B505D}"/>
      </w:docPartPr>
      <w:docPartBody>
        <w:p w:rsidR="006905F8" w:rsidRDefault="002A69E6" w:rsidP="002A69E6">
          <w:pPr>
            <w:pStyle w:val="7CE6BA0D7EBB45DB917D6C3584370756"/>
          </w:pPr>
          <w:r>
            <w:rPr>
              <w:color w:val="156082" w:themeColor="accent1"/>
              <w:sz w:val="28"/>
              <w:szCs w:val="28"/>
            </w:rPr>
            <w:t>[Author name]</w:t>
          </w:r>
        </w:p>
      </w:docPartBody>
    </w:docPart>
    <w:docPart>
      <w:docPartPr>
        <w:name w:val="04610167E0DF440FB2C4DBEA09E34CDA"/>
        <w:category>
          <w:name w:val="General"/>
          <w:gallery w:val="placeholder"/>
        </w:category>
        <w:types>
          <w:type w:val="bbPlcHdr"/>
        </w:types>
        <w:behaviors>
          <w:behavior w:val="content"/>
        </w:behaviors>
        <w:guid w:val="{BCC7BB0D-169A-4525-82F2-D6C0507C726C}"/>
      </w:docPartPr>
      <w:docPartBody>
        <w:p w:rsidR="006905F8" w:rsidRDefault="002A69E6" w:rsidP="002A69E6">
          <w:pPr>
            <w:pStyle w:val="04610167E0DF440FB2C4DBEA09E34CDA"/>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9E6"/>
    <w:rsid w:val="002A69E6"/>
    <w:rsid w:val="00437D5C"/>
    <w:rsid w:val="006905F8"/>
    <w:rsid w:val="00753C9A"/>
    <w:rsid w:val="00972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A76AE935C045128C7F960767ABBD61">
    <w:name w:val="A7A76AE935C045128C7F960767ABBD61"/>
    <w:rsid w:val="002A69E6"/>
  </w:style>
  <w:style w:type="paragraph" w:customStyle="1" w:styleId="7CE6BA0D7EBB45DB917D6C3584370756">
    <w:name w:val="7CE6BA0D7EBB45DB917D6C3584370756"/>
    <w:rsid w:val="002A69E6"/>
  </w:style>
  <w:style w:type="paragraph" w:customStyle="1" w:styleId="04610167E0DF440FB2C4DBEA09E34CDA">
    <w:name w:val="04610167E0DF440FB2C4DBEA09E34CDA"/>
    <w:rsid w:val="002A69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1823</Words>
  <Characters>10396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Ratio Analysis of Apple Inc. (FY2025 vs FY2024)</dc:title>
  <dc:subject/>
  <dc:creator>Student name: Armina Margel</dc:creator>
  <cp:keywords/>
  <dc:description/>
  <cp:revision>2</cp:revision>
  <dcterms:created xsi:type="dcterms:W3CDTF">2026-04-22T21:56:00Z</dcterms:created>
  <dcterms:modified xsi:type="dcterms:W3CDTF">2026-04-22T21:56:00Z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54947243-e627-4670-a2aa-3a3fae4c0d02</vt:lpwstr>
  </property>
</Properties>
</file>