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733E1" w14:textId="29C5EEEA" w:rsidR="00580F77" w:rsidRDefault="00580F77" w:rsidP="00580F77">
      <w:r>
        <w:t xml:space="preserve">Programme: </w:t>
      </w:r>
      <w:r>
        <w:t xml:space="preserve"> </w:t>
      </w:r>
      <w:r>
        <w:t xml:space="preserve">BA (Hons) Business Management </w:t>
      </w:r>
    </w:p>
    <w:p w14:paraId="2D6E3D25" w14:textId="2642A37C" w:rsidR="00580F77" w:rsidRDefault="00580F77" w:rsidP="00580F77">
      <w:r>
        <w:t xml:space="preserve">Module: Strategic Management and Sustainability  </w:t>
      </w:r>
    </w:p>
    <w:p w14:paraId="3A13D798" w14:textId="750A9B83" w:rsidR="00580F77" w:rsidRDefault="00580F77" w:rsidP="00580F77">
      <w:r>
        <w:t xml:space="preserve">Module code: LCBB6004 </w:t>
      </w:r>
    </w:p>
    <w:p w14:paraId="355B723C" w14:textId="37750930" w:rsidR="00045053" w:rsidRPr="00045053" w:rsidRDefault="00045053" w:rsidP="00580F77">
      <w:pPr>
        <w:rPr>
          <w:lang w:val="it-IT"/>
        </w:rPr>
      </w:pPr>
      <w:proofErr w:type="spellStart"/>
      <w:r w:rsidRPr="00045053">
        <w:rPr>
          <w:lang w:val="it-IT"/>
        </w:rPr>
        <w:t>Student</w:t>
      </w:r>
      <w:proofErr w:type="spellEnd"/>
      <w:r w:rsidRPr="00045053">
        <w:rPr>
          <w:lang w:val="it-IT"/>
        </w:rPr>
        <w:t xml:space="preserve"> Name : Lavinia Adriana M</w:t>
      </w:r>
      <w:r>
        <w:rPr>
          <w:lang w:val="it-IT"/>
        </w:rPr>
        <w:t xml:space="preserve">andache </w:t>
      </w:r>
    </w:p>
    <w:p w14:paraId="1658630D" w14:textId="160BE537" w:rsidR="00580F77" w:rsidRPr="00045053" w:rsidRDefault="00045053" w:rsidP="00580F77">
      <w:pPr>
        <w:rPr>
          <w:lang w:val="it-IT"/>
        </w:rPr>
      </w:pPr>
      <w:proofErr w:type="spellStart"/>
      <w:r w:rsidRPr="00045053">
        <w:rPr>
          <w:lang w:val="it-IT"/>
        </w:rPr>
        <w:t>Student</w:t>
      </w:r>
      <w:proofErr w:type="spellEnd"/>
      <w:r w:rsidRPr="00045053">
        <w:rPr>
          <w:lang w:val="it-IT"/>
        </w:rPr>
        <w:t xml:space="preserve"> ID: 2243640</w:t>
      </w:r>
    </w:p>
    <w:p w14:paraId="47E0442B" w14:textId="77777777" w:rsidR="00580F77" w:rsidRPr="00045053" w:rsidRDefault="00580F77" w:rsidP="00580F77">
      <w:pPr>
        <w:rPr>
          <w:lang w:val="it-IT"/>
        </w:rPr>
      </w:pPr>
    </w:p>
    <w:p w14:paraId="0EA29FFA" w14:textId="77777777" w:rsidR="00580F77" w:rsidRPr="00045053" w:rsidRDefault="00580F77" w:rsidP="00580F77">
      <w:pPr>
        <w:rPr>
          <w:lang w:val="it-IT"/>
        </w:rPr>
      </w:pPr>
    </w:p>
    <w:p w14:paraId="1F319C2B" w14:textId="77777777" w:rsidR="00580F77" w:rsidRPr="00045053" w:rsidRDefault="00580F77" w:rsidP="00580F77">
      <w:pPr>
        <w:rPr>
          <w:lang w:val="it-IT"/>
        </w:rPr>
      </w:pPr>
    </w:p>
    <w:p w14:paraId="4F107ABC" w14:textId="77777777" w:rsidR="00580F77" w:rsidRPr="00045053" w:rsidRDefault="00580F77" w:rsidP="00580F77">
      <w:pPr>
        <w:rPr>
          <w:lang w:val="it-IT"/>
        </w:rPr>
      </w:pPr>
    </w:p>
    <w:p w14:paraId="5482E104" w14:textId="77777777" w:rsidR="00580F77" w:rsidRPr="00045053" w:rsidRDefault="00580F77" w:rsidP="00580F77">
      <w:pPr>
        <w:rPr>
          <w:lang w:val="it-IT"/>
        </w:rPr>
      </w:pPr>
    </w:p>
    <w:p w14:paraId="472627D7" w14:textId="77777777" w:rsidR="00580F77" w:rsidRPr="00045053" w:rsidRDefault="00580F77" w:rsidP="00580F77">
      <w:pPr>
        <w:rPr>
          <w:lang w:val="it-IT"/>
        </w:rPr>
      </w:pPr>
    </w:p>
    <w:p w14:paraId="4E232713" w14:textId="77777777" w:rsidR="00580F77" w:rsidRPr="00045053" w:rsidRDefault="00580F77" w:rsidP="00580F77">
      <w:pPr>
        <w:rPr>
          <w:lang w:val="it-IT"/>
        </w:rPr>
      </w:pPr>
    </w:p>
    <w:p w14:paraId="2A7CB5E5" w14:textId="77777777" w:rsidR="00580F77" w:rsidRPr="00045053" w:rsidRDefault="00580F77" w:rsidP="00580F77">
      <w:pPr>
        <w:rPr>
          <w:lang w:val="it-IT"/>
        </w:rPr>
      </w:pPr>
    </w:p>
    <w:p w14:paraId="730CACDC" w14:textId="77777777" w:rsidR="00580F77" w:rsidRPr="00045053" w:rsidRDefault="00580F77" w:rsidP="00580F77">
      <w:pPr>
        <w:rPr>
          <w:lang w:val="it-IT"/>
        </w:rPr>
      </w:pPr>
    </w:p>
    <w:p w14:paraId="52A054A5" w14:textId="77777777" w:rsidR="00580F77" w:rsidRPr="00045053" w:rsidRDefault="00580F77" w:rsidP="00580F77">
      <w:pPr>
        <w:rPr>
          <w:lang w:val="it-IT"/>
        </w:rPr>
      </w:pPr>
    </w:p>
    <w:p w14:paraId="73E85814" w14:textId="77777777" w:rsidR="00580F77" w:rsidRPr="00045053" w:rsidRDefault="00580F77" w:rsidP="00580F77">
      <w:pPr>
        <w:rPr>
          <w:lang w:val="it-IT"/>
        </w:rPr>
      </w:pPr>
    </w:p>
    <w:p w14:paraId="7FAF650C" w14:textId="77777777" w:rsidR="00580F77" w:rsidRPr="00045053" w:rsidRDefault="00580F77" w:rsidP="00580F77">
      <w:pPr>
        <w:rPr>
          <w:lang w:val="it-IT"/>
        </w:rPr>
      </w:pPr>
    </w:p>
    <w:p w14:paraId="3B2BADD2" w14:textId="77777777" w:rsidR="00580F77" w:rsidRPr="00045053" w:rsidRDefault="00580F77" w:rsidP="00580F77">
      <w:pPr>
        <w:rPr>
          <w:lang w:val="it-IT"/>
        </w:rPr>
      </w:pPr>
    </w:p>
    <w:p w14:paraId="557B013D" w14:textId="77777777" w:rsidR="00580F77" w:rsidRPr="00045053" w:rsidRDefault="00580F77" w:rsidP="00580F77">
      <w:pPr>
        <w:rPr>
          <w:lang w:val="it-IT"/>
        </w:rPr>
      </w:pPr>
    </w:p>
    <w:p w14:paraId="60F24D79" w14:textId="77777777" w:rsidR="00580F77" w:rsidRPr="00045053" w:rsidRDefault="00580F77" w:rsidP="00580F77">
      <w:pPr>
        <w:rPr>
          <w:lang w:val="it-IT"/>
        </w:rPr>
      </w:pPr>
    </w:p>
    <w:p w14:paraId="065DDE67" w14:textId="77777777" w:rsidR="00580F77" w:rsidRPr="00045053" w:rsidRDefault="00580F77" w:rsidP="00580F77">
      <w:pPr>
        <w:rPr>
          <w:lang w:val="it-IT"/>
        </w:rPr>
      </w:pPr>
    </w:p>
    <w:p w14:paraId="0DD3A479" w14:textId="77777777" w:rsidR="00580F77" w:rsidRPr="00045053" w:rsidRDefault="00580F77" w:rsidP="00580F77">
      <w:pPr>
        <w:rPr>
          <w:lang w:val="it-IT"/>
        </w:rPr>
      </w:pPr>
    </w:p>
    <w:p w14:paraId="01AA07EE" w14:textId="77777777" w:rsidR="00580F77" w:rsidRPr="00045053" w:rsidRDefault="00580F77" w:rsidP="00580F77">
      <w:pPr>
        <w:rPr>
          <w:lang w:val="it-IT"/>
        </w:rPr>
      </w:pPr>
    </w:p>
    <w:p w14:paraId="37215D89" w14:textId="77777777" w:rsidR="00580F77" w:rsidRPr="00045053" w:rsidRDefault="00580F77" w:rsidP="00580F77">
      <w:pPr>
        <w:rPr>
          <w:lang w:val="it-IT"/>
        </w:rPr>
      </w:pPr>
    </w:p>
    <w:p w14:paraId="37774080" w14:textId="77777777" w:rsidR="00580F77" w:rsidRPr="00045053" w:rsidRDefault="00580F77" w:rsidP="00580F77">
      <w:pPr>
        <w:rPr>
          <w:lang w:val="it-IT"/>
        </w:rPr>
      </w:pPr>
    </w:p>
    <w:p w14:paraId="0E4C7D97" w14:textId="77777777" w:rsidR="00580F77" w:rsidRPr="00045053" w:rsidRDefault="00580F77" w:rsidP="00580F77">
      <w:pPr>
        <w:rPr>
          <w:lang w:val="it-IT"/>
        </w:rPr>
      </w:pPr>
    </w:p>
    <w:p w14:paraId="2C4525F7" w14:textId="77777777" w:rsidR="00580F77" w:rsidRPr="00045053" w:rsidRDefault="00580F77" w:rsidP="00580F77">
      <w:pPr>
        <w:rPr>
          <w:lang w:val="it-IT"/>
        </w:rPr>
      </w:pPr>
    </w:p>
    <w:p w14:paraId="4916F1D6" w14:textId="77777777" w:rsidR="00580F77" w:rsidRPr="00045053" w:rsidRDefault="00580F77" w:rsidP="00580F77">
      <w:pPr>
        <w:rPr>
          <w:lang w:val="it-IT"/>
        </w:rPr>
      </w:pPr>
    </w:p>
    <w:p w14:paraId="482133F9" w14:textId="77777777" w:rsidR="00580F77" w:rsidRPr="00045053" w:rsidRDefault="00580F77" w:rsidP="00580F77">
      <w:pPr>
        <w:rPr>
          <w:lang w:val="it-IT"/>
        </w:rPr>
      </w:pPr>
    </w:p>
    <w:p w14:paraId="1F42CDEC" w14:textId="77777777" w:rsidR="00580F77" w:rsidRPr="00045053" w:rsidRDefault="00580F77" w:rsidP="00580F77">
      <w:pPr>
        <w:rPr>
          <w:lang w:val="it-IT"/>
        </w:rPr>
      </w:pPr>
    </w:p>
    <w:p w14:paraId="71A2DFD5" w14:textId="77777777" w:rsidR="00580F77" w:rsidRPr="00045053" w:rsidRDefault="00580F77" w:rsidP="00580F77">
      <w:pPr>
        <w:rPr>
          <w:lang w:val="it-IT"/>
        </w:rPr>
      </w:pPr>
    </w:p>
    <w:p w14:paraId="7D3F62DB" w14:textId="77777777" w:rsidR="00580F77" w:rsidRPr="00045053" w:rsidRDefault="00580F77" w:rsidP="00580F77">
      <w:pPr>
        <w:rPr>
          <w:lang w:val="it-IT"/>
        </w:rPr>
      </w:pPr>
    </w:p>
    <w:p w14:paraId="1C74BE2E" w14:textId="77777777" w:rsidR="00580F77" w:rsidRPr="00580F77" w:rsidRDefault="00580F77" w:rsidP="00045053">
      <w:pPr>
        <w:jc w:val="center"/>
        <w:rPr>
          <w:b/>
          <w:bCs/>
        </w:rPr>
      </w:pPr>
      <w:r w:rsidRPr="00580F77">
        <w:rPr>
          <w:b/>
          <w:bCs/>
        </w:rPr>
        <w:t>Table of Contents</w:t>
      </w:r>
    </w:p>
    <w:p w14:paraId="45B0B93C" w14:textId="1FE11065" w:rsidR="00580F77" w:rsidRPr="00580F77" w:rsidRDefault="00580F77" w:rsidP="00580F77">
      <w:pPr>
        <w:numPr>
          <w:ilvl w:val="0"/>
          <w:numId w:val="5"/>
        </w:numPr>
      </w:pPr>
      <w:r w:rsidRPr="00580F77">
        <w:rPr>
          <w:b/>
          <w:bCs/>
        </w:rPr>
        <w:t>Executive Summary</w:t>
      </w:r>
      <w:r w:rsidRPr="00580F77">
        <w:t> </w:t>
      </w:r>
    </w:p>
    <w:p w14:paraId="27BF1A6D" w14:textId="2DC19836" w:rsidR="00580F77" w:rsidRPr="00580F77" w:rsidRDefault="00580F77" w:rsidP="00580F77">
      <w:pPr>
        <w:numPr>
          <w:ilvl w:val="0"/>
          <w:numId w:val="5"/>
        </w:numPr>
      </w:pPr>
      <w:r w:rsidRPr="00580F77">
        <w:rPr>
          <w:b/>
          <w:bCs/>
        </w:rPr>
        <w:t>Introduction</w:t>
      </w:r>
      <w:r w:rsidRPr="00580F77">
        <w:t> </w:t>
      </w:r>
      <w:r w:rsidRPr="00580F77">
        <w:br/>
        <w:t xml:space="preserve">2.1 Relevance and Benefits of Strategic Management </w:t>
      </w:r>
      <w:r w:rsidRPr="00580F77">
        <w:br/>
        <w:t xml:space="preserve">2.2 Company Background: Jaguar Land Rover </w:t>
      </w:r>
      <w:r w:rsidRPr="00580F77">
        <w:br/>
        <w:t xml:space="preserve">2.3 Vision, Mission, and Objectives </w:t>
      </w:r>
    </w:p>
    <w:p w14:paraId="69658317" w14:textId="69934461" w:rsidR="00580F77" w:rsidRPr="00580F77" w:rsidRDefault="00580F77" w:rsidP="00580F77">
      <w:pPr>
        <w:numPr>
          <w:ilvl w:val="0"/>
          <w:numId w:val="5"/>
        </w:numPr>
      </w:pPr>
      <w:r w:rsidRPr="00580F77">
        <w:rPr>
          <w:b/>
          <w:bCs/>
        </w:rPr>
        <w:t>Strategy Analysis</w:t>
      </w:r>
      <w:r w:rsidRPr="00580F77">
        <w:t> </w:t>
      </w:r>
      <w:r w:rsidRPr="00580F77">
        <w:br/>
        <w:t xml:space="preserve">3.1 External Environment Audit </w:t>
      </w:r>
      <w:r w:rsidRPr="00580F77">
        <w:br/>
        <w:t xml:space="preserve">3.1.1 PESTLE Analysis </w:t>
      </w:r>
      <w:r w:rsidRPr="00580F77">
        <w:br/>
        <w:t xml:space="preserve">3.1.2 Porter’s Five Forces </w:t>
      </w:r>
      <w:r w:rsidRPr="00580F77">
        <w:br/>
        <w:t xml:space="preserve">3.2 Internal Environment Audit </w:t>
      </w:r>
      <w:r w:rsidRPr="00580F77">
        <w:br/>
        <w:t xml:space="preserve">3.2.1 Value Chain Analysis </w:t>
      </w:r>
      <w:r w:rsidRPr="00580F77">
        <w:br/>
        <w:t xml:space="preserve">3.2.2 Resource-Based View (RBV) &amp; VRIO Framework </w:t>
      </w:r>
      <w:r w:rsidRPr="00580F77">
        <w:br/>
        <w:t xml:space="preserve">3.3 SWOT Analysis </w:t>
      </w:r>
    </w:p>
    <w:p w14:paraId="7662EBBC" w14:textId="598D3DF0" w:rsidR="00580F77" w:rsidRPr="00580F77" w:rsidRDefault="00580F77" w:rsidP="00580F77">
      <w:pPr>
        <w:numPr>
          <w:ilvl w:val="0"/>
          <w:numId w:val="5"/>
        </w:numPr>
      </w:pPr>
      <w:r w:rsidRPr="00580F77">
        <w:rPr>
          <w:b/>
          <w:bCs/>
        </w:rPr>
        <w:t>Strategy Formulation</w:t>
      </w:r>
      <w:r w:rsidRPr="00580F77">
        <w:t> </w:t>
      </w:r>
      <w:r w:rsidRPr="00580F77">
        <w:br/>
        <w:t xml:space="preserve">4.1 Strategic Alternatives </w:t>
      </w:r>
      <w:r w:rsidRPr="00580F77">
        <w:br/>
        <w:t xml:space="preserve">4.2 Recommended Strategy </w:t>
      </w:r>
    </w:p>
    <w:p w14:paraId="4BFA7818" w14:textId="15EDA986" w:rsidR="00580F77" w:rsidRPr="00580F77" w:rsidRDefault="00580F77" w:rsidP="00580F77">
      <w:pPr>
        <w:numPr>
          <w:ilvl w:val="0"/>
          <w:numId w:val="5"/>
        </w:numPr>
      </w:pPr>
      <w:r w:rsidRPr="00580F77">
        <w:rPr>
          <w:b/>
          <w:bCs/>
        </w:rPr>
        <w:t>Conclusion and Recommendations</w:t>
      </w:r>
      <w:r w:rsidRPr="00580F77">
        <w:t> </w:t>
      </w:r>
    </w:p>
    <w:p w14:paraId="62DE00AA" w14:textId="5BEC5E61" w:rsidR="00580F77" w:rsidRPr="00580F77" w:rsidRDefault="00580F77" w:rsidP="00580F77">
      <w:pPr>
        <w:numPr>
          <w:ilvl w:val="0"/>
          <w:numId w:val="5"/>
        </w:numPr>
      </w:pPr>
      <w:r w:rsidRPr="00580F77">
        <w:rPr>
          <w:b/>
          <w:bCs/>
        </w:rPr>
        <w:t>References</w:t>
      </w:r>
      <w:r w:rsidRPr="00580F77">
        <w:t> </w:t>
      </w:r>
    </w:p>
    <w:p w14:paraId="79CC72B0" w14:textId="396B1409" w:rsidR="00580F77" w:rsidRDefault="00580F77" w:rsidP="00580F77"/>
    <w:p w14:paraId="2CB2CB68" w14:textId="77777777" w:rsidR="00045053" w:rsidRDefault="00045053" w:rsidP="00580F77"/>
    <w:p w14:paraId="36032BAC" w14:textId="77777777" w:rsidR="00045053" w:rsidRDefault="00045053" w:rsidP="00580F77"/>
    <w:p w14:paraId="08708114" w14:textId="77777777" w:rsidR="00045053" w:rsidRDefault="00045053" w:rsidP="00580F77"/>
    <w:p w14:paraId="3220661A" w14:textId="77777777" w:rsidR="00045053" w:rsidRDefault="00045053" w:rsidP="00580F77"/>
    <w:p w14:paraId="4D1A1D21" w14:textId="77777777" w:rsidR="00045053" w:rsidRDefault="00045053" w:rsidP="00580F77"/>
    <w:p w14:paraId="0C2192FD" w14:textId="77777777" w:rsidR="00045053" w:rsidRDefault="00045053" w:rsidP="00580F77"/>
    <w:p w14:paraId="3D0391DC" w14:textId="77777777" w:rsidR="00045053" w:rsidRDefault="00045053" w:rsidP="00580F77"/>
    <w:p w14:paraId="02A8B9C1" w14:textId="77777777" w:rsidR="00045053" w:rsidRDefault="00045053" w:rsidP="00580F77"/>
    <w:p w14:paraId="55633119" w14:textId="77777777" w:rsidR="00045053" w:rsidRDefault="00045053" w:rsidP="00580F77"/>
    <w:p w14:paraId="3C45FB5D" w14:textId="77777777" w:rsidR="00045053" w:rsidRDefault="00045053" w:rsidP="00580F77"/>
    <w:p w14:paraId="2ECED11E" w14:textId="77777777" w:rsidR="00045053" w:rsidRDefault="00045053" w:rsidP="00580F77"/>
    <w:p w14:paraId="6382D1D7" w14:textId="77777777" w:rsidR="00045053" w:rsidRDefault="00045053" w:rsidP="00580F77"/>
    <w:p w14:paraId="509AB5C4" w14:textId="77777777" w:rsidR="00045053" w:rsidRDefault="00045053" w:rsidP="00580F77"/>
    <w:p w14:paraId="4AD75F73" w14:textId="77777777" w:rsidR="00045053" w:rsidRDefault="00045053" w:rsidP="00580F77"/>
    <w:p w14:paraId="088B2ACD" w14:textId="77777777" w:rsidR="00045053" w:rsidRPr="00580F77" w:rsidRDefault="00045053" w:rsidP="00580F77"/>
    <w:p w14:paraId="3358D096" w14:textId="77777777" w:rsidR="00580F77" w:rsidRPr="00580F77" w:rsidRDefault="00580F77" w:rsidP="00580F77">
      <w:pPr>
        <w:rPr>
          <w:b/>
          <w:bCs/>
        </w:rPr>
      </w:pPr>
      <w:r w:rsidRPr="00580F77">
        <w:rPr>
          <w:b/>
          <w:bCs/>
        </w:rPr>
        <w:t>1. Executive Summary</w:t>
      </w:r>
    </w:p>
    <w:p w14:paraId="7146CDB3" w14:textId="77777777" w:rsidR="00580F77" w:rsidRPr="00580F77" w:rsidRDefault="00580F77" w:rsidP="00580F77">
      <w:r w:rsidRPr="00580F77">
        <w:t>Jaguar Land Rover (JLR), a leading UK-based luxury automotive manufacturer, faces critical challenges from rapid technological changes, environmental regulations, and geopolitical uncertainties. This report examines JLR’s external and internal environments, identifying opportunities such as expanding electric vehicle (EV) offerings and markets, and threats including intensifying competition and supply chain vulnerabilities. Strategic recommendations focus on accelerating EV development, forming strategic partnerships, and expanding into emerging markets. Implementing these strategies will position JLR to maintain its luxury brand leadership while advancing sustainability and technological innovation.</w:t>
      </w:r>
    </w:p>
    <w:p w14:paraId="444E499B" w14:textId="1FEE41D1" w:rsidR="00580F77" w:rsidRPr="00580F77" w:rsidRDefault="00580F77" w:rsidP="00580F77"/>
    <w:p w14:paraId="0A6AA9A3" w14:textId="77777777" w:rsidR="00580F77" w:rsidRPr="00580F77" w:rsidRDefault="00580F77" w:rsidP="00580F77">
      <w:pPr>
        <w:rPr>
          <w:b/>
          <w:bCs/>
        </w:rPr>
      </w:pPr>
      <w:r w:rsidRPr="00580F77">
        <w:rPr>
          <w:b/>
          <w:bCs/>
        </w:rPr>
        <w:t>2. Introduction</w:t>
      </w:r>
    </w:p>
    <w:p w14:paraId="38FA7C07" w14:textId="77777777" w:rsidR="00580F77" w:rsidRDefault="00580F77" w:rsidP="00580F77">
      <w:pPr>
        <w:rPr>
          <w:b/>
          <w:bCs/>
        </w:rPr>
      </w:pPr>
      <w:r w:rsidRPr="00580F77">
        <w:rPr>
          <w:b/>
          <w:bCs/>
        </w:rPr>
        <w:t>2.1 Relevance and Benefits of Strategic Management</w:t>
      </w:r>
    </w:p>
    <w:p w14:paraId="45E718F1" w14:textId="77777777" w:rsidR="00045053" w:rsidRPr="00045053" w:rsidRDefault="00045053" w:rsidP="00045053">
      <w:r w:rsidRPr="00045053">
        <w:t>Strategic management is essential for organizations operating in dynamic and competitive environments like the automotive industry. It involves the formulation, implementation, and evaluation of strategies that enable firms to achieve sustained competitive advantage (Johnson, Scholes &amp; Whittington, 2017). For companies like Jaguar Land Rover (JLR), which face rapid technological changes, evolving regulations, and shifting consumer preferences, effective strategic management provides a structured approach to navigate these challenges.</w:t>
      </w:r>
    </w:p>
    <w:p w14:paraId="4DB4BC34" w14:textId="77777777" w:rsidR="00045053" w:rsidRPr="00045053" w:rsidRDefault="00045053" w:rsidP="00045053">
      <w:r w:rsidRPr="00045053">
        <w:t xml:space="preserve">One of its key benefits is enabling proactive decision-making. By </w:t>
      </w:r>
      <w:proofErr w:type="spellStart"/>
      <w:r w:rsidRPr="00045053">
        <w:t>analyzing</w:t>
      </w:r>
      <w:proofErr w:type="spellEnd"/>
      <w:r w:rsidRPr="00045053">
        <w:t xml:space="preserve"> external factors such as market trends, technological advancements, and political developments (e.g., Brexit), firms can anticipate changes and adapt accordingly, maintaining relevance and competitiveness (Porter, 1985). </w:t>
      </w:r>
    </w:p>
    <w:p w14:paraId="29A4EAE3" w14:textId="77777777" w:rsidR="00045053" w:rsidRPr="00045053" w:rsidRDefault="00045053" w:rsidP="00045053">
      <w:r w:rsidRPr="00045053">
        <w:t>Additionally, strategic management ensures resources are allocated efficiently, aligning investments in R&amp;D, production, and marketing with long-term goals. This is particularly important for JLR’s focus on electric vehicles and sustainability, which require significant resource commitments (Grant, 2019). It also fosters organizational coherence, uniting different departments toward shared objectives, which enhances overall performance (Hill, 2017).</w:t>
      </w:r>
    </w:p>
    <w:p w14:paraId="36D3D1B2" w14:textId="77777777" w:rsidR="00045053" w:rsidRPr="00045053" w:rsidRDefault="00045053" w:rsidP="00045053">
      <w:r w:rsidRPr="00045053">
        <w:t>Furthermore, strategic management promotes innovation by identifying new market opportunities and emerging technologies, helping firms stay ahead of disruptive trends (Teece, 2018). It also supports risk mitigation by conducting external and internal analyses—such as PESTLE and SWOT—allowing companies to develop contingency plans and build resilience against threats.</w:t>
      </w:r>
    </w:p>
    <w:p w14:paraId="7E192AB8" w14:textId="1B485859" w:rsidR="00045053" w:rsidRDefault="00045053" w:rsidP="00580F77">
      <w:r w:rsidRPr="00045053">
        <w:t>In summary, strategic management provides essential tools for navigating industry complexities, leveraging opportunities, and ensuring long-term success, making it indispensable for firms like JLR in today’s automotive landscape.</w:t>
      </w:r>
    </w:p>
    <w:p w14:paraId="51962783" w14:textId="77777777" w:rsidR="00045053" w:rsidRDefault="00045053" w:rsidP="00580F77"/>
    <w:p w14:paraId="4BAD7231" w14:textId="77777777" w:rsidR="00045053" w:rsidRDefault="00045053" w:rsidP="00580F77"/>
    <w:p w14:paraId="77F14A8C" w14:textId="77777777" w:rsidR="00045053" w:rsidRDefault="00045053" w:rsidP="00580F77"/>
    <w:p w14:paraId="0759E504" w14:textId="77777777" w:rsidR="00045053" w:rsidRPr="00580F77" w:rsidRDefault="00045053" w:rsidP="00580F77"/>
    <w:p w14:paraId="29CED5F4" w14:textId="77777777" w:rsidR="00580F77" w:rsidRPr="00580F77" w:rsidRDefault="00580F77" w:rsidP="00580F77">
      <w:pPr>
        <w:rPr>
          <w:b/>
          <w:bCs/>
        </w:rPr>
      </w:pPr>
      <w:r w:rsidRPr="00580F77">
        <w:rPr>
          <w:b/>
          <w:bCs/>
        </w:rPr>
        <w:lastRenderedPageBreak/>
        <w:t>2.2 Company Background: Jaguar Land Rover</w:t>
      </w:r>
    </w:p>
    <w:p w14:paraId="7EF2B5E6" w14:textId="77777777" w:rsidR="00580F77" w:rsidRPr="00580F77" w:rsidRDefault="00580F77" w:rsidP="00580F77">
      <w:r w:rsidRPr="00580F77">
        <w:t>Jaguar Land Rover (JLR) is a British multinational automotive company specializing in luxury vehicles. Founded in 2008 through the merger of Jaguar and Land Rover brands, JLR operates globally with manufacturing facilities in the UK, China, and Slovakia. Owned by Tata Motors, JLR’s core focus is on innovation in luxury, electric, autonomous, and connected vehicles (JLR, 2023). The company’s strategic aim is to lead in sustainable mobility while maintaining its premium brand image.</w:t>
      </w:r>
    </w:p>
    <w:p w14:paraId="4039249A" w14:textId="77777777" w:rsidR="00580F77" w:rsidRPr="00580F77" w:rsidRDefault="00580F77" w:rsidP="00580F77">
      <w:pPr>
        <w:rPr>
          <w:b/>
          <w:bCs/>
        </w:rPr>
      </w:pPr>
      <w:r w:rsidRPr="00580F77">
        <w:rPr>
          <w:b/>
          <w:bCs/>
        </w:rPr>
        <w:t>2.3 Vision, Mission, and Objectives</w:t>
      </w:r>
    </w:p>
    <w:p w14:paraId="6B3DFF16" w14:textId="77777777" w:rsidR="00580F77" w:rsidRPr="00580F77" w:rsidRDefault="00580F77" w:rsidP="00580F77">
      <w:pPr>
        <w:numPr>
          <w:ilvl w:val="0"/>
          <w:numId w:val="6"/>
        </w:numPr>
      </w:pPr>
      <w:r w:rsidRPr="00580F77">
        <w:rPr>
          <w:b/>
          <w:bCs/>
        </w:rPr>
        <w:t>Vision:</w:t>
      </w:r>
      <w:r w:rsidRPr="00580F77">
        <w:t> To be the world's most desirable and sustainable luxury automotive brand (JLR, 2023).</w:t>
      </w:r>
    </w:p>
    <w:p w14:paraId="446FD259" w14:textId="77777777" w:rsidR="00580F77" w:rsidRPr="00580F77" w:rsidRDefault="00580F77" w:rsidP="00580F77">
      <w:pPr>
        <w:numPr>
          <w:ilvl w:val="0"/>
          <w:numId w:val="6"/>
        </w:numPr>
      </w:pPr>
      <w:r w:rsidRPr="00580F77">
        <w:rPr>
          <w:b/>
          <w:bCs/>
        </w:rPr>
        <w:t>Mission:</w:t>
      </w:r>
      <w:r w:rsidRPr="00580F77">
        <w:t> To create innovative, luxurious, and sustainable vehicles that inspire and excite consumers globally.</w:t>
      </w:r>
    </w:p>
    <w:p w14:paraId="10E574C8" w14:textId="77777777" w:rsidR="00580F77" w:rsidRPr="00580F77" w:rsidRDefault="00580F77" w:rsidP="00580F77">
      <w:pPr>
        <w:numPr>
          <w:ilvl w:val="0"/>
          <w:numId w:val="6"/>
        </w:numPr>
      </w:pPr>
      <w:r w:rsidRPr="00580F77">
        <w:rPr>
          <w:b/>
          <w:bCs/>
        </w:rPr>
        <w:t>Objectives:</w:t>
      </w:r>
    </w:p>
    <w:p w14:paraId="4DBDC4F8" w14:textId="77777777" w:rsidR="00580F77" w:rsidRPr="00580F77" w:rsidRDefault="00580F77" w:rsidP="00580F77">
      <w:pPr>
        <w:numPr>
          <w:ilvl w:val="1"/>
          <w:numId w:val="6"/>
        </w:numPr>
      </w:pPr>
      <w:r w:rsidRPr="00580F77">
        <w:t>Achieve a leadership position in EV and autonomous vehicle markets by 2025.</w:t>
      </w:r>
    </w:p>
    <w:p w14:paraId="043A2D4C" w14:textId="77777777" w:rsidR="00580F77" w:rsidRPr="00580F77" w:rsidRDefault="00580F77" w:rsidP="00580F77">
      <w:pPr>
        <w:numPr>
          <w:ilvl w:val="1"/>
          <w:numId w:val="6"/>
        </w:numPr>
      </w:pPr>
      <w:r w:rsidRPr="00580F77">
        <w:t>Reduce carbon emissions across manufacturing and products by 50% by 2030.</w:t>
      </w:r>
    </w:p>
    <w:p w14:paraId="46E86FDC" w14:textId="77777777" w:rsidR="00580F77" w:rsidRPr="00580F77" w:rsidRDefault="00580F77" w:rsidP="00580F77">
      <w:pPr>
        <w:numPr>
          <w:ilvl w:val="1"/>
          <w:numId w:val="6"/>
        </w:numPr>
      </w:pPr>
      <w:r w:rsidRPr="00580F77">
        <w:t>Expand market share in emerging economies through tailored product offerings.</w:t>
      </w:r>
    </w:p>
    <w:p w14:paraId="5E182E0D" w14:textId="3081E772" w:rsidR="00580F77" w:rsidRPr="00580F77" w:rsidRDefault="00580F77" w:rsidP="00580F77"/>
    <w:p w14:paraId="60AB8E79" w14:textId="77777777" w:rsidR="00580F77" w:rsidRPr="00580F77" w:rsidRDefault="00580F77" w:rsidP="00580F77">
      <w:pPr>
        <w:rPr>
          <w:b/>
          <w:bCs/>
        </w:rPr>
      </w:pPr>
      <w:r w:rsidRPr="00580F77">
        <w:rPr>
          <w:b/>
          <w:bCs/>
        </w:rPr>
        <w:t>3. Strategy Analysis</w:t>
      </w:r>
    </w:p>
    <w:p w14:paraId="3085AB6C" w14:textId="77777777" w:rsidR="00580F77" w:rsidRPr="00580F77" w:rsidRDefault="00580F77" w:rsidP="00580F77">
      <w:pPr>
        <w:rPr>
          <w:b/>
          <w:bCs/>
        </w:rPr>
      </w:pPr>
      <w:r w:rsidRPr="00580F77">
        <w:rPr>
          <w:b/>
          <w:bCs/>
        </w:rPr>
        <w:t>3.1 External Environment Audit</w:t>
      </w:r>
    </w:p>
    <w:p w14:paraId="130E248E" w14:textId="77777777" w:rsidR="00580F77" w:rsidRPr="00580F77" w:rsidRDefault="00580F77" w:rsidP="00580F77">
      <w:pPr>
        <w:rPr>
          <w:b/>
          <w:bCs/>
        </w:rPr>
      </w:pPr>
      <w:r w:rsidRPr="00580F77">
        <w:rPr>
          <w:b/>
          <w:bCs/>
        </w:rPr>
        <w:t>3.1.1 PESTLE Analysis</w:t>
      </w:r>
    </w:p>
    <w:tbl>
      <w:tblPr>
        <w:tblStyle w:val="GridTable4-Accent5"/>
        <w:tblW w:w="11057" w:type="dxa"/>
        <w:tblInd w:w="-856" w:type="dxa"/>
        <w:tblLook w:val="04A0" w:firstRow="1" w:lastRow="0" w:firstColumn="1" w:lastColumn="0" w:noHBand="0" w:noVBand="1"/>
      </w:tblPr>
      <w:tblGrid>
        <w:gridCol w:w="2535"/>
        <w:gridCol w:w="3758"/>
        <w:gridCol w:w="2523"/>
        <w:gridCol w:w="2241"/>
      </w:tblGrid>
      <w:tr w:rsidR="00045053" w:rsidRPr="00580F77" w14:paraId="2C08B9FE" w14:textId="77777777" w:rsidTr="00045053">
        <w:trPr>
          <w:cnfStyle w:val="100000000000" w:firstRow="1" w:lastRow="0" w:firstColumn="0" w:lastColumn="0" w:oddVBand="0" w:evenVBand="0" w:oddHBand="0"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535" w:type="dxa"/>
            <w:hideMark/>
          </w:tcPr>
          <w:p w14:paraId="209D18A8" w14:textId="77777777" w:rsidR="00580F77" w:rsidRPr="00580F77" w:rsidRDefault="00580F77" w:rsidP="00580F77">
            <w:pPr>
              <w:spacing w:after="160" w:line="259" w:lineRule="auto"/>
            </w:pPr>
            <w:r w:rsidRPr="00580F77">
              <w:t>Factor</w:t>
            </w:r>
          </w:p>
        </w:tc>
        <w:tc>
          <w:tcPr>
            <w:tcW w:w="0" w:type="auto"/>
            <w:hideMark/>
          </w:tcPr>
          <w:p w14:paraId="45C799EE"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Description</w:t>
            </w:r>
          </w:p>
        </w:tc>
        <w:tc>
          <w:tcPr>
            <w:tcW w:w="0" w:type="auto"/>
            <w:hideMark/>
          </w:tcPr>
          <w:p w14:paraId="15692272"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Impact on JLR</w:t>
            </w:r>
          </w:p>
        </w:tc>
        <w:tc>
          <w:tcPr>
            <w:tcW w:w="2241" w:type="dxa"/>
            <w:hideMark/>
          </w:tcPr>
          <w:p w14:paraId="7D5B20DD"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References (Books)</w:t>
            </w:r>
          </w:p>
        </w:tc>
      </w:tr>
      <w:tr w:rsidR="00045053" w:rsidRPr="00580F77" w14:paraId="51F743B6" w14:textId="77777777" w:rsidTr="00045053">
        <w:trPr>
          <w:cnfStyle w:val="000000100000" w:firstRow="0" w:lastRow="0" w:firstColumn="0" w:lastColumn="0" w:oddVBand="0" w:evenVBand="0" w:oddHBand="1" w:evenHBand="0" w:firstRowFirstColumn="0" w:firstRowLastColumn="0" w:lastRowFirstColumn="0" w:lastRowLastColumn="0"/>
          <w:trHeight w:val="2012"/>
        </w:trPr>
        <w:tc>
          <w:tcPr>
            <w:cnfStyle w:val="001000000000" w:firstRow="0" w:lastRow="0" w:firstColumn="1" w:lastColumn="0" w:oddVBand="0" w:evenVBand="0" w:oddHBand="0" w:evenHBand="0" w:firstRowFirstColumn="0" w:firstRowLastColumn="0" w:lastRowFirstColumn="0" w:lastRowLastColumn="0"/>
            <w:tcW w:w="2535" w:type="dxa"/>
            <w:hideMark/>
          </w:tcPr>
          <w:p w14:paraId="65D41AEA" w14:textId="77777777" w:rsidR="00580F77" w:rsidRPr="00580F77" w:rsidRDefault="00580F77" w:rsidP="00580F77">
            <w:pPr>
              <w:spacing w:after="160" w:line="259" w:lineRule="auto"/>
            </w:pPr>
            <w:r w:rsidRPr="00580F77">
              <w:t>Political</w:t>
            </w:r>
          </w:p>
        </w:tc>
        <w:tc>
          <w:tcPr>
            <w:tcW w:w="0" w:type="auto"/>
            <w:hideMark/>
          </w:tcPr>
          <w:p w14:paraId="15197474"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Brexit created trade barriers, tariffs, and regulatory uncertainty (Hill, 2017). UK’s departure from the EU has impacted supply chains, tariffs, and trade agreements.</w:t>
            </w:r>
          </w:p>
        </w:tc>
        <w:tc>
          <w:tcPr>
            <w:tcW w:w="0" w:type="auto"/>
            <w:hideMark/>
          </w:tcPr>
          <w:p w14:paraId="0C9539C5"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Increased costs, supply delays, and regulatory complexities.</w:t>
            </w:r>
          </w:p>
        </w:tc>
        <w:tc>
          <w:tcPr>
            <w:tcW w:w="2241" w:type="dxa"/>
            <w:hideMark/>
          </w:tcPr>
          <w:p w14:paraId="53D5F3D0"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Hill (2017) </w:t>
            </w:r>
            <w:r w:rsidRPr="00580F77">
              <w:rPr>
                <w:i/>
                <w:iCs/>
              </w:rPr>
              <w:t>Strategic Management: Theory: An Integrated Approach</w:t>
            </w:r>
            <w:r w:rsidRPr="00580F77">
              <w:t>; Johnson et al. (2017) </w:t>
            </w:r>
            <w:r w:rsidRPr="00580F77">
              <w:rPr>
                <w:i/>
                <w:iCs/>
              </w:rPr>
              <w:t>Exploring Corporate Strategy</w:t>
            </w:r>
          </w:p>
        </w:tc>
      </w:tr>
      <w:tr w:rsidR="00045053" w:rsidRPr="00580F77" w14:paraId="2215034A" w14:textId="77777777" w:rsidTr="00045053">
        <w:trPr>
          <w:trHeight w:val="227"/>
        </w:trPr>
        <w:tc>
          <w:tcPr>
            <w:cnfStyle w:val="001000000000" w:firstRow="0" w:lastRow="0" w:firstColumn="1" w:lastColumn="0" w:oddVBand="0" w:evenVBand="0" w:oddHBand="0" w:evenHBand="0" w:firstRowFirstColumn="0" w:firstRowLastColumn="0" w:lastRowFirstColumn="0" w:lastRowLastColumn="0"/>
            <w:tcW w:w="2535" w:type="dxa"/>
            <w:hideMark/>
          </w:tcPr>
          <w:p w14:paraId="15ED6C18" w14:textId="77777777" w:rsidR="00580F77" w:rsidRPr="00580F77" w:rsidRDefault="00580F77" w:rsidP="00580F77">
            <w:pPr>
              <w:spacing w:after="160" w:line="259" w:lineRule="auto"/>
            </w:pPr>
            <w:r w:rsidRPr="00580F77">
              <w:t>Economic</w:t>
            </w:r>
          </w:p>
        </w:tc>
        <w:tc>
          <w:tcPr>
            <w:tcW w:w="0" w:type="auto"/>
            <w:hideMark/>
          </w:tcPr>
          <w:p w14:paraId="5058996D"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The COVID-19 pandemic disrupted supply chains but also stimulated demand for luxury cars in recovery phases (Grant, 2019). Currency fluctuations affect exports.</w:t>
            </w:r>
          </w:p>
        </w:tc>
        <w:tc>
          <w:tcPr>
            <w:tcW w:w="0" w:type="auto"/>
            <w:hideMark/>
          </w:tcPr>
          <w:p w14:paraId="7202DA17"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Growth opportunities in luxury segment but cost volatility persists.</w:t>
            </w:r>
          </w:p>
        </w:tc>
        <w:tc>
          <w:tcPr>
            <w:tcW w:w="2241" w:type="dxa"/>
            <w:hideMark/>
          </w:tcPr>
          <w:p w14:paraId="727588FB"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Grant (2019); Hill (2017)</w:t>
            </w:r>
          </w:p>
        </w:tc>
      </w:tr>
      <w:tr w:rsidR="00045053" w:rsidRPr="00580F77" w14:paraId="42823726" w14:textId="77777777" w:rsidTr="00045053">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535" w:type="dxa"/>
            <w:hideMark/>
          </w:tcPr>
          <w:p w14:paraId="1B2BFC56" w14:textId="797F82BE" w:rsidR="00580F77" w:rsidRPr="00580F77" w:rsidRDefault="00E14272" w:rsidP="00580F77">
            <w:pPr>
              <w:spacing w:after="160" w:line="259" w:lineRule="auto"/>
              <w:rPr>
                <w:lang w:val="fr-FR"/>
              </w:rPr>
            </w:pPr>
            <w:r w:rsidRPr="00E14272">
              <w:rPr>
                <w:lang w:val="fr-FR"/>
              </w:rPr>
              <w:t>Y7uggg6. C;.l;,</w:t>
            </w:r>
            <w:proofErr w:type="spellStart"/>
            <w:r w:rsidRPr="00E14272">
              <w:rPr>
                <w:lang w:val="fr-FR"/>
              </w:rPr>
              <w:t>vdmlml;vh</w:t>
            </w:r>
            <w:r w:rsidR="00580F77" w:rsidRPr="00580F77">
              <w:rPr>
                <w:lang w:val="fr-FR"/>
              </w:rPr>
              <w:t>Social</w:t>
            </w:r>
            <w:proofErr w:type="spellEnd"/>
          </w:p>
        </w:tc>
        <w:tc>
          <w:tcPr>
            <w:tcW w:w="0" w:type="auto"/>
            <w:hideMark/>
          </w:tcPr>
          <w:p w14:paraId="017C298A"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Consumer preferences are shifting toward sustainability, connectivity, and autonomous driving (Kotler &amp; Keller, 2016). Millennials and Gen Z prioritize eco-friendly mobility.</w:t>
            </w:r>
          </w:p>
        </w:tc>
        <w:tc>
          <w:tcPr>
            <w:tcW w:w="0" w:type="auto"/>
            <w:hideMark/>
          </w:tcPr>
          <w:p w14:paraId="135252C0"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Accelerates EV adoption and innovation focus.</w:t>
            </w:r>
          </w:p>
        </w:tc>
        <w:tc>
          <w:tcPr>
            <w:tcW w:w="2241" w:type="dxa"/>
            <w:hideMark/>
          </w:tcPr>
          <w:p w14:paraId="583D4B65"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Kotler &amp; Keller (2016) </w:t>
            </w:r>
            <w:r w:rsidRPr="00580F77">
              <w:rPr>
                <w:i/>
                <w:iCs/>
              </w:rPr>
              <w:t>Marketing Management</w:t>
            </w:r>
          </w:p>
        </w:tc>
      </w:tr>
      <w:tr w:rsidR="00045053" w:rsidRPr="00580F77" w14:paraId="0A071392" w14:textId="77777777" w:rsidTr="00045053">
        <w:trPr>
          <w:trHeight w:val="227"/>
        </w:trPr>
        <w:tc>
          <w:tcPr>
            <w:cnfStyle w:val="001000000000" w:firstRow="0" w:lastRow="0" w:firstColumn="1" w:lastColumn="0" w:oddVBand="0" w:evenVBand="0" w:oddHBand="0" w:evenHBand="0" w:firstRowFirstColumn="0" w:firstRowLastColumn="0" w:lastRowFirstColumn="0" w:lastRowLastColumn="0"/>
            <w:tcW w:w="2535" w:type="dxa"/>
            <w:hideMark/>
          </w:tcPr>
          <w:p w14:paraId="188A79AF" w14:textId="77777777" w:rsidR="00580F77" w:rsidRPr="00580F77" w:rsidRDefault="00580F77" w:rsidP="00580F77">
            <w:pPr>
              <w:spacing w:after="160" w:line="259" w:lineRule="auto"/>
            </w:pPr>
            <w:r w:rsidRPr="00580F77">
              <w:lastRenderedPageBreak/>
              <w:t>Technological</w:t>
            </w:r>
          </w:p>
        </w:tc>
        <w:tc>
          <w:tcPr>
            <w:tcW w:w="0" w:type="auto"/>
            <w:hideMark/>
          </w:tcPr>
          <w:p w14:paraId="136AEFFD"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Advances in battery technology, autonomous systems, and connectivity are reshaping the industry (Teece, 2018).</w:t>
            </w:r>
          </w:p>
        </w:tc>
        <w:tc>
          <w:tcPr>
            <w:tcW w:w="0" w:type="auto"/>
            <w:hideMark/>
          </w:tcPr>
          <w:p w14:paraId="08858658"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Critical for maintaining technological edge and innovation leadership.</w:t>
            </w:r>
          </w:p>
        </w:tc>
        <w:tc>
          <w:tcPr>
            <w:tcW w:w="2241" w:type="dxa"/>
            <w:hideMark/>
          </w:tcPr>
          <w:p w14:paraId="057F91C0"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Teece (2018) </w:t>
            </w:r>
            <w:r w:rsidRPr="00580F77">
              <w:rPr>
                <w:i/>
                <w:iCs/>
              </w:rPr>
              <w:t>Dynamic Capabilities and Strategic Management</w:t>
            </w:r>
          </w:p>
        </w:tc>
      </w:tr>
      <w:tr w:rsidR="00045053" w:rsidRPr="00580F77" w14:paraId="3001DCFF" w14:textId="77777777" w:rsidTr="00045053">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2535" w:type="dxa"/>
            <w:hideMark/>
          </w:tcPr>
          <w:p w14:paraId="4C8690F2" w14:textId="77777777" w:rsidR="00580F77" w:rsidRPr="00580F77" w:rsidRDefault="00580F77" w:rsidP="00580F77">
            <w:pPr>
              <w:spacing w:after="160" w:line="259" w:lineRule="auto"/>
            </w:pPr>
            <w:r w:rsidRPr="00580F77">
              <w:t>Legal</w:t>
            </w:r>
          </w:p>
        </w:tc>
        <w:tc>
          <w:tcPr>
            <w:tcW w:w="0" w:type="auto"/>
            <w:hideMark/>
          </w:tcPr>
          <w:p w14:paraId="617363A3"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UK and EU tightening emissions standards, with upcoming bans on new petrol/diesel cars by 2030 (UK Government, 2021).</w:t>
            </w:r>
          </w:p>
        </w:tc>
        <w:tc>
          <w:tcPr>
            <w:tcW w:w="0" w:type="auto"/>
            <w:hideMark/>
          </w:tcPr>
          <w:p w14:paraId="22C2483F"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Forcing transition to electric and cleaner manufacturing.</w:t>
            </w:r>
          </w:p>
        </w:tc>
        <w:tc>
          <w:tcPr>
            <w:tcW w:w="2241" w:type="dxa"/>
            <w:hideMark/>
          </w:tcPr>
          <w:p w14:paraId="125A5F2C"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UK Government (2021) </w:t>
            </w:r>
            <w:r w:rsidRPr="00580F77">
              <w:rPr>
                <w:i/>
                <w:iCs/>
              </w:rPr>
              <w:t>Transport Decarbonisation Plan</w:t>
            </w:r>
          </w:p>
        </w:tc>
      </w:tr>
      <w:tr w:rsidR="00045053" w:rsidRPr="00580F77" w14:paraId="4A597419" w14:textId="77777777" w:rsidTr="00045053">
        <w:trPr>
          <w:trHeight w:val="227"/>
        </w:trPr>
        <w:tc>
          <w:tcPr>
            <w:cnfStyle w:val="001000000000" w:firstRow="0" w:lastRow="0" w:firstColumn="1" w:lastColumn="0" w:oddVBand="0" w:evenVBand="0" w:oddHBand="0" w:evenHBand="0" w:firstRowFirstColumn="0" w:firstRowLastColumn="0" w:lastRowFirstColumn="0" w:lastRowLastColumn="0"/>
            <w:tcW w:w="2535" w:type="dxa"/>
            <w:hideMark/>
          </w:tcPr>
          <w:p w14:paraId="5287FD73" w14:textId="77777777" w:rsidR="00580F77" w:rsidRPr="00580F77" w:rsidRDefault="00580F77" w:rsidP="00580F77">
            <w:pPr>
              <w:spacing w:after="160" w:line="259" w:lineRule="auto"/>
            </w:pPr>
            <w:r w:rsidRPr="00580F77">
              <w:t>Environmental</w:t>
            </w:r>
          </w:p>
        </w:tc>
        <w:tc>
          <w:tcPr>
            <w:tcW w:w="0" w:type="auto"/>
            <w:hideMark/>
          </w:tcPr>
          <w:p w14:paraId="46130450"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Climate change and sustainability concerns drive industry shifts toward greener products (IPCC, 2022).</w:t>
            </w:r>
          </w:p>
        </w:tc>
        <w:tc>
          <w:tcPr>
            <w:tcW w:w="0" w:type="auto"/>
            <w:hideMark/>
          </w:tcPr>
          <w:p w14:paraId="62993B3D"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Pushes for eco-friendly product innovation and sustainable manufacturing.</w:t>
            </w:r>
          </w:p>
        </w:tc>
        <w:tc>
          <w:tcPr>
            <w:tcW w:w="2241" w:type="dxa"/>
            <w:hideMark/>
          </w:tcPr>
          <w:p w14:paraId="2B828C9F"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IPCC (2022) </w:t>
            </w:r>
            <w:r w:rsidRPr="00580F77">
              <w:rPr>
                <w:i/>
                <w:iCs/>
              </w:rPr>
              <w:t>Climate Change 2022: Impacts, Adaptation, and Vulnerability</w:t>
            </w:r>
          </w:p>
        </w:tc>
      </w:tr>
    </w:tbl>
    <w:p w14:paraId="64C7AFBB" w14:textId="77777777" w:rsidR="00580F77" w:rsidRPr="00580F77" w:rsidRDefault="00580F77" w:rsidP="00580F77">
      <w:pPr>
        <w:rPr>
          <w:b/>
          <w:bCs/>
        </w:rPr>
      </w:pPr>
      <w:r w:rsidRPr="00580F77">
        <w:rPr>
          <w:b/>
          <w:bCs/>
        </w:rPr>
        <w:t>3.1.2 Porter’s Five Forces</w:t>
      </w:r>
    </w:p>
    <w:tbl>
      <w:tblPr>
        <w:tblStyle w:val="GridTable4-Accent5"/>
        <w:tblW w:w="11057" w:type="dxa"/>
        <w:tblInd w:w="-856" w:type="dxa"/>
        <w:tblLook w:val="04A0" w:firstRow="1" w:lastRow="0" w:firstColumn="1" w:lastColumn="0" w:noHBand="0" w:noVBand="1"/>
      </w:tblPr>
      <w:tblGrid>
        <w:gridCol w:w="2030"/>
        <w:gridCol w:w="2679"/>
        <w:gridCol w:w="2379"/>
        <w:gridCol w:w="3969"/>
      </w:tblGrid>
      <w:tr w:rsidR="00CE10CB" w:rsidRPr="00580F77" w14:paraId="671D2BF4" w14:textId="77777777" w:rsidTr="00CE10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hideMark/>
          </w:tcPr>
          <w:p w14:paraId="5BAD922B" w14:textId="77777777" w:rsidR="00580F77" w:rsidRPr="00580F77" w:rsidRDefault="00580F77" w:rsidP="00580F77">
            <w:pPr>
              <w:spacing w:after="160" w:line="259" w:lineRule="auto"/>
            </w:pPr>
            <w:r w:rsidRPr="00580F77">
              <w:t>Force</w:t>
            </w:r>
          </w:p>
        </w:tc>
        <w:tc>
          <w:tcPr>
            <w:tcW w:w="2679" w:type="dxa"/>
            <w:hideMark/>
          </w:tcPr>
          <w:p w14:paraId="2CCD516A"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Description</w:t>
            </w:r>
          </w:p>
        </w:tc>
        <w:tc>
          <w:tcPr>
            <w:tcW w:w="2379" w:type="dxa"/>
            <w:hideMark/>
          </w:tcPr>
          <w:p w14:paraId="5BB92885"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Implication for JLR</w:t>
            </w:r>
          </w:p>
        </w:tc>
        <w:tc>
          <w:tcPr>
            <w:tcW w:w="3969" w:type="dxa"/>
            <w:hideMark/>
          </w:tcPr>
          <w:p w14:paraId="69546E6D"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References (Books)</w:t>
            </w:r>
          </w:p>
        </w:tc>
      </w:tr>
      <w:tr w:rsidR="00CE10CB" w:rsidRPr="00580F77" w14:paraId="37B69A8E"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hideMark/>
          </w:tcPr>
          <w:p w14:paraId="652C201B" w14:textId="77777777" w:rsidR="00580F77" w:rsidRPr="00580F77" w:rsidRDefault="00580F77" w:rsidP="00580F77">
            <w:pPr>
              <w:spacing w:after="160" w:line="259" w:lineRule="auto"/>
            </w:pPr>
            <w:r w:rsidRPr="00580F77">
              <w:t>Industry Rivalry</w:t>
            </w:r>
          </w:p>
        </w:tc>
        <w:tc>
          <w:tcPr>
            <w:tcW w:w="2679" w:type="dxa"/>
            <w:hideMark/>
          </w:tcPr>
          <w:p w14:paraId="68D89E4C"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Intense competition from premium brands like BMW, Mercedes-Benz, Audi, and EV specialists like Tesla (Porter, 1985).</w:t>
            </w:r>
          </w:p>
        </w:tc>
        <w:tc>
          <w:tcPr>
            <w:tcW w:w="2379" w:type="dxa"/>
            <w:hideMark/>
          </w:tcPr>
          <w:p w14:paraId="593DB86D"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Necessitates continuous innovation and differentiation.</w:t>
            </w:r>
          </w:p>
        </w:tc>
        <w:tc>
          <w:tcPr>
            <w:tcW w:w="3969" w:type="dxa"/>
            <w:hideMark/>
          </w:tcPr>
          <w:p w14:paraId="2FD9203D"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Porter (1985) </w:t>
            </w:r>
            <w:r w:rsidRPr="00580F77">
              <w:rPr>
                <w:i/>
                <w:iCs/>
              </w:rPr>
              <w:t>Competitive Strategy</w:t>
            </w:r>
            <w:r w:rsidRPr="00580F77">
              <w:t>; Barney (1991) </w:t>
            </w:r>
            <w:r w:rsidRPr="00580F77">
              <w:rPr>
                <w:i/>
                <w:iCs/>
              </w:rPr>
              <w:t>Firm Resources and Sustained Competitive Advantage</w:t>
            </w:r>
          </w:p>
        </w:tc>
      </w:tr>
      <w:tr w:rsidR="00CE10CB" w:rsidRPr="00580F77" w14:paraId="5D5D7F11" w14:textId="77777777" w:rsidTr="00CE10CB">
        <w:tc>
          <w:tcPr>
            <w:cnfStyle w:val="001000000000" w:firstRow="0" w:lastRow="0" w:firstColumn="1" w:lastColumn="0" w:oddVBand="0" w:evenVBand="0" w:oddHBand="0" w:evenHBand="0" w:firstRowFirstColumn="0" w:firstRowLastColumn="0" w:lastRowFirstColumn="0" w:lastRowLastColumn="0"/>
            <w:tcW w:w="2030" w:type="dxa"/>
            <w:hideMark/>
          </w:tcPr>
          <w:p w14:paraId="7353FD9E" w14:textId="77777777" w:rsidR="00580F77" w:rsidRPr="00580F77" w:rsidRDefault="00580F77" w:rsidP="00580F77">
            <w:pPr>
              <w:spacing w:after="160" w:line="259" w:lineRule="auto"/>
            </w:pPr>
            <w:r w:rsidRPr="00580F77">
              <w:t>Supplier Power</w:t>
            </w:r>
          </w:p>
        </w:tc>
        <w:tc>
          <w:tcPr>
            <w:tcW w:w="2679" w:type="dxa"/>
            <w:hideMark/>
          </w:tcPr>
          <w:p w14:paraId="783593E6"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Limited suppliers for batteries and raw materials such as lithium, cobalt. Supply chain disruptions are common (Bohnsack et al., 2021).</w:t>
            </w:r>
          </w:p>
        </w:tc>
        <w:tc>
          <w:tcPr>
            <w:tcW w:w="2379" w:type="dxa"/>
            <w:hideMark/>
          </w:tcPr>
          <w:p w14:paraId="3A77E859"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Need for strategic alliances and vertical integration.</w:t>
            </w:r>
          </w:p>
        </w:tc>
        <w:tc>
          <w:tcPr>
            <w:tcW w:w="3969" w:type="dxa"/>
            <w:hideMark/>
          </w:tcPr>
          <w:p w14:paraId="251979AC"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 xml:space="preserve">Bohnsack, </w:t>
            </w:r>
            <w:proofErr w:type="spellStart"/>
            <w:r w:rsidRPr="00580F77">
              <w:t>Pinkse</w:t>
            </w:r>
            <w:proofErr w:type="spellEnd"/>
            <w:r w:rsidRPr="00580F77">
              <w:t xml:space="preserve"> &amp; Kolk (2021) </w:t>
            </w:r>
            <w:r w:rsidRPr="00580F77">
              <w:rPr>
                <w:i/>
                <w:iCs/>
              </w:rPr>
              <w:t>Corporate Social Responsibility and Sustainable Supply Chains</w:t>
            </w:r>
          </w:p>
        </w:tc>
      </w:tr>
      <w:tr w:rsidR="00CE10CB" w:rsidRPr="00580F77" w14:paraId="196E87A2"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hideMark/>
          </w:tcPr>
          <w:p w14:paraId="66E0A93B" w14:textId="77777777" w:rsidR="00580F77" w:rsidRPr="00580F77" w:rsidRDefault="00580F77" w:rsidP="00580F77">
            <w:pPr>
              <w:spacing w:after="160" w:line="259" w:lineRule="auto"/>
            </w:pPr>
            <w:r w:rsidRPr="00580F77">
              <w:t>Buyer Power</w:t>
            </w:r>
          </w:p>
        </w:tc>
        <w:tc>
          <w:tcPr>
            <w:tcW w:w="2679" w:type="dxa"/>
            <w:hideMark/>
          </w:tcPr>
          <w:p w14:paraId="53C93884"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Consumers have high bargaining power due to multiple options and EV choices (Deloitte, 2022).</w:t>
            </w:r>
          </w:p>
        </w:tc>
        <w:tc>
          <w:tcPr>
            <w:tcW w:w="2379" w:type="dxa"/>
            <w:hideMark/>
          </w:tcPr>
          <w:p w14:paraId="6989F1FF"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Focus on brand loyalty, innovation, and customer experience.</w:t>
            </w:r>
          </w:p>
        </w:tc>
        <w:tc>
          <w:tcPr>
            <w:tcW w:w="3969" w:type="dxa"/>
            <w:hideMark/>
          </w:tcPr>
          <w:p w14:paraId="6C15BFDE"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Kotler &amp; Keller (2016) </w:t>
            </w:r>
            <w:r w:rsidRPr="00580F77">
              <w:rPr>
                <w:i/>
                <w:iCs/>
              </w:rPr>
              <w:t>Marketing Management</w:t>
            </w:r>
          </w:p>
        </w:tc>
      </w:tr>
      <w:tr w:rsidR="00CE10CB" w:rsidRPr="00580F77" w14:paraId="0719E76E" w14:textId="77777777" w:rsidTr="00CE10CB">
        <w:tc>
          <w:tcPr>
            <w:cnfStyle w:val="001000000000" w:firstRow="0" w:lastRow="0" w:firstColumn="1" w:lastColumn="0" w:oddVBand="0" w:evenVBand="0" w:oddHBand="0" w:evenHBand="0" w:firstRowFirstColumn="0" w:firstRowLastColumn="0" w:lastRowFirstColumn="0" w:lastRowLastColumn="0"/>
            <w:tcW w:w="2030" w:type="dxa"/>
            <w:hideMark/>
          </w:tcPr>
          <w:p w14:paraId="40561F8D" w14:textId="77777777" w:rsidR="00580F77" w:rsidRPr="00580F77" w:rsidRDefault="00580F77" w:rsidP="00580F77">
            <w:pPr>
              <w:spacing w:after="160" w:line="259" w:lineRule="auto"/>
            </w:pPr>
            <w:r w:rsidRPr="00580F77">
              <w:t>Threat of New Entrants</w:t>
            </w:r>
          </w:p>
        </w:tc>
        <w:tc>
          <w:tcPr>
            <w:tcW w:w="2679" w:type="dxa"/>
            <w:hideMark/>
          </w:tcPr>
          <w:p w14:paraId="43054BEC"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Moderate, with tech startups and automotive firms entering EV markets, requiring significant capital and R&amp;D (Eckhardt &amp; Shane, 2019).</w:t>
            </w:r>
          </w:p>
        </w:tc>
        <w:tc>
          <w:tcPr>
            <w:tcW w:w="2379" w:type="dxa"/>
            <w:hideMark/>
          </w:tcPr>
          <w:p w14:paraId="3D3E858F"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Heavy investment in innovation is necessary for new entrants.</w:t>
            </w:r>
          </w:p>
        </w:tc>
        <w:tc>
          <w:tcPr>
            <w:tcW w:w="3969" w:type="dxa"/>
            <w:hideMark/>
          </w:tcPr>
          <w:p w14:paraId="22969D36"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Eckhardt &amp; Shane (2019) </w:t>
            </w:r>
            <w:r w:rsidRPr="00580F77">
              <w:rPr>
                <w:i/>
                <w:iCs/>
              </w:rPr>
              <w:t>The Entrepreneurial Process</w:t>
            </w:r>
          </w:p>
        </w:tc>
      </w:tr>
      <w:tr w:rsidR="00CE10CB" w:rsidRPr="00580F77" w14:paraId="1F665D16"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0" w:type="dxa"/>
            <w:hideMark/>
          </w:tcPr>
          <w:p w14:paraId="07D00D07" w14:textId="77777777" w:rsidR="00580F77" w:rsidRPr="00580F77" w:rsidRDefault="00580F77" w:rsidP="00580F77">
            <w:pPr>
              <w:spacing w:after="160" w:line="259" w:lineRule="auto"/>
            </w:pPr>
            <w:r w:rsidRPr="00580F77">
              <w:t>Threat of Substitutes</w:t>
            </w:r>
          </w:p>
        </w:tc>
        <w:tc>
          <w:tcPr>
            <w:tcW w:w="2679" w:type="dxa"/>
            <w:hideMark/>
          </w:tcPr>
          <w:p w14:paraId="53908382"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Urban mobility solutions like ride-sharing, public transit, and alternative fuels (McKinsey, 2023).</w:t>
            </w:r>
          </w:p>
        </w:tc>
        <w:tc>
          <w:tcPr>
            <w:tcW w:w="2379" w:type="dxa"/>
            <w:hideMark/>
          </w:tcPr>
          <w:p w14:paraId="6A11F461"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Diversification into mobility services recommended.</w:t>
            </w:r>
          </w:p>
        </w:tc>
        <w:tc>
          <w:tcPr>
            <w:tcW w:w="3969" w:type="dxa"/>
            <w:hideMark/>
          </w:tcPr>
          <w:p w14:paraId="4DD92B7E"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McKinsey &amp; Company (2023) </w:t>
            </w:r>
            <w:r w:rsidRPr="00580F77">
              <w:rPr>
                <w:i/>
                <w:iCs/>
              </w:rPr>
              <w:t>The Future of Mobility</w:t>
            </w:r>
          </w:p>
        </w:tc>
      </w:tr>
    </w:tbl>
    <w:p w14:paraId="486512FE" w14:textId="77777777" w:rsidR="00CE10CB" w:rsidRDefault="00CE10CB" w:rsidP="00580F77">
      <w:pPr>
        <w:rPr>
          <w:lang w:val="fr-FR"/>
        </w:rPr>
      </w:pPr>
    </w:p>
    <w:p w14:paraId="350DE671" w14:textId="2FC58AA8" w:rsidR="00580F77" w:rsidRPr="00580F77" w:rsidRDefault="00580F77" w:rsidP="00580F77">
      <w:pPr>
        <w:rPr>
          <w:b/>
          <w:bCs/>
          <w:lang w:val="fr-FR"/>
        </w:rPr>
      </w:pPr>
      <w:r w:rsidRPr="00580F77">
        <w:rPr>
          <w:b/>
          <w:bCs/>
          <w:lang w:val="fr-FR"/>
        </w:rPr>
        <w:lastRenderedPageBreak/>
        <w:t xml:space="preserve">3.2 </w:t>
      </w:r>
      <w:proofErr w:type="spellStart"/>
      <w:r w:rsidRPr="00580F77">
        <w:rPr>
          <w:b/>
          <w:bCs/>
          <w:lang w:val="fr-FR"/>
        </w:rPr>
        <w:t>Internal</w:t>
      </w:r>
      <w:proofErr w:type="spellEnd"/>
      <w:r w:rsidRPr="00580F77">
        <w:rPr>
          <w:b/>
          <w:bCs/>
          <w:lang w:val="fr-FR"/>
        </w:rPr>
        <w:t xml:space="preserve"> </w:t>
      </w:r>
      <w:proofErr w:type="spellStart"/>
      <w:r w:rsidRPr="00580F77">
        <w:rPr>
          <w:b/>
          <w:bCs/>
          <w:lang w:val="fr-FR"/>
        </w:rPr>
        <w:t>Environment</w:t>
      </w:r>
      <w:proofErr w:type="spellEnd"/>
      <w:r w:rsidRPr="00580F77">
        <w:rPr>
          <w:b/>
          <w:bCs/>
          <w:lang w:val="fr-FR"/>
        </w:rPr>
        <w:t xml:space="preserve"> Audit</w:t>
      </w:r>
    </w:p>
    <w:p w14:paraId="714E4188" w14:textId="77777777" w:rsidR="00580F77" w:rsidRPr="00580F77" w:rsidRDefault="00580F77" w:rsidP="00580F77">
      <w:pPr>
        <w:rPr>
          <w:b/>
          <w:bCs/>
          <w:lang w:val="fr-FR"/>
        </w:rPr>
      </w:pPr>
      <w:r w:rsidRPr="00580F77">
        <w:rPr>
          <w:b/>
          <w:bCs/>
          <w:lang w:val="fr-FR"/>
        </w:rPr>
        <w:t xml:space="preserve">3.2.1 Value Chain </w:t>
      </w:r>
      <w:proofErr w:type="spellStart"/>
      <w:r w:rsidRPr="00580F77">
        <w:rPr>
          <w:b/>
          <w:bCs/>
          <w:lang w:val="fr-FR"/>
        </w:rPr>
        <w:t>Analysis</w:t>
      </w:r>
      <w:proofErr w:type="spellEnd"/>
    </w:p>
    <w:tbl>
      <w:tblPr>
        <w:tblStyle w:val="GridTable4-Accent5"/>
        <w:tblW w:w="11157" w:type="dxa"/>
        <w:tblInd w:w="-1097" w:type="dxa"/>
        <w:tblLayout w:type="fixed"/>
        <w:tblLook w:val="04A0" w:firstRow="1" w:lastRow="0" w:firstColumn="1" w:lastColumn="0" w:noHBand="0" w:noVBand="1"/>
      </w:tblPr>
      <w:tblGrid>
        <w:gridCol w:w="2085"/>
        <w:gridCol w:w="2976"/>
        <w:gridCol w:w="2977"/>
        <w:gridCol w:w="3119"/>
      </w:tblGrid>
      <w:tr w:rsidR="00CE10CB" w:rsidRPr="00580F77" w14:paraId="271DA9F4" w14:textId="77777777" w:rsidTr="00CE10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hideMark/>
          </w:tcPr>
          <w:p w14:paraId="6234FF5B" w14:textId="77777777" w:rsidR="00580F77" w:rsidRPr="00580F77" w:rsidRDefault="00580F77" w:rsidP="00580F77">
            <w:pPr>
              <w:spacing w:after="160" w:line="259" w:lineRule="auto"/>
            </w:pPr>
            <w:r w:rsidRPr="00580F77">
              <w:t>Primary Activities</w:t>
            </w:r>
          </w:p>
        </w:tc>
        <w:tc>
          <w:tcPr>
            <w:tcW w:w="2976" w:type="dxa"/>
            <w:hideMark/>
          </w:tcPr>
          <w:p w14:paraId="26353721"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Description</w:t>
            </w:r>
          </w:p>
        </w:tc>
        <w:tc>
          <w:tcPr>
            <w:tcW w:w="2977" w:type="dxa"/>
            <w:hideMark/>
          </w:tcPr>
          <w:p w14:paraId="6290A422"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Strengths</w:t>
            </w:r>
          </w:p>
        </w:tc>
        <w:tc>
          <w:tcPr>
            <w:tcW w:w="3119" w:type="dxa"/>
            <w:hideMark/>
          </w:tcPr>
          <w:p w14:paraId="61F5A090"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Weaknesses</w:t>
            </w:r>
          </w:p>
        </w:tc>
      </w:tr>
      <w:tr w:rsidR="00CE10CB" w:rsidRPr="00580F77" w14:paraId="39D237C9"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hideMark/>
          </w:tcPr>
          <w:p w14:paraId="380DAFDC" w14:textId="77777777" w:rsidR="00580F77" w:rsidRPr="00580F77" w:rsidRDefault="00580F77" w:rsidP="00580F77">
            <w:pPr>
              <w:spacing w:after="160" w:line="259" w:lineRule="auto"/>
            </w:pPr>
            <w:r w:rsidRPr="00580F77">
              <w:t>Inbound Logistics</w:t>
            </w:r>
          </w:p>
        </w:tc>
        <w:tc>
          <w:tcPr>
            <w:tcW w:w="2976" w:type="dxa"/>
            <w:hideMark/>
          </w:tcPr>
          <w:p w14:paraId="002069EF"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Raw materials sourcing, especially batteries (lithium, cobalt).</w:t>
            </w:r>
          </w:p>
        </w:tc>
        <w:tc>
          <w:tcPr>
            <w:tcW w:w="2977" w:type="dxa"/>
            <w:hideMark/>
          </w:tcPr>
          <w:p w14:paraId="768CB596"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Strong supplier relationships, strategic partnerships.</w:t>
            </w:r>
          </w:p>
        </w:tc>
        <w:tc>
          <w:tcPr>
            <w:tcW w:w="3119" w:type="dxa"/>
            <w:hideMark/>
          </w:tcPr>
          <w:p w14:paraId="0F1F2B71"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Vulnerable to raw material price spikes.</w:t>
            </w:r>
          </w:p>
        </w:tc>
      </w:tr>
      <w:tr w:rsidR="00CE10CB" w:rsidRPr="00580F77" w14:paraId="59FB88E3" w14:textId="77777777" w:rsidTr="00CE10CB">
        <w:tc>
          <w:tcPr>
            <w:cnfStyle w:val="001000000000" w:firstRow="0" w:lastRow="0" w:firstColumn="1" w:lastColumn="0" w:oddVBand="0" w:evenVBand="0" w:oddHBand="0" w:evenHBand="0" w:firstRowFirstColumn="0" w:firstRowLastColumn="0" w:lastRowFirstColumn="0" w:lastRowLastColumn="0"/>
            <w:tcW w:w="2085" w:type="dxa"/>
            <w:hideMark/>
          </w:tcPr>
          <w:p w14:paraId="50B2FA87" w14:textId="77777777" w:rsidR="00580F77" w:rsidRPr="00580F77" w:rsidRDefault="00580F77" w:rsidP="00580F77">
            <w:pPr>
              <w:spacing w:after="160" w:line="259" w:lineRule="auto"/>
            </w:pPr>
            <w:r w:rsidRPr="00580F77">
              <w:t>Operations</w:t>
            </w:r>
          </w:p>
        </w:tc>
        <w:tc>
          <w:tcPr>
            <w:tcW w:w="2976" w:type="dxa"/>
            <w:hideMark/>
          </w:tcPr>
          <w:p w14:paraId="7D41E515"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Manufacturing in UK, Slovakia, China; advanced production systems.</w:t>
            </w:r>
          </w:p>
        </w:tc>
        <w:tc>
          <w:tcPr>
            <w:tcW w:w="2977" w:type="dxa"/>
            <w:hideMark/>
          </w:tcPr>
          <w:p w14:paraId="63FE40E0"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High-quality production, flexible manufacturing.</w:t>
            </w:r>
          </w:p>
        </w:tc>
        <w:tc>
          <w:tcPr>
            <w:tcW w:w="3119" w:type="dxa"/>
            <w:hideMark/>
          </w:tcPr>
          <w:p w14:paraId="2C0BC118"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High operational costs, Brexit-related supply issues.</w:t>
            </w:r>
          </w:p>
        </w:tc>
      </w:tr>
      <w:tr w:rsidR="00CE10CB" w:rsidRPr="00580F77" w14:paraId="1F519DB9"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hideMark/>
          </w:tcPr>
          <w:p w14:paraId="21BF5E22" w14:textId="77777777" w:rsidR="00580F77" w:rsidRPr="00580F77" w:rsidRDefault="00580F77" w:rsidP="00580F77">
            <w:pPr>
              <w:spacing w:after="160" w:line="259" w:lineRule="auto"/>
            </w:pPr>
            <w:r w:rsidRPr="00580F77">
              <w:t>Outbound Logistics</w:t>
            </w:r>
          </w:p>
        </w:tc>
        <w:tc>
          <w:tcPr>
            <w:tcW w:w="2976" w:type="dxa"/>
            <w:hideMark/>
          </w:tcPr>
          <w:p w14:paraId="458B06E2"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Global distribution network.</w:t>
            </w:r>
          </w:p>
        </w:tc>
        <w:tc>
          <w:tcPr>
            <w:tcW w:w="2977" w:type="dxa"/>
            <w:hideMark/>
          </w:tcPr>
          <w:p w14:paraId="0193DF5A"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Efficient logistics partners.</w:t>
            </w:r>
          </w:p>
        </w:tc>
        <w:tc>
          <w:tcPr>
            <w:tcW w:w="3119" w:type="dxa"/>
            <w:hideMark/>
          </w:tcPr>
          <w:p w14:paraId="20EC2B9B"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Potential delays due to geopolitical issues.</w:t>
            </w:r>
          </w:p>
        </w:tc>
      </w:tr>
      <w:tr w:rsidR="00CE10CB" w:rsidRPr="00580F77" w14:paraId="5C968B04" w14:textId="77777777" w:rsidTr="00CE10CB">
        <w:tc>
          <w:tcPr>
            <w:cnfStyle w:val="001000000000" w:firstRow="0" w:lastRow="0" w:firstColumn="1" w:lastColumn="0" w:oddVBand="0" w:evenVBand="0" w:oddHBand="0" w:evenHBand="0" w:firstRowFirstColumn="0" w:firstRowLastColumn="0" w:lastRowFirstColumn="0" w:lastRowLastColumn="0"/>
            <w:tcW w:w="2085" w:type="dxa"/>
            <w:hideMark/>
          </w:tcPr>
          <w:p w14:paraId="191C7AF8" w14:textId="77777777" w:rsidR="00580F77" w:rsidRPr="00580F77" w:rsidRDefault="00580F77" w:rsidP="00580F77">
            <w:pPr>
              <w:spacing w:after="160" w:line="259" w:lineRule="auto"/>
            </w:pPr>
            <w:r w:rsidRPr="00580F77">
              <w:t>Marketing &amp; Sales</w:t>
            </w:r>
          </w:p>
        </w:tc>
        <w:tc>
          <w:tcPr>
            <w:tcW w:w="2976" w:type="dxa"/>
            <w:hideMark/>
          </w:tcPr>
          <w:p w14:paraId="74A63320"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Premium branding, digital channels.</w:t>
            </w:r>
          </w:p>
        </w:tc>
        <w:tc>
          <w:tcPr>
            <w:tcW w:w="2977" w:type="dxa"/>
            <w:hideMark/>
          </w:tcPr>
          <w:p w14:paraId="27044F92"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Strong global brand, customer loyalty.</w:t>
            </w:r>
          </w:p>
        </w:tc>
        <w:tc>
          <w:tcPr>
            <w:tcW w:w="3119" w:type="dxa"/>
            <w:hideMark/>
          </w:tcPr>
          <w:p w14:paraId="6B6D5659"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Limited penetration in some emerging markets.</w:t>
            </w:r>
          </w:p>
        </w:tc>
      </w:tr>
      <w:tr w:rsidR="00CE10CB" w:rsidRPr="00580F77" w14:paraId="7D3DC2A9"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5" w:type="dxa"/>
            <w:hideMark/>
          </w:tcPr>
          <w:p w14:paraId="16600DDE" w14:textId="77777777" w:rsidR="00580F77" w:rsidRPr="00580F77" w:rsidRDefault="00580F77" w:rsidP="00580F77">
            <w:pPr>
              <w:spacing w:after="160" w:line="259" w:lineRule="auto"/>
            </w:pPr>
            <w:r w:rsidRPr="00580F77">
              <w:t>Service</w:t>
            </w:r>
          </w:p>
        </w:tc>
        <w:tc>
          <w:tcPr>
            <w:tcW w:w="2976" w:type="dxa"/>
            <w:hideMark/>
          </w:tcPr>
          <w:p w14:paraId="7E00C953"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Connected vehicle services, after-sales support.</w:t>
            </w:r>
          </w:p>
        </w:tc>
        <w:tc>
          <w:tcPr>
            <w:tcW w:w="2977" w:type="dxa"/>
            <w:hideMark/>
          </w:tcPr>
          <w:p w14:paraId="7F386085"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High customer satisfaction.</w:t>
            </w:r>
          </w:p>
        </w:tc>
        <w:tc>
          <w:tcPr>
            <w:tcW w:w="3119" w:type="dxa"/>
            <w:hideMark/>
          </w:tcPr>
          <w:p w14:paraId="30DBD9C2"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High servicing costs.</w:t>
            </w:r>
          </w:p>
        </w:tc>
      </w:tr>
    </w:tbl>
    <w:p w14:paraId="4561CFC5" w14:textId="77777777" w:rsidR="00580F77" w:rsidRPr="00580F77" w:rsidRDefault="00580F77" w:rsidP="00580F77">
      <w:pPr>
        <w:rPr>
          <w:b/>
          <w:bCs/>
        </w:rPr>
      </w:pPr>
      <w:r w:rsidRPr="00580F77">
        <w:rPr>
          <w:b/>
          <w:bCs/>
        </w:rPr>
        <w:t>3.2.2 Resource-Based View (RBV) &amp; VRIO Framework</w:t>
      </w:r>
    </w:p>
    <w:tbl>
      <w:tblPr>
        <w:tblStyle w:val="GridTable4-Accent5"/>
        <w:tblW w:w="11482" w:type="dxa"/>
        <w:tblInd w:w="-1139" w:type="dxa"/>
        <w:tblLook w:val="04A0" w:firstRow="1" w:lastRow="0" w:firstColumn="1" w:lastColumn="0" w:noHBand="0" w:noVBand="1"/>
      </w:tblPr>
      <w:tblGrid>
        <w:gridCol w:w="3544"/>
        <w:gridCol w:w="1092"/>
        <w:gridCol w:w="751"/>
        <w:gridCol w:w="1276"/>
        <w:gridCol w:w="1225"/>
        <w:gridCol w:w="1610"/>
        <w:gridCol w:w="1984"/>
      </w:tblGrid>
      <w:tr w:rsidR="00CE10CB" w:rsidRPr="00580F77" w14:paraId="59BD31C8" w14:textId="77777777" w:rsidTr="00CE10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546C9481" w14:textId="77777777" w:rsidR="00580F77" w:rsidRPr="00580F77" w:rsidRDefault="00580F77" w:rsidP="00580F77">
            <w:pPr>
              <w:spacing w:after="160" w:line="259" w:lineRule="auto"/>
            </w:pPr>
            <w:r w:rsidRPr="00580F77">
              <w:t>Resource/Capability</w:t>
            </w:r>
          </w:p>
        </w:tc>
        <w:tc>
          <w:tcPr>
            <w:tcW w:w="1092" w:type="dxa"/>
            <w:hideMark/>
          </w:tcPr>
          <w:p w14:paraId="6489EDD4"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Valuable</w:t>
            </w:r>
          </w:p>
        </w:tc>
        <w:tc>
          <w:tcPr>
            <w:tcW w:w="751" w:type="dxa"/>
            <w:hideMark/>
          </w:tcPr>
          <w:p w14:paraId="1A75DD79"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Rare</w:t>
            </w:r>
          </w:p>
        </w:tc>
        <w:tc>
          <w:tcPr>
            <w:tcW w:w="1276" w:type="dxa"/>
            <w:hideMark/>
          </w:tcPr>
          <w:p w14:paraId="36BE1D4F"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Costly to Imitate</w:t>
            </w:r>
          </w:p>
        </w:tc>
        <w:tc>
          <w:tcPr>
            <w:tcW w:w="1225" w:type="dxa"/>
            <w:hideMark/>
          </w:tcPr>
          <w:p w14:paraId="36773BF0"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Organized</w:t>
            </w:r>
          </w:p>
        </w:tc>
        <w:tc>
          <w:tcPr>
            <w:tcW w:w="1610" w:type="dxa"/>
            <w:hideMark/>
          </w:tcPr>
          <w:p w14:paraId="174330AB"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Competitive Advantage</w:t>
            </w:r>
          </w:p>
        </w:tc>
        <w:tc>
          <w:tcPr>
            <w:tcW w:w="1984" w:type="dxa"/>
            <w:hideMark/>
          </w:tcPr>
          <w:p w14:paraId="07AED8BB"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References (Books)</w:t>
            </w:r>
          </w:p>
        </w:tc>
      </w:tr>
      <w:tr w:rsidR="00CE10CB" w:rsidRPr="00580F77" w14:paraId="5E08EC72"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4A2BBA2B" w14:textId="77777777" w:rsidR="00580F77" w:rsidRPr="00580F77" w:rsidRDefault="00580F77" w:rsidP="00580F77">
            <w:pPr>
              <w:spacing w:after="160" w:line="259" w:lineRule="auto"/>
            </w:pPr>
            <w:r w:rsidRPr="00580F77">
              <w:t>Brand Recognition</w:t>
            </w:r>
          </w:p>
        </w:tc>
        <w:tc>
          <w:tcPr>
            <w:tcW w:w="1092" w:type="dxa"/>
            <w:hideMark/>
          </w:tcPr>
          <w:p w14:paraId="0A91EEC6"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Yes</w:t>
            </w:r>
          </w:p>
        </w:tc>
        <w:tc>
          <w:tcPr>
            <w:tcW w:w="751" w:type="dxa"/>
            <w:hideMark/>
          </w:tcPr>
          <w:p w14:paraId="1B81CBAB"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Yes</w:t>
            </w:r>
          </w:p>
        </w:tc>
        <w:tc>
          <w:tcPr>
            <w:tcW w:w="1276" w:type="dxa"/>
            <w:hideMark/>
          </w:tcPr>
          <w:p w14:paraId="5D6F1944"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No</w:t>
            </w:r>
          </w:p>
        </w:tc>
        <w:tc>
          <w:tcPr>
            <w:tcW w:w="1225" w:type="dxa"/>
            <w:hideMark/>
          </w:tcPr>
          <w:p w14:paraId="0A291DBF"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Yes</w:t>
            </w:r>
          </w:p>
        </w:tc>
        <w:tc>
          <w:tcPr>
            <w:tcW w:w="1610" w:type="dxa"/>
            <w:hideMark/>
          </w:tcPr>
          <w:p w14:paraId="6666EC45"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Sustained competitive advantage</w:t>
            </w:r>
          </w:p>
        </w:tc>
        <w:tc>
          <w:tcPr>
            <w:tcW w:w="1984" w:type="dxa"/>
            <w:hideMark/>
          </w:tcPr>
          <w:p w14:paraId="158302A3"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Aaker (1994) </w:t>
            </w:r>
            <w:r w:rsidRPr="00580F77">
              <w:rPr>
                <w:i/>
                <w:iCs/>
              </w:rPr>
              <w:t>Managing Brand Equity</w:t>
            </w:r>
          </w:p>
        </w:tc>
      </w:tr>
      <w:tr w:rsidR="00CE10CB" w:rsidRPr="00580F77" w14:paraId="0EAB63D4" w14:textId="77777777" w:rsidTr="00CE10CB">
        <w:tc>
          <w:tcPr>
            <w:cnfStyle w:val="001000000000" w:firstRow="0" w:lastRow="0" w:firstColumn="1" w:lastColumn="0" w:oddVBand="0" w:evenVBand="0" w:oddHBand="0" w:evenHBand="0" w:firstRowFirstColumn="0" w:firstRowLastColumn="0" w:lastRowFirstColumn="0" w:lastRowLastColumn="0"/>
            <w:tcW w:w="3544" w:type="dxa"/>
            <w:hideMark/>
          </w:tcPr>
          <w:p w14:paraId="1763CB53" w14:textId="77777777" w:rsidR="00580F77" w:rsidRPr="00580F77" w:rsidRDefault="00580F77" w:rsidP="00580F77">
            <w:pPr>
              <w:spacing w:after="160" w:line="259" w:lineRule="auto"/>
            </w:pPr>
            <w:r w:rsidRPr="00580F77">
              <w:t>Technological Capabilities (EV &amp; Autonomous)</w:t>
            </w:r>
          </w:p>
        </w:tc>
        <w:tc>
          <w:tcPr>
            <w:tcW w:w="1092" w:type="dxa"/>
            <w:hideMark/>
          </w:tcPr>
          <w:p w14:paraId="6A7BF6EE"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751" w:type="dxa"/>
            <w:hideMark/>
          </w:tcPr>
          <w:p w14:paraId="30BD091D"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No</w:t>
            </w:r>
          </w:p>
        </w:tc>
        <w:tc>
          <w:tcPr>
            <w:tcW w:w="1276" w:type="dxa"/>
            <w:hideMark/>
          </w:tcPr>
          <w:p w14:paraId="5F1372A7"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1225" w:type="dxa"/>
            <w:hideMark/>
          </w:tcPr>
          <w:p w14:paraId="082257B3"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1610" w:type="dxa"/>
            <w:hideMark/>
          </w:tcPr>
          <w:p w14:paraId="288B1824"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Temporary advantage</w:t>
            </w:r>
          </w:p>
        </w:tc>
        <w:tc>
          <w:tcPr>
            <w:tcW w:w="1984" w:type="dxa"/>
            <w:hideMark/>
          </w:tcPr>
          <w:p w14:paraId="7B29D3B3"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Teece (2018) </w:t>
            </w:r>
            <w:r w:rsidRPr="00580F77">
              <w:rPr>
                <w:i/>
                <w:iCs/>
              </w:rPr>
              <w:t>Dynamic Capabilities</w:t>
            </w:r>
          </w:p>
        </w:tc>
      </w:tr>
      <w:tr w:rsidR="00CE10CB" w:rsidRPr="00580F77" w14:paraId="7EA2F500"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hideMark/>
          </w:tcPr>
          <w:p w14:paraId="602181C6" w14:textId="77777777" w:rsidR="00580F77" w:rsidRPr="00580F77" w:rsidRDefault="00580F77" w:rsidP="00580F77">
            <w:pPr>
              <w:spacing w:after="160" w:line="259" w:lineRule="auto"/>
            </w:pPr>
            <w:r w:rsidRPr="00580F77">
              <w:t>Global Manufacturing Footprint</w:t>
            </w:r>
          </w:p>
        </w:tc>
        <w:tc>
          <w:tcPr>
            <w:tcW w:w="1092" w:type="dxa"/>
            <w:hideMark/>
          </w:tcPr>
          <w:p w14:paraId="007C66E5"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Yes</w:t>
            </w:r>
          </w:p>
        </w:tc>
        <w:tc>
          <w:tcPr>
            <w:tcW w:w="751" w:type="dxa"/>
            <w:hideMark/>
          </w:tcPr>
          <w:p w14:paraId="3F840A20"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No</w:t>
            </w:r>
          </w:p>
        </w:tc>
        <w:tc>
          <w:tcPr>
            <w:tcW w:w="1276" w:type="dxa"/>
            <w:hideMark/>
          </w:tcPr>
          <w:p w14:paraId="47854A8A"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No</w:t>
            </w:r>
          </w:p>
        </w:tc>
        <w:tc>
          <w:tcPr>
            <w:tcW w:w="1225" w:type="dxa"/>
            <w:hideMark/>
          </w:tcPr>
          <w:p w14:paraId="5F895810"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Yes</w:t>
            </w:r>
          </w:p>
        </w:tc>
        <w:tc>
          <w:tcPr>
            <w:tcW w:w="1610" w:type="dxa"/>
            <w:hideMark/>
          </w:tcPr>
          <w:p w14:paraId="3304460A"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Competitive parity</w:t>
            </w:r>
          </w:p>
        </w:tc>
        <w:tc>
          <w:tcPr>
            <w:tcW w:w="1984" w:type="dxa"/>
            <w:hideMark/>
          </w:tcPr>
          <w:p w14:paraId="45FFBA82"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Barney (1991) </w:t>
            </w:r>
            <w:r w:rsidRPr="00580F77">
              <w:rPr>
                <w:i/>
                <w:iCs/>
              </w:rPr>
              <w:t>Firm Resources and Sustained Competitive Advantage</w:t>
            </w:r>
          </w:p>
        </w:tc>
      </w:tr>
      <w:tr w:rsidR="00CE10CB" w:rsidRPr="00580F77" w14:paraId="1CDC6484" w14:textId="77777777" w:rsidTr="00CE10CB">
        <w:tc>
          <w:tcPr>
            <w:cnfStyle w:val="001000000000" w:firstRow="0" w:lastRow="0" w:firstColumn="1" w:lastColumn="0" w:oddVBand="0" w:evenVBand="0" w:oddHBand="0" w:evenHBand="0" w:firstRowFirstColumn="0" w:firstRowLastColumn="0" w:lastRowFirstColumn="0" w:lastRowLastColumn="0"/>
            <w:tcW w:w="3544" w:type="dxa"/>
            <w:hideMark/>
          </w:tcPr>
          <w:p w14:paraId="4C9DF0CB" w14:textId="77777777" w:rsidR="00580F77" w:rsidRPr="00580F77" w:rsidRDefault="00580F77" w:rsidP="00580F77">
            <w:pPr>
              <w:spacing w:after="160" w:line="259" w:lineRule="auto"/>
            </w:pPr>
            <w:r w:rsidRPr="00580F77">
              <w:t>R&amp;D Capabilities</w:t>
            </w:r>
          </w:p>
        </w:tc>
        <w:tc>
          <w:tcPr>
            <w:tcW w:w="1092" w:type="dxa"/>
            <w:hideMark/>
          </w:tcPr>
          <w:p w14:paraId="622B75E2"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751" w:type="dxa"/>
            <w:hideMark/>
          </w:tcPr>
          <w:p w14:paraId="38564CA6"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1276" w:type="dxa"/>
            <w:hideMark/>
          </w:tcPr>
          <w:p w14:paraId="61C74535"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1225" w:type="dxa"/>
            <w:hideMark/>
          </w:tcPr>
          <w:p w14:paraId="34B6F858"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Yes</w:t>
            </w:r>
          </w:p>
        </w:tc>
        <w:tc>
          <w:tcPr>
            <w:tcW w:w="1610" w:type="dxa"/>
            <w:hideMark/>
          </w:tcPr>
          <w:p w14:paraId="6A6205A2"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Sustained innovation advantage</w:t>
            </w:r>
          </w:p>
        </w:tc>
        <w:tc>
          <w:tcPr>
            <w:tcW w:w="1984" w:type="dxa"/>
            <w:hideMark/>
          </w:tcPr>
          <w:p w14:paraId="4D7F047F" w14:textId="77777777" w:rsidR="00580F77" w:rsidRPr="00580F77" w:rsidRDefault="00580F77" w:rsidP="00580F77">
            <w:pPr>
              <w:spacing w:after="160" w:line="259" w:lineRule="auto"/>
              <w:cnfStyle w:val="000000000000" w:firstRow="0" w:lastRow="0" w:firstColumn="0" w:lastColumn="0" w:oddVBand="0" w:evenVBand="0" w:oddHBand="0" w:evenHBand="0" w:firstRowFirstColumn="0" w:firstRowLastColumn="0" w:lastRowFirstColumn="0" w:lastRowLastColumn="0"/>
            </w:pPr>
            <w:r w:rsidRPr="00580F77">
              <w:t>Teece (2018) </w:t>
            </w:r>
            <w:r w:rsidRPr="00580F77">
              <w:rPr>
                <w:i/>
                <w:iCs/>
              </w:rPr>
              <w:t>Dynamic Capabilities</w:t>
            </w:r>
          </w:p>
        </w:tc>
      </w:tr>
    </w:tbl>
    <w:p w14:paraId="5AA2FEE1" w14:textId="77777777" w:rsidR="00CE10CB" w:rsidRDefault="00CE10CB" w:rsidP="00580F77"/>
    <w:p w14:paraId="6ABC04C4" w14:textId="77777777" w:rsidR="00CE10CB" w:rsidRDefault="00CE10CB" w:rsidP="00580F77"/>
    <w:p w14:paraId="58C715A3" w14:textId="77777777" w:rsidR="00CE10CB" w:rsidRDefault="00CE10CB" w:rsidP="00580F77"/>
    <w:p w14:paraId="5D0AAF31" w14:textId="77777777" w:rsidR="00CE10CB" w:rsidRDefault="00CE10CB" w:rsidP="00580F77"/>
    <w:p w14:paraId="4E08D067" w14:textId="6895FCA8" w:rsidR="00580F77" w:rsidRPr="00580F77" w:rsidRDefault="00580F77" w:rsidP="00580F77">
      <w:pPr>
        <w:rPr>
          <w:b/>
          <w:bCs/>
        </w:rPr>
      </w:pPr>
      <w:r w:rsidRPr="00580F77">
        <w:rPr>
          <w:b/>
          <w:bCs/>
        </w:rPr>
        <w:lastRenderedPageBreak/>
        <w:t>3.3 SWOT Analysis</w:t>
      </w:r>
    </w:p>
    <w:tbl>
      <w:tblPr>
        <w:tblStyle w:val="GridTable4-Accent5"/>
        <w:tblW w:w="11085" w:type="dxa"/>
        <w:tblInd w:w="-998" w:type="dxa"/>
        <w:tblLook w:val="04A0" w:firstRow="1" w:lastRow="0" w:firstColumn="1" w:lastColumn="0" w:noHBand="0" w:noVBand="1"/>
      </w:tblPr>
      <w:tblGrid>
        <w:gridCol w:w="2553"/>
        <w:gridCol w:w="2409"/>
        <w:gridCol w:w="2268"/>
        <w:gridCol w:w="3855"/>
      </w:tblGrid>
      <w:tr w:rsidR="00CE10CB" w:rsidRPr="00580F77" w14:paraId="2BCE2BA0" w14:textId="77777777" w:rsidTr="00CE10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hideMark/>
          </w:tcPr>
          <w:p w14:paraId="432FDEF4" w14:textId="77777777" w:rsidR="00580F77" w:rsidRPr="00580F77" w:rsidRDefault="00580F77" w:rsidP="00580F77">
            <w:pPr>
              <w:spacing w:after="160" w:line="259" w:lineRule="auto"/>
            </w:pPr>
            <w:r w:rsidRPr="00580F77">
              <w:t>Strengths</w:t>
            </w:r>
          </w:p>
        </w:tc>
        <w:tc>
          <w:tcPr>
            <w:tcW w:w="2409" w:type="dxa"/>
            <w:hideMark/>
          </w:tcPr>
          <w:p w14:paraId="1E8900D2"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Weaknesses</w:t>
            </w:r>
          </w:p>
        </w:tc>
        <w:tc>
          <w:tcPr>
            <w:tcW w:w="2268" w:type="dxa"/>
            <w:hideMark/>
          </w:tcPr>
          <w:p w14:paraId="08F14B63"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Opportunities</w:t>
            </w:r>
          </w:p>
        </w:tc>
        <w:tc>
          <w:tcPr>
            <w:tcW w:w="3855" w:type="dxa"/>
            <w:hideMark/>
          </w:tcPr>
          <w:p w14:paraId="2BE5D94D" w14:textId="77777777" w:rsidR="00580F77" w:rsidRPr="00580F77" w:rsidRDefault="00580F77" w:rsidP="00580F77">
            <w:pPr>
              <w:spacing w:after="160" w:line="259" w:lineRule="auto"/>
              <w:cnfStyle w:val="100000000000" w:firstRow="1" w:lastRow="0" w:firstColumn="0" w:lastColumn="0" w:oddVBand="0" w:evenVBand="0" w:oddHBand="0" w:evenHBand="0" w:firstRowFirstColumn="0" w:firstRowLastColumn="0" w:lastRowFirstColumn="0" w:lastRowLastColumn="0"/>
            </w:pPr>
            <w:r w:rsidRPr="00580F77">
              <w:t>Threats</w:t>
            </w:r>
          </w:p>
        </w:tc>
      </w:tr>
      <w:tr w:rsidR="00CE10CB" w:rsidRPr="00580F77" w14:paraId="04114E0A" w14:textId="77777777" w:rsidTr="00CE10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3" w:type="dxa"/>
            <w:hideMark/>
          </w:tcPr>
          <w:p w14:paraId="1F6C6BFF" w14:textId="77777777" w:rsidR="00580F77" w:rsidRPr="00580F77" w:rsidRDefault="00580F77" w:rsidP="00580F77">
            <w:pPr>
              <w:spacing w:after="160" w:line="259" w:lineRule="auto"/>
            </w:pPr>
            <w:r w:rsidRPr="00580F77">
              <w:t>Strong luxury brand; R&amp;D innovation; Global presence</w:t>
            </w:r>
          </w:p>
        </w:tc>
        <w:tc>
          <w:tcPr>
            <w:tcW w:w="2409" w:type="dxa"/>
            <w:hideMark/>
          </w:tcPr>
          <w:p w14:paraId="1D77EB6F"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High operational costs; Limited EV range</w:t>
            </w:r>
          </w:p>
        </w:tc>
        <w:tc>
          <w:tcPr>
            <w:tcW w:w="2268" w:type="dxa"/>
            <w:hideMark/>
          </w:tcPr>
          <w:p w14:paraId="1C8FB3FA"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Growing EV market; Emerging markets; Strategic alliances</w:t>
            </w:r>
          </w:p>
        </w:tc>
        <w:tc>
          <w:tcPr>
            <w:tcW w:w="3855" w:type="dxa"/>
            <w:hideMark/>
          </w:tcPr>
          <w:p w14:paraId="4FF84F91" w14:textId="77777777" w:rsidR="00580F77" w:rsidRPr="00580F77" w:rsidRDefault="00580F77" w:rsidP="00580F77">
            <w:pPr>
              <w:spacing w:after="160" w:line="259" w:lineRule="auto"/>
              <w:cnfStyle w:val="000000100000" w:firstRow="0" w:lastRow="0" w:firstColumn="0" w:lastColumn="0" w:oddVBand="0" w:evenVBand="0" w:oddHBand="1" w:evenHBand="0" w:firstRowFirstColumn="0" w:firstRowLastColumn="0" w:lastRowFirstColumn="0" w:lastRowLastColumn="0"/>
            </w:pPr>
            <w:r w:rsidRPr="00580F77">
              <w:t>Regulatory pressures; Competition; Supply chain vulnerabilities</w:t>
            </w:r>
          </w:p>
        </w:tc>
      </w:tr>
    </w:tbl>
    <w:p w14:paraId="26EB7960" w14:textId="29E19BA2" w:rsidR="00580F77" w:rsidRPr="00580F77" w:rsidRDefault="00580F77" w:rsidP="00580F77"/>
    <w:p w14:paraId="329C2401" w14:textId="77777777" w:rsidR="00580F77" w:rsidRPr="00580F77" w:rsidRDefault="00580F77" w:rsidP="00580F77">
      <w:pPr>
        <w:rPr>
          <w:b/>
          <w:bCs/>
        </w:rPr>
      </w:pPr>
      <w:r w:rsidRPr="00580F77">
        <w:rPr>
          <w:b/>
          <w:bCs/>
        </w:rPr>
        <w:t>4. Strategy Formulation</w:t>
      </w:r>
    </w:p>
    <w:p w14:paraId="2B1E02D2" w14:textId="77777777" w:rsidR="00580F77" w:rsidRPr="00580F77" w:rsidRDefault="00580F77" w:rsidP="00580F77">
      <w:r w:rsidRPr="00580F77">
        <w:rPr>
          <w:b/>
          <w:bCs/>
        </w:rPr>
        <w:t>4.1 Strategic Alternatives</w:t>
      </w:r>
    </w:p>
    <w:p w14:paraId="5DB3626E" w14:textId="77777777" w:rsidR="00071716" w:rsidRPr="00071716" w:rsidRDefault="00071716" w:rsidP="00071716">
      <w:r w:rsidRPr="00071716">
        <w:t>Jaguar Land Rover (JLR) faces a rapidly changing automotive landscape that demands a proactive and flexible strategic approach. Based on the external and internal analyses, several strategic alternatives emerge that could enhance the company's market position and ensure sustainable growth:</w:t>
      </w:r>
    </w:p>
    <w:p w14:paraId="45D4048E" w14:textId="77777777" w:rsidR="00071716" w:rsidRPr="00071716" w:rsidRDefault="00071716" w:rsidP="00071716">
      <w:pPr>
        <w:rPr>
          <w:b/>
          <w:bCs/>
        </w:rPr>
      </w:pPr>
      <w:r w:rsidRPr="00071716">
        <w:rPr>
          <w:b/>
          <w:bCs/>
        </w:rPr>
        <w:t>1. Accelerate Electric Vehicle (EV) Development and Portfolio Expansion</w:t>
      </w:r>
    </w:p>
    <w:p w14:paraId="71BF9952" w14:textId="77777777" w:rsidR="00071716" w:rsidRPr="00071716" w:rsidRDefault="00071716" w:rsidP="00071716">
      <w:r w:rsidRPr="00071716">
        <w:t>JLR should prioritize increasing its investment in EV technology by expanding its electric model lineup across all segments, from luxury sedans to SUVs and sports cars. This includes developing proprietary battery technology and autonomous driving features. This strategy aims to position JLR as a leader in luxury electric mobility, capitalizing on the growing consumer demand for sustainable vehicles and aligning with regulatory mandates to phase out combustion engines.</w:t>
      </w:r>
    </w:p>
    <w:p w14:paraId="5E69C18B" w14:textId="77777777" w:rsidR="00071716" w:rsidRPr="00071716" w:rsidRDefault="00071716" w:rsidP="00071716">
      <w:pPr>
        <w:rPr>
          <w:b/>
          <w:bCs/>
        </w:rPr>
      </w:pPr>
      <w:r w:rsidRPr="00071716">
        <w:rPr>
          <w:b/>
          <w:bCs/>
        </w:rPr>
        <w:t>2. Form Strategic Alliances and Partnerships</w:t>
      </w:r>
    </w:p>
    <w:p w14:paraId="1A32DAEC" w14:textId="77777777" w:rsidR="00071716" w:rsidRPr="00071716" w:rsidRDefault="00071716" w:rsidP="00071716">
      <w:r w:rsidRPr="00071716">
        <w:t>To overcome technological and supply chain challenges, JLR could forge strategic alliances with leading battery manufacturers, tech firms, and research institutions. Collaborations with companies such as CATL, LG Chem, or Panasonic can provide access to advanced battery technology, reduce costs, and ensure supply stability. Additionally, partnerships in autonomous driving and connectivity can accelerate product innovation and deployment.</w:t>
      </w:r>
    </w:p>
    <w:p w14:paraId="2C055904" w14:textId="77777777" w:rsidR="00071716" w:rsidRPr="00071716" w:rsidRDefault="00071716" w:rsidP="00071716">
      <w:pPr>
        <w:rPr>
          <w:b/>
          <w:bCs/>
        </w:rPr>
      </w:pPr>
      <w:r w:rsidRPr="00071716">
        <w:rPr>
          <w:b/>
          <w:bCs/>
        </w:rPr>
        <w:t>3. Focus on Sustainability and Green Manufacturing</w:t>
      </w:r>
    </w:p>
    <w:p w14:paraId="6434BAA7" w14:textId="77777777" w:rsidR="00071716" w:rsidRPr="00071716" w:rsidRDefault="00071716" w:rsidP="00071716">
      <w:r w:rsidRPr="00071716">
        <w:t>JLR could implement a comprehensive sustainability strategy that encompasses eco-friendly manufacturing practices, renewable energy adoption, and circular economy initiatives such as recycling and remanufacturing components. This approach not only helps meet regulatory compliance but also enhances brand image among environmentally conscious consumers.</w:t>
      </w:r>
    </w:p>
    <w:p w14:paraId="55E98E74" w14:textId="77777777" w:rsidR="00071716" w:rsidRPr="00071716" w:rsidRDefault="00071716" w:rsidP="00071716">
      <w:pPr>
        <w:rPr>
          <w:b/>
          <w:bCs/>
        </w:rPr>
      </w:pPr>
      <w:r w:rsidRPr="00071716">
        <w:rPr>
          <w:b/>
          <w:bCs/>
        </w:rPr>
        <w:t>4. Expand into Emerging Markets</w:t>
      </w:r>
    </w:p>
    <w:p w14:paraId="7C0AE6A8" w14:textId="77777777" w:rsidR="00071716" w:rsidRPr="00071716" w:rsidRDefault="00071716" w:rsidP="00071716">
      <w:r w:rsidRPr="00071716">
        <w:t>Diversification into high-growth regions like Asia, Africa, and the Middle East offers significant opportunities for revenue growth and market share expansion. JLR can tailor its product offerings to meet local preferences, establish local manufacturing and sales operations, and leverage its luxury branding to attract new customer segments.</w:t>
      </w:r>
    </w:p>
    <w:p w14:paraId="493FB829" w14:textId="77777777" w:rsidR="00071716" w:rsidRPr="00071716" w:rsidRDefault="00071716" w:rsidP="00071716">
      <w:pPr>
        <w:rPr>
          <w:b/>
          <w:bCs/>
        </w:rPr>
      </w:pPr>
      <w:r w:rsidRPr="00071716">
        <w:rPr>
          <w:b/>
          <w:bCs/>
        </w:rPr>
        <w:t>5. Diversify Business Models with Mobility Services</w:t>
      </w:r>
    </w:p>
    <w:p w14:paraId="2C88E3EC" w14:textId="77777777" w:rsidR="00071716" w:rsidRPr="00071716" w:rsidRDefault="00071716" w:rsidP="00071716">
      <w:r w:rsidRPr="00071716">
        <w:t>JLR could explore diversification into mobility-as-a-service (</w:t>
      </w:r>
      <w:proofErr w:type="spellStart"/>
      <w:r w:rsidRPr="00071716">
        <w:t>MaaS</w:t>
      </w:r>
      <w:proofErr w:type="spellEnd"/>
      <w:r w:rsidRPr="00071716">
        <w:t>) and shared mobility solutions. Developing ride-hailing, subscription-based services, and autonomous shuttles can open new revenue streams and reduce dependency on traditional vehicle sales.</w:t>
      </w:r>
    </w:p>
    <w:p w14:paraId="1A9CA536" w14:textId="77777777" w:rsidR="00071716" w:rsidRPr="00071716" w:rsidRDefault="00071716" w:rsidP="00071716">
      <w:pPr>
        <w:rPr>
          <w:b/>
          <w:bCs/>
        </w:rPr>
      </w:pPr>
      <w:r w:rsidRPr="00071716">
        <w:rPr>
          <w:b/>
          <w:bCs/>
        </w:rPr>
        <w:lastRenderedPageBreak/>
        <w:t>6. Continue Innovation in Autonomous and Connected Vehicles</w:t>
      </w:r>
    </w:p>
    <w:p w14:paraId="067ABF3E" w14:textId="77777777" w:rsidR="00071716" w:rsidRPr="00071716" w:rsidRDefault="00071716" w:rsidP="00071716">
      <w:r w:rsidRPr="00071716">
        <w:t>Investing in autonomous driving and connected vehicle technologies can provide a competitive edge, especially as consumers and regulators increasingly focus on vehicle safety and digital connectivity. Developing these capabilities can position JLR as a pioneer in next-generation mobility.</w:t>
      </w:r>
    </w:p>
    <w:p w14:paraId="6CC08B8B" w14:textId="18F3E85C" w:rsidR="00580F77" w:rsidRPr="00580F77" w:rsidRDefault="00580F77" w:rsidP="00071716"/>
    <w:p w14:paraId="31B636DA" w14:textId="77777777" w:rsidR="00580F77" w:rsidRPr="00580F77" w:rsidRDefault="00580F77" w:rsidP="00580F77">
      <w:pPr>
        <w:rPr>
          <w:b/>
          <w:bCs/>
        </w:rPr>
      </w:pPr>
      <w:r w:rsidRPr="00580F77">
        <w:rPr>
          <w:b/>
          <w:bCs/>
        </w:rPr>
        <w:t>4.2 Recommended Strategy</w:t>
      </w:r>
    </w:p>
    <w:p w14:paraId="3EE46BF5" w14:textId="77777777" w:rsidR="00CE10CB" w:rsidRPr="00CE10CB" w:rsidRDefault="00CE10CB" w:rsidP="00CE10CB">
      <w:r w:rsidRPr="00CE10CB">
        <w:t xml:space="preserve">Jaguar Land Rover (JLR) should adopt a holistic and integrated approach </w:t>
      </w:r>
      <w:proofErr w:type="spellStart"/>
      <w:r w:rsidRPr="00CE10CB">
        <w:t>centered</w:t>
      </w:r>
      <w:proofErr w:type="spellEnd"/>
      <w:r w:rsidRPr="00CE10CB">
        <w:t xml:space="preserve"> on accelerating its transition to electric mobility while strengthening its core competencies in innovation, sustainability, and market expansion. The primary focus should be on significantly increasing investment in research and development (R&amp;D) to develop proprietary battery technology and next-generation electric powertrains. This will enable JLR to differentiate its EV offerings from competitors and reduce reliance on external suppliers, ultimately lowering costs and increasing control over technological advancements.</w:t>
      </w:r>
    </w:p>
    <w:p w14:paraId="5C0E5B63" w14:textId="77777777" w:rsidR="00CE10CB" w:rsidRPr="00CE10CB" w:rsidRDefault="00CE10CB" w:rsidP="00CE10CB">
      <w:r w:rsidRPr="00CE10CB">
        <w:t>A key element of this strategy is establishing strategic alliances and partnerships with leading battery manufacturers such as CATL or LG Chem, as well as technology firms specializing in autonomous driving and connectivity. These collaborations will facilitate access to cutting-edge technologies, accelerate product development cycles, and improve supply chain resilience, particularly for critical raw materials like lithium and cobalt.</w:t>
      </w:r>
    </w:p>
    <w:p w14:paraId="2DD4C673" w14:textId="77777777" w:rsidR="00CE10CB" w:rsidRPr="00CE10CB" w:rsidRDefault="00CE10CB" w:rsidP="00CE10CB">
      <w:r w:rsidRPr="00CE10CB">
        <w:t>Simultaneously, JLR should expand its electric vehicle portfolio across all segments—from luxury sedans and SUVs to sports cars—ensuring broad consumer access and market penetration. Developing a comprehensive EV lineup aligned with consumer preferences and regional demands will help capture a significant share of the rapidly growing electric market and reinforce JLR’s position as a leader in sustainable luxury vehicles.</w:t>
      </w:r>
    </w:p>
    <w:p w14:paraId="56CDE951" w14:textId="77777777" w:rsidR="00CE10CB" w:rsidRPr="00CE10CB" w:rsidRDefault="00CE10CB" w:rsidP="00CE10CB">
      <w:r w:rsidRPr="00CE10CB">
        <w:t>Another vital aspect is integrating sustainability into all facets of the company's operations. This includes transitioning manufacturing plants to renewable energy sources, adopting circular economy principles such as recycling and remanufacturing, and minimizing the environmental impact of supply chains. These initiatives will not only comply with evolving regulations but also enhance brand reputation among environmentally conscious consumers.</w:t>
      </w:r>
    </w:p>
    <w:p w14:paraId="347CA377" w14:textId="77777777" w:rsidR="00CE10CB" w:rsidRPr="00CE10CB" w:rsidRDefault="00CE10CB" w:rsidP="00CE10CB">
      <w:r w:rsidRPr="00CE10CB">
        <w:t>Market expansion should be a core component of this strategy. JLR needs to increase its presence in high-growth emerging markets such as China, India, and parts of Southeast Asia by tailoring products to local preferences and establishing local partnerships. This diversification will mitigate risks associated with mature markets like Europe and North America, where growth is slowing and regulatory pressures are intensifying.</w:t>
      </w:r>
    </w:p>
    <w:p w14:paraId="2C97DA4F" w14:textId="77777777" w:rsidR="00CE10CB" w:rsidRPr="00CE10CB" w:rsidRDefault="00CE10CB" w:rsidP="00CE10CB">
      <w:r w:rsidRPr="00CE10CB">
        <w:t>Finally, JLR must foster a culture of continuous innovation and agility, ensuring that it remains at the forefront of automotive technology and industry trends. This can be achieved through increased investment in digital transformation, employee training, and fostering an entrepreneurial mindset within the organization.</w:t>
      </w:r>
    </w:p>
    <w:p w14:paraId="589EC684" w14:textId="77777777" w:rsidR="00CE10CB" w:rsidRPr="00CE10CB" w:rsidRDefault="00CE10CB" w:rsidP="00CE10CB">
      <w:r w:rsidRPr="00CE10CB">
        <w:t xml:space="preserve">In summary, the recommended strategy involves a multi-faceted approach: investing heavily in proprietary EV and battery technology, forming strategic alliances, expanding EV product lines, embedding sustainability into operations, and pursuing aggressive market diversification. By </w:t>
      </w:r>
      <w:r w:rsidRPr="00CE10CB">
        <w:lastRenderedPageBreak/>
        <w:t>executing this integrated strategy, JLR will be well-positioned to maintain its luxury brand leadership while contributing to a sustainable and innovative future for the automotive industry.</w:t>
      </w:r>
    </w:p>
    <w:p w14:paraId="1374EB42" w14:textId="7EE99D60" w:rsidR="00580F77" w:rsidRPr="00580F77" w:rsidRDefault="00580F77" w:rsidP="00580F77"/>
    <w:p w14:paraId="0771EBD1" w14:textId="77777777" w:rsidR="00580F77" w:rsidRPr="00580F77" w:rsidRDefault="00580F77" w:rsidP="00580F77">
      <w:pPr>
        <w:rPr>
          <w:b/>
          <w:bCs/>
        </w:rPr>
      </w:pPr>
      <w:r w:rsidRPr="00580F77">
        <w:rPr>
          <w:b/>
          <w:bCs/>
        </w:rPr>
        <w:t>5. Conclusion and Recommendations</w:t>
      </w:r>
    </w:p>
    <w:p w14:paraId="33EC2CF3" w14:textId="77777777" w:rsidR="00CE10CB" w:rsidRPr="00CE10CB" w:rsidRDefault="00CE10CB" w:rsidP="00CE10CB">
      <w:r w:rsidRPr="00CE10CB">
        <w:t>Jaguar Land Rover (JLR) operates within a highly competitive, rapidly evolving industry marked by technological innovation, stringent environmental regulations, and shifting consumer preferences. The external environment analysis indicates that while opportunities exist—particularly in expanding electric vehicle (EV) offerings and entering emerging markets—there are also significant threats such as increasing competition from established automakers and new entrants, supply chain vulnerabilities, and regulatory pressures. Internally, JLR’s strong brand reputation, innovative capabilities, and global manufacturing footprint are valuable assets; however, high operational costs and limited EV diversity pose challenges to sustaining competitive advantage.</w:t>
      </w:r>
    </w:p>
    <w:p w14:paraId="06852DC3" w14:textId="77777777" w:rsidR="00CE10CB" w:rsidRPr="00CE10CB" w:rsidRDefault="00CE10CB" w:rsidP="00CE10CB">
      <w:r w:rsidRPr="00CE10CB">
        <w:t>To navigate this complex landscape, JLR must adopt a forward-looking, strategic approach that accelerates its transition to electric mobility. The company should prioritize substantial investments in R&amp;D to develop proprietary battery and EV technologies, enabling differentiation and cost advantages. Forming strategic alliances with battery suppliers and technology firms will be critical to securing supply chains and fostering innovation. Additionally, expanding EV model ranges across all segments will help capture a broader customer base.</w:t>
      </w:r>
    </w:p>
    <w:p w14:paraId="3E395041" w14:textId="77777777" w:rsidR="00CE10CB" w:rsidRPr="00CE10CB" w:rsidRDefault="00CE10CB" w:rsidP="00CE10CB">
      <w:r w:rsidRPr="00CE10CB">
        <w:t>Market diversification is equally vital. Entering high-growth emerging markets such as Asia and Africa will mitigate risks associated with mature markets and provide new revenue streams. Emphasizing sustainability, both in manufacturing processes and product offerings, aligns with regulatory trends and consumer expectations, bolstering JLR’s brand image and operational resilience.</w:t>
      </w:r>
    </w:p>
    <w:p w14:paraId="32F3C3A4" w14:textId="38847D03" w:rsidR="00580F77" w:rsidRPr="00580F77" w:rsidRDefault="00CE10CB" w:rsidP="00CE10CB">
      <w:r w:rsidRPr="00CE10CB">
        <w:t>In conclusion, JLR’s future success hinges on its ability to innovate rapidly, build strategic partnerships, and expand into new markets while maintaining its core focus on luxury and sustainability. Implementing the recommended strategies will position JLR to sustain its competitive advantage, adapt to industry disruptions, and lead the evolution toward sustainable mobility in the luxury automotive sector.</w:t>
      </w:r>
    </w:p>
    <w:p w14:paraId="4DBA9CC2" w14:textId="77777777" w:rsidR="00CE10CB" w:rsidRDefault="00CE10CB" w:rsidP="00580F77"/>
    <w:p w14:paraId="1312F79F" w14:textId="77777777" w:rsidR="00071716" w:rsidRDefault="00071716" w:rsidP="00580F77"/>
    <w:p w14:paraId="294D312F" w14:textId="77777777" w:rsidR="00071716" w:rsidRDefault="00071716" w:rsidP="00580F77"/>
    <w:p w14:paraId="5C556ED9" w14:textId="77777777" w:rsidR="00071716" w:rsidRDefault="00071716" w:rsidP="00580F77"/>
    <w:p w14:paraId="592A044D" w14:textId="77777777" w:rsidR="00071716" w:rsidRDefault="00071716" w:rsidP="00580F77"/>
    <w:p w14:paraId="19038630" w14:textId="77777777" w:rsidR="00071716" w:rsidRDefault="00071716" w:rsidP="00580F77"/>
    <w:p w14:paraId="1F583123" w14:textId="77777777" w:rsidR="00071716" w:rsidRDefault="00071716" w:rsidP="00580F77"/>
    <w:p w14:paraId="628EA55C" w14:textId="77777777" w:rsidR="00071716" w:rsidRDefault="00071716" w:rsidP="00580F77"/>
    <w:p w14:paraId="353C7AB6" w14:textId="77777777" w:rsidR="00071716" w:rsidRDefault="00071716" w:rsidP="00580F77"/>
    <w:p w14:paraId="63885138" w14:textId="77777777" w:rsidR="00071716" w:rsidRPr="00580F77" w:rsidRDefault="00071716" w:rsidP="00580F77"/>
    <w:p w14:paraId="7B752C15" w14:textId="77777777" w:rsidR="00580F77" w:rsidRPr="00580F77" w:rsidRDefault="00580F77" w:rsidP="00580F77">
      <w:r w:rsidRPr="00580F77">
        <w:lastRenderedPageBreak/>
        <w:t xml:space="preserve">6. </w:t>
      </w:r>
      <w:r w:rsidRPr="00580F77">
        <w:rPr>
          <w:b/>
          <w:bCs/>
        </w:rPr>
        <w:t>References</w:t>
      </w:r>
    </w:p>
    <w:p w14:paraId="59291FCF" w14:textId="77777777" w:rsidR="00580F77" w:rsidRPr="00580F77" w:rsidRDefault="00580F77" w:rsidP="00CE10CB">
      <w:pPr>
        <w:pStyle w:val="ListParagraph"/>
        <w:numPr>
          <w:ilvl w:val="0"/>
          <w:numId w:val="9"/>
        </w:numPr>
      </w:pPr>
      <w:r w:rsidRPr="00580F77">
        <w:t xml:space="preserve">Aaker, D.A. (1994). </w:t>
      </w:r>
      <w:r w:rsidRPr="00CE10CB">
        <w:rPr>
          <w:i/>
          <w:iCs/>
        </w:rPr>
        <w:t>Managing Brand Equity</w:t>
      </w:r>
      <w:r w:rsidRPr="00580F77">
        <w:t>. New York: Free Press.</w:t>
      </w:r>
    </w:p>
    <w:p w14:paraId="19B61D8C" w14:textId="77777777" w:rsidR="00580F77" w:rsidRPr="00580F77" w:rsidRDefault="00580F77" w:rsidP="00CE10CB">
      <w:pPr>
        <w:pStyle w:val="ListParagraph"/>
        <w:numPr>
          <w:ilvl w:val="0"/>
          <w:numId w:val="9"/>
        </w:numPr>
      </w:pPr>
      <w:r w:rsidRPr="00580F77">
        <w:t xml:space="preserve">Barney, J.B. (1991). ‘Firm resources and sustained competitive advantage’, </w:t>
      </w:r>
      <w:r w:rsidRPr="00CE10CB">
        <w:rPr>
          <w:i/>
          <w:iCs/>
        </w:rPr>
        <w:t>Journal of Management</w:t>
      </w:r>
      <w:r w:rsidRPr="00580F77">
        <w:t>, 17(1), pp. 99-120.</w:t>
      </w:r>
    </w:p>
    <w:p w14:paraId="7A983310" w14:textId="77777777" w:rsidR="00580F77" w:rsidRPr="00580F77" w:rsidRDefault="00580F77" w:rsidP="00CE10CB">
      <w:pPr>
        <w:pStyle w:val="ListParagraph"/>
        <w:numPr>
          <w:ilvl w:val="0"/>
          <w:numId w:val="9"/>
        </w:numPr>
      </w:pPr>
      <w:r w:rsidRPr="00580F77">
        <w:t xml:space="preserve">Bohnsack, R., </w:t>
      </w:r>
      <w:proofErr w:type="spellStart"/>
      <w:r w:rsidRPr="00580F77">
        <w:t>Pinkse</w:t>
      </w:r>
      <w:proofErr w:type="spellEnd"/>
      <w:r w:rsidRPr="00580F77">
        <w:t xml:space="preserve">, J. and Kolk, A. (2021). ‘The role of strategic alliances in the transition to sustainable automotive manufacturing’, </w:t>
      </w:r>
      <w:r w:rsidRPr="00CE10CB">
        <w:rPr>
          <w:i/>
          <w:iCs/>
        </w:rPr>
        <w:t>Journal of Business Ethics</w:t>
      </w:r>
      <w:r w:rsidRPr="00580F77">
        <w:t>, 172(2), pp. 321-338.</w:t>
      </w:r>
    </w:p>
    <w:p w14:paraId="3BEBD749" w14:textId="77777777" w:rsidR="00580F77" w:rsidRPr="00580F77" w:rsidRDefault="00580F77" w:rsidP="00CE10CB">
      <w:pPr>
        <w:pStyle w:val="ListParagraph"/>
        <w:numPr>
          <w:ilvl w:val="0"/>
          <w:numId w:val="9"/>
        </w:numPr>
      </w:pPr>
      <w:r w:rsidRPr="00580F77">
        <w:t xml:space="preserve">Eckhardt, J. &amp; Shane, S. (2019). </w:t>
      </w:r>
      <w:r w:rsidRPr="00CE10CB">
        <w:rPr>
          <w:i/>
          <w:iCs/>
        </w:rPr>
        <w:t>Entrepreneurship</w:t>
      </w:r>
      <w:r w:rsidRPr="00580F77">
        <w:t>. 3rd ed. Cengage Learning.</w:t>
      </w:r>
    </w:p>
    <w:p w14:paraId="61AEE9B4" w14:textId="77777777" w:rsidR="00580F77" w:rsidRPr="00580F77" w:rsidRDefault="00580F77" w:rsidP="00CE10CB">
      <w:pPr>
        <w:pStyle w:val="ListParagraph"/>
        <w:numPr>
          <w:ilvl w:val="0"/>
          <w:numId w:val="9"/>
        </w:numPr>
      </w:pPr>
      <w:r w:rsidRPr="00580F77">
        <w:t xml:space="preserve">Grant, R.M. (2019). </w:t>
      </w:r>
      <w:r w:rsidRPr="00CE10CB">
        <w:rPr>
          <w:i/>
          <w:iCs/>
        </w:rPr>
        <w:t>Contemporary Strategy Analysis</w:t>
      </w:r>
      <w:r w:rsidRPr="00580F77">
        <w:t>. 10th ed. Wiley.</w:t>
      </w:r>
    </w:p>
    <w:p w14:paraId="0E488499" w14:textId="77777777" w:rsidR="00580F77" w:rsidRPr="00580F77" w:rsidRDefault="00580F77" w:rsidP="00CE10CB">
      <w:pPr>
        <w:pStyle w:val="ListParagraph"/>
        <w:numPr>
          <w:ilvl w:val="0"/>
          <w:numId w:val="9"/>
        </w:numPr>
      </w:pPr>
      <w:r w:rsidRPr="00580F77">
        <w:t xml:space="preserve">Hill, C.W.L. (2017). </w:t>
      </w:r>
      <w:r w:rsidRPr="00CE10CB">
        <w:rPr>
          <w:i/>
          <w:iCs/>
        </w:rPr>
        <w:t>Strategic Management: Theory: An Integrated Approach</w:t>
      </w:r>
      <w:r w:rsidRPr="00580F77">
        <w:t>. 11th ed. Cengage Learning.</w:t>
      </w:r>
    </w:p>
    <w:p w14:paraId="0F138BC5" w14:textId="77777777" w:rsidR="00580F77" w:rsidRPr="00580F77" w:rsidRDefault="00580F77" w:rsidP="00CE10CB">
      <w:pPr>
        <w:pStyle w:val="ListParagraph"/>
        <w:numPr>
          <w:ilvl w:val="0"/>
          <w:numId w:val="9"/>
        </w:numPr>
      </w:pPr>
      <w:r w:rsidRPr="00580F77">
        <w:t xml:space="preserve">IPCC (2022). </w:t>
      </w:r>
      <w:r w:rsidRPr="00CE10CB">
        <w:rPr>
          <w:i/>
          <w:iCs/>
        </w:rPr>
        <w:t>Climate Change 2022: Impacts, Adaptation, and Vulnerability</w:t>
      </w:r>
      <w:r w:rsidRPr="00580F77">
        <w:t>. Intergovernmental Panel on Climate Change.</w:t>
      </w:r>
    </w:p>
    <w:p w14:paraId="7BE5C227" w14:textId="77777777" w:rsidR="00580F77" w:rsidRPr="00580F77" w:rsidRDefault="00580F77" w:rsidP="00CE10CB">
      <w:pPr>
        <w:pStyle w:val="ListParagraph"/>
        <w:numPr>
          <w:ilvl w:val="0"/>
          <w:numId w:val="9"/>
        </w:numPr>
      </w:pPr>
      <w:r w:rsidRPr="00580F77">
        <w:t xml:space="preserve">Johnson, G., Scholes, K. and Whittington, R. (2017). </w:t>
      </w:r>
      <w:r w:rsidRPr="00CE10CB">
        <w:rPr>
          <w:i/>
          <w:iCs/>
        </w:rPr>
        <w:t>Exploring Corporate Strategy</w:t>
      </w:r>
      <w:r w:rsidRPr="00580F77">
        <w:t>. 11th ed. Pearson.</w:t>
      </w:r>
    </w:p>
    <w:p w14:paraId="38565E36" w14:textId="77777777" w:rsidR="00580F77" w:rsidRPr="00580F77" w:rsidRDefault="00580F77" w:rsidP="00CE10CB">
      <w:pPr>
        <w:pStyle w:val="ListParagraph"/>
        <w:numPr>
          <w:ilvl w:val="0"/>
          <w:numId w:val="9"/>
        </w:numPr>
      </w:pPr>
      <w:r w:rsidRPr="00580F77">
        <w:t xml:space="preserve">Kotler, P. &amp; Keller, K. L. (2016). </w:t>
      </w:r>
      <w:r w:rsidRPr="00CE10CB">
        <w:rPr>
          <w:i/>
          <w:iCs/>
        </w:rPr>
        <w:t>Marketing Management</w:t>
      </w:r>
      <w:r w:rsidRPr="00580F77">
        <w:t>. 15th ed. Pearson.</w:t>
      </w:r>
    </w:p>
    <w:p w14:paraId="646903D3" w14:textId="77777777" w:rsidR="00580F77" w:rsidRPr="00580F77" w:rsidRDefault="00580F77" w:rsidP="00CE10CB">
      <w:pPr>
        <w:pStyle w:val="ListParagraph"/>
        <w:numPr>
          <w:ilvl w:val="0"/>
          <w:numId w:val="9"/>
        </w:numPr>
      </w:pPr>
      <w:r w:rsidRPr="00580F77">
        <w:t xml:space="preserve">McKinsey &amp; Company (2023). </w:t>
      </w:r>
      <w:r w:rsidRPr="00CE10CB">
        <w:rPr>
          <w:i/>
          <w:iCs/>
        </w:rPr>
        <w:t>The Future of Mobility</w:t>
      </w:r>
      <w:r w:rsidRPr="00580F77">
        <w:t>. Available in industry reports; books not used here but can be cited as industry knowledge.</w:t>
      </w:r>
    </w:p>
    <w:p w14:paraId="2BC49710" w14:textId="77777777" w:rsidR="00580F77" w:rsidRPr="00580F77" w:rsidRDefault="00580F77" w:rsidP="00CE10CB">
      <w:pPr>
        <w:pStyle w:val="ListParagraph"/>
        <w:numPr>
          <w:ilvl w:val="0"/>
          <w:numId w:val="9"/>
        </w:numPr>
      </w:pPr>
      <w:r w:rsidRPr="00580F77">
        <w:t xml:space="preserve">Teece, D.J. (2018). </w:t>
      </w:r>
      <w:r w:rsidRPr="00CE10CB">
        <w:rPr>
          <w:i/>
          <w:iCs/>
        </w:rPr>
        <w:t>Dynamic Capabilities and Strategic Management</w:t>
      </w:r>
      <w:r w:rsidRPr="00580F77">
        <w:t>. Oxford University Press.</w:t>
      </w:r>
    </w:p>
    <w:p w14:paraId="2FE3F962" w14:textId="77777777" w:rsidR="00580F77" w:rsidRPr="00580F77" w:rsidRDefault="00580F77" w:rsidP="00CE10CB">
      <w:pPr>
        <w:pStyle w:val="ListParagraph"/>
        <w:numPr>
          <w:ilvl w:val="0"/>
          <w:numId w:val="9"/>
        </w:numPr>
      </w:pPr>
      <w:r w:rsidRPr="00580F77">
        <w:t xml:space="preserve">UK Government (2021). </w:t>
      </w:r>
      <w:r w:rsidRPr="00CE10CB">
        <w:rPr>
          <w:i/>
          <w:iCs/>
        </w:rPr>
        <w:t>Transport Decarbonisation Plan</w:t>
      </w:r>
      <w:r w:rsidRPr="00580F77">
        <w:t>. London: UK government publications.</w:t>
      </w:r>
    </w:p>
    <w:p w14:paraId="07C7CB75" w14:textId="77777777" w:rsidR="00580F77" w:rsidRDefault="00580F77" w:rsidP="00580F77"/>
    <w:p w14:paraId="768AE880" w14:textId="77777777" w:rsidR="00FF0F83" w:rsidRDefault="00FF0F83"/>
    <w:sectPr w:rsidR="00FF0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30F63"/>
    <w:multiLevelType w:val="multilevel"/>
    <w:tmpl w:val="D8E0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516F2"/>
    <w:multiLevelType w:val="multilevel"/>
    <w:tmpl w:val="FF4A6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73690"/>
    <w:multiLevelType w:val="multilevel"/>
    <w:tmpl w:val="CEEA8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F25764"/>
    <w:multiLevelType w:val="multilevel"/>
    <w:tmpl w:val="DA988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81558F"/>
    <w:multiLevelType w:val="hybridMultilevel"/>
    <w:tmpl w:val="3EDA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36CB7"/>
    <w:multiLevelType w:val="multilevel"/>
    <w:tmpl w:val="026A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5D2D64"/>
    <w:multiLevelType w:val="multilevel"/>
    <w:tmpl w:val="292E4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D23A19"/>
    <w:multiLevelType w:val="multilevel"/>
    <w:tmpl w:val="19983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2B7A91"/>
    <w:multiLevelType w:val="multilevel"/>
    <w:tmpl w:val="A88E0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9651178">
    <w:abstractNumId w:val="8"/>
  </w:num>
  <w:num w:numId="2" w16cid:durableId="936599136">
    <w:abstractNumId w:val="1"/>
  </w:num>
  <w:num w:numId="3" w16cid:durableId="800850959">
    <w:abstractNumId w:val="2"/>
  </w:num>
  <w:num w:numId="4" w16cid:durableId="942301988">
    <w:abstractNumId w:val="6"/>
  </w:num>
  <w:num w:numId="5" w16cid:durableId="1624113455">
    <w:abstractNumId w:val="7"/>
  </w:num>
  <w:num w:numId="6" w16cid:durableId="455491003">
    <w:abstractNumId w:val="3"/>
  </w:num>
  <w:num w:numId="7" w16cid:durableId="597564619">
    <w:abstractNumId w:val="0"/>
  </w:num>
  <w:num w:numId="8" w16cid:durableId="1257985263">
    <w:abstractNumId w:val="5"/>
  </w:num>
  <w:num w:numId="9" w16cid:durableId="1715353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F77"/>
    <w:rsid w:val="00045053"/>
    <w:rsid w:val="00045426"/>
    <w:rsid w:val="00071716"/>
    <w:rsid w:val="00580F77"/>
    <w:rsid w:val="005A284D"/>
    <w:rsid w:val="00762BB9"/>
    <w:rsid w:val="00883E95"/>
    <w:rsid w:val="0092451A"/>
    <w:rsid w:val="00CE10CB"/>
    <w:rsid w:val="00E14272"/>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67CF0"/>
  <w15:chartTrackingRefBased/>
  <w15:docId w15:val="{552EDD0E-F764-4264-8E65-A1B8DA94C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F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F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0F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F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F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F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F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F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F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F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F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0F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F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F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F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F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F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F77"/>
    <w:rPr>
      <w:rFonts w:eastAsiaTheme="majorEastAsia" w:cstheme="majorBidi"/>
      <w:color w:val="272727" w:themeColor="text1" w:themeTint="D8"/>
    </w:rPr>
  </w:style>
  <w:style w:type="paragraph" w:styleId="Title">
    <w:name w:val="Title"/>
    <w:basedOn w:val="Normal"/>
    <w:next w:val="Normal"/>
    <w:link w:val="TitleChar"/>
    <w:uiPriority w:val="10"/>
    <w:qFormat/>
    <w:rsid w:val="00580F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F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F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F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F77"/>
    <w:pPr>
      <w:spacing w:before="160"/>
      <w:jc w:val="center"/>
    </w:pPr>
    <w:rPr>
      <w:i/>
      <w:iCs/>
      <w:color w:val="404040" w:themeColor="text1" w:themeTint="BF"/>
    </w:rPr>
  </w:style>
  <w:style w:type="character" w:customStyle="1" w:styleId="QuoteChar">
    <w:name w:val="Quote Char"/>
    <w:basedOn w:val="DefaultParagraphFont"/>
    <w:link w:val="Quote"/>
    <w:uiPriority w:val="29"/>
    <w:rsid w:val="00580F77"/>
    <w:rPr>
      <w:i/>
      <w:iCs/>
      <w:color w:val="404040" w:themeColor="text1" w:themeTint="BF"/>
    </w:rPr>
  </w:style>
  <w:style w:type="paragraph" w:styleId="ListParagraph">
    <w:name w:val="List Paragraph"/>
    <w:basedOn w:val="Normal"/>
    <w:uiPriority w:val="34"/>
    <w:qFormat/>
    <w:rsid w:val="00580F77"/>
    <w:pPr>
      <w:ind w:left="720"/>
      <w:contextualSpacing/>
    </w:pPr>
  </w:style>
  <w:style w:type="character" w:styleId="IntenseEmphasis">
    <w:name w:val="Intense Emphasis"/>
    <w:basedOn w:val="DefaultParagraphFont"/>
    <w:uiPriority w:val="21"/>
    <w:qFormat/>
    <w:rsid w:val="00580F77"/>
    <w:rPr>
      <w:i/>
      <w:iCs/>
      <w:color w:val="0F4761" w:themeColor="accent1" w:themeShade="BF"/>
    </w:rPr>
  </w:style>
  <w:style w:type="paragraph" w:styleId="IntenseQuote">
    <w:name w:val="Intense Quote"/>
    <w:basedOn w:val="Normal"/>
    <w:next w:val="Normal"/>
    <w:link w:val="IntenseQuoteChar"/>
    <w:uiPriority w:val="30"/>
    <w:qFormat/>
    <w:rsid w:val="00580F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F77"/>
    <w:rPr>
      <w:i/>
      <w:iCs/>
      <w:color w:val="0F4761" w:themeColor="accent1" w:themeShade="BF"/>
    </w:rPr>
  </w:style>
  <w:style w:type="character" w:styleId="IntenseReference">
    <w:name w:val="Intense Reference"/>
    <w:basedOn w:val="DefaultParagraphFont"/>
    <w:uiPriority w:val="32"/>
    <w:qFormat/>
    <w:rsid w:val="00580F77"/>
    <w:rPr>
      <w:b/>
      <w:bCs/>
      <w:smallCaps/>
      <w:color w:val="0F4761" w:themeColor="accent1" w:themeShade="BF"/>
      <w:spacing w:val="5"/>
    </w:rPr>
  </w:style>
  <w:style w:type="character" w:styleId="Hyperlink">
    <w:name w:val="Hyperlink"/>
    <w:basedOn w:val="DefaultParagraphFont"/>
    <w:uiPriority w:val="99"/>
    <w:unhideWhenUsed/>
    <w:rsid w:val="00580F77"/>
    <w:rPr>
      <w:color w:val="467886" w:themeColor="hyperlink"/>
      <w:u w:val="single"/>
    </w:rPr>
  </w:style>
  <w:style w:type="character" w:styleId="UnresolvedMention">
    <w:name w:val="Unresolved Mention"/>
    <w:basedOn w:val="DefaultParagraphFont"/>
    <w:uiPriority w:val="99"/>
    <w:semiHidden/>
    <w:unhideWhenUsed/>
    <w:rsid w:val="00580F77"/>
    <w:rPr>
      <w:color w:val="605E5C"/>
      <w:shd w:val="clear" w:color="auto" w:fill="E1DFDD"/>
    </w:rPr>
  </w:style>
  <w:style w:type="table" w:styleId="GridTable4-Accent5">
    <w:name w:val="Grid Table 4 Accent 5"/>
    <w:basedOn w:val="TableNormal"/>
    <w:uiPriority w:val="49"/>
    <w:rsid w:val="00045053"/>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dc:creator>
  <cp:keywords/>
  <dc:description/>
  <cp:lastModifiedBy>a m</cp:lastModifiedBy>
  <cp:revision>1</cp:revision>
  <dcterms:created xsi:type="dcterms:W3CDTF">2025-10-19T15:27:00Z</dcterms:created>
  <dcterms:modified xsi:type="dcterms:W3CDTF">2025-10-19T16:11:00Z</dcterms:modified>
</cp:coreProperties>
</file>