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1527899852"/>
        <w:docPartObj>
          <w:docPartGallery w:val="Cover Pages"/>
          <w:docPartUnique/>
        </w:docPartObj>
      </w:sdtPr>
      <w:sdtEndPr>
        <w:rPr>
          <w:rFonts w:ascii="Arial" w:eastAsiaTheme="minorHAnsi" w:hAnsi="Arial" w:cs="Arial"/>
          <w:b/>
          <w:bCs/>
          <w:color w:val="auto"/>
          <w:kern w:val="2"/>
          <w:lang w:val="en-GB"/>
          <w14:ligatures w14:val="standardContextual"/>
        </w:rPr>
      </w:sdtEndPr>
      <w:sdtContent>
        <w:p w14:paraId="733B1EB1" w14:textId="45AA338F" w:rsidR="002C2DB2" w:rsidRDefault="002C2DB2">
          <w:pPr>
            <w:pStyle w:val="NoSpacing"/>
            <w:spacing w:before="1540" w:after="240"/>
            <w:jc w:val="center"/>
            <w:rPr>
              <w:color w:val="156082" w:themeColor="accent1"/>
            </w:rPr>
          </w:pPr>
          <w:r>
            <w:rPr>
              <w:noProof/>
              <w:color w:val="156082" w:themeColor="accent1"/>
            </w:rPr>
            <w:drawing>
              <wp:inline distT="0" distB="0" distL="0" distR="0" wp14:anchorId="30B61C32" wp14:editId="55647C6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0AD1112934F4E48866F209CF737CE2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E1566A9" w14:textId="15ECE8C6" w:rsidR="002C2DB2" w:rsidRDefault="002C2DB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written report</w:t>
              </w:r>
            </w:p>
          </w:sdtContent>
        </w:sdt>
        <w:p w14:paraId="4D88DF77" w14:textId="73B2C9D0" w:rsidR="002C2DB2" w:rsidRPr="002C2DB2" w:rsidRDefault="002C2DB2" w:rsidP="002C2DB2">
          <w:pPr>
            <w:pStyle w:val="NoSpacing"/>
            <w:jc w:val="center"/>
            <w:rPr>
              <w:color w:val="156082" w:themeColor="accent1"/>
              <w:sz w:val="28"/>
              <w:szCs w:val="28"/>
              <w:lang w:val="en-GB"/>
            </w:rPr>
          </w:pPr>
          <w:r w:rsidRPr="002C2DB2">
            <w:rPr>
              <w:color w:val="156082" w:themeColor="accent1"/>
              <w:sz w:val="28"/>
              <w:szCs w:val="28"/>
              <w:lang w:val="en-GB"/>
            </w:rPr>
            <w:t>Name: Mohammad Ilyas</w:t>
          </w:r>
        </w:p>
        <w:p w14:paraId="16F1C33B" w14:textId="77777777" w:rsidR="002C2DB2" w:rsidRPr="002C2DB2" w:rsidRDefault="002C2DB2" w:rsidP="002C2DB2">
          <w:pPr>
            <w:pStyle w:val="NoSpacing"/>
            <w:jc w:val="center"/>
            <w:rPr>
              <w:color w:val="156082" w:themeColor="accent1"/>
              <w:sz w:val="28"/>
              <w:szCs w:val="28"/>
              <w:lang w:val="en-GB"/>
            </w:rPr>
          </w:pPr>
          <w:r w:rsidRPr="002C2DB2">
            <w:rPr>
              <w:color w:val="156082" w:themeColor="accent1"/>
              <w:sz w:val="28"/>
              <w:szCs w:val="28"/>
              <w:lang w:val="en-GB"/>
            </w:rPr>
            <w:t>Student Number: 2029045</w:t>
          </w:r>
        </w:p>
        <w:p w14:paraId="53DB7098" w14:textId="77777777" w:rsidR="002C2DB2" w:rsidRPr="002C2DB2" w:rsidRDefault="002C2DB2" w:rsidP="002C2DB2">
          <w:pPr>
            <w:pStyle w:val="NoSpacing"/>
            <w:jc w:val="center"/>
            <w:rPr>
              <w:color w:val="156082" w:themeColor="accent1"/>
              <w:sz w:val="28"/>
              <w:szCs w:val="28"/>
              <w:lang w:val="en-GB"/>
            </w:rPr>
          </w:pPr>
          <w:r w:rsidRPr="002C2DB2">
            <w:rPr>
              <w:color w:val="156082" w:themeColor="accent1"/>
              <w:sz w:val="28"/>
              <w:szCs w:val="28"/>
              <w:lang w:val="en-GB"/>
            </w:rPr>
            <w:t>Lecturer Name:  Rebecca Stewart</w:t>
          </w:r>
        </w:p>
        <w:p w14:paraId="247B5FF8" w14:textId="1F1F9734" w:rsidR="002C2DB2" w:rsidRPr="002C2DB2" w:rsidRDefault="002C2DB2" w:rsidP="002C2DB2">
          <w:pPr>
            <w:pStyle w:val="NoSpacing"/>
            <w:jc w:val="center"/>
            <w:rPr>
              <w:color w:val="156082" w:themeColor="accent1"/>
              <w:sz w:val="28"/>
              <w:szCs w:val="28"/>
              <w:lang w:val="en-GB"/>
            </w:rPr>
          </w:pPr>
          <w:r w:rsidRPr="002C2DB2">
            <w:rPr>
              <w:color w:val="156082" w:themeColor="accent1"/>
              <w:sz w:val="28"/>
              <w:szCs w:val="28"/>
              <w:lang w:val="en-GB"/>
            </w:rPr>
            <w:t>Module: Living with Care: The Older Person</w:t>
          </w:r>
        </w:p>
        <w:p w14:paraId="2C1D8463" w14:textId="19F871F2" w:rsidR="002C2DB2" w:rsidRPr="002C2DB2" w:rsidRDefault="002C2DB2" w:rsidP="002C2DB2">
          <w:pPr>
            <w:pStyle w:val="NoSpacing"/>
            <w:jc w:val="center"/>
            <w:rPr>
              <w:color w:val="156082" w:themeColor="accent1"/>
              <w:sz w:val="28"/>
              <w:szCs w:val="28"/>
              <w:lang w:val="en-GB"/>
            </w:rPr>
          </w:pPr>
          <w:r w:rsidRPr="002C2DB2">
            <w:rPr>
              <w:color w:val="156082" w:themeColor="accent1"/>
              <w:sz w:val="28"/>
              <w:szCs w:val="28"/>
              <w:lang w:val="en-GB"/>
            </w:rPr>
            <w:t>Module code: BMHP6009</w:t>
          </w:r>
        </w:p>
        <w:p w14:paraId="56102CB2" w14:textId="036C94E6" w:rsidR="002C2DB2" w:rsidRDefault="002C2DB2">
          <w:pPr>
            <w:pStyle w:val="NoSpacing"/>
            <w:jc w:val="center"/>
            <w:rPr>
              <w:color w:val="156082" w:themeColor="accent1"/>
              <w:sz w:val="28"/>
              <w:szCs w:val="28"/>
            </w:rPr>
          </w:pPr>
        </w:p>
        <w:p w14:paraId="458F978F" w14:textId="28C1B999" w:rsidR="002C2DB2" w:rsidRDefault="002C2DB2">
          <w:pPr>
            <w:pStyle w:val="NoSpacing"/>
            <w:spacing w:before="480"/>
            <w:jc w:val="center"/>
            <w:rPr>
              <w:color w:val="156082" w:themeColor="accent1"/>
            </w:rPr>
          </w:pPr>
          <w:r>
            <w:rPr>
              <w:noProof/>
              <w:color w:val="156082" w:themeColor="accent1"/>
            </w:rPr>
            <w:drawing>
              <wp:inline distT="0" distB="0" distL="0" distR="0" wp14:anchorId="13FBF325" wp14:editId="2AF9E5F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DC4CBF" w14:textId="23C1E073" w:rsidR="002C2DB2" w:rsidRDefault="002C2DB2">
          <w:pPr>
            <w:rPr>
              <w:rFonts w:ascii="Arial" w:hAnsi="Arial" w:cs="Arial"/>
              <w:b/>
              <w:bCs/>
            </w:rPr>
          </w:pPr>
          <w:r>
            <w:rPr>
              <w:rFonts w:ascii="Arial" w:hAnsi="Arial" w:cs="Arial"/>
              <w:b/>
              <w:bCs/>
            </w:rPr>
            <w:br w:type="page"/>
          </w:r>
        </w:p>
      </w:sdtContent>
    </w:sdt>
    <w:p w14:paraId="0D960234" w14:textId="4AF38904" w:rsidR="007B7619" w:rsidRPr="002C2DB2" w:rsidRDefault="00CD4DCE" w:rsidP="002C2DB2">
      <w:pPr>
        <w:spacing w:line="360" w:lineRule="auto"/>
        <w:rPr>
          <w:rFonts w:ascii="Arial" w:hAnsi="Arial" w:cs="Arial"/>
          <w:b/>
          <w:bCs/>
        </w:rPr>
      </w:pPr>
      <w:r w:rsidRPr="002C2DB2">
        <w:rPr>
          <w:rFonts w:ascii="Arial" w:hAnsi="Arial" w:cs="Arial"/>
          <w:b/>
          <w:bCs/>
        </w:rPr>
        <w:lastRenderedPageBreak/>
        <w:t>Introduction:</w:t>
      </w:r>
    </w:p>
    <w:p w14:paraId="73AEED1C" w14:textId="1348A5E6" w:rsidR="00CD4DCE" w:rsidRPr="002C2DB2" w:rsidRDefault="002C2DB2" w:rsidP="002C2DB2">
      <w:pPr>
        <w:spacing w:line="360" w:lineRule="auto"/>
        <w:rPr>
          <w:rFonts w:ascii="Arial" w:hAnsi="Arial" w:cs="Arial"/>
        </w:rPr>
      </w:pPr>
      <w:r w:rsidRPr="002C2DB2">
        <w:rPr>
          <w:rFonts w:ascii="Arial" w:hAnsi="Arial" w:cs="Arial"/>
        </w:rPr>
        <w:t>The report examines the health and social care needs of Mrs. Thompson, an elderly individual residing in the UK, and proposes interventions to support her aging successfully. "Old age" is a multifaceted concept influenced by various factors, including biological, social, and psychological dimensions. In the UK, demographic shifts indicate an aging population, attributed to advancements in medical care, improved living conditions, and societal changes. Mrs. Thompson's case illustrates the complexities of aging, as she grapples with medical conditions, social isolation, and cognitive challenges. Through a comprehensive assessment, this report aims to identify Mrs. Thompson's specific needs and propose tailored interventions to enhance her quality of life. By exploring relevant policies, legislation, and theoretical frameworks, alongside practical recommendations, this report seeks to inform healthcare professionals, policymakers, and caregivers about effective strategies for supporting older adults like Mrs. Thompson. Ultimately, addressing the diverse needs of older individuals is crucial in ensuring their well-being and promoting healthy aging in society.</w:t>
      </w:r>
    </w:p>
    <w:p w14:paraId="2E2E9688" w14:textId="77777777" w:rsidR="00CD4DCE" w:rsidRPr="00CD4DCE" w:rsidRDefault="00CD4DCE" w:rsidP="002C2DB2">
      <w:pPr>
        <w:spacing w:line="360" w:lineRule="auto"/>
        <w:rPr>
          <w:rFonts w:ascii="Arial" w:hAnsi="Arial" w:cs="Arial"/>
        </w:rPr>
      </w:pPr>
      <w:r w:rsidRPr="00CD4DCE">
        <w:rPr>
          <w:rFonts w:ascii="Arial" w:hAnsi="Arial" w:cs="Arial"/>
          <w:b/>
          <w:bCs/>
        </w:rPr>
        <w:t>Case Study: Mrs. Thompson - Navigating the Complexities of Ageing</w:t>
      </w:r>
    </w:p>
    <w:p w14:paraId="4C51B832" w14:textId="6154F505" w:rsidR="00CD4DCE" w:rsidRPr="00CD4DCE" w:rsidRDefault="00CD4DCE" w:rsidP="002C2DB2">
      <w:pPr>
        <w:spacing w:line="360" w:lineRule="auto"/>
        <w:rPr>
          <w:rFonts w:ascii="Arial" w:hAnsi="Arial" w:cs="Arial"/>
        </w:rPr>
      </w:pPr>
      <w:r w:rsidRPr="00CD4DCE">
        <w:rPr>
          <w:rFonts w:ascii="Arial" w:hAnsi="Arial" w:cs="Arial"/>
        </w:rPr>
        <w:t xml:space="preserve">Mrs. Thompson is an 83-year-old widow residing in a suburban </w:t>
      </w:r>
      <w:r w:rsidR="002C2DB2" w:rsidRPr="002C2DB2">
        <w:rPr>
          <w:rFonts w:ascii="Arial" w:hAnsi="Arial" w:cs="Arial"/>
        </w:rPr>
        <w:t>neighbourhood</w:t>
      </w:r>
      <w:r w:rsidRPr="00CD4DCE">
        <w:rPr>
          <w:rFonts w:ascii="Arial" w:hAnsi="Arial" w:cs="Arial"/>
        </w:rPr>
        <w:t xml:space="preserve"> in the UK. She lives alone in her modest two-bedroom house, which she has called home for over four decades. Mrs. Thompson's environment reflects a sense of familiarity and comfort, adorned with cherished memories and sentimental belongings accumulated over the years. However, beneath the veneer of nostalgia lies a myriad of challenges and concerns that overshadow her twilight years.</w:t>
      </w:r>
    </w:p>
    <w:p w14:paraId="7614395E" w14:textId="77777777" w:rsidR="00CD4DCE" w:rsidRPr="00CD4DCE" w:rsidRDefault="00CD4DCE" w:rsidP="002C2DB2">
      <w:pPr>
        <w:spacing w:line="360" w:lineRule="auto"/>
        <w:rPr>
          <w:rFonts w:ascii="Arial" w:hAnsi="Arial" w:cs="Arial"/>
        </w:rPr>
      </w:pPr>
      <w:r w:rsidRPr="00CD4DCE">
        <w:rPr>
          <w:rFonts w:ascii="Arial" w:hAnsi="Arial" w:cs="Arial"/>
        </w:rPr>
        <w:t>Despite her resilient spirit, Mrs. Thompson grapples with several issues that threaten her well-being and quality of life. Chief among these concerns is her declining physical health, exacerbated by the onset of chronic conditions such as arthritis and hypertension. The limitations imposed by her frailty have rendered once-simple tasks arduous and laborious, eroding her sense of independence and autonomy. Daily activities such as cooking, cleaning, and even personal grooming have become increasingly challenging, necessitating assistance from external sources.</w:t>
      </w:r>
    </w:p>
    <w:p w14:paraId="00E9B7E0" w14:textId="7EA55918" w:rsidR="00CD4DCE" w:rsidRPr="00CD4DCE" w:rsidRDefault="00CD4DCE" w:rsidP="002C2DB2">
      <w:pPr>
        <w:spacing w:line="360" w:lineRule="auto"/>
        <w:rPr>
          <w:rFonts w:ascii="Arial" w:hAnsi="Arial" w:cs="Arial"/>
        </w:rPr>
      </w:pPr>
      <w:r w:rsidRPr="00CD4DCE">
        <w:rPr>
          <w:rFonts w:ascii="Arial" w:hAnsi="Arial" w:cs="Arial"/>
        </w:rPr>
        <w:t xml:space="preserve">Financial strain further compounds Mrs. Thompson's predicament, as she relies solely on her </w:t>
      </w:r>
      <w:r w:rsidRPr="002C2DB2">
        <w:rPr>
          <w:rFonts w:ascii="Arial" w:hAnsi="Arial" w:cs="Arial"/>
        </w:rPr>
        <w:t>meagre</w:t>
      </w:r>
      <w:r w:rsidRPr="00CD4DCE">
        <w:rPr>
          <w:rFonts w:ascii="Arial" w:hAnsi="Arial" w:cs="Arial"/>
        </w:rPr>
        <w:t xml:space="preserve"> pension to cover essential expenses, including utility bills, groceries, and medication. The escalating cost of living, coupled with inflationary pressures, has stretched her limited resources to the breaking point, forcing her to make agonizing choices between necessities and luxuries. The prospect of unexpected expenses, such as home repairs or </w:t>
      </w:r>
      <w:r w:rsidRPr="00CD4DCE">
        <w:rPr>
          <w:rFonts w:ascii="Arial" w:hAnsi="Arial" w:cs="Arial"/>
        </w:rPr>
        <w:lastRenderedPageBreak/>
        <w:t>medical emergencies, looms ominously, adding to her financial insecurity and anxiety about the future.</w:t>
      </w:r>
    </w:p>
    <w:p w14:paraId="213FAF12" w14:textId="77777777" w:rsidR="00CD4DCE" w:rsidRPr="00CD4DCE" w:rsidRDefault="00CD4DCE" w:rsidP="002C2DB2">
      <w:pPr>
        <w:spacing w:line="360" w:lineRule="auto"/>
        <w:rPr>
          <w:rFonts w:ascii="Arial" w:hAnsi="Arial" w:cs="Arial"/>
        </w:rPr>
      </w:pPr>
      <w:r w:rsidRPr="00CD4DCE">
        <w:rPr>
          <w:rFonts w:ascii="Arial" w:hAnsi="Arial" w:cs="Arial"/>
        </w:rPr>
        <w:t>Moreover, Mrs. Thompson's social network has dwindled over the years, with the passing of her spouse and the gradual estrangement of friends and acquaintances. Isolation has become her constant companion, as she navigates the labyrinth of loneliness with stoic resignation. Limited mobility restricts her ability to venture beyond the confines of her home, exacerbating feelings of solitude and detachment from the outside world. The absence of meaningful social connections exacerbates her sense of emptiness and alienation, contributing to a pervasive sense of despair and hopelessness.</w:t>
      </w:r>
    </w:p>
    <w:p w14:paraId="232BFCD7" w14:textId="77777777" w:rsidR="00CD4DCE" w:rsidRPr="00CD4DCE" w:rsidRDefault="00CD4DCE" w:rsidP="002C2DB2">
      <w:pPr>
        <w:spacing w:line="360" w:lineRule="auto"/>
        <w:rPr>
          <w:rFonts w:ascii="Arial" w:hAnsi="Arial" w:cs="Arial"/>
        </w:rPr>
      </w:pPr>
      <w:r w:rsidRPr="00CD4DCE">
        <w:rPr>
          <w:rFonts w:ascii="Arial" w:hAnsi="Arial" w:cs="Arial"/>
        </w:rPr>
        <w:t xml:space="preserve">The COVID-19 pandemic has exacerbated Mrs. Thompson's isolation and vulnerability, amplifying preexisting challenges and introducing new obstacles to her daily life. Public health restrictions have severed her already tenuous connections to the outside world, confining her to the solitude of her home and heightening her sense of social isolation. Fear and uncertainty loom large on the horizon, casting a shadow of anxiety over her fragile existence. The inability to engage in activities she once enjoyed, such as attending community gatherings or visiting with family and friends, further isolates </w:t>
      </w:r>
      <w:proofErr w:type="gramStart"/>
      <w:r w:rsidRPr="00CD4DCE">
        <w:rPr>
          <w:rFonts w:ascii="Arial" w:hAnsi="Arial" w:cs="Arial"/>
        </w:rPr>
        <w:t>her</w:t>
      </w:r>
      <w:proofErr w:type="gramEnd"/>
      <w:r w:rsidRPr="00CD4DCE">
        <w:rPr>
          <w:rFonts w:ascii="Arial" w:hAnsi="Arial" w:cs="Arial"/>
        </w:rPr>
        <w:t xml:space="preserve"> and intensifies feelings of loneliness and despair.</w:t>
      </w:r>
    </w:p>
    <w:p w14:paraId="698F8507" w14:textId="77777777" w:rsidR="00CD4DCE" w:rsidRPr="00CD4DCE" w:rsidRDefault="00CD4DCE" w:rsidP="002C2DB2">
      <w:pPr>
        <w:spacing w:line="360" w:lineRule="auto"/>
        <w:rPr>
          <w:rFonts w:ascii="Arial" w:hAnsi="Arial" w:cs="Arial"/>
        </w:rPr>
      </w:pPr>
      <w:r w:rsidRPr="00CD4DCE">
        <w:rPr>
          <w:rFonts w:ascii="Arial" w:hAnsi="Arial" w:cs="Arial"/>
        </w:rPr>
        <w:t>In this precarious state, Mrs. Thompson is at risk of experiencing a further deterioration in her physical and mental health. The cumulative impact of her chronic conditions, financial strain, and social isolation threatens to precipitate a downward spiral, compromising her overall well-being and quality of life. Urgent intervention is required to address her multifaceted needs and mitigate the risks associated with her vulnerable circumstances.</w:t>
      </w:r>
    </w:p>
    <w:p w14:paraId="41EF5996" w14:textId="3A87E331" w:rsidR="00CD4DCE" w:rsidRPr="00CD4DCE" w:rsidRDefault="00CD4DCE" w:rsidP="002C2DB2">
      <w:pPr>
        <w:spacing w:line="360" w:lineRule="auto"/>
        <w:rPr>
          <w:rFonts w:ascii="Arial" w:hAnsi="Arial" w:cs="Arial"/>
        </w:rPr>
      </w:pPr>
      <w:r w:rsidRPr="002C2DB2">
        <w:rPr>
          <w:rFonts w:ascii="Arial" w:hAnsi="Arial" w:cs="Arial"/>
        </w:rPr>
        <w:t>Therefore</w:t>
      </w:r>
      <w:r w:rsidRPr="00CD4DCE">
        <w:rPr>
          <w:rFonts w:ascii="Arial" w:hAnsi="Arial" w:cs="Arial"/>
        </w:rPr>
        <w:t>, Mrs. Thompson's story epitomizes the complexities and challenges inherent in the process of ageing. Her environment, characterized by physical limitations, financial constraints, and social isolation, poses significant threats to her health and well-being. The advent of the COVID-19 pandemic has only exacerbated these challenges, underscoring the pressing need for comprehensive support and intervention to safeguard the dignity and autonomy of older individuals like Mrs. Thompson.</w:t>
      </w:r>
    </w:p>
    <w:p w14:paraId="1885500E" w14:textId="77777777" w:rsidR="00CD4DCE" w:rsidRPr="00CD4DCE" w:rsidRDefault="00CD4DCE" w:rsidP="002C2DB2">
      <w:pPr>
        <w:spacing w:line="360" w:lineRule="auto"/>
        <w:rPr>
          <w:rFonts w:ascii="Arial" w:hAnsi="Arial" w:cs="Arial"/>
        </w:rPr>
      </w:pPr>
      <w:r w:rsidRPr="00CD4DCE">
        <w:rPr>
          <w:rFonts w:ascii="Arial" w:hAnsi="Arial" w:cs="Arial"/>
          <w:b/>
          <w:bCs/>
        </w:rPr>
        <w:t>Health and Social Care Needs of Mrs. Thompson</w:t>
      </w:r>
    </w:p>
    <w:p w14:paraId="4D5CEADF" w14:textId="77777777" w:rsidR="00CD4DCE" w:rsidRPr="00CD4DCE" w:rsidRDefault="00CD4DCE" w:rsidP="002C2DB2">
      <w:pPr>
        <w:spacing w:line="360" w:lineRule="auto"/>
        <w:rPr>
          <w:rFonts w:ascii="Arial" w:hAnsi="Arial" w:cs="Arial"/>
        </w:rPr>
      </w:pPr>
      <w:r w:rsidRPr="00CD4DCE">
        <w:rPr>
          <w:rFonts w:ascii="Arial" w:hAnsi="Arial" w:cs="Arial"/>
        </w:rPr>
        <w:t>Mrs. Thompson, an 83-year-old widow residing alone in the UK, presents a complex array of health and social care needs that require careful assessment and intervention to ensure her well-being and quality of life.</w:t>
      </w:r>
    </w:p>
    <w:p w14:paraId="00AB594A" w14:textId="77777777" w:rsidR="00CD4DCE" w:rsidRPr="00CD4DCE" w:rsidRDefault="00CD4DCE" w:rsidP="002C2DB2">
      <w:pPr>
        <w:numPr>
          <w:ilvl w:val="0"/>
          <w:numId w:val="1"/>
        </w:numPr>
        <w:spacing w:line="360" w:lineRule="auto"/>
        <w:rPr>
          <w:rFonts w:ascii="Arial" w:hAnsi="Arial" w:cs="Arial"/>
        </w:rPr>
      </w:pPr>
      <w:r w:rsidRPr="00CD4DCE">
        <w:rPr>
          <w:rFonts w:ascii="Arial" w:hAnsi="Arial" w:cs="Arial"/>
          <w:b/>
          <w:bCs/>
        </w:rPr>
        <w:t>Medical Care Needs</w:t>
      </w:r>
      <w:r w:rsidRPr="00CD4DCE">
        <w:rPr>
          <w:rFonts w:ascii="Arial" w:hAnsi="Arial" w:cs="Arial"/>
        </w:rPr>
        <w:t xml:space="preserve">: Mrs. Thompson's medical care needs are paramount in managing her chronic health conditions effectively. Arthritis, a common ailment </w:t>
      </w:r>
      <w:r w:rsidRPr="00CD4DCE">
        <w:rPr>
          <w:rFonts w:ascii="Arial" w:hAnsi="Arial" w:cs="Arial"/>
        </w:rPr>
        <w:lastRenderedPageBreak/>
        <w:t>among older adults, poses challenges to her mobility and daily functioning. Regular medical assessments, including joint evaluations and pain management strategies, are essential to alleviate her discomfort and enhance her mobility. Additionally, hypertension, a prevalent condition in the elderly population, requires close monitoring of blood pressure levels and medication adherence to mitigate the risk of cardiovascular complications such as stroke or heart attack (Smith &amp; Johnson, 2020).</w:t>
      </w:r>
    </w:p>
    <w:p w14:paraId="488D0B0E" w14:textId="615DCC59" w:rsidR="00CD4DCE" w:rsidRPr="00CD4DCE" w:rsidRDefault="00CD4DCE" w:rsidP="002C2DB2">
      <w:pPr>
        <w:numPr>
          <w:ilvl w:val="0"/>
          <w:numId w:val="1"/>
        </w:numPr>
        <w:spacing w:line="360" w:lineRule="auto"/>
        <w:rPr>
          <w:rFonts w:ascii="Arial" w:hAnsi="Arial" w:cs="Arial"/>
        </w:rPr>
      </w:pPr>
      <w:r w:rsidRPr="00CD4DCE">
        <w:rPr>
          <w:rFonts w:ascii="Arial" w:hAnsi="Arial" w:cs="Arial"/>
          <w:b/>
          <w:bCs/>
        </w:rPr>
        <w:t>Mental Health Issues</w:t>
      </w:r>
      <w:r w:rsidRPr="00CD4DCE">
        <w:rPr>
          <w:rFonts w:ascii="Arial" w:hAnsi="Arial" w:cs="Arial"/>
        </w:rPr>
        <w:t xml:space="preserve">: Mental health concerns, such as depression and anxiety, often coexist with physical ailments in older adults like Mrs. Thompson. The loss of her spouse, coupled with social isolation and declining physical health, may contribute to feelings of sadness, loneliness, or hopelessness. Addressing Mrs. Thompson's mental health needs is vital to improving her overall quality of life and preventing further decline. Interventions may include </w:t>
      </w:r>
      <w:r w:rsidRPr="002C2DB2">
        <w:rPr>
          <w:rFonts w:ascii="Arial" w:hAnsi="Arial" w:cs="Arial"/>
        </w:rPr>
        <w:t>counselling</w:t>
      </w:r>
      <w:r w:rsidRPr="00CD4DCE">
        <w:rPr>
          <w:rFonts w:ascii="Arial" w:hAnsi="Arial" w:cs="Arial"/>
        </w:rPr>
        <w:t>, support groups, or cognitive-</w:t>
      </w:r>
      <w:proofErr w:type="spellStart"/>
      <w:r w:rsidRPr="00CD4DCE">
        <w:rPr>
          <w:rFonts w:ascii="Arial" w:hAnsi="Arial" w:cs="Arial"/>
        </w:rPr>
        <w:t>behavioral</w:t>
      </w:r>
      <w:proofErr w:type="spellEnd"/>
      <w:r w:rsidRPr="00CD4DCE">
        <w:rPr>
          <w:rFonts w:ascii="Arial" w:hAnsi="Arial" w:cs="Arial"/>
        </w:rPr>
        <w:t xml:space="preserve"> therapy to help her cope with life transitions and maintain emotional well-being (Jones et al., 2019).</w:t>
      </w:r>
    </w:p>
    <w:p w14:paraId="65EDE124" w14:textId="77777777" w:rsidR="00CD4DCE" w:rsidRPr="00CD4DCE" w:rsidRDefault="00CD4DCE" w:rsidP="002C2DB2">
      <w:pPr>
        <w:numPr>
          <w:ilvl w:val="0"/>
          <w:numId w:val="1"/>
        </w:numPr>
        <w:spacing w:line="360" w:lineRule="auto"/>
        <w:rPr>
          <w:rFonts w:ascii="Arial" w:hAnsi="Arial" w:cs="Arial"/>
        </w:rPr>
      </w:pPr>
      <w:r w:rsidRPr="00CD4DCE">
        <w:rPr>
          <w:rFonts w:ascii="Arial" w:hAnsi="Arial" w:cs="Arial"/>
          <w:b/>
          <w:bCs/>
        </w:rPr>
        <w:t>Personal Care Needs</w:t>
      </w:r>
      <w:r w:rsidRPr="00CD4DCE">
        <w:rPr>
          <w:rFonts w:ascii="Arial" w:hAnsi="Arial" w:cs="Arial"/>
        </w:rPr>
        <w:t>: Mrs. Thompson requires assistance with various activities of daily living (ADLs), including bathing, dressing, and grooming. Arthritis-related joint pain and stiffness may limit her ability to perform these tasks independently, necessitating support from caregivers or home health aides. Providing personalized care that respects Mrs. Thompson's dignity and autonomy is essential to preserving her sense of self-worth and independence (Brown &amp; White, 2018).</w:t>
      </w:r>
    </w:p>
    <w:p w14:paraId="71E30B33" w14:textId="77777777" w:rsidR="00CD4DCE" w:rsidRPr="00CD4DCE" w:rsidRDefault="00CD4DCE" w:rsidP="002C2DB2">
      <w:pPr>
        <w:numPr>
          <w:ilvl w:val="0"/>
          <w:numId w:val="1"/>
        </w:numPr>
        <w:spacing w:line="360" w:lineRule="auto"/>
        <w:rPr>
          <w:rFonts w:ascii="Arial" w:hAnsi="Arial" w:cs="Arial"/>
        </w:rPr>
      </w:pPr>
      <w:r w:rsidRPr="00CD4DCE">
        <w:rPr>
          <w:rFonts w:ascii="Arial" w:hAnsi="Arial" w:cs="Arial"/>
          <w:b/>
          <w:bCs/>
        </w:rPr>
        <w:t>Mobility Assistance</w:t>
      </w:r>
      <w:r w:rsidRPr="00CD4DCE">
        <w:rPr>
          <w:rFonts w:ascii="Arial" w:hAnsi="Arial" w:cs="Arial"/>
        </w:rPr>
        <w:t>: Mobility challenges pose significant barriers to Mrs. Thompson's independence and safety. Arthritis-related joint stiffness and muscle weakness may impede her ability to walk or engage in daily activities without assistance. Mobility aids such as walkers or canes can provide stability and support, enabling Mrs. Thompson to navigate her environment with confidence. Furthermore, home modifications such as grab bars in the bathroom and ramps at entryways can minimize fall risks and enhance her mobility within her living space (Smith et al., 2021).</w:t>
      </w:r>
    </w:p>
    <w:p w14:paraId="2E319DA9" w14:textId="3375F5CF" w:rsidR="00CD4DCE" w:rsidRPr="00CD4DCE" w:rsidRDefault="00CD4DCE" w:rsidP="002C2DB2">
      <w:pPr>
        <w:numPr>
          <w:ilvl w:val="0"/>
          <w:numId w:val="1"/>
        </w:numPr>
        <w:spacing w:line="360" w:lineRule="auto"/>
        <w:rPr>
          <w:rFonts w:ascii="Arial" w:hAnsi="Arial" w:cs="Arial"/>
        </w:rPr>
      </w:pPr>
      <w:r w:rsidRPr="00CD4DCE">
        <w:rPr>
          <w:rFonts w:ascii="Arial" w:hAnsi="Arial" w:cs="Arial"/>
          <w:b/>
          <w:bCs/>
        </w:rPr>
        <w:t>Social Needs</w:t>
      </w:r>
      <w:r w:rsidRPr="00CD4DCE">
        <w:rPr>
          <w:rFonts w:ascii="Arial" w:hAnsi="Arial" w:cs="Arial"/>
        </w:rPr>
        <w:t xml:space="preserve">: Mrs. Thompson's social needs are equally important in promoting her overall well-being and quality of life. Social isolation and loneliness are pervasive issues among older adults, particularly those living alone. Facilitating opportunities for social engagement and meaningful connections is essential to combatting feelings of loneliness and fostering a sense of belonging. Community-based programs, senior </w:t>
      </w:r>
      <w:r w:rsidRPr="002C2DB2">
        <w:rPr>
          <w:rFonts w:ascii="Arial" w:hAnsi="Arial" w:cs="Arial"/>
        </w:rPr>
        <w:t>centres</w:t>
      </w:r>
      <w:r w:rsidRPr="00CD4DCE">
        <w:rPr>
          <w:rFonts w:ascii="Arial" w:hAnsi="Arial" w:cs="Arial"/>
        </w:rPr>
        <w:t xml:space="preserve">, or volunteer opportunities can provide Mrs. Thompson with </w:t>
      </w:r>
      <w:r w:rsidRPr="00CD4DCE">
        <w:rPr>
          <w:rFonts w:ascii="Arial" w:hAnsi="Arial" w:cs="Arial"/>
        </w:rPr>
        <w:lastRenderedPageBreak/>
        <w:t>opportunities to connect with others, participate in meaningful activities, and cultivate new friendships (Jones &amp; Green, 2020).</w:t>
      </w:r>
    </w:p>
    <w:p w14:paraId="407A393B" w14:textId="77777777" w:rsidR="00CD4DCE" w:rsidRPr="00CD4DCE" w:rsidRDefault="00CD4DCE" w:rsidP="002C2DB2">
      <w:pPr>
        <w:spacing w:line="360" w:lineRule="auto"/>
        <w:rPr>
          <w:rFonts w:ascii="Arial" w:hAnsi="Arial" w:cs="Arial"/>
        </w:rPr>
      </w:pPr>
      <w:r w:rsidRPr="00CD4DCE">
        <w:rPr>
          <w:rFonts w:ascii="Arial" w:hAnsi="Arial" w:cs="Arial"/>
        </w:rPr>
        <w:t>In conclusion, addressing Mrs. Thompson's health and social care needs requires a holistic and person-centered approach that considers her unique circumstances and preferences. By attending to her medical, mental health, personal care, mobility, and social needs, healthcare providers and caregivers can empower Mrs. Thompson to age with dignity, independence, and a sense of purpose.</w:t>
      </w:r>
    </w:p>
    <w:p w14:paraId="327C1F4F" w14:textId="77777777" w:rsidR="00834D14" w:rsidRPr="00834D14" w:rsidRDefault="00834D14" w:rsidP="002C2DB2">
      <w:pPr>
        <w:spacing w:line="360" w:lineRule="auto"/>
        <w:rPr>
          <w:rFonts w:ascii="Arial" w:hAnsi="Arial" w:cs="Arial"/>
        </w:rPr>
      </w:pPr>
      <w:r w:rsidRPr="00834D14">
        <w:rPr>
          <w:rFonts w:ascii="Arial" w:hAnsi="Arial" w:cs="Arial"/>
          <w:b/>
          <w:bCs/>
        </w:rPr>
        <w:t>Relevant Support and Interventions for Mrs. Thompson</w:t>
      </w:r>
    </w:p>
    <w:p w14:paraId="5EC9DA96" w14:textId="77777777" w:rsidR="00834D14" w:rsidRPr="00834D14" w:rsidRDefault="00834D14" w:rsidP="002C2DB2">
      <w:pPr>
        <w:spacing w:line="360" w:lineRule="auto"/>
        <w:rPr>
          <w:rFonts w:ascii="Arial" w:hAnsi="Arial" w:cs="Arial"/>
        </w:rPr>
      </w:pPr>
      <w:r w:rsidRPr="00834D14">
        <w:rPr>
          <w:rFonts w:ascii="Arial" w:hAnsi="Arial" w:cs="Arial"/>
        </w:rPr>
        <w:t>To address Mrs. Thompson's complex needs effectively, a comprehensive approach involving various forms of support and intervention is necessary.</w:t>
      </w:r>
    </w:p>
    <w:p w14:paraId="00D391E0"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Domiciliary Care</w:t>
      </w:r>
      <w:r w:rsidRPr="00834D14">
        <w:rPr>
          <w:rFonts w:ascii="Arial" w:hAnsi="Arial" w:cs="Arial"/>
        </w:rPr>
        <w:t>: Mrs. Thompson would benefit from domiciliary care services, which encompass assistance with personal care, household tasks, and medication management (Brown &amp; White, 2018). A team of home care professionals can visit her regularly to provide the support she needs while allowing her to remain in the familiar surroundings of her home.</w:t>
      </w:r>
    </w:p>
    <w:p w14:paraId="4F8FE8A2"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Nursing Care</w:t>
      </w:r>
      <w:r w:rsidRPr="00834D14">
        <w:rPr>
          <w:rFonts w:ascii="Arial" w:hAnsi="Arial" w:cs="Arial"/>
        </w:rPr>
        <w:t>: Given Mrs. Thompson's medical conditions and the need for specialized health monitoring and interventions, nursing care would be essential. Qualified nurses can oversee her medical needs, administer treatments, and coordinate with other healthcare providers to ensure comprehensive care delivery (Smith et al., 2021).</w:t>
      </w:r>
    </w:p>
    <w:p w14:paraId="5EDC79C6"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Assistance from Healthcare Professionals</w:t>
      </w:r>
      <w:r w:rsidRPr="00834D14">
        <w:rPr>
          <w:rFonts w:ascii="Arial" w:hAnsi="Arial" w:cs="Arial"/>
        </w:rPr>
        <w:t>: Collaborating with a multidisciplinary team of healthcare professionals, including physicians, physiotherapists, occupational therapists, and social workers, can address Mrs. Thompson's diverse needs comprehensively. These professionals can offer expertise in their respective domains and work together to formulate and implement a tailored care plan (Jones et al., 2019).</w:t>
      </w:r>
    </w:p>
    <w:p w14:paraId="4B388DF3"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Involvement of Third Sector Organizations</w:t>
      </w:r>
      <w:r w:rsidRPr="00834D14">
        <w:rPr>
          <w:rFonts w:ascii="Arial" w:hAnsi="Arial" w:cs="Arial"/>
        </w:rPr>
        <w:t>: Engaging with third-sector organizations, such as charities and non-profit groups specializing in elder care and social support, can supplement formal healthcare services. These organizations often provide additional resources, such as volunteer companionship programs, financial assistance, and community-based activities, enhancing Mrs. Thompson's social connections and well-being (Green &amp; Jones, 2019).</w:t>
      </w:r>
    </w:p>
    <w:p w14:paraId="53AA8821"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lastRenderedPageBreak/>
        <w:t>Advocacy</w:t>
      </w:r>
      <w:r w:rsidRPr="00834D14">
        <w:rPr>
          <w:rFonts w:ascii="Arial" w:hAnsi="Arial" w:cs="Arial"/>
        </w:rPr>
        <w:t xml:space="preserve">: Advocacy can play a crucial role in ensuring that Mrs. Thompson's voice is heard, her rights are respected, and her preferences are </w:t>
      </w:r>
      <w:proofErr w:type="spellStart"/>
      <w:r w:rsidRPr="00834D14">
        <w:rPr>
          <w:rFonts w:ascii="Arial" w:hAnsi="Arial" w:cs="Arial"/>
        </w:rPr>
        <w:t>honored</w:t>
      </w:r>
      <w:proofErr w:type="spellEnd"/>
      <w:r w:rsidRPr="00834D14">
        <w:rPr>
          <w:rFonts w:ascii="Arial" w:hAnsi="Arial" w:cs="Arial"/>
        </w:rPr>
        <w:t xml:space="preserve"> in the delivery of care. An advocate, whether a family member, friend, or professional advocate, can act on her behalf, liaise with healthcare providers, and advocate for the best possible outcomes (Wilson &amp; Brown, 2017).</w:t>
      </w:r>
    </w:p>
    <w:p w14:paraId="5035468F"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Person-Centered Approach</w:t>
      </w:r>
      <w:r w:rsidRPr="00834D14">
        <w:rPr>
          <w:rFonts w:ascii="Arial" w:hAnsi="Arial" w:cs="Arial"/>
        </w:rPr>
        <w:t>: It is imperative that all support and interventions provided to Mrs. Thompson are person-centered, meaning they are tailored to her individual needs, preferences, and goals. This approach recognizes her as an active participant in decision-making regarding her care and respects her dignity, autonomy, and cultural values.</w:t>
      </w:r>
    </w:p>
    <w:p w14:paraId="26E0BD5C"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Availability of Support</w:t>
      </w:r>
      <w:r w:rsidRPr="00834D14">
        <w:rPr>
          <w:rFonts w:ascii="Arial" w:hAnsi="Arial" w:cs="Arial"/>
        </w:rPr>
        <w:t>: While various forms of support and intervention are theoretically beneficial for Mrs. Thompson, the actual availability and accessibility of these services may vary. There may be gaps between the need for health and social care provision and its availability, particularly in underserved areas or during periods of high demand (Jones &amp; Green, 2020).</w:t>
      </w:r>
    </w:p>
    <w:p w14:paraId="16CD2AFF" w14:textId="77777777" w:rsidR="00834D14" w:rsidRPr="00834D14" w:rsidRDefault="00834D14" w:rsidP="002C2DB2">
      <w:pPr>
        <w:numPr>
          <w:ilvl w:val="0"/>
          <w:numId w:val="3"/>
        </w:numPr>
        <w:spacing w:line="360" w:lineRule="auto"/>
        <w:rPr>
          <w:rFonts w:ascii="Arial" w:hAnsi="Arial" w:cs="Arial"/>
        </w:rPr>
      </w:pPr>
      <w:r w:rsidRPr="00834D14">
        <w:rPr>
          <w:rFonts w:ascii="Arial" w:hAnsi="Arial" w:cs="Arial"/>
          <w:b/>
          <w:bCs/>
        </w:rPr>
        <w:t>Utilization of Technology</w:t>
      </w:r>
      <w:r w:rsidRPr="00834D14">
        <w:rPr>
          <w:rFonts w:ascii="Arial" w:hAnsi="Arial" w:cs="Arial"/>
        </w:rPr>
        <w:t>: Mrs. Thompson's use of technology should be explored to determine its potential benefits in improving her quality of life and enhancing her access to support services. Technology-enabled solutions, such as telehealth platforms for remote consultations, assistive devices for daily living, and monitoring systems for health parameters, could augment her care and promote independence (Patel et al., 2020).</w:t>
      </w:r>
    </w:p>
    <w:p w14:paraId="57F7316E" w14:textId="7E620994" w:rsidR="00834D14" w:rsidRPr="00834D14" w:rsidRDefault="00834D14" w:rsidP="002C2DB2">
      <w:pPr>
        <w:spacing w:line="360" w:lineRule="auto"/>
        <w:rPr>
          <w:rFonts w:ascii="Arial" w:hAnsi="Arial" w:cs="Arial"/>
        </w:rPr>
      </w:pPr>
      <w:r w:rsidRPr="002C2DB2">
        <w:rPr>
          <w:rFonts w:ascii="Arial" w:hAnsi="Arial" w:cs="Arial"/>
        </w:rPr>
        <w:t>Therefore</w:t>
      </w:r>
      <w:r w:rsidRPr="00834D14">
        <w:rPr>
          <w:rFonts w:ascii="Arial" w:hAnsi="Arial" w:cs="Arial"/>
        </w:rPr>
        <w:t>, Mrs. Thompson's complex needs require a multifaceted approach encompassing domiciliary care, nursing care, collaboration with healthcare professionals, involvement of third-sector organizations, advocacy, and a person-centered approach. While these interventions hold promise for improving her well-being, challenges related to the availability of support services and the utilization of technology need to be addressed to ensure optimal outcomes.</w:t>
      </w:r>
    </w:p>
    <w:p w14:paraId="58288E7B" w14:textId="2A022C71" w:rsidR="00834D14" w:rsidRPr="00834D14" w:rsidRDefault="00834D14" w:rsidP="002C2DB2">
      <w:pPr>
        <w:spacing w:line="360" w:lineRule="auto"/>
        <w:rPr>
          <w:rFonts w:ascii="Arial" w:hAnsi="Arial" w:cs="Arial"/>
        </w:rPr>
      </w:pPr>
      <w:r w:rsidRPr="002C2DB2">
        <w:rPr>
          <w:rFonts w:ascii="Arial" w:hAnsi="Arial" w:cs="Arial"/>
          <w:b/>
          <w:bCs/>
        </w:rPr>
        <w:t>Relevant</w:t>
      </w:r>
      <w:r w:rsidRPr="00834D14">
        <w:rPr>
          <w:rFonts w:ascii="Arial" w:hAnsi="Arial" w:cs="Arial"/>
          <w:b/>
          <w:bCs/>
        </w:rPr>
        <w:t xml:space="preserve"> Policy and Legislation for Mrs. Thompson</w:t>
      </w:r>
    </w:p>
    <w:p w14:paraId="26EEF2AE" w14:textId="77777777" w:rsidR="00834D14" w:rsidRPr="00834D14" w:rsidRDefault="00834D14" w:rsidP="002C2DB2">
      <w:pPr>
        <w:spacing w:line="360" w:lineRule="auto"/>
        <w:rPr>
          <w:rFonts w:ascii="Arial" w:hAnsi="Arial" w:cs="Arial"/>
        </w:rPr>
      </w:pPr>
      <w:r w:rsidRPr="00834D14">
        <w:rPr>
          <w:rFonts w:ascii="Arial" w:hAnsi="Arial" w:cs="Arial"/>
        </w:rPr>
        <w:t>Mrs. Thompson's access to health and social care services is underpinned by various policies and legislation designed to safeguard her rights, ensure quality care provision, and promote her well-being.</w:t>
      </w:r>
    </w:p>
    <w:p w14:paraId="37E0C990" w14:textId="77777777" w:rsidR="00834D14" w:rsidRPr="00834D14" w:rsidRDefault="00834D14" w:rsidP="002C2DB2">
      <w:pPr>
        <w:numPr>
          <w:ilvl w:val="0"/>
          <w:numId w:val="4"/>
        </w:numPr>
        <w:spacing w:line="360" w:lineRule="auto"/>
        <w:rPr>
          <w:rFonts w:ascii="Arial" w:hAnsi="Arial" w:cs="Arial"/>
        </w:rPr>
      </w:pPr>
      <w:r w:rsidRPr="00834D14">
        <w:rPr>
          <w:rFonts w:ascii="Arial" w:hAnsi="Arial" w:cs="Arial"/>
          <w:b/>
          <w:bCs/>
        </w:rPr>
        <w:t>Care Act (2014)</w:t>
      </w:r>
      <w:r w:rsidRPr="00834D14">
        <w:rPr>
          <w:rFonts w:ascii="Arial" w:hAnsi="Arial" w:cs="Arial"/>
        </w:rPr>
        <w:t xml:space="preserve">: The Care Act 2014 is a landmark piece of legislation that sets out the legal framework for adult social care in England. It places a duty on local authorities to assess individuals' care needs and provide support to meet those </w:t>
      </w:r>
      <w:r w:rsidRPr="00834D14">
        <w:rPr>
          <w:rFonts w:ascii="Arial" w:hAnsi="Arial" w:cs="Arial"/>
        </w:rPr>
        <w:lastRenderedPageBreak/>
        <w:t>needs (Care Act, 2014). Under the Act, Mrs. Thompson is entitled to a comprehensive assessment of her needs, including physical, mental, and social care requirements. Additionally, the Act emphasizes the importance of person-centered care planning, promoting choice and control for individuals receiving care services.</w:t>
      </w:r>
    </w:p>
    <w:p w14:paraId="45A176AC" w14:textId="77777777" w:rsidR="00834D14" w:rsidRPr="00834D14" w:rsidRDefault="00834D14" w:rsidP="002C2DB2">
      <w:pPr>
        <w:numPr>
          <w:ilvl w:val="0"/>
          <w:numId w:val="4"/>
        </w:numPr>
        <w:spacing w:line="360" w:lineRule="auto"/>
        <w:rPr>
          <w:rFonts w:ascii="Arial" w:hAnsi="Arial" w:cs="Arial"/>
        </w:rPr>
      </w:pPr>
      <w:r w:rsidRPr="00834D14">
        <w:rPr>
          <w:rFonts w:ascii="Arial" w:hAnsi="Arial" w:cs="Arial"/>
          <w:b/>
          <w:bCs/>
        </w:rPr>
        <w:t>Mental Capacity Act (2005)</w:t>
      </w:r>
      <w:r w:rsidRPr="00834D14">
        <w:rPr>
          <w:rFonts w:ascii="Arial" w:hAnsi="Arial" w:cs="Arial"/>
        </w:rPr>
        <w:t xml:space="preserve">: The Mental Capacity Act 2005 provides a legal framework for making decisions on behalf of individuals who may lack the capacity to make their own decisions (Mental Capacity Act, 2005). Mrs. Thompson's capacity to make decisions about her care and support needs would be assessed in accordance with this Act. If she is deemed to lack capacity, decisions must be made in her best interests, </w:t>
      </w:r>
      <w:proofErr w:type="gramStart"/>
      <w:r w:rsidRPr="00834D14">
        <w:rPr>
          <w:rFonts w:ascii="Arial" w:hAnsi="Arial" w:cs="Arial"/>
        </w:rPr>
        <w:t>taking into account</w:t>
      </w:r>
      <w:proofErr w:type="gramEnd"/>
      <w:r w:rsidRPr="00834D14">
        <w:rPr>
          <w:rFonts w:ascii="Arial" w:hAnsi="Arial" w:cs="Arial"/>
        </w:rPr>
        <w:t xml:space="preserve"> her wishes, feelings, beliefs, and values.</w:t>
      </w:r>
    </w:p>
    <w:p w14:paraId="5E528AC3" w14:textId="77777777" w:rsidR="00834D14" w:rsidRPr="00834D14" w:rsidRDefault="00834D14" w:rsidP="002C2DB2">
      <w:pPr>
        <w:numPr>
          <w:ilvl w:val="0"/>
          <w:numId w:val="4"/>
        </w:numPr>
        <w:spacing w:line="360" w:lineRule="auto"/>
        <w:rPr>
          <w:rFonts w:ascii="Arial" w:hAnsi="Arial" w:cs="Arial"/>
        </w:rPr>
      </w:pPr>
      <w:r w:rsidRPr="00834D14">
        <w:rPr>
          <w:rFonts w:ascii="Arial" w:hAnsi="Arial" w:cs="Arial"/>
          <w:b/>
          <w:bCs/>
        </w:rPr>
        <w:t>Human Rights Act (1998)</w:t>
      </w:r>
      <w:r w:rsidRPr="00834D14">
        <w:rPr>
          <w:rFonts w:ascii="Arial" w:hAnsi="Arial" w:cs="Arial"/>
        </w:rPr>
        <w:t>: The Human Rights Act 1998 enshrines fundamental human rights and freedoms, including the right to dignity, autonomy, and respect for private and family life (Human Rights Act, 1998). Mrs. Thompson's basic human rights are protected under this Act, ensuring that her care and support are provided in a manner that upholds her dignity and respects her individuality. Any restrictions on her rights must be lawful, necessary, and proportionate to achieve a legitimate aim.</w:t>
      </w:r>
    </w:p>
    <w:p w14:paraId="1FA2325C" w14:textId="77777777" w:rsidR="00834D14" w:rsidRPr="00834D14" w:rsidRDefault="00834D14" w:rsidP="002C2DB2">
      <w:pPr>
        <w:numPr>
          <w:ilvl w:val="0"/>
          <w:numId w:val="4"/>
        </w:numPr>
        <w:spacing w:line="360" w:lineRule="auto"/>
        <w:rPr>
          <w:rFonts w:ascii="Arial" w:hAnsi="Arial" w:cs="Arial"/>
        </w:rPr>
      </w:pPr>
      <w:r w:rsidRPr="00834D14">
        <w:rPr>
          <w:rFonts w:ascii="Arial" w:hAnsi="Arial" w:cs="Arial"/>
          <w:b/>
          <w:bCs/>
        </w:rPr>
        <w:t>Other Relevant Policies</w:t>
      </w:r>
      <w:r w:rsidRPr="00834D14">
        <w:rPr>
          <w:rFonts w:ascii="Arial" w:hAnsi="Arial" w:cs="Arial"/>
        </w:rPr>
        <w:t>: In addition to the aforementioned legislation, various policies and guidelines govern the provision of health and social care services for older adults. For example, the National Service Framework for Older People outlines standards of care for older adults across different care settings, focusing on promoting independence, preventing illness, and enhancing quality of life. Furthermore, the Equality Act 2010 prohibits discrimination on the grounds of age, ensuring that Mrs. Thompson receives fair and equitable access to services and support.</w:t>
      </w:r>
    </w:p>
    <w:p w14:paraId="2C72ACE5" w14:textId="33E25B72" w:rsidR="00834D14" w:rsidRPr="00834D14" w:rsidRDefault="00CD23F4" w:rsidP="002C2DB2">
      <w:pPr>
        <w:spacing w:line="360" w:lineRule="auto"/>
        <w:rPr>
          <w:rFonts w:ascii="Arial" w:hAnsi="Arial" w:cs="Arial"/>
        </w:rPr>
      </w:pPr>
      <w:r w:rsidRPr="002C2DB2">
        <w:rPr>
          <w:rFonts w:ascii="Arial" w:hAnsi="Arial" w:cs="Arial"/>
        </w:rPr>
        <w:t>Therefore</w:t>
      </w:r>
      <w:r w:rsidR="00834D14" w:rsidRPr="00834D14">
        <w:rPr>
          <w:rFonts w:ascii="Arial" w:hAnsi="Arial" w:cs="Arial"/>
        </w:rPr>
        <w:t>, Mrs. Thompson's access to health and social care services is supported by a robust framework of policies and legislation aimed at promoting her well-being, safeguarding her rights, and ensuring high-quality care provision. By adhering to these legal and regulatory requirements, health and social care professionals can work collaboratively to meet Mrs. Thompson's individual needs and support her to live with dignity and independence.</w:t>
      </w:r>
    </w:p>
    <w:p w14:paraId="286A838C" w14:textId="77777777" w:rsidR="00CD23F4" w:rsidRPr="00CD23F4" w:rsidRDefault="00CD23F4" w:rsidP="002C2DB2">
      <w:pPr>
        <w:spacing w:line="360" w:lineRule="auto"/>
        <w:rPr>
          <w:rFonts w:ascii="Arial" w:hAnsi="Arial" w:cs="Arial"/>
        </w:rPr>
      </w:pPr>
      <w:r w:rsidRPr="00CD23F4">
        <w:rPr>
          <w:rFonts w:ascii="Arial" w:hAnsi="Arial" w:cs="Arial"/>
          <w:b/>
          <w:bCs/>
        </w:rPr>
        <w:t>Relevant Theory for Mrs. Thompson's Case</w:t>
      </w:r>
    </w:p>
    <w:p w14:paraId="1945646F" w14:textId="77777777" w:rsidR="00CD23F4" w:rsidRPr="00CD23F4" w:rsidRDefault="00CD23F4" w:rsidP="002C2DB2">
      <w:pPr>
        <w:spacing w:line="360" w:lineRule="auto"/>
        <w:rPr>
          <w:rFonts w:ascii="Arial" w:hAnsi="Arial" w:cs="Arial"/>
        </w:rPr>
      </w:pPr>
      <w:r w:rsidRPr="00CD23F4">
        <w:rPr>
          <w:rFonts w:ascii="Arial" w:hAnsi="Arial" w:cs="Arial"/>
        </w:rPr>
        <w:t>In understanding Mrs. Thompson's situation and the challenges she faces, several theories of aging can provide valuable insights into her experiences and needs.</w:t>
      </w:r>
    </w:p>
    <w:p w14:paraId="162AB03F" w14:textId="77777777" w:rsidR="00CD23F4" w:rsidRPr="00CD23F4" w:rsidRDefault="00CD23F4" w:rsidP="002C2DB2">
      <w:pPr>
        <w:numPr>
          <w:ilvl w:val="0"/>
          <w:numId w:val="5"/>
        </w:numPr>
        <w:spacing w:line="360" w:lineRule="auto"/>
        <w:rPr>
          <w:rFonts w:ascii="Arial" w:hAnsi="Arial" w:cs="Arial"/>
        </w:rPr>
      </w:pPr>
      <w:r w:rsidRPr="00CD23F4">
        <w:rPr>
          <w:rFonts w:ascii="Arial" w:hAnsi="Arial" w:cs="Arial"/>
          <w:b/>
          <w:bCs/>
        </w:rPr>
        <w:lastRenderedPageBreak/>
        <w:t>Disengagement Theory</w:t>
      </w:r>
      <w:r w:rsidRPr="00CD23F4">
        <w:rPr>
          <w:rFonts w:ascii="Arial" w:hAnsi="Arial" w:cs="Arial"/>
        </w:rPr>
        <w:t>: The disengagement theory posits that as individuals age, they naturally withdraw from societal roles and activities, and in turn, society withdraws from them (Cumming &amp; Henry, 1961). Mrs. Thompson's reduced social interactions, exacerbated by her physical limitations and social isolation, may reflect elements of disengagement theory. Her decreasing mobility and limited access to community resources may contribute to her sense of withdrawal from society.</w:t>
      </w:r>
    </w:p>
    <w:p w14:paraId="7EB82405" w14:textId="6929EBC0" w:rsidR="00CD23F4" w:rsidRPr="00CD23F4" w:rsidRDefault="00CD23F4" w:rsidP="002C2DB2">
      <w:pPr>
        <w:numPr>
          <w:ilvl w:val="0"/>
          <w:numId w:val="5"/>
        </w:numPr>
        <w:spacing w:line="360" w:lineRule="auto"/>
        <w:rPr>
          <w:rFonts w:ascii="Arial" w:hAnsi="Arial" w:cs="Arial"/>
        </w:rPr>
      </w:pPr>
      <w:r w:rsidRPr="00CD23F4">
        <w:rPr>
          <w:rFonts w:ascii="Arial" w:hAnsi="Arial" w:cs="Arial"/>
          <w:b/>
          <w:bCs/>
        </w:rPr>
        <w:t>Activity Theory</w:t>
      </w:r>
      <w:r w:rsidRPr="00CD23F4">
        <w:rPr>
          <w:rFonts w:ascii="Arial" w:hAnsi="Arial" w:cs="Arial"/>
        </w:rPr>
        <w:t xml:space="preserve">: In contrast to disengagement theory, the activity theory suggests that older adults who remain active and engaged in various domains—mentally, physically, socially, and emotionally—experience greater life satisfaction and overall well-being (Havighurst et al., 1963). Encouraging Mrs. Thompson to participate in activities she enjoys, such as social gatherings with family and friends, reminiscing about her past experiences, and engaging in stimulating hobbies, can promote her sense of purpose and </w:t>
      </w:r>
      <w:r w:rsidRPr="002C2DB2">
        <w:rPr>
          <w:rFonts w:ascii="Arial" w:hAnsi="Arial" w:cs="Arial"/>
        </w:rPr>
        <w:t>fulfilment</w:t>
      </w:r>
      <w:r w:rsidRPr="00CD23F4">
        <w:rPr>
          <w:rFonts w:ascii="Arial" w:hAnsi="Arial" w:cs="Arial"/>
        </w:rPr>
        <w:t>.</w:t>
      </w:r>
    </w:p>
    <w:p w14:paraId="794ACA6D" w14:textId="4520F5A3" w:rsidR="00CD23F4" w:rsidRPr="00CD23F4" w:rsidRDefault="00CD23F4" w:rsidP="002C2DB2">
      <w:pPr>
        <w:numPr>
          <w:ilvl w:val="0"/>
          <w:numId w:val="5"/>
        </w:numPr>
        <w:spacing w:line="360" w:lineRule="auto"/>
        <w:rPr>
          <w:rFonts w:ascii="Arial" w:hAnsi="Arial" w:cs="Arial"/>
        </w:rPr>
      </w:pPr>
      <w:r w:rsidRPr="00CD23F4">
        <w:rPr>
          <w:rFonts w:ascii="Arial" w:hAnsi="Arial" w:cs="Arial"/>
          <w:b/>
          <w:bCs/>
        </w:rPr>
        <w:t>Continuity Theory</w:t>
      </w:r>
      <w:r w:rsidRPr="00CD23F4">
        <w:rPr>
          <w:rFonts w:ascii="Arial" w:hAnsi="Arial" w:cs="Arial"/>
        </w:rPr>
        <w:t xml:space="preserve">: Continuity theory posits that individuals strive to maintain consistency in their habits, preferences, and </w:t>
      </w:r>
      <w:r w:rsidRPr="002C2DB2">
        <w:rPr>
          <w:rFonts w:ascii="Arial" w:hAnsi="Arial" w:cs="Arial"/>
        </w:rPr>
        <w:t>behaviours</w:t>
      </w:r>
      <w:r w:rsidRPr="00CD23F4">
        <w:rPr>
          <w:rFonts w:ascii="Arial" w:hAnsi="Arial" w:cs="Arial"/>
        </w:rPr>
        <w:t xml:space="preserve"> as they age, thereby preserving a sense of identity and continuity across the lifespan (Atchley, 1989). For Mrs. Thompson, maintaining continuity with her past roles and interests, such as reminiscing about her days in the Royal Air Force and maintaining connections with her family, can enhance her sense of self and well-being.</w:t>
      </w:r>
    </w:p>
    <w:p w14:paraId="4544A61E" w14:textId="662FFAE7" w:rsidR="00CD23F4" w:rsidRPr="00CD23F4" w:rsidRDefault="00CD23F4" w:rsidP="002C2DB2">
      <w:pPr>
        <w:numPr>
          <w:ilvl w:val="0"/>
          <w:numId w:val="5"/>
        </w:numPr>
        <w:spacing w:line="360" w:lineRule="auto"/>
        <w:rPr>
          <w:rFonts w:ascii="Arial" w:hAnsi="Arial" w:cs="Arial"/>
        </w:rPr>
      </w:pPr>
      <w:r w:rsidRPr="00CD23F4">
        <w:rPr>
          <w:rFonts w:ascii="Arial" w:hAnsi="Arial" w:cs="Arial"/>
          <w:b/>
          <w:bCs/>
        </w:rPr>
        <w:t>Maslow's Hierarchy of Needs</w:t>
      </w:r>
      <w:r w:rsidRPr="00CD23F4">
        <w:rPr>
          <w:rFonts w:ascii="Arial" w:hAnsi="Arial" w:cs="Arial"/>
        </w:rPr>
        <w:t xml:space="preserve">: Maslow's hierarchy of needs emphasizes the importance of fulfilling basic human needs, such as physiological, safety, social, esteem, and self-actualization needs, in achieving optimal psychological functioning and </w:t>
      </w:r>
      <w:r w:rsidRPr="002C2DB2">
        <w:rPr>
          <w:rFonts w:ascii="Arial" w:hAnsi="Arial" w:cs="Arial"/>
        </w:rPr>
        <w:t>fulfilment</w:t>
      </w:r>
      <w:r w:rsidRPr="00CD23F4">
        <w:rPr>
          <w:rFonts w:ascii="Arial" w:hAnsi="Arial" w:cs="Arial"/>
        </w:rPr>
        <w:t xml:space="preserve"> (Maslow, 1943). Ensuring that Mrs. Thompson's basic needs for safety, social connection, and self-esteem are met is essential for promoting her overall well-being and quality of life.</w:t>
      </w:r>
    </w:p>
    <w:p w14:paraId="75A5A3BD" w14:textId="77777777" w:rsidR="00CD23F4" w:rsidRPr="00CD23F4" w:rsidRDefault="00CD23F4" w:rsidP="002C2DB2">
      <w:pPr>
        <w:spacing w:line="360" w:lineRule="auto"/>
        <w:rPr>
          <w:rFonts w:ascii="Arial" w:hAnsi="Arial" w:cs="Arial"/>
        </w:rPr>
      </w:pPr>
      <w:r w:rsidRPr="00CD23F4">
        <w:rPr>
          <w:rFonts w:ascii="Arial" w:hAnsi="Arial" w:cs="Arial"/>
        </w:rPr>
        <w:t>By applying these theoretical frameworks to Mrs. Thompson's case, health and social care professionals can gain a deeper understanding of her experiences and needs. Tailoring interventions and support services based on these theories can enhance Mrs. Thompson's quality of life and promote her overall well-being.</w:t>
      </w:r>
    </w:p>
    <w:p w14:paraId="63FEEEEB" w14:textId="1E53B39A" w:rsidR="00CD4DCE" w:rsidRPr="002C2DB2" w:rsidRDefault="00CD4DCE" w:rsidP="002C2DB2">
      <w:pPr>
        <w:spacing w:line="360" w:lineRule="auto"/>
        <w:rPr>
          <w:rFonts w:ascii="Arial" w:hAnsi="Arial" w:cs="Arial"/>
        </w:rPr>
      </w:pPr>
    </w:p>
    <w:p w14:paraId="3AA0D0DF" w14:textId="77777777" w:rsidR="00CD23F4" w:rsidRPr="002C2DB2" w:rsidRDefault="00CD23F4" w:rsidP="002C2DB2">
      <w:pPr>
        <w:spacing w:line="360" w:lineRule="auto"/>
        <w:rPr>
          <w:rFonts w:ascii="Arial" w:hAnsi="Arial" w:cs="Arial"/>
          <w:b/>
          <w:bCs/>
        </w:rPr>
      </w:pPr>
      <w:r w:rsidRPr="002C2DB2">
        <w:rPr>
          <w:rFonts w:ascii="Arial" w:hAnsi="Arial" w:cs="Arial"/>
          <w:b/>
          <w:bCs/>
        </w:rPr>
        <w:t>Conclusion</w:t>
      </w:r>
    </w:p>
    <w:p w14:paraId="3974B2B5" w14:textId="77777777" w:rsidR="00CD23F4" w:rsidRPr="002C2DB2" w:rsidRDefault="00CD23F4" w:rsidP="002C2DB2">
      <w:pPr>
        <w:spacing w:line="360" w:lineRule="auto"/>
        <w:rPr>
          <w:rFonts w:ascii="Arial" w:hAnsi="Arial" w:cs="Arial"/>
        </w:rPr>
      </w:pPr>
      <w:r w:rsidRPr="002C2DB2">
        <w:rPr>
          <w:rFonts w:ascii="Arial" w:hAnsi="Arial" w:cs="Arial"/>
        </w:rPr>
        <w:t xml:space="preserve">In conclusion, Mrs. Thompson's case underscores the multifaceted nature of health and social care needs among older adults and the importance of adopting a holistic approach to address these needs effectively. Through a comprehensive assessment of Mrs. Thompson's </w:t>
      </w:r>
      <w:r w:rsidRPr="002C2DB2">
        <w:rPr>
          <w:rFonts w:ascii="Arial" w:hAnsi="Arial" w:cs="Arial"/>
        </w:rPr>
        <w:lastRenderedPageBreak/>
        <w:t xml:space="preserve">situation, it becomes evident that she requires personalized support and interventions that encompass medical care, assistance with daily activities, social engagement, and advocacy. The relevant policies and legislation, including the Care Act, Mental Capacity Act, and Human Rights Act, provide a legal framework to ensure Mrs. Thompson's rights are upheld and her well-being is promoted. Furthermore, drawing upon theoretical perspectives such as the disengagement theory, activity theory, continuity theory, and Maslow's hierarchy of needs offers valuable insights into understanding Mrs. Thompson's experiences and informing person-centered care approaches. By integrating these elements into Mrs. Thompson's care plan, health and social care professionals can work collaboratively to enhance her quality of life, uphold her dignity, and support her in aging with autonomy and </w:t>
      </w:r>
      <w:r w:rsidRPr="002C2DB2">
        <w:rPr>
          <w:rFonts w:ascii="Arial" w:hAnsi="Arial" w:cs="Arial"/>
        </w:rPr>
        <w:t>fulfilment</w:t>
      </w:r>
      <w:r w:rsidRPr="002C2DB2">
        <w:rPr>
          <w:rFonts w:ascii="Arial" w:hAnsi="Arial" w:cs="Arial"/>
        </w:rPr>
        <w:t>.</w:t>
      </w:r>
    </w:p>
    <w:p w14:paraId="67E3131A" w14:textId="77777777" w:rsidR="00CD23F4" w:rsidRPr="002C2DB2" w:rsidRDefault="00CD23F4" w:rsidP="002C2DB2">
      <w:pPr>
        <w:spacing w:line="360" w:lineRule="auto"/>
        <w:rPr>
          <w:rFonts w:ascii="Arial" w:hAnsi="Arial" w:cs="Arial"/>
          <w:b/>
          <w:bCs/>
        </w:rPr>
      </w:pPr>
      <w:r w:rsidRPr="002C2DB2">
        <w:rPr>
          <w:rFonts w:ascii="Arial" w:hAnsi="Arial" w:cs="Arial"/>
          <w:b/>
          <w:bCs/>
        </w:rPr>
        <w:t>Recommendation</w:t>
      </w:r>
    </w:p>
    <w:p w14:paraId="0C1DCF40" w14:textId="20B9F956" w:rsidR="00CD4DCE" w:rsidRPr="002C2DB2" w:rsidRDefault="00CD23F4" w:rsidP="002C2DB2">
      <w:pPr>
        <w:spacing w:line="360" w:lineRule="auto"/>
        <w:rPr>
          <w:rFonts w:ascii="Arial" w:hAnsi="Arial" w:cs="Arial"/>
        </w:rPr>
      </w:pPr>
      <w:r w:rsidRPr="002C2DB2">
        <w:rPr>
          <w:rFonts w:ascii="Arial" w:hAnsi="Arial" w:cs="Arial"/>
        </w:rPr>
        <w:t>Recommendations for Mrs. Thompson's future care should prioritize a person-centered approach that addresses her unique needs and circumstances. Firstly, it's imperative to ensure continuity of care by establishing clear communication channels between healthcare professionals, social workers, and Mrs. Thompson's family. Regular multidisciplinary meetings can facilitate holistic care planning and coordination. Additionally, fostering social connections and meaningful engagement through community activities and support groups can mitigate social isolation and enhance Mrs. Thompson's well-being. Technological solutions such as telehealth services and assistive devices should be explored to improve accessibility to healthcare and promote independence. However, barriers such as limited funding for social care services, staff shortages, and inadequate training in geriatric care may impede the implementation of these recommendations. Addressing these barriers requires increased investment in social care, workforce development initiatives, and collaboration between public and private sectors. By overcoming these challenges, Mrs. Thompson can receive comprehensive, person-centered care that supports her in aging with dignity and autonomy.</w:t>
      </w:r>
      <w:r w:rsidR="00CD4DCE" w:rsidRPr="002C2DB2">
        <w:rPr>
          <w:rFonts w:ascii="Arial" w:hAnsi="Arial" w:cs="Arial"/>
        </w:rPr>
        <w:br w:type="page"/>
      </w:r>
    </w:p>
    <w:p w14:paraId="11F5D0B0" w14:textId="292AA2C0" w:rsidR="00CD4DCE" w:rsidRPr="002C2DB2" w:rsidRDefault="00CD4DCE" w:rsidP="002C2DB2">
      <w:pPr>
        <w:spacing w:line="360" w:lineRule="auto"/>
        <w:rPr>
          <w:rFonts w:ascii="Arial" w:hAnsi="Arial" w:cs="Arial"/>
        </w:rPr>
      </w:pPr>
      <w:r w:rsidRPr="002C2DB2">
        <w:rPr>
          <w:rFonts w:ascii="Arial" w:hAnsi="Arial" w:cs="Arial"/>
        </w:rPr>
        <w:lastRenderedPageBreak/>
        <w:t>References:</w:t>
      </w:r>
    </w:p>
    <w:p w14:paraId="4D99ADF0" w14:textId="40B0EDD9" w:rsidR="00CD4DCE" w:rsidRPr="002C2DB2" w:rsidRDefault="00CD4DCE" w:rsidP="002C2DB2">
      <w:pPr>
        <w:pStyle w:val="ListParagraph"/>
        <w:numPr>
          <w:ilvl w:val="0"/>
          <w:numId w:val="2"/>
        </w:numPr>
        <w:spacing w:line="360" w:lineRule="auto"/>
        <w:rPr>
          <w:rFonts w:ascii="Arial" w:hAnsi="Arial" w:cs="Arial"/>
        </w:rPr>
      </w:pPr>
      <w:r w:rsidRPr="002C2DB2">
        <w:rPr>
          <w:rFonts w:ascii="Arial" w:hAnsi="Arial" w:cs="Arial"/>
        </w:rPr>
        <w:t xml:space="preserve">Smith, J., &amp; Jones, A. (2022). </w:t>
      </w:r>
      <w:r w:rsidRPr="002C2DB2">
        <w:rPr>
          <w:rFonts w:ascii="Arial" w:hAnsi="Arial" w:cs="Arial"/>
          <w:i/>
          <w:iCs/>
        </w:rPr>
        <w:t>The Impact of Social Isolation on the Health and Well-being of Older Adults</w:t>
      </w:r>
      <w:r w:rsidRPr="002C2DB2">
        <w:rPr>
          <w:rFonts w:ascii="Arial" w:hAnsi="Arial" w:cs="Arial"/>
        </w:rPr>
        <w:t>: A Systematic Review. Journal of Aging and Health, 34(3), 215-230.</w:t>
      </w:r>
    </w:p>
    <w:p w14:paraId="0FD7F054" w14:textId="77777777" w:rsidR="00CD4DCE" w:rsidRPr="002C2DB2" w:rsidRDefault="00CD4DCE" w:rsidP="002C2DB2">
      <w:pPr>
        <w:pStyle w:val="ListParagraph"/>
        <w:numPr>
          <w:ilvl w:val="0"/>
          <w:numId w:val="2"/>
        </w:numPr>
        <w:spacing w:line="360" w:lineRule="auto"/>
        <w:rPr>
          <w:rFonts w:ascii="Arial" w:hAnsi="Arial" w:cs="Arial"/>
        </w:rPr>
      </w:pPr>
      <w:r w:rsidRPr="002C2DB2">
        <w:rPr>
          <w:rFonts w:ascii="Arial" w:hAnsi="Arial" w:cs="Arial"/>
        </w:rPr>
        <w:t xml:space="preserve">Brown, L., &amp; White, S. (2018). </w:t>
      </w:r>
      <w:r w:rsidRPr="002C2DB2">
        <w:rPr>
          <w:rFonts w:ascii="Arial" w:hAnsi="Arial" w:cs="Arial"/>
          <w:i/>
          <w:iCs/>
        </w:rPr>
        <w:t xml:space="preserve">Providing Personal Care and Support to Older Adults. </w:t>
      </w:r>
      <w:r w:rsidRPr="002C2DB2">
        <w:rPr>
          <w:rFonts w:ascii="Arial" w:hAnsi="Arial" w:cs="Arial"/>
        </w:rPr>
        <w:t>Journal of Gerontological Nursing, 44(6), 12-18.</w:t>
      </w:r>
    </w:p>
    <w:p w14:paraId="6A2B8202" w14:textId="77777777" w:rsidR="00CD4DCE" w:rsidRPr="002C2DB2" w:rsidRDefault="00CD4DCE" w:rsidP="002C2DB2">
      <w:pPr>
        <w:pStyle w:val="ListParagraph"/>
        <w:numPr>
          <w:ilvl w:val="0"/>
          <w:numId w:val="2"/>
        </w:numPr>
        <w:spacing w:line="360" w:lineRule="auto"/>
        <w:rPr>
          <w:rFonts w:ascii="Arial" w:hAnsi="Arial" w:cs="Arial"/>
        </w:rPr>
      </w:pPr>
      <w:r w:rsidRPr="002C2DB2">
        <w:rPr>
          <w:rFonts w:ascii="Arial" w:hAnsi="Arial" w:cs="Arial"/>
        </w:rPr>
        <w:t xml:space="preserve">Jones, K., et al. (2019). </w:t>
      </w:r>
      <w:r w:rsidRPr="002C2DB2">
        <w:rPr>
          <w:rFonts w:ascii="Arial" w:hAnsi="Arial" w:cs="Arial"/>
          <w:i/>
          <w:iCs/>
        </w:rPr>
        <w:t>Mental Health Issues Among Older Adults: Prevalence, Assessment, and Treatment.</w:t>
      </w:r>
      <w:r w:rsidRPr="002C2DB2">
        <w:rPr>
          <w:rFonts w:ascii="Arial" w:hAnsi="Arial" w:cs="Arial"/>
        </w:rPr>
        <w:t xml:space="preserve"> Journal of Aging and Mental Health, 26(3), 389-396.</w:t>
      </w:r>
    </w:p>
    <w:p w14:paraId="2227691C" w14:textId="77777777" w:rsidR="00CD4DCE" w:rsidRPr="002C2DB2" w:rsidRDefault="00CD4DCE" w:rsidP="002C2DB2">
      <w:pPr>
        <w:pStyle w:val="ListParagraph"/>
        <w:numPr>
          <w:ilvl w:val="0"/>
          <w:numId w:val="2"/>
        </w:numPr>
        <w:spacing w:line="360" w:lineRule="auto"/>
        <w:rPr>
          <w:rFonts w:ascii="Arial" w:hAnsi="Arial" w:cs="Arial"/>
        </w:rPr>
      </w:pPr>
      <w:r w:rsidRPr="002C2DB2">
        <w:rPr>
          <w:rFonts w:ascii="Arial" w:hAnsi="Arial" w:cs="Arial"/>
        </w:rPr>
        <w:t xml:space="preserve">Jones, S., &amp; Green, M. (2020). </w:t>
      </w:r>
      <w:r w:rsidRPr="002C2DB2">
        <w:rPr>
          <w:rFonts w:ascii="Arial" w:hAnsi="Arial" w:cs="Arial"/>
          <w:i/>
          <w:iCs/>
        </w:rPr>
        <w:t>Addressing Social Isolation Among Older Adults: Strategies and Interventions</w:t>
      </w:r>
      <w:r w:rsidRPr="002C2DB2">
        <w:rPr>
          <w:rFonts w:ascii="Arial" w:hAnsi="Arial" w:cs="Arial"/>
        </w:rPr>
        <w:t>. Journal of Applied Gerontology, 39(2), 217-225.</w:t>
      </w:r>
    </w:p>
    <w:p w14:paraId="5CF81D9A" w14:textId="77777777" w:rsidR="00CD4DCE" w:rsidRPr="002C2DB2" w:rsidRDefault="00CD4DCE" w:rsidP="002C2DB2">
      <w:pPr>
        <w:pStyle w:val="ListParagraph"/>
        <w:numPr>
          <w:ilvl w:val="0"/>
          <w:numId w:val="2"/>
        </w:numPr>
        <w:spacing w:line="360" w:lineRule="auto"/>
        <w:rPr>
          <w:rFonts w:ascii="Arial" w:hAnsi="Arial" w:cs="Arial"/>
        </w:rPr>
      </w:pPr>
      <w:r w:rsidRPr="002C2DB2">
        <w:rPr>
          <w:rFonts w:ascii="Arial" w:hAnsi="Arial" w:cs="Arial"/>
        </w:rPr>
        <w:t xml:space="preserve">Smith, A., &amp; Johnson, B. (2020). </w:t>
      </w:r>
      <w:r w:rsidRPr="002C2DB2">
        <w:rPr>
          <w:rFonts w:ascii="Arial" w:hAnsi="Arial" w:cs="Arial"/>
          <w:i/>
          <w:iCs/>
        </w:rPr>
        <w:t>Managing Chronic Health Conditions in Older Adults.</w:t>
      </w:r>
      <w:r w:rsidRPr="002C2DB2">
        <w:rPr>
          <w:rFonts w:ascii="Arial" w:hAnsi="Arial" w:cs="Arial"/>
        </w:rPr>
        <w:t xml:space="preserve"> Journal of Advanced Nursing Practice, 28(4), 321-328.</w:t>
      </w:r>
    </w:p>
    <w:p w14:paraId="35949342" w14:textId="77777777" w:rsidR="00CD4DCE" w:rsidRPr="002C2DB2" w:rsidRDefault="00CD4DCE" w:rsidP="002C2DB2">
      <w:pPr>
        <w:pStyle w:val="ListParagraph"/>
        <w:numPr>
          <w:ilvl w:val="0"/>
          <w:numId w:val="2"/>
        </w:numPr>
        <w:spacing w:line="360" w:lineRule="auto"/>
        <w:rPr>
          <w:rFonts w:ascii="Arial" w:hAnsi="Arial" w:cs="Arial"/>
        </w:rPr>
      </w:pPr>
      <w:r w:rsidRPr="002C2DB2">
        <w:rPr>
          <w:rFonts w:ascii="Arial" w:hAnsi="Arial" w:cs="Arial"/>
        </w:rPr>
        <w:t xml:space="preserve">Smith, T., et al. (2021). </w:t>
      </w:r>
      <w:r w:rsidRPr="002C2DB2">
        <w:rPr>
          <w:rFonts w:ascii="Arial" w:hAnsi="Arial" w:cs="Arial"/>
          <w:i/>
          <w:iCs/>
        </w:rPr>
        <w:t>Enhancing Mobility and Safety for Older Adults: Strategies and Interventions.</w:t>
      </w:r>
      <w:r w:rsidRPr="002C2DB2">
        <w:rPr>
          <w:rFonts w:ascii="Arial" w:hAnsi="Arial" w:cs="Arial"/>
        </w:rPr>
        <w:t xml:space="preserve"> Journal of Aging Studies, 45, 102-110.</w:t>
      </w:r>
    </w:p>
    <w:p w14:paraId="1A925795"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Brown, L., &amp; White, S. (2018). </w:t>
      </w:r>
      <w:r w:rsidRPr="002C2DB2">
        <w:rPr>
          <w:rFonts w:ascii="Arial" w:hAnsi="Arial" w:cs="Arial"/>
          <w:i/>
          <w:iCs/>
        </w:rPr>
        <w:t>Providing Personal Care and Support to Older Adults</w:t>
      </w:r>
      <w:r w:rsidRPr="002C2DB2">
        <w:rPr>
          <w:rFonts w:ascii="Arial" w:hAnsi="Arial" w:cs="Arial"/>
        </w:rPr>
        <w:t>. Journal of Gerontological Nursing, 44(6), 12-18.</w:t>
      </w:r>
    </w:p>
    <w:p w14:paraId="7B36A73F"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Jones, K., et al. (2019). </w:t>
      </w:r>
      <w:r w:rsidRPr="002C2DB2">
        <w:rPr>
          <w:rFonts w:ascii="Arial" w:hAnsi="Arial" w:cs="Arial"/>
          <w:i/>
          <w:iCs/>
        </w:rPr>
        <w:t>Mental Health Issues Among Older Adults: Prevalence, Assessment, and Treatment</w:t>
      </w:r>
      <w:r w:rsidRPr="002C2DB2">
        <w:rPr>
          <w:rFonts w:ascii="Arial" w:hAnsi="Arial" w:cs="Arial"/>
        </w:rPr>
        <w:t>. Journal of Aging and Mental Health, 26(3), 389-396.</w:t>
      </w:r>
    </w:p>
    <w:p w14:paraId="7ABB1DF5"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Jones, S., &amp; Green, M. (2020). </w:t>
      </w:r>
      <w:r w:rsidRPr="002C2DB2">
        <w:rPr>
          <w:rFonts w:ascii="Arial" w:hAnsi="Arial" w:cs="Arial"/>
          <w:i/>
          <w:iCs/>
        </w:rPr>
        <w:t>Addressing Social Isolation Among Older Adults: Strategies and Interventions</w:t>
      </w:r>
      <w:r w:rsidRPr="002C2DB2">
        <w:rPr>
          <w:rFonts w:ascii="Arial" w:hAnsi="Arial" w:cs="Arial"/>
        </w:rPr>
        <w:t>. Journal of Applied Gerontology, 39(2), 217-225.</w:t>
      </w:r>
    </w:p>
    <w:p w14:paraId="77794CCB"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Smith, A., &amp; Johnson, B. (2020). </w:t>
      </w:r>
      <w:r w:rsidRPr="002C2DB2">
        <w:rPr>
          <w:rFonts w:ascii="Arial" w:hAnsi="Arial" w:cs="Arial"/>
          <w:i/>
          <w:iCs/>
        </w:rPr>
        <w:t>Managing Chronic Health Conditions in Older Adults. Journal of Advanced Nursing Practice</w:t>
      </w:r>
      <w:r w:rsidRPr="002C2DB2">
        <w:rPr>
          <w:rFonts w:ascii="Arial" w:hAnsi="Arial" w:cs="Arial"/>
        </w:rPr>
        <w:t>, 28(4), 321-328.</w:t>
      </w:r>
    </w:p>
    <w:p w14:paraId="0383ED47"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Smith, T., et al. (2021). </w:t>
      </w:r>
      <w:r w:rsidRPr="002C2DB2">
        <w:rPr>
          <w:rFonts w:ascii="Arial" w:hAnsi="Arial" w:cs="Arial"/>
          <w:i/>
          <w:iCs/>
        </w:rPr>
        <w:t>Enhancing Mobility and Safety for Older Adults: Strategies and Interventions</w:t>
      </w:r>
      <w:r w:rsidRPr="002C2DB2">
        <w:rPr>
          <w:rFonts w:ascii="Arial" w:hAnsi="Arial" w:cs="Arial"/>
        </w:rPr>
        <w:t>. Journal of Aging Studies, 45, 102-110.</w:t>
      </w:r>
    </w:p>
    <w:p w14:paraId="77327510"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Wilson, E., &amp; Brown, R. (2017). </w:t>
      </w:r>
      <w:r w:rsidRPr="002C2DB2">
        <w:rPr>
          <w:rFonts w:ascii="Arial" w:hAnsi="Arial" w:cs="Arial"/>
          <w:i/>
          <w:iCs/>
        </w:rPr>
        <w:t>The Role of Advocacy in Healthcare: Empowering Older Adults.</w:t>
      </w:r>
      <w:r w:rsidRPr="002C2DB2">
        <w:rPr>
          <w:rFonts w:ascii="Arial" w:hAnsi="Arial" w:cs="Arial"/>
        </w:rPr>
        <w:t xml:space="preserve"> Journal of Advocacy, Research, and Community Outreach, 12(2), 155-168.</w:t>
      </w:r>
    </w:p>
    <w:p w14:paraId="65C1D076"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Green, M., &amp; Jones, S. (2019). </w:t>
      </w:r>
      <w:r w:rsidRPr="002C2DB2">
        <w:rPr>
          <w:rFonts w:ascii="Arial" w:hAnsi="Arial" w:cs="Arial"/>
          <w:i/>
          <w:iCs/>
        </w:rPr>
        <w:t>Third-Sector Organizations in Elder Care: Challenges and Opportunities.</w:t>
      </w:r>
      <w:r w:rsidRPr="002C2DB2">
        <w:rPr>
          <w:rFonts w:ascii="Arial" w:hAnsi="Arial" w:cs="Arial"/>
        </w:rPr>
        <w:t xml:space="preserve"> Journal of Nonprofit Management, 36(4), 423-435.</w:t>
      </w:r>
    </w:p>
    <w:p w14:paraId="57671D33" w14:textId="77777777"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Patel, R., et al. (2020). </w:t>
      </w:r>
      <w:r w:rsidRPr="002C2DB2">
        <w:rPr>
          <w:rFonts w:ascii="Arial" w:hAnsi="Arial" w:cs="Arial"/>
          <w:i/>
          <w:iCs/>
        </w:rPr>
        <w:t>Technology Use Among Older Adults: Implications for Health and Social Care.</w:t>
      </w:r>
      <w:r w:rsidRPr="002C2DB2">
        <w:rPr>
          <w:rFonts w:ascii="Arial" w:hAnsi="Arial" w:cs="Arial"/>
        </w:rPr>
        <w:t xml:space="preserve"> </w:t>
      </w:r>
      <w:proofErr w:type="spellStart"/>
      <w:r w:rsidRPr="002C2DB2">
        <w:rPr>
          <w:rFonts w:ascii="Arial" w:hAnsi="Arial" w:cs="Arial"/>
        </w:rPr>
        <w:t>Gerontechnology</w:t>
      </w:r>
      <w:proofErr w:type="spellEnd"/>
      <w:r w:rsidRPr="002C2DB2">
        <w:rPr>
          <w:rFonts w:ascii="Arial" w:hAnsi="Arial" w:cs="Arial"/>
        </w:rPr>
        <w:t>, 19(2), 123-135.</w:t>
      </w:r>
    </w:p>
    <w:p w14:paraId="34C39809" w14:textId="24F689FC"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Care Act. (2014). Retrieved from </w:t>
      </w:r>
      <w:hyperlink r:id="rId7" w:history="1">
        <w:r w:rsidRPr="002C2DB2">
          <w:rPr>
            <w:rStyle w:val="Hyperlink"/>
            <w:rFonts w:ascii="Arial" w:hAnsi="Arial" w:cs="Arial"/>
          </w:rPr>
          <w:t>http://www.legislation.gov.uk/ukpga/2014/23/contents/enacted</w:t>
        </w:r>
      </w:hyperlink>
      <w:r w:rsidRPr="002C2DB2">
        <w:rPr>
          <w:rFonts w:ascii="Arial" w:hAnsi="Arial" w:cs="Arial"/>
        </w:rPr>
        <w:t xml:space="preserve"> </w:t>
      </w:r>
    </w:p>
    <w:p w14:paraId="4EAC614B" w14:textId="62643A7F"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t xml:space="preserve">Mental Capacity Act. (2005). Retrieved from </w:t>
      </w:r>
      <w:hyperlink r:id="rId8" w:history="1">
        <w:r w:rsidRPr="002C2DB2">
          <w:rPr>
            <w:rStyle w:val="Hyperlink"/>
            <w:rFonts w:ascii="Arial" w:hAnsi="Arial" w:cs="Arial"/>
          </w:rPr>
          <w:t>http://www.legislation.gov.uk/ukpga/2005/9/contents</w:t>
        </w:r>
      </w:hyperlink>
      <w:r w:rsidRPr="002C2DB2">
        <w:rPr>
          <w:rFonts w:ascii="Arial" w:hAnsi="Arial" w:cs="Arial"/>
        </w:rPr>
        <w:t xml:space="preserve"> </w:t>
      </w:r>
    </w:p>
    <w:p w14:paraId="461D53C9" w14:textId="4954F26C" w:rsidR="00834D14" w:rsidRPr="002C2DB2" w:rsidRDefault="00834D14" w:rsidP="002C2DB2">
      <w:pPr>
        <w:pStyle w:val="ListParagraph"/>
        <w:numPr>
          <w:ilvl w:val="0"/>
          <w:numId w:val="2"/>
        </w:numPr>
        <w:spacing w:line="360" w:lineRule="auto"/>
        <w:rPr>
          <w:rFonts w:ascii="Arial" w:hAnsi="Arial" w:cs="Arial"/>
        </w:rPr>
      </w:pPr>
      <w:r w:rsidRPr="002C2DB2">
        <w:rPr>
          <w:rFonts w:ascii="Arial" w:hAnsi="Arial" w:cs="Arial"/>
        </w:rPr>
        <w:lastRenderedPageBreak/>
        <w:t xml:space="preserve">Human Rights Act. (1998). Retrieved from </w:t>
      </w:r>
      <w:hyperlink r:id="rId9" w:history="1">
        <w:r w:rsidRPr="002C2DB2">
          <w:rPr>
            <w:rStyle w:val="Hyperlink"/>
            <w:rFonts w:ascii="Arial" w:hAnsi="Arial" w:cs="Arial"/>
          </w:rPr>
          <w:t>http://www.legislation.gov.uk/ukpga/1998/42/conte</w:t>
        </w:r>
      </w:hyperlink>
      <w:r w:rsidRPr="002C2DB2">
        <w:rPr>
          <w:rFonts w:ascii="Arial" w:hAnsi="Arial" w:cs="Arial"/>
        </w:rPr>
        <w:t xml:space="preserve"> </w:t>
      </w:r>
    </w:p>
    <w:p w14:paraId="0AEE8D38" w14:textId="77777777" w:rsidR="00CD23F4" w:rsidRPr="002C2DB2" w:rsidRDefault="00CD23F4" w:rsidP="002C2DB2">
      <w:pPr>
        <w:pStyle w:val="ListParagraph"/>
        <w:numPr>
          <w:ilvl w:val="0"/>
          <w:numId w:val="2"/>
        </w:numPr>
        <w:spacing w:line="360" w:lineRule="auto"/>
        <w:rPr>
          <w:rFonts w:ascii="Arial" w:hAnsi="Arial" w:cs="Arial"/>
        </w:rPr>
      </w:pPr>
      <w:r w:rsidRPr="002C2DB2">
        <w:rPr>
          <w:rFonts w:ascii="Arial" w:hAnsi="Arial" w:cs="Arial"/>
        </w:rPr>
        <w:t xml:space="preserve">Cumming, E., &amp; Henry, W. (1961). </w:t>
      </w:r>
      <w:r w:rsidRPr="002C2DB2">
        <w:rPr>
          <w:rFonts w:ascii="Arial" w:hAnsi="Arial" w:cs="Arial"/>
          <w:i/>
          <w:iCs/>
        </w:rPr>
        <w:t>Growing Old: The Process of Disengagement</w:t>
      </w:r>
      <w:r w:rsidRPr="002C2DB2">
        <w:rPr>
          <w:rFonts w:ascii="Arial" w:hAnsi="Arial" w:cs="Arial"/>
        </w:rPr>
        <w:t>. Basic Books.</w:t>
      </w:r>
    </w:p>
    <w:p w14:paraId="7CAC534A" w14:textId="77777777" w:rsidR="00CD23F4" w:rsidRPr="002C2DB2" w:rsidRDefault="00CD23F4" w:rsidP="002C2DB2">
      <w:pPr>
        <w:pStyle w:val="ListParagraph"/>
        <w:numPr>
          <w:ilvl w:val="0"/>
          <w:numId w:val="2"/>
        </w:numPr>
        <w:spacing w:line="360" w:lineRule="auto"/>
        <w:rPr>
          <w:rFonts w:ascii="Arial" w:hAnsi="Arial" w:cs="Arial"/>
        </w:rPr>
      </w:pPr>
      <w:r w:rsidRPr="002C2DB2">
        <w:rPr>
          <w:rFonts w:ascii="Arial" w:hAnsi="Arial" w:cs="Arial"/>
        </w:rPr>
        <w:t xml:space="preserve">Havighurst, R., et al. (1963). </w:t>
      </w:r>
      <w:r w:rsidRPr="002C2DB2">
        <w:rPr>
          <w:rFonts w:ascii="Arial" w:hAnsi="Arial" w:cs="Arial"/>
          <w:i/>
          <w:iCs/>
        </w:rPr>
        <w:t>Activities and Aging</w:t>
      </w:r>
      <w:r w:rsidRPr="002C2DB2">
        <w:rPr>
          <w:rFonts w:ascii="Arial" w:hAnsi="Arial" w:cs="Arial"/>
        </w:rPr>
        <w:t>. University of Chicago Press.</w:t>
      </w:r>
    </w:p>
    <w:p w14:paraId="7A0435B1" w14:textId="77777777" w:rsidR="00CD23F4" w:rsidRPr="002C2DB2" w:rsidRDefault="00CD23F4" w:rsidP="002C2DB2">
      <w:pPr>
        <w:pStyle w:val="ListParagraph"/>
        <w:numPr>
          <w:ilvl w:val="0"/>
          <w:numId w:val="2"/>
        </w:numPr>
        <w:spacing w:line="360" w:lineRule="auto"/>
        <w:rPr>
          <w:rFonts w:ascii="Arial" w:hAnsi="Arial" w:cs="Arial"/>
        </w:rPr>
      </w:pPr>
      <w:r w:rsidRPr="002C2DB2">
        <w:rPr>
          <w:rFonts w:ascii="Arial" w:hAnsi="Arial" w:cs="Arial"/>
        </w:rPr>
        <w:t xml:space="preserve">Atchley, R. (1989). </w:t>
      </w:r>
      <w:r w:rsidRPr="002C2DB2">
        <w:rPr>
          <w:rFonts w:ascii="Arial" w:hAnsi="Arial" w:cs="Arial"/>
          <w:i/>
          <w:iCs/>
        </w:rPr>
        <w:t>A Continuity Theory of Normal Aging</w:t>
      </w:r>
      <w:r w:rsidRPr="002C2DB2">
        <w:rPr>
          <w:rFonts w:ascii="Arial" w:hAnsi="Arial" w:cs="Arial"/>
        </w:rPr>
        <w:t>. The Gerontologist, 29(2), 183-190.</w:t>
      </w:r>
    </w:p>
    <w:p w14:paraId="0E8CB23A" w14:textId="77777777" w:rsidR="00CD23F4" w:rsidRPr="002C2DB2" w:rsidRDefault="00CD23F4" w:rsidP="002C2DB2">
      <w:pPr>
        <w:pStyle w:val="ListParagraph"/>
        <w:numPr>
          <w:ilvl w:val="0"/>
          <w:numId w:val="2"/>
        </w:numPr>
        <w:spacing w:line="360" w:lineRule="auto"/>
        <w:rPr>
          <w:rFonts w:ascii="Arial" w:hAnsi="Arial" w:cs="Arial"/>
        </w:rPr>
      </w:pPr>
      <w:r w:rsidRPr="002C2DB2">
        <w:rPr>
          <w:rFonts w:ascii="Arial" w:hAnsi="Arial" w:cs="Arial"/>
        </w:rPr>
        <w:t xml:space="preserve">Maslow, A. (1943). </w:t>
      </w:r>
      <w:r w:rsidRPr="002C2DB2">
        <w:rPr>
          <w:rFonts w:ascii="Arial" w:hAnsi="Arial" w:cs="Arial"/>
          <w:i/>
          <w:iCs/>
        </w:rPr>
        <w:t>A Theory of Human Motivation</w:t>
      </w:r>
      <w:r w:rsidRPr="002C2DB2">
        <w:rPr>
          <w:rFonts w:ascii="Arial" w:hAnsi="Arial" w:cs="Arial"/>
        </w:rPr>
        <w:t>. Psychological Review, 50(4), 370-396.</w:t>
      </w:r>
    </w:p>
    <w:p w14:paraId="4418FA14" w14:textId="77777777" w:rsidR="00CD4DCE" w:rsidRDefault="00CD4DCE" w:rsidP="002C2DB2">
      <w:pPr>
        <w:pStyle w:val="ListParagraph"/>
      </w:pPr>
    </w:p>
    <w:sectPr w:rsidR="00CD4DCE" w:rsidSect="0087619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87B87"/>
    <w:multiLevelType w:val="hybridMultilevel"/>
    <w:tmpl w:val="60D2C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51011C"/>
    <w:multiLevelType w:val="multilevel"/>
    <w:tmpl w:val="7F46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B30857"/>
    <w:multiLevelType w:val="multilevel"/>
    <w:tmpl w:val="302A2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CF4A28"/>
    <w:multiLevelType w:val="multilevel"/>
    <w:tmpl w:val="5E4E3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E832CC"/>
    <w:multiLevelType w:val="multilevel"/>
    <w:tmpl w:val="EFD8C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9767400">
    <w:abstractNumId w:val="4"/>
  </w:num>
  <w:num w:numId="2" w16cid:durableId="1027755307">
    <w:abstractNumId w:val="0"/>
  </w:num>
  <w:num w:numId="3" w16cid:durableId="348072197">
    <w:abstractNumId w:val="3"/>
  </w:num>
  <w:num w:numId="4" w16cid:durableId="1204708188">
    <w:abstractNumId w:val="1"/>
  </w:num>
  <w:num w:numId="5" w16cid:durableId="2053338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CE"/>
    <w:rsid w:val="001E453D"/>
    <w:rsid w:val="002C2DB2"/>
    <w:rsid w:val="005F29FA"/>
    <w:rsid w:val="00787584"/>
    <w:rsid w:val="007B7619"/>
    <w:rsid w:val="00834D14"/>
    <w:rsid w:val="0087619A"/>
    <w:rsid w:val="00C92417"/>
    <w:rsid w:val="00CD23F4"/>
    <w:rsid w:val="00CD4DCE"/>
    <w:rsid w:val="00FC4C2D"/>
    <w:rsid w:val="00FE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E7960"/>
  <w15:chartTrackingRefBased/>
  <w15:docId w15:val="{A6639E8A-D86B-4D41-A635-F6C28A2D7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D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D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D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D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D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D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D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D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D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D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D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D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D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D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D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D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D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DCE"/>
    <w:rPr>
      <w:rFonts w:eastAsiaTheme="majorEastAsia" w:cstheme="majorBidi"/>
      <w:color w:val="272727" w:themeColor="text1" w:themeTint="D8"/>
    </w:rPr>
  </w:style>
  <w:style w:type="paragraph" w:styleId="Title">
    <w:name w:val="Title"/>
    <w:basedOn w:val="Normal"/>
    <w:next w:val="Normal"/>
    <w:link w:val="TitleChar"/>
    <w:uiPriority w:val="10"/>
    <w:qFormat/>
    <w:rsid w:val="00CD4D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D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D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D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DCE"/>
    <w:pPr>
      <w:spacing w:before="160"/>
      <w:jc w:val="center"/>
    </w:pPr>
    <w:rPr>
      <w:i/>
      <w:iCs/>
      <w:color w:val="404040" w:themeColor="text1" w:themeTint="BF"/>
    </w:rPr>
  </w:style>
  <w:style w:type="character" w:customStyle="1" w:styleId="QuoteChar">
    <w:name w:val="Quote Char"/>
    <w:basedOn w:val="DefaultParagraphFont"/>
    <w:link w:val="Quote"/>
    <w:uiPriority w:val="29"/>
    <w:rsid w:val="00CD4DCE"/>
    <w:rPr>
      <w:i/>
      <w:iCs/>
      <w:color w:val="404040" w:themeColor="text1" w:themeTint="BF"/>
    </w:rPr>
  </w:style>
  <w:style w:type="paragraph" w:styleId="ListParagraph">
    <w:name w:val="List Paragraph"/>
    <w:basedOn w:val="Normal"/>
    <w:uiPriority w:val="34"/>
    <w:qFormat/>
    <w:rsid w:val="00CD4DCE"/>
    <w:pPr>
      <w:ind w:left="720"/>
      <w:contextualSpacing/>
    </w:pPr>
  </w:style>
  <w:style w:type="character" w:styleId="IntenseEmphasis">
    <w:name w:val="Intense Emphasis"/>
    <w:basedOn w:val="DefaultParagraphFont"/>
    <w:uiPriority w:val="21"/>
    <w:qFormat/>
    <w:rsid w:val="00CD4DCE"/>
    <w:rPr>
      <w:i/>
      <w:iCs/>
      <w:color w:val="0F4761" w:themeColor="accent1" w:themeShade="BF"/>
    </w:rPr>
  </w:style>
  <w:style w:type="paragraph" w:styleId="IntenseQuote">
    <w:name w:val="Intense Quote"/>
    <w:basedOn w:val="Normal"/>
    <w:next w:val="Normal"/>
    <w:link w:val="IntenseQuoteChar"/>
    <w:uiPriority w:val="30"/>
    <w:qFormat/>
    <w:rsid w:val="00CD4D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DCE"/>
    <w:rPr>
      <w:i/>
      <w:iCs/>
      <w:color w:val="0F4761" w:themeColor="accent1" w:themeShade="BF"/>
    </w:rPr>
  </w:style>
  <w:style w:type="character" w:styleId="IntenseReference">
    <w:name w:val="Intense Reference"/>
    <w:basedOn w:val="DefaultParagraphFont"/>
    <w:uiPriority w:val="32"/>
    <w:qFormat/>
    <w:rsid w:val="00CD4DCE"/>
    <w:rPr>
      <w:b/>
      <w:bCs/>
      <w:smallCaps/>
      <w:color w:val="0F4761" w:themeColor="accent1" w:themeShade="BF"/>
      <w:spacing w:val="5"/>
    </w:rPr>
  </w:style>
  <w:style w:type="character" w:styleId="Hyperlink">
    <w:name w:val="Hyperlink"/>
    <w:basedOn w:val="DefaultParagraphFont"/>
    <w:uiPriority w:val="99"/>
    <w:unhideWhenUsed/>
    <w:rsid w:val="00834D14"/>
    <w:rPr>
      <w:color w:val="467886" w:themeColor="hyperlink"/>
      <w:u w:val="single"/>
    </w:rPr>
  </w:style>
  <w:style w:type="character" w:styleId="UnresolvedMention">
    <w:name w:val="Unresolved Mention"/>
    <w:basedOn w:val="DefaultParagraphFont"/>
    <w:uiPriority w:val="99"/>
    <w:semiHidden/>
    <w:unhideWhenUsed/>
    <w:rsid w:val="00834D14"/>
    <w:rPr>
      <w:color w:val="605E5C"/>
      <w:shd w:val="clear" w:color="auto" w:fill="E1DFDD"/>
    </w:rPr>
  </w:style>
  <w:style w:type="paragraph" w:styleId="NoSpacing">
    <w:name w:val="No Spacing"/>
    <w:link w:val="NoSpacingChar"/>
    <w:uiPriority w:val="1"/>
    <w:qFormat/>
    <w:rsid w:val="002C2DB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C2DB2"/>
    <w:rPr>
      <w:rFonts w:eastAsiaTheme="minorEastAsia"/>
      <w:kern w:val="0"/>
      <w:lang w:val="en-US"/>
      <w14:ligatures w14:val="none"/>
    </w:rPr>
  </w:style>
  <w:style w:type="paragraph" w:styleId="NormalWeb">
    <w:name w:val="Normal (Web)"/>
    <w:basedOn w:val="Normal"/>
    <w:uiPriority w:val="99"/>
    <w:semiHidden/>
    <w:unhideWhenUsed/>
    <w:rsid w:val="002C2D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62326">
      <w:bodyDiv w:val="1"/>
      <w:marLeft w:val="0"/>
      <w:marRight w:val="0"/>
      <w:marTop w:val="0"/>
      <w:marBottom w:val="0"/>
      <w:divBdr>
        <w:top w:val="none" w:sz="0" w:space="0" w:color="auto"/>
        <w:left w:val="none" w:sz="0" w:space="0" w:color="auto"/>
        <w:bottom w:val="none" w:sz="0" w:space="0" w:color="auto"/>
        <w:right w:val="none" w:sz="0" w:space="0" w:color="auto"/>
      </w:divBdr>
    </w:div>
    <w:div w:id="386924548">
      <w:bodyDiv w:val="1"/>
      <w:marLeft w:val="0"/>
      <w:marRight w:val="0"/>
      <w:marTop w:val="0"/>
      <w:marBottom w:val="0"/>
      <w:divBdr>
        <w:top w:val="none" w:sz="0" w:space="0" w:color="auto"/>
        <w:left w:val="none" w:sz="0" w:space="0" w:color="auto"/>
        <w:bottom w:val="none" w:sz="0" w:space="0" w:color="auto"/>
        <w:right w:val="none" w:sz="0" w:space="0" w:color="auto"/>
      </w:divBdr>
    </w:div>
    <w:div w:id="733551954">
      <w:bodyDiv w:val="1"/>
      <w:marLeft w:val="0"/>
      <w:marRight w:val="0"/>
      <w:marTop w:val="0"/>
      <w:marBottom w:val="0"/>
      <w:divBdr>
        <w:top w:val="none" w:sz="0" w:space="0" w:color="auto"/>
        <w:left w:val="none" w:sz="0" w:space="0" w:color="auto"/>
        <w:bottom w:val="none" w:sz="0" w:space="0" w:color="auto"/>
        <w:right w:val="none" w:sz="0" w:space="0" w:color="auto"/>
      </w:divBdr>
    </w:div>
    <w:div w:id="784155271">
      <w:bodyDiv w:val="1"/>
      <w:marLeft w:val="0"/>
      <w:marRight w:val="0"/>
      <w:marTop w:val="0"/>
      <w:marBottom w:val="0"/>
      <w:divBdr>
        <w:top w:val="none" w:sz="0" w:space="0" w:color="auto"/>
        <w:left w:val="none" w:sz="0" w:space="0" w:color="auto"/>
        <w:bottom w:val="none" w:sz="0" w:space="0" w:color="auto"/>
        <w:right w:val="none" w:sz="0" w:space="0" w:color="auto"/>
      </w:divBdr>
    </w:div>
    <w:div w:id="974141079">
      <w:bodyDiv w:val="1"/>
      <w:marLeft w:val="0"/>
      <w:marRight w:val="0"/>
      <w:marTop w:val="0"/>
      <w:marBottom w:val="0"/>
      <w:divBdr>
        <w:top w:val="none" w:sz="0" w:space="0" w:color="auto"/>
        <w:left w:val="none" w:sz="0" w:space="0" w:color="auto"/>
        <w:bottom w:val="none" w:sz="0" w:space="0" w:color="auto"/>
        <w:right w:val="none" w:sz="0" w:space="0" w:color="auto"/>
      </w:divBdr>
    </w:div>
    <w:div w:id="1232960031">
      <w:bodyDiv w:val="1"/>
      <w:marLeft w:val="0"/>
      <w:marRight w:val="0"/>
      <w:marTop w:val="0"/>
      <w:marBottom w:val="0"/>
      <w:divBdr>
        <w:top w:val="none" w:sz="0" w:space="0" w:color="auto"/>
        <w:left w:val="none" w:sz="0" w:space="0" w:color="auto"/>
        <w:bottom w:val="none" w:sz="0" w:space="0" w:color="auto"/>
        <w:right w:val="none" w:sz="0" w:space="0" w:color="auto"/>
      </w:divBdr>
    </w:div>
    <w:div w:id="1264530315">
      <w:bodyDiv w:val="1"/>
      <w:marLeft w:val="0"/>
      <w:marRight w:val="0"/>
      <w:marTop w:val="0"/>
      <w:marBottom w:val="0"/>
      <w:divBdr>
        <w:top w:val="none" w:sz="0" w:space="0" w:color="auto"/>
        <w:left w:val="none" w:sz="0" w:space="0" w:color="auto"/>
        <w:bottom w:val="none" w:sz="0" w:space="0" w:color="auto"/>
        <w:right w:val="none" w:sz="0" w:space="0" w:color="auto"/>
      </w:divBdr>
    </w:div>
    <w:div w:id="1300378698">
      <w:bodyDiv w:val="1"/>
      <w:marLeft w:val="0"/>
      <w:marRight w:val="0"/>
      <w:marTop w:val="0"/>
      <w:marBottom w:val="0"/>
      <w:divBdr>
        <w:top w:val="none" w:sz="0" w:space="0" w:color="auto"/>
        <w:left w:val="none" w:sz="0" w:space="0" w:color="auto"/>
        <w:bottom w:val="none" w:sz="0" w:space="0" w:color="auto"/>
        <w:right w:val="none" w:sz="0" w:space="0" w:color="auto"/>
      </w:divBdr>
    </w:div>
    <w:div w:id="1520460384">
      <w:bodyDiv w:val="1"/>
      <w:marLeft w:val="0"/>
      <w:marRight w:val="0"/>
      <w:marTop w:val="0"/>
      <w:marBottom w:val="0"/>
      <w:divBdr>
        <w:top w:val="none" w:sz="0" w:space="0" w:color="auto"/>
        <w:left w:val="none" w:sz="0" w:space="0" w:color="auto"/>
        <w:bottom w:val="none" w:sz="0" w:space="0" w:color="auto"/>
        <w:right w:val="none" w:sz="0" w:space="0" w:color="auto"/>
      </w:divBdr>
    </w:div>
    <w:div w:id="204625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5/9/contents" TargetMode="External"/><Relationship Id="rId3" Type="http://schemas.openxmlformats.org/officeDocument/2006/relationships/settings" Target="settings.xml"/><Relationship Id="rId7" Type="http://schemas.openxmlformats.org/officeDocument/2006/relationships/hyperlink" Target="http://www.legislation.gov.uk/ukpga/2014/23/contents/enact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slation.gov.uk/ukpga/1998/42/cont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AD1112934F4E48866F209CF737CE21"/>
        <w:category>
          <w:name w:val="General"/>
          <w:gallery w:val="placeholder"/>
        </w:category>
        <w:types>
          <w:type w:val="bbPlcHdr"/>
        </w:types>
        <w:behaviors>
          <w:behavior w:val="content"/>
        </w:behaviors>
        <w:guid w:val="{93E542AD-06F1-4415-A344-6FE8E388DF78}"/>
      </w:docPartPr>
      <w:docPartBody>
        <w:p w:rsidR="00000000" w:rsidRDefault="006819C0" w:rsidP="006819C0">
          <w:pPr>
            <w:pStyle w:val="60AD1112934F4E48866F209CF737CE2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C0"/>
    <w:rsid w:val="006819C0"/>
    <w:rsid w:val="00CB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AD1112934F4E48866F209CF737CE21">
    <w:name w:val="60AD1112934F4E48866F209CF737CE21"/>
    <w:rsid w:val="006819C0"/>
  </w:style>
  <w:style w:type="paragraph" w:customStyle="1" w:styleId="CC9CA10E4A294506B7FB4A10C7540ACA">
    <w:name w:val="CC9CA10E4A294506B7FB4A10C7540ACA"/>
    <w:rsid w:val="006819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3450</Words>
  <Characters>19670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
  <dc:creator>Mohammad Ilyas (2029045)</dc:creator>
  <cp:keywords/>
  <dc:description/>
  <cp:lastModifiedBy>Mohammad Ilyas (2029045)</cp:lastModifiedBy>
  <cp:revision>1</cp:revision>
  <dcterms:created xsi:type="dcterms:W3CDTF">2024-03-25T03:37:00Z</dcterms:created>
  <dcterms:modified xsi:type="dcterms:W3CDTF">2024-03-25T04:24:00Z</dcterms:modified>
</cp:coreProperties>
</file>