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B35247" w:rsidRDefault="00B901FF">
      <w:pPr>
        <w:jc w:val="both"/>
      </w:pPr>
      <w:r>
        <w:t>Huw Lewis, Minister for Education and skills, recognises t</w:t>
      </w:r>
      <w:bookmarkStart w:id="0" w:name="_GoBack"/>
      <w:bookmarkEnd w:id="0"/>
      <w:r>
        <w:t>hat there is a need to address a variety of significant challenges in the teaching and learning of Welsh as a second language in Wales. I will be responding to an article written by Lewis himself, titled ‘Welsh Second Language within our new curriculum’. Themes relating to the teaching of Welsh in the English medium sector will be identified and analysed, with personal reflection</w:t>
      </w:r>
      <w:r w:rsidR="00AD17CF">
        <w:t xml:space="preserve"> and insight, these being; </w:t>
      </w:r>
      <w:r w:rsidR="00AD17CF" w:rsidRPr="00AD17CF">
        <w:t>S</w:t>
      </w:r>
      <w:r w:rsidRPr="00AD17CF">
        <w:t>tatus of the subject, future use of the language, teaching and learning standards and pupils attitude to the language.</w:t>
      </w:r>
    </w:p>
    <w:p w:rsidR="00B35247" w:rsidRDefault="00B901FF">
      <w:pPr>
        <w:jc w:val="both"/>
      </w:pPr>
      <w:r>
        <w:t xml:space="preserve">In the article, Lewis demonstrates his concern for the Welsh ability that young people have after thirteen years of Welsh education. “Young people are leaving schools without the effective Welsh Language skills they need for the world of work, life and study, despite studying Welsh as a second language for many years” Lewis (2015, p. 1). Davies (2013) addresses the issue of poor standards and attainment. She argues that the reason for this could be due to the time allocated to the subject on the school timetable. She also explains how “research and the evidence indicate that in some secondary schools, Welsh second language is taught for as little as an hour a fortnight” (Davies, 2013, p. 32). If children are only getting an hour of Welsh a fortnight, then clearly, they will not have efficient Welsh language skills for the world of work. </w:t>
      </w:r>
    </w:p>
    <w:p w:rsidR="00B35247" w:rsidRDefault="00B901FF">
      <w:pPr>
        <w:jc w:val="both"/>
      </w:pPr>
      <w:r>
        <w:t>The GCSE short course has been the subject of great criticism over the years. “Offering the short course rather than full course may be one way to gain time on the timetable as schools are looking to offer a wider range of options (e.g. vocational / Welsh Baccalaureate)” (Davies, 2013, p. 15). By putting children through the GCSE short course and not giving them the qualifications and Welsh ability that they need, decreases their chance of entering the advanced supplementary or advanced level. This is of concern as continuing to study Welsh at this level helps towards becoming fully fluent.</w:t>
      </w:r>
    </w:p>
    <w:p w:rsidR="00B35247" w:rsidRDefault="00B901FF">
      <w:pPr>
        <w:jc w:val="both"/>
      </w:pPr>
      <w:r>
        <w:t xml:space="preserve">From experience, I agree that there is not enough time allocated to Welsh lessons in school. In secondary school, my timetable had two hours of Welsh lessons a week, compared to four hours of my chosen subjects. I believe children need exposure to the language every day to make a significant difference, especially if they plan to use the language </w:t>
      </w:r>
      <w:r w:rsidRPr="00B457B5">
        <w:t xml:space="preserve">after </w:t>
      </w:r>
      <w:r w:rsidR="00AD17CF" w:rsidRPr="00B457B5">
        <w:t xml:space="preserve">they leave </w:t>
      </w:r>
      <w:r w:rsidRPr="00B457B5">
        <w:t>school</w:t>
      </w:r>
      <w:r>
        <w:t>. Donaldson’s (2015) 23</w:t>
      </w:r>
      <w:r>
        <w:rPr>
          <w:vertAlign w:val="superscript"/>
        </w:rPr>
        <w:t>rd</w:t>
      </w:r>
      <w:r>
        <w:t xml:space="preserve"> recommendation in the ‘Successful Futures report’ </w:t>
      </w:r>
      <w:r w:rsidR="00B457B5">
        <w:t>states</w:t>
      </w:r>
      <w:r>
        <w:t xml:space="preserve"> “Progression in the Welsh language towards transactional competence at age 16 should be appropriately reflected in the related progression steps and achievement outcomes.” For this to happen, the Welsh Government should consider phasing out the short GCSE course when the staffing capacity and quality of teaching are good enough and deliver the full GCSE course to more pupils, this will increase the number of pupils who leave school and achieve transactional competence. </w:t>
      </w:r>
    </w:p>
    <w:p w:rsidR="00CB01C6" w:rsidRDefault="00B901FF">
      <w:pPr>
        <w:pStyle w:val="NoSpacing"/>
        <w:jc w:val="both"/>
      </w:pPr>
      <w:r>
        <w:t xml:space="preserve">Offering the short course may also be </w:t>
      </w:r>
      <w:r w:rsidR="00AD17CF">
        <w:t xml:space="preserve">a </w:t>
      </w:r>
      <w:r w:rsidR="00AD17CF" w:rsidRPr="00B457B5">
        <w:t>contributor to the fact that there</w:t>
      </w:r>
      <w:r w:rsidR="00CB01C6" w:rsidRPr="00B457B5">
        <w:t xml:space="preserve"> are a</w:t>
      </w:r>
      <w:r w:rsidR="00CB01C6">
        <w:t xml:space="preserve"> </w:t>
      </w:r>
      <w:r>
        <w:t>limited number of Welsh speaking teachers</w:t>
      </w:r>
      <w:r w:rsidR="00CB01C6">
        <w:t xml:space="preserve"> </w:t>
      </w:r>
      <w:r w:rsidR="00CB01C6" w:rsidRPr="00B457B5">
        <w:t>in our schools</w:t>
      </w:r>
      <w:r w:rsidRPr="00B457B5">
        <w:t>.</w:t>
      </w:r>
      <w:r>
        <w:t xml:space="preserve"> Lewis recognises this struggle and reveals in his article how we should “equip our teaching profession with better skills” (Lewis, 2015, p. 3). </w:t>
      </w:r>
      <w:r>
        <w:rPr>
          <w:rFonts w:cs="Calibri"/>
        </w:rPr>
        <w:t>There is currently a shortage of fully bilingual practitioners in some regions, with less than 2% of primary school teachers outside the Welsh-medium sector able to speak Welsh (</w:t>
      </w:r>
      <w:proofErr w:type="spellStart"/>
      <w:r>
        <w:rPr>
          <w:rFonts w:cs="Calibri"/>
        </w:rPr>
        <w:t>Burrowes</w:t>
      </w:r>
      <w:proofErr w:type="spellEnd"/>
      <w:r>
        <w:rPr>
          <w:rFonts w:cs="Calibri"/>
        </w:rPr>
        <w:t xml:space="preserve">, </w:t>
      </w:r>
      <w:proofErr w:type="spellStart"/>
      <w:r>
        <w:rPr>
          <w:rFonts w:cs="Calibri"/>
        </w:rPr>
        <w:t>Bryer</w:t>
      </w:r>
      <w:proofErr w:type="spellEnd"/>
      <w:r>
        <w:rPr>
          <w:rFonts w:cs="Calibri"/>
        </w:rPr>
        <w:t xml:space="preserve">, </w:t>
      </w:r>
      <w:proofErr w:type="spellStart"/>
      <w:r>
        <w:rPr>
          <w:rFonts w:cs="Calibri"/>
        </w:rPr>
        <w:t>Bryer</w:t>
      </w:r>
      <w:proofErr w:type="spellEnd"/>
      <w:r>
        <w:rPr>
          <w:rFonts w:cs="Calibri"/>
        </w:rPr>
        <w:t xml:space="preserve">, Campbell, &amp; Charles, 2011, p. 45). This </w:t>
      </w:r>
      <w:r w:rsidR="00CB01C6" w:rsidRPr="00B457B5">
        <w:rPr>
          <w:rFonts w:cs="Calibri"/>
        </w:rPr>
        <w:t>concerns</w:t>
      </w:r>
      <w:r>
        <w:rPr>
          <w:rFonts w:cs="Calibri"/>
        </w:rPr>
        <w:t xml:space="preserve"> me as a </w:t>
      </w:r>
      <w:r w:rsidRPr="00B457B5">
        <w:rPr>
          <w:rFonts w:cs="Calibri"/>
        </w:rPr>
        <w:t>Welsh learner</w:t>
      </w:r>
      <w:r w:rsidR="00CB01C6">
        <w:rPr>
          <w:rFonts w:cs="Calibri"/>
        </w:rPr>
        <w:t xml:space="preserve">, </w:t>
      </w:r>
      <w:r w:rsidRPr="00B457B5">
        <w:rPr>
          <w:rFonts w:cs="Calibri"/>
        </w:rPr>
        <w:t xml:space="preserve">the statistics are </w:t>
      </w:r>
      <w:r w:rsidR="00CB01C6" w:rsidRPr="00B457B5">
        <w:rPr>
          <w:rFonts w:cs="Calibri"/>
        </w:rPr>
        <w:t xml:space="preserve">very </w:t>
      </w:r>
      <w:r w:rsidR="00B457B5" w:rsidRPr="00B457B5">
        <w:rPr>
          <w:rFonts w:cs="Calibri"/>
        </w:rPr>
        <w:t>low,</w:t>
      </w:r>
      <w:r w:rsidR="00CB01C6" w:rsidRPr="00B457B5">
        <w:rPr>
          <w:rFonts w:cs="Calibri"/>
        </w:rPr>
        <w:t xml:space="preserve"> </w:t>
      </w:r>
      <w:r w:rsidRPr="00B457B5">
        <w:rPr>
          <w:rFonts w:cs="Calibri"/>
        </w:rPr>
        <w:t>and we need to listen</w:t>
      </w:r>
      <w:r>
        <w:rPr>
          <w:rFonts w:cs="Calibri"/>
        </w:rPr>
        <w:t xml:space="preserve"> to people like Lewis and equip our teachers with better Welsh skills.</w:t>
      </w:r>
      <w:r>
        <w:rPr>
          <w:rFonts w:ascii="Helvetica" w:hAnsi="Helvetica"/>
          <w:sz w:val="21"/>
          <w:szCs w:val="21"/>
        </w:rPr>
        <w:t xml:space="preserve"> </w:t>
      </w:r>
      <w:r>
        <w:t xml:space="preserve">Davies supports this argument and describes how “teachers are not confident enough and lack the knowledge to teach Welsh to an appropriate level” (Davies, 2013, p. 38). </w:t>
      </w:r>
    </w:p>
    <w:p w:rsidR="00CB01C6" w:rsidRDefault="00CB01C6">
      <w:pPr>
        <w:pStyle w:val="NoSpacing"/>
        <w:jc w:val="both"/>
      </w:pPr>
    </w:p>
    <w:p w:rsidR="00B35247" w:rsidRDefault="00B901FF">
      <w:pPr>
        <w:pStyle w:val="NoSpacing"/>
        <w:jc w:val="both"/>
      </w:pPr>
      <w:r>
        <w:t>Transmitting the language to the younger generations is depende</w:t>
      </w:r>
      <w:r w:rsidR="00CB01C6">
        <w:t xml:space="preserve">nt on recruitment and training, </w:t>
      </w:r>
      <w:r w:rsidR="00CB01C6" w:rsidRPr="00B457B5">
        <w:t>to succeed</w:t>
      </w:r>
      <w:r w:rsidR="00CB01C6">
        <w:t>, t</w:t>
      </w:r>
      <w:r>
        <w:t>eachers must be enthusiastic and have competent Welsh second language skills. Therefore, I believe initial teacher training and promoting teaching Welsh as a career is vital</w:t>
      </w:r>
      <w:r w:rsidR="00CB01C6">
        <w:t xml:space="preserve"> </w:t>
      </w:r>
      <w:r w:rsidR="00CB01C6" w:rsidRPr="00B457B5">
        <w:t>and fundamental to the success of the Welsh language through the educational curriculum and beyond into working years</w:t>
      </w:r>
      <w:r w:rsidRPr="00B457B5">
        <w:t>.</w:t>
      </w:r>
      <w:r>
        <w:t xml:space="preserve"> </w:t>
      </w:r>
    </w:p>
    <w:p w:rsidR="00B35247" w:rsidRDefault="00B35247">
      <w:pPr>
        <w:pStyle w:val="NoSpacing"/>
        <w:jc w:val="both"/>
      </w:pPr>
    </w:p>
    <w:p w:rsidR="00B35247" w:rsidRDefault="00B35247">
      <w:pPr>
        <w:pStyle w:val="NoSpacing"/>
        <w:jc w:val="both"/>
      </w:pPr>
    </w:p>
    <w:p w:rsidR="00B35247" w:rsidRDefault="00B35247">
      <w:pPr>
        <w:pStyle w:val="NoSpacing"/>
        <w:jc w:val="both"/>
      </w:pPr>
    </w:p>
    <w:p w:rsidR="00B35247" w:rsidRDefault="00B901FF">
      <w:pPr>
        <w:pStyle w:val="NoSpacing"/>
        <w:jc w:val="both"/>
      </w:pPr>
      <w:r>
        <w:t xml:space="preserve">From what I’ve found out from recent bridging activities, many teachers are </w:t>
      </w:r>
      <w:r w:rsidR="00CB01C6" w:rsidRPr="00B457B5">
        <w:t>now</w:t>
      </w:r>
      <w:r w:rsidR="00CB01C6">
        <w:t xml:space="preserve"> </w:t>
      </w:r>
      <w:r>
        <w:t xml:space="preserve">recognising the importance of their own Welsh skills with regards to teaching Welsh and are being put through training such as the Sabbatical Course or Cam </w:t>
      </w:r>
      <w:proofErr w:type="spellStart"/>
      <w:r>
        <w:t>wrth</w:t>
      </w:r>
      <w:proofErr w:type="spellEnd"/>
      <w:r>
        <w:t xml:space="preserve"> Gam. Recommendation</w:t>
      </w:r>
      <w:r w:rsidR="006F3A08">
        <w:t xml:space="preserve"> 21 by the review group states that The </w:t>
      </w:r>
      <w:r>
        <w:t xml:space="preserve">Welsh Government </w:t>
      </w:r>
      <w:r w:rsidR="006F3A08">
        <w:t xml:space="preserve">need </w:t>
      </w:r>
      <w:r>
        <w:t>to take steps to ensure that every primary and secondary school has sufficient numbers of teachers qua</w:t>
      </w:r>
      <w:r w:rsidR="006F3A08">
        <w:t>lified and able to teach Welsh.</w:t>
      </w:r>
      <w:r>
        <w:t xml:space="preserve"> However, is it fair to blame just the teachers? </w:t>
      </w:r>
    </w:p>
    <w:p w:rsidR="00B35247" w:rsidRDefault="00B35247">
      <w:pPr>
        <w:pStyle w:val="NoSpacing"/>
        <w:jc w:val="both"/>
      </w:pPr>
    </w:p>
    <w:p w:rsidR="00B35247" w:rsidRDefault="00B901FF">
      <w:pPr>
        <w:pStyle w:val="NoSpacing"/>
        <w:jc w:val="both"/>
      </w:pPr>
      <w:r>
        <w:t xml:space="preserve">The Review Group agrees that the responsibility for developing Welsh across the school should be equally shared. There are examples of good practice where schools have established cross-departmental groups. The welsh language needs to be present not just inside the welsh classroom, but also in assemblies, school trips and after school clubs. Programmes such as </w:t>
      </w:r>
      <w:proofErr w:type="spellStart"/>
      <w:r>
        <w:t>Siarter</w:t>
      </w:r>
      <w:proofErr w:type="spellEnd"/>
      <w:r>
        <w:t xml:space="preserve"> </w:t>
      </w:r>
      <w:proofErr w:type="spellStart"/>
      <w:r>
        <w:t>Iaith</w:t>
      </w:r>
      <w:proofErr w:type="spellEnd"/>
      <w:r>
        <w:t xml:space="preserve"> can raise the status of the Welsh subject as it promotes welsh learning outside of the classroom.</w:t>
      </w:r>
    </w:p>
    <w:p w:rsidR="00B35247" w:rsidRDefault="00B35247">
      <w:pPr>
        <w:pStyle w:val="NoSpacing"/>
        <w:jc w:val="both"/>
      </w:pPr>
    </w:p>
    <w:p w:rsidR="00B35247" w:rsidRDefault="00B901FF">
      <w:pPr>
        <w:jc w:val="both"/>
      </w:pPr>
      <w:r>
        <w:t xml:space="preserve">Even if teachers were fully “equipped”, would this change the attitudes of some children learning Welsh? A final reoccurring theme in the article, would be </w:t>
      </w:r>
      <w:r w:rsidR="00CB01C6" w:rsidRPr="00B457B5">
        <w:t>the</w:t>
      </w:r>
      <w:r w:rsidR="00CB01C6">
        <w:t xml:space="preserve"> </w:t>
      </w:r>
      <w:r>
        <w:t>pupils’ attitudes to the welsh language. Lewis explains how he wants “all children and young people…  to see welsh as an attractive and worthwhile option” (Lewis, 2015, p. 3). However, Davies argues that children “do not regard the subject as being relevant or of any value to them” (Davies, 2013; p. 1). She explains how learning welsh should be looked at as a positive experience. This is a powerful statement, as people like myself have achieved grade level A at GCSE Welsh Second Language, however until I chose the profession I wanted to pursue, I wou</w:t>
      </w:r>
      <w:r w:rsidR="00CB01C6">
        <w:t xml:space="preserve">ld not have regarded Welsh as </w:t>
      </w:r>
      <w:r w:rsidR="00CB01C6" w:rsidRPr="00B457B5">
        <w:t>an important</w:t>
      </w:r>
      <w:r w:rsidR="00CB01C6">
        <w:t xml:space="preserve"> </w:t>
      </w:r>
      <w:r>
        <w:t xml:space="preserve">subject and </w:t>
      </w:r>
      <w:r w:rsidR="00CB01C6" w:rsidRPr="00B457B5">
        <w:t>focused</w:t>
      </w:r>
      <w:r>
        <w:t xml:space="preserve"> only what I needed to know for the examinations.</w:t>
      </w:r>
    </w:p>
    <w:p w:rsidR="00B35247" w:rsidRDefault="00B901FF">
      <w:pPr>
        <w:jc w:val="both"/>
      </w:pPr>
      <w:r>
        <w:t xml:space="preserve">Estyn’s 2003 report referred to by Davies echoes this sense of improving teaching and learning and shows how children were memorising written work word for word. Davies concludes that “memorising written work is not appropriate levels of </w:t>
      </w:r>
      <w:proofErr w:type="spellStart"/>
      <w:r>
        <w:t>oracy</w:t>
      </w:r>
      <w:proofErr w:type="spellEnd"/>
      <w:r>
        <w:t>” (Davies, 2013, p. 14). Therefore, as primary school teachers, we n</w:t>
      </w:r>
      <w:r w:rsidR="00BD3D1D">
        <w:t>eed to encourage children educated in Wales</w:t>
      </w:r>
      <w:r>
        <w:t xml:space="preserve"> to recognise the importance of being able to speak the Welsh language, children must know the difference between learning the language of their country and being taught an ordinary subject. </w:t>
      </w:r>
      <w:r>
        <w:rPr>
          <w:rFonts w:cs="Calibri"/>
        </w:rPr>
        <w:t>As Baker (2001, p. 113) says “</w:t>
      </w:r>
      <w:r>
        <w:rPr>
          <w:rFonts w:cs="Calibri"/>
          <w:color w:val="000000"/>
        </w:rPr>
        <w:t>For language minority and language majority children, being able to speak a second or third or fourth language may mean avoiding unemployment, opening up possibilities of a wider variety of careers or gaining promotion in a career”. Children must understand that being able to speak Welsh gives them an advantage in the workplace.</w:t>
      </w:r>
    </w:p>
    <w:p w:rsidR="00B35247" w:rsidRDefault="00B901FF">
      <w:pPr>
        <w:jc w:val="both"/>
      </w:pPr>
      <w:r>
        <w:t xml:space="preserve">Overall, the future of Welsh and the Welsh culture is dependent on transmitting the language to our younger generations. </w:t>
      </w:r>
      <w:r w:rsidR="00B457B5">
        <w:rPr>
          <w:rFonts w:cs="Calibri"/>
          <w:szCs w:val="34"/>
        </w:rPr>
        <w:t>As Lewi</w:t>
      </w:r>
      <w:r w:rsidR="006F3A08">
        <w:rPr>
          <w:rFonts w:cs="Calibri"/>
          <w:szCs w:val="34"/>
        </w:rPr>
        <w:t>s (2015, p. 1) encourages in his</w:t>
      </w:r>
      <w:r w:rsidR="00B457B5">
        <w:rPr>
          <w:rFonts w:cs="Calibri"/>
          <w:szCs w:val="34"/>
        </w:rPr>
        <w:t xml:space="preserve"> article, for </w:t>
      </w:r>
      <w:r>
        <w:rPr>
          <w:rFonts w:cs="Calibri"/>
          <w:szCs w:val="34"/>
        </w:rPr>
        <w:t xml:space="preserve">the Welsh medium education sector to “grow”, </w:t>
      </w:r>
      <w:r w:rsidRPr="00B457B5">
        <w:t>teacher training is an issue</w:t>
      </w:r>
      <w:r w:rsidR="00B457B5" w:rsidRPr="00B457B5">
        <w:t xml:space="preserve"> and I believe</w:t>
      </w:r>
      <w:r w:rsidRPr="00B457B5">
        <w:t xml:space="preserve"> </w:t>
      </w:r>
      <w:r w:rsidR="00B457B5" w:rsidRPr="00B457B5">
        <w:t>this</w:t>
      </w:r>
      <w:r w:rsidRPr="00B457B5">
        <w:t xml:space="preserve"> must be prioritised.</w:t>
      </w:r>
      <w:r>
        <w:t xml:space="preserve"> </w:t>
      </w:r>
      <w:r>
        <w:rPr>
          <w:rFonts w:cs="Calibri"/>
          <w:szCs w:val="34"/>
        </w:rPr>
        <w:t xml:space="preserve">Without a sufficient level of Welsh training, schools may introduce the </w:t>
      </w:r>
      <w:r w:rsidR="00BD3D1D" w:rsidRPr="00B457B5">
        <w:rPr>
          <w:rFonts w:cs="Calibri"/>
          <w:szCs w:val="34"/>
        </w:rPr>
        <w:t>lesser advantaged</w:t>
      </w:r>
      <w:r w:rsidR="00BD3D1D">
        <w:rPr>
          <w:rFonts w:cs="Calibri"/>
          <w:szCs w:val="34"/>
        </w:rPr>
        <w:t xml:space="preserve"> </w:t>
      </w:r>
      <w:r>
        <w:rPr>
          <w:rFonts w:cs="Calibri"/>
          <w:szCs w:val="34"/>
        </w:rPr>
        <w:t>GCSE short course, and cause children to be less enthusiastic about the language.</w:t>
      </w:r>
      <w:r>
        <w:t xml:space="preserve"> Estyn’s 2013 report referred to by Davies (Davies, 2013, p. 12) reported that “Generally, when practitioners’ own Welsh is fluent, children’s progress in learning Welsh is better”. This supports my argument and demonstrates how crucial it is for al</w:t>
      </w:r>
      <w:r w:rsidR="00BA4844">
        <w:t>l teachers in Wales to aim to make a conscious effort to be</w:t>
      </w:r>
      <w:r>
        <w:t xml:space="preserve"> fluent in Welsh. Teachers will now </w:t>
      </w:r>
      <w:proofErr w:type="gramStart"/>
      <w:r>
        <w:t>have the opportunity to</w:t>
      </w:r>
      <w:proofErr w:type="gramEnd"/>
      <w:r>
        <w:t xml:space="preserve"> do this, by following the new curriculum, and </w:t>
      </w:r>
      <w:r w:rsidR="003616AB">
        <w:t>should put</w:t>
      </w:r>
      <w:r>
        <w:t xml:space="preserve"> the</w:t>
      </w:r>
      <w:r w:rsidR="003616AB">
        <w:t xml:space="preserve">mselves through intensive Welsh </w:t>
      </w:r>
      <w:r>
        <w:t>language training courses such as the Sabbatical Scheme.</w:t>
      </w:r>
    </w:p>
    <w:p w:rsidR="00B457B5" w:rsidRDefault="00B457B5" w:rsidP="00B457B5">
      <w:pPr>
        <w:jc w:val="right"/>
      </w:pPr>
    </w:p>
    <w:p w:rsidR="00B457B5" w:rsidRDefault="00B457B5" w:rsidP="00B457B5"/>
    <w:p w:rsidR="00B457B5" w:rsidRDefault="00B457B5" w:rsidP="00B457B5">
      <w:pPr>
        <w:jc w:val="right"/>
      </w:pPr>
    </w:p>
    <w:p w:rsidR="00B35247" w:rsidRDefault="00B35247"/>
    <w:tbl>
      <w:tblPr>
        <w:tblpPr w:leftFromText="180" w:rightFromText="180" w:vertAnchor="page" w:horzAnchor="margin" w:tblpXSpec="center" w:tblpY="1706"/>
        <w:tblW w:w="10778" w:type="dxa"/>
        <w:tblCellMar>
          <w:left w:w="10" w:type="dxa"/>
          <w:right w:w="10" w:type="dxa"/>
        </w:tblCellMar>
        <w:tblLook w:val="0000" w:firstRow="0" w:lastRow="0" w:firstColumn="0" w:lastColumn="0" w:noHBand="0" w:noVBand="0"/>
      </w:tblPr>
      <w:tblGrid>
        <w:gridCol w:w="10778"/>
      </w:tblGrid>
      <w:tr w:rsidR="00B35247" w:rsidTr="000C62A3">
        <w:trPr>
          <w:trHeight w:val="540"/>
        </w:trPr>
        <w:tc>
          <w:tcPr>
            <w:tcW w:w="1077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B35247" w:rsidRDefault="00B901FF" w:rsidP="000C62A3">
            <w:pPr>
              <w:spacing w:after="0"/>
              <w:rPr>
                <w:b/>
                <w:sz w:val="24"/>
              </w:rPr>
            </w:pPr>
            <w:r>
              <w:rPr>
                <w:b/>
                <w:sz w:val="24"/>
              </w:rPr>
              <w:t xml:space="preserve">Reference list </w:t>
            </w:r>
          </w:p>
        </w:tc>
      </w:tr>
      <w:tr w:rsidR="00B35247" w:rsidTr="000C62A3">
        <w:trPr>
          <w:trHeight w:val="10823"/>
        </w:trPr>
        <w:tc>
          <w:tcPr>
            <w:tcW w:w="1077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B35247" w:rsidRDefault="00B35247" w:rsidP="000C62A3">
            <w:pPr>
              <w:spacing w:after="0"/>
              <w:rPr>
                <w:rFonts w:cs="Calibri"/>
                <w:sz w:val="24"/>
                <w:szCs w:val="24"/>
              </w:rPr>
            </w:pPr>
          </w:p>
          <w:p w:rsidR="00B35247" w:rsidRDefault="00B901FF" w:rsidP="000C62A3">
            <w:pPr>
              <w:spacing w:after="0"/>
            </w:pPr>
            <w:r>
              <w:rPr>
                <w:rFonts w:cs="Calibri"/>
                <w:sz w:val="24"/>
                <w:szCs w:val="24"/>
              </w:rPr>
              <w:t xml:space="preserve">Baker, C. (2001) </w:t>
            </w:r>
            <w:r>
              <w:rPr>
                <w:rFonts w:cs="Calibri"/>
                <w:i/>
                <w:iCs/>
                <w:sz w:val="24"/>
                <w:szCs w:val="24"/>
              </w:rPr>
              <w:t>Foundations of Bilingual Education and Bilingualism</w:t>
            </w:r>
            <w:r>
              <w:rPr>
                <w:rFonts w:cs="Calibri"/>
                <w:sz w:val="24"/>
                <w:szCs w:val="24"/>
              </w:rPr>
              <w:t xml:space="preserve">. Clevedon [England]: Multilingual Matters (Bilingual Education and Bilingualism). Available at: </w:t>
            </w:r>
            <w:hyperlink r:id="rId6" w:history="1">
              <w:r>
                <w:rPr>
                  <w:rStyle w:val="Hyperlink"/>
                  <w:rFonts w:cs="Calibri"/>
                  <w:sz w:val="24"/>
                  <w:szCs w:val="24"/>
                </w:rPr>
                <w:t>https://ezproxy.uwtsd.ac.uk/login?url=https://search.ebscohost.com/login.asp</w:t>
              </w:r>
            </w:hyperlink>
            <w:r>
              <w:rPr>
                <w:rFonts w:cs="Calibri"/>
                <w:color w:val="0070C0"/>
                <w:sz w:val="24"/>
                <w:szCs w:val="24"/>
                <w:u w:val="single"/>
              </w:rPr>
              <w:br/>
            </w:r>
            <w:proofErr w:type="spellStart"/>
            <w:r>
              <w:rPr>
                <w:rFonts w:cs="Calibri"/>
                <w:color w:val="0070C0"/>
                <w:sz w:val="24"/>
                <w:szCs w:val="24"/>
                <w:u w:val="single"/>
              </w:rPr>
              <w:t>x?direct</w:t>
            </w:r>
            <w:proofErr w:type="spellEnd"/>
            <w:r>
              <w:rPr>
                <w:rFonts w:cs="Calibri"/>
                <w:color w:val="0070C0"/>
                <w:sz w:val="24"/>
                <w:szCs w:val="24"/>
                <w:u w:val="single"/>
              </w:rPr>
              <w:t>=</w:t>
            </w:r>
            <w:proofErr w:type="spellStart"/>
            <w:r>
              <w:rPr>
                <w:rFonts w:cs="Calibri"/>
                <w:color w:val="0070C0"/>
                <w:sz w:val="24"/>
                <w:szCs w:val="24"/>
                <w:u w:val="single"/>
              </w:rPr>
              <w:t>true&amp;db</w:t>
            </w:r>
            <w:proofErr w:type="spellEnd"/>
            <w:r>
              <w:rPr>
                <w:rFonts w:cs="Calibri"/>
                <w:color w:val="0070C0"/>
                <w:sz w:val="24"/>
                <w:szCs w:val="24"/>
                <w:u w:val="single"/>
              </w:rPr>
              <w:t>=</w:t>
            </w:r>
            <w:proofErr w:type="spellStart"/>
            <w:r>
              <w:rPr>
                <w:rFonts w:cs="Calibri"/>
                <w:color w:val="0070C0"/>
                <w:sz w:val="24"/>
                <w:szCs w:val="24"/>
                <w:u w:val="single"/>
              </w:rPr>
              <w:t>nlebk&amp;AN</w:t>
            </w:r>
            <w:proofErr w:type="spellEnd"/>
            <w:r>
              <w:rPr>
                <w:rFonts w:cs="Calibri"/>
                <w:color w:val="0070C0"/>
                <w:sz w:val="24"/>
                <w:szCs w:val="24"/>
                <w:u w:val="single"/>
              </w:rPr>
              <w:t>=90953&amp;site=</w:t>
            </w:r>
            <w:proofErr w:type="spellStart"/>
            <w:r>
              <w:rPr>
                <w:rFonts w:cs="Calibri"/>
                <w:color w:val="0070C0"/>
                <w:sz w:val="24"/>
                <w:szCs w:val="24"/>
                <w:u w:val="single"/>
              </w:rPr>
              <w:t>ehost</w:t>
            </w:r>
            <w:proofErr w:type="spellEnd"/>
            <w:r>
              <w:rPr>
                <w:rFonts w:cs="Calibri"/>
                <w:color w:val="0070C0"/>
                <w:sz w:val="24"/>
                <w:szCs w:val="24"/>
                <w:u w:val="single"/>
              </w:rPr>
              <w:t>-live (Accessed: 29 November 2018)</w:t>
            </w:r>
            <w:r>
              <w:rPr>
                <w:rFonts w:cs="Calibri"/>
                <w:color w:val="0070C0"/>
                <w:sz w:val="24"/>
                <w:szCs w:val="24"/>
                <w:u w:val="single"/>
              </w:rPr>
              <w:br/>
            </w:r>
          </w:p>
          <w:p w:rsidR="00B35247" w:rsidRDefault="00B901FF" w:rsidP="000C62A3">
            <w:pPr>
              <w:tabs>
                <w:tab w:val="left" w:pos="7855"/>
              </w:tabs>
              <w:spacing w:after="0"/>
              <w:jc w:val="both"/>
            </w:pPr>
            <w:proofErr w:type="spellStart"/>
            <w:r>
              <w:rPr>
                <w:rFonts w:cs="Calibri"/>
                <w:sz w:val="24"/>
                <w:szCs w:val="24"/>
              </w:rPr>
              <w:t>Burrowes</w:t>
            </w:r>
            <w:proofErr w:type="spellEnd"/>
            <w:r>
              <w:rPr>
                <w:rFonts w:cs="Calibri"/>
                <w:sz w:val="24"/>
                <w:szCs w:val="24"/>
              </w:rPr>
              <w:t xml:space="preserve"> </w:t>
            </w:r>
            <w:proofErr w:type="gramStart"/>
            <w:r>
              <w:rPr>
                <w:rFonts w:cs="Calibri"/>
                <w:sz w:val="24"/>
                <w:szCs w:val="24"/>
              </w:rPr>
              <w:t>E. ,</w:t>
            </w:r>
            <w:proofErr w:type="gramEnd"/>
            <w:r>
              <w:rPr>
                <w:rFonts w:cs="Calibri"/>
                <w:sz w:val="24"/>
                <w:szCs w:val="24"/>
              </w:rPr>
              <w:t xml:space="preserve"> </w:t>
            </w:r>
            <w:proofErr w:type="spellStart"/>
            <w:r>
              <w:rPr>
                <w:rFonts w:cs="Calibri"/>
                <w:sz w:val="24"/>
                <w:szCs w:val="24"/>
              </w:rPr>
              <w:t>Bryer</w:t>
            </w:r>
            <w:proofErr w:type="spellEnd"/>
            <w:r>
              <w:rPr>
                <w:rFonts w:cs="Calibri"/>
                <w:sz w:val="24"/>
                <w:szCs w:val="24"/>
              </w:rPr>
              <w:t xml:space="preserve"> N. , </w:t>
            </w:r>
            <w:proofErr w:type="spellStart"/>
            <w:r>
              <w:rPr>
                <w:rFonts w:cs="Calibri"/>
                <w:sz w:val="24"/>
                <w:szCs w:val="24"/>
              </w:rPr>
              <w:t>Bryer</w:t>
            </w:r>
            <w:proofErr w:type="spellEnd"/>
            <w:r>
              <w:rPr>
                <w:rFonts w:cs="Calibri"/>
                <w:sz w:val="24"/>
                <w:szCs w:val="24"/>
              </w:rPr>
              <w:t xml:space="preserve"> H. , Campbell C. , &amp; Charles E. (2011 ). Review of the Welsh language support service for schools (Report No. 07/2011). Available at:  </w:t>
            </w:r>
            <w:hyperlink r:id="rId7" w:history="1">
              <w:r>
                <w:rPr>
                  <w:rStyle w:val="Hyperlink"/>
                  <w:rFonts w:cs="Calibri"/>
                  <w:sz w:val="24"/>
                  <w:szCs w:val="24"/>
                </w:rPr>
                <w:t>http://gov.wales/docs/caecd/research/110701athrawonbroen.pdf</w:t>
              </w:r>
            </w:hyperlink>
            <w:r>
              <w:rPr>
                <w:rFonts w:cs="Calibri"/>
                <w:color w:val="555555"/>
                <w:sz w:val="24"/>
                <w:szCs w:val="24"/>
              </w:rPr>
              <w:br/>
            </w:r>
          </w:p>
          <w:p w:rsidR="00B35247" w:rsidRDefault="00B901FF" w:rsidP="000C62A3">
            <w:pPr>
              <w:tabs>
                <w:tab w:val="left" w:pos="7855"/>
              </w:tabs>
              <w:spacing w:after="0"/>
              <w:jc w:val="both"/>
            </w:pPr>
            <w:r>
              <w:rPr>
                <w:rFonts w:cs="Calibri"/>
                <w:sz w:val="24"/>
                <w:szCs w:val="24"/>
              </w:rPr>
              <w:t xml:space="preserve">Donaldson, G. (2015) </w:t>
            </w:r>
            <w:r>
              <w:rPr>
                <w:rFonts w:cs="Calibri"/>
                <w:i/>
                <w:sz w:val="24"/>
                <w:szCs w:val="24"/>
              </w:rPr>
              <w:t xml:space="preserve">Successful futures – Independent Review of Curriculum and Assessment Arrangements in Wales. </w:t>
            </w:r>
            <w:r>
              <w:rPr>
                <w:rFonts w:cs="Calibri"/>
                <w:sz w:val="24"/>
                <w:szCs w:val="24"/>
              </w:rPr>
              <w:t xml:space="preserve">Cardiff: Welsh government. Available at: </w:t>
            </w:r>
            <w:hyperlink r:id="rId8" w:history="1">
              <w:r>
                <w:rPr>
                  <w:rStyle w:val="Hyperlink"/>
                  <w:rFonts w:cs="Calibri"/>
                  <w:sz w:val="24"/>
                  <w:szCs w:val="24"/>
                </w:rPr>
                <w:t>https://gov.wales/docs/dcells/publications/150225-successful-futures-en.pdf</w:t>
              </w:r>
            </w:hyperlink>
            <w:r>
              <w:rPr>
                <w:rStyle w:val="Hyperlink"/>
                <w:rFonts w:cs="Calibri"/>
                <w:sz w:val="24"/>
                <w:szCs w:val="24"/>
              </w:rPr>
              <w:br/>
            </w:r>
          </w:p>
          <w:p w:rsidR="00B35247" w:rsidRDefault="00B901FF" w:rsidP="000C62A3">
            <w:pPr>
              <w:tabs>
                <w:tab w:val="left" w:pos="7855"/>
              </w:tabs>
              <w:spacing w:after="0"/>
              <w:jc w:val="both"/>
              <w:rPr>
                <w:sz w:val="24"/>
                <w:szCs w:val="24"/>
              </w:rPr>
            </w:pPr>
            <w:r>
              <w:rPr>
                <w:sz w:val="24"/>
                <w:szCs w:val="24"/>
              </w:rPr>
              <w:t xml:space="preserve">Estyn (October 2007) An Evaluation of the GCSE Welsh second language short course, Estyn: Cardiff. Available at: </w:t>
            </w:r>
          </w:p>
          <w:p w:rsidR="00B35247" w:rsidRDefault="00493298" w:rsidP="000C62A3">
            <w:hyperlink r:id="rId9" w:history="1">
              <w:r w:rsidR="00B901FF">
                <w:rPr>
                  <w:rStyle w:val="Hyperlink"/>
                  <w:sz w:val="24"/>
                  <w:szCs w:val="24"/>
                </w:rPr>
                <w:t>https://www.estyn.gov.wales/sites/default/files/documents/An%20evaluation%20of%20</w:t>
              </w:r>
            </w:hyperlink>
            <w:r w:rsidR="00B901FF">
              <w:rPr>
                <w:color w:val="0070C0"/>
                <w:sz w:val="24"/>
                <w:szCs w:val="24"/>
                <w:u w:val="single"/>
              </w:rPr>
              <w:t>the%20GCSE%</w:t>
            </w:r>
            <w:r w:rsidR="00B901FF">
              <w:rPr>
                <w:color w:val="0070C0"/>
                <w:sz w:val="24"/>
                <w:szCs w:val="24"/>
                <w:u w:val="single"/>
              </w:rPr>
              <w:br/>
              <w:t>20Welsh%20second%20language%20short%20course%20-%20October%202007.pdf</w:t>
            </w:r>
          </w:p>
          <w:p w:rsidR="00B35247" w:rsidRDefault="00B901FF" w:rsidP="000C62A3">
            <w:pPr>
              <w:spacing w:after="0"/>
            </w:pPr>
            <w:r>
              <w:rPr>
                <w:rFonts w:cs="Calibri"/>
                <w:sz w:val="24"/>
                <w:szCs w:val="24"/>
              </w:rPr>
              <w:t xml:space="preserve">Lewis, H. (2015) ‘Welsh Second Language within our new curriculum’ </w:t>
            </w:r>
            <w:r>
              <w:rPr>
                <w:rFonts w:cs="Calibri"/>
                <w:i/>
                <w:sz w:val="24"/>
                <w:szCs w:val="24"/>
              </w:rPr>
              <w:t xml:space="preserve">Written statement by The Welsh Government. </w:t>
            </w:r>
            <w:r>
              <w:rPr>
                <w:rFonts w:cs="Calibri"/>
                <w:sz w:val="24"/>
                <w:szCs w:val="24"/>
              </w:rPr>
              <w:t>15</w:t>
            </w:r>
            <w:r>
              <w:rPr>
                <w:rFonts w:cs="Calibri"/>
                <w:sz w:val="24"/>
                <w:szCs w:val="24"/>
                <w:vertAlign w:val="superscript"/>
              </w:rPr>
              <w:t>th</w:t>
            </w:r>
            <w:r>
              <w:rPr>
                <w:rFonts w:cs="Calibri"/>
                <w:sz w:val="24"/>
                <w:szCs w:val="24"/>
              </w:rPr>
              <w:t xml:space="preserve"> October </w:t>
            </w:r>
          </w:p>
          <w:p w:rsidR="00B35247" w:rsidRDefault="00B35247" w:rsidP="000C62A3">
            <w:pPr>
              <w:spacing w:after="0"/>
              <w:rPr>
                <w:rFonts w:cs="Calibri"/>
                <w:sz w:val="24"/>
                <w:szCs w:val="24"/>
              </w:rPr>
            </w:pPr>
          </w:p>
          <w:p w:rsidR="00B35247" w:rsidRDefault="00B901FF" w:rsidP="000C62A3">
            <w:pPr>
              <w:tabs>
                <w:tab w:val="left" w:pos="7855"/>
              </w:tabs>
              <w:spacing w:after="0"/>
              <w:jc w:val="both"/>
            </w:pPr>
            <w:r>
              <w:rPr>
                <w:rFonts w:cs="Calibri"/>
                <w:sz w:val="24"/>
                <w:szCs w:val="24"/>
              </w:rPr>
              <w:t xml:space="preserve">Welsh Government (2013) One language for all - Review of Welsh second language at Key Stages 3 and 4. Cardiff: WG. Available at: </w:t>
            </w:r>
            <w:hyperlink r:id="rId10" w:history="1">
              <w:r>
                <w:rPr>
                  <w:rStyle w:val="Hyperlink"/>
                  <w:rFonts w:cs="Calibri"/>
                  <w:sz w:val="24"/>
                  <w:szCs w:val="24"/>
                </w:rPr>
                <w:t>http://gov.wales/docs/dcells/publications/130926-review-of-welsh-second-lan-en.pdf</w:t>
              </w:r>
            </w:hyperlink>
          </w:p>
          <w:p w:rsidR="00B35247" w:rsidRDefault="00B35247" w:rsidP="000C62A3">
            <w:pPr>
              <w:tabs>
                <w:tab w:val="left" w:pos="7855"/>
              </w:tabs>
              <w:spacing w:after="0"/>
              <w:jc w:val="both"/>
              <w:rPr>
                <w:rFonts w:cs="Calibri"/>
              </w:rPr>
            </w:pPr>
          </w:p>
          <w:p w:rsidR="00B35247" w:rsidRDefault="00B35247" w:rsidP="000C62A3">
            <w:pPr>
              <w:tabs>
                <w:tab w:val="left" w:pos="7855"/>
              </w:tabs>
              <w:spacing w:after="0"/>
              <w:jc w:val="both"/>
              <w:rPr>
                <w:rFonts w:cs="Calibri"/>
                <w:sz w:val="24"/>
                <w:szCs w:val="24"/>
              </w:rPr>
            </w:pPr>
          </w:p>
        </w:tc>
      </w:tr>
    </w:tbl>
    <w:p w:rsidR="00B35247" w:rsidRDefault="00B35247">
      <w:pPr>
        <w:pStyle w:val="NoSpacing"/>
      </w:pPr>
    </w:p>
    <w:p w:rsidR="00B35247" w:rsidRDefault="00B35247"/>
    <w:sectPr w:rsidR="00B35247">
      <w:headerReference w:type="default" r:id="rId11"/>
      <w:pgSz w:w="12240" w:h="15840"/>
      <w:pgMar w:top="1440" w:right="1440" w:bottom="1440" w:left="1440" w:header="720" w:footer="720"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493298" w:rsidRDefault="00493298">
      <w:pPr>
        <w:spacing w:after="0"/>
      </w:pPr>
      <w:r>
        <w:separator/>
      </w:r>
    </w:p>
  </w:endnote>
  <w:endnote w:type="continuationSeparator" w:id="0">
    <w:p w:rsidR="00493298" w:rsidRDefault="00493298">
      <w:pPr>
        <w:spacing w:after="0"/>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alibri">
    <w:panose1 w:val="020F0502020204030204"/>
    <w:charset w:val="00"/>
    <w:family w:val="swiss"/>
    <w:pitch w:val="variable"/>
    <w:sig w:usb0="E0002A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0002A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Helvetica">
    <w:panose1 w:val="020B0604020202020204"/>
    <w:charset w:val="00"/>
    <w:family w:val="swiss"/>
    <w:pitch w:val="variable"/>
    <w:sig w:usb0="E0002EFF" w:usb1="C000785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493298" w:rsidRDefault="00493298">
      <w:pPr>
        <w:spacing w:after="0"/>
      </w:pPr>
      <w:r>
        <w:rPr>
          <w:color w:val="000000"/>
        </w:rPr>
        <w:separator/>
      </w:r>
    </w:p>
  </w:footnote>
  <w:footnote w:type="continuationSeparator" w:id="0">
    <w:p w:rsidR="00493298" w:rsidRDefault="00493298">
      <w:pPr>
        <w:spacing w:after="0"/>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0C62A3" w:rsidRDefault="000C62A3">
    <w:pPr>
      <w:pStyle w:val="Header"/>
    </w:pPr>
    <w:r>
      <w:t>Abigail Maggs</w:t>
    </w:r>
    <w:r>
      <w:ptab w:relativeTo="margin" w:alignment="center" w:leader="none"/>
    </w:r>
    <w:r>
      <w:t>1800529</w:t>
    </w:r>
    <w:r>
      <w:ptab w:relativeTo="margin" w:alignment="right" w:leader="none"/>
    </w:r>
    <w:r>
      <w:t>ECAD4002C</w:t>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20"/>
  <w:proofState w:spelling="clean" w:grammar="clean"/>
  <w:defaultTabStop w:val="720"/>
  <w:autoHyphenation/>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B35247"/>
    <w:rsid w:val="000C62A3"/>
    <w:rsid w:val="003616AB"/>
    <w:rsid w:val="00493298"/>
    <w:rsid w:val="005B5A09"/>
    <w:rsid w:val="006F3A08"/>
    <w:rsid w:val="00764D8E"/>
    <w:rsid w:val="00AD17CF"/>
    <w:rsid w:val="00B35247"/>
    <w:rsid w:val="00B457B5"/>
    <w:rsid w:val="00B901FF"/>
    <w:rsid w:val="00BA4844"/>
    <w:rsid w:val="00BD3D1D"/>
    <w:rsid w:val="00CB01C6"/>
    <w:rsid w:val="00D40AEA"/>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3E951D6"/>
  <w15:docId w15:val="{6AC7B90A-6E88-4E51-9BC2-8F65F9FB33E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Calibri" w:eastAsia="Calibri" w:hAnsi="Calibri" w:cs="Times New Roman"/>
        <w:sz w:val="22"/>
        <w:szCs w:val="22"/>
        <w:lang w:val="en-GB" w:eastAsia="en-US" w:bidi="ar-SA"/>
      </w:rPr>
    </w:rPrDefault>
    <w:pPrDefault>
      <w:pPr>
        <w:autoSpaceDN w:val="0"/>
        <w:spacing w:after="160" w:line="242" w:lineRule="auto"/>
        <w:textAlignment w:val="baseline"/>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pPr>
      <w:suppressAutoHyphens/>
      <w:spacing w:line="240" w:lineRule="auto"/>
    </w:pPr>
  </w:style>
  <w:style w:type="paragraph" w:styleId="Heading1">
    <w:name w:val="heading 1"/>
    <w:basedOn w:val="Normal"/>
    <w:next w:val="Normal"/>
    <w:pPr>
      <w:keepNext/>
      <w:keepLines/>
      <w:spacing w:before="240" w:after="0"/>
      <w:outlineLvl w:val="0"/>
    </w:pPr>
    <w:rPr>
      <w:rFonts w:ascii="Calibri Light" w:eastAsia="Times New Roman" w:hAnsi="Calibri Light"/>
      <w:color w:val="2F5496"/>
      <w:sz w:val="32"/>
      <w:szCs w:val="3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pPr>
      <w:suppressAutoHyphens/>
      <w:spacing w:after="0" w:line="240" w:lineRule="auto"/>
    </w:pPr>
  </w:style>
  <w:style w:type="character" w:customStyle="1" w:styleId="Heading1Char">
    <w:name w:val="Heading 1 Char"/>
    <w:basedOn w:val="DefaultParagraphFont"/>
    <w:rPr>
      <w:rFonts w:ascii="Calibri Light" w:eastAsia="Times New Roman" w:hAnsi="Calibri Light" w:cs="Times New Roman"/>
      <w:color w:val="2F5496"/>
      <w:sz w:val="32"/>
      <w:szCs w:val="32"/>
    </w:rPr>
  </w:style>
  <w:style w:type="paragraph" w:styleId="FootnoteText">
    <w:name w:val="footnote text"/>
    <w:basedOn w:val="Normal"/>
    <w:pPr>
      <w:spacing w:after="0"/>
    </w:pPr>
    <w:rPr>
      <w:sz w:val="20"/>
      <w:szCs w:val="20"/>
    </w:rPr>
  </w:style>
  <w:style w:type="character" w:customStyle="1" w:styleId="FootnoteTextChar">
    <w:name w:val="Footnote Text Char"/>
    <w:basedOn w:val="DefaultParagraphFont"/>
    <w:rPr>
      <w:rFonts w:ascii="Calibri" w:eastAsia="Calibri" w:hAnsi="Calibri" w:cs="Times New Roman"/>
      <w:sz w:val="20"/>
      <w:szCs w:val="20"/>
    </w:rPr>
  </w:style>
  <w:style w:type="character" w:styleId="FootnoteReference">
    <w:name w:val="footnote reference"/>
    <w:basedOn w:val="DefaultParagraphFont"/>
    <w:rPr>
      <w:position w:val="0"/>
      <w:vertAlign w:val="superscript"/>
    </w:rPr>
  </w:style>
  <w:style w:type="character" w:styleId="Hyperlink">
    <w:name w:val="Hyperlink"/>
    <w:basedOn w:val="DefaultParagraphFont"/>
    <w:rPr>
      <w:color w:val="0563C1"/>
      <w:u w:val="single"/>
    </w:rPr>
  </w:style>
  <w:style w:type="character" w:styleId="UnresolvedMention">
    <w:name w:val="Unresolved Mention"/>
    <w:basedOn w:val="DefaultParagraphFont"/>
    <w:rPr>
      <w:color w:val="808080"/>
      <w:shd w:val="clear" w:color="auto" w:fill="E6E6E6"/>
    </w:rPr>
  </w:style>
  <w:style w:type="paragraph" w:styleId="Header">
    <w:name w:val="header"/>
    <w:basedOn w:val="Normal"/>
    <w:pPr>
      <w:tabs>
        <w:tab w:val="center" w:pos="4680"/>
        <w:tab w:val="right" w:pos="9360"/>
      </w:tabs>
      <w:spacing w:after="0"/>
    </w:pPr>
  </w:style>
  <w:style w:type="character" w:customStyle="1" w:styleId="HeaderChar">
    <w:name w:val="Header Char"/>
    <w:basedOn w:val="DefaultParagraphFont"/>
  </w:style>
  <w:style w:type="paragraph" w:styleId="Footer">
    <w:name w:val="footer"/>
    <w:basedOn w:val="Normal"/>
    <w:pPr>
      <w:tabs>
        <w:tab w:val="center" w:pos="4680"/>
        <w:tab w:val="right" w:pos="9360"/>
      </w:tabs>
      <w:spacing w:after="0"/>
    </w:pPr>
  </w:style>
  <w:style w:type="character" w:customStyle="1" w:styleId="FooterChar">
    <w:name w:val="Footer Char"/>
    <w:basedOn w:val="DefaultParagraphFont"/>
  </w:style>
  <w:style w:type="character" w:styleId="CommentReference">
    <w:name w:val="annotation reference"/>
    <w:basedOn w:val="DefaultParagraphFont"/>
    <w:rPr>
      <w:sz w:val="16"/>
      <w:szCs w:val="16"/>
    </w:rPr>
  </w:style>
  <w:style w:type="paragraph" w:styleId="CommentText">
    <w:name w:val="annotation text"/>
    <w:basedOn w:val="Normal"/>
    <w:rPr>
      <w:sz w:val="20"/>
      <w:szCs w:val="20"/>
    </w:rPr>
  </w:style>
  <w:style w:type="character" w:customStyle="1" w:styleId="CommentTextChar">
    <w:name w:val="Comment Text Char"/>
    <w:basedOn w:val="DefaultParagraphFont"/>
    <w:rPr>
      <w:sz w:val="20"/>
      <w:szCs w:val="20"/>
    </w:rPr>
  </w:style>
  <w:style w:type="paragraph" w:styleId="CommentSubject">
    <w:name w:val="annotation subject"/>
    <w:basedOn w:val="CommentText"/>
    <w:next w:val="CommentText"/>
    <w:rPr>
      <w:b/>
      <w:bCs/>
    </w:rPr>
  </w:style>
  <w:style w:type="character" w:customStyle="1" w:styleId="CommentSubjectChar">
    <w:name w:val="Comment Subject Char"/>
    <w:basedOn w:val="CommentTextChar"/>
    <w:rPr>
      <w:b/>
      <w:bCs/>
      <w:sz w:val="20"/>
      <w:szCs w:val="20"/>
    </w:rPr>
  </w:style>
  <w:style w:type="paragraph" w:styleId="BalloonText">
    <w:name w:val="Balloon Text"/>
    <w:basedOn w:val="Normal"/>
    <w:pPr>
      <w:spacing w:after="0"/>
    </w:pPr>
    <w:rPr>
      <w:rFonts w:ascii="Segoe UI" w:hAnsi="Segoe UI" w:cs="Segoe UI"/>
      <w:sz w:val="18"/>
      <w:szCs w:val="18"/>
    </w:rPr>
  </w:style>
  <w:style w:type="character" w:customStyle="1" w:styleId="BalloonTextChar">
    <w:name w:val="Balloon Text Char"/>
    <w:basedOn w:val="DefaultParagraphFont"/>
    <w:rPr>
      <w:rFonts w:ascii="Segoe UI" w:hAnsi="Segoe UI" w:cs="Segoe UI"/>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file>

<file path=word/_rels/document.xml.rels><?xml version="1.0" encoding="UTF-8" standalone="yes"?>
<Relationships xmlns="http://schemas.openxmlformats.org/package/2006/relationships"><Relationship Id="rId8" Type="http://schemas.openxmlformats.org/officeDocument/2006/relationships/hyperlink" Target="https://gov.wales/docs/dcells/publications/150225-successful-futures-en.pdf" TargetMode="External"/><Relationship Id="rId13" Type="http://schemas.openxmlformats.org/officeDocument/2006/relationships/theme" Target="theme/theme1.xml"/><Relationship Id="rId3" Type="http://schemas.openxmlformats.org/officeDocument/2006/relationships/webSettings" Target="webSettings.xml"/><Relationship Id="rId7" Type="http://schemas.openxmlformats.org/officeDocument/2006/relationships/hyperlink" Target="http://gov.wales/docs/caecd/research/110701athrawonbroen.pdf" TargetMode="External"/><Relationship Id="rId12" Type="http://schemas.openxmlformats.org/officeDocument/2006/relationships/fontTable" Target="fontTable.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yperlink" Target="https://ezproxy.uwtsd.ac.uk/login?url=https://search.ebscohost.com/login.asp" TargetMode="External"/><Relationship Id="rId11" Type="http://schemas.openxmlformats.org/officeDocument/2006/relationships/header" Target="header1.xml"/><Relationship Id="rId5" Type="http://schemas.openxmlformats.org/officeDocument/2006/relationships/endnotes" Target="endnotes.xml"/><Relationship Id="rId10" Type="http://schemas.openxmlformats.org/officeDocument/2006/relationships/hyperlink" Target="http://gov.wales/docs/dcells/publications/130926-review-of-welsh-second-lan-en.pdf" TargetMode="External"/><Relationship Id="rId4" Type="http://schemas.openxmlformats.org/officeDocument/2006/relationships/footnotes" Target="footnotes.xml"/><Relationship Id="rId9" Type="http://schemas.openxmlformats.org/officeDocument/2006/relationships/hyperlink" Target="https://www.estyn.gov.wales/sites/default/files/documents/An%20evaluation%20of%20"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15</TotalTime>
  <Pages>3</Pages>
  <Words>1461</Words>
  <Characters>8329</Characters>
  <Application>Microsoft Office Word</Application>
  <DocSecurity>0</DocSecurity>
  <Lines>69</Lines>
  <Paragraphs>19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9771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ABIGAIL MAGGS</dc:creator>
  <dc:description/>
  <cp:lastModifiedBy>ABIGAIL MAGGS</cp:lastModifiedBy>
  <cp:revision>6</cp:revision>
  <dcterms:created xsi:type="dcterms:W3CDTF">2018-12-05T20:23:00Z</dcterms:created>
  <dcterms:modified xsi:type="dcterms:W3CDTF">2018-12-05T21:28:00Z</dcterms:modified>
</cp:coreProperties>
</file>