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2A7E7509" w:rsidP="26DCE4FE" w:rsidRDefault="2A7E7509" w14:paraId="5E1483D6" w14:textId="02808401">
      <w:pPr>
        <w:pStyle w:val="Heading1"/>
        <w:keepNext w:val="1"/>
        <w:keepLines w:val="1"/>
        <w:rPr>
          <w:rFonts w:ascii="Aptos Display" w:hAnsi="Aptos Display" w:eastAsia="Aptos Display" w:cs="Aptos Display"/>
          <w:b w:val="1"/>
          <w:bCs w:val="1"/>
          <w:i w:val="0"/>
          <w:iCs w:val="0"/>
          <w:caps w:val="0"/>
          <w:smallCaps w:val="0"/>
          <w:noProof w:val="0"/>
          <w:color w:val="000000" w:themeColor="text1" w:themeTint="FF" w:themeShade="FF"/>
          <w:sz w:val="40"/>
          <w:szCs w:val="40"/>
          <w:lang w:val="en-GB"/>
        </w:rPr>
      </w:pPr>
      <w:r w:rsidRPr="26DCE4FE" w:rsidR="2B03E01E">
        <w:rPr>
          <w:b w:val="1"/>
          <w:bCs w:val="1"/>
          <w:noProof w:val="0"/>
          <w:color w:val="000000" w:themeColor="text1" w:themeTint="FF" w:themeShade="FF"/>
          <w:lang w:val="en-GB"/>
        </w:rPr>
        <w:t>Person-Centred Care and Partnership Working in Health and Social Care</w:t>
      </w:r>
    </w:p>
    <w:p w:rsidR="2A7E7509" w:rsidP="7F49A4B4" w:rsidRDefault="2A7E7509" w14:paraId="14086C46" w14:textId="046F0661">
      <w:pPr>
        <w:spacing w:line="360" w:lineRule="auto"/>
        <w:rPr>
          <w:rFonts w:ascii="Aptos" w:hAnsi="Aptos" w:eastAsia="Aptos" w:cs="Aptos"/>
          <w:b w:val="1"/>
          <w:bCs w:val="1"/>
          <w:i w:val="0"/>
          <w:iCs w:val="0"/>
          <w:caps w:val="0"/>
          <w:smallCaps w:val="0"/>
          <w:noProof w:val="0"/>
          <w:color w:val="000000" w:themeColor="text1" w:themeTint="FF" w:themeShade="FF"/>
          <w:sz w:val="36"/>
          <w:szCs w:val="36"/>
          <w:lang w:val="en-GB"/>
        </w:rPr>
      </w:pPr>
    </w:p>
    <w:p w:rsidR="2A7E7509" w:rsidP="7F49A4B4" w:rsidRDefault="2A7E7509" w14:paraId="1D892BA5" w14:textId="26DC6F49">
      <w:pPr>
        <w:spacing w:line="360" w:lineRule="auto"/>
        <w:rPr>
          <w:rFonts w:ascii="Aptos" w:hAnsi="Aptos" w:eastAsia="Aptos" w:cs="Aptos"/>
          <w:b w:val="0"/>
          <w:bCs w:val="0"/>
          <w:i w:val="0"/>
          <w:iCs w:val="0"/>
          <w:caps w:val="0"/>
          <w:smallCaps w:val="0"/>
          <w:noProof w:val="0"/>
          <w:color w:val="000000" w:themeColor="text1" w:themeTint="FF" w:themeShade="FF"/>
          <w:sz w:val="36"/>
          <w:szCs w:val="36"/>
          <w:lang w:val="en-GB"/>
        </w:rPr>
      </w:pPr>
      <w:r w:rsidRPr="7F49A4B4" w:rsidR="7E5AF3E9">
        <w:rPr>
          <w:rFonts w:ascii="Aptos" w:hAnsi="Aptos" w:eastAsia="Aptos" w:cs="Aptos"/>
          <w:b w:val="1"/>
          <w:bCs w:val="1"/>
          <w:i w:val="0"/>
          <w:iCs w:val="0"/>
          <w:caps w:val="0"/>
          <w:smallCaps w:val="0"/>
          <w:noProof w:val="0"/>
          <w:color w:val="000000" w:themeColor="text1" w:themeTint="FF" w:themeShade="FF"/>
          <w:sz w:val="36"/>
          <w:szCs w:val="36"/>
          <w:lang w:val="en-GB"/>
        </w:rPr>
        <w:t>By</w:t>
      </w:r>
    </w:p>
    <w:p w:rsidR="2A7E7509" w:rsidP="7F49A4B4" w:rsidRDefault="2A7E7509" w14:paraId="19EA774B" w14:textId="40421E9E">
      <w:pPr>
        <w:spacing w:line="360" w:lineRule="auto"/>
        <w:rPr>
          <w:rFonts w:ascii="Aptos" w:hAnsi="Aptos" w:eastAsia="Aptos" w:cs="Aptos"/>
          <w:b w:val="0"/>
          <w:bCs w:val="0"/>
          <w:i w:val="0"/>
          <w:iCs w:val="0"/>
          <w:caps w:val="0"/>
          <w:smallCaps w:val="0"/>
          <w:noProof w:val="0"/>
          <w:color w:val="000000" w:themeColor="text1" w:themeTint="FF" w:themeShade="FF"/>
          <w:sz w:val="36"/>
          <w:szCs w:val="36"/>
          <w:lang w:val="en-GB"/>
        </w:rPr>
      </w:pPr>
      <w:r w:rsidRPr="7F49A4B4" w:rsidR="7E5AF3E9">
        <w:rPr>
          <w:rFonts w:ascii="Aptos" w:hAnsi="Aptos" w:eastAsia="Aptos" w:cs="Aptos"/>
          <w:b w:val="1"/>
          <w:bCs w:val="1"/>
          <w:i w:val="0"/>
          <w:iCs w:val="0"/>
          <w:caps w:val="0"/>
          <w:smallCaps w:val="0"/>
          <w:noProof w:val="0"/>
          <w:color w:val="000000" w:themeColor="text1" w:themeTint="FF" w:themeShade="FF"/>
          <w:sz w:val="36"/>
          <w:szCs w:val="36"/>
          <w:lang w:val="en-GB"/>
        </w:rPr>
        <w:t>Kate Akosua Narh</w:t>
      </w:r>
    </w:p>
    <w:p w:rsidR="2A7E7509" w:rsidP="7F49A4B4" w:rsidRDefault="2A7E7509" w14:paraId="50503F17" w14:textId="7D5528F4">
      <w:pPr>
        <w:spacing w:line="360" w:lineRule="auto"/>
        <w:rPr>
          <w:rFonts w:ascii="Aptos" w:hAnsi="Aptos" w:eastAsia="Aptos" w:cs="Aptos"/>
          <w:b w:val="0"/>
          <w:bCs w:val="0"/>
          <w:i w:val="0"/>
          <w:iCs w:val="0"/>
          <w:caps w:val="0"/>
          <w:smallCaps w:val="0"/>
          <w:noProof w:val="0"/>
          <w:color w:val="000000" w:themeColor="text1" w:themeTint="FF" w:themeShade="FF"/>
          <w:sz w:val="36"/>
          <w:szCs w:val="36"/>
          <w:lang w:val="en-GB"/>
        </w:rPr>
      </w:pPr>
    </w:p>
    <w:p w:rsidR="2A7E7509" w:rsidP="7F49A4B4" w:rsidRDefault="2A7E7509" w14:paraId="5007A306" w14:textId="3C412FE7">
      <w:pPr>
        <w:spacing w:line="360" w:lineRule="auto"/>
        <w:rPr>
          <w:rFonts w:ascii="Aptos" w:hAnsi="Aptos" w:eastAsia="Aptos" w:cs="Aptos"/>
          <w:b w:val="0"/>
          <w:bCs w:val="0"/>
          <w:i w:val="0"/>
          <w:iCs w:val="0"/>
          <w:caps w:val="0"/>
          <w:smallCaps w:val="0"/>
          <w:noProof w:val="0"/>
          <w:color w:val="000000" w:themeColor="text1" w:themeTint="FF" w:themeShade="FF"/>
          <w:sz w:val="36"/>
          <w:szCs w:val="36"/>
          <w:lang w:val="en-GB"/>
        </w:rPr>
      </w:pPr>
      <w:r w:rsidRPr="7F49A4B4" w:rsidR="7E5AF3E9">
        <w:rPr>
          <w:rFonts w:ascii="Aptos" w:hAnsi="Aptos" w:eastAsia="Aptos" w:cs="Aptos"/>
          <w:b w:val="1"/>
          <w:bCs w:val="1"/>
          <w:i w:val="0"/>
          <w:iCs w:val="0"/>
          <w:caps w:val="0"/>
          <w:smallCaps w:val="0"/>
          <w:noProof w:val="0"/>
          <w:color w:val="000000" w:themeColor="text1" w:themeTint="FF" w:themeShade="FF"/>
          <w:sz w:val="36"/>
          <w:szCs w:val="36"/>
          <w:lang w:val="en-GB"/>
        </w:rPr>
        <w:t>Student ID: 2419949</w:t>
      </w:r>
    </w:p>
    <w:p w:rsidR="2A7E7509" w:rsidP="7F49A4B4" w:rsidRDefault="2A7E7509" w14:paraId="43279789" w14:textId="63F1C4ED">
      <w:pPr>
        <w:spacing w:line="360" w:lineRule="auto"/>
        <w:rPr>
          <w:rFonts w:ascii="Aptos" w:hAnsi="Aptos" w:eastAsia="Aptos" w:cs="Aptos"/>
          <w:b w:val="0"/>
          <w:bCs w:val="0"/>
          <w:i w:val="0"/>
          <w:iCs w:val="0"/>
          <w:caps w:val="0"/>
          <w:smallCaps w:val="0"/>
          <w:noProof w:val="0"/>
          <w:color w:val="000000" w:themeColor="text1" w:themeTint="FF" w:themeShade="FF"/>
          <w:sz w:val="36"/>
          <w:szCs w:val="36"/>
          <w:lang w:val="en-GB"/>
        </w:rPr>
      </w:pPr>
    </w:p>
    <w:p w:rsidR="2A7E7509" w:rsidP="7F49A4B4" w:rsidRDefault="2A7E7509" w14:paraId="6F554B8B" w14:textId="22C31444">
      <w:pPr>
        <w:spacing w:line="360" w:lineRule="auto"/>
        <w:rPr>
          <w:rFonts w:ascii="Aptos" w:hAnsi="Aptos" w:eastAsia="Aptos" w:cs="Aptos"/>
          <w:b w:val="0"/>
          <w:bCs w:val="0"/>
          <w:i w:val="0"/>
          <w:iCs w:val="0"/>
          <w:caps w:val="0"/>
          <w:smallCaps w:val="0"/>
          <w:noProof w:val="0"/>
          <w:color w:val="000000" w:themeColor="text1" w:themeTint="FF" w:themeShade="FF"/>
          <w:sz w:val="36"/>
          <w:szCs w:val="36"/>
          <w:lang w:val="en-GB"/>
        </w:rPr>
      </w:pPr>
      <w:r w:rsidRPr="7F49A4B4" w:rsidR="7E5AF3E9">
        <w:rPr>
          <w:rFonts w:ascii="Aptos" w:hAnsi="Aptos" w:eastAsia="Aptos" w:cs="Aptos"/>
          <w:b w:val="1"/>
          <w:bCs w:val="1"/>
          <w:i w:val="0"/>
          <w:iCs w:val="0"/>
          <w:caps w:val="0"/>
          <w:smallCaps w:val="0"/>
          <w:noProof w:val="0"/>
          <w:color w:val="000000" w:themeColor="text1" w:themeTint="FF" w:themeShade="FF"/>
          <w:sz w:val="36"/>
          <w:szCs w:val="36"/>
          <w:lang w:val="en-GB"/>
        </w:rPr>
        <w:t>Programme: BSc Health and Social Care</w:t>
      </w:r>
    </w:p>
    <w:p w:rsidR="2A7E7509" w:rsidP="7F49A4B4" w:rsidRDefault="2A7E7509" w14:paraId="33DFA79B" w14:textId="5C7548E6">
      <w:pPr>
        <w:spacing w:line="360" w:lineRule="auto"/>
        <w:rPr>
          <w:rFonts w:ascii="Aptos" w:hAnsi="Aptos" w:eastAsia="Aptos" w:cs="Aptos"/>
          <w:b w:val="0"/>
          <w:bCs w:val="0"/>
          <w:i w:val="0"/>
          <w:iCs w:val="0"/>
          <w:caps w:val="0"/>
          <w:smallCaps w:val="0"/>
          <w:noProof w:val="0"/>
          <w:color w:val="000000" w:themeColor="text1" w:themeTint="FF" w:themeShade="FF"/>
          <w:sz w:val="36"/>
          <w:szCs w:val="36"/>
          <w:lang w:val="en-GB"/>
        </w:rPr>
      </w:pPr>
    </w:p>
    <w:p w:rsidR="2A7E7509" w:rsidP="7F49A4B4" w:rsidRDefault="2A7E7509" w14:paraId="753F64F4" w14:textId="3DCD28E0">
      <w:pPr>
        <w:spacing w:line="360" w:lineRule="auto"/>
        <w:rPr>
          <w:rFonts w:ascii="Aptos" w:hAnsi="Aptos" w:eastAsia="Aptos" w:cs="Aptos"/>
          <w:b w:val="0"/>
          <w:bCs w:val="0"/>
          <w:i w:val="0"/>
          <w:iCs w:val="0"/>
          <w:caps w:val="0"/>
          <w:smallCaps w:val="0"/>
          <w:noProof w:val="0"/>
          <w:color w:val="000000" w:themeColor="text1" w:themeTint="FF" w:themeShade="FF"/>
          <w:sz w:val="36"/>
          <w:szCs w:val="36"/>
          <w:lang w:val="en-GB"/>
        </w:rPr>
      </w:pPr>
      <w:r w:rsidRPr="7F49A4B4" w:rsidR="7E5AF3E9">
        <w:rPr>
          <w:rFonts w:ascii="Aptos" w:hAnsi="Aptos" w:eastAsia="Aptos" w:cs="Aptos"/>
          <w:b w:val="1"/>
          <w:bCs w:val="1"/>
          <w:i w:val="0"/>
          <w:iCs w:val="0"/>
          <w:caps w:val="0"/>
          <w:smallCaps w:val="0"/>
          <w:noProof w:val="0"/>
          <w:color w:val="000000" w:themeColor="text1" w:themeTint="FF" w:themeShade="FF"/>
          <w:sz w:val="36"/>
          <w:szCs w:val="36"/>
          <w:lang w:val="en-GB"/>
        </w:rPr>
        <w:t>Module code: 5016</w:t>
      </w:r>
    </w:p>
    <w:p w:rsidR="2A7E7509" w:rsidP="7F49A4B4" w:rsidRDefault="2A7E7509" w14:paraId="32C1C743" w14:textId="2B78C8F4">
      <w:pPr>
        <w:spacing w:line="360" w:lineRule="auto"/>
        <w:rPr>
          <w:rFonts w:ascii="Aptos" w:hAnsi="Aptos" w:eastAsia="Aptos" w:cs="Aptos"/>
          <w:b w:val="0"/>
          <w:bCs w:val="0"/>
          <w:i w:val="0"/>
          <w:iCs w:val="0"/>
          <w:caps w:val="0"/>
          <w:smallCaps w:val="0"/>
          <w:noProof w:val="0"/>
          <w:color w:val="000000" w:themeColor="text1" w:themeTint="FF" w:themeShade="FF"/>
          <w:sz w:val="36"/>
          <w:szCs w:val="36"/>
          <w:lang w:val="en-GB"/>
        </w:rPr>
      </w:pPr>
    </w:p>
    <w:p w:rsidR="2A7E7509" w:rsidP="7F49A4B4" w:rsidRDefault="2A7E7509" w14:paraId="76C0F974" w14:textId="3AD64167">
      <w:pPr>
        <w:spacing w:line="360" w:lineRule="auto"/>
        <w:rPr>
          <w:rFonts w:ascii="Aptos" w:hAnsi="Aptos" w:eastAsia="Aptos" w:cs="Aptos"/>
          <w:b w:val="0"/>
          <w:bCs w:val="0"/>
          <w:i w:val="0"/>
          <w:iCs w:val="0"/>
          <w:caps w:val="0"/>
          <w:smallCaps w:val="0"/>
          <w:noProof w:val="0"/>
          <w:color w:val="000000" w:themeColor="text1" w:themeTint="FF" w:themeShade="FF"/>
          <w:sz w:val="36"/>
          <w:szCs w:val="36"/>
          <w:lang w:val="en-GB"/>
        </w:rPr>
      </w:pPr>
      <w:r w:rsidRPr="7F49A4B4" w:rsidR="7E5AF3E9">
        <w:rPr>
          <w:rFonts w:ascii="Aptos" w:hAnsi="Aptos" w:eastAsia="Aptos" w:cs="Aptos"/>
          <w:b w:val="1"/>
          <w:bCs w:val="1"/>
          <w:i w:val="0"/>
          <w:iCs w:val="0"/>
          <w:caps w:val="0"/>
          <w:smallCaps w:val="0"/>
          <w:noProof w:val="0"/>
          <w:color w:val="000000" w:themeColor="text1" w:themeTint="FF" w:themeShade="FF"/>
          <w:sz w:val="36"/>
          <w:szCs w:val="36"/>
          <w:lang w:val="en-GB"/>
        </w:rPr>
        <w:t>Word Count: 2000 words (Essay)</w:t>
      </w:r>
    </w:p>
    <w:p w:rsidR="2A7E7509" w:rsidP="7F49A4B4" w:rsidRDefault="2A7E7509" w14:paraId="027CF1B3" w14:textId="75D588E4">
      <w:pPr>
        <w:spacing w:line="360" w:lineRule="auto"/>
        <w:rPr>
          <w:rFonts w:ascii="Aptos" w:hAnsi="Aptos" w:eastAsia="Aptos" w:cs="Aptos"/>
          <w:b w:val="0"/>
          <w:bCs w:val="0"/>
          <w:i w:val="0"/>
          <w:iCs w:val="0"/>
          <w:caps w:val="0"/>
          <w:smallCaps w:val="0"/>
          <w:noProof w:val="0"/>
          <w:color w:val="000000" w:themeColor="text1" w:themeTint="FF" w:themeShade="FF"/>
          <w:sz w:val="36"/>
          <w:szCs w:val="36"/>
          <w:lang w:val="en-GB"/>
        </w:rPr>
      </w:pPr>
    </w:p>
    <w:p w:rsidR="2A7E7509" w:rsidP="7F49A4B4" w:rsidRDefault="2A7E7509" w14:paraId="63BBD77F" w14:textId="02AE1430">
      <w:pPr>
        <w:spacing w:line="360" w:lineRule="auto"/>
        <w:rPr>
          <w:rFonts w:ascii="Aptos" w:hAnsi="Aptos" w:eastAsia="Aptos" w:cs="Aptos"/>
          <w:b w:val="0"/>
          <w:bCs w:val="0"/>
          <w:i w:val="0"/>
          <w:iCs w:val="0"/>
          <w:caps w:val="0"/>
          <w:smallCaps w:val="0"/>
          <w:noProof w:val="0"/>
          <w:color w:val="000000" w:themeColor="text1" w:themeTint="FF" w:themeShade="FF"/>
          <w:sz w:val="36"/>
          <w:szCs w:val="36"/>
          <w:lang w:val="en-GB"/>
        </w:rPr>
      </w:pPr>
      <w:r w:rsidRPr="7F49A4B4" w:rsidR="7E5AF3E9">
        <w:rPr>
          <w:rFonts w:ascii="Aptos" w:hAnsi="Aptos" w:eastAsia="Aptos" w:cs="Aptos"/>
          <w:b w:val="1"/>
          <w:bCs w:val="1"/>
          <w:i w:val="0"/>
          <w:iCs w:val="0"/>
          <w:caps w:val="0"/>
          <w:smallCaps w:val="0"/>
          <w:noProof w:val="0"/>
          <w:color w:val="000000" w:themeColor="text1" w:themeTint="FF" w:themeShade="FF"/>
          <w:sz w:val="36"/>
          <w:szCs w:val="36"/>
          <w:lang w:val="en-GB"/>
        </w:rPr>
        <w:t xml:space="preserve">Lecturer: Dr. </w:t>
      </w:r>
      <w:r w:rsidRPr="7F49A4B4" w:rsidR="7E5AF3E9">
        <w:rPr>
          <w:rFonts w:ascii="Aptos" w:hAnsi="Aptos" w:eastAsia="Aptos" w:cs="Aptos"/>
          <w:b w:val="1"/>
          <w:bCs w:val="1"/>
          <w:i w:val="0"/>
          <w:iCs w:val="0"/>
          <w:caps w:val="0"/>
          <w:smallCaps w:val="0"/>
          <w:noProof w:val="0"/>
          <w:color w:val="000000" w:themeColor="text1" w:themeTint="FF" w:themeShade="FF"/>
          <w:sz w:val="36"/>
          <w:szCs w:val="36"/>
          <w:lang w:val="en-GB"/>
        </w:rPr>
        <w:t>Tsiwani</w:t>
      </w:r>
      <w:r w:rsidRPr="7F49A4B4" w:rsidR="7E5AF3E9">
        <w:rPr>
          <w:rFonts w:ascii="Aptos" w:hAnsi="Aptos" w:eastAsia="Aptos" w:cs="Aptos"/>
          <w:b w:val="1"/>
          <w:bCs w:val="1"/>
          <w:i w:val="0"/>
          <w:iCs w:val="0"/>
          <w:caps w:val="0"/>
          <w:smallCaps w:val="0"/>
          <w:noProof w:val="0"/>
          <w:color w:val="000000" w:themeColor="text1" w:themeTint="FF" w:themeShade="FF"/>
          <w:sz w:val="36"/>
          <w:szCs w:val="36"/>
          <w:lang w:val="en-GB"/>
        </w:rPr>
        <w:t xml:space="preserve"> Khumalo</w:t>
      </w:r>
    </w:p>
    <w:p w:rsidR="2A7E7509" w:rsidP="7F49A4B4" w:rsidRDefault="2A7E7509" w14:paraId="4B7151A2" w14:textId="7455C210">
      <w:pPr>
        <w:spacing w:line="360" w:lineRule="auto"/>
        <w:rPr>
          <w:rFonts w:ascii="Aptos" w:hAnsi="Aptos" w:eastAsia="Aptos" w:cs="Aptos"/>
          <w:b w:val="0"/>
          <w:bCs w:val="0"/>
          <w:i w:val="0"/>
          <w:iCs w:val="0"/>
          <w:caps w:val="0"/>
          <w:smallCaps w:val="0"/>
          <w:noProof w:val="0"/>
          <w:color w:val="000000" w:themeColor="text1" w:themeTint="FF" w:themeShade="FF"/>
          <w:sz w:val="36"/>
          <w:szCs w:val="36"/>
          <w:lang w:val="en-GB"/>
        </w:rPr>
      </w:pPr>
    </w:p>
    <w:p w:rsidR="2A7E7509" w:rsidP="654CF6E3" w:rsidRDefault="2A7E7509" w14:paraId="2975F26E" w14:textId="3A326701">
      <w:pPr>
        <w:rPr>
          <w:rFonts w:ascii="Aptos" w:hAnsi="Aptos" w:eastAsia="Aptos" w:cs="Aptos"/>
          <w:b w:val="0"/>
          <w:bCs w:val="0"/>
          <w:i w:val="0"/>
          <w:iCs w:val="0"/>
          <w:caps w:val="0"/>
          <w:smallCaps w:val="0"/>
          <w:noProof w:val="0"/>
          <w:color w:val="000000" w:themeColor="text1" w:themeTint="FF" w:themeShade="FF"/>
          <w:sz w:val="36"/>
          <w:szCs w:val="36"/>
          <w:lang w:val="en-GB"/>
        </w:rPr>
      </w:pPr>
      <w:r w:rsidRPr="26DCE4FE" w:rsidR="7E5AF3E9">
        <w:rPr>
          <w:rFonts w:ascii="Aptos" w:hAnsi="Aptos" w:eastAsia="Aptos" w:cs="Aptos"/>
          <w:b w:val="1"/>
          <w:bCs w:val="1"/>
          <w:i w:val="0"/>
          <w:iCs w:val="0"/>
          <w:caps w:val="0"/>
          <w:smallCaps w:val="0"/>
          <w:noProof w:val="0"/>
          <w:color w:val="000000" w:themeColor="text1" w:themeTint="FF" w:themeShade="FF"/>
          <w:sz w:val="36"/>
          <w:szCs w:val="36"/>
          <w:lang w:val="en-GB"/>
        </w:rPr>
        <w:t>Submission date: 29</w:t>
      </w:r>
      <w:r w:rsidRPr="26DCE4FE" w:rsidR="7E5AF3E9">
        <w:rPr>
          <w:rFonts w:ascii="Aptos" w:hAnsi="Aptos" w:eastAsia="Aptos" w:cs="Aptos"/>
          <w:b w:val="1"/>
          <w:bCs w:val="1"/>
          <w:i w:val="0"/>
          <w:iCs w:val="0"/>
          <w:caps w:val="0"/>
          <w:smallCaps w:val="0"/>
          <w:noProof w:val="0"/>
          <w:color w:val="000000" w:themeColor="text1" w:themeTint="FF" w:themeShade="FF"/>
          <w:sz w:val="36"/>
          <w:szCs w:val="36"/>
          <w:vertAlign w:val="superscript"/>
          <w:lang w:val="en-GB"/>
        </w:rPr>
        <w:t>th</w:t>
      </w:r>
      <w:r w:rsidRPr="26DCE4FE" w:rsidR="7E5AF3E9">
        <w:rPr>
          <w:rFonts w:ascii="Aptos" w:hAnsi="Aptos" w:eastAsia="Aptos" w:cs="Aptos"/>
          <w:b w:val="1"/>
          <w:bCs w:val="1"/>
          <w:i w:val="0"/>
          <w:iCs w:val="0"/>
          <w:caps w:val="0"/>
          <w:smallCaps w:val="0"/>
          <w:noProof w:val="0"/>
          <w:color w:val="000000" w:themeColor="text1" w:themeTint="FF" w:themeShade="FF"/>
          <w:sz w:val="36"/>
          <w:szCs w:val="36"/>
          <w:lang w:val="en-GB"/>
        </w:rPr>
        <w:t xml:space="preserve"> March 2026</w:t>
      </w:r>
    </w:p>
    <w:p w:rsidR="31E3D08A" w:rsidP="3B0B5FB8" w:rsidRDefault="31E3D08A" w14:paraId="21F80011" w14:noSpellErr="1" w14:textId="5908A695">
      <w:pPr>
        <w:rPr>
          <w:rFonts w:ascii="Aptos" w:hAnsi="Aptos" w:eastAsia="Aptos" w:cs="Aptos"/>
          <w:b w:val="1"/>
          <w:bCs w:val="1"/>
          <w:i w:val="0"/>
          <w:iCs w:val="0"/>
          <w:caps w:val="0"/>
          <w:smallCaps w:val="0"/>
          <w:noProof w:val="0"/>
          <w:color w:val="000000" w:themeColor="text1" w:themeTint="FF" w:themeShade="FF"/>
          <w:sz w:val="36"/>
          <w:szCs w:val="36"/>
          <w:lang w:val="en-GB"/>
        </w:rPr>
      </w:pPr>
    </w:p>
    <w:p w:rsidR="2A7E7509" w:rsidP="26DCE4FE" w:rsidRDefault="2A7E7509" w14:paraId="560FF820" w14:textId="48EBD0D1">
      <w:pPr>
        <w:pStyle w:val="Heading1"/>
        <w:rPr>
          <w:b w:val="1"/>
          <w:bCs w:val="1"/>
          <w:noProof w:val="0"/>
          <w:color w:val="000000" w:themeColor="text1" w:themeTint="FF" w:themeShade="FF"/>
          <w:lang w:val="en-GB"/>
        </w:rPr>
      </w:pPr>
      <w:r w:rsidRPr="26DCE4FE" w:rsidR="117EB35F">
        <w:rPr>
          <w:b w:val="1"/>
          <w:bCs w:val="1"/>
          <w:noProof w:val="0"/>
          <w:color w:val="000000" w:themeColor="text1" w:themeTint="FF" w:themeShade="FF"/>
          <w:lang w:val="en-GB"/>
        </w:rPr>
        <w:t>Table of content</w:t>
      </w:r>
    </w:p>
    <w:p w:rsidR="117EB35F" w:rsidP="26DCE4FE" w:rsidRDefault="117EB35F" w14:paraId="45A05FCC" w14:textId="2248314E">
      <w:pPr>
        <w:pStyle w:val="Normal"/>
        <w:spacing w:line="360" w:lineRule="auto"/>
        <w:jc w:val="both"/>
        <w:rPr>
          <w:noProof w:val="0"/>
          <w:sz w:val="22"/>
          <w:szCs w:val="22"/>
          <w:lang w:val="en-GB"/>
        </w:rPr>
      </w:pPr>
      <w:r w:rsidRPr="26DCE4FE" w:rsidR="117EB35F">
        <w:rPr>
          <w:noProof w:val="0"/>
          <w:sz w:val="22"/>
          <w:szCs w:val="22"/>
          <w:lang w:val="en-GB"/>
        </w:rPr>
        <w:t>Abstract...................................................................................................................</w:t>
      </w:r>
      <w:r w:rsidRPr="26DCE4FE" w:rsidR="1BAC9118">
        <w:rPr>
          <w:noProof w:val="0"/>
          <w:sz w:val="22"/>
          <w:szCs w:val="22"/>
          <w:lang w:val="en-GB"/>
        </w:rPr>
        <w:t>...3</w:t>
      </w:r>
    </w:p>
    <w:p w:rsidR="7B78C42B" w:rsidP="26DCE4FE" w:rsidRDefault="7B78C42B" w14:paraId="1CEE9BB9" w14:textId="0A07D127">
      <w:pPr>
        <w:pStyle w:val="Normal"/>
        <w:spacing w:line="360" w:lineRule="auto"/>
        <w:jc w:val="both"/>
      </w:pPr>
      <w:r w:rsidRPr="26DCE4FE" w:rsidR="7B78C42B">
        <w:rPr>
          <w:rFonts w:ascii="Arial" w:hAnsi="Arial" w:eastAsia="Arial" w:cs="Arial"/>
          <w:noProof w:val="0"/>
          <w:sz w:val="22"/>
          <w:szCs w:val="22"/>
          <w:lang w:val="en-GB"/>
        </w:rPr>
        <w:t>Introduction ............................................................................................................... 3-4</w:t>
      </w:r>
    </w:p>
    <w:p w:rsidR="117EB35F" w:rsidP="26DCE4FE" w:rsidRDefault="117EB35F" w14:paraId="4E4AEF54" w14:textId="665849A4">
      <w:pPr>
        <w:pStyle w:val="Normal"/>
        <w:spacing w:line="360" w:lineRule="auto"/>
        <w:jc w:val="both"/>
        <w:rPr>
          <w:noProof w:val="0"/>
          <w:sz w:val="22"/>
          <w:szCs w:val="22"/>
          <w:lang w:val="en-GB"/>
        </w:rPr>
      </w:pPr>
      <w:r w:rsidRPr="26DCE4FE" w:rsidR="117EB35F">
        <w:rPr>
          <w:noProof w:val="0"/>
          <w:sz w:val="22"/>
          <w:szCs w:val="22"/>
          <w:lang w:val="en-GB"/>
        </w:rPr>
        <w:t>Person</w:t>
      </w:r>
      <w:r w:rsidRPr="26DCE4FE" w:rsidR="342C17E4">
        <w:rPr>
          <w:rFonts w:ascii="Arial" w:hAnsi="Arial" w:eastAsia="Arial" w:cs="Arial"/>
          <w:noProof w:val="0"/>
          <w:sz w:val="22"/>
          <w:szCs w:val="22"/>
          <w:lang w:val="en-GB"/>
        </w:rPr>
        <w:t>-centred</w:t>
      </w:r>
      <w:r w:rsidRPr="26DCE4FE" w:rsidR="117EB35F">
        <w:rPr>
          <w:noProof w:val="0"/>
          <w:sz w:val="22"/>
          <w:szCs w:val="22"/>
          <w:lang w:val="en-GB"/>
        </w:rPr>
        <w:t xml:space="preserve"> care: </w:t>
      </w:r>
      <w:r w:rsidRPr="26DCE4FE" w:rsidR="5D51F084">
        <w:rPr>
          <w:rFonts w:ascii="Arial" w:hAnsi="Arial" w:eastAsia="Arial" w:cs="Arial"/>
          <w:noProof w:val="0"/>
          <w:sz w:val="22"/>
          <w:szCs w:val="22"/>
          <w:lang w:val="en-GB"/>
        </w:rPr>
        <w:t>definition,</w:t>
      </w:r>
      <w:r w:rsidRPr="26DCE4FE" w:rsidR="117EB35F">
        <w:rPr>
          <w:noProof w:val="0"/>
          <w:sz w:val="22"/>
          <w:szCs w:val="22"/>
          <w:lang w:val="en-GB"/>
        </w:rPr>
        <w:t xml:space="preserve"> </w:t>
      </w:r>
      <w:r w:rsidRPr="26DCE4FE" w:rsidR="117EB35F">
        <w:rPr>
          <w:noProof w:val="0"/>
          <w:sz w:val="22"/>
          <w:szCs w:val="22"/>
          <w:lang w:val="en-GB"/>
        </w:rPr>
        <w:t>significance</w:t>
      </w:r>
      <w:r w:rsidRPr="26DCE4FE" w:rsidR="117EB35F">
        <w:rPr>
          <w:noProof w:val="0"/>
          <w:sz w:val="22"/>
          <w:szCs w:val="22"/>
          <w:lang w:val="en-GB"/>
        </w:rPr>
        <w:t xml:space="preserve"> and </w:t>
      </w:r>
      <w:r w:rsidRPr="26DCE4FE" w:rsidR="33D15D38">
        <w:rPr>
          <w:rFonts w:ascii="Arial" w:hAnsi="Arial" w:eastAsia="Arial" w:cs="Arial"/>
          <w:noProof w:val="0"/>
          <w:sz w:val="22"/>
          <w:szCs w:val="22"/>
          <w:lang w:val="en-GB"/>
        </w:rPr>
        <w:t>limitations...................................</w:t>
      </w:r>
      <w:r w:rsidRPr="26DCE4FE" w:rsidR="55B98FCA">
        <w:rPr>
          <w:rFonts w:ascii="Arial" w:hAnsi="Arial" w:eastAsia="Arial" w:cs="Arial"/>
          <w:noProof w:val="0"/>
          <w:sz w:val="22"/>
          <w:szCs w:val="22"/>
          <w:lang w:val="en-GB"/>
        </w:rPr>
        <w:t>..</w:t>
      </w:r>
      <w:r w:rsidRPr="26DCE4FE" w:rsidR="33D15D38">
        <w:rPr>
          <w:rFonts w:ascii="Arial" w:hAnsi="Arial" w:eastAsia="Arial" w:cs="Arial"/>
          <w:noProof w:val="0"/>
          <w:sz w:val="22"/>
          <w:szCs w:val="22"/>
          <w:lang w:val="en-GB"/>
        </w:rPr>
        <w:t>4-5</w:t>
      </w:r>
    </w:p>
    <w:p w:rsidR="5F3E18F0" w:rsidP="26DCE4FE" w:rsidRDefault="5F3E18F0" w14:paraId="26B7B13C" w14:textId="1AA660AC">
      <w:pPr>
        <w:pStyle w:val="Normal"/>
        <w:spacing w:line="360" w:lineRule="auto"/>
        <w:jc w:val="both"/>
        <w:rPr>
          <w:noProof w:val="0"/>
          <w:sz w:val="22"/>
          <w:szCs w:val="22"/>
          <w:lang w:val="en-GB"/>
        </w:rPr>
      </w:pPr>
      <w:r w:rsidRPr="26DCE4FE" w:rsidR="5F3E18F0">
        <w:rPr>
          <w:noProof w:val="0"/>
          <w:sz w:val="22"/>
          <w:szCs w:val="22"/>
          <w:lang w:val="en-GB"/>
        </w:rPr>
        <w:t>Relevant Theories Supporting Person</w:t>
      </w:r>
      <w:r w:rsidRPr="26DCE4FE" w:rsidR="636C9F82">
        <w:rPr>
          <w:rFonts w:ascii="Arial" w:hAnsi="Arial" w:eastAsia="Arial" w:cs="Arial"/>
          <w:noProof w:val="0"/>
          <w:sz w:val="22"/>
          <w:szCs w:val="22"/>
          <w:lang w:val="en-GB"/>
        </w:rPr>
        <w:t xml:space="preserve"> -Centred Care................................................5</w:t>
      </w:r>
    </w:p>
    <w:p w:rsidR="5F3E18F0" w:rsidP="26DCE4FE" w:rsidRDefault="5F3E18F0" w14:paraId="12C47C80" w14:textId="7CF0865E">
      <w:pPr>
        <w:pStyle w:val="Normal"/>
        <w:spacing w:line="360" w:lineRule="auto"/>
        <w:jc w:val="both"/>
        <w:rPr>
          <w:noProof w:val="0"/>
          <w:sz w:val="22"/>
          <w:szCs w:val="22"/>
          <w:lang w:val="en-GB"/>
        </w:rPr>
      </w:pPr>
      <w:r w:rsidRPr="26DCE4FE" w:rsidR="5F3E18F0">
        <w:rPr>
          <w:noProof w:val="0"/>
          <w:sz w:val="22"/>
          <w:szCs w:val="22"/>
          <w:lang w:val="en-GB"/>
        </w:rPr>
        <w:t>Ethical fundamentals of Health and social care</w:t>
      </w:r>
      <w:r w:rsidRPr="26DCE4FE" w:rsidR="513CA4D0">
        <w:rPr>
          <w:noProof w:val="0"/>
          <w:sz w:val="22"/>
          <w:szCs w:val="22"/>
          <w:lang w:val="en-GB"/>
        </w:rPr>
        <w:t>....................................................</w:t>
      </w:r>
      <w:r w:rsidRPr="26DCE4FE" w:rsidR="1B6E034C">
        <w:rPr>
          <w:noProof w:val="0"/>
          <w:sz w:val="22"/>
          <w:szCs w:val="22"/>
          <w:lang w:val="en-GB"/>
        </w:rPr>
        <w:t>......6</w:t>
      </w:r>
    </w:p>
    <w:p w:rsidR="513CA4D0" w:rsidP="26DCE4FE" w:rsidRDefault="513CA4D0" w14:paraId="03AE8086" w14:textId="35E60D09">
      <w:pPr>
        <w:pStyle w:val="Normal"/>
        <w:spacing w:line="360" w:lineRule="auto"/>
        <w:jc w:val="both"/>
        <w:rPr>
          <w:noProof w:val="0"/>
          <w:sz w:val="22"/>
          <w:szCs w:val="22"/>
          <w:lang w:val="en-GB"/>
        </w:rPr>
      </w:pPr>
      <w:r w:rsidRPr="26DCE4FE" w:rsidR="513CA4D0">
        <w:rPr>
          <w:noProof w:val="0"/>
          <w:sz w:val="22"/>
          <w:szCs w:val="22"/>
          <w:lang w:val="en-GB"/>
        </w:rPr>
        <w:t>An</w:t>
      </w:r>
      <w:r w:rsidRPr="26DCE4FE" w:rsidR="13DEC6F2">
        <w:rPr>
          <w:noProof w:val="0"/>
          <w:sz w:val="22"/>
          <w:szCs w:val="22"/>
          <w:lang w:val="en-GB"/>
        </w:rPr>
        <w:t xml:space="preserve"> </w:t>
      </w:r>
      <w:r w:rsidRPr="26DCE4FE" w:rsidR="513CA4D0">
        <w:rPr>
          <w:noProof w:val="0"/>
          <w:sz w:val="22"/>
          <w:szCs w:val="22"/>
          <w:lang w:val="en-GB"/>
        </w:rPr>
        <w:t>evaluation of partnership working in Health and social care:</w:t>
      </w:r>
      <w:r w:rsidRPr="26DCE4FE" w:rsidR="67194CCD">
        <w:rPr>
          <w:noProof w:val="0"/>
          <w:sz w:val="22"/>
          <w:szCs w:val="22"/>
          <w:lang w:val="en-GB"/>
        </w:rPr>
        <w:t xml:space="preserve"> </w:t>
      </w:r>
      <w:r w:rsidRPr="26DCE4FE" w:rsidR="513CA4D0">
        <w:rPr>
          <w:noProof w:val="0"/>
          <w:sz w:val="22"/>
          <w:szCs w:val="22"/>
          <w:lang w:val="en-GB"/>
        </w:rPr>
        <w:t>benefits and limitations</w:t>
      </w:r>
      <w:r w:rsidRPr="26DCE4FE" w:rsidR="3035D3AB">
        <w:rPr>
          <w:noProof w:val="0"/>
          <w:sz w:val="22"/>
          <w:szCs w:val="22"/>
          <w:lang w:val="en-GB"/>
        </w:rPr>
        <w:t>....................................................................................................................</w:t>
      </w:r>
      <w:r w:rsidRPr="26DCE4FE" w:rsidR="7E458122">
        <w:rPr>
          <w:noProof w:val="0"/>
          <w:sz w:val="22"/>
          <w:szCs w:val="22"/>
          <w:lang w:val="en-GB"/>
        </w:rPr>
        <w:t>..7</w:t>
      </w:r>
    </w:p>
    <w:p w:rsidR="3035D3AB" w:rsidP="26DCE4FE" w:rsidRDefault="3035D3AB" w14:paraId="24ADA364" w14:textId="0F183273">
      <w:pPr>
        <w:pStyle w:val="Normal"/>
        <w:spacing w:line="360" w:lineRule="auto"/>
        <w:jc w:val="both"/>
        <w:rPr>
          <w:noProof w:val="0"/>
          <w:sz w:val="22"/>
          <w:szCs w:val="22"/>
          <w:lang w:val="en-GB"/>
        </w:rPr>
      </w:pPr>
      <w:r w:rsidRPr="26DCE4FE" w:rsidR="3035D3AB">
        <w:rPr>
          <w:noProof w:val="0"/>
          <w:sz w:val="22"/>
          <w:szCs w:val="22"/>
          <w:lang w:val="en-GB"/>
        </w:rPr>
        <w:t xml:space="preserve">Policy and legislation supporting </w:t>
      </w:r>
      <w:r w:rsidRPr="26DCE4FE" w:rsidR="0E3EC91E">
        <w:rPr>
          <w:rFonts w:ascii="Arial" w:hAnsi="Arial" w:eastAsia="Arial" w:cs="Arial"/>
          <w:noProof w:val="0"/>
          <w:sz w:val="22"/>
          <w:szCs w:val="22"/>
          <w:lang w:val="en-GB"/>
        </w:rPr>
        <w:t>PCC</w:t>
      </w:r>
      <w:r w:rsidRPr="26DCE4FE" w:rsidR="3035D3AB">
        <w:rPr>
          <w:noProof w:val="0"/>
          <w:sz w:val="22"/>
          <w:szCs w:val="22"/>
          <w:lang w:val="en-GB"/>
        </w:rPr>
        <w:t xml:space="preserve"> and partnership working........................</w:t>
      </w:r>
      <w:r w:rsidRPr="26DCE4FE" w:rsidR="30898B74">
        <w:rPr>
          <w:noProof w:val="0"/>
          <w:sz w:val="22"/>
          <w:szCs w:val="22"/>
          <w:lang w:val="en-GB"/>
        </w:rPr>
        <w:t>.........8</w:t>
      </w:r>
    </w:p>
    <w:p w:rsidR="3035D3AB" w:rsidP="26DCE4FE" w:rsidRDefault="3035D3AB" w14:paraId="3283A9F8" w14:textId="7C1FCE34">
      <w:pPr>
        <w:pStyle w:val="Normal"/>
        <w:spacing w:line="360" w:lineRule="auto"/>
        <w:jc w:val="both"/>
        <w:rPr>
          <w:noProof w:val="0"/>
          <w:sz w:val="22"/>
          <w:szCs w:val="22"/>
          <w:lang w:val="en-GB"/>
        </w:rPr>
      </w:pPr>
      <w:r w:rsidRPr="26DCE4FE" w:rsidR="3035D3AB">
        <w:rPr>
          <w:noProof w:val="0"/>
          <w:sz w:val="22"/>
          <w:szCs w:val="22"/>
          <w:lang w:val="en-GB"/>
        </w:rPr>
        <w:t>Conclusion...................................................................................................</w:t>
      </w:r>
      <w:r w:rsidRPr="26DCE4FE" w:rsidR="33815513">
        <w:rPr>
          <w:noProof w:val="0"/>
          <w:sz w:val="22"/>
          <w:szCs w:val="22"/>
          <w:lang w:val="en-GB"/>
        </w:rPr>
        <w:t>.................8-9</w:t>
      </w:r>
    </w:p>
    <w:p w:rsidR="3035D3AB" w:rsidP="26DCE4FE" w:rsidRDefault="3035D3AB" w14:paraId="34601CA1" w14:textId="3A3EFBA2">
      <w:pPr>
        <w:pStyle w:val="Normal"/>
        <w:spacing w:line="360" w:lineRule="auto"/>
        <w:jc w:val="both"/>
        <w:rPr>
          <w:noProof w:val="0"/>
          <w:sz w:val="22"/>
          <w:szCs w:val="22"/>
          <w:lang w:val="pt-BR"/>
        </w:rPr>
      </w:pPr>
      <w:r w:rsidRPr="26DCE4FE" w:rsidR="3035D3AB">
        <w:rPr>
          <w:noProof w:val="0"/>
          <w:sz w:val="22"/>
          <w:szCs w:val="22"/>
          <w:lang w:val="pt-BR"/>
        </w:rPr>
        <w:t>Recommendations</w:t>
      </w:r>
      <w:r w:rsidRPr="26DCE4FE" w:rsidR="3035D3AB">
        <w:rPr>
          <w:noProof w:val="0"/>
          <w:sz w:val="22"/>
          <w:szCs w:val="22"/>
          <w:lang w:val="pt-BR"/>
        </w:rPr>
        <w:t>..........................................................................................</w:t>
      </w:r>
      <w:r w:rsidRPr="26DCE4FE" w:rsidR="6DEED01D">
        <w:rPr>
          <w:noProof w:val="0"/>
          <w:sz w:val="22"/>
          <w:szCs w:val="22"/>
          <w:lang w:val="pt-BR"/>
        </w:rPr>
        <w:t>.............</w:t>
      </w:r>
      <w:r w:rsidRPr="26DCE4FE" w:rsidR="3B969D81">
        <w:rPr>
          <w:noProof w:val="0"/>
          <w:sz w:val="22"/>
          <w:szCs w:val="22"/>
          <w:lang w:val="pt-BR"/>
        </w:rPr>
        <w:t>..9</w:t>
      </w:r>
    </w:p>
    <w:p w:rsidR="3B969D81" w:rsidP="26DCE4FE" w:rsidRDefault="3B969D81" w14:paraId="190D854D" w14:textId="0EC3F8E0">
      <w:pPr>
        <w:pStyle w:val="Normal"/>
        <w:spacing w:line="360" w:lineRule="auto"/>
        <w:jc w:val="both"/>
      </w:pPr>
      <w:r w:rsidRPr="26DCE4FE" w:rsidR="3B969D81">
        <w:rPr>
          <w:rFonts w:ascii="Arial" w:hAnsi="Arial" w:eastAsia="Arial" w:cs="Arial"/>
          <w:noProof w:val="0"/>
          <w:sz w:val="22"/>
          <w:szCs w:val="22"/>
          <w:lang w:val="en-US"/>
        </w:rPr>
        <w:t>References ...................................................................................................................10-11</w:t>
      </w:r>
    </w:p>
    <w:p w:rsidR="26DCE4FE" w:rsidP="26DCE4FE" w:rsidRDefault="26DCE4FE" w14:paraId="29656334" w14:textId="200EABEB">
      <w:pPr>
        <w:pStyle w:val="Normal"/>
        <w:spacing w:line="360" w:lineRule="auto"/>
        <w:jc w:val="both"/>
        <w:rPr>
          <w:noProof w:val="0"/>
          <w:lang w:val="en-GB"/>
        </w:rPr>
      </w:pPr>
    </w:p>
    <w:p w:rsidR="2A7E7509" w:rsidP="2A7E7509" w:rsidRDefault="2A7E7509" w14:paraId="4AC6D254" w14:textId="37BAE6E2">
      <w:pPr>
        <w:pStyle w:val="Heading1"/>
        <w:rPr>
          <w:b w:val="1"/>
          <w:bCs w:val="1"/>
          <w:noProof w:val="0"/>
          <w:color w:val="0D0D0D" w:themeColor="text1" w:themeTint="F2" w:themeShade="FF"/>
          <w:lang w:val="en-GB"/>
        </w:rPr>
      </w:pPr>
    </w:p>
    <w:p w:rsidR="2A7E7509" w:rsidP="2A7E7509" w:rsidRDefault="2A7E7509" w14:paraId="5EDBCE50" w14:textId="11CD1A07">
      <w:pPr>
        <w:pStyle w:val="Heading1"/>
        <w:rPr>
          <w:b w:val="1"/>
          <w:bCs w:val="1"/>
          <w:noProof w:val="0"/>
          <w:color w:val="0D0D0D" w:themeColor="text1" w:themeTint="F2" w:themeShade="FF"/>
          <w:lang w:val="en-GB"/>
        </w:rPr>
      </w:pPr>
    </w:p>
    <w:p w:rsidR="2A7E7509" w:rsidP="2A7E7509" w:rsidRDefault="2A7E7509" w14:paraId="7D6195DE" w14:textId="0C9F031E">
      <w:pPr>
        <w:pStyle w:val="Heading1"/>
        <w:rPr>
          <w:b w:val="1"/>
          <w:bCs w:val="1"/>
          <w:noProof w:val="0"/>
          <w:color w:val="0D0D0D" w:themeColor="text1" w:themeTint="F2" w:themeShade="FF"/>
          <w:lang w:val="en-GB"/>
        </w:rPr>
      </w:pPr>
    </w:p>
    <w:p w:rsidR="2A7E7509" w:rsidP="2A7E7509" w:rsidRDefault="2A7E7509" w14:paraId="77AEEFBA" w14:textId="0949B8B3">
      <w:pPr>
        <w:pStyle w:val="Heading1"/>
        <w:rPr>
          <w:b w:val="1"/>
          <w:bCs w:val="1"/>
          <w:noProof w:val="0"/>
          <w:color w:val="0D0D0D" w:themeColor="text1" w:themeTint="F2" w:themeShade="FF"/>
          <w:lang w:val="en-GB"/>
        </w:rPr>
      </w:pPr>
    </w:p>
    <w:p w:rsidR="2A7E7509" w:rsidP="26DCE4FE" w:rsidRDefault="2A7E7509" w14:paraId="3ACAB8BE" w14:textId="79357857">
      <w:pPr>
        <w:pStyle w:val="Normal"/>
        <w:rPr>
          <w:noProof w:val="0"/>
          <w:lang w:val="en-GB"/>
        </w:rPr>
      </w:pPr>
    </w:p>
    <w:p w:rsidR="2A7E7509" w:rsidP="2A7E7509" w:rsidRDefault="2A7E7509" w14:paraId="7C1F8AF6" w14:textId="3DB006ED">
      <w:pPr>
        <w:pStyle w:val="Heading1"/>
        <w:rPr>
          <w:b w:val="1"/>
          <w:bCs w:val="1"/>
          <w:noProof w:val="0"/>
          <w:color w:val="0D0D0D" w:themeColor="text1" w:themeTint="F2" w:themeShade="FF"/>
          <w:lang w:val="en-GB"/>
        </w:rPr>
      </w:pPr>
    </w:p>
    <w:p w:rsidR="2A7E7509" w:rsidP="1FD07BE9" w:rsidRDefault="2A7E7509" w14:paraId="6C07354C" w14:textId="16ED098B">
      <w:pPr>
        <w:pStyle w:val="Heading1"/>
        <w:rPr>
          <w:b w:val="1"/>
          <w:bCs w:val="1"/>
          <w:noProof w:val="0"/>
          <w:color w:val="000000" w:themeColor="text1" w:themeTint="FF" w:themeShade="FF"/>
          <w:lang w:val="en-GB"/>
        </w:rPr>
      </w:pPr>
    </w:p>
    <w:p w:rsidR="1FD07BE9" w:rsidP="1FD07BE9" w:rsidRDefault="1FD07BE9" w14:paraId="74E77F88" w14:textId="722530D9">
      <w:pPr>
        <w:pStyle w:val="Normal"/>
        <w:rPr>
          <w:noProof w:val="0"/>
          <w:lang w:val="en-GB"/>
        </w:rPr>
      </w:pPr>
    </w:p>
    <w:p xmlns:wp14="http://schemas.microsoft.com/office/word/2010/wordml" w:rsidP="5AB6EA17" wp14:paraId="0A17F793" wp14:textId="3E6DCD7F">
      <w:pPr>
        <w:pStyle w:val="Heading2"/>
        <w:rPr>
          <w:b w:val="1"/>
          <w:bCs w:val="1"/>
          <w:noProof w:val="0"/>
          <w:color w:val="000000" w:themeColor="text1" w:themeTint="FF" w:themeShade="FF"/>
          <w:lang w:val="en-GB"/>
        </w:rPr>
      </w:pPr>
      <w:r w:rsidRPr="26DCE4FE" w:rsidR="1CFEF6E3">
        <w:rPr>
          <w:b w:val="1"/>
          <w:bCs w:val="1"/>
          <w:noProof w:val="0"/>
          <w:color w:val="000000" w:themeColor="text1" w:themeTint="FF" w:themeShade="FF"/>
          <w:lang w:val="en-GB"/>
        </w:rPr>
        <w:t>Abstract</w:t>
      </w:r>
      <w:r w:rsidRPr="26DCE4FE" w:rsidR="1CFEF6E3">
        <w:rPr>
          <w:b w:val="1"/>
          <w:bCs w:val="1"/>
          <w:noProof w:val="0"/>
          <w:color w:val="000000" w:themeColor="text1" w:themeTint="FF" w:themeShade="FF"/>
          <w:lang w:val="en-GB"/>
        </w:rPr>
        <w:t xml:space="preserve"> </w:t>
      </w:r>
    </w:p>
    <w:p xmlns:wp14="http://schemas.microsoft.com/office/word/2010/wordml" w:rsidP="5AB6EA17" wp14:paraId="7F2BFBD8" wp14:textId="16A0C501">
      <w:pPr>
        <w:spacing w:before="0" w:beforeAutospacing="off" w:after="0" w:afterAutospacing="off" w:line="360" w:lineRule="auto"/>
        <w:jc w:val="both"/>
        <w:rPr>
          <w:rFonts w:ascii="Arial" w:hAnsi="Arial" w:eastAsia="Arial" w:cs="Arial"/>
          <w:noProof w:val="0"/>
          <w:sz w:val="22"/>
          <w:szCs w:val="22"/>
          <w:lang w:val="en-GB"/>
        </w:rPr>
      </w:pPr>
      <w:r w:rsidRPr="5AB6EA17" w:rsidR="1D3BCED4">
        <w:rPr>
          <w:rFonts w:ascii="Arial" w:hAnsi="Arial" w:eastAsia="Arial" w:cs="Arial"/>
          <w:noProof w:val="0"/>
          <w:sz w:val="22"/>
          <w:szCs w:val="22"/>
          <w:lang w:val="en-GB"/>
        </w:rPr>
        <w:t xml:space="preserve">Patient-centred care (PCC) and partnership working (PW) are essential principles that form the foundation of modern health and social care practice in the UK. PCC focuses on respecting individual preferences, needs, and values, ensuring that service users are active participants in their care (Coulter, 2011; Rivas </w:t>
      </w:r>
      <w:r w:rsidRPr="5AB6EA17" w:rsidR="1D3BCED4">
        <w:rPr>
          <w:rFonts w:ascii="Arial" w:hAnsi="Arial" w:eastAsia="Arial" w:cs="Arial"/>
          <w:i w:val="1"/>
          <w:iCs w:val="1"/>
          <w:noProof w:val="0"/>
          <w:sz w:val="22"/>
          <w:szCs w:val="22"/>
          <w:lang w:val="en-GB"/>
        </w:rPr>
        <w:t>et al</w:t>
      </w:r>
      <w:r w:rsidRPr="5AB6EA17" w:rsidR="1D3BCED4">
        <w:rPr>
          <w:rFonts w:ascii="Arial" w:hAnsi="Arial" w:eastAsia="Arial" w:cs="Arial"/>
          <w:noProof w:val="0"/>
          <w:sz w:val="22"/>
          <w:szCs w:val="22"/>
          <w:lang w:val="en-GB"/>
        </w:rPr>
        <w:t xml:space="preserve">., 2025). Partnership working, on the other hand, focuses on professionals, organisations, and service users working together to provide services that are coordinated and integrated (Glasby and Dickinson, 2014; </w:t>
      </w:r>
      <w:r w:rsidRPr="5AB6EA17" w:rsidR="1D3BCED4">
        <w:rPr>
          <w:rFonts w:ascii="Arial" w:hAnsi="Arial" w:eastAsia="Arial" w:cs="Arial"/>
          <w:noProof w:val="0"/>
          <w:sz w:val="22"/>
          <w:szCs w:val="22"/>
          <w:lang w:val="en-GB"/>
        </w:rPr>
        <w:t>Bharadia</w:t>
      </w:r>
      <w:r w:rsidRPr="5AB6EA17" w:rsidR="1D3BCED4">
        <w:rPr>
          <w:rFonts w:ascii="Arial" w:hAnsi="Arial" w:eastAsia="Arial" w:cs="Arial"/>
          <w:noProof w:val="0"/>
          <w:sz w:val="22"/>
          <w:szCs w:val="22"/>
          <w:lang w:val="en-GB"/>
        </w:rPr>
        <w:t xml:space="preserve"> </w:t>
      </w:r>
      <w:r w:rsidRPr="5AB6EA17" w:rsidR="1D3BCED4">
        <w:rPr>
          <w:rFonts w:ascii="Arial" w:hAnsi="Arial" w:eastAsia="Arial" w:cs="Arial"/>
          <w:i w:val="1"/>
          <w:iCs w:val="1"/>
          <w:noProof w:val="0"/>
          <w:sz w:val="22"/>
          <w:szCs w:val="22"/>
          <w:lang w:val="en-GB"/>
        </w:rPr>
        <w:t>et al</w:t>
      </w:r>
      <w:r w:rsidRPr="5AB6EA17" w:rsidR="1D3BCED4">
        <w:rPr>
          <w:rFonts w:ascii="Arial" w:hAnsi="Arial" w:eastAsia="Arial" w:cs="Arial"/>
          <w:noProof w:val="0"/>
          <w:sz w:val="22"/>
          <w:szCs w:val="22"/>
          <w:lang w:val="en-GB"/>
        </w:rPr>
        <w:t xml:space="preserve">., 2025). This essay examines the correlation between PCC and PW, assessing how both methodologies enhance outcomes in health and social care. It looks at the moral bases of care, such as autonomy, beneficence, non-maleficence, and justice (Varkey, 2020). It also looks at relevant theoretical frameworks that support PCC, such as humanistic psychology and self-determination theory. The essay also examines the benefits and limitations of PCC, evaluates partnership working in practice, and considers the impact of policy and legislation, including integrated care systems and national frameworks. Lastly, the essay ends by talking about how PCC and PW depend on each other and giving suggestions for how to make them work better in the UK health and social care systems (NHS England, 2022). </w:t>
      </w:r>
    </w:p>
    <w:p w:rsidR="2A7E7509" w:rsidP="5AB6EA17" w:rsidRDefault="2A7E7509" w14:paraId="42804C7F" w14:textId="409957AB">
      <w:pPr>
        <w:spacing w:before="0" w:beforeAutospacing="off" w:after="0" w:afterAutospacing="off" w:line="360" w:lineRule="auto"/>
        <w:jc w:val="both"/>
        <w:rPr>
          <w:rFonts w:ascii="Arial" w:hAnsi="Arial" w:eastAsia="Arial" w:cs="Arial"/>
          <w:noProof w:val="0"/>
          <w:sz w:val="22"/>
          <w:szCs w:val="22"/>
          <w:lang w:val="en-GB"/>
        </w:rPr>
      </w:pPr>
    </w:p>
    <w:p w:rsidR="2A7E7509" w:rsidP="2A7E7509" w:rsidRDefault="2A7E7509" w14:paraId="3D3EF2DA" w14:textId="36E0FA86">
      <w:pPr>
        <w:spacing w:before="0" w:beforeAutospacing="off" w:after="0" w:afterAutospacing="off"/>
        <w:rPr>
          <w:rFonts w:ascii="Arial" w:hAnsi="Arial" w:eastAsia="Arial" w:cs="Arial"/>
          <w:noProof w:val="0"/>
          <w:sz w:val="24"/>
          <w:szCs w:val="24"/>
          <w:lang w:val="en-GB"/>
        </w:rPr>
      </w:pPr>
    </w:p>
    <w:p w:rsidR="2A7E7509" w:rsidP="2A7E7509" w:rsidRDefault="2A7E7509" w14:paraId="54016B7B" w14:textId="04DCB688">
      <w:pPr>
        <w:spacing w:before="0" w:beforeAutospacing="off" w:after="0" w:afterAutospacing="off"/>
        <w:rPr>
          <w:rFonts w:ascii="Arial" w:hAnsi="Arial" w:eastAsia="Arial" w:cs="Arial"/>
          <w:noProof w:val="0"/>
          <w:sz w:val="24"/>
          <w:szCs w:val="24"/>
          <w:lang w:val="en-GB"/>
        </w:rPr>
      </w:pPr>
    </w:p>
    <w:p w:rsidR="2A7E7509" w:rsidP="38536C70" w:rsidRDefault="2A7E7509" w14:paraId="02E549A9" w14:textId="2517718E">
      <w:pPr>
        <w:pStyle w:val="Heading2"/>
        <w:rPr>
          <w:b w:val="1"/>
          <w:bCs w:val="1"/>
          <w:noProof w:val="0"/>
          <w:color w:val="000000" w:themeColor="text1" w:themeTint="FF" w:themeShade="FF"/>
          <w:lang w:val="en-GB"/>
        </w:rPr>
      </w:pPr>
      <w:r w:rsidRPr="26DCE4FE" w:rsidR="24B86856">
        <w:rPr>
          <w:b w:val="1"/>
          <w:bCs w:val="1"/>
          <w:noProof w:val="0"/>
          <w:color w:val="000000" w:themeColor="text1" w:themeTint="FF" w:themeShade="FF"/>
          <w:lang w:val="en-GB"/>
        </w:rPr>
        <w:t>Introduction</w:t>
      </w:r>
    </w:p>
    <w:p w:rsidR="2D283C5C" w:rsidP="5AB6EA17" w:rsidRDefault="2D283C5C" w14:paraId="708205B4" w14:textId="071383D1">
      <w:pPr>
        <w:pStyle w:val="Normal"/>
        <w:spacing w:line="360" w:lineRule="auto"/>
        <w:jc w:val="both"/>
        <w:rPr>
          <w:rFonts w:ascii="Arial" w:hAnsi="Arial" w:eastAsia="Arial" w:cs="Arial"/>
          <w:b w:val="1"/>
          <w:bCs w:val="1"/>
          <w:noProof w:val="0"/>
          <w:sz w:val="22"/>
          <w:szCs w:val="22"/>
          <w:lang w:val="en-GB"/>
        </w:rPr>
      </w:pPr>
      <w:r w:rsidRPr="5AB6EA17" w:rsidR="3B06F6DA">
        <w:rPr>
          <w:noProof w:val="0"/>
          <w:sz w:val="22"/>
          <w:szCs w:val="22"/>
          <w:lang w:val="en-GB"/>
        </w:rPr>
        <w:t xml:space="preserve">In the UK, health and social care providers must meet the complex needs of patients, particularly those with chronic diseases and </w:t>
      </w:r>
      <w:r w:rsidRPr="5AB6EA17" w:rsidR="3B06F6DA">
        <w:rPr>
          <w:noProof w:val="0"/>
          <w:sz w:val="22"/>
          <w:szCs w:val="22"/>
          <w:lang w:val="en-GB"/>
        </w:rPr>
        <w:t>numerous</w:t>
      </w:r>
      <w:r w:rsidRPr="5AB6EA17" w:rsidR="3B06F6DA">
        <w:rPr>
          <w:noProof w:val="0"/>
          <w:sz w:val="22"/>
          <w:szCs w:val="22"/>
          <w:lang w:val="en-GB"/>
        </w:rPr>
        <w:t xml:space="preserve"> comorbidities. Approximately one in every four people in the UK has two or more health issues, and one in every three patients admitted to a UK hospital has five or more. People with multimorbidity have lower functional status, quality of life, and health outcomes, and they need ambulatory and inpatient care more </w:t>
      </w:r>
      <w:r w:rsidRPr="5AB6EA17" w:rsidR="3B06F6DA">
        <w:rPr>
          <w:noProof w:val="0"/>
          <w:sz w:val="22"/>
          <w:szCs w:val="22"/>
          <w:lang w:val="en-GB"/>
        </w:rPr>
        <w:t>frequently</w:t>
      </w:r>
      <w:r w:rsidRPr="5AB6EA17" w:rsidR="3B06F6DA">
        <w:rPr>
          <w:noProof w:val="0"/>
          <w:sz w:val="22"/>
          <w:szCs w:val="22"/>
          <w:lang w:val="en-GB"/>
        </w:rPr>
        <w:t xml:space="preserve"> than those without it. As a result, the entire healthcare system must adapt </w:t>
      </w:r>
      <w:r w:rsidRPr="5AB6EA17" w:rsidR="2F3E6A54">
        <w:rPr>
          <w:noProof w:val="0"/>
          <w:sz w:val="22"/>
          <w:szCs w:val="22"/>
          <w:lang w:val="en-GB"/>
        </w:rPr>
        <w:t>to</w:t>
      </w:r>
      <w:r w:rsidRPr="5AB6EA17" w:rsidR="3B06F6DA">
        <w:rPr>
          <w:noProof w:val="0"/>
          <w:sz w:val="22"/>
          <w:szCs w:val="22"/>
          <w:lang w:val="en-GB"/>
        </w:rPr>
        <w:t xml:space="preserve"> provide better treatment to patients (Rayman </w:t>
      </w:r>
      <w:r w:rsidRPr="5AB6EA17" w:rsidR="3B06F6DA">
        <w:rPr>
          <w:i w:val="1"/>
          <w:iCs w:val="1"/>
          <w:noProof w:val="0"/>
          <w:sz w:val="22"/>
          <w:szCs w:val="22"/>
          <w:lang w:val="en-GB"/>
        </w:rPr>
        <w:t>et al</w:t>
      </w:r>
      <w:r w:rsidRPr="5AB6EA17" w:rsidR="3B06F6DA">
        <w:rPr>
          <w:noProof w:val="0"/>
          <w:sz w:val="22"/>
          <w:szCs w:val="22"/>
          <w:lang w:val="en-GB"/>
        </w:rPr>
        <w:t>., 2022). This has resulted in a shift away from traditional biological models of care and towards more collaborative, holistic approaches.</w:t>
      </w:r>
    </w:p>
    <w:p w:rsidR="48154574" w:rsidP="5AB6EA17" w:rsidRDefault="48154574" w14:paraId="7D966635" w14:textId="2F5B15CC">
      <w:pPr>
        <w:pStyle w:val="Normal"/>
        <w:spacing w:line="360" w:lineRule="auto"/>
        <w:jc w:val="both"/>
        <w:rPr>
          <w:noProof w:val="0"/>
          <w:sz w:val="22"/>
          <w:szCs w:val="22"/>
          <w:lang w:val="en-GB"/>
        </w:rPr>
      </w:pPr>
      <w:r w:rsidRPr="5AB6EA17" w:rsidR="65E033EF">
        <w:rPr>
          <w:noProof w:val="0"/>
          <w:sz w:val="22"/>
          <w:szCs w:val="22"/>
          <w:lang w:val="en-GB"/>
        </w:rPr>
        <w:t xml:space="preserve">This change highlights patient prioritisation and collaborative cooperation to ensure responsive and coordinated care across services (Goodwin </w:t>
      </w:r>
      <w:r w:rsidRPr="5AB6EA17" w:rsidR="65E033EF">
        <w:rPr>
          <w:i w:val="1"/>
          <w:iCs w:val="1"/>
          <w:noProof w:val="0"/>
          <w:sz w:val="22"/>
          <w:szCs w:val="22"/>
          <w:lang w:val="en-GB"/>
        </w:rPr>
        <w:t>et al</w:t>
      </w:r>
      <w:r w:rsidRPr="5AB6EA17" w:rsidR="65E033EF">
        <w:rPr>
          <w:noProof w:val="0"/>
          <w:sz w:val="22"/>
          <w:szCs w:val="22"/>
          <w:lang w:val="en-GB"/>
        </w:rPr>
        <w:t>., 2014; Glasby, 2017).</w:t>
      </w:r>
    </w:p>
    <w:p w:rsidR="48154574" w:rsidP="5AB6EA17" w:rsidRDefault="48154574" w14:paraId="017454DF" w14:textId="0202F003">
      <w:pPr>
        <w:pStyle w:val="Normal"/>
        <w:spacing w:line="360" w:lineRule="auto"/>
        <w:jc w:val="both"/>
        <w:rPr>
          <w:noProof w:val="0"/>
          <w:sz w:val="22"/>
          <w:szCs w:val="22"/>
          <w:lang w:val="en-GB"/>
        </w:rPr>
      </w:pPr>
      <w:r w:rsidRPr="5AB6EA17" w:rsidR="65E033EF">
        <w:rPr>
          <w:noProof w:val="0"/>
          <w:sz w:val="22"/>
          <w:szCs w:val="22"/>
          <w:lang w:val="en-GB"/>
        </w:rPr>
        <w:t xml:space="preserve"> </w:t>
      </w:r>
    </w:p>
    <w:p w:rsidR="48154574" w:rsidP="5AB6EA17" w:rsidRDefault="48154574" w14:paraId="64239AA0" w14:textId="57C95EF1">
      <w:pPr>
        <w:pStyle w:val="Normal"/>
        <w:spacing w:line="360" w:lineRule="auto"/>
        <w:jc w:val="both"/>
        <w:rPr>
          <w:noProof w:val="0"/>
          <w:sz w:val="22"/>
          <w:szCs w:val="22"/>
          <w:lang w:val="en-GB"/>
        </w:rPr>
      </w:pPr>
      <w:r w:rsidRPr="5AB6EA17" w:rsidR="086B76BE">
        <w:rPr>
          <w:rFonts w:ascii="Arial" w:hAnsi="Arial" w:eastAsia="Arial" w:cs="Arial"/>
          <w:noProof w:val="0"/>
          <w:sz w:val="22"/>
          <w:szCs w:val="22"/>
          <w:lang w:val="en-GB"/>
        </w:rPr>
        <w:t>Patient-centred</w:t>
      </w:r>
      <w:r w:rsidRPr="5AB6EA17" w:rsidR="086B76BE">
        <w:rPr>
          <w:noProof w:val="0"/>
          <w:sz w:val="22"/>
          <w:szCs w:val="22"/>
          <w:lang w:val="en-GB"/>
        </w:rPr>
        <w:t xml:space="preserve"> care (PCC) prioritises the patient in decision-making and encourages them to take an active role in their care. It also promotes respect, decency, and collaborative decision-making. According to Coulter and Oldham (2016), PCC enhances both the patient experience and health outcomes by aligning care with individuals' values and preferences. Partnership functioning, on the other hand, entails inter</w:t>
      </w:r>
      <w:r w:rsidRPr="5AB6EA17" w:rsidR="086B76BE">
        <w:rPr>
          <w:noProof w:val="0"/>
          <w:sz w:val="22"/>
          <w:szCs w:val="22"/>
          <w:lang w:val="en-GB"/>
        </w:rPr>
        <w:t>disciplinary collaboration among health and social care professionals to provide integrated services that reduce fragmentation and promote care continuity (Glasby and Dickinson 2014).</w:t>
      </w:r>
    </w:p>
    <w:p w:rsidR="28789F48" w:rsidP="5AB6EA17" w:rsidRDefault="28789F48" w14:paraId="744C0F09" w14:textId="7F5CC304">
      <w:pPr>
        <w:pStyle w:val="Normal"/>
        <w:spacing w:line="360" w:lineRule="auto"/>
        <w:jc w:val="both"/>
        <w:rPr>
          <w:noProof w:val="0"/>
          <w:lang w:val="en-GB"/>
        </w:rPr>
      </w:pPr>
      <w:r w:rsidRPr="5AB6EA17" w:rsidR="535B9DBF">
        <w:rPr>
          <w:noProof w:val="0"/>
          <w:sz w:val="22"/>
          <w:szCs w:val="22"/>
          <w:lang w:val="en-GB"/>
        </w:rPr>
        <w:t xml:space="preserve">This essay will examine the ethical principles that underpin health and social </w:t>
      </w:r>
      <w:r w:rsidRPr="5AB6EA17" w:rsidR="535B9DBF">
        <w:rPr>
          <w:rFonts w:ascii="Arial" w:hAnsi="Arial" w:eastAsia="Arial" w:cs="Arial"/>
          <w:noProof w:val="0"/>
          <w:sz w:val="22"/>
          <w:szCs w:val="22"/>
          <w:lang w:val="en-GB"/>
        </w:rPr>
        <w:t>care,</w:t>
      </w:r>
      <w:r w:rsidRPr="5AB6EA17" w:rsidR="535B9DBF">
        <w:rPr>
          <w:noProof w:val="0"/>
          <w:sz w:val="22"/>
          <w:szCs w:val="22"/>
          <w:lang w:val="en-GB"/>
        </w:rPr>
        <w:t xml:space="preserve"> define and critically evaluate </w:t>
      </w:r>
      <w:r w:rsidRPr="5AB6EA17" w:rsidR="535B9DBF">
        <w:rPr>
          <w:rFonts w:ascii="Arial" w:hAnsi="Arial" w:eastAsia="Arial" w:cs="Arial"/>
          <w:noProof w:val="0"/>
          <w:sz w:val="22"/>
          <w:szCs w:val="22"/>
          <w:lang w:val="en-GB"/>
        </w:rPr>
        <w:t>person-centred</w:t>
      </w:r>
      <w:r w:rsidRPr="5AB6EA17" w:rsidR="535B9DBF">
        <w:rPr>
          <w:noProof w:val="0"/>
          <w:sz w:val="22"/>
          <w:szCs w:val="22"/>
          <w:lang w:val="en-GB"/>
        </w:rPr>
        <w:t xml:space="preserve"> </w:t>
      </w:r>
      <w:r w:rsidRPr="5AB6EA17" w:rsidR="464D50C0">
        <w:rPr>
          <w:rFonts w:ascii="Arial" w:hAnsi="Arial" w:eastAsia="Arial" w:cs="Arial"/>
          <w:noProof w:val="0"/>
          <w:sz w:val="22"/>
          <w:szCs w:val="22"/>
          <w:lang w:val="en-GB"/>
        </w:rPr>
        <w:t xml:space="preserve">care, </w:t>
      </w:r>
      <w:r w:rsidRPr="5AB6EA17" w:rsidR="535B9DBF">
        <w:rPr>
          <w:noProof w:val="0"/>
          <w:sz w:val="22"/>
          <w:szCs w:val="22"/>
          <w:lang w:val="en-GB"/>
        </w:rPr>
        <w:t>investigate relevant theoretical</w:t>
      </w:r>
      <w:r w:rsidRPr="5AB6EA17" w:rsidR="535B9DBF">
        <w:rPr>
          <w:noProof w:val="0"/>
          <w:sz w:val="22"/>
          <w:szCs w:val="22"/>
          <w:lang w:val="en-GB"/>
        </w:rPr>
        <w:t xml:space="preserve"> frameworks,</w:t>
      </w:r>
      <w:r w:rsidRPr="5AB6EA17" w:rsidR="535B9DBF">
        <w:rPr>
          <w:noProof w:val="0"/>
          <w:lang w:val="en-GB"/>
        </w:rPr>
        <w:t xml:space="preserve"> </w:t>
      </w:r>
      <w:r w:rsidRPr="5AB6EA17" w:rsidR="535B9DBF">
        <w:rPr>
          <w:noProof w:val="0"/>
          <w:sz w:val="22"/>
          <w:szCs w:val="22"/>
          <w:lang w:val="en-GB"/>
        </w:rPr>
        <w:t xml:space="preserve">particularly Maslow's hierarchy of </w:t>
      </w:r>
      <w:r w:rsidRPr="5AB6EA17" w:rsidR="504B73EF">
        <w:rPr>
          <w:rFonts w:ascii="Arial" w:hAnsi="Arial" w:eastAsia="Arial" w:cs="Arial"/>
          <w:noProof w:val="0"/>
          <w:sz w:val="22"/>
          <w:szCs w:val="22"/>
          <w:lang w:val="en-GB"/>
        </w:rPr>
        <w:t>needs, and</w:t>
      </w:r>
      <w:r w:rsidRPr="5AB6EA17" w:rsidR="535B9DBF">
        <w:rPr>
          <w:noProof w:val="0"/>
          <w:sz w:val="22"/>
          <w:szCs w:val="22"/>
          <w:lang w:val="en-GB"/>
        </w:rPr>
        <w:t xml:space="preserve"> evaluate partnership working in both theoretical and practical contexts. It will also look at how laws and regulations support these methods, as well as the relationship between PCC and partnership working. The essay will finish with ideas for increasing their adoption in UK clinical practice, citing a hospital as an example.</w:t>
      </w:r>
    </w:p>
    <w:p w:rsidR="51BF23CD" w:rsidP="51BF23CD" w:rsidRDefault="51BF23CD" w14:paraId="7E40B0E5" w14:textId="456DCB64">
      <w:pPr>
        <w:pStyle w:val="Normal"/>
        <w:rPr>
          <w:noProof w:val="0"/>
          <w:lang w:val="en-GB"/>
        </w:rPr>
      </w:pPr>
    </w:p>
    <w:p xmlns:wp14="http://schemas.microsoft.com/office/word/2010/wordml" w:rsidP="26FB78D1" wp14:paraId="28C488BB" wp14:textId="77B5C549">
      <w:pPr>
        <w:pStyle w:val="Heading1"/>
        <w:rPr>
          <w:b w:val="1"/>
          <w:bCs w:val="1"/>
          <w:noProof w:val="0"/>
          <w:color w:val="000000" w:themeColor="text1" w:themeTint="FF" w:themeShade="FF"/>
          <w:lang w:val="en-GB"/>
        </w:rPr>
      </w:pPr>
      <w:r w:rsidRPr="26DCE4FE" w:rsidR="5DCE7036">
        <w:rPr>
          <w:b w:val="1"/>
          <w:bCs w:val="1"/>
          <w:noProof w:val="0"/>
          <w:color w:val="000000" w:themeColor="text1" w:themeTint="FF" w:themeShade="FF"/>
          <w:lang w:val="en-GB"/>
        </w:rPr>
        <w:t>Person-centred care: Definition, significance, and limitations</w:t>
      </w:r>
      <w:r w:rsidRPr="26DCE4FE" w:rsidR="5DCE7036">
        <w:rPr>
          <w:b w:val="1"/>
          <w:bCs w:val="1"/>
          <w:noProof w:val="0"/>
          <w:color w:val="000000" w:themeColor="text1" w:themeTint="FF" w:themeShade="FF"/>
          <w:lang w:val="en-GB"/>
        </w:rPr>
        <w:t xml:space="preserve"> </w:t>
      </w:r>
    </w:p>
    <w:p xmlns:wp14="http://schemas.microsoft.com/office/word/2010/wordml" w:rsidP="5AB6EA17" wp14:paraId="41F07CC8" wp14:textId="1061C5E4">
      <w:pPr>
        <w:pStyle w:val="Normal"/>
        <w:spacing w:before="0" w:beforeAutospacing="off" w:after="0" w:afterAutospacing="off" w:line="360" w:lineRule="auto"/>
        <w:jc w:val="both"/>
        <w:rPr>
          <w:rFonts w:ascii="Arial" w:hAnsi="Arial" w:eastAsia="Arial" w:cs="Arial"/>
          <w:noProof w:val="0"/>
          <w:sz w:val="22"/>
          <w:szCs w:val="22"/>
          <w:lang w:val="en-GB"/>
        </w:rPr>
      </w:pPr>
      <w:r w:rsidRPr="5AB6EA17" w:rsidR="70E26325">
        <w:rPr>
          <w:rFonts w:ascii="Arial" w:hAnsi="Arial" w:eastAsia="Arial" w:cs="Arial"/>
          <w:noProof w:val="0"/>
          <w:sz w:val="22"/>
          <w:szCs w:val="22"/>
          <w:lang w:val="en-GB"/>
        </w:rPr>
        <w:t>Person-centred care is an approach that puts the person at the centre of care</w:t>
      </w:r>
      <w:r w:rsidRPr="5AB6EA17" w:rsidR="45957C76">
        <w:rPr>
          <w:rFonts w:ascii="Arial" w:hAnsi="Arial" w:eastAsia="Arial" w:cs="Arial"/>
          <w:noProof w:val="0"/>
          <w:sz w:val="22"/>
          <w:szCs w:val="22"/>
          <w:lang w:val="en-GB"/>
        </w:rPr>
        <w:t xml:space="preserve"> planning and delivery</w:t>
      </w:r>
      <w:r w:rsidRPr="5AB6EA17" w:rsidR="70E26325">
        <w:rPr>
          <w:rFonts w:ascii="Arial" w:hAnsi="Arial" w:eastAsia="Arial" w:cs="Arial"/>
          <w:noProof w:val="0"/>
          <w:sz w:val="22"/>
          <w:szCs w:val="22"/>
          <w:lang w:val="en-GB"/>
        </w:rPr>
        <w:t xml:space="preserve">. It recognises their unique needs, values, and preferences and encourages them to be involved in making decisions (Coulter, </w:t>
      </w:r>
      <w:r w:rsidRPr="5AB6EA17" w:rsidR="5D45754D">
        <w:rPr>
          <w:rFonts w:ascii="Arial" w:hAnsi="Arial" w:eastAsia="Arial" w:cs="Arial"/>
          <w:noProof w:val="0"/>
          <w:sz w:val="22"/>
          <w:szCs w:val="22"/>
          <w:lang w:val="en-GB"/>
        </w:rPr>
        <w:t xml:space="preserve">2011), but the degree of participation may vary based on individual capacity and context. </w:t>
      </w:r>
      <w:r w:rsidRPr="5AB6EA17" w:rsidR="70E26325">
        <w:rPr>
          <w:rFonts w:ascii="Arial" w:hAnsi="Arial" w:eastAsia="Arial" w:cs="Arial"/>
          <w:noProof w:val="0"/>
          <w:sz w:val="22"/>
          <w:szCs w:val="22"/>
          <w:lang w:val="en-GB"/>
        </w:rPr>
        <w:t xml:space="preserve">It is </w:t>
      </w:r>
      <w:r w:rsidRPr="5AB6EA17" w:rsidR="70E26325">
        <w:rPr>
          <w:rFonts w:ascii="Arial" w:hAnsi="Arial" w:eastAsia="Arial" w:cs="Arial"/>
          <w:noProof w:val="0"/>
          <w:sz w:val="22"/>
          <w:szCs w:val="22"/>
          <w:lang w:val="en-GB"/>
        </w:rPr>
        <w:t>very similar</w:t>
      </w:r>
      <w:r w:rsidRPr="5AB6EA17" w:rsidR="70E26325">
        <w:rPr>
          <w:rFonts w:ascii="Arial" w:hAnsi="Arial" w:eastAsia="Arial" w:cs="Arial"/>
          <w:noProof w:val="0"/>
          <w:sz w:val="22"/>
          <w:szCs w:val="22"/>
          <w:lang w:val="en-GB"/>
        </w:rPr>
        <w:t xml:space="preserve"> to the social model of care, which focuses on giving people power instead of just seeing them as patients (Scope, 2020). </w:t>
      </w:r>
    </w:p>
    <w:p xmlns:wp14="http://schemas.microsoft.com/office/word/2010/wordml" w:rsidP="5AB6EA17" wp14:paraId="4D1BC6EE" wp14:textId="346F6CE5">
      <w:pPr>
        <w:spacing w:before="0" w:beforeAutospacing="off" w:after="0" w:afterAutospacing="off" w:line="360" w:lineRule="auto"/>
        <w:jc w:val="both"/>
        <w:rPr>
          <w:rFonts w:ascii="Arial" w:hAnsi="Arial" w:eastAsia="Arial" w:cs="Arial"/>
          <w:noProof w:val="0"/>
          <w:sz w:val="22"/>
          <w:szCs w:val="22"/>
          <w:lang w:val="en-GB"/>
        </w:rPr>
      </w:pPr>
      <w:r w:rsidRPr="5AB6EA17" w:rsidR="576E5D5E">
        <w:rPr>
          <w:rFonts w:ascii="Arial" w:hAnsi="Arial" w:eastAsia="Arial" w:cs="Arial"/>
          <w:noProof w:val="0"/>
          <w:sz w:val="22"/>
          <w:szCs w:val="22"/>
          <w:lang w:val="en-GB"/>
        </w:rPr>
        <w:t>One of the main benefits of PCC is that it makes patients happier because they feel heard, respected, and involved in their care decisions.</w:t>
      </w:r>
      <w:r w:rsidRPr="5AB6EA17" w:rsidR="53B22D76">
        <w:rPr>
          <w:rFonts w:ascii="Arial" w:hAnsi="Arial" w:eastAsia="Arial" w:cs="Arial"/>
          <w:noProof w:val="0"/>
          <w:sz w:val="22"/>
          <w:szCs w:val="22"/>
          <w:lang w:val="en-GB"/>
        </w:rPr>
        <w:t xml:space="preserve"> This can increase patient engagement and trust in healthcare personnel</w:t>
      </w:r>
      <w:r w:rsidRPr="5AB6EA17" w:rsidR="3B20D35F">
        <w:rPr>
          <w:rFonts w:ascii="Arial" w:hAnsi="Arial" w:eastAsia="Arial" w:cs="Arial"/>
          <w:noProof w:val="0"/>
          <w:sz w:val="22"/>
          <w:szCs w:val="22"/>
          <w:lang w:val="en-GB"/>
        </w:rPr>
        <w:t xml:space="preserve">. </w:t>
      </w:r>
      <w:r w:rsidRPr="5AB6EA17" w:rsidR="576E5D5E">
        <w:rPr>
          <w:rFonts w:ascii="Arial" w:hAnsi="Arial" w:eastAsia="Arial" w:cs="Arial"/>
          <w:noProof w:val="0"/>
          <w:sz w:val="22"/>
          <w:szCs w:val="22"/>
          <w:lang w:val="en-GB"/>
        </w:rPr>
        <w:t>It also improves health outcomes by encouraging people to stick to their treatment plans and manage their own health, especially for long-term illnesses (North, 2020; Guerreiro, Brito Félix, and Moreira Marques, 2023)</w:t>
      </w:r>
      <w:r w:rsidRPr="5AB6EA17" w:rsidR="23D104B4">
        <w:rPr>
          <w:rFonts w:ascii="Arial" w:hAnsi="Arial" w:eastAsia="Arial" w:cs="Arial"/>
          <w:noProof w:val="0"/>
          <w:sz w:val="22"/>
          <w:szCs w:val="22"/>
          <w:lang w:val="en-GB"/>
        </w:rPr>
        <w:t xml:space="preserve">. However, the extent of these advantages depends on how well PCC is implemented. </w:t>
      </w:r>
      <w:r w:rsidRPr="5AB6EA17" w:rsidR="576E5D5E">
        <w:rPr>
          <w:rFonts w:ascii="Arial" w:hAnsi="Arial" w:eastAsia="Arial" w:cs="Arial"/>
          <w:noProof w:val="0"/>
          <w:sz w:val="22"/>
          <w:szCs w:val="22"/>
          <w:lang w:val="en-GB"/>
        </w:rPr>
        <w:t xml:space="preserve">PCC also supports holistic </w:t>
      </w:r>
      <w:r w:rsidRPr="5AB6EA17" w:rsidR="576E5D5E">
        <w:rPr>
          <w:rFonts w:ascii="Arial" w:hAnsi="Arial" w:eastAsia="Arial" w:cs="Arial"/>
          <w:noProof w:val="0"/>
          <w:sz w:val="22"/>
          <w:szCs w:val="22"/>
          <w:lang w:val="en-GB"/>
        </w:rPr>
        <w:t xml:space="preserve">care by meeting physical, emotional, and social needs. </w:t>
      </w:r>
    </w:p>
    <w:p w:rsidR="4A422407" w:rsidP="5AB6EA17" w:rsidRDefault="4A422407" w14:paraId="03506323" w14:textId="766868A6">
      <w:pPr>
        <w:pStyle w:val="Normal"/>
        <w:spacing w:before="0" w:beforeAutospacing="off" w:after="0" w:afterAutospacing="off" w:line="360" w:lineRule="auto"/>
        <w:jc w:val="both"/>
        <w:rPr>
          <w:rFonts w:ascii="Arial" w:hAnsi="Arial" w:eastAsia="Arial" w:cs="Arial"/>
          <w:noProof w:val="0"/>
          <w:sz w:val="22"/>
          <w:szCs w:val="22"/>
          <w:lang w:val="en-GB"/>
        </w:rPr>
      </w:pPr>
      <w:r w:rsidRPr="5AB6EA17" w:rsidR="355A1EC0">
        <w:rPr>
          <w:rFonts w:ascii="Arial" w:hAnsi="Arial" w:eastAsia="Arial" w:cs="Arial"/>
          <w:noProof w:val="0"/>
          <w:sz w:val="22"/>
          <w:szCs w:val="22"/>
          <w:lang w:val="en-GB"/>
        </w:rPr>
        <w:t>PC</w:t>
      </w:r>
      <w:r w:rsidRPr="5AB6EA17" w:rsidR="2E9BC37C">
        <w:rPr>
          <w:rFonts w:ascii="Arial" w:hAnsi="Arial" w:eastAsia="Arial" w:cs="Arial"/>
          <w:noProof w:val="0"/>
          <w:sz w:val="22"/>
          <w:szCs w:val="22"/>
          <w:lang w:val="en-GB"/>
        </w:rPr>
        <w:t xml:space="preserve">C, </w:t>
      </w:r>
      <w:r w:rsidRPr="5AB6EA17" w:rsidR="795232ED">
        <w:rPr>
          <w:rFonts w:ascii="Arial" w:hAnsi="Arial" w:eastAsia="Arial" w:cs="Arial"/>
          <w:noProof w:val="0"/>
          <w:sz w:val="22"/>
          <w:szCs w:val="22"/>
          <w:lang w:val="en-GB"/>
        </w:rPr>
        <w:t>however, has</w:t>
      </w:r>
      <w:r w:rsidRPr="5AB6EA17" w:rsidR="5945EBEC">
        <w:rPr>
          <w:rFonts w:ascii="Arial" w:hAnsi="Arial" w:eastAsia="Arial" w:cs="Arial"/>
          <w:noProof w:val="0"/>
          <w:sz w:val="22"/>
          <w:szCs w:val="22"/>
          <w:lang w:val="en-GB"/>
        </w:rPr>
        <w:t xml:space="preserve"> limitations. One challenge is that not all service users are willing or able to </w:t>
      </w:r>
      <w:r w:rsidRPr="5AB6EA17" w:rsidR="5945EBEC">
        <w:rPr>
          <w:rFonts w:ascii="Arial" w:hAnsi="Arial" w:eastAsia="Arial" w:cs="Arial"/>
          <w:noProof w:val="0"/>
          <w:sz w:val="22"/>
          <w:szCs w:val="22"/>
          <w:lang w:val="en-GB"/>
        </w:rPr>
        <w:t>participate</w:t>
      </w:r>
      <w:r w:rsidRPr="5AB6EA17" w:rsidR="5945EBEC">
        <w:rPr>
          <w:rFonts w:ascii="Arial" w:hAnsi="Arial" w:eastAsia="Arial" w:cs="Arial"/>
          <w:noProof w:val="0"/>
          <w:sz w:val="22"/>
          <w:szCs w:val="22"/>
          <w:lang w:val="en-GB"/>
        </w:rPr>
        <w:t xml:space="preserve"> actively in decision-making, particularly in cases involving cognitive impairment or severe illness (Smith </w:t>
      </w:r>
      <w:r w:rsidRPr="5AB6EA17" w:rsidR="5945EBEC">
        <w:rPr>
          <w:rFonts w:ascii="Arial" w:hAnsi="Arial" w:eastAsia="Arial" w:cs="Arial"/>
          <w:i w:val="1"/>
          <w:iCs w:val="1"/>
          <w:noProof w:val="0"/>
          <w:sz w:val="22"/>
          <w:szCs w:val="22"/>
          <w:lang w:val="en-GB"/>
        </w:rPr>
        <w:t>et al.</w:t>
      </w:r>
      <w:r w:rsidRPr="5AB6EA17" w:rsidR="5945EBEC">
        <w:rPr>
          <w:rFonts w:ascii="Arial" w:hAnsi="Arial" w:eastAsia="Arial" w:cs="Arial"/>
          <w:noProof w:val="0"/>
          <w:sz w:val="22"/>
          <w:szCs w:val="22"/>
          <w:lang w:val="en-GB"/>
        </w:rPr>
        <w:t xml:space="preserve">, 2022). </w:t>
      </w:r>
      <w:r w:rsidRPr="5AB6EA17" w:rsidR="4756A8AD">
        <w:rPr>
          <w:rFonts w:ascii="Arial" w:hAnsi="Arial" w:eastAsia="Arial" w:cs="Arial"/>
          <w:noProof w:val="0"/>
          <w:sz w:val="22"/>
          <w:szCs w:val="22"/>
          <w:lang w:val="en-GB"/>
        </w:rPr>
        <w:t>Time and budget constraints in healthcare settings might also limit the effectiveness with which PCC can be applied. Furthermore, reconciling patient preferences with professional assessment might cause ethical dilemmas for practitioners</w:t>
      </w:r>
      <w:r w:rsidRPr="5AB6EA17" w:rsidR="1F88A8EF">
        <w:rPr>
          <w:rFonts w:ascii="Arial" w:hAnsi="Arial" w:eastAsia="Arial" w:cs="Arial"/>
          <w:noProof w:val="0"/>
          <w:sz w:val="22"/>
          <w:szCs w:val="22"/>
          <w:lang w:val="en-GB"/>
        </w:rPr>
        <w:t xml:space="preserve">, </w:t>
      </w:r>
      <w:r w:rsidRPr="5AB6EA17" w:rsidR="1F88A8EF">
        <w:rPr>
          <w:rFonts w:ascii="Arial" w:hAnsi="Arial" w:eastAsia="Arial" w:cs="Arial"/>
          <w:noProof w:val="0"/>
          <w:sz w:val="22"/>
          <w:szCs w:val="22"/>
          <w:lang w:val="en-GB"/>
        </w:rPr>
        <w:t>demonstrating</w:t>
      </w:r>
      <w:r w:rsidRPr="5AB6EA17" w:rsidR="4756A8AD">
        <w:rPr>
          <w:rFonts w:ascii="Arial" w:hAnsi="Arial" w:eastAsia="Arial" w:cs="Arial"/>
          <w:noProof w:val="0"/>
          <w:sz w:val="22"/>
          <w:szCs w:val="22"/>
          <w:lang w:val="en-GB"/>
        </w:rPr>
        <w:t xml:space="preserve"> the difficulty of continuously using PCC in real-world contexts</w:t>
      </w:r>
      <w:r w:rsidRPr="5AB6EA17" w:rsidR="12AB0E0E">
        <w:rPr>
          <w:rFonts w:ascii="Arial" w:hAnsi="Arial" w:eastAsia="Arial" w:cs="Arial"/>
          <w:noProof w:val="0"/>
          <w:sz w:val="22"/>
          <w:szCs w:val="22"/>
          <w:lang w:val="en-GB"/>
        </w:rPr>
        <w:t>.</w:t>
      </w:r>
    </w:p>
    <w:p w:rsidR="654CF6E3" w:rsidP="5AB6EA17" w:rsidRDefault="654CF6E3" w14:paraId="36AA3670" w14:textId="00BB8745">
      <w:pPr>
        <w:pStyle w:val="Normal"/>
        <w:spacing w:before="0" w:beforeAutospacing="off" w:after="0" w:afterAutospacing="off" w:line="360" w:lineRule="auto"/>
        <w:jc w:val="both"/>
        <w:rPr>
          <w:rFonts w:ascii="Arial" w:hAnsi="Arial" w:eastAsia="Arial" w:cs="Arial"/>
          <w:noProof w:val="0"/>
          <w:sz w:val="24"/>
          <w:szCs w:val="24"/>
          <w:lang w:val="en-GB"/>
        </w:rPr>
      </w:pPr>
    </w:p>
    <w:p xmlns:wp14="http://schemas.microsoft.com/office/word/2010/wordml" w:rsidP="5AB6EA17" wp14:paraId="35EBA6E1" wp14:textId="75063181">
      <w:pPr>
        <w:pStyle w:val="Heading1"/>
        <w:jc w:val="both"/>
        <w:rPr>
          <w:noProof w:val="0"/>
          <w:lang w:val="en-GB"/>
        </w:rPr>
      </w:pPr>
    </w:p>
    <w:p xmlns:wp14="http://schemas.microsoft.com/office/word/2010/wordml" w:rsidP="31E3D08A" wp14:paraId="1D5BE137" wp14:textId="54ED2D18">
      <w:pPr>
        <w:pStyle w:val="Heading1"/>
        <w:rPr>
          <w:rFonts w:ascii="Arial" w:hAnsi="Arial" w:eastAsia="Arial" w:cs="Arial"/>
          <w:b w:val="1"/>
          <w:bCs w:val="1"/>
          <w:noProof w:val="0"/>
          <w:color w:val="000000" w:themeColor="text1" w:themeTint="FF" w:themeShade="FF"/>
          <w:sz w:val="24"/>
          <w:szCs w:val="24"/>
          <w:lang w:val="en-GB"/>
        </w:rPr>
      </w:pPr>
      <w:r w:rsidRPr="26DCE4FE" w:rsidR="7464F23C">
        <w:rPr>
          <w:b w:val="1"/>
          <w:bCs w:val="1"/>
          <w:noProof w:val="0"/>
          <w:color w:val="000000" w:themeColor="text1" w:themeTint="FF" w:themeShade="FF"/>
          <w:lang w:val="en-GB"/>
        </w:rPr>
        <w:t>Relevant Theories Supporting Person-Centred Care</w:t>
      </w:r>
    </w:p>
    <w:p w:rsidR="70E727C1" w:rsidP="5AB6EA17" w:rsidRDefault="70E727C1" w14:paraId="1BFDAE97" w14:textId="1CF2838D">
      <w:pPr>
        <w:pStyle w:val="Normal"/>
        <w:spacing w:before="240" w:beforeAutospacing="off" w:after="240" w:afterAutospacing="off" w:line="360" w:lineRule="auto"/>
        <w:jc w:val="both"/>
        <w:rPr>
          <w:noProof w:val="0"/>
          <w:sz w:val="22"/>
          <w:szCs w:val="22"/>
          <w:lang w:val="en-GB"/>
        </w:rPr>
      </w:pPr>
      <w:r w:rsidRPr="5AB6EA17" w:rsidR="05398B2A">
        <w:rPr>
          <w:noProof w:val="0"/>
          <w:sz w:val="22"/>
          <w:szCs w:val="22"/>
          <w:lang w:val="en-GB"/>
        </w:rPr>
        <w:t xml:space="preserve">Several theoretical frameworks promote </w:t>
      </w:r>
      <w:r w:rsidRPr="5AB6EA17" w:rsidR="05398B2A">
        <w:rPr>
          <w:rFonts w:ascii="Arial" w:hAnsi="Arial" w:eastAsia="Arial" w:cs="Arial"/>
          <w:noProof w:val="0"/>
          <w:sz w:val="22"/>
          <w:szCs w:val="22"/>
          <w:lang w:val="en-GB"/>
        </w:rPr>
        <w:t>person-centred</w:t>
      </w:r>
      <w:r w:rsidRPr="5AB6EA17" w:rsidR="05398B2A">
        <w:rPr>
          <w:noProof w:val="0"/>
          <w:sz w:val="22"/>
          <w:szCs w:val="22"/>
          <w:lang w:val="en-GB"/>
        </w:rPr>
        <w:t xml:space="preserve"> care. These ideas shed light on what motivates human cognition and behaviour (giving support for evidence-based PCC approaches). Rogers' 1961 work on humanistic psychology emphasises the need </w:t>
      </w:r>
      <w:r w:rsidRPr="5AB6EA17" w:rsidR="05398B2A">
        <w:rPr>
          <w:rFonts w:ascii="Arial" w:hAnsi="Arial" w:eastAsia="Arial" w:cs="Arial"/>
          <w:noProof w:val="0"/>
          <w:sz w:val="22"/>
          <w:szCs w:val="22"/>
          <w:lang w:val="en-GB"/>
        </w:rPr>
        <w:t>for</w:t>
      </w:r>
      <w:r w:rsidRPr="5AB6EA17" w:rsidR="05398B2A">
        <w:rPr>
          <w:noProof w:val="0"/>
          <w:sz w:val="22"/>
          <w:szCs w:val="22"/>
          <w:lang w:val="en-GB"/>
        </w:rPr>
        <w:t xml:space="preserve"> empathy, unconditional positive regard, and the therapeutic relationship in providing effective care. This is strongly aligned with PCC, which prioritises the individual's experience and </w:t>
      </w:r>
      <w:r w:rsidRPr="5AB6EA17" w:rsidR="4A3C6626">
        <w:rPr>
          <w:noProof w:val="0"/>
          <w:sz w:val="22"/>
          <w:szCs w:val="22"/>
          <w:lang w:val="en-GB"/>
        </w:rPr>
        <w:t>perspective. Self</w:t>
      </w:r>
      <w:r w:rsidRPr="5AB6EA17" w:rsidR="0A9CFAFE">
        <w:rPr>
          <w:rFonts w:ascii="Arial" w:hAnsi="Arial" w:eastAsia="Arial" w:cs="Arial"/>
          <w:noProof w:val="0"/>
          <w:sz w:val="22"/>
          <w:szCs w:val="22"/>
          <w:lang w:val="en-GB"/>
        </w:rPr>
        <w:t>-determination theory (Deci and Ryan, 1985) extends PCC by emphasising</w:t>
      </w:r>
      <w:r w:rsidRPr="5AB6EA17" w:rsidR="0A9CFAFE">
        <w:rPr>
          <w:rFonts w:ascii="Arial" w:hAnsi="Arial" w:eastAsia="Arial" w:cs="Arial"/>
          <w:noProof w:val="0"/>
          <w:sz w:val="22"/>
          <w:szCs w:val="22"/>
          <w:lang w:val="en-GB"/>
        </w:rPr>
        <w:t xml:space="preserve"> the role of autonomy, competence, and relatedness in inspiring individual motivation. According to this theory, when people</w:t>
      </w:r>
      <w:r w:rsidRPr="5AB6EA17" w:rsidR="0A9CFAFE">
        <w:rPr>
          <w:rFonts w:ascii="Arial" w:hAnsi="Arial" w:eastAsia="Arial" w:cs="Arial"/>
          <w:noProof w:val="0"/>
          <w:sz w:val="22"/>
          <w:szCs w:val="22"/>
          <w:lang w:val="en-GB"/>
        </w:rPr>
        <w:t xml:space="preserve"> feel empowered and encouraged, they are more</w:t>
      </w:r>
      <w:r w:rsidRPr="5AB6EA17" w:rsidR="0A9CFAFE">
        <w:rPr>
          <w:rFonts w:ascii="Arial" w:hAnsi="Arial" w:eastAsia="Arial" w:cs="Arial"/>
          <w:noProof w:val="0"/>
          <w:sz w:val="24"/>
          <w:szCs w:val="24"/>
          <w:lang w:val="en-GB"/>
        </w:rPr>
        <w:t xml:space="preserve"> </w:t>
      </w:r>
      <w:r w:rsidRPr="5AB6EA17" w:rsidR="0A9CFAFE">
        <w:rPr>
          <w:rFonts w:ascii="Arial" w:hAnsi="Arial" w:eastAsia="Arial" w:cs="Arial"/>
          <w:noProof w:val="0"/>
          <w:sz w:val="22"/>
          <w:szCs w:val="22"/>
          <w:lang w:val="en-GB"/>
        </w:rPr>
        <w:t xml:space="preserve">willing to take care of themselves (which supports PCC’s emphasis on patient participation and self-management). </w:t>
      </w:r>
    </w:p>
    <w:p w:rsidR="70E727C1" w:rsidP="5AB6EA17" w:rsidRDefault="70E727C1" w14:paraId="5CD1B771" w14:textId="54D3DB76">
      <w:pPr>
        <w:pStyle w:val="Normal"/>
        <w:spacing w:before="240" w:beforeAutospacing="off" w:after="240" w:afterAutospacing="off" w:line="360" w:lineRule="auto"/>
        <w:jc w:val="both"/>
        <w:rPr>
          <w:rFonts w:ascii="Arial" w:hAnsi="Arial" w:eastAsia="Arial" w:cs="Arial"/>
          <w:noProof w:val="0"/>
          <w:sz w:val="22"/>
          <w:szCs w:val="22"/>
          <w:lang w:val="en-GB"/>
        </w:rPr>
      </w:pPr>
      <w:r w:rsidRPr="26DCE4FE" w:rsidR="66176260">
        <w:rPr>
          <w:rFonts w:ascii="Arial" w:hAnsi="Arial" w:eastAsia="Arial" w:cs="Arial"/>
          <w:noProof w:val="0"/>
          <w:sz w:val="22"/>
          <w:szCs w:val="22"/>
          <w:lang w:val="en-GB"/>
        </w:rPr>
        <w:t xml:space="preserve">Maslow's hierarchy of requirements (Maslow, 1943) provides a systematic framework for understanding human motivation, arguing that individuals must first meet their basic physiological and safety needs before obtaining higher levels of well-being, such as self-actualisation. This is consistent with PCC because it addresses </w:t>
      </w:r>
      <w:r w:rsidRPr="26DCE4FE" w:rsidR="66176260">
        <w:rPr>
          <w:rFonts w:ascii="Arial" w:hAnsi="Arial" w:eastAsia="Arial" w:cs="Arial"/>
          <w:noProof w:val="0"/>
          <w:sz w:val="22"/>
          <w:szCs w:val="22"/>
          <w:lang w:val="en-GB"/>
        </w:rPr>
        <w:t>all of</w:t>
      </w:r>
      <w:r w:rsidRPr="26DCE4FE" w:rsidR="66176260">
        <w:rPr>
          <w:rFonts w:ascii="Arial" w:hAnsi="Arial" w:eastAsia="Arial" w:cs="Arial"/>
          <w:noProof w:val="0"/>
          <w:sz w:val="22"/>
          <w:szCs w:val="22"/>
          <w:lang w:val="en-GB"/>
        </w:rPr>
        <w:t xml:space="preserve"> a person's needs, not just their sickness. The key advantage is that PCC aligns with clinical priority, particularly in emergency settings where physical stability is critical, </w:t>
      </w:r>
      <w:r w:rsidRPr="26DCE4FE" w:rsidR="66176260">
        <w:rPr>
          <w:rFonts w:ascii="Arial" w:hAnsi="Arial" w:eastAsia="Arial" w:cs="Arial"/>
          <w:noProof w:val="0"/>
          <w:sz w:val="22"/>
          <w:szCs w:val="22"/>
          <w:lang w:val="en-GB"/>
        </w:rPr>
        <w:t>demonstrating</w:t>
      </w:r>
      <w:r w:rsidRPr="26DCE4FE" w:rsidR="66176260">
        <w:rPr>
          <w:rFonts w:ascii="Arial" w:hAnsi="Arial" w:eastAsia="Arial" w:cs="Arial"/>
          <w:noProof w:val="0"/>
          <w:sz w:val="22"/>
          <w:szCs w:val="22"/>
          <w:lang w:val="en-GB"/>
        </w:rPr>
        <w:t xml:space="preserve"> how PCC may be used in urgent care contexts. </w:t>
      </w:r>
    </w:p>
    <w:p w:rsidR="226AC904" w:rsidP="5AB6EA17" w:rsidRDefault="226AC904" w14:paraId="0F478A9C" w14:textId="46DBECED">
      <w:pPr>
        <w:pStyle w:val="Normal"/>
        <w:spacing w:before="240" w:beforeAutospacing="off" w:after="240" w:afterAutospacing="off" w:line="360" w:lineRule="auto"/>
        <w:jc w:val="both"/>
        <w:rPr>
          <w:rFonts w:ascii="Arial" w:hAnsi="Arial" w:eastAsia="Arial" w:cs="Arial"/>
          <w:noProof w:val="0"/>
          <w:sz w:val="22"/>
          <w:szCs w:val="22"/>
          <w:lang w:val="en-GB"/>
        </w:rPr>
      </w:pPr>
      <w:r w:rsidRPr="5AB6EA17" w:rsidR="597D2E0E">
        <w:rPr>
          <w:rFonts w:ascii="Arial" w:hAnsi="Arial" w:eastAsia="Arial" w:cs="Arial"/>
          <w:noProof w:val="0"/>
          <w:sz w:val="22"/>
          <w:szCs w:val="22"/>
          <w:lang w:val="en-GB"/>
        </w:rPr>
        <w:t xml:space="preserve">However, </w:t>
      </w:r>
      <w:r w:rsidRPr="5AB6EA17" w:rsidR="25CA6903">
        <w:rPr>
          <w:rFonts w:ascii="Arial" w:hAnsi="Arial" w:eastAsia="Arial" w:cs="Arial"/>
          <w:noProof w:val="0"/>
          <w:sz w:val="22"/>
          <w:szCs w:val="22"/>
          <w:lang w:val="en-GB"/>
        </w:rPr>
        <w:t>Maslow’s</w:t>
      </w:r>
      <w:r w:rsidRPr="5AB6EA17" w:rsidR="597D2E0E">
        <w:rPr>
          <w:rFonts w:ascii="Arial" w:hAnsi="Arial" w:eastAsia="Arial" w:cs="Arial"/>
          <w:noProof w:val="0"/>
          <w:sz w:val="22"/>
          <w:szCs w:val="22"/>
          <w:lang w:val="en-GB"/>
        </w:rPr>
        <w:t xml:space="preserve"> has some flaws, such as being overly rigorous, preferring specific cultures, and </w:t>
      </w:r>
      <w:r w:rsidRPr="5AB6EA17" w:rsidR="597D2E0E">
        <w:rPr>
          <w:rFonts w:ascii="Arial" w:hAnsi="Arial" w:eastAsia="Arial" w:cs="Arial"/>
          <w:noProof w:val="0"/>
          <w:sz w:val="22"/>
          <w:szCs w:val="22"/>
          <w:lang w:val="en-GB"/>
        </w:rPr>
        <w:t xml:space="preserve">failing to </w:t>
      </w:r>
      <w:r w:rsidRPr="5AB6EA17" w:rsidR="12FD89B5">
        <w:rPr>
          <w:rFonts w:ascii="Arial" w:hAnsi="Arial" w:eastAsia="Arial" w:cs="Arial"/>
          <w:noProof w:val="0"/>
          <w:sz w:val="22"/>
          <w:szCs w:val="22"/>
          <w:lang w:val="en-GB"/>
        </w:rPr>
        <w:t>consider</w:t>
      </w:r>
      <w:r w:rsidRPr="5AB6EA17" w:rsidR="597D2E0E">
        <w:rPr>
          <w:rFonts w:ascii="Arial" w:hAnsi="Arial" w:eastAsia="Arial" w:cs="Arial"/>
          <w:noProof w:val="0"/>
          <w:sz w:val="22"/>
          <w:szCs w:val="22"/>
          <w:lang w:val="en-GB"/>
        </w:rPr>
        <w:t xml:space="preserve"> the diversity of people. As a result, it should be used in concert with other approaches to ensure that care stays focused on the individual. Shared decision-making models improve patient-centred care by fostering collaboration between patients and professionals to make informed healthcare decisions (Elwyn et al., 2012)</w:t>
      </w:r>
      <w:r w:rsidRPr="5AB6EA17" w:rsidR="7EC8A044">
        <w:rPr>
          <w:rFonts w:ascii="Arial" w:hAnsi="Arial" w:eastAsia="Arial" w:cs="Arial"/>
          <w:noProof w:val="0"/>
          <w:sz w:val="22"/>
          <w:szCs w:val="22"/>
          <w:lang w:val="en-GB"/>
        </w:rPr>
        <w:t>,</w:t>
      </w:r>
      <w:r w:rsidRPr="5AB6EA17" w:rsidR="597D2E0E">
        <w:rPr>
          <w:rFonts w:ascii="Arial" w:hAnsi="Arial" w:eastAsia="Arial" w:cs="Arial"/>
          <w:noProof w:val="0"/>
          <w:sz w:val="22"/>
          <w:szCs w:val="22"/>
          <w:lang w:val="en-GB"/>
        </w:rPr>
        <w:t xml:space="preserve"> reinforcing PCC's practical application in clinical decision-making. These themes encourage the practical application of PCC by highlighting individuality, empowerment, and </w:t>
      </w:r>
      <w:r w:rsidRPr="5AB6EA17" w:rsidR="158CE7EB">
        <w:rPr>
          <w:rFonts w:ascii="Arial" w:hAnsi="Arial" w:eastAsia="Arial" w:cs="Arial"/>
          <w:noProof w:val="0"/>
          <w:sz w:val="22"/>
          <w:szCs w:val="22"/>
          <w:lang w:val="en-GB"/>
        </w:rPr>
        <w:t>collaboration,</w:t>
      </w:r>
      <w:r w:rsidRPr="5AB6EA17" w:rsidR="597D2E0E">
        <w:rPr>
          <w:rFonts w:ascii="Arial" w:hAnsi="Arial" w:eastAsia="Arial" w:cs="Arial"/>
          <w:noProof w:val="0"/>
          <w:sz w:val="22"/>
          <w:szCs w:val="22"/>
          <w:lang w:val="en-GB"/>
        </w:rPr>
        <w:t xml:space="preserve"> </w:t>
      </w:r>
      <w:r w:rsidRPr="5AB6EA17" w:rsidR="56687778">
        <w:rPr>
          <w:rFonts w:ascii="Arial" w:hAnsi="Arial" w:eastAsia="Arial" w:cs="Arial"/>
          <w:noProof w:val="0"/>
          <w:sz w:val="22"/>
          <w:szCs w:val="22"/>
          <w:lang w:val="en-GB"/>
        </w:rPr>
        <w:t>d</w:t>
      </w:r>
      <w:r w:rsidRPr="5AB6EA17" w:rsidR="597D2E0E">
        <w:rPr>
          <w:rFonts w:ascii="Arial" w:hAnsi="Arial" w:eastAsia="Arial" w:cs="Arial"/>
          <w:noProof w:val="0"/>
          <w:sz w:val="22"/>
          <w:szCs w:val="22"/>
          <w:lang w:val="en-GB"/>
        </w:rPr>
        <w:t>emonstrating</w:t>
      </w:r>
      <w:r w:rsidRPr="5AB6EA17" w:rsidR="597D2E0E">
        <w:rPr>
          <w:rFonts w:ascii="Arial" w:hAnsi="Arial" w:eastAsia="Arial" w:cs="Arial"/>
          <w:noProof w:val="0"/>
          <w:sz w:val="22"/>
          <w:szCs w:val="22"/>
          <w:lang w:val="en-GB"/>
        </w:rPr>
        <w:t xml:space="preserve"> the link between theory and practice.</w:t>
      </w:r>
    </w:p>
    <w:p w:rsidR="07F53BC2" w:rsidP="5AB6EA17" w:rsidRDefault="07F53BC2" w14:paraId="24132A4D" w14:textId="16EED616">
      <w:pPr>
        <w:pStyle w:val="Normal"/>
        <w:jc w:val="both"/>
        <w:rPr>
          <w:noProof w:val="0"/>
          <w:lang w:val="en-GB"/>
        </w:rPr>
      </w:pPr>
    </w:p>
    <w:p xmlns:wp14="http://schemas.microsoft.com/office/word/2010/wordml" w:rsidP="7F49A4B4" wp14:paraId="6090D89C" wp14:textId="4112E31C">
      <w:pPr>
        <w:pStyle w:val="Heading1"/>
        <w:spacing w:line="360" w:lineRule="auto"/>
        <w:rPr>
          <w:b w:val="1"/>
          <w:bCs w:val="1"/>
          <w:noProof w:val="0"/>
          <w:color w:val="000000" w:themeColor="text1" w:themeTint="FF" w:themeShade="FF"/>
          <w:lang w:val="en-GB"/>
        </w:rPr>
      </w:pPr>
      <w:r w:rsidRPr="26DCE4FE" w:rsidR="65FB354F">
        <w:rPr>
          <w:b w:val="1"/>
          <w:bCs w:val="1"/>
          <w:noProof w:val="0"/>
          <w:color w:val="000000" w:themeColor="text1" w:themeTint="FF" w:themeShade="FF"/>
          <w:lang w:val="en-GB"/>
        </w:rPr>
        <w:t>Ethical Fundamentals of Health and Social Care</w:t>
      </w:r>
      <w:r w:rsidRPr="26DCE4FE" w:rsidR="65FB354F">
        <w:rPr>
          <w:b w:val="1"/>
          <w:bCs w:val="1"/>
          <w:noProof w:val="0"/>
          <w:color w:val="000000" w:themeColor="text1" w:themeTint="FF" w:themeShade="FF"/>
          <w:lang w:val="en-GB"/>
        </w:rPr>
        <w:t xml:space="preserve"> </w:t>
      </w:r>
    </w:p>
    <w:p w:rsidR="616154C6" w:rsidP="5AB6EA17" w:rsidRDefault="616154C6" w14:paraId="59E88C28" w14:textId="796E3B2F">
      <w:pPr>
        <w:pStyle w:val="Normal"/>
        <w:spacing w:line="360" w:lineRule="auto"/>
        <w:jc w:val="both"/>
        <w:rPr>
          <w:noProof w:val="0"/>
          <w:sz w:val="22"/>
          <w:szCs w:val="22"/>
          <w:lang w:val="en-GB"/>
        </w:rPr>
      </w:pPr>
      <w:r w:rsidRPr="5AB6EA17" w:rsidR="693F3C0E">
        <w:rPr>
          <w:noProof w:val="0"/>
          <w:sz w:val="22"/>
          <w:szCs w:val="22"/>
          <w:lang w:val="en-GB"/>
        </w:rPr>
        <w:t xml:space="preserve">Ethical standards serve as the foundation for health and social care practice, ensuring that care respects </w:t>
      </w:r>
      <w:r w:rsidRPr="5AB6EA17" w:rsidR="04F38158">
        <w:rPr>
          <w:rFonts w:ascii="Arial" w:hAnsi="Arial" w:eastAsia="Arial" w:cs="Arial"/>
          <w:noProof w:val="0"/>
          <w:sz w:val="22"/>
          <w:szCs w:val="22"/>
          <w:lang w:val="en-GB"/>
        </w:rPr>
        <w:t>dignity and</w:t>
      </w:r>
      <w:r w:rsidRPr="5AB6EA17" w:rsidR="693F3C0E">
        <w:rPr>
          <w:noProof w:val="0"/>
          <w:sz w:val="22"/>
          <w:szCs w:val="22"/>
          <w:lang w:val="en-GB"/>
        </w:rPr>
        <w:t xml:space="preserve"> promotes well-being, </w:t>
      </w:r>
      <w:r w:rsidRPr="5AB6EA17" w:rsidR="7FE883AD">
        <w:rPr>
          <w:noProof w:val="0"/>
          <w:sz w:val="22"/>
          <w:szCs w:val="22"/>
          <w:lang w:val="en-GB"/>
        </w:rPr>
        <w:t xml:space="preserve">which is essential for </w:t>
      </w:r>
      <w:r w:rsidRPr="5AB6EA17" w:rsidR="693F3C0E">
        <w:rPr>
          <w:noProof w:val="0"/>
          <w:sz w:val="22"/>
          <w:szCs w:val="22"/>
          <w:lang w:val="en-GB"/>
        </w:rPr>
        <w:t xml:space="preserve">high-quality, </w:t>
      </w:r>
      <w:r w:rsidRPr="5AB6EA17" w:rsidR="693F3C0E">
        <w:rPr>
          <w:rFonts w:ascii="Arial" w:hAnsi="Arial" w:eastAsia="Arial" w:cs="Arial"/>
          <w:noProof w:val="0"/>
          <w:sz w:val="22"/>
          <w:szCs w:val="22"/>
          <w:lang w:val="en-GB"/>
        </w:rPr>
        <w:t>patient-centred</w:t>
      </w:r>
      <w:r w:rsidRPr="5AB6EA17" w:rsidR="693F3C0E">
        <w:rPr>
          <w:noProof w:val="0"/>
          <w:sz w:val="22"/>
          <w:szCs w:val="22"/>
          <w:lang w:val="en-GB"/>
        </w:rPr>
        <w:t xml:space="preserve"> </w:t>
      </w:r>
      <w:r w:rsidRPr="5AB6EA17" w:rsidR="03A14CE8">
        <w:rPr>
          <w:rFonts w:ascii="Arial" w:hAnsi="Arial" w:eastAsia="Arial" w:cs="Arial"/>
          <w:noProof w:val="0"/>
          <w:sz w:val="22"/>
          <w:szCs w:val="22"/>
          <w:lang w:val="en-GB"/>
        </w:rPr>
        <w:t>care.</w:t>
      </w:r>
      <w:r w:rsidRPr="5AB6EA17" w:rsidR="693F3C0E">
        <w:rPr>
          <w:noProof w:val="0"/>
          <w:sz w:val="22"/>
          <w:szCs w:val="22"/>
          <w:lang w:val="en-GB"/>
        </w:rPr>
        <w:t xml:space="preserve"> The four major principles are autonomy, beneficence, nonmaleficence, and justice (Varkey, 2020). Autonomy entails respecting </w:t>
      </w:r>
      <w:r w:rsidRPr="5AB6EA17" w:rsidR="1A4EA23A">
        <w:rPr>
          <w:noProof w:val="0"/>
          <w:sz w:val="22"/>
          <w:szCs w:val="22"/>
          <w:lang w:val="en-GB"/>
        </w:rPr>
        <w:t>individuals’</w:t>
      </w:r>
      <w:r w:rsidRPr="5AB6EA17" w:rsidR="693F3C0E">
        <w:rPr>
          <w:noProof w:val="0"/>
          <w:sz w:val="22"/>
          <w:szCs w:val="22"/>
          <w:lang w:val="en-GB"/>
        </w:rPr>
        <w:t xml:space="preserve"> rights to make their own decisions and is fundamental to </w:t>
      </w:r>
      <w:r w:rsidRPr="5AB6EA17" w:rsidR="693F3C0E">
        <w:rPr>
          <w:rFonts w:ascii="Arial" w:hAnsi="Arial" w:eastAsia="Arial" w:cs="Arial"/>
          <w:noProof w:val="0"/>
          <w:sz w:val="22"/>
          <w:szCs w:val="22"/>
          <w:lang w:val="en-GB"/>
        </w:rPr>
        <w:t>person-centred</w:t>
      </w:r>
      <w:r w:rsidRPr="5AB6EA17" w:rsidR="693F3C0E">
        <w:rPr>
          <w:noProof w:val="0"/>
          <w:sz w:val="22"/>
          <w:szCs w:val="22"/>
          <w:lang w:val="en-GB"/>
        </w:rPr>
        <w:t xml:space="preserve"> care (PCC). Beneficence focuses on acting in the service user's best interests, </w:t>
      </w:r>
      <w:r w:rsidRPr="5AB6EA17" w:rsidR="693F3C0E">
        <w:rPr>
          <w:noProof w:val="0"/>
          <w:sz w:val="22"/>
          <w:szCs w:val="22"/>
          <w:lang w:val="en-GB"/>
        </w:rPr>
        <w:t>whereas</w:t>
      </w:r>
      <w:r w:rsidRPr="5AB6EA17" w:rsidR="693F3C0E">
        <w:rPr>
          <w:noProof w:val="0"/>
          <w:sz w:val="22"/>
          <w:szCs w:val="22"/>
          <w:lang w:val="en-GB"/>
        </w:rPr>
        <w:t xml:space="preserve"> nonmaleficence demands preventing harm. In PCC, this entails preventing not just bodily pain, but also emotional, psychological, and social suffering that might result from ineffective interventions</w:t>
      </w:r>
      <w:r w:rsidRPr="5AB6EA17" w:rsidR="442B5F41">
        <w:rPr>
          <w:noProof w:val="0"/>
          <w:sz w:val="22"/>
          <w:szCs w:val="22"/>
          <w:lang w:val="en-GB"/>
        </w:rPr>
        <w:t xml:space="preserve">, </w:t>
      </w:r>
      <w:r w:rsidRPr="5AB6EA17" w:rsidR="442B5F41">
        <w:rPr>
          <w:noProof w:val="0"/>
          <w:sz w:val="22"/>
          <w:szCs w:val="22"/>
          <w:lang w:val="en-GB"/>
        </w:rPr>
        <w:t>demonstrating</w:t>
      </w:r>
      <w:r w:rsidRPr="5AB6EA17" w:rsidR="442B5F41">
        <w:rPr>
          <w:noProof w:val="0"/>
          <w:sz w:val="22"/>
          <w:szCs w:val="22"/>
          <w:lang w:val="en-GB"/>
        </w:rPr>
        <w:t xml:space="preserve"> practitioners' overall ethical obligations. It also entails understanding when therapies may conflict with a person's values or </w:t>
      </w:r>
      <w:r w:rsidRPr="5AB6EA17" w:rsidR="3B9B8FC6">
        <w:rPr>
          <w:rFonts w:ascii="Arial" w:hAnsi="Arial" w:eastAsia="Arial" w:cs="Arial"/>
          <w:noProof w:val="0"/>
          <w:sz w:val="22"/>
          <w:szCs w:val="22"/>
          <w:lang w:val="en-GB"/>
        </w:rPr>
        <w:t>quality of</w:t>
      </w:r>
      <w:r w:rsidRPr="5AB6EA17" w:rsidR="442B5F41">
        <w:rPr>
          <w:noProof w:val="0"/>
          <w:sz w:val="22"/>
          <w:szCs w:val="22"/>
          <w:lang w:val="en-GB"/>
        </w:rPr>
        <w:t xml:space="preserve"> </w:t>
      </w:r>
      <w:r w:rsidRPr="5AB6EA17" w:rsidR="442B5F41">
        <w:rPr>
          <w:rFonts w:ascii="Arial" w:hAnsi="Arial" w:eastAsia="Arial" w:cs="Arial"/>
          <w:noProof w:val="0"/>
          <w:sz w:val="22"/>
          <w:szCs w:val="22"/>
          <w:lang w:val="en-GB"/>
        </w:rPr>
        <w:t>life,</w:t>
      </w:r>
      <w:r w:rsidRPr="5AB6EA17" w:rsidR="442B5F41">
        <w:rPr>
          <w:noProof w:val="0"/>
          <w:sz w:val="22"/>
          <w:szCs w:val="22"/>
          <w:lang w:val="en-GB"/>
        </w:rPr>
        <w:t xml:space="preserve"> </w:t>
      </w:r>
      <w:r w:rsidRPr="5AB6EA17" w:rsidR="442B5F41">
        <w:rPr>
          <w:noProof w:val="0"/>
          <w:sz w:val="22"/>
          <w:szCs w:val="22"/>
          <w:lang w:val="en-GB"/>
        </w:rPr>
        <w:t>demonstrating</w:t>
      </w:r>
      <w:r w:rsidRPr="5AB6EA17" w:rsidR="442B5F41">
        <w:rPr>
          <w:noProof w:val="0"/>
          <w:sz w:val="22"/>
          <w:szCs w:val="22"/>
          <w:lang w:val="en-GB"/>
        </w:rPr>
        <w:t xml:space="preserve"> the importance of ethical judgement and </w:t>
      </w:r>
      <w:r w:rsidRPr="5AB6EA17" w:rsidR="11D2892E">
        <w:rPr>
          <w:rFonts w:ascii="Arial" w:hAnsi="Arial" w:eastAsia="Arial" w:cs="Arial"/>
          <w:noProof w:val="0"/>
          <w:sz w:val="22"/>
          <w:szCs w:val="22"/>
          <w:lang w:val="en-GB"/>
        </w:rPr>
        <w:t xml:space="preserve">sensitivity. </w:t>
      </w:r>
      <w:r w:rsidRPr="5AB6EA17" w:rsidR="69529514">
        <w:rPr>
          <w:rFonts w:ascii="Arial" w:hAnsi="Arial" w:eastAsia="Arial" w:cs="Arial"/>
          <w:noProof w:val="0"/>
          <w:sz w:val="22"/>
          <w:szCs w:val="22"/>
          <w:lang w:val="en-GB"/>
        </w:rPr>
        <w:t>'Justice'</w:t>
      </w:r>
      <w:r w:rsidRPr="5AB6EA17" w:rsidR="76054D68">
        <w:rPr>
          <w:rFonts w:ascii="Arial" w:hAnsi="Arial" w:eastAsia="Arial" w:cs="Arial"/>
          <w:noProof w:val="0"/>
          <w:sz w:val="22"/>
          <w:szCs w:val="22"/>
          <w:lang w:val="en-GB"/>
        </w:rPr>
        <w:t xml:space="preserve"> </w:t>
      </w:r>
      <w:r w:rsidRPr="5AB6EA17" w:rsidR="11D2892E">
        <w:rPr>
          <w:rFonts w:ascii="Arial" w:hAnsi="Arial" w:eastAsia="Arial" w:cs="Arial"/>
          <w:noProof w:val="0"/>
          <w:sz w:val="22"/>
          <w:szCs w:val="22"/>
          <w:lang w:val="en-GB"/>
        </w:rPr>
        <w:t>refers</w:t>
      </w:r>
      <w:r w:rsidRPr="5AB6EA17" w:rsidR="442B5F41">
        <w:rPr>
          <w:noProof w:val="0"/>
          <w:sz w:val="22"/>
          <w:szCs w:val="22"/>
          <w:lang w:val="en-GB"/>
        </w:rPr>
        <w:t xml:space="preserve"> to fair allocation of resources and services with a focus on equity in health and social care</w:t>
      </w:r>
      <w:r w:rsidRPr="5AB6EA17" w:rsidR="6AA34CA0">
        <w:rPr>
          <w:noProof w:val="0"/>
          <w:sz w:val="22"/>
          <w:szCs w:val="22"/>
          <w:lang w:val="en-GB"/>
        </w:rPr>
        <w:t xml:space="preserve">. </w:t>
      </w:r>
      <w:r w:rsidRPr="5AB6EA17" w:rsidR="442B5F41">
        <w:rPr>
          <w:noProof w:val="0"/>
          <w:sz w:val="22"/>
          <w:szCs w:val="22"/>
          <w:lang w:val="en-GB"/>
        </w:rPr>
        <w:t>Ethical frameworks and professional standards of conduct help practitioners make judgments that respect human rights and dignity (Moskop, 2016).</w:t>
      </w:r>
      <w:r w:rsidRPr="5AB6EA17" w:rsidR="6AA7E3D4">
        <w:rPr>
          <w:noProof w:val="0"/>
          <w:sz w:val="22"/>
          <w:szCs w:val="22"/>
          <w:lang w:val="en-GB"/>
        </w:rPr>
        <w:t xml:space="preserve"> </w:t>
      </w:r>
      <w:r w:rsidRPr="5AB6EA17" w:rsidR="15EEF08C">
        <w:rPr>
          <w:noProof w:val="0"/>
          <w:sz w:val="22"/>
          <w:szCs w:val="22"/>
          <w:lang w:val="en-GB"/>
        </w:rPr>
        <w:t>However, ethical quandaries might develop, particularly when balancing patient autonomy and professional duty (</w:t>
      </w:r>
      <w:r w:rsidRPr="5AB6EA17" w:rsidR="15EEF08C">
        <w:rPr>
          <w:noProof w:val="0"/>
          <w:sz w:val="22"/>
          <w:szCs w:val="22"/>
          <w:lang w:val="en-GB"/>
        </w:rPr>
        <w:t>demonstrating</w:t>
      </w:r>
      <w:r w:rsidRPr="5AB6EA17" w:rsidR="15EEF08C">
        <w:rPr>
          <w:noProof w:val="0"/>
          <w:sz w:val="22"/>
          <w:szCs w:val="22"/>
          <w:lang w:val="en-GB"/>
        </w:rPr>
        <w:t xml:space="preserve"> the difficulties of putting ethical ideas into reality). In </w:t>
      </w:r>
      <w:r w:rsidRPr="5AB6EA17" w:rsidR="15EEF08C">
        <w:rPr>
          <w:noProof w:val="0"/>
          <w:sz w:val="22"/>
          <w:szCs w:val="22"/>
          <w:lang w:val="en-GB"/>
        </w:rPr>
        <w:t xml:space="preserve">practice, PCC raises various ethical concerns (Zahra </w:t>
      </w:r>
      <w:r w:rsidRPr="5AB6EA17" w:rsidR="15EEF08C">
        <w:rPr>
          <w:i w:val="1"/>
          <w:iCs w:val="1"/>
          <w:noProof w:val="0"/>
          <w:sz w:val="22"/>
          <w:szCs w:val="22"/>
          <w:lang w:val="en-GB"/>
        </w:rPr>
        <w:t>et al</w:t>
      </w:r>
      <w:r w:rsidRPr="5AB6EA17" w:rsidR="15EEF08C">
        <w:rPr>
          <w:noProof w:val="0"/>
          <w:sz w:val="22"/>
          <w:szCs w:val="22"/>
          <w:lang w:val="en-GB"/>
        </w:rPr>
        <w:t xml:space="preserve">., 2025). </w:t>
      </w:r>
      <w:r w:rsidRPr="5AB6EA17" w:rsidR="02710C7A">
        <w:rPr>
          <w:rFonts w:ascii="Arial" w:hAnsi="Arial" w:eastAsia="Arial" w:cs="Arial"/>
          <w:noProof w:val="0"/>
          <w:sz w:val="22"/>
          <w:szCs w:val="22"/>
          <w:lang w:val="en-GB"/>
        </w:rPr>
        <w:t>An example</w:t>
      </w:r>
      <w:r w:rsidRPr="5AB6EA17" w:rsidR="15EEF08C">
        <w:rPr>
          <w:noProof w:val="0"/>
          <w:sz w:val="22"/>
          <w:szCs w:val="22"/>
          <w:lang w:val="en-GB"/>
        </w:rPr>
        <w:t xml:space="preserve"> is consent and capacity, in which professionals must decide how to </w:t>
      </w:r>
      <w:r w:rsidRPr="5AB6EA17" w:rsidR="15EEF08C">
        <w:rPr>
          <w:noProof w:val="0"/>
          <w:sz w:val="22"/>
          <w:szCs w:val="22"/>
          <w:lang w:val="en-GB"/>
        </w:rPr>
        <w:t>proceed</w:t>
      </w:r>
      <w:r w:rsidRPr="5AB6EA17" w:rsidR="15EEF08C">
        <w:rPr>
          <w:noProof w:val="0"/>
          <w:sz w:val="22"/>
          <w:szCs w:val="22"/>
          <w:lang w:val="en-GB"/>
        </w:rPr>
        <w:t xml:space="preserve"> when a patient is unable to make informed decisions (highlighting the necessity of legal and ethical frameworks in protecting</w:t>
      </w:r>
      <w:r w:rsidRPr="5AB6EA17" w:rsidR="15EEF08C">
        <w:rPr>
          <w:noProof w:val="0"/>
          <w:sz w:val="22"/>
          <w:szCs w:val="22"/>
          <w:lang w:val="en-GB"/>
        </w:rPr>
        <w:t xml:space="preserve"> patient rights). In such instances, they must evaluate the patient's past wishes, beliefs, and </w:t>
      </w:r>
      <w:r w:rsidRPr="5AB6EA17" w:rsidR="15EEF08C">
        <w:rPr>
          <w:rFonts w:ascii="Arial" w:hAnsi="Arial" w:eastAsia="Arial" w:cs="Arial"/>
          <w:noProof w:val="0"/>
          <w:sz w:val="22"/>
          <w:szCs w:val="22"/>
          <w:lang w:val="en-GB"/>
        </w:rPr>
        <w:t>values and</w:t>
      </w:r>
      <w:r w:rsidRPr="5AB6EA17" w:rsidR="15EEF08C">
        <w:rPr>
          <w:noProof w:val="0"/>
          <w:sz w:val="22"/>
          <w:szCs w:val="22"/>
          <w:lang w:val="en-GB"/>
        </w:rPr>
        <w:t xml:space="preserve"> may consult family members, caretakers, or legal frameworks to act in the patient's best interests.</w:t>
      </w:r>
    </w:p>
    <w:p w:rsidR="3B05A94C" w:rsidP="5AB6EA17" w:rsidRDefault="3B05A94C" w14:paraId="7149D384" w14:textId="733F0CB6">
      <w:pPr>
        <w:pStyle w:val="Normal"/>
        <w:spacing w:line="360" w:lineRule="auto"/>
        <w:jc w:val="both"/>
        <w:rPr>
          <w:noProof w:val="0"/>
          <w:sz w:val="22"/>
          <w:szCs w:val="22"/>
          <w:lang w:val="en-GB"/>
        </w:rPr>
      </w:pPr>
      <w:r w:rsidRPr="5AB6EA17" w:rsidR="7508E09E">
        <w:rPr>
          <w:noProof w:val="0"/>
          <w:sz w:val="22"/>
          <w:szCs w:val="22"/>
          <w:lang w:val="en-GB"/>
        </w:rPr>
        <w:t xml:space="preserve">Another issue is resource scarcity (Anderson </w:t>
      </w:r>
      <w:r w:rsidRPr="5AB6EA17" w:rsidR="7508E09E">
        <w:rPr>
          <w:i w:val="1"/>
          <w:iCs w:val="1"/>
          <w:noProof w:val="0"/>
          <w:sz w:val="22"/>
          <w:szCs w:val="22"/>
          <w:lang w:val="en-GB"/>
        </w:rPr>
        <w:t>et al</w:t>
      </w:r>
      <w:r w:rsidRPr="5AB6EA17" w:rsidR="7508E09E">
        <w:rPr>
          <w:noProof w:val="0"/>
          <w:sz w:val="22"/>
          <w:szCs w:val="22"/>
          <w:lang w:val="en-GB"/>
        </w:rPr>
        <w:t xml:space="preserve">., 2021). Staffing, time, and financial constraints may limit personalised care, forcing professionals to strike a compromise between individual demands and </w:t>
      </w:r>
      <w:r w:rsidRPr="5AB6EA17" w:rsidR="7508E09E">
        <w:rPr>
          <w:noProof w:val="0"/>
          <w:sz w:val="22"/>
          <w:szCs w:val="22"/>
          <w:lang w:val="en-GB"/>
        </w:rPr>
        <w:t>equitable</w:t>
      </w:r>
      <w:r w:rsidRPr="5AB6EA17" w:rsidR="7508E09E">
        <w:rPr>
          <w:noProof w:val="0"/>
          <w:sz w:val="22"/>
          <w:szCs w:val="22"/>
          <w:lang w:val="en-GB"/>
        </w:rPr>
        <w:t xml:space="preserve"> and sustainable care. Conflicts can also arise between patients and their relatives, especially in dementia or end-of-life care. Professionals must prioritise the patient's wishes while </w:t>
      </w:r>
      <w:r w:rsidRPr="5AB6EA17" w:rsidR="7508E09E">
        <w:rPr>
          <w:noProof w:val="0"/>
          <w:sz w:val="22"/>
          <w:szCs w:val="22"/>
          <w:lang w:val="en-GB"/>
        </w:rPr>
        <w:t>taking into account</w:t>
      </w:r>
      <w:r w:rsidRPr="5AB6EA17" w:rsidR="7508E09E">
        <w:rPr>
          <w:noProof w:val="0"/>
          <w:sz w:val="22"/>
          <w:szCs w:val="22"/>
          <w:lang w:val="en-GB"/>
        </w:rPr>
        <w:t xml:space="preserve"> the viewpoints of others (</w:t>
      </w:r>
      <w:r w:rsidRPr="5AB6EA17" w:rsidR="7508E09E">
        <w:rPr>
          <w:noProof w:val="0"/>
          <w:sz w:val="22"/>
          <w:szCs w:val="22"/>
          <w:lang w:val="en-GB"/>
        </w:rPr>
        <w:t>demonstrating</w:t>
      </w:r>
      <w:r w:rsidRPr="5AB6EA17" w:rsidR="7508E09E">
        <w:rPr>
          <w:noProof w:val="0"/>
          <w:sz w:val="22"/>
          <w:szCs w:val="22"/>
          <w:lang w:val="en-GB"/>
        </w:rPr>
        <w:t xml:space="preserve"> the practical ethical complexity of collaborative decision-making). Finally, balancing risk with autonomy is critical. Patients have the freedom to make dangerous decisions, such as declining treatment, but clinicians must ensure patients are properly educated and supported.</w:t>
      </w:r>
    </w:p>
    <w:p w:rsidR="0B9E8487" w:rsidP="5AB6EA17" w:rsidRDefault="0B9E8487" w14:paraId="750480BC" w14:textId="5BF06020">
      <w:pPr>
        <w:pStyle w:val="Normal"/>
        <w:spacing w:line="360" w:lineRule="auto"/>
        <w:jc w:val="both"/>
        <w:rPr>
          <w:noProof w:val="0"/>
          <w:sz w:val="22"/>
          <w:szCs w:val="22"/>
          <w:lang w:val="en-GB"/>
        </w:rPr>
      </w:pPr>
      <w:r w:rsidRPr="5AB6EA17" w:rsidR="0B9E8487">
        <w:rPr>
          <w:noProof w:val="0"/>
          <w:sz w:val="22"/>
          <w:szCs w:val="22"/>
          <w:lang w:val="en-GB"/>
        </w:rPr>
        <w:t xml:space="preserve">explaining the ethical significance of informed consent and patient empowerment. Overall, ethical practice underpins PCC and partnership work, ensuring that treatment is courteous, </w:t>
      </w:r>
      <w:r w:rsidRPr="5AB6EA17" w:rsidR="0B9E8487">
        <w:rPr>
          <w:noProof w:val="0"/>
          <w:sz w:val="22"/>
          <w:szCs w:val="22"/>
          <w:lang w:val="en-GB"/>
        </w:rPr>
        <w:t>equitable</w:t>
      </w:r>
      <w:r w:rsidRPr="5AB6EA17" w:rsidR="0B9E8487">
        <w:rPr>
          <w:noProof w:val="0"/>
          <w:sz w:val="22"/>
          <w:szCs w:val="22"/>
          <w:lang w:val="en-GB"/>
        </w:rPr>
        <w:t>, and person-</w:t>
      </w:r>
      <w:r w:rsidRPr="5AB6EA17" w:rsidR="0B9E8487">
        <w:rPr>
          <w:noProof w:val="0"/>
          <w:sz w:val="22"/>
          <w:szCs w:val="22"/>
          <w:lang w:val="en-GB"/>
        </w:rPr>
        <w:t>centred</w:t>
      </w:r>
      <w:r w:rsidRPr="5AB6EA17" w:rsidR="0B9E8487">
        <w:rPr>
          <w:noProof w:val="0"/>
          <w:sz w:val="22"/>
          <w:szCs w:val="22"/>
          <w:lang w:val="en-GB"/>
        </w:rPr>
        <w:t>.</w:t>
      </w:r>
    </w:p>
    <w:p w:rsidR="27FB2CED" w:rsidP="7F49A4B4" w:rsidRDefault="27FB2CED" w14:paraId="76DF6896" w14:textId="3919D9DA">
      <w:pPr>
        <w:pStyle w:val="Normal"/>
        <w:spacing w:line="360" w:lineRule="auto"/>
        <w:rPr>
          <w:noProof w:val="0"/>
          <w:lang w:val="en-GB"/>
        </w:rPr>
      </w:pPr>
    </w:p>
    <w:p w:rsidR="27FB2CED" w:rsidP="7F49A4B4" w:rsidRDefault="27FB2CED" w14:paraId="238AC991" w14:textId="1254C0E8">
      <w:pPr>
        <w:pStyle w:val="Normal"/>
        <w:spacing w:line="360" w:lineRule="auto"/>
        <w:rPr>
          <w:noProof w:val="0"/>
          <w:lang w:val="en-GB"/>
        </w:rPr>
      </w:pPr>
    </w:p>
    <w:p w:rsidR="27FB2CED" w:rsidP="7F49A4B4" w:rsidRDefault="27FB2CED" w14:paraId="4A29B84C" w14:textId="34EE8C75">
      <w:pPr>
        <w:pStyle w:val="Normal"/>
        <w:spacing w:line="360" w:lineRule="auto"/>
        <w:rPr>
          <w:noProof w:val="0"/>
          <w:lang w:val="en-GB"/>
        </w:rPr>
      </w:pPr>
    </w:p>
    <w:p w:rsidR="27FB2CED" w:rsidP="7F49A4B4" w:rsidRDefault="27FB2CED" w14:paraId="19A6E88B" w14:textId="19F18846">
      <w:pPr>
        <w:pStyle w:val="Normal"/>
        <w:spacing w:line="360" w:lineRule="auto"/>
        <w:rPr>
          <w:noProof w:val="0"/>
          <w:lang w:val="en-GB"/>
        </w:rPr>
      </w:pPr>
    </w:p>
    <w:p w:rsidR="27FB2CED" w:rsidP="27FB2CED" w:rsidRDefault="27FB2CED" w14:paraId="4D20D862" w14:textId="1E11340A">
      <w:pPr>
        <w:spacing w:before="240" w:beforeAutospacing="off" w:after="240" w:afterAutospacing="off"/>
        <w:rPr>
          <w:rFonts w:ascii="Arial" w:hAnsi="Arial" w:eastAsia="Arial" w:cs="Arial"/>
          <w:noProof w:val="0"/>
          <w:sz w:val="24"/>
          <w:szCs w:val="24"/>
          <w:lang w:val="en-GB"/>
        </w:rPr>
      </w:pPr>
    </w:p>
    <w:p xmlns:wp14="http://schemas.microsoft.com/office/word/2010/wordml" w:rsidP="38536C70" wp14:paraId="5B56E2A7" wp14:textId="2D58ED67">
      <w:pPr>
        <w:pStyle w:val="Heading1"/>
        <w:rPr>
          <w:b w:val="1"/>
          <w:bCs w:val="1"/>
          <w:noProof w:val="0"/>
          <w:color w:val="000000" w:themeColor="text1" w:themeTint="FF" w:themeShade="FF"/>
          <w:lang w:val="en-GB"/>
        </w:rPr>
      </w:pPr>
      <w:r w:rsidRPr="26DCE4FE" w:rsidR="7F9CB19A">
        <w:rPr>
          <w:b w:val="1"/>
          <w:bCs w:val="1"/>
          <w:noProof w:val="0"/>
          <w:color w:val="000000" w:themeColor="text1" w:themeTint="FF" w:themeShade="FF"/>
          <w:lang w:val="en-GB"/>
        </w:rPr>
        <w:t>An evaluation of partnership working in health and social care: benefits and limitations</w:t>
      </w:r>
      <w:r w:rsidRPr="26DCE4FE" w:rsidR="7F9CB19A">
        <w:rPr>
          <w:b w:val="1"/>
          <w:bCs w:val="1"/>
          <w:noProof w:val="0"/>
          <w:color w:val="000000" w:themeColor="text1" w:themeTint="FF" w:themeShade="FF"/>
          <w:lang w:val="en-GB"/>
        </w:rPr>
        <w:t xml:space="preserve"> </w:t>
      </w:r>
    </w:p>
    <w:p w:rsidR="49D0E791" w:rsidP="5AB6EA17" w:rsidRDefault="49D0E791" w14:paraId="20D28C46" w14:textId="314B452B">
      <w:pPr>
        <w:pStyle w:val="Normal"/>
        <w:spacing w:line="360" w:lineRule="auto"/>
        <w:jc w:val="both"/>
        <w:rPr>
          <w:noProof w:val="0"/>
          <w:sz w:val="22"/>
          <w:szCs w:val="22"/>
          <w:lang w:val="en-GB"/>
        </w:rPr>
      </w:pPr>
      <w:r w:rsidRPr="5AB6EA17" w:rsidR="44D5CFD0">
        <w:rPr>
          <w:noProof w:val="0"/>
          <w:sz w:val="22"/>
          <w:szCs w:val="22"/>
          <w:lang w:val="en-GB"/>
        </w:rPr>
        <w:t xml:space="preserve">Partnership working occurs when many agencies, experts, and stakeholders collaborate to deliver coordinated care that meets the requirements of service users (Glasby and Dickinson, </w:t>
      </w:r>
      <w:r w:rsidRPr="5AB6EA17" w:rsidR="44D5CFD0">
        <w:rPr>
          <w:rFonts w:ascii="Arial" w:hAnsi="Arial" w:eastAsia="Arial" w:cs="Arial"/>
          <w:noProof w:val="0"/>
          <w:sz w:val="22"/>
          <w:szCs w:val="22"/>
          <w:lang w:val="en-GB"/>
        </w:rPr>
        <w:t>2014),</w:t>
      </w:r>
      <w:r w:rsidRPr="5AB6EA17" w:rsidR="44D5CFD0">
        <w:rPr>
          <w:noProof w:val="0"/>
          <w:sz w:val="22"/>
          <w:szCs w:val="22"/>
          <w:lang w:val="en-GB"/>
        </w:rPr>
        <w:t xml:space="preserve"> highlighting the importance of collaborative methods in complicated care </w:t>
      </w:r>
      <w:r w:rsidRPr="5AB6EA17" w:rsidR="44D5CFD0">
        <w:rPr>
          <w:rFonts w:ascii="Arial" w:hAnsi="Arial" w:eastAsia="Arial" w:cs="Arial"/>
          <w:noProof w:val="0"/>
          <w:sz w:val="22"/>
          <w:szCs w:val="22"/>
          <w:lang w:val="en-GB"/>
        </w:rPr>
        <w:t>environments.</w:t>
      </w:r>
      <w:r w:rsidRPr="5AB6EA17" w:rsidR="44D5CFD0">
        <w:rPr>
          <w:noProof w:val="0"/>
          <w:sz w:val="22"/>
          <w:szCs w:val="22"/>
          <w:lang w:val="en-GB"/>
        </w:rPr>
        <w:t xml:space="preserve"> </w:t>
      </w:r>
      <w:r w:rsidRPr="5AB6EA17" w:rsidR="6752070F">
        <w:rPr>
          <w:rFonts w:ascii="Arial" w:hAnsi="Arial" w:eastAsia="Arial" w:cs="Arial"/>
          <w:noProof w:val="0"/>
          <w:sz w:val="22"/>
          <w:szCs w:val="22"/>
          <w:lang w:val="en-GB"/>
        </w:rPr>
        <w:t xml:space="preserve">It is especially important when dealing with complicated health and social care needs that one agency </w:t>
      </w:r>
      <w:r w:rsidRPr="5AB6EA17" w:rsidR="6752070F">
        <w:rPr>
          <w:rFonts w:ascii="Arial" w:hAnsi="Arial" w:eastAsia="Arial" w:cs="Arial"/>
          <w:noProof w:val="0"/>
          <w:sz w:val="22"/>
          <w:szCs w:val="22"/>
          <w:lang w:val="en-GB"/>
        </w:rPr>
        <w:t>can't</w:t>
      </w:r>
      <w:r w:rsidRPr="5AB6EA17" w:rsidR="6752070F">
        <w:rPr>
          <w:rFonts w:ascii="Arial" w:hAnsi="Arial" w:eastAsia="Arial" w:cs="Arial"/>
          <w:noProof w:val="0"/>
          <w:sz w:val="22"/>
          <w:szCs w:val="22"/>
          <w:lang w:val="en-GB"/>
        </w:rPr>
        <w:t xml:space="preserve"> meet on its own. It shows how services in modern healthcare depend on each other.</w:t>
      </w:r>
      <w:r w:rsidRPr="5AB6EA17" w:rsidR="44D5CFD0">
        <w:rPr>
          <w:noProof w:val="0"/>
          <w:sz w:val="22"/>
          <w:szCs w:val="22"/>
          <w:lang w:val="en-GB"/>
        </w:rPr>
        <w:t xml:space="preserve"> Partnership working has several advantages, including greater communication, less service duplication, and increased continuity of care.</w:t>
      </w:r>
      <w:r w:rsidRPr="5AB6EA17" w:rsidR="31623BBB">
        <w:rPr>
          <w:noProof w:val="0"/>
          <w:sz w:val="22"/>
          <w:szCs w:val="22"/>
          <w:lang w:val="en-GB"/>
        </w:rPr>
        <w:t xml:space="preserve"> </w:t>
      </w:r>
      <w:r w:rsidRPr="5AB6EA17" w:rsidR="3E76E6CF">
        <w:rPr>
          <w:noProof w:val="0"/>
          <w:sz w:val="22"/>
          <w:szCs w:val="22"/>
          <w:lang w:val="en-GB"/>
        </w:rPr>
        <w:t xml:space="preserve">Integrated approaches allow professionals to share information and </w:t>
      </w:r>
      <w:r w:rsidRPr="5AB6EA17" w:rsidR="3E76E6CF">
        <w:rPr>
          <w:noProof w:val="0"/>
          <w:sz w:val="22"/>
          <w:szCs w:val="22"/>
          <w:lang w:val="en-GB"/>
        </w:rPr>
        <w:t>expertise</w:t>
      </w:r>
      <w:r w:rsidRPr="5AB6EA17" w:rsidR="3E76E6CF">
        <w:rPr>
          <w:noProof w:val="0"/>
          <w:sz w:val="22"/>
          <w:szCs w:val="22"/>
          <w:lang w:val="en-GB"/>
        </w:rPr>
        <w:t xml:space="preserve">, resulting in more comprehensive care planning (Goodwin et al., </w:t>
      </w:r>
      <w:r w:rsidRPr="5AB6EA17" w:rsidR="3E76E6CF">
        <w:rPr>
          <w:rFonts w:ascii="Arial" w:hAnsi="Arial" w:eastAsia="Arial" w:cs="Arial"/>
          <w:noProof w:val="0"/>
          <w:sz w:val="22"/>
          <w:szCs w:val="22"/>
          <w:lang w:val="en-GB"/>
        </w:rPr>
        <w:t>2014),</w:t>
      </w:r>
      <w:r w:rsidRPr="5AB6EA17" w:rsidR="3E76E6CF">
        <w:rPr>
          <w:noProof w:val="0"/>
          <w:sz w:val="22"/>
          <w:szCs w:val="22"/>
          <w:lang w:val="en-GB"/>
        </w:rPr>
        <w:t xml:space="preserve"> </w:t>
      </w:r>
      <w:r w:rsidRPr="5AB6EA17" w:rsidR="3E76E6CF">
        <w:rPr>
          <w:noProof w:val="0"/>
          <w:sz w:val="22"/>
          <w:szCs w:val="22"/>
          <w:lang w:val="en-GB"/>
        </w:rPr>
        <w:t>demonstrating</w:t>
      </w:r>
      <w:r w:rsidRPr="5AB6EA17" w:rsidR="3E76E6CF">
        <w:rPr>
          <w:noProof w:val="0"/>
          <w:sz w:val="22"/>
          <w:szCs w:val="22"/>
          <w:lang w:val="en-GB"/>
        </w:rPr>
        <w:t xml:space="preserve"> the practical benefits of interdisciplinary knowledge </w:t>
      </w:r>
      <w:r w:rsidRPr="5AB6EA17" w:rsidR="3E76E6CF">
        <w:rPr>
          <w:rFonts w:ascii="Arial" w:hAnsi="Arial" w:eastAsia="Arial" w:cs="Arial"/>
          <w:noProof w:val="0"/>
          <w:sz w:val="22"/>
          <w:szCs w:val="22"/>
          <w:lang w:val="en-GB"/>
        </w:rPr>
        <w:t>sharing.</w:t>
      </w:r>
      <w:r w:rsidRPr="5AB6EA17" w:rsidR="3E76E6CF">
        <w:rPr>
          <w:noProof w:val="0"/>
          <w:sz w:val="22"/>
          <w:szCs w:val="22"/>
          <w:lang w:val="en-GB"/>
        </w:rPr>
        <w:t xml:space="preserve"> Partnership working also helps to improve outcomes for service users by ensuring that services are coordinated and responsive.</w:t>
      </w:r>
      <w:r w:rsidRPr="5AB6EA17" w:rsidR="5AA3C29B">
        <w:rPr>
          <w:noProof w:val="0"/>
          <w:sz w:val="22"/>
          <w:szCs w:val="22"/>
          <w:lang w:val="en-GB"/>
        </w:rPr>
        <w:t xml:space="preserve"> </w:t>
      </w:r>
      <w:r w:rsidRPr="5AB6EA17" w:rsidR="63932782">
        <w:rPr>
          <w:noProof w:val="0"/>
          <w:sz w:val="22"/>
          <w:szCs w:val="22"/>
          <w:lang w:val="en-GB"/>
        </w:rPr>
        <w:t xml:space="preserve">However, working in a partnership is not without its obstacles. Differences in corporate culture, professional boundaries, finance arrangements, and communication difficulties can all impede effective collaboration. </w:t>
      </w:r>
      <w:r w:rsidRPr="5AB6EA17" w:rsidR="519F2F4E">
        <w:rPr>
          <w:rFonts w:ascii="Arial" w:hAnsi="Arial" w:eastAsia="Arial" w:cs="Arial"/>
          <w:noProof w:val="0"/>
          <w:sz w:val="22"/>
          <w:szCs w:val="22"/>
          <w:lang w:val="en-GB"/>
        </w:rPr>
        <w:t>Power imbalances between organisations can also affect how decisions are made, which can show differences in control and influence.</w:t>
      </w:r>
    </w:p>
    <w:p w:rsidR="5EFB2455" w:rsidP="5AB6EA17" w:rsidRDefault="5EFB2455" w14:paraId="14B1BC50" w14:textId="44B923C0">
      <w:pPr>
        <w:pStyle w:val="Normal"/>
        <w:spacing w:line="360" w:lineRule="auto"/>
        <w:jc w:val="both"/>
        <w:rPr>
          <w:rFonts w:ascii="Arial" w:hAnsi="Arial" w:eastAsia="Arial" w:cs="Arial"/>
          <w:noProof w:val="0"/>
          <w:sz w:val="22"/>
          <w:szCs w:val="22"/>
          <w:lang w:val="en-GB"/>
        </w:rPr>
      </w:pPr>
      <w:r w:rsidRPr="5AB6EA17" w:rsidR="761E0387">
        <w:rPr>
          <w:rFonts w:ascii="Arial" w:hAnsi="Arial" w:eastAsia="Arial" w:cs="Arial"/>
          <w:noProof w:val="0"/>
          <w:sz w:val="22"/>
          <w:szCs w:val="22"/>
          <w:lang w:val="en-GB"/>
        </w:rPr>
        <w:t xml:space="preserve">Furthermore, coordinating across </w:t>
      </w:r>
      <w:r w:rsidRPr="5AB6EA17" w:rsidR="761E0387">
        <w:rPr>
          <w:rFonts w:ascii="Arial" w:hAnsi="Arial" w:eastAsia="Arial" w:cs="Arial"/>
          <w:noProof w:val="0"/>
          <w:sz w:val="22"/>
          <w:szCs w:val="22"/>
          <w:lang w:val="en-GB"/>
        </w:rPr>
        <w:t>numerous</w:t>
      </w:r>
      <w:r w:rsidRPr="5AB6EA17" w:rsidR="761E0387">
        <w:rPr>
          <w:rFonts w:ascii="Arial" w:hAnsi="Arial" w:eastAsia="Arial" w:cs="Arial"/>
          <w:noProof w:val="0"/>
          <w:sz w:val="22"/>
          <w:szCs w:val="22"/>
          <w:lang w:val="en-GB"/>
        </w:rPr>
        <w:t xml:space="preserve"> agencies can be time-consuming and resource</w:t>
      </w:r>
      <w:r w:rsidRPr="5AB6EA17" w:rsidR="0E5F8BB3">
        <w:rPr>
          <w:rFonts w:ascii="Arial" w:hAnsi="Arial" w:eastAsia="Arial" w:cs="Arial"/>
          <w:noProof w:val="0"/>
          <w:sz w:val="22"/>
          <w:szCs w:val="22"/>
          <w:lang w:val="en-GB"/>
        </w:rPr>
        <w:t xml:space="preserve"> </w:t>
      </w:r>
      <w:r w:rsidRPr="5AB6EA17" w:rsidR="761E0387">
        <w:rPr>
          <w:rFonts w:ascii="Arial" w:hAnsi="Arial" w:eastAsia="Arial" w:cs="Arial"/>
          <w:noProof w:val="0"/>
          <w:sz w:val="22"/>
          <w:szCs w:val="22"/>
          <w:lang w:val="en-GB"/>
        </w:rPr>
        <w:t>intensive</w:t>
      </w:r>
      <w:r w:rsidRPr="5AB6EA17" w:rsidR="28BA306E">
        <w:rPr>
          <w:rFonts w:ascii="Arial" w:hAnsi="Arial" w:eastAsia="Arial" w:cs="Arial"/>
          <w:noProof w:val="0"/>
          <w:sz w:val="22"/>
          <w:szCs w:val="22"/>
          <w:lang w:val="en-GB"/>
        </w:rPr>
        <w:t xml:space="preserve">, </w:t>
      </w:r>
      <w:r w:rsidRPr="5AB6EA17" w:rsidR="761E0387">
        <w:rPr>
          <w:rFonts w:ascii="Arial" w:hAnsi="Arial" w:eastAsia="Arial" w:cs="Arial"/>
          <w:noProof w:val="0"/>
          <w:sz w:val="22"/>
          <w:szCs w:val="22"/>
          <w:lang w:val="en-GB"/>
        </w:rPr>
        <w:t>highlighting the practical limitations of multi-agency functioning</w:t>
      </w:r>
      <w:r w:rsidRPr="5AB6EA17" w:rsidR="010B39CF">
        <w:rPr>
          <w:rFonts w:ascii="Arial" w:hAnsi="Arial" w:eastAsia="Arial" w:cs="Arial"/>
          <w:noProof w:val="0"/>
          <w:sz w:val="22"/>
          <w:szCs w:val="22"/>
          <w:lang w:val="en-GB"/>
        </w:rPr>
        <w:t>.</w:t>
      </w:r>
      <w:r w:rsidRPr="5AB6EA17" w:rsidR="761E0387">
        <w:rPr>
          <w:rFonts w:ascii="Arial" w:hAnsi="Arial" w:eastAsia="Arial" w:cs="Arial"/>
          <w:noProof w:val="0"/>
          <w:sz w:val="22"/>
          <w:szCs w:val="22"/>
          <w:lang w:val="en-GB"/>
        </w:rPr>
        <w:t xml:space="preserve"> Despite these challenges, collaboration </w:t>
      </w:r>
      <w:r w:rsidRPr="5AB6EA17" w:rsidR="761E0387">
        <w:rPr>
          <w:rFonts w:ascii="Arial" w:hAnsi="Arial" w:eastAsia="Arial" w:cs="Arial"/>
          <w:noProof w:val="0"/>
          <w:sz w:val="22"/>
          <w:szCs w:val="22"/>
          <w:lang w:val="en-GB"/>
        </w:rPr>
        <w:t>remains</w:t>
      </w:r>
      <w:r w:rsidRPr="5AB6EA17" w:rsidR="761E0387">
        <w:rPr>
          <w:rFonts w:ascii="Arial" w:hAnsi="Arial" w:eastAsia="Arial" w:cs="Arial"/>
          <w:noProof w:val="0"/>
          <w:sz w:val="22"/>
          <w:szCs w:val="22"/>
          <w:lang w:val="en-GB"/>
        </w:rPr>
        <w:t xml:space="preserve"> critical for providing integrated care (highlighting its importance despite practical obstacles). It is especially significant in multidisciplinary teams, as professionals from various backgrounds collaborate to meet the demands of service users (</w:t>
      </w:r>
      <w:r w:rsidRPr="5AB6EA17" w:rsidR="761E0387">
        <w:rPr>
          <w:rFonts w:ascii="Arial" w:hAnsi="Arial" w:eastAsia="Arial" w:cs="Arial"/>
          <w:noProof w:val="0"/>
          <w:sz w:val="22"/>
          <w:szCs w:val="22"/>
          <w:lang w:val="en-GB"/>
        </w:rPr>
        <w:t>Jelphs</w:t>
      </w:r>
      <w:r w:rsidRPr="5AB6EA17" w:rsidR="761E0387">
        <w:rPr>
          <w:rFonts w:ascii="Arial" w:hAnsi="Arial" w:eastAsia="Arial" w:cs="Arial"/>
          <w:noProof w:val="0"/>
          <w:sz w:val="22"/>
          <w:szCs w:val="22"/>
          <w:lang w:val="en-GB"/>
        </w:rPr>
        <w:t xml:space="preserve"> et al., 2016).</w:t>
      </w:r>
    </w:p>
    <w:p w:rsidR="6830F350" w:rsidP="5AB6EA17" w:rsidRDefault="6830F350" w14:paraId="6A0FD42B" w14:textId="1CE1B9DF">
      <w:pPr>
        <w:pStyle w:val="Normal"/>
        <w:jc w:val="both"/>
        <w:rPr>
          <w:noProof w:val="0"/>
          <w:lang w:val="en-GB"/>
        </w:rPr>
      </w:pPr>
    </w:p>
    <w:p w:rsidR="6830F350" w:rsidP="6830F350" w:rsidRDefault="6830F350" w14:paraId="62DB764F" w14:textId="31B0CD50">
      <w:pPr>
        <w:pStyle w:val="Normal"/>
        <w:rPr>
          <w:noProof w:val="0"/>
          <w:lang w:val="en-GB"/>
        </w:rPr>
      </w:pPr>
    </w:p>
    <w:p w:rsidR="1BEFBF57" w:rsidP="1BEFBF57" w:rsidRDefault="1BEFBF57" w14:paraId="0EEF33F6" w14:textId="0C493393">
      <w:pPr>
        <w:spacing w:before="240" w:beforeAutospacing="off" w:after="240" w:afterAutospacing="off"/>
        <w:rPr>
          <w:rFonts w:ascii="Arial" w:hAnsi="Arial" w:eastAsia="Arial" w:cs="Arial"/>
          <w:noProof w:val="0"/>
          <w:sz w:val="24"/>
          <w:szCs w:val="24"/>
          <w:lang w:val="en-GB"/>
        </w:rPr>
      </w:pPr>
    </w:p>
    <w:p w:rsidR="6830F350" w:rsidP="38536C70" w:rsidRDefault="6830F350" w14:paraId="493351E3" w14:textId="22E96C62">
      <w:pPr>
        <w:pStyle w:val="Heading1"/>
        <w:rPr>
          <w:noProof w:val="0"/>
          <w:lang w:val="en-GB"/>
        </w:rPr>
      </w:pPr>
    </w:p>
    <w:p w:rsidR="39F4FC44" w:rsidP="38536C70" w:rsidRDefault="39F4FC44" w14:paraId="0B0453C2" w14:textId="3CF5FF70">
      <w:pPr>
        <w:pStyle w:val="Heading1"/>
        <w:rPr>
          <w:b w:val="1"/>
          <w:bCs w:val="1"/>
          <w:noProof w:val="0"/>
          <w:color w:val="000000" w:themeColor="text1" w:themeTint="FF" w:themeShade="FF"/>
          <w:lang w:val="en-GB"/>
        </w:rPr>
      </w:pPr>
      <w:r w:rsidRPr="26DCE4FE" w:rsidR="0F233224">
        <w:rPr>
          <w:b w:val="1"/>
          <w:bCs w:val="1"/>
          <w:noProof w:val="0"/>
          <w:color w:val="000000" w:themeColor="text1" w:themeTint="FF" w:themeShade="FF"/>
          <w:lang w:val="en-GB"/>
        </w:rPr>
        <w:t>Policy and Legislation Supporting PCC and Partnership Working</w:t>
      </w:r>
    </w:p>
    <w:p w:rsidR="4B4ABB13" w:rsidP="5AB6EA17" w:rsidRDefault="4B4ABB13" w14:paraId="4C57131E" w14:textId="106168C9">
      <w:pPr>
        <w:pStyle w:val="Normal"/>
        <w:spacing w:line="360" w:lineRule="auto"/>
        <w:jc w:val="both"/>
        <w:rPr>
          <w:noProof w:val="0"/>
          <w:sz w:val="22"/>
          <w:szCs w:val="22"/>
          <w:lang w:val="en-GB"/>
        </w:rPr>
      </w:pPr>
      <w:r w:rsidRPr="5AB6EA17" w:rsidR="34BC92AD">
        <w:rPr>
          <w:noProof w:val="0"/>
          <w:sz w:val="22"/>
          <w:szCs w:val="22"/>
          <w:lang w:val="en-GB"/>
        </w:rPr>
        <w:t>Person-centred</w:t>
      </w:r>
      <w:r w:rsidRPr="5AB6EA17" w:rsidR="56161F44">
        <w:rPr>
          <w:noProof w:val="0"/>
          <w:sz w:val="22"/>
          <w:szCs w:val="22"/>
          <w:lang w:val="en-GB"/>
        </w:rPr>
        <w:t xml:space="preserve"> care and partnership working are heavily supported by UK policy and legislation which provides a formal framework for systematic implementation. </w:t>
      </w:r>
      <w:r w:rsidRPr="5AB6EA17" w:rsidR="6E3560E2">
        <w:rPr>
          <w:noProof w:val="0"/>
          <w:sz w:val="22"/>
          <w:szCs w:val="22"/>
          <w:lang w:val="en-GB"/>
        </w:rPr>
        <w:t>The</w:t>
      </w:r>
      <w:r w:rsidRPr="5AB6EA17" w:rsidR="6E3560E2">
        <w:rPr>
          <w:noProof w:val="0"/>
          <w:sz w:val="22"/>
          <w:szCs w:val="22"/>
          <w:lang w:val="en-GB"/>
        </w:rPr>
        <w:t xml:space="preserve"> establishment</w:t>
      </w:r>
      <w:r w:rsidRPr="5AB6EA17" w:rsidR="56161F44">
        <w:rPr>
          <w:noProof w:val="0"/>
          <w:sz w:val="22"/>
          <w:szCs w:val="22"/>
          <w:lang w:val="en-GB"/>
        </w:rPr>
        <w:t xml:space="preserve"> of integrated care systems (ICSs) shows a policy move towards collaboration across NHS entities, local authorities, and other stakeholders (Department of Health and Social Care, 2023)</w:t>
      </w:r>
      <w:r w:rsidRPr="5AB6EA17" w:rsidR="20E89E4D">
        <w:rPr>
          <w:noProof w:val="0"/>
          <w:sz w:val="22"/>
          <w:szCs w:val="22"/>
          <w:lang w:val="en-GB"/>
        </w:rPr>
        <w:t>. This</w:t>
      </w:r>
      <w:r w:rsidRPr="5AB6EA17" w:rsidR="20E89E4D">
        <w:rPr>
          <w:noProof w:val="0"/>
          <w:sz w:val="22"/>
          <w:szCs w:val="22"/>
          <w:lang w:val="en-GB"/>
        </w:rPr>
        <w:t xml:space="preserve"> </w:t>
      </w:r>
      <w:r w:rsidRPr="5AB6EA17" w:rsidR="20E89E4D">
        <w:rPr>
          <w:noProof w:val="0"/>
          <w:sz w:val="22"/>
          <w:szCs w:val="22"/>
          <w:lang w:val="en-GB"/>
        </w:rPr>
        <w:t>demonstrates</w:t>
      </w:r>
      <w:r w:rsidRPr="5AB6EA17" w:rsidR="56161F44">
        <w:rPr>
          <w:noProof w:val="0"/>
          <w:sz w:val="22"/>
          <w:szCs w:val="22"/>
          <w:lang w:val="en-GB"/>
        </w:rPr>
        <w:t xml:space="preserve"> national commitment to service integration. Frameworks like the National Health Service Continuing Healthcare guidance encourage coordinated, </w:t>
      </w:r>
      <w:r w:rsidRPr="5AB6EA17" w:rsidR="331806F5">
        <w:rPr>
          <w:noProof w:val="0"/>
          <w:sz w:val="22"/>
          <w:szCs w:val="22"/>
          <w:lang w:val="en-GB"/>
        </w:rPr>
        <w:t>person-centred</w:t>
      </w:r>
      <w:r w:rsidRPr="5AB6EA17" w:rsidR="56161F44">
        <w:rPr>
          <w:noProof w:val="0"/>
          <w:sz w:val="22"/>
          <w:szCs w:val="22"/>
          <w:lang w:val="en-GB"/>
        </w:rPr>
        <w:t xml:space="preserve"> care throughout the health and social care sectors by promoting PCC and integrated care delivery standards</w:t>
      </w:r>
      <w:r w:rsidRPr="5AB6EA17" w:rsidR="628281AF">
        <w:rPr>
          <w:noProof w:val="0"/>
          <w:sz w:val="22"/>
          <w:szCs w:val="22"/>
          <w:lang w:val="en-GB"/>
        </w:rPr>
        <w:t>.</w:t>
      </w:r>
    </w:p>
    <w:p w:rsidR="39F4FC44" w:rsidP="5AB6EA17" w:rsidRDefault="39F4FC44" w14:paraId="62954B7E" w14:textId="77A49D7E">
      <w:pPr>
        <w:pStyle w:val="Normal"/>
        <w:spacing w:line="360" w:lineRule="auto"/>
        <w:jc w:val="both"/>
        <w:rPr>
          <w:rFonts w:ascii="Arial" w:hAnsi="Arial" w:eastAsia="Arial" w:cs="Arial"/>
          <w:b w:val="1"/>
          <w:bCs w:val="1"/>
          <w:noProof w:val="0"/>
          <w:sz w:val="22"/>
          <w:szCs w:val="22"/>
          <w:lang w:val="en-GB"/>
        </w:rPr>
      </w:pPr>
      <w:r w:rsidRPr="5AB6EA17" w:rsidR="3B9FA391">
        <w:rPr>
          <w:noProof w:val="0"/>
          <w:sz w:val="22"/>
          <w:szCs w:val="22"/>
          <w:lang w:val="en-GB"/>
        </w:rPr>
        <w:t xml:space="preserve">Similarly, NHS England (2022) emphasises </w:t>
      </w:r>
      <w:r w:rsidRPr="5AB6EA17" w:rsidR="4E1B1190">
        <w:rPr>
          <w:noProof w:val="0"/>
          <w:sz w:val="22"/>
          <w:szCs w:val="22"/>
          <w:lang w:val="en-GB"/>
        </w:rPr>
        <w:t>individualised</w:t>
      </w:r>
      <w:r w:rsidRPr="5AB6EA17" w:rsidR="3B9FA391">
        <w:rPr>
          <w:noProof w:val="0"/>
          <w:sz w:val="22"/>
          <w:szCs w:val="22"/>
          <w:lang w:val="en-GB"/>
        </w:rPr>
        <w:t xml:space="preserve"> care techniques that empower individuals and promote collaborative decision-making. Legislation has also supported service integration and collaboration by providing a legal foundation for partnership working. These policies </w:t>
      </w:r>
      <w:r w:rsidRPr="5AB6EA17" w:rsidR="3B9FA391">
        <w:rPr>
          <w:noProof w:val="0"/>
          <w:sz w:val="22"/>
          <w:szCs w:val="22"/>
          <w:lang w:val="en-GB"/>
        </w:rPr>
        <w:t>seek</w:t>
      </w:r>
      <w:r w:rsidRPr="5AB6EA17" w:rsidR="3B9FA391">
        <w:rPr>
          <w:noProof w:val="0"/>
          <w:sz w:val="22"/>
          <w:szCs w:val="22"/>
          <w:lang w:val="en-GB"/>
        </w:rPr>
        <w:t xml:space="preserve"> to </w:t>
      </w:r>
      <w:r w:rsidRPr="5AB6EA17" w:rsidR="3B9FA391">
        <w:rPr>
          <w:noProof w:val="0"/>
          <w:sz w:val="22"/>
          <w:szCs w:val="22"/>
          <w:lang w:val="en-GB"/>
        </w:rPr>
        <w:t>eliminate</w:t>
      </w:r>
      <w:r w:rsidRPr="5AB6EA17" w:rsidR="3B9FA391">
        <w:rPr>
          <w:noProof w:val="0"/>
          <w:sz w:val="22"/>
          <w:szCs w:val="22"/>
          <w:lang w:val="en-GB"/>
        </w:rPr>
        <w:t xml:space="preserve"> fragmentation and increase efficiency by encouraging collaborative working arrangements and shared </w:t>
      </w:r>
      <w:r w:rsidRPr="5AB6EA17" w:rsidR="32B15DCC">
        <w:rPr>
          <w:noProof w:val="0"/>
          <w:sz w:val="22"/>
          <w:szCs w:val="22"/>
          <w:lang w:val="en-GB"/>
        </w:rPr>
        <w:t>responsibility,</w:t>
      </w:r>
      <w:r w:rsidRPr="5AB6EA17" w:rsidR="3B9FA391">
        <w:rPr>
          <w:noProof w:val="0"/>
          <w:sz w:val="22"/>
          <w:szCs w:val="22"/>
          <w:lang w:val="en-GB"/>
        </w:rPr>
        <w:t xml:space="preserve"> </w:t>
      </w:r>
      <w:r w:rsidRPr="5AB6EA17" w:rsidR="41B8CB69">
        <w:rPr>
          <w:noProof w:val="0"/>
          <w:sz w:val="22"/>
          <w:szCs w:val="22"/>
          <w:lang w:val="en-GB"/>
        </w:rPr>
        <w:t>showing</w:t>
      </w:r>
      <w:r w:rsidRPr="5AB6EA17" w:rsidR="3B9FA391">
        <w:rPr>
          <w:noProof w:val="0"/>
          <w:sz w:val="22"/>
          <w:szCs w:val="22"/>
          <w:lang w:val="en-GB"/>
        </w:rPr>
        <w:t xml:space="preserve"> systematic efforts to overcome service </w:t>
      </w:r>
      <w:r w:rsidRPr="5AB6EA17" w:rsidR="4C367B9F">
        <w:rPr>
          <w:noProof w:val="0"/>
          <w:sz w:val="22"/>
          <w:szCs w:val="22"/>
          <w:lang w:val="en-GB"/>
        </w:rPr>
        <w:t>silos.</w:t>
      </w:r>
      <w:r w:rsidRPr="5AB6EA17" w:rsidR="3B9FA391">
        <w:rPr>
          <w:noProof w:val="0"/>
          <w:sz w:val="22"/>
          <w:szCs w:val="22"/>
          <w:lang w:val="en-GB"/>
        </w:rPr>
        <w:t xml:space="preserve"> Goodwin et al.'s (2014) report emphasises the relevance of integrated care systems in improving outcomes for people with complex needs. Overall, policy and legislation serve as a structural underpinning for putting PCC and partnership functioning into effect.</w:t>
      </w:r>
    </w:p>
    <w:p w:rsidR="27ACDCD1" w:rsidP="7F49A4B4" w:rsidRDefault="27ACDCD1" w14:paraId="1242A162" w14:textId="035AF1BC">
      <w:pPr>
        <w:pStyle w:val="Normal"/>
        <w:rPr>
          <w:noProof w:val="0"/>
          <w:sz w:val="22"/>
          <w:szCs w:val="22"/>
          <w:lang w:val="en-GB"/>
        </w:rPr>
      </w:pPr>
    </w:p>
    <w:p w:rsidR="27ACDCD1" w:rsidP="7F49A4B4" w:rsidRDefault="27ACDCD1" w14:paraId="005735A6" w14:textId="1E82BEA4">
      <w:pPr>
        <w:pStyle w:val="Normal"/>
        <w:rPr>
          <w:noProof w:val="0"/>
          <w:lang w:val="en-GB"/>
        </w:rPr>
      </w:pPr>
    </w:p>
    <w:p w:rsidR="6476D088" w:rsidP="6476D088" w:rsidRDefault="6476D088" w14:paraId="5F8A38D7" w14:textId="2ED08D18">
      <w:pPr>
        <w:pStyle w:val="Normal"/>
        <w:rPr>
          <w:noProof w:val="0"/>
          <w:lang w:val="en-GB"/>
        </w:rPr>
      </w:pPr>
    </w:p>
    <w:p w:rsidR="39F4FC44" w:rsidP="4B28E0A3" w:rsidRDefault="39F4FC44" w14:paraId="00E7E3E4" w14:textId="09D99605">
      <w:pPr>
        <w:pStyle w:val="Normal"/>
        <w:rPr>
          <w:noProof w:val="0"/>
          <w:lang w:val="en-GB"/>
        </w:rPr>
      </w:pPr>
    </w:p>
    <w:p w:rsidR="39F4FC44" w:rsidP="4B28E0A3" w:rsidRDefault="39F4FC44" w14:paraId="6A97F896" w14:textId="5E2B20DC">
      <w:pPr>
        <w:pStyle w:val="Normal"/>
      </w:pPr>
      <w:r w:rsidRPr="4B28E0A3" w:rsidR="59F86483">
        <w:rPr>
          <w:noProof w:val="0"/>
          <w:lang w:val="en-GB"/>
        </w:rPr>
        <w:t xml:space="preserve"> </w:t>
      </w:r>
    </w:p>
    <w:p w:rsidR="39F4FC44" w:rsidP="4B28E0A3" w:rsidRDefault="39F4FC44" w14:paraId="6AEBDAFD" w14:textId="49B62BC8">
      <w:pPr>
        <w:pStyle w:val="Heading2"/>
        <w:rPr>
          <w:b w:val="1"/>
          <w:bCs w:val="1"/>
          <w:noProof w:val="0"/>
          <w:color w:val="000000" w:themeColor="text1" w:themeTint="FF" w:themeShade="FF"/>
          <w:lang w:val="en-GB"/>
        </w:rPr>
      </w:pPr>
      <w:r w:rsidRPr="26DCE4FE" w:rsidR="565C8A8E">
        <w:rPr>
          <w:b w:val="1"/>
          <w:bCs w:val="1"/>
          <w:noProof w:val="0"/>
          <w:color w:val="000000" w:themeColor="text1" w:themeTint="FF" w:themeShade="FF"/>
          <w:lang w:val="en-GB"/>
        </w:rPr>
        <w:t>Conclusion</w:t>
      </w:r>
    </w:p>
    <w:p w:rsidR="39F4FC44" w:rsidP="5AB6EA17" w:rsidRDefault="39F4FC44" w14:paraId="10281C2D" w14:textId="5ABBB479">
      <w:pPr>
        <w:pStyle w:val="Normal"/>
        <w:spacing w:line="360" w:lineRule="auto"/>
        <w:jc w:val="both"/>
        <w:rPr>
          <w:rFonts w:ascii="Arial" w:hAnsi="Arial" w:eastAsia="Arial" w:cs="Arial"/>
          <w:noProof w:val="0"/>
          <w:sz w:val="22"/>
          <w:szCs w:val="22"/>
          <w:lang w:val="en-GB"/>
        </w:rPr>
      </w:pPr>
      <w:r w:rsidRPr="5AB6EA17" w:rsidR="3E069933">
        <w:rPr>
          <w:noProof w:val="0"/>
          <w:sz w:val="22"/>
          <w:szCs w:val="22"/>
          <w:lang w:val="en-GB"/>
        </w:rPr>
        <w:t xml:space="preserve">Person-centred care and collaboration are critical components of modern health and social care practice, </w:t>
      </w:r>
      <w:r w:rsidRPr="5AB6EA17" w:rsidR="3E069933">
        <w:rPr>
          <w:noProof w:val="0"/>
          <w:sz w:val="22"/>
          <w:szCs w:val="22"/>
          <w:lang w:val="en-GB"/>
        </w:rPr>
        <w:t>demonstrating</w:t>
      </w:r>
      <w:r w:rsidRPr="5AB6EA17" w:rsidR="3E069933">
        <w:rPr>
          <w:noProof w:val="0"/>
          <w:sz w:val="22"/>
          <w:szCs w:val="22"/>
          <w:lang w:val="en-GB"/>
        </w:rPr>
        <w:t xml:space="preserve"> their importance in contemporary service delivery.</w:t>
      </w:r>
      <w:r w:rsidRPr="5AB6EA17" w:rsidR="3E069933">
        <w:rPr>
          <w:noProof w:val="0"/>
          <w:sz w:val="22"/>
          <w:szCs w:val="22"/>
          <w:lang w:val="en-GB"/>
        </w:rPr>
        <w:t xml:space="preserve"> </w:t>
      </w:r>
      <w:r w:rsidRPr="5AB6EA17" w:rsidR="3E069933">
        <w:rPr>
          <w:noProof w:val="0"/>
          <w:sz w:val="22"/>
          <w:szCs w:val="22"/>
          <w:lang w:val="en-GB"/>
        </w:rPr>
        <w:t xml:space="preserve">PCC prioritises individual needs, choices, and active participation in care, </w:t>
      </w:r>
      <w:r w:rsidRPr="5AB6EA17" w:rsidR="3E069933">
        <w:rPr>
          <w:noProof w:val="0"/>
          <w:sz w:val="22"/>
          <w:szCs w:val="22"/>
          <w:lang w:val="en-GB"/>
        </w:rPr>
        <w:t>whereas</w:t>
      </w:r>
      <w:r w:rsidRPr="5AB6EA17" w:rsidR="3E069933">
        <w:rPr>
          <w:noProof w:val="0"/>
          <w:sz w:val="22"/>
          <w:szCs w:val="22"/>
          <w:lang w:val="en-GB"/>
        </w:rPr>
        <w:t xml:space="preserve"> partnership guarantees service coordination and integration. They work together to improve results, the patient experience, and the efficiency of service delivery</w:t>
      </w:r>
      <w:r w:rsidRPr="5AB6EA17" w:rsidR="237A9397">
        <w:rPr>
          <w:noProof w:val="0"/>
          <w:sz w:val="22"/>
          <w:szCs w:val="22"/>
          <w:lang w:val="en-GB"/>
        </w:rPr>
        <w:t xml:space="preserve">. </w:t>
      </w:r>
      <w:r w:rsidRPr="5AB6EA17" w:rsidR="3E069933">
        <w:rPr>
          <w:noProof w:val="0"/>
          <w:sz w:val="22"/>
          <w:szCs w:val="22"/>
          <w:lang w:val="en-GB"/>
        </w:rPr>
        <w:t>Both approaches are based on ethical principles, which ensure that care is offered with autonomy, dignity, and fairness.</w:t>
      </w:r>
      <w:r w:rsidRPr="5AB6EA17" w:rsidR="7F714A58">
        <w:rPr>
          <w:noProof w:val="0"/>
          <w:sz w:val="22"/>
          <w:szCs w:val="22"/>
          <w:lang w:val="en-GB"/>
        </w:rPr>
        <w:t xml:space="preserve"> </w:t>
      </w:r>
      <w:r w:rsidRPr="5AB6EA17" w:rsidR="5B4C75C5">
        <w:rPr>
          <w:noProof w:val="0"/>
          <w:sz w:val="22"/>
          <w:szCs w:val="22"/>
          <w:lang w:val="en-GB"/>
        </w:rPr>
        <w:t xml:space="preserve">Humanistic psychology, self-determination theory, and shared decision-making are all theoretical frameworks that help to enable PCC implementation. While collaboration has </w:t>
      </w:r>
      <w:r w:rsidRPr="5AB6EA17" w:rsidR="5B4C75C5">
        <w:rPr>
          <w:noProof w:val="0"/>
          <w:sz w:val="22"/>
          <w:szCs w:val="22"/>
          <w:lang w:val="en-GB"/>
        </w:rPr>
        <w:t>numerous</w:t>
      </w:r>
      <w:r w:rsidRPr="5AB6EA17" w:rsidR="5B4C75C5">
        <w:rPr>
          <w:noProof w:val="0"/>
          <w:sz w:val="22"/>
          <w:szCs w:val="22"/>
          <w:lang w:val="en-GB"/>
        </w:rPr>
        <w:t xml:space="preserve"> advantages, such as increased communication and integrated services, it also has drawbacks due to organisational differences and resource limits. The research suggests that PCC and PW work best together because they complement each other in providing holistic, coordinated treatment. However, its success is dependent on good implementation, adequate resources, and strong organisational </w:t>
      </w:r>
      <w:r w:rsidRPr="5AB6EA17" w:rsidR="565F0FC8">
        <w:rPr>
          <w:noProof w:val="0"/>
          <w:sz w:val="22"/>
          <w:szCs w:val="22"/>
          <w:lang w:val="en-GB"/>
        </w:rPr>
        <w:t>collaboration.</w:t>
      </w:r>
      <w:r w:rsidRPr="5AB6EA17" w:rsidR="5B4C75C5">
        <w:rPr>
          <w:noProof w:val="0"/>
          <w:sz w:val="22"/>
          <w:szCs w:val="22"/>
          <w:lang w:val="en-GB"/>
        </w:rPr>
        <w:t xml:space="preserve"> </w:t>
      </w:r>
    </w:p>
    <w:p w:rsidR="39F4FC44" w:rsidP="5AB6EA17" w:rsidRDefault="39F4FC44" w14:paraId="1CA17BBF" w14:textId="18959929">
      <w:pPr>
        <w:spacing w:before="240" w:beforeAutospacing="off" w:after="240" w:afterAutospacing="off"/>
        <w:jc w:val="both"/>
        <w:rPr>
          <w:rFonts w:ascii="Arial" w:hAnsi="Arial" w:eastAsia="Arial" w:cs="Arial"/>
          <w:b w:val="1"/>
          <w:bCs w:val="1"/>
          <w:noProof w:val="0"/>
          <w:sz w:val="22"/>
          <w:szCs w:val="22"/>
          <w:lang w:val="en-GB"/>
        </w:rPr>
      </w:pPr>
    </w:p>
    <w:p w:rsidR="39F4FC44" w:rsidP="7F49A4B4" w:rsidRDefault="39F4FC44" w14:paraId="3FD24E76" w14:textId="35A59B9F">
      <w:pPr>
        <w:pStyle w:val="Heading2"/>
        <w:rPr>
          <w:rFonts w:ascii="Arial" w:hAnsi="Arial" w:eastAsia="Arial" w:cs="Arial"/>
          <w:b w:val="1"/>
          <w:bCs w:val="1"/>
          <w:noProof w:val="0"/>
          <w:color w:val="000000" w:themeColor="text1" w:themeTint="FF" w:themeShade="FF"/>
          <w:sz w:val="22"/>
          <w:szCs w:val="22"/>
          <w:lang w:val="en-GB"/>
        </w:rPr>
      </w:pPr>
      <w:r w:rsidRPr="26DCE4FE" w:rsidR="5292312F">
        <w:rPr>
          <w:b w:val="1"/>
          <w:bCs w:val="1"/>
          <w:noProof w:val="0"/>
          <w:color w:val="000000" w:themeColor="text1" w:themeTint="FF" w:themeShade="FF"/>
          <w:lang w:val="en-GB"/>
        </w:rPr>
        <w:t>Recommendations</w:t>
      </w:r>
    </w:p>
    <w:p w:rsidR="70120860" w:rsidP="5AB6EA17" w:rsidRDefault="70120860" w14:paraId="729BE5FC" w14:textId="2816C0B9">
      <w:pPr>
        <w:pStyle w:val="Normal"/>
        <w:spacing w:line="360" w:lineRule="auto"/>
        <w:jc w:val="both"/>
        <w:rPr>
          <w:rFonts w:ascii="Arial" w:hAnsi="Arial" w:eastAsia="Arial" w:cs="Arial"/>
          <w:b w:val="1"/>
          <w:bCs w:val="1"/>
          <w:noProof w:val="0"/>
          <w:sz w:val="22"/>
          <w:szCs w:val="22"/>
          <w:lang w:val="en-GB"/>
        </w:rPr>
      </w:pPr>
      <w:r w:rsidRPr="5AB6EA17" w:rsidR="70120860">
        <w:rPr>
          <w:noProof w:val="0"/>
          <w:sz w:val="22"/>
          <w:szCs w:val="22"/>
          <w:lang w:val="en-GB"/>
        </w:rPr>
        <w:t xml:space="preserve">Several recommendations can be made to improve the implementation of </w:t>
      </w:r>
      <w:r w:rsidRPr="5AB6EA17" w:rsidR="2C1CFF5C">
        <w:rPr>
          <w:noProof w:val="0"/>
          <w:sz w:val="22"/>
          <w:szCs w:val="22"/>
          <w:lang w:val="en-GB"/>
        </w:rPr>
        <w:t>person-centred</w:t>
      </w:r>
      <w:r w:rsidRPr="5AB6EA17" w:rsidR="70120860">
        <w:rPr>
          <w:noProof w:val="0"/>
          <w:sz w:val="22"/>
          <w:szCs w:val="22"/>
          <w:lang w:val="en-GB"/>
        </w:rPr>
        <w:t xml:space="preserve"> care and collaborative working in the UK health and social care system. To begin, health and social care workers should receive more training to improve their communication, collaboration, and shared decision-making skills. Second, organisations should focus</w:t>
      </w:r>
      <w:r w:rsidRPr="5AB6EA17" w:rsidR="3DBD1659">
        <w:rPr>
          <w:noProof w:val="0"/>
          <w:sz w:val="22"/>
          <w:szCs w:val="22"/>
          <w:lang w:val="en-GB"/>
        </w:rPr>
        <w:t xml:space="preserve"> on </w:t>
      </w:r>
      <w:r w:rsidRPr="5AB6EA17" w:rsidR="70120860">
        <w:rPr>
          <w:noProof w:val="0"/>
          <w:sz w:val="22"/>
          <w:szCs w:val="22"/>
          <w:lang w:val="en-GB"/>
        </w:rPr>
        <w:t xml:space="preserve">the creation of integrated care systems that encourage </w:t>
      </w:r>
      <w:r w:rsidRPr="5AB6EA17" w:rsidR="70120860">
        <w:rPr>
          <w:noProof w:val="0"/>
          <w:sz w:val="22"/>
          <w:szCs w:val="22"/>
          <w:lang w:val="en-GB"/>
        </w:rPr>
        <w:t>good communication</w:t>
      </w:r>
      <w:r w:rsidRPr="5AB6EA17" w:rsidR="70120860">
        <w:rPr>
          <w:noProof w:val="0"/>
          <w:sz w:val="22"/>
          <w:szCs w:val="22"/>
          <w:lang w:val="en-GB"/>
        </w:rPr>
        <w:t xml:space="preserve"> and collaboration across providers. This includes investing in shared digital platforms to let professionals communicate information</w:t>
      </w:r>
      <w:r w:rsidRPr="5AB6EA17" w:rsidR="56BDF429">
        <w:rPr>
          <w:noProof w:val="0"/>
          <w:sz w:val="22"/>
          <w:szCs w:val="22"/>
          <w:lang w:val="en-GB"/>
        </w:rPr>
        <w:t xml:space="preserve">. </w:t>
      </w:r>
      <w:r w:rsidRPr="5AB6EA17" w:rsidR="70120860">
        <w:rPr>
          <w:noProof w:val="0"/>
          <w:sz w:val="22"/>
          <w:szCs w:val="22"/>
          <w:lang w:val="en-GB"/>
        </w:rPr>
        <w:t xml:space="preserve">Third, more attention should be placed on encouraging behaviour modification and self-management, particularly for those with long-term diseases, since this can improve outcomes and relieve </w:t>
      </w:r>
      <w:r w:rsidRPr="5AB6EA17" w:rsidR="36C6933A">
        <w:rPr>
          <w:noProof w:val="0"/>
          <w:sz w:val="22"/>
          <w:szCs w:val="22"/>
          <w:lang w:val="en-GB"/>
        </w:rPr>
        <w:t>the burden</w:t>
      </w:r>
      <w:r w:rsidRPr="5AB6EA17" w:rsidR="70120860">
        <w:rPr>
          <w:noProof w:val="0"/>
          <w:sz w:val="22"/>
          <w:szCs w:val="22"/>
          <w:lang w:val="en-GB"/>
        </w:rPr>
        <w:t xml:space="preserve"> on services (Guerreiro, Brito Félix, and Moreira </w:t>
      </w:r>
      <w:r w:rsidRPr="5AB6EA17" w:rsidR="57B06FEB">
        <w:rPr>
          <w:noProof w:val="0"/>
          <w:sz w:val="22"/>
          <w:szCs w:val="22"/>
          <w:lang w:val="en-GB"/>
        </w:rPr>
        <w:t>Marques, 2023)</w:t>
      </w:r>
      <w:r w:rsidRPr="5AB6EA17" w:rsidR="1DC99605">
        <w:rPr>
          <w:noProof w:val="0"/>
          <w:sz w:val="22"/>
          <w:szCs w:val="22"/>
          <w:lang w:val="en-GB"/>
        </w:rPr>
        <w:t>.</w:t>
      </w:r>
      <w:r w:rsidRPr="5AB6EA17" w:rsidR="19242EC0">
        <w:rPr>
          <w:noProof w:val="0"/>
          <w:sz w:val="22"/>
          <w:szCs w:val="22"/>
          <w:lang w:val="en-GB"/>
        </w:rPr>
        <w:t xml:space="preserve"> Finally, potential hurdles such as </w:t>
      </w:r>
      <w:r w:rsidRPr="5AB6EA17" w:rsidR="5B96910C">
        <w:rPr>
          <w:noProof w:val="0"/>
          <w:sz w:val="22"/>
          <w:szCs w:val="22"/>
          <w:lang w:val="en-GB"/>
        </w:rPr>
        <w:t>organisational</w:t>
      </w:r>
      <w:r w:rsidRPr="5AB6EA17" w:rsidR="19242EC0">
        <w:rPr>
          <w:noProof w:val="0"/>
          <w:sz w:val="22"/>
          <w:szCs w:val="22"/>
          <w:lang w:val="en-GB"/>
        </w:rPr>
        <w:t xml:space="preserve"> silos, resource constraints, and cultural differences between professions should be addressed through policy changes and leadership initiatives with a focus on structural and managerial solutions to optimise </w:t>
      </w:r>
      <w:r w:rsidRPr="5AB6EA17" w:rsidR="4CC09913">
        <w:rPr>
          <w:noProof w:val="0"/>
          <w:sz w:val="22"/>
          <w:szCs w:val="22"/>
          <w:lang w:val="en-GB"/>
        </w:rPr>
        <w:t>collaboration.</w:t>
      </w:r>
    </w:p>
    <w:p w:rsidR="31E3D08A" w:rsidP="5AB6EA17" w:rsidRDefault="31E3D08A" w14:paraId="3BA5022C" w14:textId="6D5B6E79">
      <w:pPr>
        <w:pStyle w:val="Normal"/>
        <w:spacing w:line="360" w:lineRule="auto"/>
        <w:jc w:val="both"/>
        <w:rPr>
          <w:noProof w:val="0"/>
          <w:sz w:val="22"/>
          <w:szCs w:val="22"/>
          <w:lang w:val="en-GB"/>
        </w:rPr>
      </w:pPr>
    </w:p>
    <w:p w:rsidR="31E3D08A" w:rsidP="5AB6EA17" w:rsidRDefault="31E3D08A" w14:paraId="4E2A19C2" w14:textId="543C9B6E">
      <w:pPr>
        <w:pStyle w:val="Normal"/>
        <w:spacing w:line="360" w:lineRule="auto"/>
        <w:jc w:val="both"/>
        <w:rPr>
          <w:noProof w:val="0"/>
          <w:sz w:val="22"/>
          <w:szCs w:val="22"/>
          <w:lang w:val="en-GB"/>
        </w:rPr>
      </w:pPr>
    </w:p>
    <w:p w:rsidR="31E3D08A" w:rsidP="31E3D08A" w:rsidRDefault="31E3D08A" w14:paraId="514445D9" w14:textId="3E69E13C">
      <w:pPr>
        <w:pStyle w:val="Normal"/>
        <w:spacing w:line="360" w:lineRule="auto"/>
        <w:rPr>
          <w:noProof w:val="0"/>
          <w:sz w:val="22"/>
          <w:szCs w:val="22"/>
          <w:lang w:val="en-GB"/>
        </w:rPr>
      </w:pPr>
    </w:p>
    <w:p w:rsidR="31E3D08A" w:rsidP="31E3D08A" w:rsidRDefault="31E3D08A" w14:paraId="0AE3F72B" w14:textId="632CEF75">
      <w:pPr>
        <w:pStyle w:val="Normal"/>
        <w:spacing w:line="360" w:lineRule="auto"/>
        <w:rPr>
          <w:noProof w:val="0"/>
          <w:sz w:val="22"/>
          <w:szCs w:val="22"/>
          <w:lang w:val="en-GB"/>
        </w:rPr>
      </w:pPr>
    </w:p>
    <w:p w:rsidR="31E3D08A" w:rsidP="31E3D08A" w:rsidRDefault="31E3D08A" w14:paraId="3412AE30" w14:textId="344B17A8">
      <w:pPr>
        <w:pStyle w:val="Normal"/>
        <w:spacing w:line="360" w:lineRule="auto"/>
        <w:rPr>
          <w:noProof w:val="0"/>
          <w:sz w:val="22"/>
          <w:szCs w:val="22"/>
          <w:lang w:val="en-GB"/>
        </w:rPr>
      </w:pPr>
    </w:p>
    <w:p w:rsidR="31E3D08A" w:rsidP="31E3D08A" w:rsidRDefault="31E3D08A" w14:paraId="71C322BC" w14:textId="673B121F">
      <w:pPr>
        <w:pStyle w:val="Normal"/>
        <w:spacing w:line="360" w:lineRule="auto"/>
        <w:rPr>
          <w:noProof w:val="0"/>
          <w:sz w:val="22"/>
          <w:szCs w:val="22"/>
          <w:lang w:val="en-GB"/>
        </w:rPr>
      </w:pPr>
    </w:p>
    <w:p w:rsidR="31E3D08A" w:rsidP="31E3D08A" w:rsidRDefault="31E3D08A" w14:paraId="017BC8EC" w14:textId="2A634483">
      <w:pPr>
        <w:pStyle w:val="Normal"/>
        <w:spacing w:line="360" w:lineRule="auto"/>
        <w:rPr>
          <w:noProof w:val="0"/>
          <w:sz w:val="22"/>
          <w:szCs w:val="22"/>
          <w:lang w:val="en-GB"/>
        </w:rPr>
      </w:pPr>
    </w:p>
    <w:p w:rsidR="462867AB" w:rsidP="26DCE4FE" w:rsidRDefault="462867AB" w14:paraId="4A1EF8CE" w14:textId="4F245D4E">
      <w:pPr>
        <w:pStyle w:val="Normal"/>
        <w:keepNext w:val="1"/>
        <w:keepLines w:val="1"/>
        <w:rPr>
          <w:b w:val="1"/>
          <w:bCs w:val="1"/>
          <w:noProof w:val="0"/>
          <w:color w:val="000000" w:themeColor="text1" w:themeTint="FF" w:themeShade="FF"/>
          <w:sz w:val="22"/>
          <w:szCs w:val="22"/>
          <w:lang w:val="en-GB"/>
        </w:rPr>
      </w:pPr>
      <w:r w:rsidRPr="26DCE4FE" w:rsidR="462867AB">
        <w:rPr>
          <w:noProof w:val="0"/>
          <w:lang w:val="en-GB"/>
        </w:rPr>
        <w:t>References</w:t>
      </w:r>
    </w:p>
    <w:p w:rsidR="462867AB" w:rsidP="5AB6EA17" w:rsidRDefault="462867AB" w14:paraId="7FA6A2F3" w14:textId="49E479D5">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AB6EA17" w:rsidR="462867AB">
        <w:rPr>
          <w:rFonts w:ascii="Arial" w:hAnsi="Arial" w:eastAsia="Arial" w:cs="Arial"/>
          <w:b w:val="0"/>
          <w:bCs w:val="0"/>
          <w:i w:val="0"/>
          <w:iCs w:val="0"/>
          <w:caps w:val="0"/>
          <w:smallCaps w:val="0"/>
          <w:noProof w:val="0"/>
          <w:color w:val="000000" w:themeColor="text1" w:themeTint="FF" w:themeShade="FF"/>
          <w:sz w:val="22"/>
          <w:szCs w:val="22"/>
          <w:lang w:val="en-GB"/>
        </w:rPr>
        <w:t xml:space="preserve">Anderson, M., Clark, J. M., Street, A., Woods, M., Johnston-Webber, C., Charlesworth, A., Whyte, M., Foster, M., Majeed, A., Pitchforth, E., </w:t>
      </w:r>
      <w:r w:rsidRPr="5AB6EA17" w:rsidR="462867AB">
        <w:rPr>
          <w:rFonts w:ascii="Arial" w:hAnsi="Arial" w:eastAsia="Arial" w:cs="Arial"/>
          <w:b w:val="0"/>
          <w:bCs w:val="0"/>
          <w:i w:val="0"/>
          <w:iCs w:val="0"/>
          <w:caps w:val="0"/>
          <w:smallCaps w:val="0"/>
          <w:noProof w:val="0"/>
          <w:color w:val="000000" w:themeColor="text1" w:themeTint="FF" w:themeShade="FF"/>
          <w:sz w:val="22"/>
          <w:szCs w:val="22"/>
          <w:lang w:val="en-GB"/>
        </w:rPr>
        <w:t>Mossialos</w:t>
      </w:r>
      <w:r w:rsidRPr="5AB6EA17" w:rsidR="462867AB">
        <w:rPr>
          <w:rFonts w:ascii="Arial" w:hAnsi="Arial" w:eastAsia="Arial" w:cs="Arial"/>
          <w:b w:val="0"/>
          <w:bCs w:val="0"/>
          <w:i w:val="0"/>
          <w:iCs w:val="0"/>
          <w:caps w:val="0"/>
          <w:smallCaps w:val="0"/>
          <w:noProof w:val="0"/>
          <w:color w:val="000000" w:themeColor="text1" w:themeTint="FF" w:themeShade="FF"/>
          <w:sz w:val="22"/>
          <w:szCs w:val="22"/>
          <w:lang w:val="en-GB"/>
        </w:rPr>
        <w:t xml:space="preserve">, E., Asaria, M., &amp; McGuire, A. (2021). Securing a sustainable and fit-for-purpose UK health and care workforce. </w:t>
      </w:r>
      <w:r w:rsidRPr="5AB6EA17" w:rsidR="462867AB">
        <w:rPr>
          <w:rFonts w:ascii="Arial" w:hAnsi="Arial" w:eastAsia="Arial" w:cs="Arial"/>
          <w:b w:val="0"/>
          <w:bCs w:val="0"/>
          <w:i w:val="1"/>
          <w:iCs w:val="1"/>
          <w:caps w:val="0"/>
          <w:smallCaps w:val="0"/>
          <w:noProof w:val="0"/>
          <w:color w:val="000000" w:themeColor="text1" w:themeTint="FF" w:themeShade="FF"/>
          <w:sz w:val="22"/>
          <w:szCs w:val="22"/>
          <w:lang w:val="en-GB"/>
        </w:rPr>
        <w:t>Lancet (London, England)</w:t>
      </w:r>
      <w:r w:rsidRPr="5AB6EA17" w:rsidR="462867A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AB6EA17" w:rsidR="462867AB">
        <w:rPr>
          <w:rFonts w:ascii="Arial" w:hAnsi="Arial" w:eastAsia="Arial" w:cs="Arial"/>
          <w:b w:val="0"/>
          <w:bCs w:val="0"/>
          <w:i w:val="1"/>
          <w:iCs w:val="1"/>
          <w:caps w:val="0"/>
          <w:smallCaps w:val="0"/>
          <w:noProof w:val="0"/>
          <w:color w:val="000000" w:themeColor="text1" w:themeTint="FF" w:themeShade="FF"/>
          <w:sz w:val="22"/>
          <w:szCs w:val="22"/>
          <w:lang w:val="en-GB"/>
        </w:rPr>
        <w:t>397</w:t>
      </w:r>
      <w:r w:rsidRPr="5AB6EA17" w:rsidR="462867AB">
        <w:rPr>
          <w:rFonts w:ascii="Arial" w:hAnsi="Arial" w:eastAsia="Arial" w:cs="Arial"/>
          <w:b w:val="0"/>
          <w:bCs w:val="0"/>
          <w:i w:val="0"/>
          <w:iCs w:val="0"/>
          <w:caps w:val="0"/>
          <w:smallCaps w:val="0"/>
          <w:noProof w:val="0"/>
          <w:color w:val="000000" w:themeColor="text1" w:themeTint="FF" w:themeShade="FF"/>
          <w:sz w:val="22"/>
          <w:szCs w:val="22"/>
          <w:lang w:val="en-GB"/>
        </w:rPr>
        <w:t xml:space="preserve">(10288), 1992. </w:t>
      </w:r>
      <w:hyperlink r:id="Ref4832f90ef64a87">
        <w:r w:rsidRPr="5AB6EA17" w:rsidR="462867AB">
          <w:rPr>
            <w:rStyle w:val="Hyperlink"/>
            <w:rFonts w:ascii="Arial" w:hAnsi="Arial" w:eastAsia="Arial" w:cs="Arial"/>
            <w:b w:val="0"/>
            <w:bCs w:val="0"/>
            <w:i w:val="0"/>
            <w:iCs w:val="0"/>
            <w:caps w:val="0"/>
            <w:smallCaps w:val="0"/>
            <w:noProof w:val="0"/>
            <w:sz w:val="22"/>
            <w:szCs w:val="22"/>
            <w:lang w:val="en-GB"/>
          </w:rPr>
          <w:t>https://doi.org/10.1016/S0140-6736(21)00231-2</w:t>
        </w:r>
      </w:hyperlink>
    </w:p>
    <w:p w:rsidR="462867AB" w:rsidP="5AB6EA17" w:rsidRDefault="462867AB" w14:paraId="3A1282E2" w14:textId="5C1AF677">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AB6EA17" w:rsidR="462867AB">
        <w:rPr>
          <w:rFonts w:ascii="Arial" w:hAnsi="Arial" w:eastAsia="Arial" w:cs="Arial"/>
          <w:b w:val="0"/>
          <w:bCs w:val="0"/>
          <w:i w:val="0"/>
          <w:iCs w:val="0"/>
          <w:caps w:val="0"/>
          <w:smallCaps w:val="0"/>
          <w:noProof w:val="0"/>
          <w:color w:val="000000" w:themeColor="text1" w:themeTint="FF" w:themeShade="FF"/>
          <w:sz w:val="22"/>
          <w:szCs w:val="22"/>
          <w:lang w:val="en-GB"/>
        </w:rPr>
        <w:t>Bharadia</w:t>
      </w:r>
      <w:r w:rsidRPr="5AB6EA17" w:rsidR="462867AB">
        <w:rPr>
          <w:rFonts w:ascii="Arial" w:hAnsi="Arial" w:eastAsia="Arial" w:cs="Arial"/>
          <w:b w:val="0"/>
          <w:bCs w:val="0"/>
          <w:i w:val="0"/>
          <w:iCs w:val="0"/>
          <w:caps w:val="0"/>
          <w:smallCaps w:val="0"/>
          <w:noProof w:val="0"/>
          <w:color w:val="000000" w:themeColor="text1" w:themeTint="FF" w:themeShade="FF"/>
          <w:sz w:val="22"/>
          <w:szCs w:val="22"/>
          <w:lang w:val="en-GB"/>
        </w:rPr>
        <w:t xml:space="preserve">, T. </w:t>
      </w:r>
      <w:r w:rsidRPr="5AB6EA17" w:rsidR="462867AB">
        <w:rPr>
          <w:rFonts w:ascii="Arial" w:hAnsi="Arial" w:eastAsia="Arial" w:cs="Arial"/>
          <w:b w:val="0"/>
          <w:bCs w:val="0"/>
          <w:i w:val="1"/>
          <w:iCs w:val="1"/>
          <w:caps w:val="0"/>
          <w:smallCaps w:val="0"/>
          <w:noProof w:val="0"/>
          <w:color w:val="000000" w:themeColor="text1" w:themeTint="FF" w:themeShade="FF"/>
          <w:sz w:val="22"/>
          <w:szCs w:val="22"/>
          <w:lang w:val="en-GB"/>
        </w:rPr>
        <w:t>et al.</w:t>
      </w:r>
      <w:r w:rsidRPr="5AB6EA17" w:rsidR="462867AB">
        <w:rPr>
          <w:rFonts w:ascii="Arial" w:hAnsi="Arial" w:eastAsia="Arial" w:cs="Arial"/>
          <w:b w:val="0"/>
          <w:bCs w:val="0"/>
          <w:i w:val="0"/>
          <w:iCs w:val="0"/>
          <w:caps w:val="0"/>
          <w:smallCaps w:val="0"/>
          <w:noProof w:val="0"/>
          <w:color w:val="000000" w:themeColor="text1" w:themeTint="FF" w:themeShade="FF"/>
          <w:sz w:val="22"/>
          <w:szCs w:val="22"/>
          <w:lang w:val="en-GB"/>
        </w:rPr>
        <w:t xml:space="preserve"> (2025) “Seven Actions Towards Advancing Patient Authorship and Collaboration in Peer-Reviewed Publications: Advancing Patient Authorship and Collaboration in Peer-Reviewed Publications,” </w:t>
      </w:r>
      <w:r w:rsidRPr="5AB6EA17" w:rsidR="462867AB">
        <w:rPr>
          <w:rFonts w:ascii="Arial" w:hAnsi="Arial" w:eastAsia="Arial" w:cs="Arial"/>
          <w:b w:val="0"/>
          <w:bCs w:val="0"/>
          <w:i w:val="1"/>
          <w:iCs w:val="1"/>
          <w:caps w:val="0"/>
          <w:smallCaps w:val="0"/>
          <w:noProof w:val="0"/>
          <w:color w:val="000000" w:themeColor="text1" w:themeTint="FF" w:themeShade="FF"/>
          <w:sz w:val="22"/>
          <w:szCs w:val="22"/>
          <w:lang w:val="en-GB"/>
        </w:rPr>
        <w:t xml:space="preserve">The </w:t>
      </w:r>
      <w:r w:rsidRPr="5AB6EA17" w:rsidR="462867AB">
        <w:rPr>
          <w:rFonts w:ascii="Arial" w:hAnsi="Arial" w:eastAsia="Arial" w:cs="Arial"/>
          <w:b w:val="0"/>
          <w:bCs w:val="0"/>
          <w:i w:val="1"/>
          <w:iCs w:val="1"/>
          <w:caps w:val="0"/>
          <w:smallCaps w:val="0"/>
          <w:noProof w:val="0"/>
          <w:color w:val="000000" w:themeColor="text1" w:themeTint="FF" w:themeShade="FF"/>
          <w:sz w:val="22"/>
          <w:szCs w:val="22"/>
          <w:lang w:val="en-GB"/>
        </w:rPr>
        <w:t>patient :</w:t>
      </w:r>
      <w:r w:rsidRPr="5AB6EA17" w:rsidR="462867AB">
        <w:rPr>
          <w:rFonts w:ascii="Arial" w:hAnsi="Arial" w:eastAsia="Arial" w:cs="Arial"/>
          <w:b w:val="0"/>
          <w:bCs w:val="0"/>
          <w:i w:val="1"/>
          <w:iCs w:val="1"/>
          <w:caps w:val="0"/>
          <w:smallCaps w:val="0"/>
          <w:noProof w:val="0"/>
          <w:color w:val="000000" w:themeColor="text1" w:themeTint="FF" w:themeShade="FF"/>
          <w:sz w:val="22"/>
          <w:szCs w:val="22"/>
          <w:lang w:val="en-GB"/>
        </w:rPr>
        <w:t xml:space="preserve"> patient-</w:t>
      </w:r>
      <w:r w:rsidRPr="5AB6EA17" w:rsidR="462867AB">
        <w:rPr>
          <w:rFonts w:ascii="Arial" w:hAnsi="Arial" w:eastAsia="Arial" w:cs="Arial"/>
          <w:b w:val="0"/>
          <w:bCs w:val="0"/>
          <w:i w:val="1"/>
          <w:iCs w:val="1"/>
          <w:caps w:val="0"/>
          <w:smallCaps w:val="0"/>
          <w:noProof w:val="0"/>
          <w:color w:val="000000" w:themeColor="text1" w:themeTint="FF" w:themeShade="FF"/>
          <w:sz w:val="22"/>
          <w:szCs w:val="22"/>
          <w:lang w:val="en-GB"/>
        </w:rPr>
        <w:t>centered</w:t>
      </w:r>
      <w:r w:rsidRPr="5AB6EA17" w:rsidR="462867AB">
        <w:rPr>
          <w:rFonts w:ascii="Arial" w:hAnsi="Arial" w:eastAsia="Arial" w:cs="Arial"/>
          <w:b w:val="0"/>
          <w:bCs w:val="0"/>
          <w:i w:val="1"/>
          <w:iCs w:val="1"/>
          <w:caps w:val="0"/>
          <w:smallCaps w:val="0"/>
          <w:noProof w:val="0"/>
          <w:color w:val="000000" w:themeColor="text1" w:themeTint="FF" w:themeShade="FF"/>
          <w:sz w:val="22"/>
          <w:szCs w:val="22"/>
          <w:lang w:val="en-GB"/>
        </w:rPr>
        <w:t xml:space="preserve"> outcomes research</w:t>
      </w:r>
      <w:r w:rsidRPr="5AB6EA17" w:rsidR="462867AB">
        <w:rPr>
          <w:rFonts w:ascii="Arial" w:hAnsi="Arial" w:eastAsia="Arial" w:cs="Arial"/>
          <w:b w:val="0"/>
          <w:bCs w:val="0"/>
          <w:i w:val="0"/>
          <w:iCs w:val="0"/>
          <w:caps w:val="0"/>
          <w:smallCaps w:val="0"/>
          <w:noProof w:val="0"/>
          <w:color w:val="000000" w:themeColor="text1" w:themeTint="FF" w:themeShade="FF"/>
          <w:sz w:val="22"/>
          <w:szCs w:val="22"/>
          <w:lang w:val="en-GB"/>
        </w:rPr>
        <w:t xml:space="preserve">, 18(5), pp. 403–414. Available at: </w:t>
      </w:r>
      <w:hyperlink r:id="Rd22b8679463549a6">
        <w:r w:rsidRPr="5AB6EA17" w:rsidR="462867AB">
          <w:rPr>
            <w:rStyle w:val="Hyperlink"/>
            <w:rFonts w:ascii="Arial" w:hAnsi="Arial" w:eastAsia="Arial" w:cs="Arial"/>
            <w:b w:val="0"/>
            <w:bCs w:val="0"/>
            <w:i w:val="0"/>
            <w:iCs w:val="0"/>
            <w:caps w:val="0"/>
            <w:smallCaps w:val="0"/>
            <w:strike w:val="0"/>
            <w:dstrike w:val="0"/>
            <w:noProof w:val="0"/>
            <w:sz w:val="22"/>
            <w:szCs w:val="22"/>
            <w:lang w:val="en-GB"/>
          </w:rPr>
          <w:t>https://doi.org/10.1007/s40271-025-00750-w</w:t>
        </w:r>
      </w:hyperlink>
      <w:r w:rsidRPr="5AB6EA17" w:rsidR="462867AB">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24 March 2026).</w:t>
      </w:r>
    </w:p>
    <w:p w:rsidR="462867AB" w:rsidP="5AB6EA17" w:rsidRDefault="462867AB" w14:paraId="618B9256" w14:textId="7018D461">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AB6EA17" w:rsidR="462867AB">
        <w:rPr>
          <w:rFonts w:ascii="Arial" w:hAnsi="Arial" w:eastAsia="Arial" w:cs="Arial"/>
          <w:b w:val="0"/>
          <w:bCs w:val="0"/>
          <w:i w:val="0"/>
          <w:iCs w:val="0"/>
          <w:caps w:val="0"/>
          <w:smallCaps w:val="0"/>
          <w:noProof w:val="0"/>
          <w:color w:val="000000" w:themeColor="text1" w:themeTint="FF" w:themeShade="FF"/>
          <w:sz w:val="22"/>
          <w:szCs w:val="22"/>
          <w:lang w:val="en-GB"/>
        </w:rPr>
        <w:t xml:space="preserve">Coulter, A. (2011) </w:t>
      </w:r>
      <w:r w:rsidRPr="5AB6EA17" w:rsidR="462867AB">
        <w:rPr>
          <w:rFonts w:ascii="Arial" w:hAnsi="Arial" w:eastAsia="Arial" w:cs="Arial"/>
          <w:b w:val="0"/>
          <w:bCs w:val="0"/>
          <w:i w:val="1"/>
          <w:iCs w:val="1"/>
          <w:caps w:val="0"/>
          <w:smallCaps w:val="0"/>
          <w:noProof w:val="0"/>
          <w:color w:val="000000" w:themeColor="text1" w:themeTint="FF" w:themeShade="FF"/>
          <w:sz w:val="22"/>
          <w:szCs w:val="22"/>
          <w:lang w:val="en-GB"/>
        </w:rPr>
        <w:t>Engaging Patients in Healthcare</w:t>
      </w:r>
      <w:r w:rsidRPr="5AB6EA17" w:rsidR="462867AB">
        <w:rPr>
          <w:rFonts w:ascii="Arial" w:hAnsi="Arial" w:eastAsia="Arial" w:cs="Arial"/>
          <w:b w:val="0"/>
          <w:bCs w:val="0"/>
          <w:i w:val="0"/>
          <w:iCs w:val="0"/>
          <w:caps w:val="0"/>
          <w:smallCaps w:val="0"/>
          <w:noProof w:val="0"/>
          <w:color w:val="000000" w:themeColor="text1" w:themeTint="FF" w:themeShade="FF"/>
          <w:sz w:val="22"/>
          <w:szCs w:val="22"/>
          <w:lang w:val="en-GB"/>
        </w:rPr>
        <w:t>. Maidenhead: Open University Press/McGraw Hill.</w:t>
      </w:r>
    </w:p>
    <w:p w:rsidR="462867AB" w:rsidP="5AB6EA17" w:rsidRDefault="462867AB" w14:paraId="756AD659" w14:textId="7C616790">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AB6EA17" w:rsidR="462867AB">
        <w:rPr>
          <w:rFonts w:ascii="Arial" w:hAnsi="Arial" w:eastAsia="Arial" w:cs="Arial"/>
          <w:b w:val="0"/>
          <w:bCs w:val="0"/>
          <w:i w:val="0"/>
          <w:iCs w:val="0"/>
          <w:caps w:val="0"/>
          <w:smallCaps w:val="0"/>
          <w:noProof w:val="0"/>
          <w:color w:val="000000" w:themeColor="text1" w:themeTint="FF" w:themeShade="FF"/>
          <w:sz w:val="22"/>
          <w:szCs w:val="22"/>
          <w:lang w:val="en-GB"/>
        </w:rPr>
        <w:t xml:space="preserve">Coulter, </w:t>
      </w:r>
      <w:r w:rsidRPr="5AB6EA17" w:rsidR="462867AB">
        <w:rPr>
          <w:rFonts w:ascii="Arial" w:hAnsi="Arial" w:eastAsia="Arial" w:cs="Arial"/>
          <w:b w:val="0"/>
          <w:bCs w:val="0"/>
          <w:i w:val="0"/>
          <w:iCs w:val="0"/>
          <w:caps w:val="0"/>
          <w:smallCaps w:val="0"/>
          <w:noProof w:val="0"/>
          <w:color w:val="000000" w:themeColor="text1" w:themeTint="FF" w:themeShade="FF"/>
          <w:sz w:val="22"/>
          <w:szCs w:val="22"/>
          <w:lang w:val="en-GB"/>
        </w:rPr>
        <w:t>A.</w:t>
      </w:r>
      <w:r w:rsidRPr="5AB6EA17" w:rsidR="462867AB">
        <w:rPr>
          <w:rFonts w:ascii="Arial" w:hAnsi="Arial" w:eastAsia="Arial" w:cs="Arial"/>
          <w:b w:val="0"/>
          <w:bCs w:val="0"/>
          <w:i w:val="0"/>
          <w:iCs w:val="0"/>
          <w:caps w:val="0"/>
          <w:smallCaps w:val="0"/>
          <w:noProof w:val="0"/>
          <w:color w:val="000000" w:themeColor="text1" w:themeTint="FF" w:themeShade="FF"/>
          <w:sz w:val="22"/>
          <w:szCs w:val="22"/>
          <w:lang w:val="en-GB"/>
        </w:rPr>
        <w:t xml:space="preserve"> and Oldham, J. (2016) ‘Person-centred care: What is it and how do we get there?’, </w:t>
      </w:r>
      <w:r w:rsidRPr="5AB6EA17" w:rsidR="462867AB">
        <w:rPr>
          <w:rFonts w:ascii="Arial" w:hAnsi="Arial" w:eastAsia="Arial" w:cs="Arial"/>
          <w:b w:val="0"/>
          <w:bCs w:val="0"/>
          <w:i w:val="1"/>
          <w:iCs w:val="1"/>
          <w:caps w:val="0"/>
          <w:smallCaps w:val="0"/>
          <w:noProof w:val="0"/>
          <w:color w:val="000000" w:themeColor="text1" w:themeTint="FF" w:themeShade="FF"/>
          <w:sz w:val="22"/>
          <w:szCs w:val="22"/>
          <w:lang w:val="en-GB"/>
        </w:rPr>
        <w:t>Future Hospital Journal</w:t>
      </w:r>
      <w:r w:rsidRPr="5AB6EA17" w:rsidR="462867AB">
        <w:rPr>
          <w:rFonts w:ascii="Arial" w:hAnsi="Arial" w:eastAsia="Arial" w:cs="Arial"/>
          <w:b w:val="0"/>
          <w:bCs w:val="0"/>
          <w:i w:val="0"/>
          <w:iCs w:val="0"/>
          <w:caps w:val="0"/>
          <w:smallCaps w:val="0"/>
          <w:noProof w:val="0"/>
          <w:color w:val="000000" w:themeColor="text1" w:themeTint="FF" w:themeShade="FF"/>
          <w:sz w:val="22"/>
          <w:szCs w:val="22"/>
          <w:lang w:val="en-GB"/>
        </w:rPr>
        <w:t>, 3(2), pp. 114–116.</w:t>
      </w:r>
    </w:p>
    <w:p w:rsidR="462867AB" w:rsidP="5AB6EA17" w:rsidRDefault="462867AB" w14:paraId="1CAAA69E" w14:textId="5E7F46D0">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AB6EA17" w:rsidR="462867AB">
        <w:rPr>
          <w:rFonts w:ascii="Arial" w:hAnsi="Arial" w:eastAsia="Arial" w:cs="Arial"/>
          <w:b w:val="0"/>
          <w:bCs w:val="0"/>
          <w:i w:val="0"/>
          <w:iCs w:val="0"/>
          <w:caps w:val="0"/>
          <w:smallCaps w:val="0"/>
          <w:noProof w:val="0"/>
          <w:color w:val="000000" w:themeColor="text1" w:themeTint="FF" w:themeShade="FF"/>
          <w:sz w:val="22"/>
          <w:szCs w:val="22"/>
          <w:lang w:val="en-GB"/>
        </w:rPr>
        <w:t xml:space="preserve">Deci, E.L. and Ryan, R.M. (1985) </w:t>
      </w:r>
      <w:r w:rsidRPr="5AB6EA17" w:rsidR="462867AB">
        <w:rPr>
          <w:rFonts w:ascii="Arial" w:hAnsi="Arial" w:eastAsia="Arial" w:cs="Arial"/>
          <w:b w:val="0"/>
          <w:bCs w:val="0"/>
          <w:i w:val="1"/>
          <w:iCs w:val="1"/>
          <w:caps w:val="0"/>
          <w:smallCaps w:val="0"/>
          <w:noProof w:val="0"/>
          <w:color w:val="000000" w:themeColor="text1" w:themeTint="FF" w:themeShade="FF"/>
          <w:sz w:val="22"/>
          <w:szCs w:val="22"/>
          <w:lang w:val="en-GB"/>
        </w:rPr>
        <w:t>Intrinsic Motivation and Self-Determination in Human Behaviour</w:t>
      </w:r>
      <w:r w:rsidRPr="5AB6EA17" w:rsidR="462867AB">
        <w:rPr>
          <w:rFonts w:ascii="Arial" w:hAnsi="Arial" w:eastAsia="Arial" w:cs="Arial"/>
          <w:b w:val="0"/>
          <w:bCs w:val="0"/>
          <w:i w:val="0"/>
          <w:iCs w:val="0"/>
          <w:caps w:val="0"/>
          <w:smallCaps w:val="0"/>
          <w:noProof w:val="0"/>
          <w:color w:val="000000" w:themeColor="text1" w:themeTint="FF" w:themeShade="FF"/>
          <w:sz w:val="22"/>
          <w:szCs w:val="22"/>
          <w:lang w:val="en-GB"/>
        </w:rPr>
        <w:t>. New York: Springer.</w:t>
      </w:r>
    </w:p>
    <w:p w:rsidR="462867AB" w:rsidP="5AB6EA17" w:rsidRDefault="462867AB" w14:paraId="1F0D9D8F" w14:textId="59FC4FD7">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AB6EA17" w:rsidR="462867AB">
        <w:rPr>
          <w:rFonts w:ascii="Arial" w:hAnsi="Arial" w:eastAsia="Arial" w:cs="Arial"/>
          <w:b w:val="0"/>
          <w:bCs w:val="0"/>
          <w:i w:val="0"/>
          <w:iCs w:val="0"/>
          <w:caps w:val="0"/>
          <w:smallCaps w:val="0"/>
          <w:noProof w:val="0"/>
          <w:color w:val="000000" w:themeColor="text1" w:themeTint="FF" w:themeShade="FF"/>
          <w:sz w:val="22"/>
          <w:szCs w:val="22"/>
          <w:lang w:val="en-GB"/>
        </w:rPr>
        <w:t xml:space="preserve">Department of Health and Social Care (2023) </w:t>
      </w:r>
      <w:r w:rsidRPr="5AB6EA17" w:rsidR="462867AB">
        <w:rPr>
          <w:rFonts w:ascii="Arial" w:hAnsi="Arial" w:eastAsia="Arial" w:cs="Arial"/>
          <w:b w:val="0"/>
          <w:bCs w:val="0"/>
          <w:i w:val="1"/>
          <w:iCs w:val="1"/>
          <w:caps w:val="0"/>
          <w:smallCaps w:val="0"/>
          <w:noProof w:val="0"/>
          <w:color w:val="000000" w:themeColor="text1" w:themeTint="FF" w:themeShade="FF"/>
          <w:sz w:val="22"/>
          <w:szCs w:val="22"/>
          <w:lang w:val="en-GB"/>
        </w:rPr>
        <w:t>National framework for NHS continuing healthcare and NHS-funded nursing care</w:t>
      </w:r>
      <w:r w:rsidRPr="5AB6EA17" w:rsidR="462867AB">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ed1da86205254564">
        <w:r w:rsidRPr="5AB6EA17" w:rsidR="462867AB">
          <w:rPr>
            <w:rStyle w:val="Hyperlink"/>
            <w:rFonts w:ascii="Arial" w:hAnsi="Arial" w:eastAsia="Arial" w:cs="Arial"/>
            <w:b w:val="0"/>
            <w:bCs w:val="0"/>
            <w:i w:val="0"/>
            <w:iCs w:val="0"/>
            <w:caps w:val="0"/>
            <w:smallCaps w:val="0"/>
            <w:strike w:val="0"/>
            <w:dstrike w:val="0"/>
            <w:noProof w:val="0"/>
            <w:sz w:val="22"/>
            <w:szCs w:val="22"/>
            <w:lang w:val="en-GB"/>
          </w:rPr>
          <w:t>https://www.gov.uk</w:t>
        </w:r>
      </w:hyperlink>
      <w:r w:rsidRPr="5AB6EA17" w:rsidR="462867AB">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24 March 2026).</w:t>
      </w:r>
    </w:p>
    <w:p w:rsidR="462867AB" w:rsidP="5AB6EA17" w:rsidRDefault="462867AB" w14:paraId="49CEB6A3" w14:textId="68246698">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AB6EA17" w:rsidR="462867AB">
        <w:rPr>
          <w:rFonts w:ascii="Arial" w:hAnsi="Arial" w:eastAsia="Arial" w:cs="Arial"/>
          <w:b w:val="0"/>
          <w:bCs w:val="0"/>
          <w:i w:val="0"/>
          <w:iCs w:val="0"/>
          <w:caps w:val="0"/>
          <w:smallCaps w:val="0"/>
          <w:noProof w:val="0"/>
          <w:color w:val="000000" w:themeColor="text1" w:themeTint="FF" w:themeShade="FF"/>
          <w:sz w:val="22"/>
          <w:szCs w:val="22"/>
          <w:lang w:val="en-GB"/>
        </w:rPr>
        <w:t xml:space="preserve">Elwyn, G. et al. (2012) ‘Shared decision making: a model for clinical practice’, </w:t>
      </w:r>
      <w:r w:rsidRPr="5AB6EA17" w:rsidR="462867AB">
        <w:rPr>
          <w:rFonts w:ascii="Arial" w:hAnsi="Arial" w:eastAsia="Arial" w:cs="Arial"/>
          <w:b w:val="0"/>
          <w:bCs w:val="0"/>
          <w:i w:val="1"/>
          <w:iCs w:val="1"/>
          <w:caps w:val="0"/>
          <w:smallCaps w:val="0"/>
          <w:noProof w:val="0"/>
          <w:color w:val="000000" w:themeColor="text1" w:themeTint="FF" w:themeShade="FF"/>
          <w:sz w:val="22"/>
          <w:szCs w:val="22"/>
          <w:lang w:val="en-GB"/>
        </w:rPr>
        <w:t>Journal of General Internal Medicine</w:t>
      </w:r>
      <w:r w:rsidRPr="5AB6EA17" w:rsidR="462867AB">
        <w:rPr>
          <w:rFonts w:ascii="Arial" w:hAnsi="Arial" w:eastAsia="Arial" w:cs="Arial"/>
          <w:b w:val="0"/>
          <w:bCs w:val="0"/>
          <w:i w:val="0"/>
          <w:iCs w:val="0"/>
          <w:caps w:val="0"/>
          <w:smallCaps w:val="0"/>
          <w:noProof w:val="0"/>
          <w:color w:val="000000" w:themeColor="text1" w:themeTint="FF" w:themeShade="FF"/>
          <w:sz w:val="22"/>
          <w:szCs w:val="22"/>
          <w:lang w:val="en-GB"/>
        </w:rPr>
        <w:t>, 27(10), pp. 1361–1367.</w:t>
      </w:r>
    </w:p>
    <w:p w:rsidR="462867AB" w:rsidP="5AB6EA17" w:rsidRDefault="462867AB" w14:paraId="736B6FDB" w14:textId="19C1029C">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AB6EA17" w:rsidR="462867AB">
        <w:rPr>
          <w:rFonts w:ascii="Arial" w:hAnsi="Arial" w:eastAsia="Arial" w:cs="Arial"/>
          <w:b w:val="0"/>
          <w:bCs w:val="0"/>
          <w:i w:val="0"/>
          <w:iCs w:val="0"/>
          <w:caps w:val="0"/>
          <w:smallCaps w:val="0"/>
          <w:noProof w:val="0"/>
          <w:color w:val="000000" w:themeColor="text1" w:themeTint="FF" w:themeShade="FF"/>
          <w:sz w:val="22"/>
          <w:szCs w:val="22"/>
          <w:lang w:val="en-GB"/>
        </w:rPr>
        <w:t xml:space="preserve">Glasby, J. (2017) </w:t>
      </w:r>
      <w:r w:rsidRPr="5AB6EA17" w:rsidR="462867AB">
        <w:rPr>
          <w:rFonts w:ascii="Arial" w:hAnsi="Arial" w:eastAsia="Arial" w:cs="Arial"/>
          <w:b w:val="0"/>
          <w:bCs w:val="0"/>
          <w:i w:val="1"/>
          <w:iCs w:val="1"/>
          <w:caps w:val="0"/>
          <w:smallCaps w:val="0"/>
          <w:noProof w:val="0"/>
          <w:color w:val="000000" w:themeColor="text1" w:themeTint="FF" w:themeShade="FF"/>
          <w:sz w:val="22"/>
          <w:szCs w:val="22"/>
          <w:lang w:val="en-GB"/>
        </w:rPr>
        <w:t>Understanding Health and Social Care</w:t>
      </w:r>
      <w:r w:rsidRPr="5AB6EA17" w:rsidR="462867AB">
        <w:rPr>
          <w:rFonts w:ascii="Arial" w:hAnsi="Arial" w:eastAsia="Arial" w:cs="Arial"/>
          <w:b w:val="0"/>
          <w:bCs w:val="0"/>
          <w:i w:val="0"/>
          <w:iCs w:val="0"/>
          <w:caps w:val="0"/>
          <w:smallCaps w:val="0"/>
          <w:noProof w:val="0"/>
          <w:color w:val="000000" w:themeColor="text1" w:themeTint="FF" w:themeShade="FF"/>
          <w:sz w:val="22"/>
          <w:szCs w:val="22"/>
          <w:lang w:val="en-GB"/>
        </w:rPr>
        <w:t xml:space="preserve">. 3rd </w:t>
      </w:r>
      <w:r w:rsidRPr="5AB6EA17" w:rsidR="462867AB">
        <w:rPr>
          <w:rFonts w:ascii="Arial" w:hAnsi="Arial" w:eastAsia="Arial" w:cs="Arial"/>
          <w:b w:val="0"/>
          <w:bCs w:val="0"/>
          <w:i w:val="0"/>
          <w:iCs w:val="0"/>
          <w:caps w:val="0"/>
          <w:smallCaps w:val="0"/>
          <w:noProof w:val="0"/>
          <w:color w:val="000000" w:themeColor="text1" w:themeTint="FF" w:themeShade="FF"/>
          <w:sz w:val="22"/>
          <w:szCs w:val="22"/>
          <w:lang w:val="en-GB"/>
        </w:rPr>
        <w:t>edn</w:t>
      </w:r>
      <w:r w:rsidRPr="5AB6EA17" w:rsidR="462867AB">
        <w:rPr>
          <w:rFonts w:ascii="Arial" w:hAnsi="Arial" w:eastAsia="Arial" w:cs="Arial"/>
          <w:b w:val="0"/>
          <w:bCs w:val="0"/>
          <w:i w:val="0"/>
          <w:iCs w:val="0"/>
          <w:caps w:val="0"/>
          <w:smallCaps w:val="0"/>
          <w:noProof w:val="0"/>
          <w:color w:val="000000" w:themeColor="text1" w:themeTint="FF" w:themeShade="FF"/>
          <w:sz w:val="22"/>
          <w:szCs w:val="22"/>
          <w:lang w:val="en-GB"/>
        </w:rPr>
        <w:t>. Bristol: Policy Press.</w:t>
      </w:r>
    </w:p>
    <w:p w:rsidR="462867AB" w:rsidP="5AB6EA17" w:rsidRDefault="462867AB" w14:paraId="44048180" w14:textId="6392C6E4">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AB6EA17" w:rsidR="462867AB">
        <w:rPr>
          <w:rFonts w:ascii="Arial" w:hAnsi="Arial" w:eastAsia="Arial" w:cs="Arial"/>
          <w:b w:val="0"/>
          <w:bCs w:val="0"/>
          <w:i w:val="0"/>
          <w:iCs w:val="0"/>
          <w:caps w:val="0"/>
          <w:smallCaps w:val="0"/>
          <w:noProof w:val="0"/>
          <w:color w:val="000000" w:themeColor="text1" w:themeTint="FF" w:themeShade="FF"/>
          <w:sz w:val="22"/>
          <w:szCs w:val="22"/>
          <w:lang w:val="en-GB"/>
        </w:rPr>
        <w:t xml:space="preserve">Glasby, J. and Dickinson, H. (2014) </w:t>
      </w:r>
      <w:r w:rsidRPr="5AB6EA17" w:rsidR="462867AB">
        <w:rPr>
          <w:rFonts w:ascii="Arial" w:hAnsi="Arial" w:eastAsia="Arial" w:cs="Arial"/>
          <w:b w:val="0"/>
          <w:bCs w:val="0"/>
          <w:i w:val="1"/>
          <w:iCs w:val="1"/>
          <w:caps w:val="0"/>
          <w:smallCaps w:val="0"/>
          <w:noProof w:val="0"/>
          <w:color w:val="000000" w:themeColor="text1" w:themeTint="FF" w:themeShade="FF"/>
          <w:sz w:val="22"/>
          <w:szCs w:val="22"/>
          <w:lang w:val="en-GB"/>
        </w:rPr>
        <w:t>Partnership Working in Health and Social Care</w:t>
      </w:r>
      <w:r w:rsidRPr="5AB6EA17" w:rsidR="462867AB">
        <w:rPr>
          <w:rFonts w:ascii="Arial" w:hAnsi="Arial" w:eastAsia="Arial" w:cs="Arial"/>
          <w:b w:val="0"/>
          <w:bCs w:val="0"/>
          <w:i w:val="0"/>
          <w:iCs w:val="0"/>
          <w:caps w:val="0"/>
          <w:smallCaps w:val="0"/>
          <w:noProof w:val="0"/>
          <w:color w:val="000000" w:themeColor="text1" w:themeTint="FF" w:themeShade="FF"/>
          <w:sz w:val="22"/>
          <w:szCs w:val="22"/>
          <w:lang w:val="en-GB"/>
        </w:rPr>
        <w:t xml:space="preserve">. 2nd </w:t>
      </w:r>
      <w:r w:rsidRPr="5AB6EA17" w:rsidR="462867AB">
        <w:rPr>
          <w:rFonts w:ascii="Arial" w:hAnsi="Arial" w:eastAsia="Arial" w:cs="Arial"/>
          <w:b w:val="0"/>
          <w:bCs w:val="0"/>
          <w:i w:val="0"/>
          <w:iCs w:val="0"/>
          <w:caps w:val="0"/>
          <w:smallCaps w:val="0"/>
          <w:noProof w:val="0"/>
          <w:color w:val="000000" w:themeColor="text1" w:themeTint="FF" w:themeShade="FF"/>
          <w:sz w:val="22"/>
          <w:szCs w:val="22"/>
          <w:lang w:val="en-GB"/>
        </w:rPr>
        <w:t>edn</w:t>
      </w:r>
      <w:r w:rsidRPr="5AB6EA17" w:rsidR="462867AB">
        <w:rPr>
          <w:rFonts w:ascii="Arial" w:hAnsi="Arial" w:eastAsia="Arial" w:cs="Arial"/>
          <w:b w:val="0"/>
          <w:bCs w:val="0"/>
          <w:i w:val="0"/>
          <w:iCs w:val="0"/>
          <w:caps w:val="0"/>
          <w:smallCaps w:val="0"/>
          <w:noProof w:val="0"/>
          <w:color w:val="000000" w:themeColor="text1" w:themeTint="FF" w:themeShade="FF"/>
          <w:sz w:val="22"/>
          <w:szCs w:val="22"/>
          <w:lang w:val="en-GB"/>
        </w:rPr>
        <w:t>. Bristol: Policy Press.</w:t>
      </w:r>
    </w:p>
    <w:p w:rsidR="462867AB" w:rsidP="5AB6EA17" w:rsidRDefault="462867AB" w14:paraId="0D0B5207" w14:textId="149897E3">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AB6EA17" w:rsidR="462867AB">
        <w:rPr>
          <w:rFonts w:ascii="Arial" w:hAnsi="Arial" w:eastAsia="Arial" w:cs="Arial"/>
          <w:b w:val="0"/>
          <w:bCs w:val="0"/>
          <w:i w:val="0"/>
          <w:iCs w:val="0"/>
          <w:caps w:val="0"/>
          <w:smallCaps w:val="0"/>
          <w:noProof w:val="0"/>
          <w:color w:val="000000" w:themeColor="text1" w:themeTint="FF" w:themeShade="FF"/>
          <w:sz w:val="22"/>
          <w:szCs w:val="22"/>
          <w:lang w:val="en-GB"/>
        </w:rPr>
        <w:t xml:space="preserve">Goodwin, N. et al. (2014) </w:t>
      </w:r>
      <w:r w:rsidRPr="5AB6EA17" w:rsidR="462867AB">
        <w:rPr>
          <w:rFonts w:ascii="Arial" w:hAnsi="Arial" w:eastAsia="Arial" w:cs="Arial"/>
          <w:b w:val="0"/>
          <w:bCs w:val="0"/>
          <w:i w:val="1"/>
          <w:iCs w:val="1"/>
          <w:caps w:val="0"/>
          <w:smallCaps w:val="0"/>
          <w:noProof w:val="0"/>
          <w:color w:val="000000" w:themeColor="text1" w:themeTint="FF" w:themeShade="FF"/>
          <w:sz w:val="22"/>
          <w:szCs w:val="22"/>
          <w:lang w:val="en-GB"/>
        </w:rPr>
        <w:t>Providing Integrated Care for Older People with Complex Needs</w:t>
      </w:r>
      <w:r w:rsidRPr="5AB6EA17" w:rsidR="462867AB">
        <w:rPr>
          <w:rFonts w:ascii="Arial" w:hAnsi="Arial" w:eastAsia="Arial" w:cs="Arial"/>
          <w:b w:val="0"/>
          <w:bCs w:val="0"/>
          <w:i w:val="0"/>
          <w:iCs w:val="0"/>
          <w:caps w:val="0"/>
          <w:smallCaps w:val="0"/>
          <w:noProof w:val="0"/>
          <w:color w:val="000000" w:themeColor="text1" w:themeTint="FF" w:themeShade="FF"/>
          <w:sz w:val="22"/>
          <w:szCs w:val="22"/>
          <w:lang w:val="en-GB"/>
        </w:rPr>
        <w:t>. London: The King’s Fund.</w:t>
      </w:r>
    </w:p>
    <w:p w:rsidR="462867AB" w:rsidP="5AB6EA17" w:rsidRDefault="462867AB" w14:paraId="75BBDE64" w14:textId="595B80DB">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AB6EA17" w:rsidR="462867AB">
        <w:rPr>
          <w:rFonts w:ascii="Arial" w:hAnsi="Arial" w:eastAsia="Arial" w:cs="Arial"/>
          <w:b w:val="0"/>
          <w:bCs w:val="0"/>
          <w:i w:val="0"/>
          <w:iCs w:val="0"/>
          <w:caps w:val="0"/>
          <w:smallCaps w:val="0"/>
          <w:noProof w:val="0"/>
          <w:color w:val="000000" w:themeColor="text1" w:themeTint="FF" w:themeShade="FF"/>
          <w:sz w:val="22"/>
          <w:szCs w:val="22"/>
          <w:lang w:val="en-GB"/>
        </w:rPr>
        <w:t xml:space="preserve">Guerreiro, M.P., Brito Félix, I. and Moreira Marques, M. (2023) </w:t>
      </w:r>
      <w:r w:rsidRPr="5AB6EA17" w:rsidR="462867AB">
        <w:rPr>
          <w:rFonts w:ascii="Arial" w:hAnsi="Arial" w:eastAsia="Arial" w:cs="Arial"/>
          <w:b w:val="0"/>
          <w:bCs w:val="0"/>
          <w:i w:val="1"/>
          <w:iCs w:val="1"/>
          <w:caps w:val="0"/>
          <w:smallCaps w:val="0"/>
          <w:noProof w:val="0"/>
          <w:color w:val="000000" w:themeColor="text1" w:themeTint="FF" w:themeShade="FF"/>
          <w:sz w:val="22"/>
          <w:szCs w:val="22"/>
          <w:lang w:val="en-GB"/>
        </w:rPr>
        <w:t>A practical guide on behaviour change support for self-managing chronic disease</w:t>
      </w:r>
      <w:r w:rsidRPr="5AB6EA17" w:rsidR="462867AB">
        <w:rPr>
          <w:rFonts w:ascii="Arial" w:hAnsi="Arial" w:eastAsia="Arial" w:cs="Arial"/>
          <w:b w:val="0"/>
          <w:bCs w:val="0"/>
          <w:i w:val="0"/>
          <w:iCs w:val="0"/>
          <w:caps w:val="0"/>
          <w:smallCaps w:val="0"/>
          <w:noProof w:val="0"/>
          <w:color w:val="000000" w:themeColor="text1" w:themeTint="FF" w:themeShade="FF"/>
          <w:sz w:val="22"/>
          <w:szCs w:val="22"/>
          <w:lang w:val="en-GB"/>
        </w:rPr>
        <w:t xml:space="preserve">. Cham: Springer Nature. Available at: </w:t>
      </w:r>
      <w:hyperlink r:id="Ra21f1828f9204834">
        <w:r w:rsidRPr="5AB6EA17" w:rsidR="462867AB">
          <w:rPr>
            <w:rStyle w:val="Hyperlink"/>
            <w:rFonts w:ascii="Arial" w:hAnsi="Arial" w:eastAsia="Arial" w:cs="Arial"/>
            <w:b w:val="0"/>
            <w:bCs w:val="0"/>
            <w:i w:val="0"/>
            <w:iCs w:val="0"/>
            <w:caps w:val="0"/>
            <w:smallCaps w:val="0"/>
            <w:strike w:val="0"/>
            <w:dstrike w:val="0"/>
            <w:noProof w:val="0"/>
            <w:sz w:val="22"/>
            <w:szCs w:val="22"/>
            <w:lang w:val="en-GB"/>
          </w:rPr>
          <w:t>https://doi.org/10.1007/978-3-031-20010-6</w:t>
        </w:r>
      </w:hyperlink>
      <w:r w:rsidRPr="5AB6EA17" w:rsidR="462867AB">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24 March 2026).</w:t>
      </w:r>
    </w:p>
    <w:p w:rsidR="462867AB" w:rsidP="5AB6EA17" w:rsidRDefault="462867AB" w14:paraId="6B9DBCB0" w14:textId="2314BD95">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AB6EA17" w:rsidR="462867AB">
        <w:rPr>
          <w:rFonts w:ascii="Arial" w:hAnsi="Arial" w:eastAsia="Arial" w:cs="Arial"/>
          <w:b w:val="0"/>
          <w:bCs w:val="0"/>
          <w:i w:val="0"/>
          <w:iCs w:val="0"/>
          <w:caps w:val="0"/>
          <w:smallCaps w:val="0"/>
          <w:noProof w:val="0"/>
          <w:color w:val="000000" w:themeColor="text1" w:themeTint="FF" w:themeShade="FF"/>
          <w:sz w:val="22"/>
          <w:szCs w:val="22"/>
          <w:lang w:val="en-GB"/>
        </w:rPr>
        <w:t>Jelphs</w:t>
      </w:r>
      <w:r w:rsidRPr="5AB6EA17" w:rsidR="462867AB">
        <w:rPr>
          <w:rFonts w:ascii="Arial" w:hAnsi="Arial" w:eastAsia="Arial" w:cs="Arial"/>
          <w:b w:val="0"/>
          <w:bCs w:val="0"/>
          <w:i w:val="0"/>
          <w:iCs w:val="0"/>
          <w:caps w:val="0"/>
          <w:smallCaps w:val="0"/>
          <w:noProof w:val="0"/>
          <w:color w:val="000000" w:themeColor="text1" w:themeTint="FF" w:themeShade="FF"/>
          <w:sz w:val="22"/>
          <w:szCs w:val="22"/>
          <w:lang w:val="en-GB"/>
        </w:rPr>
        <w:t xml:space="preserve">, K., Dickinson, </w:t>
      </w:r>
      <w:r w:rsidRPr="5AB6EA17" w:rsidR="462867AB">
        <w:rPr>
          <w:rFonts w:ascii="Arial" w:hAnsi="Arial" w:eastAsia="Arial" w:cs="Arial"/>
          <w:b w:val="0"/>
          <w:bCs w:val="0"/>
          <w:i w:val="0"/>
          <w:iCs w:val="0"/>
          <w:caps w:val="0"/>
          <w:smallCaps w:val="0"/>
          <w:noProof w:val="0"/>
          <w:color w:val="000000" w:themeColor="text1" w:themeTint="FF" w:themeShade="FF"/>
          <w:sz w:val="22"/>
          <w:szCs w:val="22"/>
          <w:lang w:val="en-GB"/>
        </w:rPr>
        <w:t>H.</w:t>
      </w:r>
      <w:r w:rsidRPr="5AB6EA17" w:rsidR="462867AB">
        <w:rPr>
          <w:rFonts w:ascii="Arial" w:hAnsi="Arial" w:eastAsia="Arial" w:cs="Arial"/>
          <w:b w:val="0"/>
          <w:bCs w:val="0"/>
          <w:i w:val="0"/>
          <w:iCs w:val="0"/>
          <w:caps w:val="0"/>
          <w:smallCaps w:val="0"/>
          <w:noProof w:val="0"/>
          <w:color w:val="000000" w:themeColor="text1" w:themeTint="FF" w:themeShade="FF"/>
          <w:sz w:val="22"/>
          <w:szCs w:val="22"/>
          <w:lang w:val="en-GB"/>
        </w:rPr>
        <w:t xml:space="preserve"> and Miller, R. (2016) </w:t>
      </w:r>
      <w:r w:rsidRPr="5AB6EA17" w:rsidR="462867AB">
        <w:rPr>
          <w:rFonts w:ascii="Arial" w:hAnsi="Arial" w:eastAsia="Arial" w:cs="Arial"/>
          <w:b w:val="0"/>
          <w:bCs w:val="0"/>
          <w:i w:val="1"/>
          <w:iCs w:val="1"/>
          <w:caps w:val="0"/>
          <w:smallCaps w:val="0"/>
          <w:noProof w:val="0"/>
          <w:color w:val="000000" w:themeColor="text1" w:themeTint="FF" w:themeShade="FF"/>
          <w:sz w:val="22"/>
          <w:szCs w:val="22"/>
          <w:lang w:val="en-GB"/>
        </w:rPr>
        <w:t>Working in Teams</w:t>
      </w:r>
      <w:r w:rsidRPr="5AB6EA17" w:rsidR="462867AB">
        <w:rPr>
          <w:rFonts w:ascii="Arial" w:hAnsi="Arial" w:eastAsia="Arial" w:cs="Arial"/>
          <w:b w:val="0"/>
          <w:bCs w:val="0"/>
          <w:i w:val="0"/>
          <w:iCs w:val="0"/>
          <w:caps w:val="0"/>
          <w:smallCaps w:val="0"/>
          <w:noProof w:val="0"/>
          <w:color w:val="000000" w:themeColor="text1" w:themeTint="FF" w:themeShade="FF"/>
          <w:sz w:val="22"/>
          <w:szCs w:val="22"/>
          <w:lang w:val="en-GB"/>
        </w:rPr>
        <w:t xml:space="preserve">. 2nd </w:t>
      </w:r>
      <w:r w:rsidRPr="5AB6EA17" w:rsidR="462867AB">
        <w:rPr>
          <w:rFonts w:ascii="Arial" w:hAnsi="Arial" w:eastAsia="Arial" w:cs="Arial"/>
          <w:b w:val="0"/>
          <w:bCs w:val="0"/>
          <w:i w:val="0"/>
          <w:iCs w:val="0"/>
          <w:caps w:val="0"/>
          <w:smallCaps w:val="0"/>
          <w:noProof w:val="0"/>
          <w:color w:val="000000" w:themeColor="text1" w:themeTint="FF" w:themeShade="FF"/>
          <w:sz w:val="22"/>
          <w:szCs w:val="22"/>
          <w:lang w:val="en-GB"/>
        </w:rPr>
        <w:t>edn</w:t>
      </w:r>
      <w:r w:rsidRPr="5AB6EA17" w:rsidR="462867AB">
        <w:rPr>
          <w:rFonts w:ascii="Arial" w:hAnsi="Arial" w:eastAsia="Arial" w:cs="Arial"/>
          <w:b w:val="0"/>
          <w:bCs w:val="0"/>
          <w:i w:val="0"/>
          <w:iCs w:val="0"/>
          <w:caps w:val="0"/>
          <w:smallCaps w:val="0"/>
          <w:noProof w:val="0"/>
          <w:color w:val="000000" w:themeColor="text1" w:themeTint="FF" w:themeShade="FF"/>
          <w:sz w:val="22"/>
          <w:szCs w:val="22"/>
          <w:lang w:val="en-GB"/>
        </w:rPr>
        <w:t>. Bristol: Policy Press.</w:t>
      </w:r>
    </w:p>
    <w:p w:rsidR="462867AB" w:rsidP="5AB6EA17" w:rsidRDefault="462867AB" w14:paraId="2D36B4BE" w14:textId="120546AC">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AB6EA17" w:rsidR="462867AB">
        <w:rPr>
          <w:rFonts w:ascii="Arial" w:hAnsi="Arial" w:eastAsia="Arial" w:cs="Arial"/>
          <w:b w:val="0"/>
          <w:bCs w:val="0"/>
          <w:i w:val="0"/>
          <w:iCs w:val="0"/>
          <w:caps w:val="0"/>
          <w:smallCaps w:val="0"/>
          <w:noProof w:val="0"/>
          <w:color w:val="000000" w:themeColor="text1" w:themeTint="FF" w:themeShade="FF"/>
          <w:sz w:val="22"/>
          <w:szCs w:val="22"/>
          <w:lang w:val="en-GB"/>
        </w:rPr>
        <w:t xml:space="preserve">Maslow, A.H. (1943) ‘A Theory of Human Motivation’, </w:t>
      </w:r>
      <w:r w:rsidRPr="5AB6EA17" w:rsidR="462867AB">
        <w:rPr>
          <w:rFonts w:ascii="Arial" w:hAnsi="Arial" w:eastAsia="Arial" w:cs="Arial"/>
          <w:b w:val="0"/>
          <w:bCs w:val="0"/>
          <w:i w:val="1"/>
          <w:iCs w:val="1"/>
          <w:caps w:val="0"/>
          <w:smallCaps w:val="0"/>
          <w:noProof w:val="0"/>
          <w:color w:val="000000" w:themeColor="text1" w:themeTint="FF" w:themeShade="FF"/>
          <w:sz w:val="22"/>
          <w:szCs w:val="22"/>
          <w:lang w:val="en-GB"/>
        </w:rPr>
        <w:t>Psychological Review</w:t>
      </w:r>
      <w:r w:rsidRPr="5AB6EA17" w:rsidR="462867AB">
        <w:rPr>
          <w:rFonts w:ascii="Arial" w:hAnsi="Arial" w:eastAsia="Arial" w:cs="Arial"/>
          <w:b w:val="0"/>
          <w:bCs w:val="0"/>
          <w:i w:val="0"/>
          <w:iCs w:val="0"/>
          <w:caps w:val="0"/>
          <w:smallCaps w:val="0"/>
          <w:noProof w:val="0"/>
          <w:color w:val="000000" w:themeColor="text1" w:themeTint="FF" w:themeShade="FF"/>
          <w:sz w:val="22"/>
          <w:szCs w:val="22"/>
          <w:lang w:val="en-GB"/>
        </w:rPr>
        <w:t>.</w:t>
      </w:r>
    </w:p>
    <w:p w:rsidR="462867AB" w:rsidP="5AB6EA17" w:rsidRDefault="462867AB" w14:paraId="560BBC19" w14:textId="5E0DC3B1">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AB6EA17" w:rsidR="462867AB">
        <w:rPr>
          <w:rFonts w:ascii="Arial" w:hAnsi="Arial" w:eastAsia="Arial" w:cs="Arial"/>
          <w:b w:val="0"/>
          <w:bCs w:val="0"/>
          <w:i w:val="0"/>
          <w:iCs w:val="0"/>
          <w:caps w:val="0"/>
          <w:smallCaps w:val="0"/>
          <w:noProof w:val="0"/>
          <w:color w:val="000000" w:themeColor="text1" w:themeTint="FF" w:themeShade="FF"/>
          <w:sz w:val="22"/>
          <w:szCs w:val="22"/>
          <w:lang w:val="en-GB"/>
        </w:rPr>
        <w:t xml:space="preserve">Moskop, J.C. (2016) </w:t>
      </w:r>
      <w:r w:rsidRPr="5AB6EA17" w:rsidR="462867AB">
        <w:rPr>
          <w:rFonts w:ascii="Arial" w:hAnsi="Arial" w:eastAsia="Arial" w:cs="Arial"/>
          <w:b w:val="0"/>
          <w:bCs w:val="0"/>
          <w:i w:val="1"/>
          <w:iCs w:val="1"/>
          <w:caps w:val="0"/>
          <w:smallCaps w:val="0"/>
          <w:noProof w:val="0"/>
          <w:color w:val="000000" w:themeColor="text1" w:themeTint="FF" w:themeShade="FF"/>
          <w:sz w:val="22"/>
          <w:szCs w:val="22"/>
          <w:lang w:val="en-GB"/>
        </w:rPr>
        <w:t>Ethics and Health Care: An Introduction</w:t>
      </w:r>
      <w:r w:rsidRPr="5AB6EA17" w:rsidR="462867AB">
        <w:rPr>
          <w:rFonts w:ascii="Arial" w:hAnsi="Arial" w:eastAsia="Arial" w:cs="Arial"/>
          <w:b w:val="0"/>
          <w:bCs w:val="0"/>
          <w:i w:val="0"/>
          <w:iCs w:val="0"/>
          <w:caps w:val="0"/>
          <w:smallCaps w:val="0"/>
          <w:noProof w:val="0"/>
          <w:color w:val="000000" w:themeColor="text1" w:themeTint="FF" w:themeShade="FF"/>
          <w:sz w:val="22"/>
          <w:szCs w:val="22"/>
          <w:lang w:val="en-GB"/>
        </w:rPr>
        <w:t>. Cambridge: Cambridge University Press.</w:t>
      </w:r>
    </w:p>
    <w:p w:rsidR="462867AB" w:rsidP="5AB6EA17" w:rsidRDefault="462867AB" w14:paraId="476D526B" w14:textId="11266B4A">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AB6EA17" w:rsidR="462867AB">
        <w:rPr>
          <w:rFonts w:ascii="Arial" w:hAnsi="Arial" w:eastAsia="Arial" w:cs="Arial"/>
          <w:b w:val="0"/>
          <w:bCs w:val="0"/>
          <w:i w:val="0"/>
          <w:iCs w:val="0"/>
          <w:caps w:val="0"/>
          <w:smallCaps w:val="0"/>
          <w:noProof w:val="0"/>
          <w:color w:val="000000" w:themeColor="text1" w:themeTint="FF" w:themeShade="FF"/>
          <w:sz w:val="22"/>
          <w:szCs w:val="22"/>
          <w:lang w:val="en-GB"/>
        </w:rPr>
        <w:t xml:space="preserve">NHS England (2022) </w:t>
      </w:r>
      <w:r w:rsidRPr="5AB6EA17" w:rsidR="462867AB">
        <w:rPr>
          <w:rFonts w:ascii="Arial" w:hAnsi="Arial" w:eastAsia="Arial" w:cs="Arial"/>
          <w:b w:val="0"/>
          <w:bCs w:val="0"/>
          <w:i w:val="1"/>
          <w:iCs w:val="1"/>
          <w:caps w:val="0"/>
          <w:smallCaps w:val="0"/>
          <w:noProof w:val="0"/>
          <w:color w:val="000000" w:themeColor="text1" w:themeTint="FF" w:themeShade="FF"/>
          <w:sz w:val="22"/>
          <w:szCs w:val="22"/>
          <w:lang w:val="en-GB"/>
        </w:rPr>
        <w:t>Personalised Care</w:t>
      </w:r>
      <w:r w:rsidRPr="5AB6EA17" w:rsidR="462867AB">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1fa1a04dbfdf4fcd">
        <w:r w:rsidRPr="5AB6EA17" w:rsidR="462867AB">
          <w:rPr>
            <w:rStyle w:val="Hyperlink"/>
            <w:rFonts w:ascii="Arial" w:hAnsi="Arial" w:eastAsia="Arial" w:cs="Arial"/>
            <w:b w:val="0"/>
            <w:bCs w:val="0"/>
            <w:i w:val="0"/>
            <w:iCs w:val="0"/>
            <w:caps w:val="0"/>
            <w:smallCaps w:val="0"/>
            <w:strike w:val="0"/>
            <w:dstrike w:val="0"/>
            <w:noProof w:val="0"/>
            <w:sz w:val="22"/>
            <w:szCs w:val="22"/>
            <w:lang w:val="en-GB"/>
          </w:rPr>
          <w:t>https://www.england.nhs.uk</w:t>
        </w:r>
      </w:hyperlink>
      <w:r w:rsidRPr="5AB6EA17" w:rsidR="462867AB">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24 March 2026).</w:t>
      </w:r>
    </w:p>
    <w:p w:rsidR="462867AB" w:rsidP="5AB6EA17" w:rsidRDefault="462867AB" w14:paraId="2BD604D9" w14:textId="6012E4E2">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AB6EA17" w:rsidR="462867AB">
        <w:rPr>
          <w:rFonts w:ascii="Arial" w:hAnsi="Arial" w:eastAsia="Arial" w:cs="Arial"/>
          <w:b w:val="0"/>
          <w:bCs w:val="0"/>
          <w:i w:val="0"/>
          <w:iCs w:val="0"/>
          <w:caps w:val="0"/>
          <w:smallCaps w:val="0"/>
          <w:noProof w:val="0"/>
          <w:color w:val="000000" w:themeColor="text1" w:themeTint="FF" w:themeShade="FF"/>
          <w:sz w:val="22"/>
          <w:szCs w:val="22"/>
          <w:lang w:val="en-GB"/>
        </w:rPr>
        <w:t xml:space="preserve">Nolte, </w:t>
      </w:r>
      <w:r w:rsidRPr="5AB6EA17" w:rsidR="462867AB">
        <w:rPr>
          <w:rFonts w:ascii="Arial" w:hAnsi="Arial" w:eastAsia="Arial" w:cs="Arial"/>
          <w:b w:val="0"/>
          <w:bCs w:val="0"/>
          <w:i w:val="0"/>
          <w:iCs w:val="0"/>
          <w:caps w:val="0"/>
          <w:smallCaps w:val="0"/>
          <w:noProof w:val="0"/>
          <w:color w:val="000000" w:themeColor="text1" w:themeTint="FF" w:themeShade="FF"/>
          <w:sz w:val="22"/>
          <w:szCs w:val="22"/>
          <w:lang w:val="en-GB"/>
        </w:rPr>
        <w:t>E.</w:t>
      </w:r>
      <w:r w:rsidRPr="5AB6EA17" w:rsidR="462867AB">
        <w:rPr>
          <w:rFonts w:ascii="Arial" w:hAnsi="Arial" w:eastAsia="Arial" w:cs="Arial"/>
          <w:b w:val="0"/>
          <w:bCs w:val="0"/>
          <w:i w:val="0"/>
          <w:iCs w:val="0"/>
          <w:caps w:val="0"/>
          <w:smallCaps w:val="0"/>
          <w:noProof w:val="0"/>
          <w:color w:val="000000" w:themeColor="text1" w:themeTint="FF" w:themeShade="FF"/>
          <w:sz w:val="22"/>
          <w:szCs w:val="22"/>
          <w:lang w:val="en-GB"/>
        </w:rPr>
        <w:t xml:space="preserve"> and McKee, M. (2008) ‘Integration and chronic care: a review’, in Nolte, E. and McKee, M. (eds.) </w:t>
      </w:r>
      <w:r w:rsidRPr="5AB6EA17" w:rsidR="462867AB">
        <w:rPr>
          <w:rFonts w:ascii="Arial" w:hAnsi="Arial" w:eastAsia="Arial" w:cs="Arial"/>
          <w:b w:val="0"/>
          <w:bCs w:val="0"/>
          <w:i w:val="1"/>
          <w:iCs w:val="1"/>
          <w:caps w:val="0"/>
          <w:smallCaps w:val="0"/>
          <w:noProof w:val="0"/>
          <w:color w:val="000000" w:themeColor="text1" w:themeTint="FF" w:themeShade="FF"/>
          <w:sz w:val="22"/>
          <w:szCs w:val="22"/>
          <w:lang w:val="en-GB"/>
        </w:rPr>
        <w:t>Caring for People with Chronic Conditions</w:t>
      </w:r>
      <w:r w:rsidRPr="5AB6EA17" w:rsidR="462867AB">
        <w:rPr>
          <w:rFonts w:ascii="Arial" w:hAnsi="Arial" w:eastAsia="Arial" w:cs="Arial"/>
          <w:b w:val="0"/>
          <w:bCs w:val="0"/>
          <w:i w:val="0"/>
          <w:iCs w:val="0"/>
          <w:caps w:val="0"/>
          <w:smallCaps w:val="0"/>
          <w:noProof w:val="0"/>
          <w:color w:val="000000" w:themeColor="text1" w:themeTint="FF" w:themeShade="FF"/>
          <w:sz w:val="22"/>
          <w:szCs w:val="22"/>
          <w:lang w:val="en-GB"/>
        </w:rPr>
        <w:t>. Maidenhead: Open University Press.</w:t>
      </w:r>
    </w:p>
    <w:p w:rsidR="462867AB" w:rsidP="5AB6EA17" w:rsidRDefault="462867AB" w14:paraId="5F1D8E6D" w14:textId="3212FB9F">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AB6EA17" w:rsidR="462867AB">
        <w:rPr>
          <w:rFonts w:ascii="Arial" w:hAnsi="Arial" w:eastAsia="Arial" w:cs="Arial"/>
          <w:b w:val="0"/>
          <w:bCs w:val="0"/>
          <w:i w:val="0"/>
          <w:iCs w:val="0"/>
          <w:caps w:val="0"/>
          <w:smallCaps w:val="0"/>
          <w:noProof w:val="0"/>
          <w:color w:val="000000" w:themeColor="text1" w:themeTint="FF" w:themeShade="FF"/>
          <w:sz w:val="22"/>
          <w:szCs w:val="22"/>
          <w:lang w:val="en-GB"/>
        </w:rPr>
        <w:t xml:space="preserve">North, J. (2020) </w:t>
      </w:r>
      <w:r w:rsidRPr="5AB6EA17" w:rsidR="462867AB">
        <w:rPr>
          <w:rFonts w:ascii="Arial" w:hAnsi="Arial" w:eastAsia="Arial" w:cs="Arial"/>
          <w:b w:val="0"/>
          <w:bCs w:val="0"/>
          <w:i w:val="1"/>
          <w:iCs w:val="1"/>
          <w:caps w:val="0"/>
          <w:smallCaps w:val="0"/>
          <w:noProof w:val="0"/>
          <w:color w:val="000000" w:themeColor="text1" w:themeTint="FF" w:themeShade="FF"/>
          <w:sz w:val="22"/>
          <w:szCs w:val="22"/>
          <w:lang w:val="en-GB"/>
        </w:rPr>
        <w:t>Achieving Person-Centred Health Systems</w:t>
      </w:r>
      <w:r w:rsidRPr="5AB6EA17" w:rsidR="462867AB">
        <w:rPr>
          <w:rFonts w:ascii="Arial" w:hAnsi="Arial" w:eastAsia="Arial" w:cs="Arial"/>
          <w:b w:val="0"/>
          <w:bCs w:val="0"/>
          <w:i w:val="0"/>
          <w:iCs w:val="0"/>
          <w:caps w:val="0"/>
          <w:smallCaps w:val="0"/>
          <w:noProof w:val="0"/>
          <w:color w:val="000000" w:themeColor="text1" w:themeTint="FF" w:themeShade="FF"/>
          <w:sz w:val="22"/>
          <w:szCs w:val="22"/>
          <w:lang w:val="en-GB"/>
        </w:rPr>
        <w:t>. Cambridge: Cambridge University Press.</w:t>
      </w:r>
    </w:p>
    <w:p w:rsidR="462867AB" w:rsidP="5AB6EA17" w:rsidRDefault="462867AB" w14:paraId="788E8436" w14:textId="1B7C32B8">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AB6EA17" w:rsidR="462867AB">
        <w:rPr>
          <w:rFonts w:ascii="Arial" w:hAnsi="Arial" w:eastAsia="Arial" w:cs="Arial"/>
          <w:b w:val="0"/>
          <w:bCs w:val="0"/>
          <w:i w:val="0"/>
          <w:iCs w:val="0"/>
          <w:caps w:val="0"/>
          <w:smallCaps w:val="0"/>
          <w:noProof w:val="0"/>
          <w:color w:val="000000" w:themeColor="text1" w:themeTint="FF" w:themeShade="FF"/>
          <w:sz w:val="22"/>
          <w:szCs w:val="22"/>
          <w:lang w:val="en-GB"/>
        </w:rPr>
        <w:t>Ocloo</w:t>
      </w:r>
      <w:r w:rsidRPr="5AB6EA17" w:rsidR="462867AB">
        <w:rPr>
          <w:rFonts w:ascii="Arial" w:hAnsi="Arial" w:eastAsia="Arial" w:cs="Arial"/>
          <w:b w:val="0"/>
          <w:bCs w:val="0"/>
          <w:i w:val="0"/>
          <w:iCs w:val="0"/>
          <w:caps w:val="0"/>
          <w:smallCaps w:val="0"/>
          <w:noProof w:val="0"/>
          <w:color w:val="000000" w:themeColor="text1" w:themeTint="FF" w:themeShade="FF"/>
          <w:sz w:val="22"/>
          <w:szCs w:val="22"/>
          <w:lang w:val="en-GB"/>
        </w:rPr>
        <w:t xml:space="preserve">, J. et al. (2021) ‘Exploring patient and public involvement’, </w:t>
      </w:r>
      <w:r w:rsidRPr="5AB6EA17" w:rsidR="462867AB">
        <w:rPr>
          <w:rFonts w:ascii="Arial" w:hAnsi="Arial" w:eastAsia="Arial" w:cs="Arial"/>
          <w:b w:val="0"/>
          <w:bCs w:val="0"/>
          <w:i w:val="1"/>
          <w:iCs w:val="1"/>
          <w:caps w:val="0"/>
          <w:smallCaps w:val="0"/>
          <w:noProof w:val="0"/>
          <w:color w:val="000000" w:themeColor="text1" w:themeTint="FF" w:themeShade="FF"/>
          <w:sz w:val="22"/>
          <w:szCs w:val="22"/>
          <w:lang w:val="en-GB"/>
        </w:rPr>
        <w:t>Health Research Policy and Systems</w:t>
      </w:r>
      <w:r w:rsidRPr="5AB6EA17" w:rsidR="462867AB">
        <w:rPr>
          <w:rFonts w:ascii="Arial" w:hAnsi="Arial" w:eastAsia="Arial" w:cs="Arial"/>
          <w:b w:val="0"/>
          <w:bCs w:val="0"/>
          <w:i w:val="0"/>
          <w:iCs w:val="0"/>
          <w:caps w:val="0"/>
          <w:smallCaps w:val="0"/>
          <w:noProof w:val="0"/>
          <w:color w:val="000000" w:themeColor="text1" w:themeTint="FF" w:themeShade="FF"/>
          <w:sz w:val="22"/>
          <w:szCs w:val="22"/>
          <w:lang w:val="en-GB"/>
        </w:rPr>
        <w:t>, 19(1), pp. 1–21.</w:t>
      </w:r>
    </w:p>
    <w:p w:rsidR="462867AB" w:rsidP="5AB6EA17" w:rsidRDefault="462867AB" w14:paraId="1AA524BB" w14:textId="632D4F95">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AB6EA17" w:rsidR="462867AB">
        <w:rPr>
          <w:rFonts w:ascii="Arial" w:hAnsi="Arial" w:eastAsia="Arial" w:cs="Arial"/>
          <w:b w:val="0"/>
          <w:bCs w:val="0"/>
          <w:i w:val="0"/>
          <w:iCs w:val="0"/>
          <w:caps w:val="0"/>
          <w:smallCaps w:val="0"/>
          <w:noProof w:val="0"/>
          <w:color w:val="000000" w:themeColor="text1" w:themeTint="FF" w:themeShade="FF"/>
          <w:sz w:val="22"/>
          <w:szCs w:val="22"/>
          <w:lang w:val="en-GB"/>
        </w:rPr>
        <w:t xml:space="preserve">Rayman, G., Akpan, A., Cowie, M., Evans, R., Patel, M., </w:t>
      </w:r>
      <w:r w:rsidRPr="5AB6EA17" w:rsidR="462867AB">
        <w:rPr>
          <w:rFonts w:ascii="Arial" w:hAnsi="Arial" w:eastAsia="Arial" w:cs="Arial"/>
          <w:b w:val="0"/>
          <w:bCs w:val="0"/>
          <w:i w:val="0"/>
          <w:iCs w:val="0"/>
          <w:caps w:val="0"/>
          <w:smallCaps w:val="0"/>
          <w:noProof w:val="0"/>
          <w:color w:val="000000" w:themeColor="text1" w:themeTint="FF" w:themeShade="FF"/>
          <w:sz w:val="22"/>
          <w:szCs w:val="22"/>
          <w:lang w:val="en-GB"/>
        </w:rPr>
        <w:t>Posporelis</w:t>
      </w:r>
      <w:r w:rsidRPr="5AB6EA17" w:rsidR="462867AB">
        <w:rPr>
          <w:rFonts w:ascii="Arial" w:hAnsi="Arial" w:eastAsia="Arial" w:cs="Arial"/>
          <w:b w:val="0"/>
          <w:bCs w:val="0"/>
          <w:i w:val="0"/>
          <w:iCs w:val="0"/>
          <w:caps w:val="0"/>
          <w:smallCaps w:val="0"/>
          <w:noProof w:val="0"/>
          <w:color w:val="000000" w:themeColor="text1" w:themeTint="FF" w:themeShade="FF"/>
          <w:sz w:val="22"/>
          <w:szCs w:val="22"/>
          <w:lang w:val="en-GB"/>
        </w:rPr>
        <w:t xml:space="preserve">, S., &amp; Walsh, K. (2022) Managing patients with comorbidities: Future models of care. </w:t>
      </w:r>
      <w:r w:rsidRPr="5AB6EA17" w:rsidR="462867AB">
        <w:rPr>
          <w:rFonts w:ascii="Arial" w:hAnsi="Arial" w:eastAsia="Arial" w:cs="Arial"/>
          <w:b w:val="0"/>
          <w:bCs w:val="0"/>
          <w:i w:val="1"/>
          <w:iCs w:val="1"/>
          <w:caps w:val="0"/>
          <w:smallCaps w:val="0"/>
          <w:noProof w:val="0"/>
          <w:color w:val="000000" w:themeColor="text1" w:themeTint="FF" w:themeShade="FF"/>
          <w:sz w:val="22"/>
          <w:szCs w:val="22"/>
          <w:lang w:val="en-GB"/>
        </w:rPr>
        <w:t>Future Healthcare Journal</w:t>
      </w:r>
      <w:r w:rsidRPr="5AB6EA17" w:rsidR="462867A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AB6EA17" w:rsidR="462867AB">
        <w:rPr>
          <w:rFonts w:ascii="Arial" w:hAnsi="Arial" w:eastAsia="Arial" w:cs="Arial"/>
          <w:b w:val="0"/>
          <w:bCs w:val="0"/>
          <w:i w:val="1"/>
          <w:iCs w:val="1"/>
          <w:caps w:val="0"/>
          <w:smallCaps w:val="0"/>
          <w:noProof w:val="0"/>
          <w:color w:val="000000" w:themeColor="text1" w:themeTint="FF" w:themeShade="FF"/>
          <w:sz w:val="22"/>
          <w:szCs w:val="22"/>
          <w:lang w:val="en-GB"/>
        </w:rPr>
        <w:t>9</w:t>
      </w:r>
      <w:r w:rsidRPr="5AB6EA17" w:rsidR="462867AB">
        <w:rPr>
          <w:rFonts w:ascii="Arial" w:hAnsi="Arial" w:eastAsia="Arial" w:cs="Arial"/>
          <w:b w:val="0"/>
          <w:bCs w:val="0"/>
          <w:i w:val="0"/>
          <w:iCs w:val="0"/>
          <w:caps w:val="0"/>
          <w:smallCaps w:val="0"/>
          <w:noProof w:val="0"/>
          <w:color w:val="000000" w:themeColor="text1" w:themeTint="FF" w:themeShade="FF"/>
          <w:sz w:val="22"/>
          <w:szCs w:val="22"/>
          <w:lang w:val="en-GB"/>
        </w:rPr>
        <w:t xml:space="preserve">(2), 101. </w:t>
      </w:r>
      <w:hyperlink r:id="R6fb8574ebbe740a2">
        <w:r w:rsidRPr="5AB6EA17" w:rsidR="462867AB">
          <w:rPr>
            <w:rStyle w:val="Hyperlink"/>
            <w:rFonts w:ascii="Arial" w:hAnsi="Arial" w:eastAsia="Arial" w:cs="Arial"/>
            <w:b w:val="0"/>
            <w:bCs w:val="0"/>
            <w:i w:val="0"/>
            <w:iCs w:val="0"/>
            <w:caps w:val="0"/>
            <w:smallCaps w:val="0"/>
            <w:noProof w:val="0"/>
            <w:sz w:val="22"/>
            <w:szCs w:val="22"/>
            <w:lang w:val="en-GB"/>
          </w:rPr>
          <w:t>https://doi.org/10.7861/fhj.2022-0029</w:t>
        </w:r>
      </w:hyperlink>
    </w:p>
    <w:p w:rsidR="462867AB" w:rsidP="5AB6EA17" w:rsidRDefault="462867AB" w14:paraId="249B8CD6" w14:textId="1F16C1BE">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AB6EA17" w:rsidR="462867AB">
        <w:rPr>
          <w:rFonts w:ascii="Arial" w:hAnsi="Arial" w:eastAsia="Arial" w:cs="Arial"/>
          <w:b w:val="0"/>
          <w:bCs w:val="0"/>
          <w:i w:val="0"/>
          <w:iCs w:val="0"/>
          <w:caps w:val="0"/>
          <w:smallCaps w:val="0"/>
          <w:noProof w:val="0"/>
          <w:color w:val="000000" w:themeColor="text1" w:themeTint="FF" w:themeShade="FF"/>
          <w:sz w:val="22"/>
          <w:szCs w:val="22"/>
          <w:lang w:val="en-GB"/>
        </w:rPr>
        <w:t xml:space="preserve">Rivas, C. </w:t>
      </w:r>
      <w:r w:rsidRPr="5AB6EA17" w:rsidR="462867AB">
        <w:rPr>
          <w:rFonts w:ascii="Arial" w:hAnsi="Arial" w:eastAsia="Arial" w:cs="Arial"/>
          <w:b w:val="0"/>
          <w:bCs w:val="0"/>
          <w:i w:val="1"/>
          <w:iCs w:val="1"/>
          <w:caps w:val="0"/>
          <w:smallCaps w:val="0"/>
          <w:noProof w:val="0"/>
          <w:color w:val="000000" w:themeColor="text1" w:themeTint="FF" w:themeShade="FF"/>
          <w:sz w:val="22"/>
          <w:szCs w:val="22"/>
          <w:lang w:val="en-GB"/>
        </w:rPr>
        <w:t>et al.</w:t>
      </w:r>
      <w:r w:rsidRPr="5AB6EA17" w:rsidR="462867AB">
        <w:rPr>
          <w:rFonts w:ascii="Arial" w:hAnsi="Arial" w:eastAsia="Arial" w:cs="Arial"/>
          <w:b w:val="0"/>
          <w:bCs w:val="0"/>
          <w:i w:val="0"/>
          <w:iCs w:val="0"/>
          <w:caps w:val="0"/>
          <w:smallCaps w:val="0"/>
          <w:noProof w:val="0"/>
          <w:color w:val="000000" w:themeColor="text1" w:themeTint="FF" w:themeShade="FF"/>
          <w:sz w:val="22"/>
          <w:szCs w:val="22"/>
          <w:lang w:val="en-GB"/>
        </w:rPr>
        <w:t xml:space="preserve"> (2025) ‘Working in partnership with people from under-represented groups to develop person-centred social and health care practices: methodological insights from the CICADA study’, </w:t>
      </w:r>
      <w:r w:rsidRPr="5AB6EA17" w:rsidR="462867AB">
        <w:rPr>
          <w:rFonts w:ascii="Arial" w:hAnsi="Arial" w:eastAsia="Arial" w:cs="Arial"/>
          <w:b w:val="0"/>
          <w:bCs w:val="0"/>
          <w:i w:val="1"/>
          <w:iCs w:val="1"/>
          <w:caps w:val="0"/>
          <w:smallCaps w:val="0"/>
          <w:noProof w:val="0"/>
          <w:color w:val="000000" w:themeColor="text1" w:themeTint="FF" w:themeShade="FF"/>
          <w:sz w:val="22"/>
          <w:szCs w:val="22"/>
          <w:lang w:val="en-GB"/>
        </w:rPr>
        <w:t>Frontiers in Health Services</w:t>
      </w:r>
      <w:r w:rsidRPr="5AB6EA17" w:rsidR="462867AB">
        <w:rPr>
          <w:rFonts w:ascii="Arial" w:hAnsi="Arial" w:eastAsia="Arial" w:cs="Arial"/>
          <w:b w:val="0"/>
          <w:bCs w:val="0"/>
          <w:i w:val="0"/>
          <w:iCs w:val="0"/>
          <w:caps w:val="0"/>
          <w:smallCaps w:val="0"/>
          <w:noProof w:val="0"/>
          <w:color w:val="000000" w:themeColor="text1" w:themeTint="FF" w:themeShade="FF"/>
          <w:sz w:val="22"/>
          <w:szCs w:val="22"/>
          <w:lang w:val="en-GB"/>
        </w:rPr>
        <w:t xml:space="preserve">, 5, p. 1563354. Available at: </w:t>
      </w:r>
      <w:hyperlink r:id="R281d0d3e51f64fab">
        <w:r w:rsidRPr="5AB6EA17" w:rsidR="462867AB">
          <w:rPr>
            <w:rStyle w:val="Hyperlink"/>
            <w:rFonts w:ascii="Arial" w:hAnsi="Arial" w:eastAsia="Arial" w:cs="Arial"/>
            <w:b w:val="0"/>
            <w:bCs w:val="0"/>
            <w:i w:val="0"/>
            <w:iCs w:val="0"/>
            <w:caps w:val="0"/>
            <w:smallCaps w:val="0"/>
            <w:strike w:val="0"/>
            <w:dstrike w:val="0"/>
            <w:noProof w:val="0"/>
            <w:sz w:val="22"/>
            <w:szCs w:val="22"/>
            <w:lang w:val="en-GB"/>
          </w:rPr>
          <w:t>https://doi.org/10.3389/frhs.2025.1563354</w:t>
        </w:r>
      </w:hyperlink>
      <w:r w:rsidRPr="5AB6EA17" w:rsidR="462867AB">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24 March 2026).</w:t>
      </w:r>
    </w:p>
    <w:p w:rsidR="462867AB" w:rsidP="5AB6EA17" w:rsidRDefault="462867AB" w14:paraId="0FCEAACA" w14:textId="7F3BCF24">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AB6EA17" w:rsidR="462867AB">
        <w:rPr>
          <w:rFonts w:ascii="Arial" w:hAnsi="Arial" w:eastAsia="Arial" w:cs="Arial"/>
          <w:b w:val="0"/>
          <w:bCs w:val="0"/>
          <w:i w:val="0"/>
          <w:iCs w:val="0"/>
          <w:caps w:val="0"/>
          <w:smallCaps w:val="0"/>
          <w:noProof w:val="0"/>
          <w:color w:val="000000" w:themeColor="text1" w:themeTint="FF" w:themeShade="FF"/>
          <w:sz w:val="22"/>
          <w:szCs w:val="22"/>
          <w:lang w:val="en-GB"/>
        </w:rPr>
        <w:t xml:space="preserve">Rogers, C. (1961) </w:t>
      </w:r>
      <w:r w:rsidRPr="5AB6EA17" w:rsidR="462867AB">
        <w:rPr>
          <w:rFonts w:ascii="Arial" w:hAnsi="Arial" w:eastAsia="Arial" w:cs="Arial"/>
          <w:b w:val="0"/>
          <w:bCs w:val="0"/>
          <w:i w:val="1"/>
          <w:iCs w:val="1"/>
          <w:caps w:val="0"/>
          <w:smallCaps w:val="0"/>
          <w:noProof w:val="0"/>
          <w:color w:val="000000" w:themeColor="text1" w:themeTint="FF" w:themeShade="FF"/>
          <w:sz w:val="22"/>
          <w:szCs w:val="22"/>
          <w:lang w:val="en-GB"/>
        </w:rPr>
        <w:t>On Becoming a Person</w:t>
      </w:r>
      <w:r w:rsidRPr="5AB6EA17" w:rsidR="462867AB">
        <w:rPr>
          <w:rFonts w:ascii="Arial" w:hAnsi="Arial" w:eastAsia="Arial" w:cs="Arial"/>
          <w:b w:val="0"/>
          <w:bCs w:val="0"/>
          <w:i w:val="0"/>
          <w:iCs w:val="0"/>
          <w:caps w:val="0"/>
          <w:smallCaps w:val="0"/>
          <w:noProof w:val="0"/>
          <w:color w:val="000000" w:themeColor="text1" w:themeTint="FF" w:themeShade="FF"/>
          <w:sz w:val="22"/>
          <w:szCs w:val="22"/>
          <w:lang w:val="en-GB"/>
        </w:rPr>
        <w:t>. Boston: Houghton Mifflin.</w:t>
      </w:r>
    </w:p>
    <w:p w:rsidR="462867AB" w:rsidP="5AB6EA17" w:rsidRDefault="462867AB" w14:paraId="7A44C264" w14:textId="10BD7001">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AB6EA17" w:rsidR="462867AB">
        <w:rPr>
          <w:rFonts w:ascii="Arial" w:hAnsi="Arial" w:eastAsia="Arial" w:cs="Arial"/>
          <w:b w:val="0"/>
          <w:bCs w:val="0"/>
          <w:i w:val="0"/>
          <w:iCs w:val="0"/>
          <w:caps w:val="0"/>
          <w:smallCaps w:val="0"/>
          <w:noProof w:val="0"/>
          <w:color w:val="000000" w:themeColor="text1" w:themeTint="FF" w:themeShade="FF"/>
          <w:sz w:val="22"/>
          <w:szCs w:val="22"/>
          <w:lang w:val="en-GB"/>
        </w:rPr>
        <w:t xml:space="preserve">Smith, J.B., Willis, </w:t>
      </w:r>
      <w:r w:rsidRPr="5AB6EA17" w:rsidR="462867AB">
        <w:rPr>
          <w:rFonts w:ascii="Arial" w:hAnsi="Arial" w:eastAsia="Arial" w:cs="Arial"/>
          <w:b w:val="0"/>
          <w:bCs w:val="0"/>
          <w:i w:val="0"/>
          <w:iCs w:val="0"/>
          <w:caps w:val="0"/>
          <w:smallCaps w:val="0"/>
          <w:noProof w:val="0"/>
          <w:color w:val="000000" w:themeColor="text1" w:themeTint="FF" w:themeShade="FF"/>
          <w:sz w:val="22"/>
          <w:szCs w:val="22"/>
          <w:lang w:val="en-GB"/>
        </w:rPr>
        <w:t>E.</w:t>
      </w:r>
      <w:r w:rsidRPr="5AB6EA17" w:rsidR="462867AB">
        <w:rPr>
          <w:rFonts w:ascii="Arial" w:hAnsi="Arial" w:eastAsia="Arial" w:cs="Arial"/>
          <w:b w:val="0"/>
          <w:bCs w:val="0"/>
          <w:i w:val="0"/>
          <w:iCs w:val="0"/>
          <w:caps w:val="0"/>
          <w:smallCaps w:val="0"/>
          <w:noProof w:val="0"/>
          <w:color w:val="000000" w:themeColor="text1" w:themeTint="FF" w:themeShade="FF"/>
          <w:sz w:val="22"/>
          <w:szCs w:val="22"/>
          <w:lang w:val="en-GB"/>
        </w:rPr>
        <w:t xml:space="preserve"> and Hopkins-Walsh, J. (2022) ‘What does person-centred care mean?’, </w:t>
      </w:r>
      <w:r w:rsidRPr="5AB6EA17" w:rsidR="462867AB">
        <w:rPr>
          <w:rFonts w:ascii="Arial" w:hAnsi="Arial" w:eastAsia="Arial" w:cs="Arial"/>
          <w:b w:val="0"/>
          <w:bCs w:val="0"/>
          <w:i w:val="1"/>
          <w:iCs w:val="1"/>
          <w:caps w:val="0"/>
          <w:smallCaps w:val="0"/>
          <w:noProof w:val="0"/>
          <w:color w:val="000000" w:themeColor="text1" w:themeTint="FF" w:themeShade="FF"/>
          <w:sz w:val="22"/>
          <w:szCs w:val="22"/>
          <w:lang w:val="en-GB"/>
        </w:rPr>
        <w:t>Nursing Philosophy</w:t>
      </w:r>
      <w:r w:rsidRPr="5AB6EA17" w:rsidR="462867AB">
        <w:rPr>
          <w:rFonts w:ascii="Arial" w:hAnsi="Arial" w:eastAsia="Arial" w:cs="Arial"/>
          <w:b w:val="0"/>
          <w:bCs w:val="0"/>
          <w:i w:val="0"/>
          <w:iCs w:val="0"/>
          <w:caps w:val="0"/>
          <w:smallCaps w:val="0"/>
          <w:noProof w:val="0"/>
          <w:color w:val="000000" w:themeColor="text1" w:themeTint="FF" w:themeShade="FF"/>
          <w:sz w:val="22"/>
          <w:szCs w:val="22"/>
          <w:lang w:val="en-GB"/>
        </w:rPr>
        <w:t>, 23(3).</w:t>
      </w:r>
    </w:p>
    <w:p w:rsidR="462867AB" w:rsidP="5AB6EA17" w:rsidRDefault="462867AB" w14:paraId="7F0D617D" w14:textId="0B2CB6EB">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AB6EA17" w:rsidR="462867AB">
        <w:rPr>
          <w:rFonts w:ascii="Arial" w:hAnsi="Arial" w:eastAsia="Arial" w:cs="Arial"/>
          <w:b w:val="0"/>
          <w:bCs w:val="0"/>
          <w:i w:val="0"/>
          <w:iCs w:val="0"/>
          <w:caps w:val="0"/>
          <w:smallCaps w:val="0"/>
          <w:noProof w:val="0"/>
          <w:color w:val="000000" w:themeColor="text1" w:themeTint="FF" w:themeShade="FF"/>
          <w:sz w:val="22"/>
          <w:szCs w:val="22"/>
          <w:lang w:val="en-GB"/>
        </w:rPr>
        <w:t xml:space="preserve">Scope (2020) </w:t>
      </w:r>
      <w:r w:rsidRPr="5AB6EA17" w:rsidR="462867AB">
        <w:rPr>
          <w:rFonts w:ascii="Arial" w:hAnsi="Arial" w:eastAsia="Arial" w:cs="Arial"/>
          <w:b w:val="0"/>
          <w:bCs w:val="0"/>
          <w:i w:val="1"/>
          <w:iCs w:val="1"/>
          <w:caps w:val="0"/>
          <w:smallCaps w:val="0"/>
          <w:noProof w:val="0"/>
          <w:color w:val="000000" w:themeColor="text1" w:themeTint="FF" w:themeShade="FF"/>
          <w:sz w:val="22"/>
          <w:szCs w:val="22"/>
          <w:lang w:val="en-GB"/>
        </w:rPr>
        <w:t>The Social Model of Disability</w:t>
      </w:r>
      <w:r w:rsidRPr="5AB6EA17" w:rsidR="462867AB">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fcf56022ef234312">
        <w:r w:rsidRPr="5AB6EA17" w:rsidR="462867AB">
          <w:rPr>
            <w:rStyle w:val="Hyperlink"/>
            <w:rFonts w:ascii="Arial" w:hAnsi="Arial" w:eastAsia="Arial" w:cs="Arial"/>
            <w:b w:val="0"/>
            <w:bCs w:val="0"/>
            <w:i w:val="0"/>
            <w:iCs w:val="0"/>
            <w:caps w:val="0"/>
            <w:smallCaps w:val="0"/>
            <w:strike w:val="0"/>
            <w:dstrike w:val="0"/>
            <w:noProof w:val="0"/>
            <w:sz w:val="22"/>
            <w:szCs w:val="22"/>
            <w:lang w:val="en-GB"/>
          </w:rPr>
          <w:t>https://www.scope.org.uk</w:t>
        </w:r>
      </w:hyperlink>
      <w:r w:rsidRPr="5AB6EA17" w:rsidR="462867AB">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24 March 2026).</w:t>
      </w:r>
    </w:p>
    <w:p w:rsidR="462867AB" w:rsidP="5AB6EA17" w:rsidRDefault="462867AB" w14:paraId="45878C85" w14:textId="4D2AB6D0">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AB6EA17" w:rsidR="462867AB">
        <w:rPr>
          <w:rFonts w:ascii="Arial" w:hAnsi="Arial" w:eastAsia="Arial" w:cs="Arial"/>
          <w:b w:val="0"/>
          <w:bCs w:val="0"/>
          <w:i w:val="0"/>
          <w:iCs w:val="0"/>
          <w:caps w:val="0"/>
          <w:smallCaps w:val="0"/>
          <w:noProof w:val="0"/>
          <w:color w:val="000000" w:themeColor="text1" w:themeTint="FF" w:themeShade="FF"/>
          <w:sz w:val="22"/>
          <w:szCs w:val="22"/>
          <w:lang w:val="en-GB"/>
        </w:rPr>
        <w:t xml:space="preserve">Varkey, B. (2020) ‘Principles of Clinical Ethics and Their Application’, </w:t>
      </w:r>
      <w:r w:rsidRPr="5AB6EA17" w:rsidR="462867AB">
        <w:rPr>
          <w:rFonts w:ascii="Arial" w:hAnsi="Arial" w:eastAsia="Arial" w:cs="Arial"/>
          <w:b w:val="0"/>
          <w:bCs w:val="0"/>
          <w:i w:val="1"/>
          <w:iCs w:val="1"/>
          <w:caps w:val="0"/>
          <w:smallCaps w:val="0"/>
          <w:noProof w:val="0"/>
          <w:color w:val="000000" w:themeColor="text1" w:themeTint="FF" w:themeShade="FF"/>
          <w:sz w:val="22"/>
          <w:szCs w:val="22"/>
          <w:lang w:val="en-GB"/>
        </w:rPr>
        <w:t>Medical Principles and Practice</w:t>
      </w:r>
      <w:r w:rsidRPr="5AB6EA17" w:rsidR="462867AB">
        <w:rPr>
          <w:rFonts w:ascii="Arial" w:hAnsi="Arial" w:eastAsia="Arial" w:cs="Arial"/>
          <w:b w:val="0"/>
          <w:bCs w:val="0"/>
          <w:i w:val="0"/>
          <w:iCs w:val="0"/>
          <w:caps w:val="0"/>
          <w:smallCaps w:val="0"/>
          <w:noProof w:val="0"/>
          <w:color w:val="000000" w:themeColor="text1" w:themeTint="FF" w:themeShade="FF"/>
          <w:sz w:val="22"/>
          <w:szCs w:val="22"/>
          <w:lang w:val="en-GB"/>
        </w:rPr>
        <w:t>, 30(1), pp. 17–28 (Accessed: 24 March 2026).</w:t>
      </w:r>
    </w:p>
    <w:p w:rsidR="31E3D08A" w:rsidP="5AB6EA17" w:rsidRDefault="31E3D08A" w14:paraId="3EB4022B" w14:textId="60E60F18">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62867AB" w:rsidP="5AB6EA17" w:rsidRDefault="462867AB" w14:paraId="60AB45A8" w14:textId="5EB693E4">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AB6EA17" w:rsidR="462867AB">
        <w:rPr>
          <w:rFonts w:ascii="Arial" w:hAnsi="Arial" w:eastAsia="Arial" w:cs="Arial"/>
          <w:b w:val="0"/>
          <w:bCs w:val="0"/>
          <w:i w:val="0"/>
          <w:iCs w:val="0"/>
          <w:caps w:val="0"/>
          <w:smallCaps w:val="0"/>
          <w:noProof w:val="0"/>
          <w:color w:val="000000" w:themeColor="text1" w:themeTint="FF" w:themeShade="FF"/>
          <w:sz w:val="22"/>
          <w:szCs w:val="22"/>
          <w:lang w:val="en-GB"/>
        </w:rPr>
        <w:t xml:space="preserve">Zahra, C., </w:t>
      </w:r>
      <w:r w:rsidRPr="5AB6EA17" w:rsidR="462867AB">
        <w:rPr>
          <w:rFonts w:ascii="Arial" w:hAnsi="Arial" w:eastAsia="Arial" w:cs="Arial"/>
          <w:b w:val="0"/>
          <w:bCs w:val="0"/>
          <w:i w:val="0"/>
          <w:iCs w:val="0"/>
          <w:caps w:val="0"/>
          <w:smallCaps w:val="0"/>
          <w:noProof w:val="0"/>
          <w:color w:val="000000" w:themeColor="text1" w:themeTint="FF" w:themeShade="FF"/>
          <w:sz w:val="22"/>
          <w:szCs w:val="22"/>
          <w:lang w:val="en-GB"/>
        </w:rPr>
        <w:t>Kobua</w:t>
      </w:r>
      <w:r w:rsidRPr="5AB6EA17" w:rsidR="462867AB">
        <w:rPr>
          <w:rFonts w:ascii="Arial" w:hAnsi="Arial" w:eastAsia="Arial" w:cs="Arial"/>
          <w:b w:val="0"/>
          <w:bCs w:val="0"/>
          <w:i w:val="0"/>
          <w:iCs w:val="0"/>
          <w:caps w:val="0"/>
          <w:smallCaps w:val="0"/>
          <w:noProof w:val="0"/>
          <w:color w:val="000000" w:themeColor="text1" w:themeTint="FF" w:themeShade="FF"/>
          <w:sz w:val="22"/>
          <w:szCs w:val="22"/>
          <w:lang w:val="en-GB"/>
        </w:rPr>
        <w:t xml:space="preserve">, M., Kovic, Ž., Fogarty, M., Buckley, C., Murphy, J., Walshe, J., </w:t>
      </w:r>
      <w:r w:rsidRPr="5AB6EA17" w:rsidR="462867AB">
        <w:rPr>
          <w:rFonts w:ascii="Arial" w:hAnsi="Arial" w:eastAsia="Arial" w:cs="Arial"/>
          <w:b w:val="0"/>
          <w:bCs w:val="0"/>
          <w:i w:val="0"/>
          <w:iCs w:val="0"/>
          <w:caps w:val="0"/>
          <w:smallCaps w:val="0"/>
          <w:noProof w:val="0"/>
          <w:color w:val="000000" w:themeColor="text1" w:themeTint="FF" w:themeShade="FF"/>
          <w:sz w:val="22"/>
          <w:szCs w:val="22"/>
          <w:lang w:val="en-GB"/>
        </w:rPr>
        <w:t>Zambra</w:t>
      </w:r>
      <w:r w:rsidRPr="5AB6EA17" w:rsidR="462867AB">
        <w:rPr>
          <w:rFonts w:ascii="Arial" w:hAnsi="Arial" w:eastAsia="Arial" w:cs="Arial"/>
          <w:b w:val="0"/>
          <w:bCs w:val="0"/>
          <w:i w:val="0"/>
          <w:iCs w:val="0"/>
          <w:caps w:val="0"/>
          <w:smallCaps w:val="0"/>
          <w:noProof w:val="0"/>
          <w:color w:val="000000" w:themeColor="text1" w:themeTint="FF" w:themeShade="FF"/>
          <w:sz w:val="22"/>
          <w:szCs w:val="22"/>
          <w:lang w:val="en-GB"/>
        </w:rPr>
        <w:t xml:space="preserve">, P., Byrne, D., Geary, U., &amp; Ward, M. E. (2025). Valid consent in the acute hospital setting: Perspectives of nursing and medical professionals from a survey-based study. </w:t>
      </w:r>
      <w:r w:rsidRPr="5AB6EA17" w:rsidR="462867AB">
        <w:rPr>
          <w:rFonts w:ascii="Arial" w:hAnsi="Arial" w:eastAsia="Arial" w:cs="Arial"/>
          <w:b w:val="0"/>
          <w:bCs w:val="0"/>
          <w:i w:val="1"/>
          <w:iCs w:val="1"/>
          <w:caps w:val="0"/>
          <w:smallCaps w:val="0"/>
          <w:noProof w:val="0"/>
          <w:color w:val="000000" w:themeColor="text1" w:themeTint="FF" w:themeShade="FF"/>
          <w:sz w:val="22"/>
          <w:szCs w:val="22"/>
          <w:lang w:val="en-GB"/>
        </w:rPr>
        <w:t>Irish Journal of Medical Science</w:t>
      </w:r>
      <w:r w:rsidRPr="5AB6EA17" w:rsidR="462867A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AB6EA17" w:rsidR="462867AB">
        <w:rPr>
          <w:rFonts w:ascii="Arial" w:hAnsi="Arial" w:eastAsia="Arial" w:cs="Arial"/>
          <w:b w:val="0"/>
          <w:bCs w:val="0"/>
          <w:i w:val="1"/>
          <w:iCs w:val="1"/>
          <w:caps w:val="0"/>
          <w:smallCaps w:val="0"/>
          <w:noProof w:val="0"/>
          <w:color w:val="000000" w:themeColor="text1" w:themeTint="FF" w:themeShade="FF"/>
          <w:sz w:val="22"/>
          <w:szCs w:val="22"/>
          <w:lang w:val="en-GB"/>
        </w:rPr>
        <w:t>194</w:t>
      </w:r>
      <w:r w:rsidRPr="5AB6EA17" w:rsidR="462867AB">
        <w:rPr>
          <w:rFonts w:ascii="Arial" w:hAnsi="Arial" w:eastAsia="Arial" w:cs="Arial"/>
          <w:b w:val="0"/>
          <w:bCs w:val="0"/>
          <w:i w:val="0"/>
          <w:iCs w:val="0"/>
          <w:caps w:val="0"/>
          <w:smallCaps w:val="0"/>
          <w:noProof w:val="0"/>
          <w:color w:val="000000" w:themeColor="text1" w:themeTint="FF" w:themeShade="FF"/>
          <w:sz w:val="22"/>
          <w:szCs w:val="22"/>
          <w:lang w:val="en-GB"/>
        </w:rPr>
        <w:t xml:space="preserve">(3), 775. </w:t>
      </w:r>
      <w:hyperlink r:id="R6a88ecdb28c04b0f">
        <w:r w:rsidRPr="5AB6EA17" w:rsidR="462867AB">
          <w:rPr>
            <w:rStyle w:val="Hyperlink"/>
            <w:rFonts w:ascii="Arial" w:hAnsi="Arial" w:eastAsia="Arial" w:cs="Arial"/>
            <w:b w:val="0"/>
            <w:bCs w:val="0"/>
            <w:i w:val="0"/>
            <w:iCs w:val="0"/>
            <w:caps w:val="0"/>
            <w:smallCaps w:val="0"/>
            <w:noProof w:val="0"/>
            <w:sz w:val="22"/>
            <w:szCs w:val="22"/>
            <w:lang w:val="en-GB"/>
          </w:rPr>
          <w:t>https://doi.org/10.1007/s11845-025-03952-1</w:t>
        </w:r>
      </w:hyperlink>
      <w:r w:rsidRPr="5AB6EA17" w:rsidR="462867AB">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24 March 2026).</w:t>
      </w:r>
    </w:p>
    <w:p w:rsidR="31E3D08A" w:rsidP="5AB6EA17" w:rsidRDefault="31E3D08A" w14:paraId="58E4B553" w14:textId="5DA5C401">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31E3D08A" w:rsidP="5AB6EA17" w:rsidRDefault="31E3D08A" w14:paraId="582D3A85" w14:textId="12958683">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31E3D08A" w:rsidP="5AB6EA17" w:rsidRDefault="31E3D08A" w14:paraId="59B63590" w14:textId="2EB60774">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31E3D08A" w:rsidP="5AB6EA17" w:rsidRDefault="31E3D08A" w14:paraId="2D452EEC" w14:textId="7C768DEA">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31E3D08A" w:rsidP="5AB6EA17" w:rsidRDefault="31E3D08A" w14:paraId="44ACBE09" w14:textId="06E1DF4B">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31E3D08A" w:rsidP="5AB6EA17" w:rsidRDefault="31E3D08A" w14:paraId="078881D1" w14:textId="77A9B6A0">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31E3D08A" w:rsidP="5AB6EA17" w:rsidRDefault="31E3D08A" w14:paraId="19DD1CD3" w14:textId="5F500C8D">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31E3D08A" w:rsidP="5AB6EA17" w:rsidRDefault="31E3D08A" w14:paraId="08A49420" w14:textId="3AFA9DB4">
      <w:pPr>
        <w:pStyle w:val="Normal"/>
        <w:spacing w:line="360" w:lineRule="auto"/>
        <w:jc w:val="both"/>
        <w:rPr>
          <w:noProof w:val="0"/>
          <w:sz w:val="22"/>
          <w:szCs w:val="22"/>
          <w:lang w:val="en-GB"/>
        </w:rPr>
      </w:pPr>
    </w:p>
    <w:p w:rsidR="7731C4A7" w:rsidP="5AB6EA17" w:rsidRDefault="7731C4A7" w14:paraId="2259F8B4" w14:textId="188FD4E8">
      <w:pPr>
        <w:spacing w:before="240" w:beforeAutospacing="off" w:after="240" w:afterAutospacing="off" w:line="360" w:lineRule="auto"/>
        <w:jc w:val="both"/>
        <w:rPr>
          <w:rFonts w:ascii="Arial" w:hAnsi="Arial" w:eastAsia="Arial" w:cs="Arial"/>
          <w:b w:val="1"/>
          <w:bCs w:val="1"/>
          <w:noProof w:val="0"/>
          <w:sz w:val="22"/>
          <w:szCs w:val="22"/>
          <w:lang w:val="en-GB"/>
        </w:rPr>
      </w:pPr>
    </w:p>
    <w:p w:rsidR="7731C4A7" w:rsidP="5AB6EA17" w:rsidRDefault="7731C4A7" w14:paraId="0516EDDA" w14:textId="633208B8">
      <w:pPr>
        <w:spacing w:before="240" w:beforeAutospacing="off" w:after="240" w:afterAutospacing="off"/>
        <w:jc w:val="both"/>
        <w:rPr>
          <w:rFonts w:ascii="Arial" w:hAnsi="Arial" w:eastAsia="Arial" w:cs="Arial"/>
          <w:b w:val="1"/>
          <w:bCs w:val="1"/>
          <w:noProof w:val="0"/>
          <w:sz w:val="24"/>
          <w:szCs w:val="24"/>
          <w:lang w:val="en-GB"/>
        </w:rPr>
      </w:pPr>
    </w:p>
    <w:p w:rsidR="7731C4A7" w:rsidP="5AB6EA17" w:rsidRDefault="7731C4A7" w14:paraId="0116829C" w14:textId="0EBD6C86">
      <w:pPr>
        <w:spacing w:before="240" w:beforeAutospacing="off" w:after="240" w:afterAutospacing="off"/>
        <w:jc w:val="both"/>
        <w:rPr>
          <w:rFonts w:ascii="Arial" w:hAnsi="Arial" w:eastAsia="Arial" w:cs="Arial"/>
          <w:b w:val="1"/>
          <w:bCs w:val="1"/>
          <w:noProof w:val="0"/>
          <w:sz w:val="24"/>
          <w:szCs w:val="24"/>
          <w:lang w:val="en-GB"/>
        </w:rPr>
      </w:pPr>
    </w:p>
    <w:p w:rsidR="7731C4A7" w:rsidP="5AB6EA17" w:rsidRDefault="7731C4A7" w14:paraId="4613C8D0" w14:textId="1BE07B2E">
      <w:pPr>
        <w:spacing w:before="240" w:beforeAutospacing="off" w:after="240" w:afterAutospacing="off"/>
        <w:jc w:val="both"/>
        <w:rPr>
          <w:rFonts w:ascii="Arial" w:hAnsi="Arial" w:eastAsia="Arial" w:cs="Arial"/>
          <w:b w:val="1"/>
          <w:bCs w:val="1"/>
          <w:noProof w:val="0"/>
          <w:sz w:val="24"/>
          <w:szCs w:val="24"/>
          <w:lang w:val="en-GB"/>
        </w:rPr>
      </w:pPr>
    </w:p>
    <w:p w:rsidR="7731C4A7" w:rsidP="5AB6EA17" w:rsidRDefault="7731C4A7" w14:paraId="15173D09" w14:textId="43E0A3E5">
      <w:pPr>
        <w:spacing w:before="240" w:beforeAutospacing="off" w:after="240" w:afterAutospacing="off"/>
        <w:jc w:val="both"/>
        <w:rPr>
          <w:rFonts w:ascii="Arial" w:hAnsi="Arial" w:eastAsia="Arial" w:cs="Arial"/>
          <w:b w:val="1"/>
          <w:bCs w:val="1"/>
          <w:noProof w:val="0"/>
          <w:sz w:val="24"/>
          <w:szCs w:val="24"/>
          <w:lang w:val="en-GB"/>
        </w:rPr>
      </w:pPr>
    </w:p>
    <w:p w:rsidR="7731C4A7" w:rsidP="5AB6EA17" w:rsidRDefault="7731C4A7" w14:paraId="33391FF4" w14:textId="479099DE">
      <w:pPr>
        <w:spacing w:before="240" w:beforeAutospacing="off" w:after="240" w:afterAutospacing="off"/>
        <w:jc w:val="both"/>
        <w:rPr>
          <w:rFonts w:ascii="Arial" w:hAnsi="Arial" w:eastAsia="Arial" w:cs="Arial"/>
          <w:b w:val="1"/>
          <w:bCs w:val="1"/>
          <w:noProof w:val="0"/>
          <w:sz w:val="24"/>
          <w:szCs w:val="24"/>
          <w:lang w:val="en-GB"/>
        </w:rPr>
      </w:pPr>
    </w:p>
    <w:p w:rsidR="7731C4A7" w:rsidP="7731C4A7" w:rsidRDefault="7731C4A7" w14:paraId="281B678D" w14:textId="51C9D112">
      <w:pPr>
        <w:spacing w:before="240" w:beforeAutospacing="off" w:after="240" w:afterAutospacing="off"/>
        <w:rPr>
          <w:rFonts w:ascii="Arial" w:hAnsi="Arial" w:eastAsia="Arial" w:cs="Arial"/>
          <w:b w:val="1"/>
          <w:bCs w:val="1"/>
          <w:noProof w:val="0"/>
          <w:sz w:val="24"/>
          <w:szCs w:val="24"/>
          <w:lang w:val="en-GB"/>
        </w:rPr>
      </w:pPr>
    </w:p>
    <w:p w:rsidR="7731C4A7" w:rsidP="7731C4A7" w:rsidRDefault="7731C4A7" w14:paraId="45C31137" w14:textId="2F168535">
      <w:pPr>
        <w:spacing w:before="240" w:beforeAutospacing="off" w:after="240" w:afterAutospacing="off"/>
        <w:rPr>
          <w:rFonts w:ascii="Arial" w:hAnsi="Arial" w:eastAsia="Arial" w:cs="Arial"/>
          <w:b w:val="1"/>
          <w:bCs w:val="1"/>
          <w:noProof w:val="0"/>
          <w:sz w:val="24"/>
          <w:szCs w:val="24"/>
          <w:lang w:val="en-GB"/>
        </w:rPr>
      </w:pPr>
    </w:p>
    <w:p w:rsidR="1BEFBF57" w:rsidP="1BEFBF57" w:rsidRDefault="1BEFBF57" w14:paraId="3CDF97DB" w14:textId="7B714982">
      <w:pPr>
        <w:spacing w:before="0" w:beforeAutospacing="off" w:after="0" w:afterAutospacing="off"/>
      </w:pPr>
    </w:p>
    <w:p w:rsidR="1BEFBF57" w:rsidP="1BEFBF57" w:rsidRDefault="1BEFBF57" w14:paraId="3D0BEE9A" w14:textId="3C06D52E">
      <w:pPr>
        <w:spacing w:before="240" w:beforeAutospacing="off" w:after="240" w:afterAutospacing="off"/>
      </w:pPr>
    </w:p>
    <w:p w:rsidR="1BEFBF57" w:rsidP="1BEFBF57" w:rsidRDefault="1BEFBF57" w14:paraId="5C57F7F8" w14:textId="37B94EAC">
      <w:pPr>
        <w:pStyle w:val="Normal"/>
        <w:rPr>
          <w:noProof w:val="0"/>
          <w:lang w:val="en-GB"/>
        </w:rPr>
      </w:pPr>
    </w:p>
    <w:p w:rsidR="1BEFBF57" w:rsidP="1BEFBF57" w:rsidRDefault="1BEFBF57" w14:paraId="2239B808" w14:textId="1F9359BB">
      <w:pPr>
        <w:pStyle w:val="Normal"/>
        <w:rPr>
          <w:noProof w:val="0"/>
          <w:lang w:val="en-GB"/>
        </w:rPr>
      </w:pPr>
    </w:p>
    <w:p w:rsidR="1BEFBF57" w:rsidP="1BEFBF57" w:rsidRDefault="1BEFBF57" w14:paraId="1C406148" w14:textId="2F9E4289">
      <w:pPr>
        <w:pStyle w:val="Normal"/>
        <w:rPr>
          <w:noProof w:val="0"/>
          <w:lang w:val="en-GB"/>
        </w:rPr>
      </w:pPr>
    </w:p>
    <w:p w:rsidR="1BEFBF57" w:rsidP="1BEFBF57" w:rsidRDefault="1BEFBF57" w14:paraId="1B9C9BBE" w14:textId="32685EEF">
      <w:pPr>
        <w:pStyle w:val="Normal"/>
        <w:rPr>
          <w:noProof w:val="0"/>
          <w:lang w:val="en-GB"/>
        </w:rPr>
      </w:pPr>
    </w:p>
    <w:p w:rsidR="1BEFBF57" w:rsidP="1BEFBF57" w:rsidRDefault="1BEFBF57" w14:paraId="0EF507EC" w14:textId="71DB50C6">
      <w:pPr>
        <w:pStyle w:val="Normal"/>
        <w:rPr>
          <w:noProof w:val="0"/>
          <w:lang w:val="en-GB"/>
        </w:rPr>
      </w:pPr>
    </w:p>
    <w:p xmlns:wp14="http://schemas.microsoft.com/office/word/2010/wordml" w:rsidP="0C3F439F" wp14:paraId="69B32E7E" wp14:textId="148FF2DD">
      <w:pPr>
        <w:spacing w:before="240" w:beforeAutospacing="off" w:after="240" w:afterAutospacing="off"/>
        <w:rPr>
          <w:rFonts w:ascii="Arial" w:hAnsi="Arial" w:eastAsia="Arial" w:cs="Arial"/>
          <w:noProof w:val="0"/>
          <w:sz w:val="24"/>
          <w:szCs w:val="24"/>
          <w:lang w:val="en-GB"/>
        </w:rPr>
      </w:pPr>
    </w:p>
    <w:p w:rsidR="69689320" w:rsidP="69689320" w:rsidRDefault="69689320" w14:paraId="000CC923" w14:textId="55496959">
      <w:pPr>
        <w:spacing w:before="240" w:beforeAutospacing="off" w:after="240" w:afterAutospacing="off"/>
        <w:rPr>
          <w:rFonts w:ascii="Arial" w:hAnsi="Arial" w:eastAsia="Arial" w:cs="Arial"/>
          <w:noProof w:val="0"/>
          <w:sz w:val="24"/>
          <w:szCs w:val="24"/>
          <w:lang w:val="en-GB"/>
        </w:rPr>
      </w:pPr>
    </w:p>
    <w:p w:rsidR="69689320" w:rsidP="69689320" w:rsidRDefault="69689320" w14:paraId="2FCAA3C2" w14:textId="264B8CA2">
      <w:pPr>
        <w:spacing w:before="240" w:beforeAutospacing="off" w:after="240" w:afterAutospacing="off"/>
        <w:rPr>
          <w:rFonts w:ascii="Arial" w:hAnsi="Arial" w:eastAsia="Arial" w:cs="Arial"/>
          <w:noProof w:val="0"/>
          <w:sz w:val="24"/>
          <w:szCs w:val="24"/>
          <w:lang w:val="en-GB"/>
        </w:rPr>
      </w:pPr>
    </w:p>
    <w:p w:rsidR="69689320" w:rsidP="69689320" w:rsidRDefault="69689320" w14:paraId="2D764DB0" w14:textId="035AF1BC">
      <w:pPr>
        <w:spacing w:before="240" w:beforeAutospacing="off" w:after="240" w:afterAutospacing="off"/>
        <w:rPr>
          <w:rFonts w:ascii="Arial" w:hAnsi="Arial" w:eastAsia="Arial" w:cs="Arial"/>
          <w:noProof w:val="0"/>
          <w:sz w:val="24"/>
          <w:szCs w:val="24"/>
          <w:lang w:val="en-GB"/>
        </w:rPr>
      </w:pPr>
    </w:p>
    <w:p xmlns:wp14="http://schemas.microsoft.com/office/word/2010/wordml" w:rsidP="0C3F439F" wp14:paraId="4F27B2A6" wp14:textId="74C38096">
      <w:pPr>
        <w:spacing w:before="240" w:beforeAutospacing="off" w:after="240" w:afterAutospacing="off"/>
      </w:pPr>
    </w:p>
    <w:p xmlns:wp14="http://schemas.microsoft.com/office/word/2010/wordml" wp14:paraId="5E5787A5" wp14:textId="1D0358E4"/>
    <w:sectPr>
      <w:pgSz w:w="11906" w:h="16838" w:orient="portrait"/>
      <w:pgMar w:top="1440" w:right="1440" w:bottom="1440" w:left="1440" w:header="720" w:footer="720" w:gutter="0"/>
      <w:cols w:space="720"/>
      <w:docGrid w:linePitch="360"/>
      <w:headerReference w:type="default" r:id="Rbfb3a36ec720400f"/>
      <w:footerReference w:type="default" r:id="R6f5cc79c1a804cd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7ACDCD1" w:rsidTr="27ACDCD1" w14:paraId="6FF6C3F4">
      <w:trPr>
        <w:trHeight w:val="300"/>
      </w:trPr>
      <w:tc>
        <w:tcPr>
          <w:tcW w:w="3005" w:type="dxa"/>
          <w:tcMar/>
        </w:tcPr>
        <w:p w:rsidR="27ACDCD1" w:rsidP="27ACDCD1" w:rsidRDefault="27ACDCD1" w14:paraId="4CDC9A8D" w14:textId="2B6FC55D">
          <w:pPr>
            <w:pStyle w:val="Header"/>
            <w:bidi w:val="0"/>
            <w:ind w:left="-115"/>
            <w:jc w:val="left"/>
          </w:pPr>
        </w:p>
      </w:tc>
      <w:tc>
        <w:tcPr>
          <w:tcW w:w="3005" w:type="dxa"/>
          <w:tcMar/>
        </w:tcPr>
        <w:p w:rsidR="27ACDCD1" w:rsidP="27ACDCD1" w:rsidRDefault="27ACDCD1" w14:paraId="40EB9758" w14:textId="22CFD64F">
          <w:pPr>
            <w:pStyle w:val="Header"/>
            <w:bidi w:val="0"/>
            <w:jc w:val="center"/>
          </w:pPr>
        </w:p>
      </w:tc>
      <w:tc>
        <w:tcPr>
          <w:tcW w:w="3005" w:type="dxa"/>
          <w:tcMar/>
        </w:tcPr>
        <w:p w:rsidR="27ACDCD1" w:rsidP="27ACDCD1" w:rsidRDefault="27ACDCD1" w14:paraId="1A9CBE11" w14:textId="1E785190">
          <w:pPr>
            <w:pStyle w:val="Header"/>
            <w:bidi w:val="0"/>
            <w:ind w:right="-115"/>
            <w:jc w:val="right"/>
          </w:pPr>
        </w:p>
      </w:tc>
    </w:tr>
  </w:tbl>
  <w:p w:rsidR="27ACDCD1" w:rsidP="27ACDCD1" w:rsidRDefault="27ACDCD1" w14:paraId="64D3A6B8" w14:textId="2192C07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7ACDCD1" w:rsidTr="27ACDCD1" w14:paraId="57BD4438">
      <w:trPr>
        <w:trHeight w:val="300"/>
      </w:trPr>
      <w:tc>
        <w:tcPr>
          <w:tcW w:w="3005" w:type="dxa"/>
          <w:tcMar/>
        </w:tcPr>
        <w:p w:rsidR="27ACDCD1" w:rsidP="27ACDCD1" w:rsidRDefault="27ACDCD1" w14:paraId="2D17E56F" w14:textId="113AAF5A">
          <w:pPr>
            <w:pStyle w:val="Header"/>
            <w:bidi w:val="0"/>
            <w:ind w:left="-115"/>
            <w:jc w:val="left"/>
          </w:pPr>
        </w:p>
      </w:tc>
      <w:tc>
        <w:tcPr>
          <w:tcW w:w="3005" w:type="dxa"/>
          <w:tcMar/>
        </w:tcPr>
        <w:p w:rsidR="27ACDCD1" w:rsidP="27ACDCD1" w:rsidRDefault="27ACDCD1" w14:paraId="6936099E" w14:textId="61BF0284">
          <w:pPr>
            <w:pStyle w:val="Header"/>
            <w:bidi w:val="0"/>
            <w:jc w:val="center"/>
          </w:pPr>
        </w:p>
      </w:tc>
      <w:tc>
        <w:tcPr>
          <w:tcW w:w="3005" w:type="dxa"/>
          <w:tcMar/>
        </w:tcPr>
        <w:p w:rsidR="27ACDCD1" w:rsidP="27ACDCD1" w:rsidRDefault="27ACDCD1" w14:paraId="648CCD54" w14:textId="1F699051">
          <w:pPr>
            <w:pStyle w:val="Header"/>
            <w:bidi w:val="0"/>
            <w:ind w:right="-115"/>
            <w:jc w:val="right"/>
          </w:pPr>
        </w:p>
      </w:tc>
    </w:tr>
  </w:tbl>
  <w:p w:rsidR="27ACDCD1" w:rsidP="27ACDCD1" w:rsidRDefault="27ACDCD1" w14:paraId="4F4E9BCA" w14:textId="11C87E25">
    <w:pPr>
      <w:pStyle w:val="Header"/>
      <w:bidi w:val="0"/>
    </w:pPr>
  </w:p>
</w:hdr>
</file>

<file path=word/intelligence2.xml><?xml version="1.0" encoding="utf-8"?>
<int2:intelligence xmlns:int2="http://schemas.microsoft.com/office/intelligence/2020/intelligence">
  <int2:observations>
    <int2:textHash int2:hashCode="9Mmmn3FcPGCqL8" int2:id="9hy6KssZ">
      <int2:state int2:type="spell" int2:value="Rejected"/>
    </int2:textHash>
    <int2:textHash int2:hashCode="auta81Kn3z7QwR" int2:id="MBCnNGpB">
      <int2:state int2:type="spell" int2:value="Rejected"/>
    </int2:textHash>
    <int2:textHash int2:hashCode="oNnuQrlrVhtasS" int2:id="j8GInDaE">
      <int2:state int2:type="spell" int2:value="Rejected"/>
    </int2:textHash>
    <int2:textHash int2:hashCode="K1H7g4lF5v0Qtt" int2:id="oY0NfcRC">
      <int2:state int2:type="spell" int2:value="Rejected"/>
    </int2:textHash>
    <int2:textHash int2:hashCode="Wh41tvB+BpGUHo" int2:id="zHZgwBdT">
      <int2:state int2:type="spell" int2:value="Rejected"/>
    </int2:textHash>
    <int2:textHash int2:hashCode="HboKqZdjBFSTkl" int2:id="TlR54iv1">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7ce101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456e5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cf9b2d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2e221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4D11C2A"/>
    <w:rsid w:val="00051948"/>
    <w:rsid w:val="00142DF9"/>
    <w:rsid w:val="00233B04"/>
    <w:rsid w:val="00739073"/>
    <w:rsid w:val="00A4F635"/>
    <w:rsid w:val="00D0BFAB"/>
    <w:rsid w:val="010B39CF"/>
    <w:rsid w:val="0148D4B1"/>
    <w:rsid w:val="01A59B5F"/>
    <w:rsid w:val="01D12759"/>
    <w:rsid w:val="01F337ED"/>
    <w:rsid w:val="02272A33"/>
    <w:rsid w:val="0251A40E"/>
    <w:rsid w:val="02710C7A"/>
    <w:rsid w:val="0331C295"/>
    <w:rsid w:val="036BF44D"/>
    <w:rsid w:val="036FA968"/>
    <w:rsid w:val="03A14CE8"/>
    <w:rsid w:val="03CCF4CC"/>
    <w:rsid w:val="042F9677"/>
    <w:rsid w:val="04B29E7D"/>
    <w:rsid w:val="04ED9BA7"/>
    <w:rsid w:val="04F38158"/>
    <w:rsid w:val="052A0E15"/>
    <w:rsid w:val="0533FC42"/>
    <w:rsid w:val="05398B2A"/>
    <w:rsid w:val="05D766AE"/>
    <w:rsid w:val="060C7966"/>
    <w:rsid w:val="061EB660"/>
    <w:rsid w:val="06244AB1"/>
    <w:rsid w:val="064BD0D4"/>
    <w:rsid w:val="066A74E9"/>
    <w:rsid w:val="06819113"/>
    <w:rsid w:val="06869956"/>
    <w:rsid w:val="06B914AB"/>
    <w:rsid w:val="07328E80"/>
    <w:rsid w:val="07579344"/>
    <w:rsid w:val="07F53BC2"/>
    <w:rsid w:val="0858F1DF"/>
    <w:rsid w:val="086B76BE"/>
    <w:rsid w:val="0884619F"/>
    <w:rsid w:val="08E9C94D"/>
    <w:rsid w:val="090772A2"/>
    <w:rsid w:val="09305105"/>
    <w:rsid w:val="09BEE43B"/>
    <w:rsid w:val="0A51A104"/>
    <w:rsid w:val="0A5BD542"/>
    <w:rsid w:val="0A969295"/>
    <w:rsid w:val="0A9CFAFE"/>
    <w:rsid w:val="0B018A81"/>
    <w:rsid w:val="0B66E659"/>
    <w:rsid w:val="0B9E8487"/>
    <w:rsid w:val="0BA17C79"/>
    <w:rsid w:val="0BA8CF3C"/>
    <w:rsid w:val="0BE467F0"/>
    <w:rsid w:val="0BF5C022"/>
    <w:rsid w:val="0C3F439F"/>
    <w:rsid w:val="0C8F3B92"/>
    <w:rsid w:val="0D701239"/>
    <w:rsid w:val="0D831AC3"/>
    <w:rsid w:val="0DD72AD6"/>
    <w:rsid w:val="0E250591"/>
    <w:rsid w:val="0E353293"/>
    <w:rsid w:val="0E3EC91E"/>
    <w:rsid w:val="0E5F8BB3"/>
    <w:rsid w:val="0E7D7227"/>
    <w:rsid w:val="0EA7EBC4"/>
    <w:rsid w:val="0EF4296C"/>
    <w:rsid w:val="0F233224"/>
    <w:rsid w:val="0F893472"/>
    <w:rsid w:val="10427350"/>
    <w:rsid w:val="104AEF0D"/>
    <w:rsid w:val="105FAF25"/>
    <w:rsid w:val="108BCB98"/>
    <w:rsid w:val="108EFF76"/>
    <w:rsid w:val="10BAA0B6"/>
    <w:rsid w:val="10DB512D"/>
    <w:rsid w:val="10E32DF1"/>
    <w:rsid w:val="112260B8"/>
    <w:rsid w:val="117EB35F"/>
    <w:rsid w:val="11B42738"/>
    <w:rsid w:val="11C97C19"/>
    <w:rsid w:val="11D2892E"/>
    <w:rsid w:val="11E274D5"/>
    <w:rsid w:val="12441EBB"/>
    <w:rsid w:val="1250A64A"/>
    <w:rsid w:val="12898CC1"/>
    <w:rsid w:val="12941B24"/>
    <w:rsid w:val="12AB0E0E"/>
    <w:rsid w:val="12D8F175"/>
    <w:rsid w:val="12FD89B5"/>
    <w:rsid w:val="13202BF5"/>
    <w:rsid w:val="13259EB5"/>
    <w:rsid w:val="1346F48A"/>
    <w:rsid w:val="13C62BE0"/>
    <w:rsid w:val="13DEC6F2"/>
    <w:rsid w:val="13EB2837"/>
    <w:rsid w:val="140A7424"/>
    <w:rsid w:val="147D5959"/>
    <w:rsid w:val="14B6996D"/>
    <w:rsid w:val="14B80E91"/>
    <w:rsid w:val="14B89510"/>
    <w:rsid w:val="14C9A777"/>
    <w:rsid w:val="1513AE33"/>
    <w:rsid w:val="1531F617"/>
    <w:rsid w:val="15623180"/>
    <w:rsid w:val="1585E8B5"/>
    <w:rsid w:val="158CE7EB"/>
    <w:rsid w:val="15C1ABA3"/>
    <w:rsid w:val="15EEF08C"/>
    <w:rsid w:val="15F2A050"/>
    <w:rsid w:val="161968C6"/>
    <w:rsid w:val="16255501"/>
    <w:rsid w:val="1639F9CC"/>
    <w:rsid w:val="165A644F"/>
    <w:rsid w:val="1674E4F6"/>
    <w:rsid w:val="16851E3E"/>
    <w:rsid w:val="173EA0D5"/>
    <w:rsid w:val="1753D874"/>
    <w:rsid w:val="1789AFF1"/>
    <w:rsid w:val="17CCF026"/>
    <w:rsid w:val="18220F12"/>
    <w:rsid w:val="184029C4"/>
    <w:rsid w:val="184C0822"/>
    <w:rsid w:val="18BE4E9C"/>
    <w:rsid w:val="18E3D58C"/>
    <w:rsid w:val="19217C75"/>
    <w:rsid w:val="19242EC0"/>
    <w:rsid w:val="1966D8B3"/>
    <w:rsid w:val="196E8CCA"/>
    <w:rsid w:val="19733A3B"/>
    <w:rsid w:val="199D27C6"/>
    <w:rsid w:val="1A0CF465"/>
    <w:rsid w:val="1A1E5FA8"/>
    <w:rsid w:val="1A4EA23A"/>
    <w:rsid w:val="1A5783F7"/>
    <w:rsid w:val="1AE585B6"/>
    <w:rsid w:val="1AF94CB7"/>
    <w:rsid w:val="1B13F569"/>
    <w:rsid w:val="1B31B4E6"/>
    <w:rsid w:val="1B369960"/>
    <w:rsid w:val="1B6E034C"/>
    <w:rsid w:val="1B8235B3"/>
    <w:rsid w:val="1B9B774D"/>
    <w:rsid w:val="1BA2F24F"/>
    <w:rsid w:val="1BAC9118"/>
    <w:rsid w:val="1BE10D60"/>
    <w:rsid w:val="1BEFBF57"/>
    <w:rsid w:val="1C05E36E"/>
    <w:rsid w:val="1C3A6255"/>
    <w:rsid w:val="1C6E1B83"/>
    <w:rsid w:val="1CC92059"/>
    <w:rsid w:val="1CDA7342"/>
    <w:rsid w:val="1CE90E10"/>
    <w:rsid w:val="1CE915FA"/>
    <w:rsid w:val="1CF26B1A"/>
    <w:rsid w:val="1CFEF6E3"/>
    <w:rsid w:val="1D29AC7C"/>
    <w:rsid w:val="1D344781"/>
    <w:rsid w:val="1D346A3E"/>
    <w:rsid w:val="1D3BCED4"/>
    <w:rsid w:val="1D664178"/>
    <w:rsid w:val="1D86C9AB"/>
    <w:rsid w:val="1DC99605"/>
    <w:rsid w:val="1DF9D649"/>
    <w:rsid w:val="1E1E85A5"/>
    <w:rsid w:val="1EB783D9"/>
    <w:rsid w:val="1ED7C042"/>
    <w:rsid w:val="1F3F5FA9"/>
    <w:rsid w:val="1F54A771"/>
    <w:rsid w:val="1F651D21"/>
    <w:rsid w:val="1F734D74"/>
    <w:rsid w:val="1F88A8EF"/>
    <w:rsid w:val="1FB7216D"/>
    <w:rsid w:val="1FD07BE9"/>
    <w:rsid w:val="1FEC0529"/>
    <w:rsid w:val="1FFF7818"/>
    <w:rsid w:val="20E89E4D"/>
    <w:rsid w:val="2116C0B8"/>
    <w:rsid w:val="21516BBA"/>
    <w:rsid w:val="215FA56B"/>
    <w:rsid w:val="219FE813"/>
    <w:rsid w:val="21B4F214"/>
    <w:rsid w:val="21C307C8"/>
    <w:rsid w:val="21E2DD16"/>
    <w:rsid w:val="222B5B9A"/>
    <w:rsid w:val="226AC904"/>
    <w:rsid w:val="228D39C1"/>
    <w:rsid w:val="228F1891"/>
    <w:rsid w:val="22C4CFDF"/>
    <w:rsid w:val="22CD95EA"/>
    <w:rsid w:val="22D0BEFA"/>
    <w:rsid w:val="23302989"/>
    <w:rsid w:val="233463CA"/>
    <w:rsid w:val="2339E70F"/>
    <w:rsid w:val="237A9397"/>
    <w:rsid w:val="23BB45DE"/>
    <w:rsid w:val="23D104B4"/>
    <w:rsid w:val="245B9A86"/>
    <w:rsid w:val="247F9965"/>
    <w:rsid w:val="24B86856"/>
    <w:rsid w:val="24F37119"/>
    <w:rsid w:val="251F1A79"/>
    <w:rsid w:val="255AA481"/>
    <w:rsid w:val="258E396A"/>
    <w:rsid w:val="25CA6903"/>
    <w:rsid w:val="26181B60"/>
    <w:rsid w:val="267F0327"/>
    <w:rsid w:val="26854486"/>
    <w:rsid w:val="26CCC601"/>
    <w:rsid w:val="26DCE4FE"/>
    <w:rsid w:val="26FB78D1"/>
    <w:rsid w:val="27061A1A"/>
    <w:rsid w:val="274592DE"/>
    <w:rsid w:val="27ACDCD1"/>
    <w:rsid w:val="27E54F0A"/>
    <w:rsid w:val="27F48B96"/>
    <w:rsid w:val="27FB2CED"/>
    <w:rsid w:val="28789F48"/>
    <w:rsid w:val="28BA306E"/>
    <w:rsid w:val="28CAAE23"/>
    <w:rsid w:val="28E81F4C"/>
    <w:rsid w:val="28FD2D2F"/>
    <w:rsid w:val="2906AEBC"/>
    <w:rsid w:val="29076A61"/>
    <w:rsid w:val="2949160F"/>
    <w:rsid w:val="29723CB2"/>
    <w:rsid w:val="2A4FDC90"/>
    <w:rsid w:val="2A6C4852"/>
    <w:rsid w:val="2A7E7509"/>
    <w:rsid w:val="2A9EB70D"/>
    <w:rsid w:val="2ADFC035"/>
    <w:rsid w:val="2B03E01E"/>
    <w:rsid w:val="2B18CCBB"/>
    <w:rsid w:val="2B218AFD"/>
    <w:rsid w:val="2BE2B16B"/>
    <w:rsid w:val="2BF2BEEC"/>
    <w:rsid w:val="2C10B9BE"/>
    <w:rsid w:val="2C1CFF5C"/>
    <w:rsid w:val="2C23F1D8"/>
    <w:rsid w:val="2CECE7F4"/>
    <w:rsid w:val="2D283C5C"/>
    <w:rsid w:val="2D6AF31F"/>
    <w:rsid w:val="2D83BAC9"/>
    <w:rsid w:val="2DB5E914"/>
    <w:rsid w:val="2DE01170"/>
    <w:rsid w:val="2E1F8992"/>
    <w:rsid w:val="2E9BC37C"/>
    <w:rsid w:val="2EBF7D61"/>
    <w:rsid w:val="2EFDEC62"/>
    <w:rsid w:val="2F015B6C"/>
    <w:rsid w:val="2F13696D"/>
    <w:rsid w:val="2F3E6A54"/>
    <w:rsid w:val="2FFAF419"/>
    <w:rsid w:val="303298B2"/>
    <w:rsid w:val="3035D3AB"/>
    <w:rsid w:val="30898B74"/>
    <w:rsid w:val="308FB334"/>
    <w:rsid w:val="3143B88C"/>
    <w:rsid w:val="314F74C8"/>
    <w:rsid w:val="31518ED2"/>
    <w:rsid w:val="31623BBB"/>
    <w:rsid w:val="3173CD2D"/>
    <w:rsid w:val="31B582A4"/>
    <w:rsid w:val="31E3D08A"/>
    <w:rsid w:val="31F3083E"/>
    <w:rsid w:val="3269E386"/>
    <w:rsid w:val="3283A206"/>
    <w:rsid w:val="32B15DCC"/>
    <w:rsid w:val="331806F5"/>
    <w:rsid w:val="335E0E5B"/>
    <w:rsid w:val="33630564"/>
    <w:rsid w:val="33815513"/>
    <w:rsid w:val="33D15D38"/>
    <w:rsid w:val="33D3D960"/>
    <w:rsid w:val="33DCCF98"/>
    <w:rsid w:val="342C17E4"/>
    <w:rsid w:val="34AABBB6"/>
    <w:rsid w:val="34BC92AD"/>
    <w:rsid w:val="350F3641"/>
    <w:rsid w:val="35496EE3"/>
    <w:rsid w:val="355A1EC0"/>
    <w:rsid w:val="35B54314"/>
    <w:rsid w:val="35C77069"/>
    <w:rsid w:val="3636EEE0"/>
    <w:rsid w:val="364D49FC"/>
    <w:rsid w:val="36C6933A"/>
    <w:rsid w:val="36F76E1E"/>
    <w:rsid w:val="37095D0C"/>
    <w:rsid w:val="373CC755"/>
    <w:rsid w:val="3790B437"/>
    <w:rsid w:val="37981A2D"/>
    <w:rsid w:val="37A8EB76"/>
    <w:rsid w:val="37FF45F6"/>
    <w:rsid w:val="38536C70"/>
    <w:rsid w:val="388857CE"/>
    <w:rsid w:val="388CDACE"/>
    <w:rsid w:val="392458E4"/>
    <w:rsid w:val="39F4FC44"/>
    <w:rsid w:val="3A2ABDB1"/>
    <w:rsid w:val="3A35823E"/>
    <w:rsid w:val="3A468FC6"/>
    <w:rsid w:val="3AA80D68"/>
    <w:rsid w:val="3B05A94C"/>
    <w:rsid w:val="3B06F6DA"/>
    <w:rsid w:val="3B0B02CA"/>
    <w:rsid w:val="3B0B5FB8"/>
    <w:rsid w:val="3B20D35F"/>
    <w:rsid w:val="3B30567B"/>
    <w:rsid w:val="3B3E9A78"/>
    <w:rsid w:val="3B4A2D05"/>
    <w:rsid w:val="3B969D81"/>
    <w:rsid w:val="3B9B8FC6"/>
    <w:rsid w:val="3B9FA391"/>
    <w:rsid w:val="3BCA859B"/>
    <w:rsid w:val="3BD29336"/>
    <w:rsid w:val="3BF5D08E"/>
    <w:rsid w:val="3C1EBAA7"/>
    <w:rsid w:val="3C22E851"/>
    <w:rsid w:val="3C3E692F"/>
    <w:rsid w:val="3CBDF91E"/>
    <w:rsid w:val="3D289429"/>
    <w:rsid w:val="3D7FCA98"/>
    <w:rsid w:val="3DAF52A4"/>
    <w:rsid w:val="3DBD1659"/>
    <w:rsid w:val="3DE50162"/>
    <w:rsid w:val="3DF50D4E"/>
    <w:rsid w:val="3E04A896"/>
    <w:rsid w:val="3E069933"/>
    <w:rsid w:val="3E0BA200"/>
    <w:rsid w:val="3E40E1C7"/>
    <w:rsid w:val="3E6DDC21"/>
    <w:rsid w:val="3E76E6CF"/>
    <w:rsid w:val="3EB752D8"/>
    <w:rsid w:val="3F1A2B8E"/>
    <w:rsid w:val="3F421026"/>
    <w:rsid w:val="3F732B68"/>
    <w:rsid w:val="3FEFF5D5"/>
    <w:rsid w:val="3FFEB209"/>
    <w:rsid w:val="400ECC17"/>
    <w:rsid w:val="4090A97F"/>
    <w:rsid w:val="40A26DCA"/>
    <w:rsid w:val="40E3BC86"/>
    <w:rsid w:val="40F40D25"/>
    <w:rsid w:val="412B1BE4"/>
    <w:rsid w:val="4147BC8E"/>
    <w:rsid w:val="4186F50B"/>
    <w:rsid w:val="41B855FB"/>
    <w:rsid w:val="41B8CB69"/>
    <w:rsid w:val="41F513FD"/>
    <w:rsid w:val="429E8B4D"/>
    <w:rsid w:val="42FB006A"/>
    <w:rsid w:val="431C9D52"/>
    <w:rsid w:val="43FB6B1C"/>
    <w:rsid w:val="442B5F41"/>
    <w:rsid w:val="44D5CFD0"/>
    <w:rsid w:val="44D665B5"/>
    <w:rsid w:val="44D8C8DE"/>
    <w:rsid w:val="4510AB43"/>
    <w:rsid w:val="455D893E"/>
    <w:rsid w:val="456FA36D"/>
    <w:rsid w:val="457BD560"/>
    <w:rsid w:val="45957C76"/>
    <w:rsid w:val="45AF5DA6"/>
    <w:rsid w:val="45B3F2CD"/>
    <w:rsid w:val="462867AB"/>
    <w:rsid w:val="464D50C0"/>
    <w:rsid w:val="466C58AF"/>
    <w:rsid w:val="467371DE"/>
    <w:rsid w:val="46B41A08"/>
    <w:rsid w:val="4713EA45"/>
    <w:rsid w:val="4756A8AD"/>
    <w:rsid w:val="47A5DFE3"/>
    <w:rsid w:val="47CD2055"/>
    <w:rsid w:val="47E28269"/>
    <w:rsid w:val="48154574"/>
    <w:rsid w:val="486F53CC"/>
    <w:rsid w:val="4900F6D6"/>
    <w:rsid w:val="49079B39"/>
    <w:rsid w:val="49987231"/>
    <w:rsid w:val="49D0E791"/>
    <w:rsid w:val="49F3688C"/>
    <w:rsid w:val="4A072968"/>
    <w:rsid w:val="4A173DF5"/>
    <w:rsid w:val="4A296FA5"/>
    <w:rsid w:val="4A3C6626"/>
    <w:rsid w:val="4A422407"/>
    <w:rsid w:val="4A517CC6"/>
    <w:rsid w:val="4A7406A3"/>
    <w:rsid w:val="4AAD58F5"/>
    <w:rsid w:val="4ABFC8CF"/>
    <w:rsid w:val="4AECA8F5"/>
    <w:rsid w:val="4B28E0A3"/>
    <w:rsid w:val="4B4ABB13"/>
    <w:rsid w:val="4B70FC29"/>
    <w:rsid w:val="4BE4F16D"/>
    <w:rsid w:val="4BF4A8A0"/>
    <w:rsid w:val="4C249FC5"/>
    <w:rsid w:val="4C367B9F"/>
    <w:rsid w:val="4CAB70FB"/>
    <w:rsid w:val="4CC09913"/>
    <w:rsid w:val="4CFF106C"/>
    <w:rsid w:val="4DB358E8"/>
    <w:rsid w:val="4E08795E"/>
    <w:rsid w:val="4E1B1190"/>
    <w:rsid w:val="4E418693"/>
    <w:rsid w:val="4E4BBDDF"/>
    <w:rsid w:val="4E7A3495"/>
    <w:rsid w:val="4F118142"/>
    <w:rsid w:val="4F524C22"/>
    <w:rsid w:val="4F63F69F"/>
    <w:rsid w:val="4F73FFBF"/>
    <w:rsid w:val="4F9175B4"/>
    <w:rsid w:val="4FB7A9D1"/>
    <w:rsid w:val="4FBCAFA6"/>
    <w:rsid w:val="504B73EF"/>
    <w:rsid w:val="50C4ED9F"/>
    <w:rsid w:val="50E80218"/>
    <w:rsid w:val="50EBCDAA"/>
    <w:rsid w:val="50F19EFC"/>
    <w:rsid w:val="50FF7F96"/>
    <w:rsid w:val="51228C11"/>
    <w:rsid w:val="513CA4D0"/>
    <w:rsid w:val="519F2F4E"/>
    <w:rsid w:val="51BF23CD"/>
    <w:rsid w:val="51E4C84A"/>
    <w:rsid w:val="51FE74EA"/>
    <w:rsid w:val="52052C7E"/>
    <w:rsid w:val="52090613"/>
    <w:rsid w:val="523F11D6"/>
    <w:rsid w:val="524F5128"/>
    <w:rsid w:val="5292312F"/>
    <w:rsid w:val="52B3924A"/>
    <w:rsid w:val="530B03B1"/>
    <w:rsid w:val="532E2F37"/>
    <w:rsid w:val="535B9DBF"/>
    <w:rsid w:val="5367A0F0"/>
    <w:rsid w:val="538826A6"/>
    <w:rsid w:val="53B22D76"/>
    <w:rsid w:val="5480715A"/>
    <w:rsid w:val="54B78A38"/>
    <w:rsid w:val="54DC6702"/>
    <w:rsid w:val="5507F84D"/>
    <w:rsid w:val="551B46C4"/>
    <w:rsid w:val="55B98FCA"/>
    <w:rsid w:val="55ED249B"/>
    <w:rsid w:val="55FBBB04"/>
    <w:rsid w:val="56161F44"/>
    <w:rsid w:val="562A9307"/>
    <w:rsid w:val="5633DA7D"/>
    <w:rsid w:val="5652D20D"/>
    <w:rsid w:val="565C8A8E"/>
    <w:rsid w:val="565F0FC8"/>
    <w:rsid w:val="56687778"/>
    <w:rsid w:val="566B67CF"/>
    <w:rsid w:val="5689856D"/>
    <w:rsid w:val="56AC0028"/>
    <w:rsid w:val="56BDF429"/>
    <w:rsid w:val="56DE138A"/>
    <w:rsid w:val="576E5D5E"/>
    <w:rsid w:val="577AD13E"/>
    <w:rsid w:val="5792B0A7"/>
    <w:rsid w:val="57A1122C"/>
    <w:rsid w:val="57B06FEB"/>
    <w:rsid w:val="582E057B"/>
    <w:rsid w:val="58402F1E"/>
    <w:rsid w:val="584BD583"/>
    <w:rsid w:val="58801C60"/>
    <w:rsid w:val="58923767"/>
    <w:rsid w:val="5945EBEC"/>
    <w:rsid w:val="59764F12"/>
    <w:rsid w:val="597D2E0E"/>
    <w:rsid w:val="599D9624"/>
    <w:rsid w:val="59B5B3FA"/>
    <w:rsid w:val="59EC8665"/>
    <w:rsid w:val="59F86483"/>
    <w:rsid w:val="5A06867D"/>
    <w:rsid w:val="5A4A78C2"/>
    <w:rsid w:val="5A8F24D2"/>
    <w:rsid w:val="5A969DA1"/>
    <w:rsid w:val="5AA3C29B"/>
    <w:rsid w:val="5AB6EA17"/>
    <w:rsid w:val="5AC63111"/>
    <w:rsid w:val="5AF7EF8D"/>
    <w:rsid w:val="5B0FA073"/>
    <w:rsid w:val="5B4C75C5"/>
    <w:rsid w:val="5B5C931D"/>
    <w:rsid w:val="5B96910C"/>
    <w:rsid w:val="5B9D734F"/>
    <w:rsid w:val="5C0AD098"/>
    <w:rsid w:val="5C31E0A0"/>
    <w:rsid w:val="5C42DDDB"/>
    <w:rsid w:val="5C8C18FD"/>
    <w:rsid w:val="5CEE87EC"/>
    <w:rsid w:val="5D2CECC6"/>
    <w:rsid w:val="5D2FD7C2"/>
    <w:rsid w:val="5D45754D"/>
    <w:rsid w:val="5D51F084"/>
    <w:rsid w:val="5DA20193"/>
    <w:rsid w:val="5DCE7036"/>
    <w:rsid w:val="5DE89236"/>
    <w:rsid w:val="5E1B6F67"/>
    <w:rsid w:val="5E2CE82A"/>
    <w:rsid w:val="5E304CFD"/>
    <w:rsid w:val="5E378993"/>
    <w:rsid w:val="5ED50C69"/>
    <w:rsid w:val="5EF52A5A"/>
    <w:rsid w:val="5EFB2455"/>
    <w:rsid w:val="5F3E18F0"/>
    <w:rsid w:val="5FAB45D7"/>
    <w:rsid w:val="5FDDFFA5"/>
    <w:rsid w:val="6026E0A3"/>
    <w:rsid w:val="60295B5B"/>
    <w:rsid w:val="602B27E4"/>
    <w:rsid w:val="60A80E93"/>
    <w:rsid w:val="60DA31EF"/>
    <w:rsid w:val="616154C6"/>
    <w:rsid w:val="61721027"/>
    <w:rsid w:val="619130BB"/>
    <w:rsid w:val="61C82003"/>
    <w:rsid w:val="61D13CFE"/>
    <w:rsid w:val="623C65DC"/>
    <w:rsid w:val="62656FB7"/>
    <w:rsid w:val="628281AF"/>
    <w:rsid w:val="631FF6CC"/>
    <w:rsid w:val="632530C1"/>
    <w:rsid w:val="635CC2C7"/>
    <w:rsid w:val="636C9F82"/>
    <w:rsid w:val="637F60F2"/>
    <w:rsid w:val="63932782"/>
    <w:rsid w:val="639741BE"/>
    <w:rsid w:val="63CB196E"/>
    <w:rsid w:val="6476D088"/>
    <w:rsid w:val="64A9B084"/>
    <w:rsid w:val="64D11C2A"/>
    <w:rsid w:val="650EF1D0"/>
    <w:rsid w:val="651D1AB4"/>
    <w:rsid w:val="654CF6E3"/>
    <w:rsid w:val="65523A27"/>
    <w:rsid w:val="655FE098"/>
    <w:rsid w:val="65E033EF"/>
    <w:rsid w:val="65FB354F"/>
    <w:rsid w:val="6606AB46"/>
    <w:rsid w:val="6609B823"/>
    <w:rsid w:val="66176260"/>
    <w:rsid w:val="6661DD2E"/>
    <w:rsid w:val="6684F544"/>
    <w:rsid w:val="67194CCD"/>
    <w:rsid w:val="6735D8B4"/>
    <w:rsid w:val="6752070F"/>
    <w:rsid w:val="67AA0E64"/>
    <w:rsid w:val="67ECFD80"/>
    <w:rsid w:val="68115F12"/>
    <w:rsid w:val="6830F350"/>
    <w:rsid w:val="68A72E81"/>
    <w:rsid w:val="693F3C0E"/>
    <w:rsid w:val="69529514"/>
    <w:rsid w:val="69689320"/>
    <w:rsid w:val="699227A9"/>
    <w:rsid w:val="69F293C1"/>
    <w:rsid w:val="6A34EF2A"/>
    <w:rsid w:val="6A353F2A"/>
    <w:rsid w:val="6AA34CA0"/>
    <w:rsid w:val="6AA7E3D4"/>
    <w:rsid w:val="6AE13E7E"/>
    <w:rsid w:val="6AFAE99A"/>
    <w:rsid w:val="6B21F4F6"/>
    <w:rsid w:val="6BA7459F"/>
    <w:rsid w:val="6BCC3C5D"/>
    <w:rsid w:val="6C743C36"/>
    <w:rsid w:val="6CBBE565"/>
    <w:rsid w:val="6CC5A51C"/>
    <w:rsid w:val="6CDA48E8"/>
    <w:rsid w:val="6CEF60F4"/>
    <w:rsid w:val="6DBC189A"/>
    <w:rsid w:val="6DD45331"/>
    <w:rsid w:val="6DEED01D"/>
    <w:rsid w:val="6E3560E2"/>
    <w:rsid w:val="6E7D9169"/>
    <w:rsid w:val="6E7E7B87"/>
    <w:rsid w:val="6EACE2BC"/>
    <w:rsid w:val="6F416081"/>
    <w:rsid w:val="6F8FCB0B"/>
    <w:rsid w:val="6F9D950B"/>
    <w:rsid w:val="6FCEDEA1"/>
    <w:rsid w:val="6FD83B60"/>
    <w:rsid w:val="6FE4A2EE"/>
    <w:rsid w:val="70120860"/>
    <w:rsid w:val="70469821"/>
    <w:rsid w:val="70673E4B"/>
    <w:rsid w:val="70E26325"/>
    <w:rsid w:val="70E727C1"/>
    <w:rsid w:val="70EDB421"/>
    <w:rsid w:val="71C99683"/>
    <w:rsid w:val="71F7DBB7"/>
    <w:rsid w:val="71FF563A"/>
    <w:rsid w:val="7249D787"/>
    <w:rsid w:val="73C79F40"/>
    <w:rsid w:val="73DCA3F5"/>
    <w:rsid w:val="73FC533F"/>
    <w:rsid w:val="74504ABA"/>
    <w:rsid w:val="7464F23C"/>
    <w:rsid w:val="749FC3EA"/>
    <w:rsid w:val="7508E09E"/>
    <w:rsid w:val="75109F03"/>
    <w:rsid w:val="752D81EB"/>
    <w:rsid w:val="754F9AA3"/>
    <w:rsid w:val="75C8103D"/>
    <w:rsid w:val="76054D68"/>
    <w:rsid w:val="761E0387"/>
    <w:rsid w:val="763F3333"/>
    <w:rsid w:val="76D70806"/>
    <w:rsid w:val="76DA3D58"/>
    <w:rsid w:val="7731C4A7"/>
    <w:rsid w:val="77D3349B"/>
    <w:rsid w:val="7801DB17"/>
    <w:rsid w:val="783B395C"/>
    <w:rsid w:val="784EE236"/>
    <w:rsid w:val="784F6361"/>
    <w:rsid w:val="78A7EC20"/>
    <w:rsid w:val="78DA277F"/>
    <w:rsid w:val="79487FB1"/>
    <w:rsid w:val="795232ED"/>
    <w:rsid w:val="79F6E513"/>
    <w:rsid w:val="7A5F59DD"/>
    <w:rsid w:val="7A84054A"/>
    <w:rsid w:val="7B31E875"/>
    <w:rsid w:val="7B78C42B"/>
    <w:rsid w:val="7BC6DB90"/>
    <w:rsid w:val="7CC85CE9"/>
    <w:rsid w:val="7CEB6FFF"/>
    <w:rsid w:val="7CFD06BC"/>
    <w:rsid w:val="7D138379"/>
    <w:rsid w:val="7D21DDEA"/>
    <w:rsid w:val="7D2B0BC0"/>
    <w:rsid w:val="7D4AF727"/>
    <w:rsid w:val="7D9193F4"/>
    <w:rsid w:val="7DA37CD4"/>
    <w:rsid w:val="7DBB0D6E"/>
    <w:rsid w:val="7DCEFCBE"/>
    <w:rsid w:val="7E412ACD"/>
    <w:rsid w:val="7E458122"/>
    <w:rsid w:val="7E5AF3E9"/>
    <w:rsid w:val="7EA972DF"/>
    <w:rsid w:val="7EBFCC66"/>
    <w:rsid w:val="7EC4ADFE"/>
    <w:rsid w:val="7EC8A044"/>
    <w:rsid w:val="7F076D42"/>
    <w:rsid w:val="7F1D7903"/>
    <w:rsid w:val="7F49A4B4"/>
    <w:rsid w:val="7F714A58"/>
    <w:rsid w:val="7F9CB19A"/>
    <w:rsid w:val="7FAC2FD6"/>
    <w:rsid w:val="7FBDC983"/>
    <w:rsid w:val="7FE883AD"/>
    <w:rsid w:val="7FF35161"/>
    <w:rsid w:val="7FF830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D11C2A"/>
  <w15:chartTrackingRefBased/>
  <w15:docId w15:val="{4D74087D-ED8F-42DD-AE6C-42EE534268E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0C3F439F"/>
    <w:pPr>
      <w:spacing/>
      <w:ind w:left="720"/>
      <w:contextualSpacing/>
    </w:pPr>
  </w:style>
  <w:style w:type="paragraph" w:styleId="Heading1">
    <w:uiPriority w:val="9"/>
    <w:name w:val="heading 1"/>
    <w:basedOn w:val="Normal"/>
    <w:next w:val="Normal"/>
    <w:qFormat/>
    <w:rsid w:val="2A7E750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2A7E7509"/>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373CC755"/>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er">
    <w:uiPriority w:val="99"/>
    <w:name w:val="header"/>
    <w:basedOn w:val="Normal"/>
    <w:unhideWhenUsed/>
    <w:rsid w:val="27ACDCD1"/>
    <w:pPr>
      <w:tabs>
        <w:tab w:val="center" w:leader="none" w:pos="4680"/>
        <w:tab w:val="right" w:leader="none" w:pos="9360"/>
      </w:tabs>
      <w:spacing w:after="0" w:line="240" w:lineRule="auto"/>
    </w:pPr>
  </w:style>
  <w:style w:type="paragraph" w:styleId="Footer">
    <w:uiPriority w:val="99"/>
    <w:name w:val="footer"/>
    <w:basedOn w:val="Normal"/>
    <w:unhideWhenUsed/>
    <w:rsid w:val="27ACDCD1"/>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31E3D08A"/>
    <w:rPr>
      <w:color w:val="467886"/>
      <w:u w:val="single"/>
    </w:rPr>
  </w:style>
  <w:style w:type="paragraph" w:styleId="TOC1">
    <w:uiPriority w:val="39"/>
    <w:name w:val="toc 1"/>
    <w:basedOn w:val="Normal"/>
    <w:next w:val="Normal"/>
    <w:unhideWhenUsed/>
    <w:rsid w:val="31E3D08A"/>
    <w:pPr>
      <w:spacing w:after="100"/>
    </w:pPr>
  </w:style>
  <w:style w:type="paragraph" w:styleId="TOC2">
    <w:uiPriority w:val="39"/>
    <w:name w:val="toc 2"/>
    <w:basedOn w:val="Normal"/>
    <w:next w:val="Normal"/>
    <w:unhideWhenUsed/>
    <w:rsid w:val="31E3D08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0e5d72352e0d49c4" /><Relationship Type="http://schemas.microsoft.com/office/2020/10/relationships/intelligence" Target="/word/intelligence2.xml" Id="R385294210bd64edd" /><Relationship Type="http://schemas.openxmlformats.org/officeDocument/2006/relationships/header" Target="/word/header.xml" Id="Rbfb3a36ec720400f" /><Relationship Type="http://schemas.openxmlformats.org/officeDocument/2006/relationships/footer" Target="/word/footer.xml" Id="R6f5cc79c1a804cd2" /><Relationship Type="http://schemas.openxmlformats.org/officeDocument/2006/relationships/hyperlink" Target="https://doi.org/10.1016/S0140-6736(21)00231-2" TargetMode="External" Id="Ref4832f90ef64a87" /><Relationship Type="http://schemas.openxmlformats.org/officeDocument/2006/relationships/hyperlink" Target="https://doi.org/10.1007/s40271-025-00750-w" TargetMode="External" Id="Rd22b8679463549a6" /><Relationship Type="http://schemas.openxmlformats.org/officeDocument/2006/relationships/hyperlink" Target="https://www.gov.uk/" TargetMode="External" Id="Red1da86205254564" /><Relationship Type="http://schemas.openxmlformats.org/officeDocument/2006/relationships/hyperlink" Target="https://doi.org/10.1007/978-3-031-20010-6" TargetMode="External" Id="Ra21f1828f9204834" /><Relationship Type="http://schemas.openxmlformats.org/officeDocument/2006/relationships/hyperlink" Target="https://www.england.nhs.uk/" TargetMode="External" Id="R1fa1a04dbfdf4fcd" /><Relationship Type="http://schemas.openxmlformats.org/officeDocument/2006/relationships/hyperlink" Target="https://doi.org/10.7861/fhj.2022-0029" TargetMode="External" Id="R6fb8574ebbe740a2" /><Relationship Type="http://schemas.openxmlformats.org/officeDocument/2006/relationships/hyperlink" Target="https://doi.org/10.3389/frhs.2025.1563354" TargetMode="External" Id="R281d0d3e51f64fab" /><Relationship Type="http://schemas.openxmlformats.org/officeDocument/2006/relationships/hyperlink" Target="https://www.scope.org.uk/" TargetMode="External" Id="Rfcf56022ef234312" /><Relationship Type="http://schemas.openxmlformats.org/officeDocument/2006/relationships/hyperlink" Target="https://doi.org/10.1007/s11845-025-03952-1" TargetMode="External" Id="R6a88ecdb28c04b0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Kate Narh (2419949)</dc:creator>
  <keywords/>
  <dc:description/>
  <lastModifiedBy>Kate Narh (2419949)</lastModifiedBy>
  <revision>49</revision>
  <dcterms:created xsi:type="dcterms:W3CDTF">2026-03-24T20:53:30.3017137Z</dcterms:created>
  <dcterms:modified xsi:type="dcterms:W3CDTF">2026-03-27T16:14:36.5443042Z</dcterms:modified>
</coreProperties>
</file>