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docProps/custom.xml" ContentType="application/vnd.openxmlformats-officedocument.custom-properties+xml"/>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body>
    <w:p w:rsidR="002A5D54" w:rsidRDefault="000670CC" w14:paraId="7929C7C2" w14:textId="17A02181" w:rsidRPr="00793A69">
      <w:pPr>
        <w:rPr>
          <w:rFonts w:ascii="Arial" w:cs="Arial" w:hAnsi="Arial"/>
        </w:rPr>
      </w:pPr>
      <w:r>
        <w:rPr>
          <w:noProof/>
        </w:rPr>
        <w:drawing>
          <wp:anchor distT="0" distB="0" distR="114300" distL="114300" relativeHeight="251659264" behindDoc="0" allowOverlap="1" layoutInCell="1" locked="0" simplePos="0" wp14:anchorId="5C09DCF8" wp14:editId="554993FF">
            <wp:simplePos x="0" y="0"/>
            <wp:positionH relativeFrom="column">
              <wp:posOffset>-400050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BB5287" w:rsidRDefault="00BB5287" w14:paraId="28CE453D" w14:textId="4314FFA4" w:rsidRPr="00793A69">
      <w:pPr>
        <w:rPr>
          <w:rFonts w:ascii="Arial" w:cs="Arial" w:hAnsi="Arial"/>
        </w:rPr>
      </w:pPr>
    </w:p>
    <w:p w:rsidR="00BB5287" w:rsidRDefault="00BB5287" w14:paraId="0C42FC0C" w14:textId="77777777" w:rsidRPr="00793A69">
      <w:pPr>
        <w:rPr>
          <w:rFonts w:ascii="Arial" w:cs="Arial" w:hAnsi="Arial"/>
        </w:rPr>
      </w:pPr>
    </w:p>
    <w:p w:rsidR="00BB5287" w:rsidRDefault="00BB5287" w14:paraId="1D1DF4D3" w14:textId="77777777" w:rsidRPr="00793A69">
      <w:pPr>
        <w:rPr>
          <w:rFonts w:ascii="Arial" w:cs="Arial" w:hAnsi="Arial"/>
        </w:rPr>
      </w:pPr>
    </w:p>
    <w:tbl>
      <w:tblPr>
        <w:tblW w:w="8513" w:type="dxa"/>
        <w:tblLayout w:type="fixed"/>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515" w:type="dxa"/>
        <w:tblLook w:val="0"/>
      </w:tblPr>
      <w:tblGrid>
        <w:gridCol w:w="2093"/>
        <w:gridCol w:w="2640"/>
        <w:gridCol w:w="2160"/>
        <w:gridCol w:w="1620"/>
      </w:tblGrid>
      <w:tr w14:paraId="0C84F60C" w14:textId="77777777" w:rsidR="00793A69" w:rsidRPr="00793A69" w:rsidTr="000670CC">
        <w:tc>
          <w:tcPr>
            <w:shd w:fill="D0CECE" w:color="auto" w:themeFill="background2" w:themeFillShade="E6" w:val="clear"/>
            <w:tcW w:w="2093" w:type="dxa"/>
          </w:tcPr>
          <w:p w:rsidR="00BB5287" w:rsidRDefault="00BB5287" w14:paraId="21461680" w14:textId="77777777" w:rsidP="00BB5287" w:rsidRPr="00793A69">
            <w:pPr>
              <w:jc w:val="both"/>
              <w:spacing w:before="120" w:after="120" w:line="240" w:lineRule="auto"/>
              <w:rPr>
                <w:lang w:val="en-GB" w:eastAsia="en-GB"/>
                <w:b/>
                <w:rFonts w:ascii="Arial" w:cs="Arial" w:eastAsia="Times New Roman" w:hAnsi="Arial"/>
              </w:rPr>
            </w:pPr>
            <w:r w:rsidRPr="00793A69">
              <w:rPr>
                <w:lang w:val="en-GB" w:eastAsia="en-GB"/>
                <w:b/>
                <w:rFonts w:ascii="Arial" w:cs="Arial" w:eastAsia="Times New Roman" w:hAnsi="Arial"/>
              </w:rPr>
              <w:t>Student name:</w:t>
            </w:r>
          </w:p>
        </w:tc>
        <w:tc>
          <w:tcPr>
            <w:tcW w:w="2640" w:type="dxa"/>
          </w:tcPr>
          <w:p w:rsidR="00BB5287" w:rsidRDefault="00BB5287" w14:paraId="18D9E9CB" w14:textId="77777777" w:rsidP="00BB5287" w:rsidRPr="00793A69">
            <w:pPr>
              <w:jc w:val="both"/>
              <w:spacing w:before="120" w:after="120" w:line="240" w:lineRule="auto"/>
              <w:rPr>
                <w:lang w:val="en-GB" w:eastAsia="en-GB"/>
                <w:b w:val="0"/>
                <w:rFonts w:ascii="Arial" w:cs="Arial" w:eastAsia="Times New Roman" w:hAnsi="Arial"/>
              </w:rPr>
            </w:pPr>
            <w:r>
              <w:rPr>
                <w:b w:val="0"/>
                <w:rFonts w:ascii="Arial"/>
              </w:rPr>
              <w:t>Vasil Stefanov Pavlov</w:t>
            </w:r>
          </w:p>
        </w:tc>
        <w:tc>
          <w:tcPr>
            <w:shd w:fill="D0CECE" w:color="auto" w:themeFill="background2" w:themeFillShade="E6" w:val="clear"/>
            <w:tcW w:w="2160" w:type="dxa"/>
          </w:tcPr>
          <w:p w:rsidR="00BB5287" w:rsidRDefault="00BB5287" w14:paraId="7AEADA8C" w14:textId="77777777" w:rsidP="00BB5287" w:rsidRPr="00793A69">
            <w:pPr>
              <w:jc w:val="both"/>
              <w:spacing w:before="120" w:after="120" w:line="240" w:lineRule="auto"/>
              <w:rPr>
                <w:lang w:val="en-GB" w:eastAsia="en-GB"/>
                <w:b/>
                <w:rFonts w:ascii="Arial" w:cs="Arial" w:eastAsia="Times New Roman" w:hAnsi="Arial"/>
              </w:rPr>
            </w:pPr>
            <w:r w:rsidRPr="00793A69">
              <w:rPr>
                <w:lang w:val="en-GB" w:eastAsia="en-GB"/>
                <w:b/>
                <w:rFonts w:ascii="Arial" w:cs="Arial" w:eastAsia="Times New Roman" w:hAnsi="Arial"/>
              </w:rPr>
              <w:t>Student ID number:</w:t>
            </w:r>
          </w:p>
        </w:tc>
        <w:tc>
          <w:tcPr>
            <w:tcW w:w="1620" w:type="dxa"/>
          </w:tcPr>
          <w:p w:rsidR="00BB5287" w:rsidRDefault="00BB5287" w14:paraId="1ECF29D8" w14:textId="77777777" w:rsidP="00BB5287" w:rsidRPr="00793A69">
            <w:pPr>
              <w:jc w:val="both"/>
              <w:spacing w:before="120" w:after="120" w:line="240" w:lineRule="auto"/>
              <w:rPr>
                <w:lang w:val="en-GB" w:eastAsia="en-GB"/>
                <w:b w:val="0"/>
                <w:rFonts w:ascii="Arial" w:cs="Arial" w:eastAsia="Times New Roman" w:hAnsi="Arial"/>
              </w:rPr>
            </w:pPr>
            <w:r>
              <w:rPr>
                <w:b w:val="0"/>
                <w:rFonts w:ascii="Arial"/>
              </w:rPr>
              <w:t>2312445</w:t>
            </w:r>
          </w:p>
        </w:tc>
      </w:tr>
      <w:tr w14:paraId="2F955BE5" w14:textId="77777777" w:rsidR="00793A69" w:rsidRPr="00793A69" w:rsidTr="000670CC">
        <w:tc>
          <w:tcPr>
            <w:tcW w:w="2093" w:type="dxa"/>
          </w:tcPr>
          <w:p w:rsidR="00BB5287" w:rsidRDefault="00BB5287" w14:paraId="63DFF523" w14:textId="77777777" w:rsidP="00BB5287" w:rsidRPr="00793A69">
            <w:pPr>
              <w:jc w:val="both"/>
              <w:spacing w:before="120" w:after="120" w:line="240" w:lineRule="auto"/>
              <w:rPr>
                <w:lang w:val="en-GB" w:eastAsia="en-GB"/>
                <w:rFonts w:ascii="Arial" w:cs="Arial" w:eastAsia="Times New Roman" w:hAnsi="Arial"/>
              </w:rPr>
            </w:pPr>
            <w:r w:rsidRPr="00793A69">
              <w:rPr>
                <w:lang w:val="en-GB" w:eastAsia="en-GB"/>
                <w:rFonts w:ascii="Arial" w:cs="Arial" w:eastAsia="Times New Roman" w:hAnsi="Arial"/>
              </w:rPr>
              <w:t>Programme:</w:t>
            </w:r>
          </w:p>
        </w:tc>
        <w:tc>
          <w:tcPr>
            <w:gridSpan w:val="3"/>
            <w:tcW w:w="6420" w:type="dxa"/>
          </w:tcPr>
          <w:p w:rsidR="00BB5287" w:rsidRDefault="00BB5287" w14:paraId="21CC2432" w14:textId="77777777" w:rsidP="00BB5287" w:rsidRPr="00793A69">
            <w:pPr>
              <w:jc w:val="both"/>
              <w:spacing w:before="120" w:after="120" w:line="240" w:lineRule="auto"/>
              <w:rPr>
                <w:lang w:val="en-GB" w:eastAsia="en-GB"/>
                <w:rFonts w:ascii="Arial" w:cs="Arial" w:eastAsia="Times New Roman" w:hAnsi="Arial"/>
              </w:rPr>
            </w:pPr>
            <w:r w:rsidRPr="00793A69">
              <w:rPr>
                <w:lang w:val="en-GB" w:eastAsia="en-GB"/>
                <w:rFonts w:ascii="Arial" w:cs="Arial" w:eastAsia="Times New Roman" w:hAnsi="Arial"/>
              </w:rPr>
              <w:t xml:space="preserve">BA Leadership and Management </w:t>
            </w:r>
          </w:p>
        </w:tc>
      </w:tr>
      <w:tr w14:paraId="4C34C406" w14:textId="77777777" w:rsidR="00793A69" w:rsidRPr="00793A69" w:rsidTr="000670CC">
        <w:tc>
          <w:tcPr>
            <w:tcW w:w="2093" w:type="dxa"/>
          </w:tcPr>
          <w:p w:rsidR="00BB5287" w:rsidRDefault="00BB5287" w14:paraId="0FF32FD8" w14:textId="77777777" w:rsidP="00BB5287" w:rsidRPr="00793A69">
            <w:pPr>
              <w:jc w:val="both"/>
              <w:spacing w:before="120" w:after="120" w:line="240" w:lineRule="auto"/>
              <w:rPr>
                <w:lang w:val="en-GB" w:eastAsia="en-GB"/>
                <w:rFonts w:ascii="Arial" w:cs="Arial" w:eastAsia="Times New Roman" w:hAnsi="Arial"/>
              </w:rPr>
            </w:pPr>
            <w:r w:rsidRPr="00793A69">
              <w:rPr>
                <w:lang w:val="en-GB" w:eastAsia="en-GB"/>
                <w:rFonts w:ascii="Arial" w:cs="Arial" w:eastAsia="Times New Roman" w:hAnsi="Arial"/>
              </w:rPr>
              <w:t>Module:</w:t>
            </w:r>
          </w:p>
        </w:tc>
        <w:tc>
          <w:tcPr>
            <w:gridSpan w:val="3"/>
            <w:tcW w:w="6420" w:type="dxa"/>
          </w:tcPr>
          <w:p w:rsidR="00BB5287" w:rsidRDefault="00BB5287" w14:paraId="7F7F282A" w14:textId="77777777" w:rsidP="00BB5287" w:rsidRPr="00793A69">
            <w:pPr>
              <w:jc w:val="both"/>
              <w:spacing w:before="120" w:after="120" w:line="240" w:lineRule="auto"/>
              <w:rPr>
                <w:lang w:val="en-GB" w:eastAsia="en-GB"/>
                <w:rFonts w:ascii="Arial" w:cs="Arial" w:eastAsia="Times New Roman" w:hAnsi="Arial"/>
              </w:rPr>
            </w:pPr>
            <w:r w:rsidRPr="00793A69">
              <w:rPr>
                <w:bCs/>
                <w:lang w:val="en-GB" w:eastAsia="en-GB"/>
                <w:rFonts w:ascii="Arial" w:cs="Arial" w:eastAsia="Times New Roman" w:hAnsi="Arial"/>
              </w:rPr>
              <w:t>Design Thinking and Innovation</w:t>
            </w:r>
          </w:p>
        </w:tc>
      </w:tr>
      <w:tr w14:paraId="31896D07" w14:textId="77777777" w:rsidR="00793A69" w:rsidRPr="00793A69" w:rsidTr="000670CC">
        <w:tc>
          <w:tcPr>
            <w:tcW w:w="2093" w:type="dxa"/>
          </w:tcPr>
          <w:p w:rsidR="00BB5287" w:rsidRDefault="00BB5287" w14:paraId="1F510242" w14:textId="77777777" w:rsidP="00BB5287" w:rsidRPr="00793A69">
            <w:pPr>
              <w:jc w:val="both"/>
              <w:spacing w:before="120" w:after="120" w:line="240" w:lineRule="auto"/>
              <w:rPr>
                <w:lang w:val="en-GB" w:eastAsia="en-GB"/>
                <w:rFonts w:ascii="Arial" w:cs="Arial" w:eastAsia="Times New Roman" w:hAnsi="Arial"/>
              </w:rPr>
            </w:pPr>
            <w:r w:rsidRPr="00793A69">
              <w:rPr>
                <w:lang w:val="en-GB" w:eastAsia="en-GB"/>
                <w:rFonts w:ascii="Arial" w:cs="Arial" w:eastAsia="Times New Roman" w:hAnsi="Arial"/>
              </w:rPr>
              <w:t>Module code:</w:t>
            </w:r>
          </w:p>
        </w:tc>
        <w:tc>
          <w:tcPr>
            <w:gridSpan w:val="3"/>
            <w:tcW w:w="6420" w:type="dxa"/>
          </w:tcPr>
          <w:p w:rsidR="00BB5287" w:rsidRDefault="00BB5287" w14:paraId="01D05CEC" w14:textId="77777777" w:rsidP="00BB5287" w:rsidRPr="00793A69">
            <w:pPr>
              <w:jc w:val="both"/>
              <w:spacing w:before="120" w:after="120" w:line="240" w:lineRule="auto"/>
              <w:rPr>
                <w:lang w:val="en-GB" w:eastAsia="en-GB"/>
                <w:rFonts w:ascii="Arial" w:cs="Arial" w:eastAsia="Times New Roman" w:hAnsi="Arial"/>
              </w:rPr>
            </w:pPr>
            <w:r w:rsidRPr="00793A69">
              <w:rPr>
                <w:lang w:val="en-GB" w:eastAsia="en-GB"/>
                <w:rFonts w:ascii="Arial" w:cs="Arial" w:eastAsia="Times New Roman" w:hAnsi="Arial"/>
              </w:rPr>
              <w:t>LCLM 6002</w:t>
            </w:r>
          </w:p>
        </w:tc>
      </w:tr>
      <w:tr w14:paraId="62B0299F" w14:textId="77777777" w:rsidR="00793A69" w:rsidRPr="00793A69" w:rsidTr="000670CC">
        <w:tc>
          <w:tcPr>
            <w:tcW w:w="2093" w:type="dxa"/>
          </w:tcPr>
          <w:p w:rsidR="00BB5287" w:rsidRDefault="00BB5287" w14:paraId="00286E3B" w14:textId="77777777" w:rsidP="00BB5287" w:rsidRPr="00793A69">
            <w:pPr>
              <w:jc w:val="both"/>
              <w:spacing w:before="120" w:after="120" w:line="240" w:lineRule="auto"/>
              <w:rPr>
                <w:lang w:val="en-GB" w:eastAsia="en-GB"/>
                <w:rFonts w:ascii="Arial" w:cs="Arial" w:eastAsia="Times New Roman" w:hAnsi="Arial"/>
              </w:rPr>
            </w:pPr>
            <w:r w:rsidRPr="00793A69">
              <w:rPr>
                <w:lang w:val="en-GB" w:eastAsia="en-GB"/>
                <w:rFonts w:ascii="Arial" w:cs="Arial" w:eastAsia="Times New Roman" w:hAnsi="Arial"/>
              </w:rPr>
              <w:t>Module Leaders:</w:t>
            </w:r>
          </w:p>
        </w:tc>
        <w:tc>
          <w:tcPr>
            <w:gridSpan w:val="3"/>
            <w:tcW w:w="6420" w:type="dxa"/>
          </w:tcPr>
          <w:p w:rsidR="00BB5287" w:rsidRDefault="00BB5287" w14:paraId="2A1978E5" w14:textId="77777777" w:rsidP="00BB5287" w:rsidRPr="00793A69">
            <w:pPr>
              <w:jc w:val="both"/>
              <w:spacing w:before="120" w:after="120" w:line="240" w:lineRule="auto"/>
              <w:rPr>
                <w:lang w:val="en-GB" w:eastAsia="en-GB"/>
                <w:rFonts w:ascii="Arial" w:cs="Arial" w:eastAsia="Times New Roman" w:hAnsi="Arial"/>
              </w:rPr>
            </w:pPr>
            <w:proofErr w:type="spellStart"/>
            <w:r w:rsidRPr="00793A69">
              <w:rPr>
                <w:lang w:val="en-GB" w:eastAsia="en-GB"/>
                <w:rFonts w:ascii="Arial" w:cs="Arial" w:eastAsia="Times New Roman" w:hAnsi="Arial"/>
              </w:rPr>
              <w:t>Rexon</w:t>
            </w:r>
            <w:proofErr w:type="spellEnd"/>
            <w:r w:rsidRPr="00793A69">
              <w:rPr>
                <w:lang w:val="en-GB" w:eastAsia="en-GB"/>
                <w:rFonts w:ascii="Arial" w:cs="Arial" w:eastAsia="Times New Roman" w:hAnsi="Arial"/>
              </w:rPr>
              <w:t xml:space="preserve"> </w:t>
            </w:r>
            <w:proofErr w:type="spellStart"/>
            <w:r w:rsidRPr="00793A69">
              <w:rPr>
                <w:lang w:val="en-GB" w:eastAsia="en-GB"/>
                <w:rFonts w:ascii="Arial" w:cs="Arial" w:eastAsia="Times New Roman" w:hAnsi="Arial"/>
              </w:rPr>
              <w:t>Nting</w:t>
            </w:r>
            <w:proofErr w:type="spellEnd"/>
          </w:p>
          <w:p w:rsidR="00BB5287" w:rsidRDefault="00BB5287" w14:paraId="2E3FAA28" w14:textId="77777777" w:rsidP="00BB5287" w:rsidRPr="00793A69">
            <w:pPr>
              <w:jc w:val="both"/>
              <w:spacing w:before="120" w:after="120" w:line="240" w:lineRule="auto"/>
              <w:rPr>
                <w:bCs/>
                <w:lang w:val="en-GB" w:eastAsia="en-GB"/>
                <w:rFonts w:ascii="Arial" w:cs="Arial" w:eastAsia="Times New Roman" w:hAnsi="Arial"/>
              </w:rPr>
            </w:pPr>
            <w:r w:rsidRPr="00793A69">
              <w:rPr>
                <w:bCs/>
                <w:lang w:val="en-GB" w:eastAsia="en-GB"/>
                <w:rFonts w:ascii="Arial" w:cs="Arial" w:eastAsia="Times New Roman" w:hAnsi="Arial"/>
              </w:rPr>
              <w:t>Doreen Nyaa Amundam</w:t>
            </w:r>
          </w:p>
          <w:p w:rsidR="00BB5287" w:rsidRDefault="00BB5287" w14:paraId="5B6F94E6" w14:textId="77777777" w:rsidP="00BB5287" w:rsidRPr="00793A69">
            <w:pPr>
              <w:jc w:val="both"/>
              <w:spacing w:before="120" w:after="120" w:line="240" w:lineRule="auto"/>
              <w:rPr>
                <w:lang w:val="en-GB" w:eastAsia="en-GB"/>
                <w:rFonts w:ascii="Arial" w:cs="Arial" w:eastAsia="Times New Roman" w:hAnsi="Arial"/>
              </w:rPr>
            </w:pPr>
          </w:p>
        </w:tc>
      </w:tr>
      <w:tr w14:paraId="5F748EC8" w14:textId="77777777" w:rsidR="00793A69" w:rsidRPr="00793A69" w:rsidTr="000670CC">
        <w:tc>
          <w:tcPr>
            <w:tcW w:w="2093" w:type="dxa"/>
          </w:tcPr>
          <w:p w:rsidR="00BB5287" w:rsidRDefault="00BB5287" w14:paraId="1B39B273" w14:textId="77777777" w:rsidP="00BB5287" w:rsidRPr="00793A69">
            <w:pPr>
              <w:jc w:val="both"/>
              <w:spacing w:before="120" w:after="120" w:line="240" w:lineRule="auto"/>
              <w:rPr>
                <w:lang w:val="en-GB" w:eastAsia="en-GB"/>
                <w:rFonts w:ascii="Arial" w:cs="Arial" w:eastAsia="Times New Roman" w:hAnsi="Arial"/>
              </w:rPr>
            </w:pPr>
            <w:r w:rsidRPr="00793A69">
              <w:rPr>
                <w:lang w:val="en-GB" w:eastAsia="en-GB"/>
                <w:rFonts w:ascii="Arial" w:cs="Arial" w:eastAsia="Times New Roman" w:hAnsi="Arial"/>
              </w:rPr>
              <w:t>Internal Verifier:</w:t>
            </w:r>
          </w:p>
        </w:tc>
        <w:tc>
          <w:tcPr>
            <w:gridSpan w:val="3"/>
            <w:tcW w:w="6420" w:type="dxa"/>
          </w:tcPr>
          <w:p w:rsidR="00BB5287" w:rsidRDefault="00BB5287" w14:paraId="0F7F98A8" w14:textId="77777777" w:rsidP="00BB5287" w:rsidRPr="00793A69">
            <w:pPr>
              <w:jc w:val="both"/>
              <w:spacing w:before="120" w:after="120" w:line="240" w:lineRule="auto"/>
              <w:rPr>
                <w:lang w:val="en-GB" w:eastAsia="en-GB"/>
                <w:rFonts w:ascii="Arial" w:cs="Arial" w:eastAsia="Times New Roman" w:hAnsi="Arial"/>
              </w:rPr>
            </w:pPr>
            <w:r w:rsidRPr="00793A69">
              <w:rPr>
                <w:lang w:val="en-GB" w:eastAsia="en-GB"/>
                <w:rFonts w:ascii="Arial" w:cs="Arial" w:eastAsia="Times New Roman" w:hAnsi="Arial"/>
              </w:rPr>
              <w:t>Md Kalam</w:t>
            </w:r>
          </w:p>
          <w:p w:rsidR="00BB5287" w:rsidRDefault="00BB5287" w14:paraId="2D102552" w14:textId="77777777" w:rsidP="00BB5287" w:rsidRPr="00793A69">
            <w:pPr>
              <w:jc w:val="both"/>
              <w:spacing w:before="120" w:after="120" w:line="240" w:lineRule="auto"/>
              <w:rPr>
                <w:lang w:val="en-GB" w:eastAsia="en-GB"/>
                <w:rFonts w:ascii="Arial" w:cs="Arial" w:eastAsia="Times New Roman" w:hAnsi="Arial"/>
              </w:rPr>
            </w:pPr>
            <w:r w:rsidRPr="00793A69">
              <w:rPr>
                <w:lang w:val="en-GB" w:eastAsia="en-GB"/>
                <w:rFonts w:ascii="Arial" w:cs="Arial" w:eastAsia="Times New Roman" w:hAnsi="Arial"/>
              </w:rPr>
              <w:t>Samuel Ofori</w:t>
            </w:r>
          </w:p>
        </w:tc>
      </w:tr>
      <w:tr w14:paraId="53047AEE" w14:textId="77777777" w:rsidR="00793A69" w:rsidRPr="00793A69" w:rsidTr="000670CC">
        <w:tc>
          <w:tcPr>
            <w:tcW w:w="2093" w:type="dxa"/>
          </w:tcPr>
          <w:p w:rsidR="00BB5287" w:rsidRDefault="00BB5287" w14:paraId="15968040" w14:textId="77777777" w:rsidP="00BB5287" w:rsidRPr="00793A69">
            <w:pPr>
              <w:jc w:val="both"/>
              <w:spacing w:before="120" w:after="120" w:line="240" w:lineRule="auto"/>
              <w:rPr>
                <w:lang w:val="en-GB" w:eastAsia="en-GB"/>
                <w:rFonts w:ascii="Arial" w:cs="Arial" w:eastAsia="Times New Roman" w:hAnsi="Arial"/>
              </w:rPr>
            </w:pPr>
            <w:r w:rsidRPr="00793A69">
              <w:rPr>
                <w:lang w:val="en-GB" w:eastAsia="en-GB"/>
                <w:rFonts w:ascii="Arial" w:cs="Arial" w:eastAsia="Times New Roman" w:hAnsi="Arial"/>
              </w:rPr>
              <w:t>Assignment Title:</w:t>
            </w:r>
          </w:p>
        </w:tc>
        <w:tc>
          <w:tcPr>
            <w:gridSpan w:val="3"/>
            <w:tcW w:w="6420" w:type="dxa"/>
          </w:tcPr>
          <w:p w:rsidR="00BB5287" w:rsidRDefault="00BB5287" w14:paraId="49C2D8D0" w14:textId="77777777" w:rsidP="00BB5287" w:rsidRPr="00793A69">
            <w:pPr>
              <w:spacing w:before="100" w:beforeAutospacing="1" w:after="100" w:afterAutospacing="1" w:line="240" w:lineRule="auto"/>
              <w:rPr>
                <w:lang w:val="en-GB" w:eastAsia="en-GB"/>
                <w:rFonts w:ascii="Arial" w:cs="Arial" w:eastAsia="Times New Roman" w:hAnsi="Arial"/>
              </w:rPr>
            </w:pPr>
            <w:r w:rsidRPr="00793A69">
              <w:rPr>
                <w:lang w:val="en-GB" w:eastAsia="en-GB"/>
                <w:rFonts w:ascii="Arial" w:cs="Arial" w:eastAsia="Times New Roman" w:hAnsi="Arial"/>
              </w:rPr>
              <w:t>Innovation &amp; Customer Journey</w:t>
            </w:r>
          </w:p>
        </w:tc>
      </w:tr>
      <w:tr w14:paraId="3A4ACFEC" w14:textId="77777777" w:rsidR="00793A69" w:rsidRPr="00793A69" w:rsidTr="000670CC">
        <w:tc>
          <w:tcPr>
            <w:tcW w:w="2093" w:type="dxa"/>
          </w:tcPr>
          <w:p w:rsidR="00BB5287" w:rsidRDefault="00BB5287" w14:paraId="6DECCE5B" w14:textId="77777777" w:rsidP="00BB5287" w:rsidRPr="00793A69">
            <w:pPr>
              <w:jc w:val="both"/>
              <w:spacing w:before="120" w:after="120" w:line="240" w:lineRule="auto"/>
              <w:rPr>
                <w:lang w:val="en-GB" w:eastAsia="en-GB"/>
                <w:rFonts w:ascii="Arial" w:cs="Arial" w:eastAsia="Times New Roman" w:hAnsi="Arial"/>
              </w:rPr>
            </w:pPr>
            <w:r w:rsidRPr="00793A69">
              <w:rPr>
                <w:lang w:val="en-GB" w:eastAsia="en-GB"/>
                <w:rFonts w:ascii="Arial" w:cs="Arial" w:eastAsia="Times New Roman" w:hAnsi="Arial"/>
              </w:rPr>
              <w:t>Word Count:</w:t>
            </w:r>
          </w:p>
        </w:tc>
        <w:tc>
          <w:tcPr>
            <w:gridSpan w:val="3"/>
            <w:tcW w:w="6420" w:type="dxa"/>
          </w:tcPr>
          <w:p w:rsidR="00BB5287" w:rsidRDefault="003878F0" w14:paraId="30B5675B" w14:textId="63A0D009" w:rsidP="00BB5287" w:rsidRPr="003878F0">
            <w:pPr>
              <w:spacing w:before="120" w:after="120" w:line="240" w:lineRule="auto"/>
              <w:rPr>
                <w:bCs/>
                <w:lang w:val="en-GB" w:eastAsia="en-GB"/>
                <w:rFonts w:ascii="Arial" w:cs="Arial" w:eastAsia="Times New Roman" w:hAnsi="Arial"/>
              </w:rPr>
            </w:pPr>
            <w:r>
              <w:rPr>
                <w:bCs/>
                <w:lang w:val="en-GB" w:eastAsia="en-GB"/>
                <w:rFonts w:ascii="Arial" w:cs="Arial" w:eastAsia="Times New Roman" w:hAnsi="Arial"/>
              </w:rPr>
              <w:t>4,311</w:t>
            </w:r>
          </w:p>
        </w:tc>
      </w:tr>
      <w:tr w14:paraId="49FD3235" w14:textId="77777777" w:rsidR="00BB5287" w:rsidRPr="00793A69" w:rsidTr="000670CC">
        <w:tc>
          <w:tcPr>
            <w:tcW w:w="2093" w:type="dxa"/>
          </w:tcPr>
          <w:p w:rsidR="00BB5287" w:rsidRDefault="00BB5287" w14:paraId="63175D9C" w14:textId="77777777" w:rsidP="00BB5287" w:rsidRPr="00793A69">
            <w:pPr>
              <w:jc w:val="both"/>
              <w:spacing w:before="120" w:after="120" w:line="240" w:lineRule="auto"/>
              <w:rPr>
                <w:lang w:val="en-GB" w:eastAsia="en-GB"/>
                <w:rFonts w:ascii="Arial" w:cs="Arial" w:eastAsia="Times New Roman" w:hAnsi="Arial"/>
              </w:rPr>
            </w:pPr>
            <w:r w:rsidRPr="00793A69">
              <w:rPr>
                <w:lang w:val="en-GB" w:eastAsia="en-GB"/>
                <w:rFonts w:ascii="Arial" w:cs="Arial" w:eastAsia="Times New Roman" w:hAnsi="Arial"/>
              </w:rPr>
              <w:t>Submission date:</w:t>
            </w:r>
          </w:p>
        </w:tc>
        <w:tc>
          <w:tcPr>
            <w:gridSpan w:val="3"/>
            <w:tcW w:w="6420" w:type="dxa"/>
          </w:tcPr>
          <w:p w:rsidR="00BB5287" w:rsidRDefault="00BB5287" w14:paraId="126F1173" w14:textId="77777777" w:rsidP="00BB5287" w:rsidRPr="00793A69">
            <w:pPr>
              <w:jc w:val="both"/>
              <w:spacing w:before="120" w:after="120" w:line="240" w:lineRule="auto"/>
              <w:rPr>
                <w:lang w:val="en-GB" w:eastAsia="en-GB"/>
                <w:b/>
                <w:rFonts w:ascii="Arial" w:cs="Arial" w:eastAsia="Times New Roman" w:hAnsi="Arial"/>
              </w:rPr>
            </w:pPr>
          </w:p>
        </w:tc>
      </w:tr>
    </w:tbl>
    <w:p w:rsidR="00BB5287" w:rsidRDefault="00BB5287" w14:paraId="117BF565" w14:textId="77777777" w:rsidRPr="00793A69">
      <w:pPr>
        <w:rPr>
          <w:rFonts w:ascii="Arial" w:cs="Arial" w:hAnsi="Arial"/>
        </w:rPr>
      </w:pPr>
    </w:p>
    <w:p w:rsidR="00BB5287" w:rsidRDefault="00BB5287" w14:paraId="5B81EADF" w14:textId="77777777" w:rsidRPr="00793A69">
      <w:pPr>
        <w:rPr>
          <w:rFonts w:ascii="Arial" w:cs="Arial" w:hAnsi="Arial"/>
        </w:rPr>
      </w:pPr>
    </w:p>
    <w:p w:rsidR="00BB5287" w:rsidRDefault="00BB5287" w14:paraId="221C5C48" w14:textId="77777777" w:rsidRPr="00793A69">
      <w:pPr>
        <w:rPr>
          <w:rFonts w:ascii="Arial" w:cs="Arial" w:hAnsi="Arial"/>
        </w:rPr>
      </w:pPr>
    </w:p>
    <w:p w:rsidR="00912271" w:rsidRDefault="00912271" w14:paraId="350D05E2" w14:textId="77777777" w:rsidRPr="00793A69">
      <w:pPr>
        <w:rPr>
          <w:rFonts w:ascii="Arial" w:cs="Arial" w:hAnsi="Arial"/>
        </w:rPr>
      </w:pPr>
    </w:p>
    <w:p w:rsidR="00912271" w:rsidRDefault="00912271" w14:paraId="4FA76CC4" w14:textId="77777777" w:rsidRPr="00793A69">
      <w:pPr>
        <w:rPr>
          <w:rFonts w:ascii="Arial" w:cs="Arial" w:hAnsi="Arial"/>
        </w:rPr>
      </w:pPr>
    </w:p>
    <w:p w:rsidR="00912271" w:rsidRDefault="00912271" w14:paraId="650487D9" w14:textId="77777777" w:rsidRPr="00793A69">
      <w:pPr>
        <w:rPr>
          <w:rFonts w:ascii="Arial" w:cs="Arial" w:hAnsi="Arial"/>
        </w:rPr>
      </w:pPr>
    </w:p>
    <w:p w:rsidR="00912271" w:rsidRDefault="00912271" w14:paraId="79DC7834" w14:textId="77777777" w:rsidRPr="00793A69">
      <w:pPr>
        <w:rPr>
          <w:rFonts w:ascii="Arial" w:cs="Arial" w:hAnsi="Arial"/>
        </w:rPr>
      </w:pPr>
    </w:p>
    <w:p w:rsidR="00912271" w:rsidRDefault="00912271" w14:paraId="19FC6412" w14:textId="77777777" w:rsidRPr="00793A69">
      <w:pPr>
        <w:rPr>
          <w:rFonts w:ascii="Arial" w:cs="Arial" w:hAnsi="Arial"/>
        </w:rPr>
      </w:pPr>
    </w:p>
    <w:p w:rsidR="00912271" w:rsidRDefault="00912271" w14:paraId="0297BFB7" w14:textId="77777777">
      <w:pPr>
        <w:rPr>
          <w:rFonts w:ascii="Arial" w:cs="Arial" w:hAnsi="Arial"/>
        </w:rPr>
      </w:pPr>
    </w:p>
    <w:p w:rsidR="000670CC" w:rsidRDefault="000670CC" w14:paraId="7A298844" w14:textId="77777777">
      <w:pPr>
        <w:rPr>
          <w:rFonts w:ascii="Arial" w:cs="Arial" w:hAnsi="Arial"/>
        </w:rPr>
      </w:pPr>
    </w:p>
    <w:p w:rsidR="000670CC" w:rsidRDefault="000670CC" w14:paraId="707D857D" w14:textId="77777777">
      <w:pPr>
        <w:rPr>
          <w:rFonts w:ascii="Arial" w:cs="Arial" w:hAnsi="Arial"/>
        </w:rPr>
      </w:pPr>
    </w:p>
    <w:p w:rsidR="000670CC" w:rsidRDefault="000670CC" w14:paraId="64A18F67" w14:textId="77777777">
      <w:pPr>
        <w:rPr>
          <w:rFonts w:ascii="Arial" w:cs="Arial" w:hAnsi="Arial"/>
        </w:rPr>
      </w:pPr>
    </w:p>
    <w:p w:rsidR="000670CC" w:rsidRDefault="000670CC" w14:paraId="24FAFAFB" w14:textId="77777777" w:rsidRPr="00793A69">
      <w:pPr>
        <w:rPr>
          <w:rFonts w:ascii="Arial" w:cs="Arial" w:hAnsi="Arial"/>
        </w:rPr>
      </w:pPr>
    </w:p>
    <w:sdt>
      <w:sdtPr>
        <w:rPr>
          <w:rFonts w:asciiTheme="minorHAnsi" w:eastAsiaTheme="minorHAnsi" w:hAnsiTheme="minorHAnsi" w:cstheme="minorBidi"/>
          <w:color w:val="auto"/>
          <w:sz w:val="22"/>
          <w:szCs w:val="22"/>
          <w:lang w:val="en-AU"/>
        </w:rPr>
        <w:id w:val="900412629"/>
        <w:docPartObj>
          <w:docPartGallery w:val="Table of Contents"/>
          <w:docPartUnique/>
        </w:docPartObj>
      </w:sdtPr>
      <w:sdtEndPr>
        <w:rPr>
          <w:noProof/>
        </w:rPr>
      </w:sdtEndPr>
      <w:sdtContent>
        <w:p w:rsidR="00912271" w:rsidRDefault="00912271" w14:paraId="12A2734D" w14:textId="77777777">
          <w:pPr>
            <w:pStyle w:val="TOCHeading"/>
            <w:rPr>
              <w:bCs/>
              <w:b/>
              <w:color w:val="auto"/>
              <w:rFonts w:ascii="Arial" w:cs="Arial" w:hAnsi="Arial"/>
              <w:sz w:val="22"/>
              <w:szCs w:val="22"/>
            </w:rPr>
          </w:pPr>
          <w:r w:rsidRPr="00793A69">
            <w:rPr>
              <w:bCs/>
              <w:b/>
              <w:color w:val="auto"/>
              <w:rFonts w:ascii="Arial" w:cs="Arial" w:hAnsi="Arial"/>
              <w:sz w:val="22"/>
              <w:szCs w:val="22"/>
            </w:rPr>
            <w:t>Table of Contents</w:t>
          </w:r>
        </w:p>
        <w:p w:rsidR="00793A69" w:rsidRDefault="00793A69" w14:paraId="08819664" w14:textId="77777777" w:rsidP="00793A69" w:rsidRPr="00793A69">
          <w:pPr>
            <w:rPr>
              <w:lang w:val="en-US"/>
            </w:rPr>
          </w:pPr>
        </w:p>
        <w:p w:rsidR="00793A69" w:rsidRDefault="00912271" w14:paraId="6176CA3F" w14:textId="51C99136" w:rsidRPr="00793A69">
          <w:pPr>
            <w:pStyle w:val="TOC1"/>
            <w:tabs>
              <w:tab w:val="right" w:leader="dot" w:pos="9016"/>
            </w:tabs>
            <w:rPr>
              <w:noProof/>
              <w:kern w:val="2"/>
              <w:lang w:val="en-GB" w:eastAsia="en-GB"/>
              <w14:ligatures w14:val="standardContextual"/>
              <w:rFonts w:ascii="Arial" w:cs="Arial" w:hAnsi="Arial" w:eastAsiaTheme="minorEastAsia"/>
              <w:sz w:val="24"/>
              <w:szCs w:val="24"/>
            </w:rPr>
          </w:pPr>
          <w:r w:rsidRPr="00793A69">
            <w:rPr>
              <w:noProof/>
              <w:rFonts w:ascii="Arial" w:cs="Arial" w:hAnsi="Arial"/>
            </w:rPr>
            <w:fldChar w:fldCharType="begin"/>
          </w:r>
          <w:r w:rsidRPr="00793A69">
            <w:rPr>
              <w:noProof/>
              <w:rFonts w:ascii="Arial" w:cs="Arial" w:hAnsi="Arial"/>
            </w:rPr>
            <w:instrText xml:space="preserve"> TOC \o "1-3" \h \z \u </w:instrText>
          </w:r>
          <w:r w:rsidRPr="00793A69">
            <w:rPr>
              <w:noProof/>
              <w:rFonts w:ascii="Arial" w:cs="Arial" w:hAnsi="Arial"/>
            </w:rPr>
            <w:fldChar w:fldCharType="separate"/>
          </w:r>
          <w:hyperlink w:anchor="_Toc211874329" w:history="1">
            <w:r w:rsidR="00793A69" w:rsidRPr="00793A69">
              <w:rPr>
                <w:noProof/>
                <w:lang w:val="en-US"/>
                <w:rStyle w:val="Hyperlink"/>
                <w:rFonts w:ascii="Arial" w:cs="Arial" w:hAnsi="Arial"/>
              </w:rPr>
              <w:t>Introduction</w:t>
            </w:r>
            <w:r w:rsidR="00793A69" w:rsidRPr="00793A69">
              <w:rPr>
                <w:noProof/>
                <w:webHidden/>
                <w:rFonts w:ascii="Arial" w:cs="Arial" w:hAnsi="Arial"/>
              </w:rPr>
              <w:tab/>
            </w:r>
            <w:r w:rsidR="00793A69" w:rsidRPr="00793A69">
              <w:rPr>
                <w:noProof/>
                <w:webHidden/>
                <w:rFonts w:ascii="Arial" w:cs="Arial" w:hAnsi="Arial"/>
              </w:rPr>
              <w:fldChar w:fldCharType="begin"/>
            </w:r>
            <w:r w:rsidR="00793A69" w:rsidRPr="00793A69">
              <w:rPr>
                <w:noProof/>
                <w:webHidden/>
                <w:rFonts w:ascii="Arial" w:cs="Arial" w:hAnsi="Arial"/>
              </w:rPr>
              <w:instrText xml:space="preserve"> PAGEREF _Toc211874329 \h </w:instrText>
            </w:r>
            <w:r w:rsidR="00793A69" w:rsidRPr="00793A69">
              <w:rPr>
                <w:noProof/>
                <w:webHidden/>
                <w:rFonts w:ascii="Arial" w:cs="Arial" w:hAnsi="Arial"/>
              </w:rPr>
            </w:r>
            <w:r w:rsidR="00793A69" w:rsidRPr="00793A69">
              <w:rPr>
                <w:noProof/>
                <w:webHidden/>
                <w:rFonts w:ascii="Arial" w:cs="Arial" w:hAnsi="Arial"/>
              </w:rPr>
              <w:fldChar w:fldCharType="separate"/>
            </w:r>
            <w:r w:rsidR="00793A69" w:rsidRPr="00793A69">
              <w:rPr>
                <w:noProof/>
                <w:webHidden/>
                <w:rFonts w:ascii="Arial" w:cs="Arial" w:hAnsi="Arial"/>
              </w:rPr>
              <w:t>3</w:t>
            </w:r>
            <w:r w:rsidR="00793A69" w:rsidRPr="00793A69">
              <w:rPr>
                <w:noProof/>
                <w:webHidden/>
                <w:rFonts w:ascii="Arial" w:cs="Arial" w:hAnsi="Arial"/>
              </w:rPr>
              <w:fldChar w:fldCharType="end"/>
            </w:r>
          </w:hyperlink>
        </w:p>
        <w:p w:rsidR="00793A69" w:rsidRDefault="00793A69" w14:paraId="2539AC81" w14:textId="45708D6C" w:rsidRPr="00793A69">
          <w:pPr>
            <w:pStyle w:val="TOC1"/>
            <w:tabs>
              <w:tab w:val="right" w:leader="dot" w:pos="9016"/>
            </w:tabs>
            <w:rPr>
              <w:noProof/>
              <w:kern w:val="2"/>
              <w:lang w:val="en-GB" w:eastAsia="en-GB"/>
              <w14:ligatures w14:val="standardContextual"/>
              <w:rFonts w:ascii="Arial" w:cs="Arial" w:hAnsi="Arial" w:eastAsiaTheme="minorEastAsia"/>
              <w:sz w:val="24"/>
              <w:szCs w:val="24"/>
            </w:rPr>
          </w:pPr>
          <w:hyperlink w:anchor="_Toc211874330" w:history="1">
            <w:r w:rsidRPr="00793A69">
              <w:rPr>
                <w:noProof/>
                <w:rStyle w:val="Hyperlink"/>
                <w:rFonts w:ascii="Arial" w:cs="Arial" w:hAnsi="Arial"/>
              </w:rPr>
              <w:t>Part 1: The Innovation Ambition Matrix and Customer Mapping</w:t>
            </w:r>
            <w:r w:rsidRPr="00793A69">
              <w:rPr>
                <w:noProof/>
                <w:webHidden/>
                <w:rFonts w:ascii="Arial" w:cs="Arial" w:hAnsi="Arial"/>
              </w:rPr>
              <w:tab/>
            </w:r>
            <w:r w:rsidRPr="00793A69">
              <w:rPr>
                <w:noProof/>
                <w:webHidden/>
                <w:rFonts w:ascii="Arial" w:cs="Arial" w:hAnsi="Arial"/>
              </w:rPr>
              <w:fldChar w:fldCharType="begin"/>
            </w:r>
            <w:r w:rsidRPr="00793A69">
              <w:rPr>
                <w:noProof/>
                <w:webHidden/>
                <w:rFonts w:ascii="Arial" w:cs="Arial" w:hAnsi="Arial"/>
              </w:rPr>
              <w:instrText xml:space="preserve"> PAGEREF _Toc211874330 \h </w:instrText>
            </w:r>
            <w:r w:rsidRPr="00793A69">
              <w:rPr>
                <w:noProof/>
                <w:webHidden/>
                <w:rFonts w:ascii="Arial" w:cs="Arial" w:hAnsi="Arial"/>
              </w:rPr>
            </w:r>
            <w:r w:rsidRPr="00793A69">
              <w:rPr>
                <w:noProof/>
                <w:webHidden/>
                <w:rFonts w:ascii="Arial" w:cs="Arial" w:hAnsi="Arial"/>
              </w:rPr>
              <w:fldChar w:fldCharType="separate"/>
            </w:r>
            <w:r w:rsidRPr="00793A69">
              <w:rPr>
                <w:noProof/>
                <w:webHidden/>
                <w:rFonts w:ascii="Arial" w:cs="Arial" w:hAnsi="Arial"/>
              </w:rPr>
              <w:t>3</w:t>
            </w:r>
            <w:r w:rsidRPr="00793A69">
              <w:rPr>
                <w:noProof/>
                <w:webHidden/>
                <w:rFonts w:ascii="Arial" w:cs="Arial" w:hAnsi="Arial"/>
              </w:rPr>
              <w:fldChar w:fldCharType="end"/>
            </w:r>
          </w:hyperlink>
        </w:p>
        <w:p w:rsidR="00793A69" w:rsidRDefault="00793A69" w14:paraId="309B8DA2" w14:textId="16C8294A" w:rsidRPr="00793A69">
          <w:pPr>
            <w:pStyle w:val="TOC2"/>
            <w:tabs>
              <w:tab w:val="right" w:leader="dot" w:pos="9016"/>
            </w:tabs>
            <w:rPr>
              <w:noProof/>
              <w:kern w:val="2"/>
              <w:lang w:val="en-GB" w:eastAsia="en-GB"/>
              <w14:ligatures w14:val="standardContextual"/>
              <w:rFonts w:ascii="Arial" w:cs="Arial" w:hAnsi="Arial" w:eastAsiaTheme="minorEastAsia"/>
              <w:sz w:val="24"/>
              <w:szCs w:val="24"/>
            </w:rPr>
          </w:pPr>
          <w:hyperlink w:anchor="_Toc211874331" w:history="1">
            <w:r w:rsidRPr="00793A69">
              <w:rPr>
                <w:noProof/>
                <w:rStyle w:val="Hyperlink"/>
                <w:rFonts w:ascii="Arial" w:cs="Arial" w:hAnsi="Arial"/>
              </w:rPr>
              <w:t>Part 1.1: Applying the Innovation Ambition Matrix</w:t>
            </w:r>
            <w:r w:rsidRPr="00793A69">
              <w:rPr>
                <w:noProof/>
                <w:webHidden/>
                <w:rFonts w:ascii="Arial" w:cs="Arial" w:hAnsi="Arial"/>
              </w:rPr>
              <w:tab/>
            </w:r>
            <w:r w:rsidRPr="00793A69">
              <w:rPr>
                <w:noProof/>
                <w:webHidden/>
                <w:rFonts w:ascii="Arial" w:cs="Arial" w:hAnsi="Arial"/>
              </w:rPr>
              <w:fldChar w:fldCharType="begin"/>
            </w:r>
            <w:r w:rsidRPr="00793A69">
              <w:rPr>
                <w:noProof/>
                <w:webHidden/>
                <w:rFonts w:ascii="Arial" w:cs="Arial" w:hAnsi="Arial"/>
              </w:rPr>
              <w:instrText xml:space="preserve"> PAGEREF _Toc211874331 \h </w:instrText>
            </w:r>
            <w:r w:rsidRPr="00793A69">
              <w:rPr>
                <w:noProof/>
                <w:webHidden/>
                <w:rFonts w:ascii="Arial" w:cs="Arial" w:hAnsi="Arial"/>
              </w:rPr>
            </w:r>
            <w:r w:rsidRPr="00793A69">
              <w:rPr>
                <w:noProof/>
                <w:webHidden/>
                <w:rFonts w:ascii="Arial" w:cs="Arial" w:hAnsi="Arial"/>
              </w:rPr>
              <w:fldChar w:fldCharType="separate"/>
            </w:r>
            <w:r w:rsidRPr="00793A69">
              <w:rPr>
                <w:noProof/>
                <w:webHidden/>
                <w:rFonts w:ascii="Arial" w:cs="Arial" w:hAnsi="Arial"/>
              </w:rPr>
              <w:t>4</w:t>
            </w:r>
            <w:r w:rsidRPr="00793A69">
              <w:rPr>
                <w:noProof/>
                <w:webHidden/>
                <w:rFonts w:ascii="Arial" w:cs="Arial" w:hAnsi="Arial"/>
              </w:rPr>
              <w:fldChar w:fldCharType="end"/>
            </w:r>
          </w:hyperlink>
        </w:p>
        <w:p w:rsidR="00793A69" w:rsidRDefault="00793A69" w14:paraId="5A953F3D" w14:textId="3D0278C1" w:rsidRPr="00793A69">
          <w:pPr>
            <w:pStyle w:val="TOC3"/>
            <w:tabs>
              <w:tab w:val="left" w:pos="960"/>
              <w:tab w:val="right" w:leader="dot" w:pos="9016"/>
            </w:tabs>
            <w:rPr>
              <w:noProof/>
              <w:kern w:val="2"/>
              <w:lang w:val="en-GB" w:eastAsia="en-GB"/>
              <w14:ligatures w14:val="standardContextual"/>
              <w:rFonts w:ascii="Arial" w:cs="Arial" w:hAnsi="Arial" w:eastAsiaTheme="minorEastAsia"/>
              <w:sz w:val="24"/>
              <w:szCs w:val="24"/>
            </w:rPr>
          </w:pPr>
          <w:hyperlink w:anchor="_Toc211874332" w:history="1">
            <w:r w:rsidRPr="00793A69">
              <w:rPr>
                <w:noProof/>
                <w:lang w:val="en-US"/>
                <w:rStyle w:val="Hyperlink"/>
                <w:rFonts w:ascii="Arial" w:cs="Arial" w:hAnsi="Arial"/>
              </w:rPr>
              <w:t>1.</w:t>
            </w:r>
            <w:r w:rsidRPr="00793A69">
              <w:rPr>
                <w:noProof/>
                <w:kern w:val="2"/>
                <w:lang w:val="en-GB" w:eastAsia="en-GB"/>
                <w14:ligatures w14:val="standardContextual"/>
                <w:rFonts w:ascii="Arial" w:cs="Arial" w:hAnsi="Arial" w:eastAsiaTheme="minorEastAsia"/>
                <w:sz w:val="24"/>
                <w:szCs w:val="24"/>
              </w:rPr>
              <w:tab/>
            </w:r>
            <w:r w:rsidRPr="00793A69">
              <w:rPr>
                <w:noProof/>
                <w:lang w:val="en-US"/>
                <w:rStyle w:val="Hyperlink"/>
                <w:rFonts w:ascii="Arial" w:cs="Arial" w:hAnsi="Arial"/>
              </w:rPr>
              <w:t>Core Innovation</w:t>
            </w:r>
            <w:r w:rsidRPr="00793A69">
              <w:rPr>
                <w:noProof/>
                <w:webHidden/>
                <w:rFonts w:ascii="Arial" w:cs="Arial" w:hAnsi="Arial"/>
              </w:rPr>
              <w:tab/>
            </w:r>
            <w:r w:rsidRPr="00793A69">
              <w:rPr>
                <w:noProof/>
                <w:webHidden/>
                <w:rFonts w:ascii="Arial" w:cs="Arial" w:hAnsi="Arial"/>
              </w:rPr>
              <w:fldChar w:fldCharType="begin"/>
            </w:r>
            <w:r w:rsidRPr="00793A69">
              <w:rPr>
                <w:noProof/>
                <w:webHidden/>
                <w:rFonts w:ascii="Arial" w:cs="Arial" w:hAnsi="Arial"/>
              </w:rPr>
              <w:instrText xml:space="preserve"> PAGEREF _Toc211874332 \h </w:instrText>
            </w:r>
            <w:r w:rsidRPr="00793A69">
              <w:rPr>
                <w:noProof/>
                <w:webHidden/>
                <w:rFonts w:ascii="Arial" w:cs="Arial" w:hAnsi="Arial"/>
              </w:rPr>
            </w:r>
            <w:r w:rsidRPr="00793A69">
              <w:rPr>
                <w:noProof/>
                <w:webHidden/>
                <w:rFonts w:ascii="Arial" w:cs="Arial" w:hAnsi="Arial"/>
              </w:rPr>
              <w:fldChar w:fldCharType="separate"/>
            </w:r>
            <w:r w:rsidRPr="00793A69">
              <w:rPr>
                <w:noProof/>
                <w:webHidden/>
                <w:rFonts w:ascii="Arial" w:cs="Arial" w:hAnsi="Arial"/>
              </w:rPr>
              <w:t>4</w:t>
            </w:r>
            <w:r w:rsidRPr="00793A69">
              <w:rPr>
                <w:noProof/>
                <w:webHidden/>
                <w:rFonts w:ascii="Arial" w:cs="Arial" w:hAnsi="Arial"/>
              </w:rPr>
              <w:fldChar w:fldCharType="end"/>
            </w:r>
          </w:hyperlink>
        </w:p>
        <w:p w:rsidR="00793A69" w:rsidRDefault="00793A69" w14:paraId="2AA7FAA0" w14:textId="6FA839DA" w:rsidRPr="00793A69">
          <w:pPr>
            <w:pStyle w:val="TOC3"/>
            <w:tabs>
              <w:tab w:val="left" w:pos="960"/>
              <w:tab w:val="right" w:leader="dot" w:pos="9016"/>
            </w:tabs>
            <w:rPr>
              <w:noProof/>
              <w:kern w:val="2"/>
              <w:lang w:val="en-GB" w:eastAsia="en-GB"/>
              <w14:ligatures w14:val="standardContextual"/>
              <w:rFonts w:ascii="Arial" w:cs="Arial" w:hAnsi="Arial" w:eastAsiaTheme="minorEastAsia"/>
              <w:sz w:val="24"/>
              <w:szCs w:val="24"/>
            </w:rPr>
          </w:pPr>
          <w:hyperlink w:anchor="_Toc211874333" w:history="1">
            <w:r w:rsidRPr="00793A69">
              <w:rPr>
                <w:noProof/>
                <w:lang w:val="en-US"/>
                <w:rStyle w:val="Hyperlink"/>
                <w:rFonts w:ascii="Arial" w:cs="Arial" w:hAnsi="Arial"/>
              </w:rPr>
              <w:t>2.</w:t>
            </w:r>
            <w:r w:rsidRPr="00793A69">
              <w:rPr>
                <w:noProof/>
                <w:kern w:val="2"/>
                <w:lang w:val="en-GB" w:eastAsia="en-GB"/>
                <w14:ligatures w14:val="standardContextual"/>
                <w:rFonts w:ascii="Arial" w:cs="Arial" w:hAnsi="Arial" w:eastAsiaTheme="minorEastAsia"/>
                <w:sz w:val="24"/>
                <w:szCs w:val="24"/>
              </w:rPr>
              <w:tab/>
            </w:r>
            <w:r w:rsidRPr="00793A69">
              <w:rPr>
                <w:noProof/>
                <w:lang w:val="en-US"/>
                <w:rStyle w:val="Hyperlink"/>
                <w:rFonts w:ascii="Arial" w:cs="Arial" w:hAnsi="Arial"/>
              </w:rPr>
              <w:t>Adjacent Innovation</w:t>
            </w:r>
            <w:r w:rsidRPr="00793A69">
              <w:rPr>
                <w:noProof/>
                <w:webHidden/>
                <w:rFonts w:ascii="Arial" w:cs="Arial" w:hAnsi="Arial"/>
              </w:rPr>
              <w:tab/>
            </w:r>
            <w:r w:rsidRPr="00793A69">
              <w:rPr>
                <w:noProof/>
                <w:webHidden/>
                <w:rFonts w:ascii="Arial" w:cs="Arial" w:hAnsi="Arial"/>
              </w:rPr>
              <w:fldChar w:fldCharType="begin"/>
            </w:r>
            <w:r w:rsidRPr="00793A69">
              <w:rPr>
                <w:noProof/>
                <w:webHidden/>
                <w:rFonts w:ascii="Arial" w:cs="Arial" w:hAnsi="Arial"/>
              </w:rPr>
              <w:instrText xml:space="preserve"> PAGEREF _Toc211874333 \h </w:instrText>
            </w:r>
            <w:r w:rsidRPr="00793A69">
              <w:rPr>
                <w:noProof/>
                <w:webHidden/>
                <w:rFonts w:ascii="Arial" w:cs="Arial" w:hAnsi="Arial"/>
              </w:rPr>
            </w:r>
            <w:r w:rsidRPr="00793A69">
              <w:rPr>
                <w:noProof/>
                <w:webHidden/>
                <w:rFonts w:ascii="Arial" w:cs="Arial" w:hAnsi="Arial"/>
              </w:rPr>
              <w:fldChar w:fldCharType="separate"/>
            </w:r>
            <w:r w:rsidRPr="00793A69">
              <w:rPr>
                <w:noProof/>
                <w:webHidden/>
                <w:rFonts w:ascii="Arial" w:cs="Arial" w:hAnsi="Arial"/>
              </w:rPr>
              <w:t>4</w:t>
            </w:r>
            <w:r w:rsidRPr="00793A69">
              <w:rPr>
                <w:noProof/>
                <w:webHidden/>
                <w:rFonts w:ascii="Arial" w:cs="Arial" w:hAnsi="Arial"/>
              </w:rPr>
              <w:fldChar w:fldCharType="end"/>
            </w:r>
          </w:hyperlink>
        </w:p>
        <w:p w:rsidR="00793A69" w:rsidRDefault="00793A69" w14:paraId="0946A272" w14:textId="234AFCBE" w:rsidRPr="00793A69">
          <w:pPr>
            <w:pStyle w:val="TOC3"/>
            <w:tabs>
              <w:tab w:val="left" w:pos="960"/>
              <w:tab w:val="right" w:leader="dot" w:pos="9016"/>
            </w:tabs>
            <w:rPr>
              <w:noProof/>
              <w:kern w:val="2"/>
              <w:lang w:val="en-GB" w:eastAsia="en-GB"/>
              <w14:ligatures w14:val="standardContextual"/>
              <w:rFonts w:ascii="Arial" w:cs="Arial" w:hAnsi="Arial" w:eastAsiaTheme="minorEastAsia"/>
              <w:sz w:val="24"/>
              <w:szCs w:val="24"/>
            </w:rPr>
          </w:pPr>
          <w:hyperlink w:anchor="_Toc211874334" w:history="1">
            <w:r w:rsidRPr="00793A69">
              <w:rPr>
                <w:noProof/>
                <w:lang w:val="en-US"/>
                <w:rStyle w:val="Hyperlink"/>
                <w:rFonts w:ascii="Arial" w:cs="Arial" w:hAnsi="Arial"/>
              </w:rPr>
              <w:t>3.</w:t>
            </w:r>
            <w:r w:rsidRPr="00793A69">
              <w:rPr>
                <w:noProof/>
                <w:kern w:val="2"/>
                <w:lang w:val="en-GB" w:eastAsia="en-GB"/>
                <w14:ligatures w14:val="standardContextual"/>
                <w:rFonts w:ascii="Arial" w:cs="Arial" w:hAnsi="Arial" w:eastAsiaTheme="minorEastAsia"/>
                <w:sz w:val="24"/>
                <w:szCs w:val="24"/>
              </w:rPr>
              <w:tab/>
            </w:r>
            <w:r w:rsidRPr="00793A69">
              <w:rPr>
                <w:noProof/>
                <w:lang w:val="en-US"/>
                <w:rStyle w:val="Hyperlink"/>
                <w:rFonts w:ascii="Arial" w:cs="Arial" w:hAnsi="Arial"/>
              </w:rPr>
              <w:t>Transformational Innovation</w:t>
            </w:r>
            <w:r w:rsidRPr="00793A69">
              <w:rPr>
                <w:noProof/>
                <w:webHidden/>
                <w:rFonts w:ascii="Arial" w:cs="Arial" w:hAnsi="Arial"/>
              </w:rPr>
              <w:tab/>
            </w:r>
            <w:r w:rsidRPr="00793A69">
              <w:rPr>
                <w:noProof/>
                <w:webHidden/>
                <w:rFonts w:ascii="Arial" w:cs="Arial" w:hAnsi="Arial"/>
              </w:rPr>
              <w:fldChar w:fldCharType="begin"/>
            </w:r>
            <w:r w:rsidRPr="00793A69">
              <w:rPr>
                <w:noProof/>
                <w:webHidden/>
                <w:rFonts w:ascii="Arial" w:cs="Arial" w:hAnsi="Arial"/>
              </w:rPr>
              <w:instrText xml:space="preserve"> PAGEREF _Toc211874334 \h </w:instrText>
            </w:r>
            <w:r w:rsidRPr="00793A69">
              <w:rPr>
                <w:noProof/>
                <w:webHidden/>
                <w:rFonts w:ascii="Arial" w:cs="Arial" w:hAnsi="Arial"/>
              </w:rPr>
            </w:r>
            <w:r w:rsidRPr="00793A69">
              <w:rPr>
                <w:noProof/>
                <w:webHidden/>
                <w:rFonts w:ascii="Arial" w:cs="Arial" w:hAnsi="Arial"/>
              </w:rPr>
              <w:fldChar w:fldCharType="separate"/>
            </w:r>
            <w:r w:rsidRPr="00793A69">
              <w:rPr>
                <w:noProof/>
                <w:webHidden/>
                <w:rFonts w:ascii="Arial" w:cs="Arial" w:hAnsi="Arial"/>
              </w:rPr>
              <w:t>5</w:t>
            </w:r>
            <w:r w:rsidRPr="00793A69">
              <w:rPr>
                <w:noProof/>
                <w:webHidden/>
                <w:rFonts w:ascii="Arial" w:cs="Arial" w:hAnsi="Arial"/>
              </w:rPr>
              <w:fldChar w:fldCharType="end"/>
            </w:r>
          </w:hyperlink>
        </w:p>
        <w:p w:rsidR="00793A69" w:rsidRDefault="00793A69" w14:paraId="75D2AC7A" w14:textId="2CEA6844" w:rsidRPr="00793A69">
          <w:pPr>
            <w:pStyle w:val="TOC2"/>
            <w:tabs>
              <w:tab w:val="right" w:leader="dot" w:pos="9016"/>
            </w:tabs>
            <w:rPr>
              <w:noProof/>
              <w:kern w:val="2"/>
              <w:lang w:val="en-GB" w:eastAsia="en-GB"/>
              <w14:ligatures w14:val="standardContextual"/>
              <w:rFonts w:ascii="Arial" w:cs="Arial" w:hAnsi="Arial" w:eastAsiaTheme="minorEastAsia"/>
              <w:sz w:val="24"/>
              <w:szCs w:val="24"/>
            </w:rPr>
          </w:pPr>
          <w:hyperlink w:anchor="_Toc211874335" w:history="1">
            <w:r w:rsidRPr="00793A69">
              <w:rPr>
                <w:noProof/>
                <w:lang w:val="en-US"/>
                <w:rStyle w:val="Hyperlink"/>
                <w:rFonts w:ascii="Arial" w:cs="Arial" w:hAnsi="Arial"/>
              </w:rPr>
              <w:t>Part 1.2: Customer Journey Mapping</w:t>
            </w:r>
            <w:r w:rsidRPr="00793A69">
              <w:rPr>
                <w:noProof/>
                <w:webHidden/>
                <w:rFonts w:ascii="Arial" w:cs="Arial" w:hAnsi="Arial"/>
              </w:rPr>
              <w:tab/>
            </w:r>
            <w:r w:rsidRPr="00793A69">
              <w:rPr>
                <w:noProof/>
                <w:webHidden/>
                <w:rFonts w:ascii="Arial" w:cs="Arial" w:hAnsi="Arial"/>
              </w:rPr>
              <w:fldChar w:fldCharType="begin"/>
            </w:r>
            <w:r w:rsidRPr="00793A69">
              <w:rPr>
                <w:noProof/>
                <w:webHidden/>
                <w:rFonts w:ascii="Arial" w:cs="Arial" w:hAnsi="Arial"/>
              </w:rPr>
              <w:instrText xml:space="preserve"> PAGEREF _Toc211874335 \h </w:instrText>
            </w:r>
            <w:r w:rsidRPr="00793A69">
              <w:rPr>
                <w:noProof/>
                <w:webHidden/>
                <w:rFonts w:ascii="Arial" w:cs="Arial" w:hAnsi="Arial"/>
              </w:rPr>
            </w:r>
            <w:r w:rsidRPr="00793A69">
              <w:rPr>
                <w:noProof/>
                <w:webHidden/>
                <w:rFonts w:ascii="Arial" w:cs="Arial" w:hAnsi="Arial"/>
              </w:rPr>
              <w:fldChar w:fldCharType="separate"/>
            </w:r>
            <w:r w:rsidRPr="00793A69">
              <w:rPr>
                <w:noProof/>
                <w:webHidden/>
                <w:rFonts w:ascii="Arial" w:cs="Arial" w:hAnsi="Arial"/>
              </w:rPr>
              <w:t>6</w:t>
            </w:r>
            <w:r w:rsidRPr="00793A69">
              <w:rPr>
                <w:noProof/>
                <w:webHidden/>
                <w:rFonts w:ascii="Arial" w:cs="Arial" w:hAnsi="Arial"/>
              </w:rPr>
              <w:fldChar w:fldCharType="end"/>
            </w:r>
          </w:hyperlink>
        </w:p>
        <w:p w:rsidR="00793A69" w:rsidRDefault="00793A69" w14:paraId="2E2FC5F3" w14:textId="47855F0A" w:rsidRPr="00793A69">
          <w:pPr>
            <w:pStyle w:val="TOC3"/>
            <w:tabs>
              <w:tab w:val="right" w:leader="dot" w:pos="9016"/>
            </w:tabs>
            <w:rPr>
              <w:noProof/>
              <w:kern w:val="2"/>
              <w:lang w:val="en-GB" w:eastAsia="en-GB"/>
              <w14:ligatures w14:val="standardContextual"/>
              <w:rFonts w:ascii="Arial" w:cs="Arial" w:hAnsi="Arial" w:eastAsiaTheme="minorEastAsia"/>
              <w:sz w:val="24"/>
              <w:szCs w:val="24"/>
            </w:rPr>
          </w:pPr>
          <w:hyperlink w:anchor="_Toc211874336" w:history="1">
            <w:r w:rsidRPr="00793A69">
              <w:rPr>
                <w:noProof/>
                <w:lang w:val="en-US"/>
                <w:rStyle w:val="Hyperlink"/>
                <w:rFonts w:ascii="Arial" w:cs="Arial" w:hAnsi="Arial"/>
              </w:rPr>
              <w:t>Stage 1: Awareness</w:t>
            </w:r>
            <w:r w:rsidRPr="00793A69">
              <w:rPr>
                <w:noProof/>
                <w:webHidden/>
                <w:rFonts w:ascii="Arial" w:cs="Arial" w:hAnsi="Arial"/>
              </w:rPr>
              <w:tab/>
            </w:r>
            <w:r w:rsidRPr="00793A69">
              <w:rPr>
                <w:noProof/>
                <w:webHidden/>
                <w:rFonts w:ascii="Arial" w:cs="Arial" w:hAnsi="Arial"/>
              </w:rPr>
              <w:fldChar w:fldCharType="begin"/>
            </w:r>
            <w:r w:rsidRPr="00793A69">
              <w:rPr>
                <w:noProof/>
                <w:webHidden/>
                <w:rFonts w:ascii="Arial" w:cs="Arial" w:hAnsi="Arial"/>
              </w:rPr>
              <w:instrText xml:space="preserve"> PAGEREF _Toc211874336 \h </w:instrText>
            </w:r>
            <w:r w:rsidRPr="00793A69">
              <w:rPr>
                <w:noProof/>
                <w:webHidden/>
                <w:rFonts w:ascii="Arial" w:cs="Arial" w:hAnsi="Arial"/>
              </w:rPr>
            </w:r>
            <w:r w:rsidRPr="00793A69">
              <w:rPr>
                <w:noProof/>
                <w:webHidden/>
                <w:rFonts w:ascii="Arial" w:cs="Arial" w:hAnsi="Arial"/>
              </w:rPr>
              <w:fldChar w:fldCharType="separate"/>
            </w:r>
            <w:r w:rsidRPr="00793A69">
              <w:rPr>
                <w:noProof/>
                <w:webHidden/>
                <w:rFonts w:ascii="Arial" w:cs="Arial" w:hAnsi="Arial"/>
              </w:rPr>
              <w:t>6</w:t>
            </w:r>
            <w:r w:rsidRPr="00793A69">
              <w:rPr>
                <w:noProof/>
                <w:webHidden/>
                <w:rFonts w:ascii="Arial" w:cs="Arial" w:hAnsi="Arial"/>
              </w:rPr>
              <w:fldChar w:fldCharType="end"/>
            </w:r>
          </w:hyperlink>
        </w:p>
        <w:p w:rsidR="00793A69" w:rsidRDefault="00793A69" w14:paraId="79C9B80A" w14:textId="125CE900" w:rsidRPr="00793A69">
          <w:pPr>
            <w:pStyle w:val="TOC3"/>
            <w:tabs>
              <w:tab w:val="right" w:leader="dot" w:pos="9016"/>
            </w:tabs>
            <w:rPr>
              <w:noProof/>
              <w:kern w:val="2"/>
              <w:lang w:val="en-GB" w:eastAsia="en-GB"/>
              <w14:ligatures w14:val="standardContextual"/>
              <w:rFonts w:ascii="Arial" w:cs="Arial" w:hAnsi="Arial" w:eastAsiaTheme="minorEastAsia"/>
              <w:sz w:val="24"/>
              <w:szCs w:val="24"/>
            </w:rPr>
          </w:pPr>
          <w:hyperlink w:anchor="_Toc211874337" w:history="1">
            <w:r w:rsidRPr="00793A69">
              <w:rPr>
                <w:noProof/>
                <w:lang w:val="en-US"/>
                <w:rStyle w:val="Hyperlink"/>
                <w:rFonts w:ascii="Arial" w:cs="Arial" w:hAnsi="Arial"/>
              </w:rPr>
              <w:t>Stage 2: Consideration</w:t>
            </w:r>
            <w:r w:rsidRPr="00793A69">
              <w:rPr>
                <w:noProof/>
                <w:webHidden/>
                <w:rFonts w:ascii="Arial" w:cs="Arial" w:hAnsi="Arial"/>
              </w:rPr>
              <w:tab/>
            </w:r>
            <w:r w:rsidRPr="00793A69">
              <w:rPr>
                <w:noProof/>
                <w:webHidden/>
                <w:rFonts w:ascii="Arial" w:cs="Arial" w:hAnsi="Arial"/>
              </w:rPr>
              <w:fldChar w:fldCharType="begin"/>
            </w:r>
            <w:r w:rsidRPr="00793A69">
              <w:rPr>
                <w:noProof/>
                <w:webHidden/>
                <w:rFonts w:ascii="Arial" w:cs="Arial" w:hAnsi="Arial"/>
              </w:rPr>
              <w:instrText xml:space="preserve"> PAGEREF _Toc211874337 \h </w:instrText>
            </w:r>
            <w:r w:rsidRPr="00793A69">
              <w:rPr>
                <w:noProof/>
                <w:webHidden/>
                <w:rFonts w:ascii="Arial" w:cs="Arial" w:hAnsi="Arial"/>
              </w:rPr>
            </w:r>
            <w:r w:rsidRPr="00793A69">
              <w:rPr>
                <w:noProof/>
                <w:webHidden/>
                <w:rFonts w:ascii="Arial" w:cs="Arial" w:hAnsi="Arial"/>
              </w:rPr>
              <w:fldChar w:fldCharType="separate"/>
            </w:r>
            <w:r w:rsidRPr="00793A69">
              <w:rPr>
                <w:noProof/>
                <w:webHidden/>
                <w:rFonts w:ascii="Arial" w:cs="Arial" w:hAnsi="Arial"/>
              </w:rPr>
              <w:t>6</w:t>
            </w:r>
            <w:r w:rsidRPr="00793A69">
              <w:rPr>
                <w:noProof/>
                <w:webHidden/>
                <w:rFonts w:ascii="Arial" w:cs="Arial" w:hAnsi="Arial"/>
              </w:rPr>
              <w:fldChar w:fldCharType="end"/>
            </w:r>
          </w:hyperlink>
        </w:p>
        <w:p w:rsidR="00793A69" w:rsidRDefault="00793A69" w14:paraId="4AA663C0" w14:textId="2C5CE573" w:rsidRPr="00793A69">
          <w:pPr>
            <w:pStyle w:val="TOC3"/>
            <w:tabs>
              <w:tab w:val="right" w:leader="dot" w:pos="9016"/>
            </w:tabs>
            <w:rPr>
              <w:noProof/>
              <w:kern w:val="2"/>
              <w:lang w:val="en-GB" w:eastAsia="en-GB"/>
              <w14:ligatures w14:val="standardContextual"/>
              <w:rFonts w:ascii="Arial" w:cs="Arial" w:hAnsi="Arial" w:eastAsiaTheme="minorEastAsia"/>
              <w:sz w:val="24"/>
              <w:szCs w:val="24"/>
            </w:rPr>
          </w:pPr>
          <w:hyperlink w:anchor="_Toc211874338" w:history="1">
            <w:r w:rsidRPr="00793A69">
              <w:rPr>
                <w:noProof/>
                <w:lang w:val="en-US"/>
                <w:rStyle w:val="Hyperlink"/>
                <w:rFonts w:ascii="Arial" w:cs="Arial" w:hAnsi="Arial"/>
              </w:rPr>
              <w:t>Stage 3: Purchase</w:t>
            </w:r>
            <w:r w:rsidRPr="00793A69">
              <w:rPr>
                <w:noProof/>
                <w:webHidden/>
                <w:rFonts w:ascii="Arial" w:cs="Arial" w:hAnsi="Arial"/>
              </w:rPr>
              <w:tab/>
            </w:r>
            <w:r w:rsidRPr="00793A69">
              <w:rPr>
                <w:noProof/>
                <w:webHidden/>
                <w:rFonts w:ascii="Arial" w:cs="Arial" w:hAnsi="Arial"/>
              </w:rPr>
              <w:fldChar w:fldCharType="begin"/>
            </w:r>
            <w:r w:rsidRPr="00793A69">
              <w:rPr>
                <w:noProof/>
                <w:webHidden/>
                <w:rFonts w:ascii="Arial" w:cs="Arial" w:hAnsi="Arial"/>
              </w:rPr>
              <w:instrText xml:space="preserve"> PAGEREF _Toc211874338 \h </w:instrText>
            </w:r>
            <w:r w:rsidRPr="00793A69">
              <w:rPr>
                <w:noProof/>
                <w:webHidden/>
                <w:rFonts w:ascii="Arial" w:cs="Arial" w:hAnsi="Arial"/>
              </w:rPr>
            </w:r>
            <w:r w:rsidRPr="00793A69">
              <w:rPr>
                <w:noProof/>
                <w:webHidden/>
                <w:rFonts w:ascii="Arial" w:cs="Arial" w:hAnsi="Arial"/>
              </w:rPr>
              <w:fldChar w:fldCharType="separate"/>
            </w:r>
            <w:r w:rsidRPr="00793A69">
              <w:rPr>
                <w:noProof/>
                <w:webHidden/>
                <w:rFonts w:ascii="Arial" w:cs="Arial" w:hAnsi="Arial"/>
              </w:rPr>
              <w:t>6</w:t>
            </w:r>
            <w:r w:rsidRPr="00793A69">
              <w:rPr>
                <w:noProof/>
                <w:webHidden/>
                <w:rFonts w:ascii="Arial" w:cs="Arial" w:hAnsi="Arial"/>
              </w:rPr>
              <w:fldChar w:fldCharType="end"/>
            </w:r>
          </w:hyperlink>
        </w:p>
        <w:p w:rsidR="00793A69" w:rsidRDefault="00793A69" w14:paraId="6C4D8A00" w14:textId="2EB5A9A7" w:rsidRPr="00793A69">
          <w:pPr>
            <w:pStyle w:val="TOC3"/>
            <w:tabs>
              <w:tab w:val="right" w:leader="dot" w:pos="9016"/>
            </w:tabs>
            <w:rPr>
              <w:noProof/>
              <w:kern w:val="2"/>
              <w:lang w:val="en-GB" w:eastAsia="en-GB"/>
              <w14:ligatures w14:val="standardContextual"/>
              <w:rFonts w:ascii="Arial" w:cs="Arial" w:hAnsi="Arial" w:eastAsiaTheme="minorEastAsia"/>
              <w:sz w:val="24"/>
              <w:szCs w:val="24"/>
            </w:rPr>
          </w:pPr>
          <w:hyperlink w:anchor="_Toc211874339" w:history="1">
            <w:r w:rsidRPr="00793A69">
              <w:rPr>
                <w:noProof/>
                <w:lang w:val="en-US"/>
                <w:rStyle w:val="Hyperlink"/>
                <w:rFonts w:ascii="Arial" w:cs="Arial" w:hAnsi="Arial"/>
              </w:rPr>
              <w:t>Stage 4: Post-Purchase</w:t>
            </w:r>
            <w:r w:rsidRPr="00793A69">
              <w:rPr>
                <w:noProof/>
                <w:webHidden/>
                <w:rFonts w:ascii="Arial" w:cs="Arial" w:hAnsi="Arial"/>
              </w:rPr>
              <w:tab/>
            </w:r>
            <w:r w:rsidRPr="00793A69">
              <w:rPr>
                <w:noProof/>
                <w:webHidden/>
                <w:rFonts w:ascii="Arial" w:cs="Arial" w:hAnsi="Arial"/>
              </w:rPr>
              <w:fldChar w:fldCharType="begin"/>
            </w:r>
            <w:r w:rsidRPr="00793A69">
              <w:rPr>
                <w:noProof/>
                <w:webHidden/>
                <w:rFonts w:ascii="Arial" w:cs="Arial" w:hAnsi="Arial"/>
              </w:rPr>
              <w:instrText xml:space="preserve"> PAGEREF _Toc211874339 \h </w:instrText>
            </w:r>
            <w:r w:rsidRPr="00793A69">
              <w:rPr>
                <w:noProof/>
                <w:webHidden/>
                <w:rFonts w:ascii="Arial" w:cs="Arial" w:hAnsi="Arial"/>
              </w:rPr>
            </w:r>
            <w:r w:rsidRPr="00793A69">
              <w:rPr>
                <w:noProof/>
                <w:webHidden/>
                <w:rFonts w:ascii="Arial" w:cs="Arial" w:hAnsi="Arial"/>
              </w:rPr>
              <w:fldChar w:fldCharType="separate"/>
            </w:r>
            <w:r w:rsidRPr="00793A69">
              <w:rPr>
                <w:noProof/>
                <w:webHidden/>
                <w:rFonts w:ascii="Arial" w:cs="Arial" w:hAnsi="Arial"/>
              </w:rPr>
              <w:t>7</w:t>
            </w:r>
            <w:r w:rsidRPr="00793A69">
              <w:rPr>
                <w:noProof/>
                <w:webHidden/>
                <w:rFonts w:ascii="Arial" w:cs="Arial" w:hAnsi="Arial"/>
              </w:rPr>
              <w:fldChar w:fldCharType="end"/>
            </w:r>
          </w:hyperlink>
        </w:p>
        <w:p w:rsidR="00793A69" w:rsidRDefault="00793A69" w14:paraId="75B40640" w14:textId="76F9E6E0" w:rsidRPr="00793A69">
          <w:pPr>
            <w:pStyle w:val="TOC3"/>
            <w:tabs>
              <w:tab w:val="right" w:leader="dot" w:pos="9016"/>
            </w:tabs>
            <w:rPr>
              <w:noProof/>
              <w:kern w:val="2"/>
              <w:lang w:val="en-GB" w:eastAsia="en-GB"/>
              <w14:ligatures w14:val="standardContextual"/>
              <w:rFonts w:ascii="Arial" w:cs="Arial" w:hAnsi="Arial" w:eastAsiaTheme="minorEastAsia"/>
              <w:sz w:val="24"/>
              <w:szCs w:val="24"/>
            </w:rPr>
          </w:pPr>
          <w:hyperlink w:anchor="_Toc211874340" w:history="1">
            <w:r w:rsidRPr="00793A69">
              <w:rPr>
                <w:noProof/>
                <w:lang w:val="en-US"/>
                <w:rStyle w:val="Hyperlink"/>
                <w:rFonts w:ascii="Arial" w:cs="Arial" w:hAnsi="Arial"/>
              </w:rPr>
              <w:t>Stage 5: Retention</w:t>
            </w:r>
            <w:r w:rsidRPr="00793A69">
              <w:rPr>
                <w:noProof/>
                <w:webHidden/>
                <w:rFonts w:ascii="Arial" w:cs="Arial" w:hAnsi="Arial"/>
              </w:rPr>
              <w:tab/>
            </w:r>
            <w:r w:rsidRPr="00793A69">
              <w:rPr>
                <w:noProof/>
                <w:webHidden/>
                <w:rFonts w:ascii="Arial" w:cs="Arial" w:hAnsi="Arial"/>
              </w:rPr>
              <w:fldChar w:fldCharType="begin"/>
            </w:r>
            <w:r w:rsidRPr="00793A69">
              <w:rPr>
                <w:noProof/>
                <w:webHidden/>
                <w:rFonts w:ascii="Arial" w:cs="Arial" w:hAnsi="Arial"/>
              </w:rPr>
              <w:instrText xml:space="preserve"> PAGEREF _Toc211874340 \h </w:instrText>
            </w:r>
            <w:r w:rsidRPr="00793A69">
              <w:rPr>
                <w:noProof/>
                <w:webHidden/>
                <w:rFonts w:ascii="Arial" w:cs="Arial" w:hAnsi="Arial"/>
              </w:rPr>
            </w:r>
            <w:r w:rsidRPr="00793A69">
              <w:rPr>
                <w:noProof/>
                <w:webHidden/>
                <w:rFonts w:ascii="Arial" w:cs="Arial" w:hAnsi="Arial"/>
              </w:rPr>
              <w:fldChar w:fldCharType="separate"/>
            </w:r>
            <w:r w:rsidRPr="00793A69">
              <w:rPr>
                <w:noProof/>
                <w:webHidden/>
                <w:rFonts w:ascii="Arial" w:cs="Arial" w:hAnsi="Arial"/>
              </w:rPr>
              <w:t>7</w:t>
            </w:r>
            <w:r w:rsidRPr="00793A69">
              <w:rPr>
                <w:noProof/>
                <w:webHidden/>
                <w:rFonts w:ascii="Arial" w:cs="Arial" w:hAnsi="Arial"/>
              </w:rPr>
              <w:fldChar w:fldCharType="end"/>
            </w:r>
          </w:hyperlink>
        </w:p>
        <w:p w:rsidR="00793A69" w:rsidRDefault="00793A69" w14:paraId="1660C6F4" w14:textId="65C59776" w:rsidRPr="00793A69">
          <w:pPr>
            <w:pStyle w:val="TOC1"/>
            <w:tabs>
              <w:tab w:val="right" w:leader="dot" w:pos="9016"/>
            </w:tabs>
            <w:rPr>
              <w:noProof/>
              <w:kern w:val="2"/>
              <w:lang w:val="en-GB" w:eastAsia="en-GB"/>
              <w14:ligatures w14:val="standardContextual"/>
              <w:rFonts w:ascii="Arial" w:cs="Arial" w:hAnsi="Arial" w:eastAsiaTheme="minorEastAsia"/>
              <w:sz w:val="24"/>
              <w:szCs w:val="24"/>
            </w:rPr>
          </w:pPr>
          <w:hyperlink w:anchor="_Toc211874341" w:history="1">
            <w:r w:rsidRPr="00793A69">
              <w:rPr>
                <w:noProof/>
                <w:lang w:val="en-US"/>
                <w:rStyle w:val="Hyperlink"/>
                <w:rFonts w:ascii="Arial" w:cs="Arial" w:hAnsi="Arial"/>
              </w:rPr>
              <w:t>Part 2: Proposing a Digital Transformation Initiative</w:t>
            </w:r>
            <w:r w:rsidRPr="00793A69">
              <w:rPr>
                <w:noProof/>
                <w:webHidden/>
                <w:rFonts w:ascii="Arial" w:cs="Arial" w:hAnsi="Arial"/>
              </w:rPr>
              <w:tab/>
            </w:r>
            <w:r w:rsidRPr="00793A69">
              <w:rPr>
                <w:noProof/>
                <w:webHidden/>
                <w:rFonts w:ascii="Arial" w:cs="Arial" w:hAnsi="Arial"/>
              </w:rPr>
              <w:fldChar w:fldCharType="begin"/>
            </w:r>
            <w:r w:rsidRPr="00793A69">
              <w:rPr>
                <w:noProof/>
                <w:webHidden/>
                <w:rFonts w:ascii="Arial" w:cs="Arial" w:hAnsi="Arial"/>
              </w:rPr>
              <w:instrText xml:space="preserve"> PAGEREF _Toc211874341 \h </w:instrText>
            </w:r>
            <w:r w:rsidRPr="00793A69">
              <w:rPr>
                <w:noProof/>
                <w:webHidden/>
                <w:rFonts w:ascii="Arial" w:cs="Arial" w:hAnsi="Arial"/>
              </w:rPr>
            </w:r>
            <w:r w:rsidRPr="00793A69">
              <w:rPr>
                <w:noProof/>
                <w:webHidden/>
                <w:rFonts w:ascii="Arial" w:cs="Arial" w:hAnsi="Arial"/>
              </w:rPr>
              <w:fldChar w:fldCharType="separate"/>
            </w:r>
            <w:r w:rsidRPr="00793A69">
              <w:rPr>
                <w:noProof/>
                <w:webHidden/>
                <w:rFonts w:ascii="Arial" w:cs="Arial" w:hAnsi="Arial"/>
              </w:rPr>
              <w:t>8</w:t>
            </w:r>
            <w:r w:rsidRPr="00793A69">
              <w:rPr>
                <w:noProof/>
                <w:webHidden/>
                <w:rFonts w:ascii="Arial" w:cs="Arial" w:hAnsi="Arial"/>
              </w:rPr>
              <w:fldChar w:fldCharType="end"/>
            </w:r>
          </w:hyperlink>
        </w:p>
        <w:p w:rsidR="00793A69" w:rsidRDefault="00793A69" w14:paraId="19BD424E" w14:textId="725B0267" w:rsidRPr="00793A69">
          <w:pPr>
            <w:pStyle w:val="TOC2"/>
            <w:tabs>
              <w:tab w:val="right" w:leader="dot" w:pos="9016"/>
            </w:tabs>
            <w:rPr>
              <w:noProof/>
              <w:kern w:val="2"/>
              <w:lang w:val="en-GB" w:eastAsia="en-GB"/>
              <w14:ligatures w14:val="standardContextual"/>
              <w:rFonts w:ascii="Arial" w:cs="Arial" w:hAnsi="Arial" w:eastAsiaTheme="minorEastAsia"/>
              <w:sz w:val="24"/>
              <w:szCs w:val="24"/>
            </w:rPr>
          </w:pPr>
          <w:hyperlink w:anchor="_Toc211874342" w:history="1">
            <w:r w:rsidRPr="00793A69">
              <w:rPr>
                <w:noProof/>
                <w:lang w:val="en-US"/>
                <w:rStyle w:val="Hyperlink"/>
                <w:rFonts w:ascii="Arial" w:cs="Arial" w:hAnsi="Arial"/>
              </w:rPr>
              <w:t>Step 1: Identifying the Core Problem</w:t>
            </w:r>
            <w:r w:rsidRPr="00793A69">
              <w:rPr>
                <w:noProof/>
                <w:webHidden/>
                <w:rFonts w:ascii="Arial" w:cs="Arial" w:hAnsi="Arial"/>
              </w:rPr>
              <w:tab/>
            </w:r>
            <w:r w:rsidRPr="00793A69">
              <w:rPr>
                <w:noProof/>
                <w:webHidden/>
                <w:rFonts w:ascii="Arial" w:cs="Arial" w:hAnsi="Arial"/>
              </w:rPr>
              <w:fldChar w:fldCharType="begin"/>
            </w:r>
            <w:r w:rsidRPr="00793A69">
              <w:rPr>
                <w:noProof/>
                <w:webHidden/>
                <w:rFonts w:ascii="Arial" w:cs="Arial" w:hAnsi="Arial"/>
              </w:rPr>
              <w:instrText xml:space="preserve"> PAGEREF _Toc211874342 \h </w:instrText>
            </w:r>
            <w:r w:rsidRPr="00793A69">
              <w:rPr>
                <w:noProof/>
                <w:webHidden/>
                <w:rFonts w:ascii="Arial" w:cs="Arial" w:hAnsi="Arial"/>
              </w:rPr>
            </w:r>
            <w:r w:rsidRPr="00793A69">
              <w:rPr>
                <w:noProof/>
                <w:webHidden/>
                <w:rFonts w:ascii="Arial" w:cs="Arial" w:hAnsi="Arial"/>
              </w:rPr>
              <w:fldChar w:fldCharType="separate"/>
            </w:r>
            <w:r w:rsidRPr="00793A69">
              <w:rPr>
                <w:noProof/>
                <w:webHidden/>
                <w:rFonts w:ascii="Arial" w:cs="Arial" w:hAnsi="Arial"/>
              </w:rPr>
              <w:t>8</w:t>
            </w:r>
            <w:r w:rsidRPr="00793A69">
              <w:rPr>
                <w:noProof/>
                <w:webHidden/>
                <w:rFonts w:ascii="Arial" w:cs="Arial" w:hAnsi="Arial"/>
              </w:rPr>
              <w:fldChar w:fldCharType="end"/>
            </w:r>
          </w:hyperlink>
        </w:p>
        <w:p w:rsidR="00793A69" w:rsidRDefault="00793A69" w14:paraId="0CA55EA4" w14:textId="2177B1D3" w:rsidRPr="00793A69">
          <w:pPr>
            <w:pStyle w:val="TOC2"/>
            <w:tabs>
              <w:tab w:val="right" w:leader="dot" w:pos="9016"/>
            </w:tabs>
            <w:rPr>
              <w:noProof/>
              <w:kern w:val="2"/>
              <w:lang w:val="en-GB" w:eastAsia="en-GB"/>
              <w14:ligatures w14:val="standardContextual"/>
              <w:rFonts w:ascii="Arial" w:cs="Arial" w:hAnsi="Arial" w:eastAsiaTheme="minorEastAsia"/>
              <w:sz w:val="24"/>
              <w:szCs w:val="24"/>
            </w:rPr>
          </w:pPr>
          <w:hyperlink w:anchor="_Toc211874343" w:history="1">
            <w:r w:rsidRPr="00793A69">
              <w:rPr>
                <w:noProof/>
                <w:lang w:val="en-US"/>
                <w:rStyle w:val="Hyperlink"/>
                <w:rFonts w:ascii="Arial" w:cs="Arial" w:hAnsi="Arial"/>
              </w:rPr>
              <w:t>Step 2: Developing the Digital Solution – The Barclays Smart Path</w:t>
            </w:r>
            <w:r w:rsidRPr="00793A69">
              <w:rPr>
                <w:noProof/>
                <w:webHidden/>
                <w:rFonts w:ascii="Arial" w:cs="Arial" w:hAnsi="Arial"/>
              </w:rPr>
              <w:tab/>
            </w:r>
            <w:r w:rsidRPr="00793A69">
              <w:rPr>
                <w:noProof/>
                <w:webHidden/>
                <w:rFonts w:ascii="Arial" w:cs="Arial" w:hAnsi="Arial"/>
              </w:rPr>
              <w:fldChar w:fldCharType="begin"/>
            </w:r>
            <w:r w:rsidRPr="00793A69">
              <w:rPr>
                <w:noProof/>
                <w:webHidden/>
                <w:rFonts w:ascii="Arial" w:cs="Arial" w:hAnsi="Arial"/>
              </w:rPr>
              <w:instrText xml:space="preserve"> PAGEREF _Toc211874343 \h </w:instrText>
            </w:r>
            <w:r w:rsidRPr="00793A69">
              <w:rPr>
                <w:noProof/>
                <w:webHidden/>
                <w:rFonts w:ascii="Arial" w:cs="Arial" w:hAnsi="Arial"/>
              </w:rPr>
            </w:r>
            <w:r w:rsidRPr="00793A69">
              <w:rPr>
                <w:noProof/>
                <w:webHidden/>
                <w:rFonts w:ascii="Arial" w:cs="Arial" w:hAnsi="Arial"/>
              </w:rPr>
              <w:fldChar w:fldCharType="separate"/>
            </w:r>
            <w:r w:rsidRPr="00793A69">
              <w:rPr>
                <w:noProof/>
                <w:webHidden/>
                <w:rFonts w:ascii="Arial" w:cs="Arial" w:hAnsi="Arial"/>
              </w:rPr>
              <w:t>9</w:t>
            </w:r>
            <w:r w:rsidRPr="00793A69">
              <w:rPr>
                <w:noProof/>
                <w:webHidden/>
                <w:rFonts w:ascii="Arial" w:cs="Arial" w:hAnsi="Arial"/>
              </w:rPr>
              <w:fldChar w:fldCharType="end"/>
            </w:r>
          </w:hyperlink>
        </w:p>
        <w:p w:rsidR="00793A69" w:rsidRDefault="00793A69" w14:paraId="3F2C64D0" w14:textId="46BE6FF5" w:rsidRPr="00793A69">
          <w:pPr>
            <w:pStyle w:val="TOC2"/>
            <w:tabs>
              <w:tab w:val="right" w:leader="dot" w:pos="9016"/>
            </w:tabs>
            <w:rPr>
              <w:noProof/>
              <w:kern w:val="2"/>
              <w:lang w:val="en-GB" w:eastAsia="en-GB"/>
              <w14:ligatures w14:val="standardContextual"/>
              <w:rFonts w:ascii="Arial" w:cs="Arial" w:hAnsi="Arial" w:eastAsiaTheme="minorEastAsia"/>
              <w:sz w:val="24"/>
              <w:szCs w:val="24"/>
            </w:rPr>
          </w:pPr>
          <w:hyperlink w:anchor="_Toc211874344" w:history="1">
            <w:r w:rsidRPr="00793A69">
              <w:rPr>
                <w:noProof/>
                <w:lang w:val="en-US"/>
                <w:rStyle w:val="Hyperlink"/>
                <w:rFonts w:ascii="Arial" w:cs="Arial" w:hAnsi="Arial"/>
              </w:rPr>
              <w:t>Step 3: Integrating the Barclays Smart Path into the Business Model</w:t>
            </w:r>
            <w:r w:rsidRPr="00793A69">
              <w:rPr>
                <w:noProof/>
                <w:webHidden/>
                <w:rFonts w:ascii="Arial" w:cs="Arial" w:hAnsi="Arial"/>
              </w:rPr>
              <w:tab/>
            </w:r>
            <w:r w:rsidRPr="00793A69">
              <w:rPr>
                <w:noProof/>
                <w:webHidden/>
                <w:rFonts w:ascii="Arial" w:cs="Arial" w:hAnsi="Arial"/>
              </w:rPr>
              <w:fldChar w:fldCharType="begin"/>
            </w:r>
            <w:r w:rsidRPr="00793A69">
              <w:rPr>
                <w:noProof/>
                <w:webHidden/>
                <w:rFonts w:ascii="Arial" w:cs="Arial" w:hAnsi="Arial"/>
              </w:rPr>
              <w:instrText xml:space="preserve"> PAGEREF _Toc211874344 \h </w:instrText>
            </w:r>
            <w:r w:rsidRPr="00793A69">
              <w:rPr>
                <w:noProof/>
                <w:webHidden/>
                <w:rFonts w:ascii="Arial" w:cs="Arial" w:hAnsi="Arial"/>
              </w:rPr>
            </w:r>
            <w:r w:rsidRPr="00793A69">
              <w:rPr>
                <w:noProof/>
                <w:webHidden/>
                <w:rFonts w:ascii="Arial" w:cs="Arial" w:hAnsi="Arial"/>
              </w:rPr>
              <w:fldChar w:fldCharType="separate"/>
            </w:r>
            <w:r w:rsidRPr="00793A69">
              <w:rPr>
                <w:noProof/>
                <w:webHidden/>
                <w:rFonts w:ascii="Arial" w:cs="Arial" w:hAnsi="Arial"/>
              </w:rPr>
              <w:t>10</w:t>
            </w:r>
            <w:r w:rsidRPr="00793A69">
              <w:rPr>
                <w:noProof/>
                <w:webHidden/>
                <w:rFonts w:ascii="Arial" w:cs="Arial" w:hAnsi="Arial"/>
              </w:rPr>
              <w:fldChar w:fldCharType="end"/>
            </w:r>
          </w:hyperlink>
        </w:p>
        <w:p w:rsidR="00793A69" w:rsidRDefault="00793A69" w14:paraId="252451FC" w14:textId="496EA504" w:rsidRPr="00793A69">
          <w:pPr>
            <w:pStyle w:val="TOC2"/>
            <w:tabs>
              <w:tab w:val="right" w:leader="dot" w:pos="9016"/>
            </w:tabs>
            <w:rPr>
              <w:noProof/>
              <w:kern w:val="2"/>
              <w:lang w:val="en-GB" w:eastAsia="en-GB"/>
              <w14:ligatures w14:val="standardContextual"/>
              <w:rFonts w:ascii="Arial" w:cs="Arial" w:hAnsi="Arial" w:eastAsiaTheme="minorEastAsia"/>
              <w:sz w:val="24"/>
              <w:szCs w:val="24"/>
            </w:rPr>
          </w:pPr>
          <w:hyperlink w:anchor="_Toc211874345" w:history="1">
            <w:r w:rsidRPr="00793A69">
              <w:rPr>
                <w:noProof/>
                <w:lang w:val="en-US"/>
                <w:rStyle w:val="Hyperlink"/>
                <w:rFonts w:ascii="Arial" w:cs="Arial" w:hAnsi="Arial"/>
              </w:rPr>
              <w:t>Step 4: Visualising the Updated Customer Journey with the Smart Path</w:t>
            </w:r>
            <w:r w:rsidRPr="00793A69">
              <w:rPr>
                <w:noProof/>
                <w:webHidden/>
                <w:rFonts w:ascii="Arial" w:cs="Arial" w:hAnsi="Arial"/>
              </w:rPr>
              <w:tab/>
            </w:r>
            <w:r w:rsidRPr="00793A69">
              <w:rPr>
                <w:noProof/>
                <w:webHidden/>
                <w:rFonts w:ascii="Arial" w:cs="Arial" w:hAnsi="Arial"/>
              </w:rPr>
              <w:fldChar w:fldCharType="begin"/>
            </w:r>
            <w:r w:rsidRPr="00793A69">
              <w:rPr>
                <w:noProof/>
                <w:webHidden/>
                <w:rFonts w:ascii="Arial" w:cs="Arial" w:hAnsi="Arial"/>
              </w:rPr>
              <w:instrText xml:space="preserve"> PAGEREF _Toc211874345 \h </w:instrText>
            </w:r>
            <w:r w:rsidRPr="00793A69">
              <w:rPr>
                <w:noProof/>
                <w:webHidden/>
                <w:rFonts w:ascii="Arial" w:cs="Arial" w:hAnsi="Arial"/>
              </w:rPr>
            </w:r>
            <w:r w:rsidRPr="00793A69">
              <w:rPr>
                <w:noProof/>
                <w:webHidden/>
                <w:rFonts w:ascii="Arial" w:cs="Arial" w:hAnsi="Arial"/>
              </w:rPr>
              <w:fldChar w:fldCharType="separate"/>
            </w:r>
            <w:r w:rsidRPr="00793A69">
              <w:rPr>
                <w:noProof/>
                <w:webHidden/>
                <w:rFonts w:ascii="Arial" w:cs="Arial" w:hAnsi="Arial"/>
              </w:rPr>
              <w:t>11</w:t>
            </w:r>
            <w:r w:rsidRPr="00793A69">
              <w:rPr>
                <w:noProof/>
                <w:webHidden/>
                <w:rFonts w:ascii="Arial" w:cs="Arial" w:hAnsi="Arial"/>
              </w:rPr>
              <w:fldChar w:fldCharType="end"/>
            </w:r>
          </w:hyperlink>
        </w:p>
        <w:p w:rsidR="00793A69" w:rsidRDefault="00793A69" w14:paraId="7D6A02E4" w14:textId="5F9B0FFA" w:rsidRPr="00793A69">
          <w:pPr>
            <w:pStyle w:val="TOC1"/>
            <w:tabs>
              <w:tab w:val="right" w:leader="dot" w:pos="9016"/>
            </w:tabs>
            <w:rPr>
              <w:noProof/>
              <w:kern w:val="2"/>
              <w:lang w:val="en-GB" w:eastAsia="en-GB"/>
              <w14:ligatures w14:val="standardContextual"/>
              <w:rFonts w:ascii="Arial" w:cs="Arial" w:hAnsi="Arial" w:eastAsiaTheme="minorEastAsia"/>
              <w:sz w:val="24"/>
              <w:szCs w:val="24"/>
            </w:rPr>
          </w:pPr>
          <w:hyperlink w:anchor="_Toc211874346" w:history="1">
            <w:r w:rsidRPr="00793A69">
              <w:rPr>
                <w:noProof/>
                <w:lang w:val="en-US"/>
                <w:rStyle w:val="Hyperlink"/>
                <w:rFonts w:ascii="Arial" w:cs="Arial" w:hAnsi="Arial"/>
              </w:rPr>
              <w:t>Conclusion</w:t>
            </w:r>
            <w:r w:rsidRPr="00793A69">
              <w:rPr>
                <w:noProof/>
                <w:webHidden/>
                <w:rFonts w:ascii="Arial" w:cs="Arial" w:hAnsi="Arial"/>
              </w:rPr>
              <w:tab/>
            </w:r>
            <w:r w:rsidRPr="00793A69">
              <w:rPr>
                <w:noProof/>
                <w:webHidden/>
                <w:rFonts w:ascii="Arial" w:cs="Arial" w:hAnsi="Arial"/>
              </w:rPr>
              <w:fldChar w:fldCharType="begin"/>
            </w:r>
            <w:r w:rsidRPr="00793A69">
              <w:rPr>
                <w:noProof/>
                <w:webHidden/>
                <w:rFonts w:ascii="Arial" w:cs="Arial" w:hAnsi="Arial"/>
              </w:rPr>
              <w:instrText xml:space="preserve"> PAGEREF _Toc211874346 \h </w:instrText>
            </w:r>
            <w:r w:rsidRPr="00793A69">
              <w:rPr>
                <w:noProof/>
                <w:webHidden/>
                <w:rFonts w:ascii="Arial" w:cs="Arial" w:hAnsi="Arial"/>
              </w:rPr>
            </w:r>
            <w:r w:rsidRPr="00793A69">
              <w:rPr>
                <w:noProof/>
                <w:webHidden/>
                <w:rFonts w:ascii="Arial" w:cs="Arial" w:hAnsi="Arial"/>
              </w:rPr>
              <w:fldChar w:fldCharType="separate"/>
            </w:r>
            <w:r w:rsidRPr="00793A69">
              <w:rPr>
                <w:noProof/>
                <w:webHidden/>
                <w:rFonts w:ascii="Arial" w:cs="Arial" w:hAnsi="Arial"/>
              </w:rPr>
              <w:t>13</w:t>
            </w:r>
            <w:r w:rsidRPr="00793A69">
              <w:rPr>
                <w:noProof/>
                <w:webHidden/>
                <w:rFonts w:ascii="Arial" w:cs="Arial" w:hAnsi="Arial"/>
              </w:rPr>
              <w:fldChar w:fldCharType="end"/>
            </w:r>
          </w:hyperlink>
        </w:p>
        <w:p w:rsidR="00793A69" w:rsidRDefault="00793A69" w14:paraId="66FDD691" w14:textId="34F02496" w:rsidRPr="00793A69">
          <w:pPr>
            <w:pStyle w:val="TOC1"/>
            <w:tabs>
              <w:tab w:val="right" w:leader="dot" w:pos="9016"/>
            </w:tabs>
            <w:rPr>
              <w:noProof/>
              <w:kern w:val="2"/>
              <w:lang w:val="en-GB" w:eastAsia="en-GB"/>
              <w14:ligatures w14:val="standardContextual"/>
              <w:rFonts w:ascii="Arial" w:cs="Arial" w:hAnsi="Arial" w:eastAsiaTheme="minorEastAsia"/>
              <w:sz w:val="24"/>
              <w:szCs w:val="24"/>
            </w:rPr>
          </w:pPr>
          <w:hyperlink w:anchor="_Toc211874347" w:history="1">
            <w:r w:rsidRPr="00793A69">
              <w:rPr>
                <w:noProof/>
                <w:rStyle w:val="Hyperlink"/>
                <w:rFonts w:ascii="Arial" w:cs="Arial" w:hAnsi="Arial"/>
              </w:rPr>
              <w:t>References.</w:t>
            </w:r>
            <w:r w:rsidRPr="00793A69">
              <w:rPr>
                <w:noProof/>
                <w:webHidden/>
                <w:rFonts w:ascii="Arial" w:cs="Arial" w:hAnsi="Arial"/>
              </w:rPr>
              <w:tab/>
            </w:r>
            <w:r w:rsidRPr="00793A69">
              <w:rPr>
                <w:noProof/>
                <w:webHidden/>
                <w:rFonts w:ascii="Arial" w:cs="Arial" w:hAnsi="Arial"/>
              </w:rPr>
              <w:fldChar w:fldCharType="begin"/>
            </w:r>
            <w:r w:rsidRPr="00793A69">
              <w:rPr>
                <w:noProof/>
                <w:webHidden/>
                <w:rFonts w:ascii="Arial" w:cs="Arial" w:hAnsi="Arial"/>
              </w:rPr>
              <w:instrText xml:space="preserve"> PAGEREF _Toc211874347 \h </w:instrText>
            </w:r>
            <w:r w:rsidRPr="00793A69">
              <w:rPr>
                <w:noProof/>
                <w:webHidden/>
                <w:rFonts w:ascii="Arial" w:cs="Arial" w:hAnsi="Arial"/>
              </w:rPr>
            </w:r>
            <w:r w:rsidRPr="00793A69">
              <w:rPr>
                <w:noProof/>
                <w:webHidden/>
                <w:rFonts w:ascii="Arial" w:cs="Arial" w:hAnsi="Arial"/>
              </w:rPr>
              <w:fldChar w:fldCharType="separate"/>
            </w:r>
            <w:r w:rsidRPr="00793A69">
              <w:rPr>
                <w:noProof/>
                <w:webHidden/>
                <w:rFonts w:ascii="Arial" w:cs="Arial" w:hAnsi="Arial"/>
              </w:rPr>
              <w:t>14</w:t>
            </w:r>
            <w:r w:rsidRPr="00793A69">
              <w:rPr>
                <w:noProof/>
                <w:webHidden/>
                <w:rFonts w:ascii="Arial" w:cs="Arial" w:hAnsi="Arial"/>
              </w:rPr>
              <w:fldChar w:fldCharType="end"/>
            </w:r>
          </w:hyperlink>
        </w:p>
        <w:p w:rsidR="00912271" w:rsidRDefault="00912271" w14:paraId="62EFEE7D" w14:textId="331D6EB0" w:rsidRPr="00793A69">
          <w:r w:rsidRPr="00793A69">
            <w:rPr>
              <w:noProof/>
              <w:rFonts w:ascii="Arial" w:cs="Arial" w:hAnsi="Arial"/>
            </w:rPr>
            <w:fldChar w:fldCharType="end"/>
          </w:r>
        </w:p>
      </w:sdtContent>
    </w:sdt>
    <w:p w:rsidR="00BB5287" w:rsidRDefault="00BB5287" w14:paraId="299D26F9" w14:textId="77777777" w:rsidRPr="00793A69">
      <w:pPr>
        <w:rPr>
          <w:rFonts w:ascii="Arial" w:cs="Arial" w:hAnsi="Arial"/>
        </w:rPr>
      </w:pPr>
    </w:p>
    <w:p w:rsidR="00BB5287" w:rsidRDefault="00BB5287" w14:paraId="0CECF813" w14:textId="77777777" w:rsidRPr="00793A69">
      <w:pPr>
        <w:rPr>
          <w:rFonts w:ascii="Arial" w:cs="Arial" w:hAnsi="Arial"/>
        </w:rPr>
      </w:pPr>
    </w:p>
    <w:p w:rsidR="00912271" w:rsidRDefault="00912271" w14:paraId="79F5ADAA" w14:textId="77777777" w:rsidRPr="00793A69">
      <w:pPr>
        <w:rPr>
          <w:rFonts w:ascii="Arial" w:cs="Arial" w:hAnsi="Arial"/>
        </w:rPr>
      </w:pPr>
    </w:p>
    <w:p w:rsidR="00912271" w:rsidRDefault="00912271" w14:paraId="61145EDF" w14:textId="77777777" w:rsidRPr="00793A69">
      <w:pPr>
        <w:rPr>
          <w:rFonts w:ascii="Arial" w:cs="Arial" w:hAnsi="Arial"/>
        </w:rPr>
      </w:pPr>
    </w:p>
    <w:p w:rsidR="00912271" w:rsidRDefault="00912271" w14:paraId="658884A0" w14:textId="77777777" w:rsidRPr="00793A69">
      <w:pPr>
        <w:rPr>
          <w:rFonts w:ascii="Arial" w:cs="Arial" w:hAnsi="Arial"/>
        </w:rPr>
      </w:pPr>
    </w:p>
    <w:p w:rsidR="00BB5287" w:rsidRDefault="00BB5287" w14:paraId="4154D261" w14:textId="77777777" w:rsidRPr="00793A69">
      <w:pPr>
        <w:rPr>
          <w:rFonts w:ascii="Arial" w:cs="Arial" w:hAnsi="Arial"/>
        </w:rPr>
      </w:pPr>
    </w:p>
    <w:p w:rsidR="00BB5287" w:rsidRDefault="00BB5287" w14:paraId="6E17AE6C" w14:textId="77777777" w:rsidRPr="00793A69">
      <w:pPr>
        <w:rPr>
          <w:rFonts w:ascii="Arial" w:cs="Arial" w:hAnsi="Arial"/>
        </w:rPr>
      </w:pPr>
    </w:p>
    <w:p w:rsidR="00912271" w:rsidRDefault="00912271" w14:paraId="1D8B679D" w14:textId="77777777" w:rsidRPr="00793A69">
      <w:pPr>
        <w:rPr>
          <w:rFonts w:ascii="Arial" w:cs="Arial" w:hAnsi="Arial"/>
        </w:rPr>
      </w:pPr>
    </w:p>
    <w:p w:rsidR="00912271" w:rsidRDefault="00912271" w14:paraId="0812A79D" w14:textId="77777777" w:rsidRPr="00793A69">
      <w:pPr>
        <w:rPr>
          <w:rFonts w:ascii="Arial" w:cs="Arial" w:hAnsi="Arial"/>
        </w:rPr>
      </w:pPr>
    </w:p>
    <w:p w:rsidR="00912271" w:rsidRDefault="00912271" w14:paraId="4EB4E0A4" w14:textId="77777777" w:rsidRPr="00793A69">
      <w:pPr>
        <w:rPr>
          <w:rFonts w:ascii="Arial" w:cs="Arial" w:hAnsi="Arial"/>
        </w:rPr>
      </w:pPr>
    </w:p>
    <w:p w:rsidR="00912271" w:rsidRDefault="00912271" w14:paraId="0C1ACCAC" w14:textId="77777777" w:rsidRPr="00793A69">
      <w:pPr>
        <w:rPr>
          <w:rFonts w:ascii="Arial" w:cs="Arial" w:hAnsi="Arial"/>
        </w:rPr>
      </w:pPr>
    </w:p>
    <w:p w:rsidR="00912271" w:rsidRDefault="00912271" w14:paraId="7B2A94D5" w14:textId="77777777" w:rsidRPr="00793A69">
      <w:pPr>
        <w:rPr>
          <w:rFonts w:ascii="Arial" w:cs="Arial" w:hAnsi="Arial"/>
        </w:rPr>
      </w:pPr>
    </w:p>
    <w:p w:rsidR="00912271" w:rsidRDefault="00912271" w14:paraId="46444059" w14:textId="77777777" w:rsidRPr="00793A69">
      <w:pPr>
        <w:rPr>
          <w:rFonts w:ascii="Arial" w:cs="Arial" w:hAnsi="Arial"/>
        </w:rPr>
      </w:pPr>
    </w:p>
    <w:p w:rsidR="00912271" w:rsidRDefault="00912271" w14:paraId="43656AC7" w14:textId="0009CD04" w:rsidP="00912271" w:rsidRPr="00793A69">
      <w:pPr>
        <w:pStyle w:val="Heading1"/>
        <w:rPr>
          <w:lang w:val="en-US"/>
          <w:b/>
          <w:color w:val="auto"/>
          <w:rFonts w:ascii="Arial" w:cs="Arial" w:hAnsi="Arial"/>
          <w:sz w:val="22"/>
          <w:szCs w:val="22"/>
        </w:rPr>
      </w:pPr>
      <w:bookmarkStart w:id="0" w:name="_Toc211874329"/>
      <w:r w:rsidRPr="00793A69">
        <w:rPr>
          <w:lang w:val="en-US"/>
          <w:b/>
          <w:color w:val="auto"/>
          <w:rFonts w:ascii="Arial" w:cs="Arial" w:hAnsi="Arial"/>
          <w:sz w:val="22"/>
          <w:szCs w:val="22"/>
        </w:rPr>
        <w:t>Introduction</w:t>
        <w:lastRenderedPageBreak/>
      </w:r>
      <w:bookmarkEnd w:id="0"/>
    </w:p>
    <w:p w:rsidR="00F60E46" w:rsidRDefault="00F60E46" w14:paraId="24BE39F9" w14:textId="77777777" w:rsidP="00F60E46" w:rsidRPr="00793A69">
      <w:pPr>
        <w:jc w:val="both"/>
        <w:spacing w:line="360" w:lineRule="auto"/>
        <w:tabs>
          <w:tab w:val="num" w:pos="1440"/>
        </w:tabs>
        <w:rPr>
          <w:rFonts w:ascii="Arial" w:cs="Arial" w:hAnsi="Arial"/>
        </w:rPr>
      </w:pPr>
    </w:p>
    <w:p w:rsidR="00845A5A" w:rsidRDefault="00912271" w14:paraId="30C2CB97" w14:textId="77777777" w:rsidP="00F60E46" w:rsidRPr="00793A69">
      <w:pPr>
        <w:jc w:val="both"/>
        <w:spacing w:line="360" w:lineRule="auto"/>
        <w:tabs>
          <w:tab w:val="num" w:pos="1440"/>
        </w:tabs>
        <w:rPr>
          <w:rFonts w:ascii="Arial" w:cs="Arial" w:hAnsi="Arial"/>
        </w:rPr>
      </w:pPr>
      <w:r w:rsidRPr="00793A69">
        <w:rPr>
          <w:rFonts w:ascii="Arial" w:cs="Arial" w:hAnsi="Arial"/>
        </w:rPr>
        <w:t xml:space="preserve">Barclays Bank UK PLC is a major British universal bank which is the heart of the broader Barclays Group. </w:t>
      </w:r>
      <w:r w:rsidR="00E52425" w:rsidRPr="00793A69">
        <w:rPr>
          <w:rFonts w:ascii="Arial" w:cs="Arial" w:hAnsi="Arial"/>
        </w:rPr>
        <w:t>It was firstly founded in 1690 as a gold smithing bank business. Later in 1896,</w:t>
      </w:r>
      <w:r w:rsidR="00E52425" w:rsidRPr="00793A69">
        <w:t xml:space="preserve"> </w:t>
      </w:r>
      <w:r w:rsidR="00E52425" w:rsidRPr="00793A69">
        <w:rPr>
          <w:rFonts w:ascii="Arial" w:cs="Arial" w:hAnsi="Arial"/>
        </w:rPr>
        <w:t>twelve banks, including Goslings Bank and Backhouse's Bank, united and formed a joint stock bank, which they named Barclays and Co</w:t>
      </w:r>
      <w:r w:rsidRPr="00793A69">
        <w:rPr>
          <w:rFonts w:ascii="Arial" w:cs="Arial" w:hAnsi="Arial"/>
        </w:rPr>
        <w:t xml:space="preserve">. The bank has two main divisions, the Barclays UK which serves retail and business clients, and Barclays International, which encompasses the corporate and investment bank (Barclays 2024). </w:t>
      </w:r>
      <w:r w:rsidR="00E52425" w:rsidRPr="00793A69">
        <w:rPr>
          <w:rFonts w:ascii="Arial" w:cs="Arial" w:hAnsi="Arial"/>
        </w:rPr>
        <w:t>The retail wing of this bank serves</w:t>
      </w:r>
      <w:r w:rsidRPr="00793A69">
        <w:rPr>
          <w:rFonts w:ascii="Arial" w:cs="Arial" w:hAnsi="Arial"/>
        </w:rPr>
        <w:t xml:space="preserve"> more than 24 million customers with its main offer being; current and savings accounts, mortgages, and loans. </w:t>
      </w:r>
      <w:r w:rsidR="00E52425" w:rsidRPr="00793A69">
        <w:rPr>
          <w:rFonts w:ascii="Arial" w:cs="Arial" w:hAnsi="Arial"/>
        </w:rPr>
        <w:t>Barclays Group has over 100,000 employees across the globe. However, looking at the UK bank only, it employs about 43,000 people in different capacities (Statistica, 2024).</w:t>
      </w:r>
      <w:r w:rsidR="00E52425" w:rsidRPr="00793A69">
        <w:t xml:space="preserve"> </w:t>
      </w:r>
      <w:r w:rsidR="00E52425" w:rsidRPr="00793A69">
        <w:rPr>
          <w:rFonts w:ascii="Arial" w:cs="Arial" w:hAnsi="Arial"/>
        </w:rPr>
        <w:t xml:space="preserve">The core objectives of the bank are meant to steer the institution towards delivering sustainable growth and becoming a premier transatlantic consumer and wholesale bank. This goal is pursed through investing significantly in its digital transformation and customer experience. The retail banking industry in United Kingdom is very competitive. According to </w:t>
      </w:r>
      <w:r w:rsidR="00845A5A" w:rsidRPr="00793A69">
        <w:rPr>
          <w:rFonts w:ascii="Arial" w:cs="Arial" w:hAnsi="Arial"/>
        </w:rPr>
        <w:t>Finder UK (2025)</w:t>
      </w:r>
      <w:r w:rsidR="00E52425" w:rsidRPr="00793A69">
        <w:rPr>
          <w:rFonts w:ascii="Arial" w:cs="Arial" w:hAnsi="Arial"/>
        </w:rPr>
        <w:t>,</w:t>
      </w:r>
      <w:r w:rsidR="00845A5A" w:rsidRPr="00793A69">
        <w:rPr>
          <w:rFonts w:ascii="Arial" w:cs="Arial" w:hAnsi="Arial"/>
        </w:rPr>
        <w:t xml:space="preserve"> </w:t>
      </w:r>
      <w:r w:rsidR="00E52425" w:rsidRPr="00793A69">
        <w:rPr>
          <w:rFonts w:ascii="Arial" w:cs="Arial" w:hAnsi="Arial"/>
        </w:rPr>
        <w:t xml:space="preserve">Barclays bank held second position with </w:t>
      </w:r>
      <w:r w:rsidR="00845A5A" w:rsidRPr="00793A69">
        <w:rPr>
          <w:rFonts w:ascii="Arial" w:cs="Arial" w:hAnsi="Arial"/>
        </w:rPr>
        <w:t xml:space="preserve">approximately £38.33 billion in market share. This is after the HSBC bank Plc which held the first with a market share of almost 3 times larger than Barclays. Other competitors of Barclays bank include; Lloyds, </w:t>
      </w:r>
      <w:proofErr w:type="spellStart"/>
      <w:r w:rsidR="00845A5A" w:rsidRPr="00793A69">
        <w:rPr>
          <w:rFonts w:ascii="Arial" w:cs="Arial" w:hAnsi="Arial"/>
        </w:rPr>
        <w:t>Natwest</w:t>
      </w:r>
      <w:proofErr w:type="spellEnd"/>
      <w:r w:rsidR="00845A5A" w:rsidRPr="00793A69">
        <w:rPr>
          <w:rFonts w:ascii="Arial" w:cs="Arial" w:hAnsi="Arial"/>
        </w:rPr>
        <w:t>, Standard Chartered among others.  Barclays also competes with other digital-only challenger banks such as Monzo and Starling, which are disrupting the market with superior user experiences.</w:t>
      </w:r>
    </w:p>
    <w:p w:rsidR="00287A54" w:rsidRDefault="00287A54" w14:paraId="1D8F01B3" w14:textId="77777777" w:rsidP="00287A54" w:rsidRPr="00793A69">
      <w:pPr>
        <w:pStyle w:val="Heading1"/>
        <w:rPr>
          <w:b/>
          <w:color w:val="auto"/>
          <w:rFonts w:ascii="Arial" w:cs="Arial" w:hAnsi="Arial"/>
          <w:sz w:val="22"/>
          <w:szCs w:val="22"/>
        </w:rPr>
      </w:pPr>
    </w:p>
    <w:p w:rsidR="00BB5287" w:rsidRDefault="00BB5287" w14:paraId="3C093A4B" w14:textId="54A490CF" w:rsidP="00287A54" w:rsidRPr="00793A69">
      <w:pPr>
        <w:pStyle w:val="Heading1"/>
        <w:rPr>
          <w:b/>
          <w:color w:val="auto"/>
          <w:rFonts w:ascii="Arial" w:cs="Arial" w:hAnsi="Arial"/>
          <w:sz w:val="22"/>
          <w:szCs w:val="22"/>
        </w:rPr>
      </w:pPr>
      <w:bookmarkStart w:id="1" w:name="_Toc211874330"/>
      <w:r w:rsidRPr="00793A69">
        <w:rPr>
          <w:b/>
          <w:color w:val="auto"/>
          <w:rFonts w:ascii="Arial" w:cs="Arial" w:hAnsi="Arial"/>
          <w:sz w:val="22"/>
          <w:szCs w:val="22"/>
        </w:rPr>
        <w:t>Part 1</w:t>
      </w:r>
      <w:r w:rsidR="00287A54" w:rsidRPr="00793A69">
        <w:rPr>
          <w:b/>
          <w:color w:val="auto"/>
          <w:rFonts w:ascii="Arial" w:cs="Arial" w:hAnsi="Arial"/>
          <w:sz w:val="22"/>
          <w:szCs w:val="22"/>
        </w:rPr>
        <w:t xml:space="preserve">: </w:t>
      </w:r>
      <w:r w:rsidR="005D7624" w:rsidRPr="00793A69">
        <w:rPr>
          <w:b/>
          <w:color w:val="auto"/>
          <w:rFonts w:ascii="Arial" w:cs="Arial" w:hAnsi="Arial"/>
          <w:sz w:val="22"/>
          <w:szCs w:val="22"/>
        </w:rPr>
        <w:t>T</w:t>
      </w:r>
      <w:r w:rsidR="00287A54" w:rsidRPr="00793A69">
        <w:rPr>
          <w:b/>
          <w:color w:val="auto"/>
          <w:rFonts w:ascii="Arial" w:cs="Arial" w:hAnsi="Arial"/>
          <w:sz w:val="22"/>
          <w:szCs w:val="22"/>
        </w:rPr>
        <w:t>he Innovation Ambition Matrix</w:t>
      </w:r>
      <w:r w:rsidR="005D7624" w:rsidRPr="00793A69">
        <w:rPr>
          <w:b/>
          <w:color w:val="auto"/>
          <w:rFonts w:ascii="Arial" w:cs="Arial" w:hAnsi="Arial"/>
          <w:sz w:val="22"/>
          <w:szCs w:val="22"/>
        </w:rPr>
        <w:t xml:space="preserve"> and Customer Mapping</w:t>
      </w:r>
      <w:bookmarkEnd w:id="1"/>
    </w:p>
    <w:p w:rsidR="005456FF" w:rsidRDefault="005456FF" w14:paraId="490E324D" w14:textId="77777777" w:rsidP="004727C8" w:rsidRPr="00793A69">
      <w:pPr>
        <w:jc w:val="both"/>
        <w:spacing w:line="360" w:lineRule="auto"/>
        <w:rPr>
          <w:rFonts w:ascii="Arial" w:cs="Arial" w:hAnsi="Arial"/>
        </w:rPr>
      </w:pPr>
    </w:p>
    <w:p w:rsidR="005D7624" w:rsidRDefault="00BB5287" w14:paraId="58D731B4" w14:textId="77777777" w:rsidP="004727C8" w:rsidRPr="00793A69">
      <w:pPr>
        <w:jc w:val="both"/>
        <w:spacing w:line="360" w:lineRule="auto"/>
        <w:rPr>
          <w:rFonts w:ascii="Arial" w:cs="Arial" w:hAnsi="Arial"/>
        </w:rPr>
      </w:pPr>
      <w:r w:rsidRPr="00793A69">
        <w:rPr>
          <w:rFonts w:ascii="Arial" w:cs="Arial" w:hAnsi="Arial"/>
        </w:rPr>
        <w:t>This section looks deep into the systems of Barclays Bank UK</w:t>
      </w:r>
      <w:r w:rsidR="00C02FCE" w:rsidRPr="00793A69">
        <w:rPr>
          <w:rFonts w:ascii="Arial" w:cs="Arial" w:hAnsi="Arial"/>
        </w:rPr>
        <w:t xml:space="preserve"> and analyses its</w:t>
      </w:r>
      <w:r w:rsidR="00C02FCE" w:rsidRPr="00793A69">
        <w:t xml:space="preserve"> </w:t>
      </w:r>
      <w:r w:rsidR="00C02FCE" w:rsidRPr="00793A69">
        <w:rPr>
          <w:rFonts w:ascii="Arial" w:cs="Arial" w:hAnsi="Arial"/>
        </w:rPr>
        <w:t>current innovation strategies and customer mapping</w:t>
      </w:r>
      <w:r w:rsidR="005D7624" w:rsidRPr="00793A69">
        <w:rPr>
          <w:rFonts w:ascii="Arial" w:cs="Arial" w:hAnsi="Arial"/>
        </w:rPr>
        <w:t>.</w:t>
      </w:r>
    </w:p>
    <w:p w:rsidR="005D7624" w:rsidRDefault="005D7624" w14:paraId="0F4EE926" w14:textId="77777777" w:rsidP="005D7624" w:rsidRPr="00793A69">
      <w:pPr>
        <w:pStyle w:val="Heading2"/>
        <w:rPr>
          <w:b/>
          <w:color w:val="auto"/>
          <w:rFonts w:ascii="Arial" w:cs="Arial" w:hAnsi="Arial"/>
          <w:sz w:val="22"/>
          <w:szCs w:val="22"/>
        </w:rPr>
      </w:pPr>
      <w:bookmarkStart w:id="2" w:name="_Toc211874331"/>
      <w:r w:rsidRPr="00793A69">
        <w:rPr>
          <w:b/>
          <w:color w:val="auto"/>
          <w:rFonts w:ascii="Arial" w:cs="Arial" w:hAnsi="Arial"/>
          <w:sz w:val="22"/>
          <w:szCs w:val="22"/>
        </w:rPr>
        <w:t>Part 1.1: Applying the Innovation Ambition Matrix</w:t>
      </w:r>
      <w:bookmarkEnd w:id="2"/>
    </w:p>
    <w:p w:rsidR="005D7624" w:rsidRDefault="005D7624" w14:paraId="0495B224" w14:textId="77777777" w:rsidP="005D7624" w:rsidRPr="00793A69"/>
    <w:p w:rsidR="004727C8" w:rsidRDefault="00C02FCE" w14:paraId="4E59C1F8" w14:textId="6153052F" w:rsidP="004727C8" w:rsidRPr="00793A69">
      <w:pPr>
        <w:jc w:val="both"/>
        <w:spacing w:line="360" w:lineRule="auto"/>
        <w:rPr>
          <w:lang w:val="en-US"/>
          <w:rFonts w:ascii="Arial" w:cs="Arial" w:hAnsi="Arial"/>
        </w:rPr>
      </w:pPr>
      <w:r w:rsidRPr="00793A69">
        <w:rPr>
          <w:lang w:val="en-US"/>
          <w:rFonts w:ascii="Arial" w:cs="Arial" w:hAnsi="Arial"/>
        </w:rPr>
        <w:t xml:space="preserve">This </w:t>
      </w:r>
      <w:r w:rsidR="004727C8" w:rsidRPr="00793A69">
        <w:rPr>
          <w:lang w:val="en-US"/>
          <w:rFonts w:ascii="Arial" w:cs="Arial" w:hAnsi="Arial"/>
        </w:rPr>
        <w:t>tool</w:t>
      </w:r>
      <w:r w:rsidRPr="00793A69">
        <w:rPr>
          <w:lang w:val="en-US"/>
          <w:rFonts w:ascii="Arial" w:cs="Arial" w:hAnsi="Arial"/>
        </w:rPr>
        <w:t xml:space="preserve"> was developed by </w:t>
      </w:r>
      <w:proofErr w:type="spellStart"/>
      <w:r w:rsidR="004727C8" w:rsidRPr="00793A69">
        <w:rPr>
          <w:lang w:val="en-US"/>
          <w:rFonts w:ascii="Arial" w:cs="Arial" w:hAnsi="Arial"/>
        </w:rPr>
        <w:t>Nagji</w:t>
      </w:r>
      <w:proofErr w:type="spellEnd"/>
      <w:r w:rsidR="004727C8" w:rsidRPr="00793A69">
        <w:rPr>
          <w:lang w:val="en-US"/>
          <w:rFonts w:ascii="Arial" w:cs="Arial" w:hAnsi="Arial"/>
        </w:rPr>
        <w:t xml:space="preserve"> and Tuff (2012). It is used to </w:t>
      </w:r>
      <w:proofErr w:type="spellStart"/>
      <w:r w:rsidR="004727C8" w:rsidRPr="00793A69">
        <w:rPr>
          <w:lang w:val="en-US"/>
          <w:rFonts w:ascii="Arial" w:cs="Arial" w:hAnsi="Arial"/>
        </w:rPr>
        <w:t>categorise</w:t>
      </w:r>
      <w:proofErr w:type="spellEnd"/>
      <w:r w:rsidR="004727C8" w:rsidRPr="00793A69">
        <w:rPr>
          <w:lang w:val="en-US"/>
          <w:rFonts w:ascii="Arial" w:cs="Arial" w:hAnsi="Arial"/>
        </w:rPr>
        <w:t xml:space="preserve"> and assess a company's innovation portfolio across three horizons: Core, Adjacent, and Transformati</w:t>
      </w:r>
      <w:r w:rsidR="00287A54" w:rsidRPr="00793A69">
        <w:rPr>
          <w:lang w:val="en-US"/>
          <w:rFonts w:ascii="Arial" w:cs="Arial" w:hAnsi="Arial"/>
        </w:rPr>
        <w:t>onal</w:t>
      </w:r>
      <w:r w:rsidR="004727C8" w:rsidRPr="00793A69">
        <w:rPr>
          <w:lang w:val="en-US"/>
          <w:rFonts w:ascii="Arial" w:cs="Arial" w:hAnsi="Arial"/>
        </w:rPr>
        <w:t xml:space="preserve">. This analysis places this tool into the systems of Barclays Bank UK in a bid to reveal where the major weight of the bank’s strategic posture is placed. </w:t>
      </w:r>
    </w:p>
    <w:p w:rsidR="004727C8" w:rsidRDefault="00BB5287" w14:paraId="64732E0B" w14:textId="523F8ECE" w:rsidP="005D7624" w:rsidRPr="00793A69">
      <w:pPr>
        <w:outlineLvl w:val="2"/>
        <w:pStyle w:val="ListParagraph"/>
        <w:numPr>
          <w:ilvl w:val="0"/>
          <w:numId w:val="2"/>
        </w:numPr>
        <w:jc w:val="both"/>
        <w:spacing w:line="360" w:lineRule="auto"/>
        <w:rPr>
          <w:bCs/>
          <w:lang w:val="en-US"/>
          <w:b/>
          <w:rFonts w:ascii="Arial" w:cs="Arial" w:hAnsi="Arial"/>
        </w:rPr>
      </w:pPr>
      <w:bookmarkStart w:id="3" w:name="_Toc211874332"/>
      <w:r w:rsidRPr="00793A69">
        <w:rPr>
          <w:bCs/>
          <w:lang w:val="en-US"/>
          <w:b/>
          <w:rFonts w:ascii="Arial" w:cs="Arial" w:hAnsi="Arial"/>
        </w:rPr>
        <w:t>Core</w:t>
      </w:r>
      <w:r w:rsidR="0065188E" w:rsidRPr="00793A69">
        <w:rPr>
          <w:bCs/>
          <w:lang w:val="en-US"/>
          <w:b/>
          <w:rFonts w:ascii="Arial" w:cs="Arial" w:hAnsi="Arial"/>
        </w:rPr>
        <w:t xml:space="preserve"> Innovation</w:t>
      </w:r>
      <w:bookmarkEnd w:id="3"/>
    </w:p>
    <w:p w:rsidR="00CE167C" w:rsidRDefault="00CE167C" w14:paraId="31BA4BDD" w14:textId="77777777" w:rsidP="001C4075" w:rsidRPr="00793A69">
      <w:pPr>
        <w:jc w:val="both"/>
        <w:spacing w:line="360" w:lineRule="auto"/>
        <w:rPr>
          <w:rFonts w:ascii="Arial" w:cs="Arial" w:hAnsi="Arial"/>
        </w:rPr>
      </w:pPr>
      <w:r w:rsidRPr="00793A69">
        <w:rPr>
          <w:rFonts w:ascii="Arial" w:cs="Arial" w:hAnsi="Arial"/>
        </w:rPr>
        <w:t xml:space="preserve">The innovations carried out within this horizon entail adding value to existing products and services for the benefit of the existing customers. In the case of Barclays, this constitutes the </w:t>
      </w:r>
      <w:r w:rsidRPr="00793A69">
        <w:rPr>
          <w:rFonts w:ascii="Arial" w:cs="Arial" w:hAnsi="Arial"/>
        </w:rPr>
        <w:t>major portion of its visible innovation. These innovations are mainly aimed at protecting the bank’s market share in the competitive retail banking industry in the UK market.</w:t>
        <w:lastRenderedPageBreak/>
      </w:r>
    </w:p>
    <w:p w:rsidR="00CE167C" w:rsidRDefault="00CE167C" w14:paraId="52FD3E64" w14:textId="77777777" w:rsidP="001C4075" w:rsidRPr="00793A69">
      <w:pPr>
        <w:jc w:val="both"/>
        <w:spacing w:line="360" w:lineRule="auto"/>
        <w:rPr>
          <w:rFonts w:ascii="Arial" w:cs="Arial" w:hAnsi="Arial"/>
        </w:rPr>
      </w:pPr>
      <w:r w:rsidRPr="00793A69">
        <w:rPr>
          <w:rFonts w:ascii="Arial" w:cs="Arial" w:hAnsi="Arial"/>
        </w:rPr>
        <w:t>The Barclays Mobile Banking Application is one of these innovations. Continuous improvement of the app is a typical Core activity</w:t>
      </w:r>
      <w:r w:rsidR="00DD3050" w:rsidRPr="00793A69">
        <w:rPr>
          <w:rFonts w:ascii="Arial" w:cs="Arial" w:hAnsi="Arial"/>
        </w:rPr>
        <w:t xml:space="preserve"> (</w:t>
      </w:r>
      <w:r w:rsidR="00DD3050" w:rsidRPr="00793A69">
        <w:rPr>
          <w:lang w:val="en-US"/>
          <w:rFonts w:ascii="Arial" w:cs="Arial" w:hAnsi="Arial"/>
        </w:rPr>
        <w:t>Barclays, 2024)</w:t>
      </w:r>
      <w:r w:rsidRPr="00793A69">
        <w:rPr>
          <w:rFonts w:ascii="Arial" w:cs="Arial" w:hAnsi="Arial"/>
        </w:rPr>
        <w:t>. The Barclays bank application employs the biometric login, personal spending analytics, and savings pots functionality to enable users to designate money towards certain goals. These elements are aimed at enhancing interaction and retention of the current customer base. Although such features are now table stakes, the implementation at Barclays is typically strong, and is intended to compete with, or marginally outperform, the offerings of more traditional competitors such as Lloyds and NatWest.</w:t>
      </w:r>
    </w:p>
    <w:p w:rsidR="00CE167C" w:rsidRDefault="00CE167C" w14:paraId="584F6BC0" w14:textId="77777777" w:rsidP="001C4075" w:rsidRPr="00793A69">
      <w:pPr>
        <w:jc w:val="both"/>
        <w:spacing w:line="360" w:lineRule="auto"/>
        <w:rPr>
          <w:rFonts w:ascii="Arial" w:cs="Arial" w:hAnsi="Arial"/>
        </w:rPr>
      </w:pPr>
      <w:r w:rsidRPr="00793A69">
        <w:rPr>
          <w:rFonts w:ascii="Arial" w:cs="Arial" w:hAnsi="Arial"/>
        </w:rPr>
        <w:t xml:space="preserve">Barclays has also </w:t>
      </w:r>
      <w:proofErr w:type="gramStart"/>
      <w:r w:rsidRPr="00793A69">
        <w:rPr>
          <w:rFonts w:ascii="Arial" w:cs="Arial" w:hAnsi="Arial"/>
        </w:rPr>
        <w:t>engages</w:t>
      </w:r>
      <w:proofErr w:type="gramEnd"/>
      <w:r w:rsidRPr="00793A69">
        <w:rPr>
          <w:rFonts w:ascii="Arial" w:cs="Arial" w:hAnsi="Arial"/>
        </w:rPr>
        <w:t xml:space="preserve"> in digital process streamlining. Its attempts to digitise and speed up key processes, including current account switching, loan applications, and mortgage approvals are all core innovations. The success of this is measured in terms of low operational costs and high customer satisfaction ratings.</w:t>
      </w:r>
    </w:p>
    <w:p w:rsidR="00CE167C" w:rsidRDefault="00CE167C" w14:paraId="79E59464" w14:textId="77777777" w:rsidP="00CE167C" w:rsidRPr="00793A69">
      <w:pPr>
        <w:jc w:val="both"/>
        <w:spacing w:line="360" w:lineRule="auto"/>
        <w:rPr>
          <w:rFonts w:ascii="Arial" w:cs="Arial" w:hAnsi="Arial"/>
        </w:rPr>
      </w:pPr>
      <w:r w:rsidRPr="00793A69">
        <w:rPr>
          <w:rFonts w:ascii="Arial" w:cs="Arial" w:hAnsi="Arial"/>
        </w:rPr>
        <w:t>Barclays has creatively partnered with fintech startups by using initiatives such as its Barclays RISE accelerator. Barclays does not develop its own feature but relies on functions created by fintech start-ups which introduce new solutions like payment-linked loyalty programs</w:t>
      </w:r>
      <w:r w:rsidR="00DD3050" w:rsidRPr="00793A69">
        <w:rPr>
          <w:rFonts w:ascii="Arial" w:cs="Arial" w:hAnsi="Arial"/>
        </w:rPr>
        <w:t xml:space="preserve"> (</w:t>
      </w:r>
      <w:r w:rsidR="00DD3050" w:rsidRPr="00793A69">
        <w:rPr>
          <w:lang w:val="en-US"/>
          <w:rFonts w:ascii="Arial" w:cs="Arial" w:hAnsi="Arial"/>
        </w:rPr>
        <w:t>Barclays, 2024)</w:t>
      </w:r>
      <w:r w:rsidRPr="00793A69">
        <w:rPr>
          <w:rFonts w:ascii="Arial" w:cs="Arial" w:hAnsi="Arial"/>
        </w:rPr>
        <w:t xml:space="preserve">. Such initiatives </w:t>
      </w:r>
      <w:proofErr w:type="gramStart"/>
      <w:r w:rsidRPr="00793A69">
        <w:rPr>
          <w:rFonts w:ascii="Arial" w:cs="Arial" w:hAnsi="Arial"/>
        </w:rPr>
        <w:t>adds</w:t>
      </w:r>
      <w:proofErr w:type="gramEnd"/>
      <w:r w:rsidRPr="00793A69">
        <w:rPr>
          <w:rFonts w:ascii="Arial" w:cs="Arial" w:hAnsi="Arial"/>
        </w:rPr>
        <w:t xml:space="preserve"> value to its core customer base and also gives the start-ups higher visibility.</w:t>
      </w:r>
    </w:p>
    <w:p w:rsidR="00CE167C" w:rsidRDefault="00CE167C" w14:paraId="777AB2E4" w14:textId="77777777" w:rsidP="001C4075" w:rsidRPr="00793A69">
      <w:pPr>
        <w:jc w:val="both"/>
        <w:spacing w:line="360" w:lineRule="auto"/>
        <w:rPr>
          <w:rFonts w:ascii="Arial" w:cs="Arial" w:hAnsi="Arial"/>
        </w:rPr>
      </w:pPr>
      <w:r w:rsidRPr="00793A69">
        <w:rPr>
          <w:rFonts w:ascii="Arial" w:cs="Arial" w:hAnsi="Arial"/>
        </w:rPr>
        <w:t xml:space="preserve">Streamlined lending is the other key innovation that Barclays bank has accomplished. One big achievement at this level has been that Barclays invested in a highly-automated consumer lending business. This has caused it to become the biggest digital unsecured personal lender in the UK. The most important result is a win-win scenario in which the customers </w:t>
      </w:r>
      <w:proofErr w:type="gramStart"/>
      <w:r w:rsidRPr="00793A69">
        <w:rPr>
          <w:rFonts w:ascii="Arial" w:cs="Arial" w:hAnsi="Arial"/>
        </w:rPr>
        <w:t>enjoys</w:t>
      </w:r>
      <w:proofErr w:type="gramEnd"/>
      <w:r w:rsidRPr="00793A69">
        <w:rPr>
          <w:rFonts w:ascii="Arial" w:cs="Arial" w:hAnsi="Arial"/>
        </w:rPr>
        <w:t xml:space="preserve"> faster loan processing while the bank </w:t>
      </w:r>
      <w:r w:rsidRPr="00793A69">
        <w:rPr>
          <w:lang w:val="en-US"/>
          <w:rFonts w:ascii="Arial" w:cs="Arial" w:hAnsi="Arial"/>
        </w:rPr>
        <w:t xml:space="preserve">from greater efficiency </w:t>
      </w:r>
      <w:r w:rsidRPr="00793A69">
        <w:rPr>
          <w:rFonts w:ascii="Arial" w:cs="Arial" w:hAnsi="Arial"/>
        </w:rPr>
        <w:t>and fewer customer.</w:t>
      </w:r>
    </w:p>
    <w:p w:rsidR="00F36090" w:rsidRDefault="00F36090" w14:paraId="392DCAB1" w14:textId="463BB0C2" w:rsidP="005D7624" w:rsidRPr="00793A69">
      <w:pPr>
        <w:outlineLvl w:val="2"/>
        <w:pStyle w:val="ListParagraph"/>
        <w:numPr>
          <w:ilvl w:val="0"/>
          <w:numId w:val="2"/>
        </w:numPr>
        <w:jc w:val="both"/>
        <w:spacing w:line="360" w:lineRule="auto"/>
        <w:tabs>
          <w:tab w:val="num" w:pos="1440"/>
        </w:tabs>
        <w:rPr>
          <w:bCs/>
          <w:lang w:val="en-US"/>
          <w:b/>
          <w:rFonts w:ascii="Arial" w:cs="Arial" w:hAnsi="Arial"/>
        </w:rPr>
      </w:pPr>
      <w:bookmarkStart w:id="4" w:name="_Toc211874333"/>
      <w:r w:rsidRPr="00793A69">
        <w:rPr>
          <w:bCs/>
          <w:lang w:val="en-US"/>
          <w:b/>
          <w:rFonts w:ascii="Arial" w:cs="Arial" w:hAnsi="Arial"/>
        </w:rPr>
        <w:t>Adjacent</w:t>
      </w:r>
      <w:r w:rsidR="0065188E" w:rsidRPr="00793A69">
        <w:rPr>
          <w:bCs/>
          <w:lang w:val="en-US"/>
          <w:b/>
          <w:rFonts w:ascii="Arial" w:cs="Arial" w:hAnsi="Arial"/>
        </w:rPr>
        <w:t xml:space="preserve"> Innovation</w:t>
      </w:r>
      <w:bookmarkEnd w:id="4"/>
    </w:p>
    <w:p w:rsidR="0071062F" w:rsidRDefault="0071062F" w14:paraId="2CC5B780" w14:textId="77777777" w:rsidP="00F36090" w:rsidRPr="00793A69">
      <w:pPr>
        <w:jc w:val="both"/>
        <w:spacing w:line="360" w:lineRule="auto"/>
        <w:tabs>
          <w:tab w:val="num" w:pos="1440"/>
        </w:tabs>
        <w:rPr>
          <w:lang w:val="en-US"/>
          <w:rFonts w:ascii="Arial" w:cs="Arial" w:hAnsi="Arial"/>
        </w:rPr>
      </w:pPr>
      <w:r w:rsidRPr="00793A69">
        <w:rPr>
          <w:lang w:val="en-US"/>
          <w:rFonts w:ascii="Arial" w:cs="Arial" w:hAnsi="Arial"/>
        </w:rPr>
        <w:t>The horizon 2 innovations are those intended to expand into new space but spaces that are still related to the core strengths of the bank. These new spaces may include the introduction of new products to the bank or penetration of new customer segments of the bank (</w:t>
      </w:r>
      <w:proofErr w:type="spellStart"/>
      <w:r w:rsidRPr="00793A69">
        <w:rPr>
          <w:lang w:val="en-US"/>
          <w:rFonts w:ascii="Arial" w:cs="Arial" w:hAnsi="Arial"/>
        </w:rPr>
        <w:t>Nagji</w:t>
      </w:r>
      <w:proofErr w:type="spellEnd"/>
      <w:r w:rsidRPr="00793A69">
        <w:rPr>
          <w:lang w:val="en-US"/>
          <w:rFonts w:ascii="Arial" w:cs="Arial" w:hAnsi="Arial"/>
        </w:rPr>
        <w:t xml:space="preserve"> and Tuff, 2012).</w:t>
      </w:r>
    </w:p>
    <w:p w:rsidR="0071062F" w:rsidRDefault="00972158" w14:paraId="381D831D" w14:textId="77777777" w:rsidP="00F36090" w:rsidRPr="00793A69">
      <w:pPr>
        <w:jc w:val="both"/>
        <w:spacing w:line="360" w:lineRule="auto"/>
        <w:tabs>
          <w:tab w:val="num" w:pos="1440"/>
        </w:tabs>
        <w:rPr>
          <w:lang w:val="en-US"/>
          <w:rFonts w:ascii="Arial" w:cs="Arial" w:hAnsi="Arial"/>
        </w:rPr>
      </w:pPr>
      <w:r w:rsidRPr="00793A69">
        <w:rPr>
          <w:lang w:val="en-US"/>
          <w:rFonts w:ascii="Arial" w:cs="Arial" w:hAnsi="Arial"/>
        </w:rPr>
        <w:t xml:space="preserve">A good example is the Barclays Eagle Labs. It is not conventional business banking. Rather, it offers physical and virtual hubs, mentoring, and networking to UK technology startups and scale-ups. This action has a strategic posture of positioning Barclays in the ecosystem of innovation, establishing a relationship with the high-growth businesses of the future. The other strategy is the growth of its ESG (Environmental, Social, and Governance) and sustainable </w:t>
      </w:r>
      <w:r w:rsidRPr="00793A69">
        <w:rPr>
          <w:lang w:val="en-US"/>
          <w:rFonts w:ascii="Arial" w:cs="Arial" w:hAnsi="Arial"/>
        </w:rPr>
        <w:t>banking products</w:t>
        <w:lastRenderedPageBreak/>
      </w:r>
      <w:r w:rsidR="00DD3050" w:rsidRPr="00793A69">
        <w:rPr>
          <w:lang w:val="en-US"/>
          <w:rFonts w:ascii="Arial" w:cs="Arial" w:hAnsi="Arial"/>
        </w:rPr>
        <w:t xml:space="preserve"> </w:t>
      </w:r>
      <w:r w:rsidR="00DD3050" w:rsidRPr="00793A69">
        <w:rPr>
          <w:rFonts w:ascii="Arial" w:cs="Arial" w:hAnsi="Arial"/>
        </w:rPr>
        <w:t>(</w:t>
      </w:r>
      <w:r w:rsidR="00DD3050" w:rsidRPr="00793A69">
        <w:rPr>
          <w:lang w:val="en-US"/>
          <w:rFonts w:ascii="Arial" w:cs="Arial" w:hAnsi="Arial"/>
        </w:rPr>
        <w:t>Barclays, 2024)</w:t>
      </w:r>
      <w:r w:rsidRPr="00793A69">
        <w:rPr>
          <w:lang w:val="en-US"/>
          <w:rFonts w:ascii="Arial" w:cs="Arial" w:hAnsi="Arial"/>
        </w:rPr>
        <w:t xml:space="preserve">. Introducing green mortgages or sustainable investment funds among its retail customers represents a new product category. Barclays uses its current brand name and customer base to tap into the growing demand for ethical finance. In addition, the bank launched Barclays </w:t>
      </w:r>
      <w:proofErr w:type="spellStart"/>
      <w:r w:rsidRPr="00793A69">
        <w:rPr>
          <w:lang w:val="en-US"/>
          <w:rFonts w:ascii="Arial" w:cs="Arial" w:hAnsi="Arial"/>
        </w:rPr>
        <w:t>LifeSkills</w:t>
      </w:r>
      <w:proofErr w:type="spellEnd"/>
      <w:r w:rsidRPr="00793A69">
        <w:rPr>
          <w:lang w:val="en-US"/>
          <w:rFonts w:ascii="Arial" w:cs="Arial" w:hAnsi="Arial"/>
        </w:rPr>
        <w:t xml:space="preserve"> </w:t>
      </w:r>
      <w:proofErr w:type="spellStart"/>
      <w:r w:rsidRPr="00793A69">
        <w:rPr>
          <w:lang w:val="en-US"/>
          <w:rFonts w:ascii="Arial" w:cs="Arial" w:hAnsi="Arial"/>
        </w:rPr>
        <w:t>programme</w:t>
      </w:r>
      <w:proofErr w:type="spellEnd"/>
      <w:r w:rsidRPr="00793A69">
        <w:rPr>
          <w:lang w:val="en-US"/>
          <w:rFonts w:ascii="Arial" w:cs="Arial" w:hAnsi="Arial"/>
        </w:rPr>
        <w:t>, offering career and skill-related training materials to individuals not part of its customer base. This innovation is related to corporate social responsibility and future talent development, strengthening its brand equity and social license to operate.</w:t>
      </w:r>
      <w:r w:rsidR="00467770" w:rsidRPr="00793A69">
        <w:t xml:space="preserve"> </w:t>
      </w:r>
      <w:r w:rsidR="00467770" w:rsidRPr="00793A69">
        <w:rPr>
          <w:lang w:val="en-US"/>
          <w:rFonts w:ascii="Arial" w:cs="Arial" w:hAnsi="Arial"/>
        </w:rPr>
        <w:t xml:space="preserve">These adjacent moves </w:t>
      </w:r>
      <w:proofErr w:type="spellStart"/>
      <w:r w:rsidR="00400A21" w:rsidRPr="00793A69">
        <w:rPr>
          <w:lang w:val="en-US"/>
          <w:rFonts w:ascii="Arial" w:cs="Arial" w:hAnsi="Arial"/>
        </w:rPr>
        <w:t>utilis</w:t>
      </w:r>
      <w:r w:rsidR="00467770" w:rsidRPr="00793A69">
        <w:rPr>
          <w:lang w:val="en-US"/>
          <w:rFonts w:ascii="Arial" w:cs="Arial" w:hAnsi="Arial"/>
        </w:rPr>
        <w:t>e</w:t>
      </w:r>
      <w:proofErr w:type="spellEnd"/>
      <w:r w:rsidR="00467770" w:rsidRPr="00793A69">
        <w:rPr>
          <w:lang w:val="en-US"/>
          <w:rFonts w:ascii="Arial" w:cs="Arial" w:hAnsi="Arial"/>
        </w:rPr>
        <w:t xml:space="preserve"> the large size of Barclays, its already built brand loyalty, and customer relationships. In the Eagle Labs innovation, Barclays relies on its credibility to attract startups, whereas in the ESG products innovation the bank leverages its existing demand from its current retail base.</w:t>
      </w:r>
    </w:p>
    <w:p w:rsidR="00F36090" w:rsidRDefault="00F36090" w14:paraId="5F3BD2AA" w14:textId="213606F8" w:rsidP="005D7624" w:rsidRPr="00793A69">
      <w:pPr>
        <w:outlineLvl w:val="2"/>
        <w:pStyle w:val="ListParagraph"/>
        <w:numPr>
          <w:ilvl w:val="0"/>
          <w:numId w:val="2"/>
        </w:numPr>
        <w:jc w:val="both"/>
        <w:spacing w:line="360" w:lineRule="auto"/>
        <w:tabs>
          <w:tab w:val="num" w:pos="1440"/>
        </w:tabs>
        <w:rPr>
          <w:bCs/>
          <w:lang w:val="en-US"/>
          <w:b/>
          <w:rFonts w:ascii="Arial" w:cs="Arial" w:hAnsi="Arial"/>
        </w:rPr>
      </w:pPr>
      <w:bookmarkStart w:id="5" w:name="_Toc211874334"/>
      <w:r w:rsidRPr="00793A69">
        <w:rPr>
          <w:bCs/>
          <w:lang w:val="en-US"/>
          <w:b/>
          <w:rFonts w:ascii="Arial" w:cs="Arial" w:hAnsi="Arial"/>
        </w:rPr>
        <w:t>Transformati</w:t>
      </w:r>
      <w:r w:rsidR="00287A54" w:rsidRPr="00793A69">
        <w:rPr>
          <w:bCs/>
          <w:lang w:val="en-US"/>
          <w:b/>
          <w:rFonts w:ascii="Arial" w:cs="Arial" w:hAnsi="Arial"/>
        </w:rPr>
        <w:t>onal</w:t>
      </w:r>
      <w:r w:rsidR="0065188E" w:rsidRPr="00793A69">
        <w:rPr>
          <w:bCs/>
          <w:lang w:val="en-US"/>
          <w:b/>
          <w:rFonts w:ascii="Arial" w:cs="Arial" w:hAnsi="Arial"/>
        </w:rPr>
        <w:t xml:space="preserve"> Innovation</w:t>
      </w:r>
      <w:bookmarkEnd w:id="5"/>
    </w:p>
    <w:p w:rsidR="00F36090" w:rsidRDefault="00F36090" w14:paraId="150DA983" w14:textId="77777777" w:rsidP="00F36090" w:rsidRPr="00793A69">
      <w:pPr>
        <w:jc w:val="both"/>
        <w:spacing w:line="360" w:lineRule="auto"/>
        <w:tabs>
          <w:tab w:val="num" w:pos="1440"/>
        </w:tabs>
        <w:rPr>
          <w:lang w:val="en-US"/>
          <w:rFonts w:ascii="Arial" w:cs="Arial" w:hAnsi="Arial"/>
        </w:rPr>
      </w:pPr>
      <w:r w:rsidRPr="00793A69">
        <w:rPr>
          <w:lang w:val="en-US"/>
          <w:rFonts w:ascii="Arial" w:cs="Arial" w:hAnsi="Arial"/>
        </w:rPr>
        <w:t>This is the riskiest and most futuristic type of innovation. It is a way of the company to bet on future using current resources. The innovations done in this horizon do not improve the bank’s current status, nor do they expand into any related areas. Through these innovations the bank explores technologies that could completely change what a bank is or make parts of it obsolete. Barclays is moving very carefully here, making small bets on potential game-changers rather than huge, risky leaps.</w:t>
      </w:r>
    </w:p>
    <w:p w:rsidR="00DA5619" w:rsidRDefault="00F36090" w14:paraId="482CD3B1" w14:textId="77777777" w:rsidP="00F36090" w:rsidRPr="00793A69">
      <w:pPr>
        <w:jc w:val="both"/>
        <w:spacing w:line="360" w:lineRule="auto"/>
        <w:tabs>
          <w:tab w:val="num" w:pos="1440"/>
        </w:tabs>
        <w:rPr>
          <w:lang w:val="en-US"/>
          <w:rFonts w:ascii="Arial" w:cs="Arial" w:hAnsi="Arial"/>
        </w:rPr>
      </w:pPr>
      <w:r w:rsidRPr="00793A69">
        <w:rPr>
          <w:lang w:val="en-US"/>
          <w:rFonts w:ascii="Arial" w:cs="Arial" w:hAnsi="Arial"/>
        </w:rPr>
        <w:t>One area they are exploring is </w:t>
      </w:r>
      <w:r w:rsidRPr="00793A69">
        <w:rPr>
          <w:bCs/>
          <w:lang w:val="en-US"/>
          <w:rFonts w:ascii="Arial" w:cs="Arial" w:hAnsi="Arial"/>
        </w:rPr>
        <w:t xml:space="preserve">blockchain and the </w:t>
      </w:r>
      <w:proofErr w:type="spellStart"/>
      <w:r w:rsidRPr="00793A69">
        <w:rPr>
          <w:bCs/>
          <w:lang w:val="en-US"/>
          <w:rFonts w:ascii="Arial" w:cs="Arial" w:hAnsi="Arial"/>
        </w:rPr>
        <w:t>tokenisation</w:t>
      </w:r>
      <w:proofErr w:type="spellEnd"/>
      <w:r w:rsidRPr="00793A69">
        <w:rPr>
          <w:bCs/>
          <w:lang w:val="en-US"/>
          <w:rFonts w:ascii="Arial" w:cs="Arial" w:hAnsi="Arial"/>
        </w:rPr>
        <w:t xml:space="preserve"> of assets</w:t>
      </w:r>
      <w:r w:rsidRPr="00793A69">
        <w:rPr>
          <w:lang w:val="en-US"/>
          <w:rFonts w:ascii="Arial" w:cs="Arial" w:hAnsi="Arial"/>
        </w:rPr>
        <w:t xml:space="preserve">. </w:t>
      </w:r>
      <w:r w:rsidR="00111C71" w:rsidRPr="00793A69">
        <w:rPr>
          <w:lang w:val="en-US"/>
          <w:rFonts w:ascii="Arial" w:cs="Arial" w:hAnsi="Arial"/>
        </w:rPr>
        <w:t xml:space="preserve">According to Reuters (2025), Barclays bank is one of the UK banks currently running a pilot project for this innovation. </w:t>
      </w:r>
      <w:r w:rsidR="00DA5619" w:rsidRPr="00793A69">
        <w:rPr>
          <w:lang w:val="en-US"/>
          <w:rFonts w:ascii="Arial" w:cs="Arial" w:hAnsi="Arial"/>
        </w:rPr>
        <w:t xml:space="preserve">This kind of innovation involves converting real-life assets such as stocks or bonds into digital currencies on a blockchain. The benefit of this innovation to the trading process is speed and transparency. In terms of pricing, this innovation can make such assets affordable. This is a typical Horizon 3 innovation because of the fact that it is uncertain. </w:t>
      </w:r>
    </w:p>
    <w:p w:rsidR="00DA5619" w:rsidRDefault="00DA5619" w14:paraId="7AC2039D" w14:textId="77777777" w:rsidP="00DA5619" w:rsidRPr="00793A69">
      <w:pPr>
        <w:jc w:val="both"/>
        <w:spacing w:line="360" w:lineRule="auto"/>
        <w:tabs>
          <w:tab w:val="num" w:pos="1440"/>
        </w:tabs>
        <w:rPr>
          <w:lang w:val="en-US"/>
          <w:rFonts w:ascii="Arial" w:cs="Arial" w:hAnsi="Arial"/>
        </w:rPr>
      </w:pPr>
      <w:r w:rsidRPr="00793A69">
        <w:rPr>
          <w:lang w:val="en-US"/>
          <w:rFonts w:ascii="Arial" w:cs="Arial" w:hAnsi="Arial"/>
        </w:rPr>
        <w:t>Barclays Bank UK is also investing a lot on Advanced AI and Data. Although there is some AI application in core innovation such as the one used in fraud detection, more experimental applications come within this scope. These include artificial intelligence where the customers have an AI to play the role of a full-sized and hyper-</w:t>
      </w:r>
      <w:proofErr w:type="spellStart"/>
      <w:r w:rsidRPr="00793A69">
        <w:rPr>
          <w:lang w:val="en-US"/>
          <w:rFonts w:ascii="Arial" w:cs="Arial" w:hAnsi="Arial"/>
        </w:rPr>
        <w:t>personalised</w:t>
      </w:r>
      <w:proofErr w:type="spellEnd"/>
      <w:r w:rsidRPr="00793A69">
        <w:rPr>
          <w:lang w:val="en-US"/>
          <w:rFonts w:ascii="Arial" w:cs="Arial" w:hAnsi="Arial"/>
        </w:rPr>
        <w:t xml:space="preserve"> financial advisor. This AI financial advisor makes complex decisions on behalf of the customers. This innovation enhances service delivery as well as transforming the customer's entire relationship with their money.</w:t>
      </w:r>
    </w:p>
    <w:p w:rsidR="00B22591" w:rsidRDefault="00BB6A90" w14:paraId="0011A7D5" w14:textId="2A0950A4" w:rsidP="00912271" w:rsidRPr="00793A69">
      <w:pPr>
        <w:pStyle w:val="Heading2"/>
        <w:rPr>
          <w:lang w:val="en-US"/>
          <w:b/>
          <w:color w:val="auto"/>
          <w:rFonts w:ascii="Arial" w:cs="Arial" w:hAnsi="Arial"/>
          <w:sz w:val="22"/>
          <w:szCs w:val="22"/>
        </w:rPr>
      </w:pPr>
      <w:bookmarkStart w:id="6" w:name="_Toc211874335"/>
      <w:r w:rsidRPr="00793A69">
        <w:rPr>
          <w:lang w:val="en-US"/>
          <w:b/>
          <w:color w:val="auto"/>
          <w:rFonts w:ascii="Arial" w:cs="Arial" w:hAnsi="Arial"/>
          <w:sz w:val="22"/>
          <w:szCs w:val="22"/>
        </w:rPr>
        <w:t>Part 1</w:t>
      </w:r>
      <w:r w:rsidR="005D7624" w:rsidRPr="00793A69">
        <w:rPr>
          <w:lang w:val="en-US"/>
          <w:b/>
          <w:color w:val="auto"/>
          <w:rFonts w:ascii="Arial" w:cs="Arial" w:hAnsi="Arial"/>
          <w:sz w:val="22"/>
          <w:szCs w:val="22"/>
        </w:rPr>
        <w:t>.2</w:t>
      </w:r>
      <w:r w:rsidRPr="00793A69">
        <w:rPr>
          <w:lang w:val="en-US"/>
          <w:b/>
          <w:color w:val="auto"/>
          <w:rFonts w:ascii="Arial" w:cs="Arial" w:hAnsi="Arial"/>
          <w:sz w:val="22"/>
          <w:szCs w:val="22"/>
        </w:rPr>
        <w:t>: Customer Journey Mapping</w:t>
      </w:r>
      <w:bookmarkEnd w:id="6"/>
      <w:r w:rsidRPr="00793A69">
        <w:rPr>
          <w:lang w:val="en-US"/>
          <w:b/>
          <w:color w:val="auto"/>
          <w:rFonts w:ascii="Arial" w:cs="Arial" w:hAnsi="Arial"/>
          <w:sz w:val="22"/>
          <w:szCs w:val="22"/>
        </w:rPr>
        <w:t xml:space="preserve"> </w:t>
      </w:r>
    </w:p>
    <w:p w:rsidR="00B22591" w:rsidRDefault="00BB6A90" w14:paraId="40604B5B" w14:textId="77777777" w:rsidP="00BB6A90" w:rsidRPr="00793A69">
      <w:pPr>
        <w:jc w:val="both"/>
        <w:spacing w:line="360" w:lineRule="auto"/>
        <w:tabs>
          <w:tab w:val="num" w:pos="1440"/>
        </w:tabs>
        <w:rPr>
          <w:lang w:val="en-US"/>
          <w:rFonts w:ascii="Arial" w:cs="Arial" w:hAnsi="Arial"/>
        </w:rPr>
      </w:pPr>
      <w:r w:rsidRPr="00793A69">
        <w:rPr>
          <w:lang w:val="en-US"/>
          <w:rFonts w:ascii="Arial" w:cs="Arial" w:hAnsi="Arial"/>
        </w:rPr>
        <w:t xml:space="preserve">This section walks through the </w:t>
      </w:r>
      <w:r w:rsidR="00B22591" w:rsidRPr="00793A69">
        <w:rPr>
          <w:lang w:val="en-US"/>
          <w:rFonts w:ascii="Arial" w:cs="Arial" w:hAnsi="Arial"/>
        </w:rPr>
        <w:t>journey</w:t>
      </w:r>
      <w:r w:rsidRPr="00793A69">
        <w:rPr>
          <w:lang w:val="en-US"/>
          <w:rFonts w:ascii="Arial" w:cs="Arial" w:hAnsi="Arial"/>
        </w:rPr>
        <w:t xml:space="preserve"> of Barclays' most </w:t>
      </w:r>
      <w:r w:rsidR="00B22591" w:rsidRPr="00793A69">
        <w:rPr>
          <w:lang w:val="en-US"/>
          <w:rFonts w:ascii="Arial" w:cs="Arial" w:hAnsi="Arial"/>
        </w:rPr>
        <w:t>valuable</w:t>
      </w:r>
      <w:r w:rsidRPr="00793A69">
        <w:rPr>
          <w:lang w:val="en-US"/>
          <w:rFonts w:ascii="Arial" w:cs="Arial" w:hAnsi="Arial"/>
        </w:rPr>
        <w:t xml:space="preserve"> customer </w:t>
      </w:r>
      <w:r w:rsidR="00B22591" w:rsidRPr="00793A69">
        <w:rPr>
          <w:lang w:val="en-US"/>
          <w:rFonts w:ascii="Arial" w:cs="Arial" w:hAnsi="Arial"/>
        </w:rPr>
        <w:t xml:space="preserve">segments. This is a tech-savvy segment and the customers in </w:t>
      </w:r>
      <w:proofErr w:type="gramStart"/>
      <w:r w:rsidR="00B22591" w:rsidRPr="00793A69">
        <w:rPr>
          <w:lang w:val="en-US"/>
          <w:rFonts w:ascii="Arial" w:cs="Arial" w:hAnsi="Arial"/>
        </w:rPr>
        <w:t>this segments</w:t>
      </w:r>
      <w:proofErr w:type="gramEnd"/>
      <w:r w:rsidR="00B22591" w:rsidRPr="00793A69">
        <w:rPr>
          <w:lang w:val="en-US"/>
          <w:rFonts w:ascii="Arial" w:cs="Arial" w:hAnsi="Arial"/>
        </w:rPr>
        <w:t xml:space="preserve"> </w:t>
      </w:r>
      <w:r w:rsidRPr="00793A69">
        <w:rPr>
          <w:lang w:val="en-US"/>
          <w:rFonts w:ascii="Arial" w:cs="Arial" w:hAnsi="Arial"/>
        </w:rPr>
        <w:t xml:space="preserve">use the bank for their everyday current account needs. </w:t>
      </w:r>
      <w:r w:rsidR="00B22591" w:rsidRPr="00793A69">
        <w:rPr>
          <w:lang w:val="en-US"/>
          <w:rFonts w:ascii="Arial" w:cs="Arial" w:hAnsi="Arial"/>
        </w:rPr>
        <w:t>The journey covers four important steps which outline where Barclays is winning and where it is failing.</w:t>
      </w:r>
    </w:p>
    <w:p w:rsidR="00BB6A90" w:rsidRDefault="00BB6A90" w14:paraId="4937A5A5" w14:textId="77777777" w:rsidP="005D7624" w:rsidRPr="00793A69">
      <w:pPr>
        <w:pStyle w:val="Heading3"/>
        <w:rPr>
          <w:lang w:val="en-US"/>
          <w:b/>
          <w:color w:val="auto"/>
          <w:rFonts w:ascii="Arial" w:cs="Arial" w:hAnsi="Arial"/>
          <w:sz w:val="22"/>
          <w:szCs w:val="22"/>
        </w:rPr>
      </w:pPr>
      <w:bookmarkStart w:id="7" w:name="_Toc211874336"/>
      <w:r w:rsidRPr="00793A69">
        <w:rPr>
          <w:lang w:val="en-US"/>
          <w:b/>
          <w:color w:val="auto"/>
          <w:rFonts w:ascii="Arial" w:cs="Arial" w:hAnsi="Arial"/>
          <w:sz w:val="22"/>
          <w:szCs w:val="22"/>
        </w:rPr>
        <w:t xml:space="preserve">Stage 1: </w:t>
        <w:lastRenderedPageBreak/>
      </w:r>
      <w:r w:rsidR="00495605" w:rsidRPr="00793A69">
        <w:rPr>
          <w:lang w:val="en-US"/>
          <w:b/>
          <w:color w:val="auto"/>
          <w:rFonts w:ascii="Arial" w:cs="Arial" w:hAnsi="Arial"/>
          <w:sz w:val="22"/>
          <w:szCs w:val="22"/>
        </w:rPr>
        <w:t>Awareness</w:t>
      </w:r>
      <w:bookmarkEnd w:id="7"/>
      <w:r w:rsidRPr="00793A69">
        <w:rPr>
          <w:lang w:val="en-US"/>
          <w:b/>
          <w:color w:val="auto"/>
          <w:rFonts w:ascii="Arial" w:cs="Arial" w:hAnsi="Arial"/>
          <w:sz w:val="22"/>
          <w:szCs w:val="22"/>
        </w:rPr>
        <w:t xml:space="preserve"> </w:t>
      </w:r>
    </w:p>
    <w:p w:rsidR="00ED2954" w:rsidRDefault="00ED2954" w14:paraId="76DA8C45" w14:textId="77777777" w:rsidP="00BB6A90" w:rsidRPr="00793A69">
      <w:pPr>
        <w:jc w:val="both"/>
        <w:spacing w:line="360" w:lineRule="auto"/>
        <w:tabs>
          <w:tab w:val="num" w:pos="1440"/>
        </w:tabs>
        <w:rPr>
          <w:lang w:val="en-US"/>
          <w:rFonts w:ascii="Arial" w:cs="Arial" w:hAnsi="Arial"/>
        </w:rPr>
      </w:pPr>
      <w:r w:rsidRPr="00793A69">
        <w:rPr>
          <w:lang w:val="en-US"/>
          <w:rFonts w:ascii="Arial" w:cs="Arial" w:hAnsi="Arial"/>
        </w:rPr>
        <w:t xml:space="preserve">The first step towards experiencing Barclay Bank UK is to research about a certain account and going ahead with opening an account with the bank. The digital onboarding process is a point of significant gain in the case of </w:t>
      </w:r>
      <w:proofErr w:type="spellStart"/>
      <w:r w:rsidRPr="00793A69">
        <w:rPr>
          <w:lang w:val="en-US"/>
          <w:rFonts w:ascii="Arial" w:cs="Arial" w:hAnsi="Arial"/>
        </w:rPr>
        <w:t>standardised</w:t>
      </w:r>
      <w:proofErr w:type="spellEnd"/>
      <w:r w:rsidRPr="00793A69">
        <w:rPr>
          <w:lang w:val="en-US"/>
          <w:rFonts w:ascii="Arial" w:cs="Arial" w:hAnsi="Arial"/>
        </w:rPr>
        <w:t xml:space="preserve"> products such as a basic current account. It is efficient, and even a customer can complete an application on their smartphone in several minutes, which can be viewed as an indicator of how the banking industry is shifting towards efficient </w:t>
      </w:r>
      <w:r w:rsidR="00EA6548" w:rsidRPr="00793A69">
        <w:rPr>
          <w:lang w:val="en-US"/>
          <w:rFonts w:ascii="Arial" w:cs="Arial" w:hAnsi="Arial"/>
        </w:rPr>
        <w:t>customer acquisition (King, 2018</w:t>
      </w:r>
      <w:r w:rsidRPr="00793A69">
        <w:rPr>
          <w:lang w:val="en-US"/>
          <w:rFonts w:ascii="Arial" w:cs="Arial" w:hAnsi="Arial"/>
        </w:rPr>
        <w:t>). This gives a good initial impression and shows digital prowess.</w:t>
      </w:r>
    </w:p>
    <w:p w:rsidR="00014BD1" w:rsidRDefault="00495605" w14:paraId="39443165" w14:textId="77777777" w:rsidP="00BB6A90" w:rsidRPr="00793A69">
      <w:pPr>
        <w:jc w:val="both"/>
        <w:spacing w:line="360" w:lineRule="auto"/>
        <w:tabs>
          <w:tab w:val="num" w:pos="1440"/>
        </w:tabs>
        <w:rPr>
          <w:lang w:val="en-US"/>
          <w:rFonts w:ascii="Arial" w:cs="Arial" w:hAnsi="Arial"/>
        </w:rPr>
      </w:pPr>
      <w:r w:rsidRPr="00793A69">
        <w:rPr>
          <w:lang w:val="en-US"/>
          <w:rFonts w:ascii="Arial" w:cs="Arial" w:hAnsi="Arial"/>
        </w:rPr>
        <w:t xml:space="preserve">However, it is not always smooth sailing until the customer requires a more involved service like trying to find a mortgage or an investment product. </w:t>
      </w:r>
      <w:r w:rsidR="007C053D" w:rsidRPr="00793A69">
        <w:rPr>
          <w:lang w:val="en-US"/>
          <w:rFonts w:ascii="Arial" w:cs="Arial" w:hAnsi="Arial"/>
        </w:rPr>
        <w:t>The customer is presented with a lot of information and choices that are hard to compare. This presents a pain point since the customer start losing trust in the bank online system.</w:t>
      </w:r>
    </w:p>
    <w:p w:rsidR="00495605" w:rsidRDefault="00495605" w14:paraId="0827D320" w14:textId="77777777" w:rsidP="005D7624" w:rsidRPr="00793A69">
      <w:pPr>
        <w:pStyle w:val="Heading3"/>
        <w:rPr>
          <w:bCs/>
          <w:lang w:val="en-US"/>
          <w:b/>
          <w:color w:val="auto"/>
          <w:rFonts w:ascii="Arial" w:cs="Arial" w:hAnsi="Arial"/>
          <w:sz w:val="22"/>
          <w:szCs w:val="22"/>
        </w:rPr>
      </w:pPr>
      <w:bookmarkStart w:id="8" w:name="_Toc211874337"/>
      <w:r w:rsidRPr="00793A69">
        <w:rPr>
          <w:bCs/>
          <w:lang w:val="en-US"/>
          <w:b/>
          <w:color w:val="auto"/>
          <w:rFonts w:ascii="Arial" w:cs="Arial" w:hAnsi="Arial"/>
          <w:sz w:val="22"/>
          <w:szCs w:val="22"/>
        </w:rPr>
        <w:t>Stage 2: Consideration</w:t>
      </w:r>
      <w:bookmarkEnd w:id="8"/>
    </w:p>
    <w:p w:rsidR="00495605" w:rsidRDefault="00495605" w14:paraId="7ADB2785" w14:textId="77777777" w:rsidP="00495605" w:rsidRPr="00793A69">
      <w:pPr>
        <w:jc w:val="both"/>
        <w:spacing w:line="360" w:lineRule="auto"/>
        <w:tabs>
          <w:tab w:val="num" w:pos="1440"/>
        </w:tabs>
        <w:rPr>
          <w:lang w:val="en-US"/>
          <w:rFonts w:ascii="Arial" w:cs="Arial" w:hAnsi="Arial"/>
        </w:rPr>
      </w:pPr>
      <w:r w:rsidRPr="00793A69">
        <w:rPr>
          <w:lang w:val="en-US"/>
          <w:rFonts w:ascii="Arial" w:cs="Arial" w:hAnsi="Arial"/>
        </w:rPr>
        <w:t>At this point, the customer cannot make a decision on their own. They are therefore forced to switch from the effective and fast digital platform to a human advisor. The transition is not smooth. It may even require the customer to move to the physical branch so that they can get the help they need. At this moment, a once seamless and fast process is slowed down. Consistency across touchpoints is the key to the positive customer journey (Lemon and Verhoef, 2016). Such an initial lack of convergence can set a negative tone for the entire journey. The customer may doubt whether the bank can adequately address their more complex financial needs through the digital channel.</w:t>
      </w:r>
    </w:p>
    <w:p w:rsidR="00495605" w:rsidRDefault="00495605" w14:paraId="448822A9" w14:textId="77777777" w:rsidP="005D7624" w:rsidRPr="00793A69">
      <w:pPr>
        <w:pStyle w:val="Heading3"/>
        <w:rPr>
          <w:bCs/>
          <w:lang w:val="en-US"/>
          <w:b/>
          <w:color w:val="auto"/>
          <w:rFonts w:ascii="Arial" w:cs="Arial" w:hAnsi="Arial"/>
          <w:sz w:val="22"/>
          <w:szCs w:val="22"/>
        </w:rPr>
      </w:pPr>
      <w:bookmarkStart w:id="9" w:name="_Toc211874338"/>
      <w:r w:rsidRPr="00793A69">
        <w:rPr>
          <w:bCs/>
          <w:lang w:val="en-US"/>
          <w:b/>
          <w:color w:val="auto"/>
          <w:rFonts w:ascii="Arial" w:cs="Arial" w:hAnsi="Arial"/>
          <w:sz w:val="22"/>
          <w:szCs w:val="22"/>
        </w:rPr>
        <w:t>Stage 3: Purchase</w:t>
      </w:r>
      <w:bookmarkEnd w:id="9"/>
    </w:p>
    <w:p w:rsidR="00495605" w:rsidRDefault="00495605" w14:paraId="35A68549" w14:textId="77777777" w:rsidP="00495605" w:rsidRPr="00793A69">
      <w:pPr>
        <w:jc w:val="both"/>
        <w:spacing w:line="360" w:lineRule="auto"/>
        <w:tabs>
          <w:tab w:val="num" w:pos="1440"/>
        </w:tabs>
        <w:rPr>
          <w:lang w:val="en-US"/>
          <w:rFonts w:ascii="Arial" w:cs="Arial" w:hAnsi="Arial"/>
        </w:rPr>
      </w:pPr>
      <w:r w:rsidRPr="00793A69">
        <w:rPr>
          <w:lang w:val="en-US"/>
          <w:rFonts w:ascii="Arial" w:cs="Arial" w:hAnsi="Arial"/>
        </w:rPr>
        <w:t>The most essential part of the customer relationship is managing finances every day with the help of the Barclays mobile application. In this case, the Core Innovation extensively invested in by the bank brings clear benefits. Details such as biometric authentication, live transaction confirmations, and the existence of the savings pots offer physical convenience and a feeling of control. This addresses the demands of the modern consumer of getting instant access and money management tools (King, 2018).</w:t>
      </w:r>
    </w:p>
    <w:p w:rsidR="00495605" w:rsidRDefault="00495605" w14:paraId="50541DD5" w14:textId="77777777" w:rsidP="00495605" w:rsidRPr="00793A69">
      <w:pPr>
        <w:jc w:val="both"/>
        <w:spacing w:line="360" w:lineRule="auto"/>
        <w:tabs>
          <w:tab w:val="num" w:pos="1440"/>
        </w:tabs>
        <w:rPr>
          <w:lang w:val="en-US"/>
          <w:rFonts w:ascii="Arial" w:cs="Arial" w:hAnsi="Arial"/>
        </w:rPr>
      </w:pPr>
      <w:r w:rsidRPr="00793A69">
        <w:rPr>
          <w:lang w:val="en-US"/>
          <w:rFonts w:ascii="Arial" w:cs="Arial" w:hAnsi="Arial"/>
        </w:rPr>
        <w:t xml:space="preserve">Even though the application is good when one is opening an account and running it, there exists a pain point. The </w:t>
      </w:r>
      <w:proofErr w:type="spellStart"/>
      <w:r w:rsidRPr="00793A69">
        <w:rPr>
          <w:lang w:val="en-US"/>
          <w:rFonts w:ascii="Arial" w:cs="Arial" w:hAnsi="Arial"/>
        </w:rPr>
        <w:t>personalised</w:t>
      </w:r>
      <w:proofErr w:type="spellEnd"/>
      <w:r w:rsidRPr="00793A69">
        <w:rPr>
          <w:lang w:val="en-US"/>
          <w:rFonts w:ascii="Arial" w:cs="Arial" w:hAnsi="Arial"/>
        </w:rPr>
        <w:t xml:space="preserve"> insights offered can sometimes feel generic. They do not have the touch that the customer expects to get. They fail to </w:t>
      </w:r>
      <w:proofErr w:type="spellStart"/>
      <w:r w:rsidRPr="00793A69">
        <w:rPr>
          <w:lang w:val="en-US"/>
          <w:rFonts w:ascii="Arial" w:cs="Arial" w:hAnsi="Arial"/>
        </w:rPr>
        <w:t>utilise</w:t>
      </w:r>
      <w:proofErr w:type="spellEnd"/>
      <w:r w:rsidRPr="00793A69">
        <w:rPr>
          <w:lang w:val="en-US"/>
          <w:rFonts w:ascii="Arial" w:cs="Arial" w:hAnsi="Arial"/>
        </w:rPr>
        <w:t xml:space="preserve"> the data available to deliver truly proactive and hyper-relevant financial advice. This is not the case with other modern banks like Monzo or Starling. Their apps are often brighter, easier to understand, and feel friendlier.</w:t>
      </w:r>
    </w:p>
    <w:p w:rsidR="00495605" w:rsidRDefault="00495605" w14:paraId="460945D3" w14:textId="77777777" w:rsidP="005D7624" w:rsidRPr="00793A69">
      <w:pPr>
        <w:pStyle w:val="Heading3"/>
        <w:rPr>
          <w:bCs/>
          <w:lang w:val="en-US"/>
          <w:b/>
          <w:color w:val="auto"/>
          <w:rFonts w:ascii="Arial" w:cs="Arial" w:hAnsi="Arial"/>
          <w:sz w:val="22"/>
          <w:szCs w:val="22"/>
        </w:rPr>
      </w:pPr>
      <w:bookmarkStart w:id="10" w:name="_Toc211874339"/>
      <w:r w:rsidRPr="00793A69">
        <w:rPr>
          <w:bCs/>
          <w:lang w:val="en-US"/>
          <w:b/>
          <w:color w:val="auto"/>
          <w:rFonts w:ascii="Arial" w:cs="Arial" w:hAnsi="Arial"/>
          <w:sz w:val="22"/>
          <w:szCs w:val="22"/>
        </w:rPr>
        <w:t>Stage 4: Post-Purchase</w:t>
        <w:lastRenderedPageBreak/>
      </w:r>
      <w:bookmarkEnd w:id="10"/>
    </w:p>
    <w:p w:rsidR="00532F07" w:rsidRDefault="00495605" w14:paraId="6CC89A7F" w14:textId="77777777" w:rsidP="00495605" w:rsidRPr="00793A69">
      <w:pPr>
        <w:jc w:val="both"/>
        <w:spacing w:line="360" w:lineRule="auto"/>
        <w:tabs>
          <w:tab w:val="num" w:pos="1440"/>
        </w:tabs>
        <w:rPr>
          <w:lang w:val="en-US"/>
          <w:rFonts w:ascii="Arial" w:cs="Arial" w:hAnsi="Arial"/>
        </w:rPr>
      </w:pPr>
      <w:r w:rsidRPr="00793A69">
        <w:rPr>
          <w:lang w:val="en-US"/>
          <w:rFonts w:ascii="Arial" w:cs="Arial" w:hAnsi="Arial"/>
        </w:rPr>
        <w:t xml:space="preserve">Customer support journey is a critical moment of truth where the customers form an opinion about Barclays as a whole. The first point of gain is the very presence of the multi-channel support structure such as in-app chat, telephone support, and a network of branches with real, physical means of help. </w:t>
      </w:r>
      <w:r w:rsidR="00532F07" w:rsidRPr="00793A69">
        <w:rPr>
          <w:lang w:val="en-US"/>
          <w:rFonts w:ascii="Arial" w:cs="Arial" w:hAnsi="Arial"/>
        </w:rPr>
        <w:t>All of these channels assure the customers that they can access any help when they need it irrespective of the problem. The existence of this omnichannel promise is the large advantage of conventional banks over digital entrants.</w:t>
      </w:r>
    </w:p>
    <w:p w:rsidR="007A1391" w:rsidRDefault="007A1391" w14:paraId="66DBFB16" w14:textId="77777777" w:rsidP="00495605" w:rsidRPr="00793A69">
      <w:pPr>
        <w:jc w:val="both"/>
        <w:spacing w:line="360" w:lineRule="auto"/>
        <w:tabs>
          <w:tab w:val="num" w:pos="1440"/>
        </w:tabs>
        <w:rPr>
          <w:lang w:val="en-US"/>
          <w:rFonts w:ascii="Arial" w:cs="Arial" w:hAnsi="Arial"/>
        </w:rPr>
      </w:pPr>
      <w:r w:rsidRPr="00793A69">
        <w:rPr>
          <w:lang w:val="en-US"/>
          <w:rFonts w:ascii="Arial" w:cs="Arial" w:hAnsi="Arial"/>
        </w:rPr>
        <w:t>One of the many channels that a customer is directed to when the online option does not work is meeting a financial advisor physical. Some of the pain points the customer is met with in this channel are the long queues in the branch and long wait for the customer representatives to pick the phone calls. Phone calls are passed to various customer service representatives and they are made to speak to different agents about the same issue. Once they are connected with the advisor and now need to take the mortgage, they are then forced to refill their information again while they filled the same when opening account using the online site.</w:t>
      </w:r>
      <w:r w:rsidRPr="00793A69">
        <w:t xml:space="preserve"> </w:t>
      </w:r>
      <w:r w:rsidRPr="00793A69">
        <w:rPr>
          <w:lang w:val="en-US"/>
          <w:rFonts w:ascii="Arial" w:cs="Arial" w:hAnsi="Arial"/>
        </w:rPr>
        <w:t xml:space="preserve">This is present a significant gap in system integration. </w:t>
      </w:r>
    </w:p>
    <w:p w:rsidR="00495605" w:rsidRDefault="00495605" w14:paraId="203C6C10" w14:textId="77777777" w:rsidP="005D7624" w:rsidRPr="00793A69">
      <w:pPr>
        <w:pStyle w:val="Heading3"/>
        <w:rPr>
          <w:bCs/>
          <w:lang w:val="en-US"/>
          <w:b/>
          <w:color w:val="auto"/>
          <w:rFonts w:ascii="Arial" w:cs="Arial" w:hAnsi="Arial"/>
          <w:sz w:val="22"/>
          <w:szCs w:val="22"/>
        </w:rPr>
      </w:pPr>
      <w:bookmarkStart w:id="11" w:name="_Toc211874340"/>
      <w:r w:rsidRPr="00793A69">
        <w:rPr>
          <w:bCs/>
          <w:lang w:val="en-US"/>
          <w:b/>
          <w:color w:val="auto"/>
          <w:rFonts w:ascii="Arial" w:cs="Arial" w:hAnsi="Arial"/>
          <w:sz w:val="22"/>
          <w:szCs w:val="22"/>
        </w:rPr>
        <w:t>Stage 5: Retention</w:t>
      </w:r>
      <w:bookmarkEnd w:id="11"/>
    </w:p>
    <w:p w:rsidR="00495605" w:rsidRDefault="00495605" w14:paraId="490A58F6" w14:textId="77777777" w:rsidP="00495605" w:rsidRPr="00793A69">
      <w:pPr>
        <w:jc w:val="both"/>
        <w:spacing w:line="360" w:lineRule="auto"/>
        <w:tabs>
          <w:tab w:val="num" w:pos="1440"/>
        </w:tabs>
        <w:rPr>
          <w:lang w:val="en-US"/>
          <w:rFonts w:ascii="Arial" w:cs="Arial" w:hAnsi="Arial"/>
        </w:rPr>
      </w:pPr>
      <w:r w:rsidRPr="00793A69">
        <w:rPr>
          <w:lang w:val="en-US"/>
          <w:rFonts w:ascii="Arial" w:cs="Arial" w:hAnsi="Arial"/>
        </w:rPr>
        <w:t>There comes a time when the customer wants more than basic spending of money. They seek new products like a mortgage or loan. They are not only a current account holder anymore</w:t>
      </w:r>
      <w:r w:rsidR="007A1391" w:rsidRPr="00793A69">
        <w:rPr>
          <w:lang w:val="en-US"/>
          <w:rFonts w:ascii="Arial" w:cs="Arial" w:hAnsi="Arial"/>
        </w:rPr>
        <w:t xml:space="preserve">, </w:t>
      </w:r>
      <w:r w:rsidRPr="00793A69">
        <w:rPr>
          <w:lang w:val="en-US"/>
          <w:rFonts w:ascii="Arial" w:cs="Arial" w:hAnsi="Arial"/>
        </w:rPr>
        <w:t xml:space="preserve">they are potential long-term, high-value clients now. This represents the best chance that Barclays has to justify its value and win years of business. The customer begins this journey with a sense of trust and a desire to store all their money in a </w:t>
      </w:r>
      <w:proofErr w:type="spellStart"/>
      <w:r w:rsidRPr="00793A69">
        <w:rPr>
          <w:lang w:val="en-US"/>
          <w:rFonts w:ascii="Arial" w:cs="Arial" w:hAnsi="Arial"/>
        </w:rPr>
        <w:t>centralised</w:t>
      </w:r>
      <w:proofErr w:type="spellEnd"/>
      <w:r w:rsidRPr="00793A69">
        <w:rPr>
          <w:lang w:val="en-US"/>
          <w:rFonts w:ascii="Arial" w:cs="Arial" w:hAnsi="Arial"/>
        </w:rPr>
        <w:t xml:space="preserve"> location. But this is where the online experience tends to crumble. The customer does not feel rewarded by their loyalty, but rather like they are beginning anew with a stranger.</w:t>
      </w:r>
    </w:p>
    <w:p w:rsidR="00495605" w:rsidRDefault="00495605" w14:paraId="2D03A338" w14:textId="77777777" w:rsidP="00495605" w:rsidRPr="00793A69">
      <w:pPr>
        <w:jc w:val="both"/>
        <w:spacing w:line="360" w:lineRule="auto"/>
        <w:tabs>
          <w:tab w:val="num" w:pos="1440"/>
        </w:tabs>
        <w:rPr>
          <w:lang w:val="en-US"/>
          <w:rFonts w:ascii="Arial" w:cs="Arial" w:hAnsi="Arial"/>
        </w:rPr>
      </w:pPr>
      <w:r w:rsidRPr="00793A69">
        <w:rPr>
          <w:lang w:val="en-US"/>
          <w:rFonts w:ascii="Arial" w:cs="Arial" w:hAnsi="Arial"/>
        </w:rPr>
        <w:t>In other words, the process of applying for a mortgage feels like a completely new process. The customer feels like they have not been a part of this bank. Starting the process of completing an online registration, then again having to meet a physical advisor feels tiresome and can make a customer actually switch to a different bank. The same tools they relied on to carry out day-to-day banking become useless in this more crucial activity. It is not just disappointment; rather, it is intense frustration at the point of contact. The bank familiar with how they spend their money day by day suddenly appears not to know anything about their bigger financial prospects. It is this inability to build a streamlined, smart ride to some of the most important life occasions that ultimately causes customers to turn to other organisations.</w:t>
      </w:r>
    </w:p>
    <w:p w:rsidR="00495605" w:rsidRDefault="00495605" w14:paraId="7F996A9D" w14:textId="77777777" w:rsidP="00BB6A90" w:rsidRPr="00793A69">
      <w:pPr>
        <w:jc w:val="both"/>
        <w:spacing w:line="360" w:lineRule="auto"/>
        <w:tabs>
          <w:tab w:val="num" w:pos="1440"/>
        </w:tabs>
        <w:rPr>
          <w:lang w:val="en-US"/>
          <w:rFonts w:ascii="Arial" w:cs="Arial" w:hAnsi="Arial"/>
        </w:rPr>
      </w:pPr>
    </w:p>
    <w:p w:rsidR="00BC315F" w:rsidRDefault="00BC315F" w14:paraId="3B9C0FFB" w14:textId="77777777" w:rsidP="00BC315F" w:rsidRPr="00793A69">
      <w:pPr>
        <w:spacing w:line="360" w:lineRule="auto"/>
        <w:tabs>
          <w:tab w:val="num" w:pos="1440"/>
        </w:tabs>
        <w:rPr>
          <w:lang w:val="en-US"/>
          <w:rFonts w:ascii="Arial" w:cs="Arial" w:hAnsi="Arial"/>
        </w:rPr>
      </w:pPr>
    </w:p>
    <w:p w:rsidR="00990A85" w:rsidRDefault="00912271" w14:paraId="6D1DEF44" w14:textId="77777777" w:rsidP="00793A69" w:rsidRPr="00793A69">
      <w:pPr>
        <w:pStyle w:val="Heading1"/>
        <w:spacing w:line="360" w:lineRule="auto"/>
        <w:rPr>
          <w:lang w:val="en-US"/>
          <w:b/>
          <w:color w:val="auto"/>
          <w:rFonts w:ascii="Arial" w:cs="Arial" w:hAnsi="Arial"/>
          <w:sz w:val="22"/>
          <w:szCs w:val="22"/>
        </w:rPr>
      </w:pPr>
      <w:bookmarkStart w:id="12" w:name="_Toc211874341"/>
      <w:r w:rsidRPr="00793A69">
        <w:rPr>
          <w:lang w:val="en-US"/>
          <w:b/>
          <w:color w:val="auto"/>
          <w:rFonts w:ascii="Arial" w:cs="Arial" w:hAnsi="Arial"/>
          <w:sz w:val="22"/>
          <w:szCs w:val="22"/>
        </w:rPr>
        <w:t>Part 2: Proposing a Digital Transformation Initiative</w:t>
        <w:lastRenderedPageBreak/>
      </w:r>
      <w:bookmarkEnd w:id="12"/>
    </w:p>
    <w:p w:rsidR="0000406F" w:rsidRDefault="00793A69" w14:paraId="3070F0CD" w14:textId="0C6BE76B" w:rsidP="0000406F" w:rsidRPr="00793A69">
      <w:pPr>
        <w:pStyle w:val="Heading2"/>
        <w:spacing w:line="360" w:lineRule="auto"/>
        <w:rPr>
          <w:lang w:val="en-US"/>
          <w:b/>
          <w:color w:val="auto"/>
          <w:rFonts w:ascii="Arial" w:cs="Arial" w:hAnsi="Arial"/>
          <w:sz w:val="22"/>
          <w:szCs w:val="22"/>
        </w:rPr>
      </w:pPr>
      <w:bookmarkStart w:id="13" w:name="_Toc211874342"/>
      <w:r w:rsidRPr="00793A69">
        <w:rPr>
          <w:lang w:val="en-US"/>
          <w:b/>
          <w:color w:val="auto"/>
          <w:rFonts w:ascii="Arial" w:cs="Arial" w:hAnsi="Arial"/>
          <w:sz w:val="22"/>
          <w:szCs w:val="22"/>
        </w:rPr>
        <w:t xml:space="preserve">Step 1: </w:t>
      </w:r>
      <w:r w:rsidR="0000406F" w:rsidRPr="00793A69">
        <w:rPr>
          <w:lang w:val="en-US"/>
          <w:b/>
          <w:color w:val="auto"/>
          <w:rFonts w:ascii="Arial" w:cs="Arial" w:hAnsi="Arial"/>
          <w:sz w:val="22"/>
          <w:szCs w:val="22"/>
        </w:rPr>
        <w:t>Identifying the Core Problem</w:t>
      </w:r>
      <w:bookmarkEnd w:id="13"/>
      <w:r w:rsidR="0000406F" w:rsidRPr="00793A69">
        <w:rPr>
          <w:lang w:val="en-US"/>
          <w:b/>
          <w:color w:val="auto"/>
          <w:rFonts w:ascii="Arial" w:cs="Arial" w:hAnsi="Arial"/>
          <w:sz w:val="22"/>
          <w:szCs w:val="22"/>
        </w:rPr>
        <w:t xml:space="preserve"> </w:t>
      </w:r>
    </w:p>
    <w:p w:rsidR="0068054A" w:rsidRDefault="0068054A" w14:paraId="77D2ADEE" w14:textId="77777777" w:rsidP="0068054A" w:rsidRPr="00793A69">
      <w:pPr>
        <w:jc w:val="both"/>
        <w:spacing w:line="360" w:lineRule="auto"/>
        <w:tabs>
          <w:tab w:val="num" w:pos="1440"/>
        </w:tabs>
        <w:rPr>
          <w:lang w:val="en-US"/>
          <w:rFonts w:ascii="Arial" w:cs="Arial" w:hAnsi="Arial"/>
        </w:rPr>
      </w:pPr>
    </w:p>
    <w:p w:rsidR="0068054A" w:rsidRDefault="0068054A" w14:paraId="68676BE9" w14:textId="77777777" w:rsidP="0068054A" w:rsidRPr="00793A69">
      <w:pPr>
        <w:jc w:val="both"/>
        <w:spacing w:line="360" w:lineRule="auto"/>
        <w:tabs>
          <w:tab w:val="num" w:pos="1440"/>
        </w:tabs>
        <w:rPr>
          <w:lang w:val="en-US"/>
          <w:rFonts w:ascii="Arial" w:cs="Arial" w:hAnsi="Arial"/>
        </w:rPr>
      </w:pPr>
      <w:r w:rsidRPr="00793A69">
        <w:rPr>
          <w:lang w:val="en-US"/>
          <w:rFonts w:ascii="Arial" w:cs="Arial" w:hAnsi="Arial"/>
        </w:rPr>
        <w:t xml:space="preserve">The issue with Barclays that the customer journey map reveals is not the absence of technology, but an utterly fragmented and impersonal customer experience. This disintegration puts a barrier between the bank and its customers, compromising loyalty and driving them away to rivals (Lemon and Verhoef, 2016). First pain point is the big disconnect between digital and human channels. A customer can take time to do researches about a product such as a mortgage on the Barclays site, but still, they will require the services of an advisor, this makes the customer feel like their online effort is wasted. Instead of a more efficient digital channel, they are made to change to a time-consuming phone call or visit to the branch. Worse still, upon visiting the branch, they are required to individually re-enter all their information. This discontinuity and inefficiency </w:t>
      </w:r>
      <w:proofErr w:type="gramStart"/>
      <w:r w:rsidRPr="00793A69">
        <w:rPr>
          <w:lang w:val="en-US"/>
          <w:rFonts w:ascii="Arial" w:cs="Arial" w:hAnsi="Arial"/>
        </w:rPr>
        <w:t>makes</w:t>
      </w:r>
      <w:proofErr w:type="gramEnd"/>
      <w:r w:rsidRPr="00793A69">
        <w:rPr>
          <w:lang w:val="en-US"/>
          <w:rFonts w:ascii="Arial" w:cs="Arial" w:hAnsi="Arial"/>
        </w:rPr>
        <w:t xml:space="preserve"> the bank to seem </w:t>
      </w:r>
      <w:proofErr w:type="spellStart"/>
      <w:r w:rsidRPr="00793A69">
        <w:rPr>
          <w:lang w:val="en-US"/>
          <w:rFonts w:ascii="Arial" w:cs="Arial" w:hAnsi="Arial"/>
        </w:rPr>
        <w:t>unorganised</w:t>
      </w:r>
      <w:proofErr w:type="spellEnd"/>
      <w:r w:rsidRPr="00793A69">
        <w:rPr>
          <w:lang w:val="en-US"/>
          <w:rFonts w:ascii="Arial" w:cs="Arial" w:hAnsi="Arial"/>
        </w:rPr>
        <w:t xml:space="preserve"> and forgetful. It makes the digital and physical services look as if they are two different entities and not components of a single journey. </w:t>
      </w:r>
    </w:p>
    <w:p w:rsidR="0068054A" w:rsidRDefault="00484A58" w14:paraId="62A3AB93" w14:textId="77777777" w:rsidP="0000406F" w:rsidRPr="00793A69">
      <w:pPr>
        <w:jc w:val="both"/>
        <w:spacing w:line="360" w:lineRule="auto"/>
        <w:tabs>
          <w:tab w:val="num" w:pos="1440"/>
        </w:tabs>
        <w:rPr>
          <w:lang w:val="en-US"/>
          <w:rFonts w:ascii="Arial" w:cs="Arial" w:hAnsi="Arial"/>
        </w:rPr>
      </w:pPr>
      <w:r w:rsidRPr="00793A69">
        <w:rPr>
          <w:lang w:val="en-US"/>
          <w:rFonts w:ascii="Arial" w:cs="Arial" w:hAnsi="Arial"/>
        </w:rPr>
        <w:t>Second, Barclays does not harness the data it possesses to deliver hyper-</w:t>
      </w:r>
      <w:proofErr w:type="spellStart"/>
      <w:r w:rsidRPr="00793A69">
        <w:rPr>
          <w:lang w:val="en-US"/>
          <w:rFonts w:ascii="Arial" w:cs="Arial" w:hAnsi="Arial"/>
        </w:rPr>
        <w:t>personalised</w:t>
      </w:r>
      <w:proofErr w:type="spellEnd"/>
      <w:r w:rsidRPr="00793A69">
        <w:rPr>
          <w:lang w:val="en-US"/>
          <w:rFonts w:ascii="Arial" w:cs="Arial" w:hAnsi="Arial"/>
        </w:rPr>
        <w:t xml:space="preserve"> service proactively. The bank holds much information relating to how the customers spend, save and handle their finances but this is not exploited. The insights provided in the app usually seem generic and reactive merely conveying past transactions as opposed to predicting future requirements. To illustrate, the bank has the knowledge of when a customer is saving to make a deposit, yet it does not take an initiative of guiding them nor does it give them timely and pre-approved mortgage opportunities. This is an enormous lost opportunity to establish a trusting, advisory relationship (</w:t>
      </w:r>
      <w:r w:rsidR="00DF32B0" w:rsidRPr="00793A69">
        <w:rPr>
          <w:lang w:val="en-US"/>
          <w:rFonts w:ascii="Arial" w:cs="Arial" w:hAnsi="Arial"/>
        </w:rPr>
        <w:t>Karpen and Conduit, 2020)</w:t>
      </w:r>
      <w:r w:rsidRPr="00793A69">
        <w:rPr>
          <w:lang w:val="en-US"/>
          <w:rFonts w:ascii="Arial" w:cs="Arial" w:hAnsi="Arial"/>
        </w:rPr>
        <w:t>. In a world where other firms, such as Netflix and Amazon, are applying data to forecast needs, the generic strategy of Barclays is old-fashioned and cold.</w:t>
      </w:r>
      <w:r w:rsidR="00871E4A" w:rsidRPr="00793A69">
        <w:rPr>
          <w:lang w:val="en-US"/>
          <w:rFonts w:ascii="Arial" w:cs="Arial" w:hAnsi="Arial"/>
        </w:rPr>
        <w:t xml:space="preserve"> </w:t>
      </w:r>
      <w:r w:rsidR="00871E4A" w:rsidRPr="00793A69">
        <w:rPr>
          <w:rFonts w:ascii="Arial" w:cs="Arial" w:hAnsi="Arial"/>
        </w:rPr>
        <w:t>T</w:t>
      </w:r>
      <w:r w:rsidRPr="00793A69">
        <w:rPr>
          <w:rFonts w:ascii="Arial" w:cs="Arial" w:hAnsi="Arial"/>
        </w:rPr>
        <w:t>hese problems result in a defective process on complex, high-</w:t>
      </w:r>
      <w:r w:rsidR="00871E4A" w:rsidRPr="00793A69">
        <w:rPr>
          <w:rFonts w:ascii="Arial" w:cs="Arial" w:hAnsi="Arial"/>
        </w:rPr>
        <w:t>value</w:t>
      </w:r>
      <w:r w:rsidRPr="00793A69">
        <w:rPr>
          <w:rFonts w:ascii="Arial" w:cs="Arial" w:hAnsi="Arial"/>
        </w:rPr>
        <w:t xml:space="preserve"> products. Obtaining a mortgage or a large-scale loan is a lengthy, paper-heavy, and obscured process. </w:t>
      </w:r>
    </w:p>
    <w:p w:rsidR="00930868" w:rsidRDefault="00793A69" w14:paraId="3BFA0FC1" w14:textId="535E938F" w:rsidP="00930868" w:rsidRPr="00793A69">
      <w:pPr>
        <w:pStyle w:val="Heading2"/>
        <w:rPr>
          <w:lang w:val="en-US"/>
          <w:b/>
          <w:color w:val="auto"/>
          <w:rFonts w:ascii="Arial" w:cs="Arial" w:hAnsi="Arial"/>
          <w:sz w:val="22"/>
          <w:szCs w:val="22"/>
        </w:rPr>
      </w:pPr>
      <w:bookmarkStart w:id="14" w:name="_Toc211874343"/>
      <w:r w:rsidRPr="00793A69">
        <w:rPr>
          <w:lang w:val="en-US"/>
          <w:b/>
          <w:color w:val="auto"/>
          <w:rFonts w:ascii="Arial" w:cs="Arial" w:hAnsi="Arial"/>
          <w:sz w:val="22"/>
          <w:szCs w:val="22"/>
        </w:rPr>
        <w:t xml:space="preserve">Step 2: </w:t>
      </w:r>
      <w:r w:rsidR="00930868" w:rsidRPr="00793A69">
        <w:rPr>
          <w:lang w:val="en-US"/>
          <w:b/>
          <w:color w:val="auto"/>
          <w:rFonts w:ascii="Arial" w:cs="Arial" w:hAnsi="Arial"/>
          <w:sz w:val="22"/>
          <w:szCs w:val="22"/>
        </w:rPr>
        <w:t>Developing the Digital Solution – The Barclays Smart Path</w:t>
      </w:r>
      <w:bookmarkEnd w:id="14"/>
    </w:p>
    <w:p w:rsidR="009B42C3" w:rsidRDefault="009B42C3" w14:paraId="033B216E" w14:textId="77777777" w:rsidP="00930868" w:rsidRPr="00793A69">
      <w:pPr>
        <w:jc w:val="both"/>
        <w:spacing w:line="360" w:lineRule="auto"/>
        <w:tabs>
          <w:tab w:val="num" w:pos="1440"/>
        </w:tabs>
        <w:rPr>
          <w:lang w:val="en-US"/>
          <w:rFonts w:ascii="Arial" w:cs="Arial" w:hAnsi="Arial"/>
        </w:rPr>
      </w:pPr>
    </w:p>
    <w:p w:rsidR="007572BE" w:rsidRDefault="00AC5B52" w14:paraId="0E7E22ED" w14:textId="77777777" w:rsidP="007572BE" w:rsidRPr="00793A69">
      <w:pPr>
        <w:jc w:val="both"/>
        <w:spacing w:line="360" w:lineRule="auto"/>
        <w:tabs>
          <w:tab w:val="num" w:pos="1440"/>
        </w:tabs>
        <w:rPr>
          <w:lang w:val="en-US"/>
          <w:rFonts w:ascii="Arial" w:cs="Arial" w:hAnsi="Arial"/>
        </w:rPr>
      </w:pPr>
      <w:r w:rsidRPr="00793A69">
        <w:rPr>
          <w:lang w:val="en-US"/>
          <w:rFonts w:ascii="Arial" w:cs="Arial" w:hAnsi="Arial"/>
        </w:rPr>
        <w:t xml:space="preserve">In order to address the sharp issue of a divided and </w:t>
      </w:r>
      <w:proofErr w:type="spellStart"/>
      <w:r w:rsidRPr="00793A69">
        <w:rPr>
          <w:lang w:val="en-US"/>
          <w:rFonts w:ascii="Arial" w:cs="Arial" w:hAnsi="Arial"/>
        </w:rPr>
        <w:t>robotised</w:t>
      </w:r>
      <w:proofErr w:type="spellEnd"/>
      <w:r w:rsidRPr="00793A69">
        <w:rPr>
          <w:lang w:val="en-US"/>
          <w:rFonts w:ascii="Arial" w:cs="Arial" w:hAnsi="Arial"/>
        </w:rPr>
        <w:t xml:space="preserve"> customer experience, we will consider creating and introducing the Barclays Smart Path an integrated. This AI-driven application will be housed within the Barclays mobile application. </w:t>
      </w:r>
      <w:r w:rsidR="009B42C3" w:rsidRPr="00793A69">
        <w:rPr>
          <w:lang w:val="en-US"/>
          <w:rFonts w:ascii="Arial" w:cs="Arial" w:hAnsi="Arial"/>
        </w:rPr>
        <w:t xml:space="preserve">The heart of the Smart Path is a </w:t>
      </w:r>
      <w:proofErr w:type="spellStart"/>
      <w:r w:rsidR="009B42C3" w:rsidRPr="00793A69">
        <w:rPr>
          <w:lang w:val="en-US"/>
          <w:rFonts w:ascii="Arial" w:cs="Arial" w:hAnsi="Arial"/>
        </w:rPr>
        <w:t>Centralised</w:t>
      </w:r>
      <w:proofErr w:type="spellEnd"/>
      <w:r w:rsidR="009B42C3" w:rsidRPr="00793A69">
        <w:rPr>
          <w:lang w:val="en-US"/>
          <w:rFonts w:ascii="Arial" w:cs="Arial" w:hAnsi="Arial"/>
        </w:rPr>
        <w:t xml:space="preserve"> AI and Data Hub. The system would take advantage of machine learning algorithms to access the existing customer data, as well as consent-based access to Open Banking data. This will enable the AI to develop a rich, holistic perspective of the financial </w:t>
      </w:r>
      <w:r w:rsidR="009B42C3" w:rsidRPr="00793A69">
        <w:rPr>
          <w:lang w:val="en-US"/>
          <w:rFonts w:ascii="Arial" w:cs="Arial" w:hAnsi="Arial"/>
        </w:rPr>
        <w:t xml:space="preserve">health, goals and </w:t>
        <w:lastRenderedPageBreak/>
      </w:r>
      <w:proofErr w:type="spellStart"/>
      <w:r w:rsidR="009B42C3" w:rsidRPr="00793A69">
        <w:rPr>
          <w:lang w:val="en-US"/>
          <w:rFonts w:ascii="Arial" w:cs="Arial" w:hAnsi="Arial"/>
        </w:rPr>
        <w:t>behaviours</w:t>
      </w:r>
      <w:proofErr w:type="spellEnd"/>
      <w:r w:rsidR="009B42C3" w:rsidRPr="00793A69">
        <w:rPr>
          <w:lang w:val="en-US"/>
          <w:rFonts w:ascii="Arial" w:cs="Arial" w:hAnsi="Arial"/>
        </w:rPr>
        <w:t xml:space="preserve"> of an individual. This AI would bring real hyper-</w:t>
      </w:r>
      <w:proofErr w:type="spellStart"/>
      <w:r w:rsidR="009B42C3" w:rsidRPr="00793A69">
        <w:rPr>
          <w:lang w:val="en-US"/>
          <w:rFonts w:ascii="Arial" w:cs="Arial" w:hAnsi="Arial"/>
        </w:rPr>
        <w:t>personalisation</w:t>
      </w:r>
      <w:proofErr w:type="spellEnd"/>
      <w:r w:rsidR="009B42C3" w:rsidRPr="00793A69">
        <w:rPr>
          <w:lang w:val="en-US"/>
          <w:rFonts w:ascii="Arial" w:cs="Arial" w:hAnsi="Arial"/>
        </w:rPr>
        <w:t xml:space="preserve"> unlike the existing generic insights. As an example, it may look at the cash flow and saving habits of a customer and automatically alert them when they are about to be able to afford a mortgage deposit (Frost et al., 2019). It might also allow custom product offers, such as a higher-yield savings account when it notices a very large current account balance. This places the position of the bank as an active financial partner as opposed to a transaction processor, generating trust and engagements by showing to the customer a deep focus on the individual circumstances (</w:t>
      </w:r>
      <w:r w:rsidR="00DF32B0" w:rsidRPr="00793A69">
        <w:rPr>
          <w:lang w:val="en-US"/>
          <w:rFonts w:ascii="Arial" w:cs="Arial" w:hAnsi="Arial"/>
        </w:rPr>
        <w:t>Karpen and Conduit, 2020</w:t>
      </w:r>
      <w:r w:rsidR="009B42C3" w:rsidRPr="00793A69">
        <w:rPr>
          <w:lang w:val="en-US"/>
          <w:rFonts w:ascii="Arial" w:cs="Arial" w:hAnsi="Arial"/>
        </w:rPr>
        <w:t>).</w:t>
      </w:r>
    </w:p>
    <w:p w:rsidR="007572BE" w:rsidRDefault="007572BE" w14:paraId="180E86CA" w14:textId="77777777" w:rsidP="007572BE" w:rsidRPr="00793A69">
      <w:pPr>
        <w:jc w:val="both"/>
        <w:spacing w:line="360" w:lineRule="auto"/>
        <w:tabs>
          <w:tab w:val="num" w:pos="1440"/>
        </w:tabs>
        <w:rPr>
          <w:lang w:val="en-US"/>
          <w:rFonts w:ascii="Arial" w:cs="Arial" w:hAnsi="Arial"/>
        </w:rPr>
      </w:pPr>
      <w:r w:rsidRPr="00793A69">
        <w:rPr>
          <w:lang w:val="en-US"/>
          <w:rFonts w:ascii="Arial" w:cs="Arial" w:hAnsi="Arial"/>
        </w:rPr>
        <w:t>The second element is Seamless Omnichannel Integration Layer which addresses the serious issue of channel disconnect. The Smart Path platform would be a single customer profile, which is available and updated at all touchpoints of Barclays. In cases where a customer has to be served by a human (ex: to a mortgage advisor), the platform facilitates a warm handoff. The customer has an opportunity to make a video call directly in the app, and the advisor gets into the call with the full profile of Smart Path of the customer in front of her/his eyes, showing their pre-qualified amounts, product exploration history, and notes (Lemon and Verhoef, 2016). This gets rid of the customer repeating his or her information forming a smooth, continuous dialogue. The system also makes sure that regardless of which channel the customer uses to contact the bank, chat, phone, video, or branch, then when it comes to the journey, the system ensures that all the employees have the full picture of the journey and therefore make the bank look like a living organism and not like a siloed and forgetful system.</w:t>
      </w:r>
    </w:p>
    <w:p w:rsidR="00FF52E8" w:rsidRDefault="00DE2206" w14:paraId="0055AFB4" w14:textId="77777777" w:rsidP="00930868" w:rsidRPr="00793A69">
      <w:pPr>
        <w:jc w:val="both"/>
        <w:spacing w:line="360" w:lineRule="auto"/>
        <w:tabs>
          <w:tab w:val="num" w:pos="1440"/>
        </w:tabs>
        <w:rPr>
          <w:lang w:val="en-US"/>
          <w:rFonts w:ascii="Arial" w:cs="Arial" w:hAnsi="Arial"/>
        </w:rPr>
      </w:pPr>
      <w:r w:rsidRPr="00793A69">
        <w:rPr>
          <w:lang w:val="en-US"/>
          <w:rFonts w:ascii="Arial" w:cs="Arial" w:hAnsi="Arial"/>
        </w:rPr>
        <w:t>Lastly, in case of complex applications of the products, the Smart Path presents a Transparent Workflow Tracker. This is a feature, which works as a tracking service of financial products, like a parcel tracking service. Upon applying a mortgage or loan to the Smart Path, a customer gets a transparent, graphical, dashboard on which the current status of their loan or mortgage application can be seen. Every process, such as credit checks and appraisal, underwriting, and final offer, can be easily viewed, including predicted timeframes and markers of the necessity of the customer to take any action (Huang and Rust, 2021). The customers will not be left in the dark guessing on what is done with their application. Not only does this help to reduce stress, but it also lets the customer feel a sense of control and visibility, which directly clears the dissatisfaction felt by the existing and slow process and makes the trust established in the most crucial stage of the banking relationship (</w:t>
      </w:r>
      <w:r w:rsidR="0062776F" w:rsidRPr="00793A69">
        <w:rPr>
          <w:lang w:val="en-US"/>
          <w:rFonts w:ascii="Arial" w:cs="Arial" w:hAnsi="Arial"/>
        </w:rPr>
        <w:t>Ghandour, 2021</w:t>
      </w:r>
      <w:r w:rsidRPr="00793A69">
        <w:rPr>
          <w:lang w:val="en-US"/>
          <w:rFonts w:ascii="Arial" w:cs="Arial" w:hAnsi="Arial"/>
        </w:rPr>
        <w:t>). Through a blend of proactive AI, complete integration and complete transparency, the Barclays Smart Path provides a solitary, intelligent search spots of the comprehensive monetary life of the customer, ultimately bringing the consumable, fly-by-wire experience new consumers require.</w:t>
      </w:r>
    </w:p>
    <w:p w:rsidR="004E21CE" w:rsidRDefault="004E21CE" w14:paraId="72424855" w14:textId="77777777" w:rsidP="004E21CE" w:rsidRPr="00793A69">
      <w:pPr>
        <w:rPr>
          <w:lang w:val="en-US"/>
        </w:rPr>
      </w:pPr>
    </w:p>
    <w:p w:rsidR="00036329" w:rsidRDefault="00793A69" w14:paraId="73DDCAB5" w14:textId="40A678CC" w:rsidP="004E21CE" w:rsidRPr="00793A69">
      <w:pPr>
        <w:pStyle w:val="Heading2"/>
        <w:spacing w:line="360" w:lineRule="auto"/>
        <w:rPr>
          <w:lang w:val="en-US"/>
          <w:b/>
          <w:color w:val="auto"/>
          <w:rFonts w:ascii="Arial" w:cs="Arial" w:hAnsi="Arial"/>
          <w:sz w:val="22"/>
          <w:szCs w:val="22"/>
        </w:rPr>
      </w:pPr>
      <w:bookmarkStart w:id="15" w:name="_Toc211874344"/>
      <w:r w:rsidRPr="00793A69">
        <w:rPr>
          <w:lang w:val="en-US"/>
          <w:b/>
          <w:color w:val="auto"/>
          <w:rFonts w:ascii="Arial" w:cs="Arial" w:hAnsi="Arial"/>
          <w:sz w:val="22"/>
          <w:szCs w:val="22"/>
        </w:rPr>
        <w:t xml:space="preserve">Step 3: </w:t>
        <w:lastRenderedPageBreak/>
      </w:r>
      <w:r w:rsidR="00036329" w:rsidRPr="00793A69">
        <w:rPr>
          <w:lang w:val="en-US"/>
          <w:b/>
          <w:color w:val="auto"/>
          <w:rFonts w:ascii="Arial" w:cs="Arial" w:hAnsi="Arial"/>
          <w:sz w:val="22"/>
          <w:szCs w:val="22"/>
        </w:rPr>
        <w:t>Integrating the Barclays Smart Path into the Business Model</w:t>
      </w:r>
      <w:bookmarkEnd w:id="15"/>
    </w:p>
    <w:p w:rsidR="00272CF8" w:rsidRDefault="00272CF8" w14:paraId="1EB66449" w14:textId="77777777" w:rsidP="004E21CE" w:rsidRPr="00793A69">
      <w:pPr>
        <w:jc w:val="both"/>
        <w:spacing w:line="360" w:lineRule="auto"/>
        <w:tabs>
          <w:tab w:val="num" w:pos="1440"/>
        </w:tabs>
        <w:rPr>
          <w:lang w:val="en-US"/>
          <w:rFonts w:ascii="Arial" w:cs="Arial" w:hAnsi="Arial"/>
        </w:rPr>
      </w:pPr>
      <w:r w:rsidRPr="00793A69">
        <w:rPr>
          <w:lang w:val="en-US"/>
          <w:rFonts w:ascii="Arial" w:cs="Arial" w:hAnsi="Arial"/>
        </w:rPr>
        <w:t>In ensuring successful execution of the Barclays Smart Path the project shall be deeply ingrained in the heart of the business model of the bank. This will bring about a big change on the way the bank delivers value. It will transform the bank beyond just a provider of financial products to a smart financial experience.</w:t>
      </w:r>
    </w:p>
    <w:p w:rsidR="004E21CE" w:rsidRDefault="004E21CE" w14:paraId="563218F6" w14:textId="77777777" w:rsidP="004E21CE" w:rsidRPr="00793A69">
      <w:pPr>
        <w:jc w:val="both"/>
        <w:spacing w:line="360" w:lineRule="auto"/>
        <w:tabs>
          <w:tab w:val="num" w:pos="1440"/>
        </w:tabs>
        <w:rPr>
          <w:lang w:val="en-US"/>
          <w:rFonts w:ascii="Arial" w:cs="Arial" w:hAnsi="Arial"/>
        </w:rPr>
      </w:pPr>
      <w:r w:rsidRPr="00793A69">
        <w:rPr>
          <w:lang w:val="en-US"/>
          <w:rFonts w:ascii="Arial" w:cs="Arial" w:hAnsi="Arial"/>
        </w:rPr>
        <w:t xml:space="preserve">First of all, the Smart Path will develop new sources of income and strengthen the old ones by providing cross-selling that is highly </w:t>
      </w:r>
      <w:proofErr w:type="spellStart"/>
      <w:r w:rsidRPr="00793A69">
        <w:rPr>
          <w:lang w:val="en-US"/>
          <w:rFonts w:ascii="Arial" w:cs="Arial" w:hAnsi="Arial"/>
        </w:rPr>
        <w:t>personalised</w:t>
      </w:r>
      <w:proofErr w:type="spellEnd"/>
      <w:r w:rsidRPr="00793A69">
        <w:rPr>
          <w:lang w:val="en-US"/>
          <w:rFonts w:ascii="Arial" w:cs="Arial" w:hAnsi="Arial"/>
        </w:rPr>
        <w:t xml:space="preserve">. With an in-depth, AI-driven knowledge of customer life events and financial </w:t>
      </w:r>
      <w:proofErr w:type="spellStart"/>
      <w:r w:rsidRPr="00793A69">
        <w:rPr>
          <w:lang w:val="en-US"/>
          <w:rFonts w:ascii="Arial" w:cs="Arial" w:hAnsi="Arial"/>
        </w:rPr>
        <w:t>behaviours</w:t>
      </w:r>
      <w:proofErr w:type="spellEnd"/>
      <w:r w:rsidRPr="00793A69">
        <w:rPr>
          <w:lang w:val="en-US"/>
          <w:rFonts w:ascii="Arial" w:cs="Arial" w:hAnsi="Arial"/>
        </w:rPr>
        <w:t xml:space="preserve">, Barclays can go beyond generic marketing to provide the right product at the right time with unparalleled accuracy. The system might for example automatically display a pre-qualified offer of a car loan with </w:t>
      </w:r>
      <w:proofErr w:type="spellStart"/>
      <w:r w:rsidRPr="00793A69">
        <w:rPr>
          <w:lang w:val="en-US"/>
          <w:rFonts w:ascii="Arial" w:cs="Arial" w:hAnsi="Arial"/>
        </w:rPr>
        <w:t>customised</w:t>
      </w:r>
      <w:proofErr w:type="spellEnd"/>
      <w:r w:rsidRPr="00793A69">
        <w:rPr>
          <w:lang w:val="en-US"/>
          <w:rFonts w:ascii="Arial" w:cs="Arial" w:hAnsi="Arial"/>
        </w:rPr>
        <w:t xml:space="preserve"> terms when it identifies a user exploring the purchase of a vehicle online, or dispense a home insurance product effortlessly when a mortgage offe</w:t>
      </w:r>
      <w:r w:rsidR="00E76D9B" w:rsidRPr="00793A69">
        <w:rPr>
          <w:lang w:val="en-US"/>
          <w:rFonts w:ascii="Arial" w:cs="Arial" w:hAnsi="Arial"/>
        </w:rPr>
        <w:t xml:space="preserve">r is admitted. Such a </w:t>
      </w:r>
      <w:proofErr w:type="spellStart"/>
      <w:r w:rsidR="00E76D9B" w:rsidRPr="00793A69">
        <w:rPr>
          <w:lang w:val="en-US"/>
          <w:rFonts w:ascii="Arial" w:cs="Arial" w:hAnsi="Arial"/>
        </w:rPr>
        <w:t>personalis</w:t>
      </w:r>
      <w:r w:rsidRPr="00793A69">
        <w:rPr>
          <w:lang w:val="en-US"/>
          <w:rFonts w:ascii="Arial" w:cs="Arial" w:hAnsi="Arial"/>
        </w:rPr>
        <w:t>ed</w:t>
      </w:r>
      <w:proofErr w:type="spellEnd"/>
      <w:r w:rsidRPr="00793A69">
        <w:rPr>
          <w:lang w:val="en-US"/>
          <w:rFonts w:ascii="Arial" w:cs="Arial" w:hAnsi="Arial"/>
        </w:rPr>
        <w:t xml:space="preserve"> strategy can greatly boost the conversion rates and lifetime customer value </w:t>
      </w:r>
      <w:r w:rsidR="00DF32B0" w:rsidRPr="00793A69">
        <w:rPr>
          <w:lang w:val="en-US"/>
          <w:rFonts w:ascii="Arial" w:cs="Arial" w:hAnsi="Arial"/>
        </w:rPr>
        <w:t xml:space="preserve">(Karpen and Conduit, 2020). </w:t>
      </w:r>
      <w:r w:rsidRPr="00793A69">
        <w:rPr>
          <w:lang w:val="en-US"/>
          <w:rFonts w:ascii="Arial" w:cs="Arial" w:hAnsi="Arial"/>
        </w:rPr>
        <w:t xml:space="preserve">Moreover, aggregated data provided by the platform is a highly valuable resource. It can be </w:t>
      </w:r>
      <w:proofErr w:type="spellStart"/>
      <w:r w:rsidRPr="00793A69">
        <w:rPr>
          <w:lang w:val="en-US"/>
          <w:rFonts w:ascii="Arial" w:cs="Arial" w:hAnsi="Arial"/>
        </w:rPr>
        <w:t>anonymised</w:t>
      </w:r>
      <w:proofErr w:type="spellEnd"/>
      <w:r w:rsidRPr="00793A69">
        <w:rPr>
          <w:lang w:val="en-US"/>
          <w:rFonts w:ascii="Arial" w:cs="Arial" w:hAnsi="Arial"/>
        </w:rPr>
        <w:t xml:space="preserve"> and processed to produce unmatched market insights on consumer financial streams, which can be packaged and sold as a new line of business to retailers, advertisers as well as other finance institutions, creating a new source of income (Frost et al., 2019).</w:t>
      </w:r>
    </w:p>
    <w:p w:rsidR="004E21CE" w:rsidRDefault="00F23926" w14:paraId="5AF48A67" w14:textId="77777777" w:rsidP="004E21CE" w:rsidRPr="00793A69">
      <w:pPr>
        <w:jc w:val="both"/>
        <w:spacing w:line="360" w:lineRule="auto"/>
        <w:tabs>
          <w:tab w:val="num" w:pos="1440"/>
        </w:tabs>
        <w:rPr>
          <w:rFonts w:ascii="Arial" w:cs="Arial" w:hAnsi="Arial"/>
        </w:rPr>
      </w:pPr>
      <w:r w:rsidRPr="00793A69">
        <w:rPr>
          <w:rFonts w:ascii="Arial" w:cs="Arial" w:hAnsi="Arial"/>
        </w:rPr>
        <w:t>Cost-wise, the Smart Path leads to high levels of operat</w:t>
      </w:r>
      <w:r w:rsidR="00E76D9B" w:rsidRPr="00793A69">
        <w:rPr>
          <w:rFonts w:ascii="Arial" w:cs="Arial" w:hAnsi="Arial"/>
        </w:rPr>
        <w:t xml:space="preserve">ional efficiencies and </w:t>
      </w:r>
      <w:proofErr w:type="spellStart"/>
      <w:r w:rsidR="00E76D9B" w:rsidRPr="00793A69">
        <w:rPr>
          <w:rFonts w:ascii="Arial" w:cs="Arial" w:hAnsi="Arial"/>
        </w:rPr>
        <w:t>automatis</w:t>
      </w:r>
      <w:r w:rsidRPr="00793A69">
        <w:rPr>
          <w:rFonts w:ascii="Arial" w:cs="Arial" w:hAnsi="Arial"/>
        </w:rPr>
        <w:t>ations</w:t>
      </w:r>
      <w:proofErr w:type="spellEnd"/>
      <w:r w:rsidRPr="00793A69">
        <w:rPr>
          <w:rFonts w:ascii="Arial" w:cs="Arial" w:hAnsi="Arial"/>
        </w:rPr>
        <w:t>. The bank can save a lot of time in the manual labour, paper work and processing of complex products such as mortgages by digitising and automating (streamlining) the end-to-end process. This translates into reduced administrative overheads, time spent in call centres, and also led to a reduced requirement of the back-office staff in charge of manual data entry and verification (Huang and Rust, 2021). Large number of routine queries will also be served by the AI-power triage and customer service allowing human advisors to accommodate more complex and high-value interactions. This resource optimisation would enhance the cost to income ratio of the bank which is a very important performance measure in banking industry and hence profitability is increased regardless of constant revenue.</w:t>
      </w:r>
    </w:p>
    <w:p w:rsidR="00F23926" w:rsidRDefault="009836BC" w14:paraId="726E86FA" w14:textId="77777777" w:rsidP="004E21CE" w:rsidRPr="00793A69">
      <w:pPr>
        <w:jc w:val="both"/>
        <w:spacing w:line="360" w:lineRule="auto"/>
        <w:tabs>
          <w:tab w:val="num" w:pos="1440"/>
        </w:tabs>
        <w:rPr>
          <w:rFonts w:ascii="Arial" w:cs="Arial" w:hAnsi="Arial"/>
        </w:rPr>
      </w:pPr>
      <w:r w:rsidRPr="00793A69">
        <w:rPr>
          <w:rFonts w:ascii="Arial" w:cs="Arial" w:hAnsi="Arial"/>
        </w:rPr>
        <w:t>Lastly, the initiative will transform the core of the value proposition of Barclays and turn it into trusted partnership. Competitive advantage based on the quality of customer experience and interaction is gained in a market being commoditised with regard to financial products. The Smart Path makes Barclays more than a place where its customers keep their money. It makes the bank an intelligent partner in the financial well-being of its customers. This value addition is essential to the customer retention and customer acquisition. It gives the customers</w:t>
      </w:r>
      <w:r w:rsidR="00E76D9B" w:rsidRPr="00793A69">
        <w:rPr>
          <w:rFonts w:ascii="Arial" w:cs="Arial" w:hAnsi="Arial"/>
        </w:rPr>
        <w:t xml:space="preserve"> a strong incentive to centralis</w:t>
      </w:r>
      <w:r w:rsidRPr="00793A69">
        <w:rPr>
          <w:rFonts w:ascii="Arial" w:cs="Arial" w:hAnsi="Arial"/>
        </w:rPr>
        <w:t xml:space="preserve">e their financial resources with Barclays and distinguishes the bank among the traditional competitors and fintech challengers (Lemon and Verhoff, 2016). </w:t>
      </w:r>
      <w:r w:rsidRPr="00793A69">
        <w:rPr>
          <w:rFonts w:ascii="Arial" w:cs="Arial" w:hAnsi="Arial"/>
        </w:rPr>
        <w:t>The addition of the Smart Path does not imply a purely functional addition of a feature; Barclays is undertaking a strategic realignment to a platform-based, customer-centered business model which can withstand, perform efficiently and scale to the future in the digital economy (</w:t>
        <w:lastRenderedPageBreak/>
      </w:r>
      <w:proofErr w:type="spellStart"/>
      <w:r w:rsidRPr="00793A69">
        <w:rPr>
          <w:rFonts w:ascii="Arial" w:cs="Arial" w:hAnsi="Arial"/>
        </w:rPr>
        <w:t>Iansiti</w:t>
      </w:r>
      <w:proofErr w:type="spellEnd"/>
      <w:r w:rsidRPr="00793A69">
        <w:rPr>
          <w:rFonts w:ascii="Arial" w:cs="Arial" w:hAnsi="Arial"/>
        </w:rPr>
        <w:t xml:space="preserve"> and Lakhani, 2020).</w:t>
      </w:r>
    </w:p>
    <w:p w:rsidR="00036329" w:rsidRDefault="00793A69" w14:paraId="153D24CD" w14:textId="132D041E" w:rsidP="00E6442B" w:rsidRPr="00793A69">
      <w:pPr>
        <w:pStyle w:val="Heading2"/>
        <w:spacing w:line="360" w:lineRule="auto"/>
        <w:rPr>
          <w:lang w:val="en-US"/>
          <w:b/>
          <w:color w:val="auto"/>
          <w:rFonts w:ascii="Arial" w:cs="Arial" w:hAnsi="Arial"/>
          <w:sz w:val="22"/>
          <w:szCs w:val="22"/>
        </w:rPr>
      </w:pPr>
      <w:bookmarkStart w:id="16" w:name="_Toc211874345"/>
      <w:r w:rsidRPr="00793A69">
        <w:rPr>
          <w:lang w:val="en-US"/>
          <w:b/>
          <w:color w:val="auto"/>
          <w:rFonts w:ascii="Arial" w:cs="Arial" w:hAnsi="Arial"/>
          <w:sz w:val="22"/>
          <w:szCs w:val="22"/>
        </w:rPr>
        <w:t xml:space="preserve">Step 4: </w:t>
      </w:r>
      <w:proofErr w:type="spellStart"/>
      <w:r w:rsidR="00E76D9B" w:rsidRPr="00793A69">
        <w:rPr>
          <w:lang w:val="en-US"/>
          <w:b/>
          <w:color w:val="auto"/>
          <w:rFonts w:ascii="Arial" w:cs="Arial" w:hAnsi="Arial"/>
          <w:sz w:val="22"/>
          <w:szCs w:val="22"/>
        </w:rPr>
        <w:t>Visualis</w:t>
      </w:r>
      <w:r w:rsidR="00036329" w:rsidRPr="00793A69">
        <w:rPr>
          <w:lang w:val="en-US"/>
          <w:b/>
          <w:color w:val="auto"/>
          <w:rFonts w:ascii="Arial" w:cs="Arial" w:hAnsi="Arial"/>
          <w:sz w:val="22"/>
          <w:szCs w:val="22"/>
        </w:rPr>
        <w:t>ing</w:t>
      </w:r>
      <w:proofErr w:type="spellEnd"/>
      <w:r w:rsidR="00036329" w:rsidRPr="00793A69">
        <w:rPr>
          <w:lang w:val="en-US"/>
          <w:b/>
          <w:color w:val="auto"/>
          <w:rFonts w:ascii="Arial" w:cs="Arial" w:hAnsi="Arial"/>
          <w:sz w:val="22"/>
          <w:szCs w:val="22"/>
        </w:rPr>
        <w:t xml:space="preserve"> the Updated Customer Journey with the Smart Path</w:t>
      </w:r>
      <w:bookmarkEnd w:id="16"/>
    </w:p>
    <w:p w:rsidR="00EF6A92" w:rsidRDefault="00EF6A92" w14:paraId="65B9893D" w14:textId="77777777" w:rsidP="00E6442B" w:rsidRPr="00793A69">
      <w:pPr>
        <w:jc w:val="both"/>
        <w:spacing w:line="360" w:lineRule="auto"/>
        <w:tabs>
          <w:tab w:val="num" w:pos="1440"/>
        </w:tabs>
        <w:rPr>
          <w:rFonts w:ascii="Arial" w:cs="Arial" w:hAnsi="Arial"/>
        </w:rPr>
      </w:pPr>
      <w:r w:rsidRPr="00793A69">
        <w:rPr>
          <w:rFonts w:ascii="Arial" w:cs="Arial" w:hAnsi="Arial"/>
        </w:rPr>
        <w:t>The optimisation of the Barclays Smart Path inherently converts the customer journey experience (that was a frustrating loop of handoffs) into one, intelligent, fluid experience. This deep revelation is shown by the revised trip that a customer makes in the journey to take a mortgage. It does not start with the confusing web pages but a proactive notification of the Smart Path in the Barclays application. After studying the income and saving habits of the customer, the AI sends them a warning that they are about to be put into a mortgage and provides an estimate, to be given in real-time, and pre-qualification. This instantly changes the situation where the customer goes online seeking information to the bank actively providing valuable and personal advice, developing some degree of trust by the very first inte</w:t>
      </w:r>
      <w:r w:rsidR="0019334E" w:rsidRPr="00793A69">
        <w:rPr>
          <w:rFonts w:ascii="Arial" w:cs="Arial" w:hAnsi="Arial"/>
        </w:rPr>
        <w:t>raction (Novak and Hoffman, 2018</w:t>
      </w:r>
      <w:r w:rsidRPr="00793A69">
        <w:rPr>
          <w:rFonts w:ascii="Arial" w:cs="Arial" w:hAnsi="Arial"/>
        </w:rPr>
        <w:t>).</w:t>
      </w:r>
    </w:p>
    <w:p w:rsidR="00EF6A92" w:rsidRDefault="00EF6A92" w14:paraId="19D2CEEA" w14:textId="77777777" w:rsidP="00E6442B" w:rsidRPr="00793A69">
      <w:pPr>
        <w:jc w:val="both"/>
        <w:spacing w:line="360" w:lineRule="auto"/>
        <w:tabs>
          <w:tab w:val="num" w:pos="1440"/>
        </w:tabs>
        <w:rPr>
          <w:rFonts w:ascii="Arial" w:cs="Arial" w:hAnsi="Arial"/>
        </w:rPr>
      </w:pPr>
      <w:r w:rsidRPr="00793A69">
        <w:rPr>
          <w:rFonts w:ascii="Arial" w:cs="Arial" w:hAnsi="Arial"/>
        </w:rPr>
        <w:t xml:space="preserve">When the customer is interested, it will be carried on in the same digital platform without interruption. The Smart Path offer a </w:t>
      </w:r>
      <w:proofErr w:type="gramStart"/>
      <w:r w:rsidRPr="00793A69">
        <w:rPr>
          <w:rFonts w:ascii="Arial" w:cs="Arial" w:hAnsi="Arial"/>
        </w:rPr>
        <w:t>step to step</w:t>
      </w:r>
      <w:proofErr w:type="gramEnd"/>
      <w:r w:rsidRPr="00793A69">
        <w:rPr>
          <w:rFonts w:ascii="Arial" w:cs="Arial" w:hAnsi="Arial"/>
        </w:rPr>
        <w:t xml:space="preserve"> process of mortgaging process. The customer is given the benefit of researching various products in the form of mortgages at their pre-qualified level, and the AI explains the major characteristics and variations in a very simple manner. When they are also willing to submit an application, they can do that directly on the platform and much of it is already filled with their information. More importantly, they can have a video call without quitting the app in case they want to speak to a human advisor. The advisor has the entire background of the call having known the pre-qualified amount and products viewed by the customer, making it possible to talk with the customer </w:t>
      </w:r>
      <w:r w:rsidR="00E76D9B" w:rsidRPr="00793A69">
        <w:rPr>
          <w:rFonts w:ascii="Arial" w:cs="Arial" w:hAnsi="Arial"/>
        </w:rPr>
        <w:t>without repeating the personal data every other</w:t>
      </w:r>
      <w:r w:rsidRPr="00793A69">
        <w:rPr>
          <w:rFonts w:ascii="Arial" w:cs="Arial" w:hAnsi="Arial"/>
        </w:rPr>
        <w:t>. This crystal-like combination of digital self-service and human experiences eliminates the friction that existed among the channels (Edelman and Singer, 2015).</w:t>
      </w:r>
    </w:p>
    <w:p w:rsidR="00EF6A92" w:rsidRDefault="00EF6A92" w14:paraId="4758B41C" w14:textId="77777777" w:rsidP="00E6442B" w:rsidRPr="00793A69">
      <w:pPr>
        <w:jc w:val="both"/>
        <w:spacing w:line="360" w:lineRule="auto"/>
        <w:tabs>
          <w:tab w:val="num" w:pos="1440"/>
        </w:tabs>
        <w:rPr>
          <w:rFonts w:ascii="Arial" w:cs="Arial" w:hAnsi="Arial"/>
        </w:rPr>
      </w:pPr>
      <w:r w:rsidRPr="00793A69">
        <w:rPr>
          <w:rFonts w:ascii="Arial" w:cs="Arial" w:hAnsi="Arial"/>
        </w:rPr>
        <w:t xml:space="preserve">The customer is able to enjoy unprecedented transparency and control throughout the application process. The workflow tracker of The Smart Path will give your real-time status of the application, like in case of valuation to underwriting, with estimated time scale on which the application is going to be complete. The customer does not have to be left in the dark awaiting receiving a letter or a call. This openness makes the major financial decisions much less worrying. The whole process, starting with the first notification went through to final proposal is less of a bureaucracy and more of a facilitated effort. This makes them feel more loyal and satisfied since the customer feels assisted and communicated each step through, </w:t>
      </w:r>
      <w:r w:rsidRPr="00793A69">
        <w:rPr>
          <w:rFonts w:ascii="Arial" w:cs="Arial" w:hAnsi="Arial"/>
        </w:rPr>
        <w:t>and the customer relationship with Barclays is reshaped by becoming not a necessity but a valuable partner in financi</w:t>
        <w:lastRenderedPageBreak/>
      </w:r>
      <w:r w:rsidR="0019334E" w:rsidRPr="00793A69">
        <w:rPr>
          <w:rFonts w:ascii="Arial" w:cs="Arial" w:hAnsi="Arial"/>
        </w:rPr>
        <w:t>al services (Rawson et al., 2013</w:t>
      </w:r>
      <w:r w:rsidRPr="00793A69">
        <w:rPr>
          <w:rFonts w:ascii="Arial" w:cs="Arial" w:hAnsi="Arial"/>
        </w:rPr>
        <w:t>). The suffering points of the old trip are logically substituted with the empowerment, clarity and smooth support gain points.</w:t>
      </w:r>
    </w:p>
    <w:p w:rsidR="00793A69" w:rsidRDefault="00793A69" w14:paraId="44469C80" w14:textId="77777777" w:rsidRPr="00793A69">
      <w:pPr>
        <w:rPr>
          <w:lang w:val="en-US"/>
          <w:b/>
          <w:rFonts w:ascii="Arial" w:cs="Arial" w:hAnsi="Arial" w:eastAsiaTheme="majorEastAsia"/>
        </w:rPr>
      </w:pPr>
      <w:r>
        <w:rPr>
          <w:b/>
          <w:rFonts w:ascii="Arial" w:cs="Arial" w:hAnsi="Arial"/>
        </w:rPr>
        <w:br w:type="page"/>
      </w:r>
    </w:p>
    <w:p w:rsidR="00DB11B4" w:rsidRDefault="00DB11B4" w14:paraId="31026C7E" w14:textId="2A16B5BB" w:rsidP="00036329" w:rsidRPr="00793A69">
      <w:pPr>
        <w:pStyle w:val="Heading1"/>
        <w:spacing w:line="360" w:lineRule="auto"/>
        <w:rPr>
          <w:lang w:val="en-US"/>
          <w:b/>
          <w:color w:val="auto"/>
          <w:rFonts w:ascii="Arial" w:cs="Arial" w:hAnsi="Arial"/>
          <w:sz w:val="22"/>
          <w:szCs w:val="22"/>
        </w:rPr>
      </w:pPr>
      <w:bookmarkStart w:id="17" w:name="_Toc211874346"/>
      <w:r w:rsidRPr="00793A69">
        <w:rPr>
          <w:lang w:val="en-US"/>
          <w:b/>
          <w:color w:val="auto"/>
          <w:rFonts w:ascii="Arial" w:cs="Arial" w:hAnsi="Arial"/>
          <w:sz w:val="22"/>
          <w:szCs w:val="22"/>
        </w:rPr>
        <w:t>Conclusion</w:t>
        <w:lastRenderedPageBreak/>
      </w:r>
      <w:bookmarkEnd w:id="17"/>
    </w:p>
    <w:p w:rsidR="005D50E0" w:rsidRDefault="0062776F" w14:paraId="4508DAD7" w14:textId="77777777" w:rsidP="0062776F" w:rsidRPr="00793A69">
      <w:pPr>
        <w:jc w:val="both"/>
        <w:spacing w:line="360" w:lineRule="auto"/>
        <w:rPr>
          <w:lang w:val="en-US"/>
          <w:rFonts w:ascii="Arial" w:cs="Arial" w:hAnsi="Arial"/>
        </w:rPr>
      </w:pPr>
      <w:r w:rsidRPr="00793A69">
        <w:rPr>
          <w:lang w:val="en-US"/>
          <w:rFonts w:ascii="Arial" w:cs="Arial" w:hAnsi="Arial"/>
        </w:rPr>
        <w:t xml:space="preserve">This discussion has shown in a systematic way that the major problem at Barclays is not the unperceived innovation, but rather its inability to translate its innovation into a logical and unified customer experience. The Innovation Ambition Matrix and Customer Journey Mapping diagnosis revealed a strategic dependency on low-risk Core innovations and a piece-meal customer journey afflicted by channel disconnect and impersonal service. These weaknesses actively destroy loyalty in the customers during the most decisive times. The proposed project, the Barclays Smart Path, is a proposed solution that will provide a transformational solution to the needs. It directly tackles the main areas of pain, by having a </w:t>
      </w:r>
      <w:proofErr w:type="spellStart"/>
      <w:r w:rsidRPr="00793A69">
        <w:rPr>
          <w:lang w:val="en-US"/>
          <w:rFonts w:ascii="Arial" w:cs="Arial" w:hAnsi="Arial"/>
        </w:rPr>
        <w:t>centralised</w:t>
      </w:r>
      <w:proofErr w:type="spellEnd"/>
      <w:r w:rsidRPr="00793A69">
        <w:rPr>
          <w:lang w:val="en-US"/>
          <w:rFonts w:ascii="Arial" w:cs="Arial" w:hAnsi="Arial"/>
        </w:rPr>
        <w:t xml:space="preserve"> AI engine, seamless omnichannel, and transparent workflow management to turn the customer relationship into a chain of transactional challenges eradicated by a single guided and proactive relationship. The project will generate significant value through operational efficiency, customer lifetime value, and competitive moat in general because it will allow Barclays to compete effectively against traditional competitors and agile </w:t>
      </w:r>
      <w:proofErr w:type="spellStart"/>
      <w:r w:rsidRPr="00793A69">
        <w:rPr>
          <w:lang w:val="en-US"/>
          <w:rFonts w:ascii="Arial" w:cs="Arial" w:hAnsi="Arial"/>
        </w:rPr>
        <w:t>fintechs</w:t>
      </w:r>
      <w:proofErr w:type="spellEnd"/>
      <w:r w:rsidRPr="00793A69">
        <w:rPr>
          <w:lang w:val="en-US"/>
          <w:rFonts w:ascii="Arial" w:cs="Arial" w:hAnsi="Arial"/>
        </w:rPr>
        <w:t xml:space="preserve">. To achieve its future in the increasingly </w:t>
      </w:r>
      <w:proofErr w:type="spellStart"/>
      <w:r w:rsidRPr="00793A69">
        <w:rPr>
          <w:lang w:val="en-US"/>
          <w:rFonts w:ascii="Arial" w:cs="Arial" w:hAnsi="Arial"/>
        </w:rPr>
        <w:t>digitalised</w:t>
      </w:r>
      <w:proofErr w:type="spellEnd"/>
      <w:r w:rsidRPr="00793A69">
        <w:rPr>
          <w:lang w:val="en-US"/>
          <w:rFonts w:ascii="Arial" w:cs="Arial" w:hAnsi="Arial"/>
        </w:rPr>
        <w:t xml:space="preserve"> environment, Barclays is forced to move further than simply </w:t>
      </w:r>
      <w:proofErr w:type="spellStart"/>
      <w:r w:rsidRPr="00793A69">
        <w:rPr>
          <w:lang w:val="en-US"/>
          <w:rFonts w:ascii="Arial" w:cs="Arial" w:hAnsi="Arial"/>
        </w:rPr>
        <w:t>digitising</w:t>
      </w:r>
      <w:proofErr w:type="spellEnd"/>
      <w:r w:rsidRPr="00793A69">
        <w:rPr>
          <w:lang w:val="en-US"/>
          <w:rFonts w:ascii="Arial" w:cs="Arial" w:hAnsi="Arial"/>
        </w:rPr>
        <w:t xml:space="preserve"> existing processes. Adopting a platform-based approach such as the Smart Path, it is not only a choice, but a strategic necessity to get away with being a bank toward being a customer-centered financial partner.</w:t>
      </w:r>
    </w:p>
    <w:p w:rsidR="00DD4711" w:rsidRDefault="00DD4711" w14:paraId="7FC0455D" w14:textId="77777777" w:rsidP="0062776F" w:rsidRPr="00793A69">
      <w:pPr>
        <w:jc w:val="both"/>
        <w:spacing w:line="360" w:lineRule="auto"/>
        <w:rPr>
          <w:lang w:val="en-US"/>
          <w:rFonts w:ascii="Arial" w:cs="Arial" w:hAnsi="Arial"/>
        </w:rPr>
      </w:pPr>
    </w:p>
    <w:p w:rsidR="00DD4711" w:rsidRDefault="00DD4711" w14:paraId="0E320A22" w14:textId="77777777" w:rsidP="0062776F" w:rsidRPr="00793A69">
      <w:pPr>
        <w:jc w:val="both"/>
        <w:spacing w:line="360" w:lineRule="auto"/>
        <w:rPr>
          <w:lang w:val="en-US"/>
          <w:rFonts w:ascii="Arial" w:cs="Arial" w:hAnsi="Arial"/>
        </w:rPr>
      </w:pPr>
    </w:p>
    <w:p w:rsidR="00A1609A" w:rsidRDefault="00A1609A" w14:paraId="30BB6BE1" w14:textId="77777777" w:rsidP="0062776F" w:rsidRPr="00793A69">
      <w:pPr>
        <w:jc w:val="both"/>
        <w:spacing w:line="360" w:lineRule="auto"/>
        <w:rPr>
          <w:lang w:val="en-US"/>
          <w:rFonts w:ascii="Arial" w:cs="Arial" w:hAnsi="Arial"/>
        </w:rPr>
      </w:pPr>
    </w:p>
    <w:p w:rsidR="00A1609A" w:rsidRDefault="00A1609A" w14:paraId="2126730D" w14:textId="77777777" w:rsidP="0062776F" w:rsidRPr="00793A69">
      <w:pPr>
        <w:jc w:val="both"/>
        <w:spacing w:line="360" w:lineRule="auto"/>
        <w:rPr>
          <w:lang w:val="en-US"/>
          <w:rFonts w:ascii="Arial" w:cs="Arial" w:hAnsi="Arial"/>
        </w:rPr>
      </w:pPr>
    </w:p>
    <w:p w:rsidR="00A1609A" w:rsidRDefault="00A1609A" w14:paraId="5B188B2B" w14:textId="77777777" w:rsidP="0062776F" w:rsidRPr="00793A69">
      <w:pPr>
        <w:jc w:val="both"/>
        <w:spacing w:line="360" w:lineRule="auto"/>
        <w:rPr>
          <w:lang w:val="en-US"/>
          <w:rFonts w:ascii="Arial" w:cs="Arial" w:hAnsi="Arial"/>
        </w:rPr>
      </w:pPr>
    </w:p>
    <w:p w:rsidR="00A1609A" w:rsidRDefault="00A1609A" w14:paraId="579FDB78" w14:textId="77777777" w:rsidP="0062776F" w:rsidRPr="00793A69">
      <w:pPr>
        <w:jc w:val="both"/>
        <w:spacing w:line="360" w:lineRule="auto"/>
        <w:rPr>
          <w:lang w:val="en-US"/>
          <w:rFonts w:ascii="Arial" w:cs="Arial" w:hAnsi="Arial"/>
        </w:rPr>
      </w:pPr>
    </w:p>
    <w:p w:rsidR="00A1609A" w:rsidRDefault="00A1609A" w14:paraId="2AB3652F" w14:textId="77777777" w:rsidP="0062776F" w:rsidRPr="00793A69">
      <w:pPr>
        <w:jc w:val="both"/>
        <w:spacing w:line="360" w:lineRule="auto"/>
        <w:rPr>
          <w:lang w:val="en-US"/>
          <w:rFonts w:ascii="Arial" w:cs="Arial" w:hAnsi="Arial"/>
        </w:rPr>
      </w:pPr>
    </w:p>
    <w:p w:rsidR="00990A85" w:rsidRDefault="00990A85" w14:paraId="3F3D86B4" w14:textId="77777777" w:rsidP="00990A85" w:rsidRPr="00793A69">
      <w:pPr>
        <w:jc w:val="both"/>
        <w:spacing w:line="360" w:lineRule="auto"/>
        <w:tabs>
          <w:tab w:val="num" w:pos="1440"/>
        </w:tabs>
        <w:rPr>
          <w:lang w:val="en-US"/>
          <w:rFonts w:ascii="Arial" w:cs="Arial" w:hAnsi="Arial"/>
        </w:rPr>
      </w:pPr>
    </w:p>
    <w:p w:rsidR="00793A69" w:rsidRDefault="00793A69" w14:paraId="5A076291" w14:textId="77777777" w:rsidRPr="00793A69">
      <w:pPr>
        <w:rPr>
          <w:b/>
          <w:rFonts w:ascii="Arial" w:cs="Arial" w:hAnsi="Arial" w:eastAsiaTheme="majorEastAsia"/>
        </w:rPr>
      </w:pPr>
      <w:r>
        <w:rPr>
          <w:b/>
          <w:rFonts w:ascii="Arial" w:cs="Arial" w:hAnsi="Arial"/>
        </w:rPr>
        <w:br w:type="page"/>
      </w:r>
    </w:p>
    <w:p w:rsidR="00BB5287" w:rsidRDefault="00C02FCE" w14:paraId="36657DEF" w14:textId="63EEC4F9" w:rsidP="00036329" w:rsidRPr="00793A69">
      <w:pPr>
        <w:pStyle w:val="Heading1"/>
        <w:jc w:val="center"/>
        <w:rPr>
          <w:b/>
          <w:color w:val="auto"/>
          <w:rFonts w:ascii="Arial" w:cs="Arial" w:hAnsi="Arial"/>
          <w:sz w:val="22"/>
          <w:szCs w:val="22"/>
        </w:rPr>
      </w:pPr>
      <w:bookmarkStart w:id="18" w:name="_Toc211874347"/>
      <w:r w:rsidRPr="00793A69">
        <w:rPr>
          <w:b/>
          <w:color w:val="auto"/>
          <w:rFonts w:ascii="Arial" w:cs="Arial" w:hAnsi="Arial"/>
          <w:sz w:val="22"/>
          <w:szCs w:val="22"/>
        </w:rPr>
        <w:t>References.</w:t>
        <w:lastRenderedPageBreak/>
      </w:r>
      <w:bookmarkEnd w:id="18"/>
    </w:p>
    <w:p w:rsidR="008D71A5" w:rsidRDefault="008D71A5" w14:paraId="6E9D0BCB" w14:textId="77777777" w:rsidP="007E033C" w:rsidRPr="00793A69">
      <w:pPr>
        <w:jc w:val="both"/>
        <w:spacing w:line="360" w:lineRule="auto"/>
        <w:rPr>
          <w:lang w:val="en-US"/>
          <w:rFonts w:ascii="Arial" w:cs="Arial" w:hAnsi="Arial"/>
        </w:rPr>
      </w:pPr>
      <w:r w:rsidRPr="00793A69">
        <w:rPr>
          <w:lang w:val="en-US"/>
          <w:rFonts w:ascii="Arial" w:cs="Arial" w:hAnsi="Arial"/>
        </w:rPr>
        <w:t xml:space="preserve">Barclays (2024). </w:t>
      </w:r>
      <w:r w:rsidRPr="00793A69">
        <w:rPr>
          <w:iCs/>
          <w:lang w:val="en-US"/>
          <w:i/>
          <w:rFonts w:ascii="Arial" w:cs="Arial" w:hAnsi="Arial"/>
        </w:rPr>
        <w:t>Barclays PLC Annual Report 2024</w:t>
      </w:r>
      <w:r w:rsidRPr="00793A69">
        <w:rPr>
          <w:lang w:val="en-US"/>
          <w:rFonts w:ascii="Arial" w:cs="Arial" w:hAnsi="Arial"/>
        </w:rPr>
        <w:t xml:space="preserve">. [online] Available at: </w:t>
      </w:r>
      <w:hyperlink w:history="1" r:id="rId10">
        <w:r w:rsidRPr="00793A69">
          <w:rPr>
            <w:lang w:val="en-US"/>
            <w:rStyle w:val="Hyperlink"/>
            <w:color w:val="auto"/>
            <w:rFonts w:ascii="Arial" w:cs="Arial" w:hAnsi="Arial"/>
          </w:rPr>
          <w:t>https://home.barclays/content/dam/home-barclays/documents/investor-relations/reports-and-events/annual-reports/2024/Barclays-PLC-Annual-Report-2024.pdf</w:t>
        </w:r>
      </w:hyperlink>
      <w:r w:rsidRPr="00793A69">
        <w:rPr>
          <w:lang w:val="en-US"/>
          <w:rFonts w:ascii="Arial" w:cs="Arial" w:hAnsi="Arial"/>
        </w:rPr>
        <w:t>.</w:t>
      </w:r>
    </w:p>
    <w:p w:rsidR="0019334E" w:rsidRDefault="0019334E" w14:paraId="19DA6003" w14:textId="77777777" w:rsidP="007E033C" w:rsidRPr="00793A69">
      <w:pPr>
        <w:jc w:val="both"/>
        <w:spacing w:line="360" w:lineRule="auto"/>
        <w:rPr>
          <w:lang w:val="en-US"/>
          <w:rFonts w:ascii="Arial" w:cs="Arial" w:hAnsi="Arial"/>
        </w:rPr>
      </w:pPr>
      <w:r w:rsidRPr="00793A69">
        <w:rPr>
          <w:lang w:val="en-US"/>
          <w:rFonts w:ascii="Arial" w:cs="Arial" w:hAnsi="Arial"/>
        </w:rPr>
        <w:t xml:space="preserve">Edelman, D.C. and Singer, M. (2015). Competing on Customer Journeys. [online] Harvard Business Review. Available at: </w:t>
      </w:r>
      <w:hyperlink w:history="1" r:id="rId11">
        <w:r w:rsidRPr="00793A69">
          <w:rPr>
            <w:lang w:val="en-US"/>
            <w:rStyle w:val="Hyperlink"/>
            <w:color w:val="auto"/>
            <w:rFonts w:ascii="Arial" w:cs="Arial" w:hAnsi="Arial"/>
          </w:rPr>
          <w:t>https://hbr.org/2015/11/competing-on-customer-journeys</w:t>
        </w:r>
      </w:hyperlink>
      <w:r w:rsidRPr="00793A69">
        <w:rPr>
          <w:lang w:val="en-US"/>
          <w:rFonts w:ascii="Arial" w:cs="Arial" w:hAnsi="Arial"/>
        </w:rPr>
        <w:t xml:space="preserve">. </w:t>
      </w:r>
    </w:p>
    <w:p w:rsidR="00845A5A" w:rsidRDefault="00845A5A" w14:paraId="69A210E7" w14:textId="77777777" w:rsidP="00845A5A" w:rsidRPr="00793A69">
      <w:pPr>
        <w:jc w:val="both"/>
        <w:spacing w:line="360" w:lineRule="auto"/>
        <w:rPr>
          <w:lang w:val="en-US"/>
          <w:rFonts w:ascii="Arial" w:cs="Arial" w:hAnsi="Arial"/>
        </w:rPr>
      </w:pPr>
      <w:r w:rsidRPr="00793A69">
        <w:rPr>
          <w:lang w:val="en-US"/>
          <w:rFonts w:ascii="Arial" w:cs="Arial" w:hAnsi="Arial"/>
        </w:rPr>
        <w:t xml:space="preserve">Finder UK. (2025, March 7). Banking statistics UK: Biggest banks by market share. Retrieved from Finder UK website: </w:t>
      </w:r>
      <w:hyperlink w:history="1" r:id="rId12">
        <w:r w:rsidRPr="00793A69">
          <w:rPr>
            <w:lang w:val="en-US"/>
            <w:rStyle w:val="Hyperlink"/>
            <w:color w:val="auto"/>
            <w:rFonts w:ascii="Arial" w:cs="Arial" w:hAnsi="Arial"/>
          </w:rPr>
          <w:t>https://www.finder.com/uk/banking/banking-statistics</w:t>
        </w:r>
      </w:hyperlink>
      <w:r w:rsidRPr="00793A69">
        <w:rPr>
          <w:lang w:val="en-US"/>
          <w:rFonts w:ascii="Arial" w:cs="Arial" w:hAnsi="Arial"/>
        </w:rPr>
        <w:t xml:space="preserve">. </w:t>
      </w:r>
    </w:p>
    <w:p w:rsidR="00930868" w:rsidRDefault="00930868" w14:paraId="096F6881" w14:textId="77777777" w:rsidP="007E033C" w:rsidRPr="00793A69">
      <w:pPr>
        <w:jc w:val="both"/>
        <w:spacing w:line="360" w:lineRule="auto"/>
        <w:rPr>
          <w:lang w:val="en-US"/>
          <w:rFonts w:ascii="Arial" w:cs="Arial" w:hAnsi="Arial"/>
        </w:rPr>
      </w:pPr>
      <w:r w:rsidRPr="00793A69">
        <w:rPr>
          <w:lang w:val="en-US"/>
          <w:rFonts w:ascii="Arial" w:cs="Arial" w:hAnsi="Arial"/>
        </w:rPr>
        <w:t>Frost, J. (2020). The Economic Forces Driving FinTech Adoption across Countries. SSRN Electronic Journal, 838.</w:t>
      </w:r>
    </w:p>
    <w:p w:rsidR="0062776F" w:rsidRDefault="0062776F" w14:paraId="1208D6A3" w14:textId="77777777" w:rsidP="007E033C" w:rsidRPr="00793A69">
      <w:pPr>
        <w:jc w:val="both"/>
        <w:spacing w:line="360" w:lineRule="auto"/>
        <w:rPr>
          <w:lang w:val="en-US"/>
          <w:rFonts w:ascii="Arial" w:cs="Arial" w:hAnsi="Arial"/>
        </w:rPr>
      </w:pPr>
      <w:r w:rsidRPr="00793A69">
        <w:rPr>
          <w:lang w:val="en-US"/>
          <w:rFonts w:ascii="Arial" w:cs="Arial" w:hAnsi="Arial"/>
        </w:rPr>
        <w:t xml:space="preserve">Ghandour, A. (2021). Opportunities and Challenges of Artificial Intelligence in Banking: Systematic Literature Review. TEM Journal, 10(4), pp.1581–1587. </w:t>
      </w:r>
      <w:proofErr w:type="spellStart"/>
      <w:r w:rsidRPr="00793A69">
        <w:rPr>
          <w:lang w:val="en-US"/>
          <w:rFonts w:ascii="Arial" w:cs="Arial" w:hAnsi="Arial"/>
        </w:rPr>
        <w:t>doi</w:t>
      </w:r>
      <w:proofErr w:type="spellEnd"/>
      <w:r w:rsidRPr="00793A69">
        <w:rPr>
          <w:lang w:val="en-US"/>
          <w:rFonts w:ascii="Arial" w:cs="Arial" w:hAnsi="Arial"/>
        </w:rPr>
        <w:t xml:space="preserve">: </w:t>
      </w:r>
      <w:hyperlink w:history="1" r:id="rId13">
        <w:r w:rsidRPr="00793A69">
          <w:rPr>
            <w:lang w:val="en-US"/>
            <w:rStyle w:val="Hyperlink"/>
            <w:color w:val="auto"/>
            <w:rFonts w:ascii="Arial" w:cs="Arial" w:hAnsi="Arial"/>
          </w:rPr>
          <w:t>https://doi.org/10.18421/tem104-12</w:t>
        </w:r>
      </w:hyperlink>
      <w:r w:rsidRPr="00793A69">
        <w:rPr>
          <w:lang w:val="en-US"/>
          <w:rFonts w:ascii="Arial" w:cs="Arial" w:hAnsi="Arial"/>
        </w:rPr>
        <w:t xml:space="preserve">. </w:t>
      </w:r>
    </w:p>
    <w:p w:rsidR="00DA7F17" w:rsidRDefault="00DA7F17" w14:paraId="781EE069" w14:textId="77777777" w:rsidP="007E033C" w:rsidRPr="00793A69">
      <w:pPr>
        <w:jc w:val="both"/>
        <w:spacing w:line="360" w:lineRule="auto"/>
        <w:rPr>
          <w:lang w:val="en-US"/>
          <w:rFonts w:ascii="Arial" w:cs="Arial" w:hAnsi="Arial"/>
        </w:rPr>
      </w:pPr>
      <w:r w:rsidRPr="00793A69">
        <w:rPr>
          <w:lang w:val="en-US"/>
          <w:rFonts w:ascii="Arial" w:cs="Arial" w:hAnsi="Arial"/>
        </w:rPr>
        <w:t>Harmeling, C.M., Moffett, J.W., Arnold, M.J. and Carlson, B.D. (2017). Toward a theory of customer engagement marketing. Journal of the Academy of Marketing Science, 45(3), pp.312–335.</w:t>
      </w:r>
    </w:p>
    <w:p w:rsidR="00036329" w:rsidRDefault="00036329" w14:paraId="53941AFF" w14:textId="77777777" w:rsidP="007E033C" w:rsidRPr="00793A69">
      <w:pPr>
        <w:jc w:val="both"/>
        <w:spacing w:line="360" w:lineRule="auto"/>
        <w:rPr>
          <w:lang w:val="en-US"/>
          <w:rFonts w:ascii="Arial" w:cs="Arial" w:hAnsi="Arial"/>
        </w:rPr>
      </w:pPr>
      <w:r w:rsidRPr="00793A69">
        <w:rPr>
          <w:lang w:val="en-US"/>
          <w:rFonts w:ascii="Arial" w:cs="Arial" w:hAnsi="Arial"/>
        </w:rPr>
        <w:t>Huang, M.-H., &amp; Rust, R. T. (2021). A Strategic Framework for Artificial Intelligence in Marketing. Journal of the Academy of Marketing Science, 49(1), 30–50. Springer. Retrieved from Springer.</w:t>
      </w:r>
    </w:p>
    <w:p w:rsidR="0019334E" w:rsidRDefault="0019334E" w14:paraId="73DC9667" w14:textId="77777777" w:rsidP="007E033C" w:rsidRPr="00793A69">
      <w:pPr>
        <w:jc w:val="both"/>
        <w:spacing w:line="360" w:lineRule="auto"/>
        <w:rPr>
          <w:lang w:val="en-US"/>
          <w:rFonts w:ascii="Arial" w:cs="Arial" w:hAnsi="Arial"/>
        </w:rPr>
      </w:pPr>
      <w:proofErr w:type="spellStart"/>
      <w:r w:rsidRPr="00793A69">
        <w:rPr>
          <w:lang w:val="en-US"/>
          <w:rFonts w:ascii="Arial" w:cs="Arial" w:hAnsi="Arial"/>
        </w:rPr>
        <w:t>Iansiti</w:t>
      </w:r>
      <w:proofErr w:type="spellEnd"/>
      <w:r w:rsidRPr="00793A69">
        <w:rPr>
          <w:lang w:val="en-US"/>
          <w:rFonts w:ascii="Arial" w:cs="Arial" w:hAnsi="Arial"/>
        </w:rPr>
        <w:t xml:space="preserve">, M. and Lakhani, K.R. (2020). </w:t>
      </w:r>
      <w:r w:rsidRPr="00793A69">
        <w:rPr>
          <w:iCs/>
          <w:lang w:val="en-US"/>
          <w:i/>
          <w:rFonts w:ascii="Arial" w:cs="Arial" w:hAnsi="Arial"/>
        </w:rPr>
        <w:t>Competing in the Age of AI: Strategy and Leadership When Algorithms and Networks Run the World - Book - Faculty &amp; Research - Harvard Business School</w:t>
      </w:r>
      <w:r w:rsidRPr="00793A69">
        <w:rPr>
          <w:lang w:val="en-US"/>
          <w:rFonts w:ascii="Arial" w:cs="Arial" w:hAnsi="Arial"/>
        </w:rPr>
        <w:t xml:space="preserve">. [online] www.hbs.edu. Available at: </w:t>
      </w:r>
      <w:hyperlink w:history="1" r:id="rId14">
        <w:r w:rsidRPr="00793A69">
          <w:rPr>
            <w:lang w:val="en-US"/>
            <w:rStyle w:val="Hyperlink"/>
            <w:color w:val="auto"/>
            <w:rFonts w:ascii="Arial" w:cs="Arial" w:hAnsi="Arial"/>
          </w:rPr>
          <w:t>https://www.hbs.edu/faculty/Pages/item.aspx?num=56633</w:t>
        </w:r>
      </w:hyperlink>
      <w:r w:rsidRPr="00793A69">
        <w:rPr>
          <w:lang w:val="en-US"/>
          <w:rFonts w:ascii="Arial" w:cs="Arial" w:hAnsi="Arial"/>
        </w:rPr>
        <w:t xml:space="preserve">. </w:t>
      </w:r>
    </w:p>
    <w:p w:rsidR="00DF32B0" w:rsidRDefault="00DF32B0" w14:paraId="7082F197" w14:textId="77777777" w:rsidP="007E033C" w:rsidRPr="00793A69">
      <w:pPr>
        <w:jc w:val="both"/>
        <w:spacing w:line="360" w:lineRule="auto"/>
        <w:rPr>
          <w:lang w:val="en-US"/>
          <w:rFonts w:ascii="Arial" w:cs="Arial" w:hAnsi="Arial"/>
        </w:rPr>
      </w:pPr>
      <w:r w:rsidRPr="00793A69">
        <w:rPr>
          <w:lang w:val="en-US"/>
          <w:rFonts w:ascii="Arial" w:cs="Arial" w:hAnsi="Arial"/>
        </w:rPr>
        <w:t xml:space="preserve">Karpen, I.O. and Conduit, J. (2020). Engaging in times of COVID-19 and beyond: theorizing customer engagement through different paradigmatic lenses. Journal of Service Management, ahead-of-print(ahead-of-print). </w:t>
      </w:r>
      <w:proofErr w:type="spellStart"/>
      <w:r w:rsidRPr="00793A69">
        <w:rPr>
          <w:lang w:val="en-US"/>
          <w:rFonts w:ascii="Arial" w:cs="Arial" w:hAnsi="Arial"/>
        </w:rPr>
        <w:t>doi</w:t>
      </w:r>
      <w:proofErr w:type="spellEnd"/>
      <w:r w:rsidRPr="00793A69">
        <w:rPr>
          <w:lang w:val="en-US"/>
          <w:rFonts w:ascii="Arial" w:cs="Arial" w:hAnsi="Arial"/>
        </w:rPr>
        <w:t xml:space="preserve">: </w:t>
      </w:r>
      <w:hyperlink w:history="1" r:id="rId15">
        <w:r w:rsidRPr="00793A69">
          <w:rPr>
            <w:lang w:val="en-US"/>
            <w:rStyle w:val="Hyperlink"/>
            <w:color w:val="auto"/>
            <w:rFonts w:ascii="Arial" w:cs="Arial" w:hAnsi="Arial"/>
          </w:rPr>
          <w:t>https://doi.org/10.1108/josm-05-2020-0156</w:t>
        </w:r>
      </w:hyperlink>
      <w:r w:rsidRPr="00793A69">
        <w:rPr>
          <w:lang w:val="en-US"/>
          <w:rFonts w:ascii="Arial" w:cs="Arial" w:hAnsi="Arial"/>
        </w:rPr>
        <w:t xml:space="preserve">. </w:t>
      </w:r>
    </w:p>
    <w:p w:rsidR="00EA6548" w:rsidRDefault="00EA6548" w14:paraId="6A7B1794" w14:textId="77777777" w:rsidP="007E033C" w:rsidRPr="00793A69">
      <w:pPr>
        <w:jc w:val="both"/>
        <w:spacing w:line="360" w:lineRule="auto"/>
        <w:rPr>
          <w:lang w:val="en-US"/>
          <w:rFonts w:ascii="Arial" w:cs="Arial" w:hAnsi="Arial"/>
        </w:rPr>
      </w:pPr>
      <w:r w:rsidRPr="00793A69">
        <w:rPr>
          <w:lang w:val="en-US"/>
          <w:rFonts w:ascii="Arial" w:cs="Arial" w:hAnsi="Arial"/>
        </w:rPr>
        <w:t>King, B. (2018). Bank 4.0. Marshall Cavendish International Asia Pte Ltd.</w:t>
      </w:r>
    </w:p>
    <w:p w:rsidR="00DA7F17" w:rsidRDefault="00DA7F17" w14:paraId="0F446DFF" w14:textId="77777777" w:rsidP="007E033C" w:rsidRPr="00793A69">
      <w:pPr>
        <w:jc w:val="both"/>
        <w:spacing w:line="360" w:lineRule="auto"/>
        <w:rPr>
          <w:lang w:val="en-US"/>
          <w:rFonts w:ascii="Arial" w:cs="Arial" w:hAnsi="Arial"/>
        </w:rPr>
      </w:pPr>
      <w:r w:rsidRPr="00793A69">
        <w:rPr>
          <w:lang w:val="en-US"/>
          <w:rFonts w:ascii="Arial" w:cs="Arial" w:hAnsi="Arial"/>
        </w:rPr>
        <w:t>Lemon, K.N. and Verhoef, P.C. (2016) 'Understanding customer experience throughout the customer journey', Journal of Marketing, 80(6), pp. 69-96.</w:t>
      </w:r>
    </w:p>
    <w:p w:rsidR="007E033C" w:rsidRDefault="007E033C" w14:paraId="4F3C9253" w14:textId="77777777" w:rsidP="007E033C" w:rsidRPr="00793A69">
      <w:pPr>
        <w:jc w:val="both"/>
        <w:spacing w:line="360" w:lineRule="auto"/>
        <w:rPr>
          <w:lang w:val="en-US"/>
          <w:rFonts w:ascii="Arial" w:cs="Arial" w:hAnsi="Arial"/>
        </w:rPr>
      </w:pPr>
      <w:proofErr w:type="spellStart"/>
      <w:r w:rsidRPr="00793A69">
        <w:rPr>
          <w:lang w:val="en-US"/>
          <w:rFonts w:ascii="Arial" w:cs="Arial" w:hAnsi="Arial"/>
        </w:rPr>
        <w:t>Nagji</w:t>
      </w:r>
      <w:proofErr w:type="spellEnd"/>
      <w:r w:rsidRPr="00793A69">
        <w:rPr>
          <w:lang w:val="en-US"/>
          <w:rFonts w:ascii="Arial" w:cs="Arial" w:hAnsi="Arial"/>
        </w:rPr>
        <w:t xml:space="preserve">, B. and Tuff, G. (2012). A Simple Tool You Need to Manage Innovation. [online] Harvard Business Review. Available at: </w:t>
      </w:r>
      <w:hyperlink w:history="1" r:id="rId16">
        <w:r w:rsidRPr="00793A69">
          <w:rPr>
            <w:lang w:val="en-US"/>
            <w:rStyle w:val="Hyperlink"/>
            <w:color w:val="auto"/>
            <w:rFonts w:ascii="Arial" w:cs="Arial" w:hAnsi="Arial"/>
          </w:rPr>
          <w:t>https://hbr.org/2012/05/a-simple-tool-you-need-to-mana</w:t>
        </w:r>
      </w:hyperlink>
      <w:r w:rsidRPr="00793A69">
        <w:rPr>
          <w:lang w:val="en-US"/>
          <w:rFonts w:ascii="Arial" w:cs="Arial" w:hAnsi="Arial"/>
        </w:rPr>
        <w:t xml:space="preserve">. </w:t>
      </w:r>
    </w:p>
    <w:p w:rsidR="0019334E" w:rsidRDefault="0019334E" w14:paraId="61C646F4" w14:textId="77777777" w:rsidP="007E033C" w:rsidRPr="00793A69">
      <w:pPr>
        <w:jc w:val="both"/>
        <w:spacing w:line="360" w:lineRule="auto"/>
        <w:rPr>
          <w:lang w:val="en-US"/>
          <w:rFonts w:ascii="Arial" w:cs="Arial" w:hAnsi="Arial"/>
        </w:rPr>
      </w:pPr>
      <w:r w:rsidRPr="00793A69">
        <w:rPr>
          <w:lang w:val="en-US"/>
          <w:rFonts w:ascii="Arial" w:cs="Arial" w:hAnsi="Arial"/>
        </w:rPr>
        <w:t xml:space="preserve">Novak, T.P. and Hoffman, D.L. (2018). Relationship journeys in the internet of things: a new framework for understanding interactions between consumers and smart objects. </w:t>
        <w:lastRenderedPageBreak/>
      </w:r>
      <w:r w:rsidRPr="00793A69">
        <w:rPr>
          <w:iCs/>
          <w:lang w:val="en-US"/>
          <w:i/>
          <w:rFonts w:ascii="Arial" w:cs="Arial" w:hAnsi="Arial"/>
        </w:rPr>
        <w:t>Journal of the Academy of Marketing Science</w:t>
      </w:r>
      <w:r w:rsidRPr="00793A69">
        <w:rPr>
          <w:lang w:val="en-US"/>
          <w:rFonts w:ascii="Arial" w:cs="Arial" w:hAnsi="Arial"/>
        </w:rPr>
        <w:t xml:space="preserve">, 47(2), pp.216–237. </w:t>
      </w:r>
      <w:proofErr w:type="spellStart"/>
      <w:r w:rsidRPr="00793A69">
        <w:rPr>
          <w:lang w:val="en-US"/>
          <w:rFonts w:ascii="Arial" w:cs="Arial" w:hAnsi="Arial"/>
        </w:rPr>
        <w:t>doi</w:t>
      </w:r>
      <w:proofErr w:type="spellEnd"/>
      <w:r w:rsidRPr="00793A69">
        <w:rPr>
          <w:lang w:val="en-US"/>
          <w:rFonts w:ascii="Arial" w:cs="Arial" w:hAnsi="Arial"/>
        </w:rPr>
        <w:t xml:space="preserve">: </w:t>
      </w:r>
      <w:hyperlink w:history="1" r:id="rId17">
        <w:r w:rsidRPr="00793A69">
          <w:rPr>
            <w:lang w:val="en-US"/>
            <w:rStyle w:val="Hyperlink"/>
            <w:color w:val="auto"/>
            <w:rFonts w:ascii="Arial" w:cs="Arial" w:hAnsi="Arial"/>
          </w:rPr>
          <w:t>https://doi.org/10.1007/s11747-018-0608-3</w:t>
        </w:r>
      </w:hyperlink>
      <w:r w:rsidRPr="00793A69">
        <w:rPr>
          <w:lang w:val="en-US"/>
          <w:rFonts w:ascii="Arial" w:cs="Arial" w:hAnsi="Arial"/>
        </w:rPr>
        <w:t xml:space="preserve">. </w:t>
      </w:r>
    </w:p>
    <w:p w:rsidR="0019334E" w:rsidRDefault="0019334E" w14:paraId="0E9CDF74" w14:textId="77777777" w:rsidP="007E033C" w:rsidRPr="00793A69">
      <w:pPr>
        <w:jc w:val="both"/>
        <w:spacing w:line="360" w:lineRule="auto"/>
        <w:rPr>
          <w:lang w:val="en-US"/>
          <w:rFonts w:ascii="Arial" w:cs="Arial" w:hAnsi="Arial"/>
        </w:rPr>
      </w:pPr>
      <w:r w:rsidRPr="00793A69">
        <w:rPr>
          <w:lang w:val="en-US"/>
          <w:rFonts w:ascii="Arial" w:cs="Arial" w:hAnsi="Arial"/>
        </w:rPr>
        <w:t xml:space="preserve">Rawson, A., Duncan, E. and Jones, C. (2013). </w:t>
      </w:r>
      <w:r w:rsidRPr="00793A69">
        <w:rPr>
          <w:iCs/>
          <w:lang w:val="en-US"/>
          <w:i/>
          <w:rFonts w:ascii="Arial" w:cs="Arial" w:hAnsi="Arial"/>
        </w:rPr>
        <w:t>The Truth About Customer Experience</w:t>
      </w:r>
      <w:r w:rsidRPr="00793A69">
        <w:rPr>
          <w:lang w:val="en-US"/>
          <w:rFonts w:ascii="Arial" w:cs="Arial" w:hAnsi="Arial"/>
        </w:rPr>
        <w:t xml:space="preserve">. [online] Harvard Business Review. Available at: </w:t>
      </w:r>
      <w:hyperlink w:history="1" r:id="rId18">
        <w:r w:rsidRPr="00793A69">
          <w:rPr>
            <w:lang w:val="en-US"/>
            <w:rStyle w:val="Hyperlink"/>
            <w:color w:val="auto"/>
            <w:rFonts w:ascii="Arial" w:cs="Arial" w:hAnsi="Arial"/>
          </w:rPr>
          <w:t>https://hbr.org/2013/09/the-truth-about-customer-experience</w:t>
        </w:r>
      </w:hyperlink>
      <w:r w:rsidRPr="00793A69">
        <w:rPr>
          <w:lang w:val="en-US"/>
          <w:rFonts w:ascii="Arial" w:cs="Arial" w:hAnsi="Arial"/>
        </w:rPr>
        <w:t xml:space="preserve">. </w:t>
      </w:r>
    </w:p>
    <w:p w:rsidR="007E033C" w:rsidRDefault="007E033C" w14:paraId="33350C54" w14:textId="77777777" w:rsidP="007E033C" w:rsidRPr="00793A69">
      <w:pPr>
        <w:jc w:val="both"/>
        <w:spacing w:line="360" w:lineRule="auto"/>
        <w:rPr>
          <w:lang w:val="en-US"/>
          <w:rFonts w:ascii="Arial" w:cs="Arial" w:hAnsi="Arial"/>
        </w:rPr>
      </w:pPr>
      <w:r w:rsidRPr="00793A69">
        <w:rPr>
          <w:lang w:val="en-US"/>
          <w:rFonts w:ascii="Arial" w:cs="Arial" w:hAnsi="Arial"/>
        </w:rPr>
        <w:t xml:space="preserve">Reuters (2025). UK banks press on with </w:t>
      </w:r>
      <w:proofErr w:type="spellStart"/>
      <w:r w:rsidRPr="00793A69">
        <w:rPr>
          <w:lang w:val="en-US"/>
          <w:rFonts w:ascii="Arial" w:cs="Arial" w:hAnsi="Arial"/>
        </w:rPr>
        <w:t>tokenised</w:t>
      </w:r>
      <w:proofErr w:type="spellEnd"/>
      <w:r w:rsidRPr="00793A69">
        <w:rPr>
          <w:lang w:val="en-US"/>
          <w:rFonts w:ascii="Arial" w:cs="Arial" w:hAnsi="Arial"/>
        </w:rPr>
        <w:t xml:space="preserve"> deposits after BoE stablecoin warning. Reuters. [online] 26 Sep. Available at: </w:t>
      </w:r>
      <w:hyperlink w:history="1" r:id="rId19">
        <w:r w:rsidRPr="00793A69">
          <w:rPr>
            <w:lang w:val="en-US"/>
            <w:rStyle w:val="Hyperlink"/>
            <w:color w:val="auto"/>
            <w:rFonts w:ascii="Arial" w:cs="Arial" w:hAnsi="Arial"/>
          </w:rPr>
          <w:t>https://www.reuters.com/business/finance/uk-banks-press-with-tokenised-deposits-after-boe-stablecoin-warning-2025-09-26/</w:t>
        </w:r>
      </w:hyperlink>
      <w:r w:rsidRPr="00793A69">
        <w:rPr>
          <w:lang w:val="en-US"/>
          <w:rFonts w:ascii="Arial" w:cs="Arial" w:hAnsi="Arial"/>
        </w:rPr>
        <w:t xml:space="preserve">. </w:t>
      </w:r>
    </w:p>
    <w:p w:rsidR="006E7DB5" w:rsidRDefault="006E7DB5" w14:paraId="1526CC48" w14:textId="77777777" w:rsidP="002B7E7D" w:rsidRPr="00793A69">
      <w:pPr>
        <w:spacing w:line="360" w:lineRule="auto"/>
        <w:rPr>
          <w:lang w:val="en-US"/>
          <w:rFonts w:ascii="Arial" w:cs="Arial" w:hAnsi="Arial"/>
        </w:rPr>
      </w:pPr>
      <w:r w:rsidRPr="00793A69">
        <w:rPr>
          <w:lang w:val="en-US"/>
          <w:rFonts w:ascii="Arial" w:cs="Arial" w:hAnsi="Arial"/>
        </w:rPr>
        <w:t xml:space="preserve">Statistica (2024). </w:t>
      </w:r>
      <w:r w:rsidRPr="00793A69">
        <w:rPr>
          <w:iCs/>
          <w:lang w:val="en-US"/>
          <w:i/>
          <w:rFonts w:ascii="Arial" w:cs="Arial" w:hAnsi="Arial"/>
        </w:rPr>
        <w:t xml:space="preserve">Barclays: employment numbers by </w:t>
      </w:r>
      <w:proofErr w:type="gramStart"/>
      <w:r w:rsidRPr="00793A69">
        <w:rPr>
          <w:iCs/>
          <w:lang w:val="en-US"/>
          <w:i/>
          <w:rFonts w:ascii="Arial" w:cs="Arial" w:hAnsi="Arial"/>
        </w:rPr>
        <w:t xml:space="preserve">country </w:t>
      </w:r>
      <w:r w:rsidRPr="00793A69">
        <w:rPr>
          <w:lang w:val="en-US"/>
          <w:rFonts w:ascii="Arial" w:cs="Arial" w:hAnsi="Arial"/>
        </w:rPr>
        <w:t>.</w:t>
      </w:r>
      <w:proofErr w:type="gramEnd"/>
      <w:r w:rsidRPr="00793A69">
        <w:rPr>
          <w:lang w:val="en-US"/>
          <w:rFonts w:ascii="Arial" w:cs="Arial" w:hAnsi="Arial"/>
        </w:rPr>
        <w:t xml:space="preserve"> [online] Statista. Available at: </w:t>
      </w:r>
      <w:hyperlink w:history="1" r:id="rId20">
        <w:r w:rsidRPr="00793A69">
          <w:rPr>
            <w:lang w:val="en-US"/>
            <w:rStyle w:val="Hyperlink"/>
            <w:color w:val="auto"/>
            <w:rFonts w:ascii="Arial" w:cs="Arial" w:hAnsi="Arial"/>
          </w:rPr>
          <w:t>https://www.statista.com/statistics/441855/barclays-group-employees-by-country-worldwide/?srsltid=AfmBOorHn5ukphkoSDHQ44dO0ndrQ5wH9Gs03wataFEvPlOJq9SXBltp</w:t>
        </w:r>
      </w:hyperlink>
      <w:r w:rsidRPr="00793A69">
        <w:rPr>
          <w:lang w:val="en-US"/>
          <w:rFonts w:ascii="Arial" w:cs="Arial" w:hAnsi="Arial"/>
        </w:rPr>
        <w:t>. [Accessed 18 Oct. 2025].</w:t>
      </w:r>
    </w:p>
    <w:p w:rsidR="008D71A5" w:rsidRDefault="008D71A5" w14:paraId="0C77B0DD" w14:textId="77777777" w:rsidP="008D71A5" w:rsidRPr="00793A69">
      <w:pPr>
        <w:rPr>
          <w:lang w:val="en-US"/>
          <w:rFonts w:ascii="Arial" w:cs="Arial" w:hAnsi="Arial"/>
        </w:rPr>
      </w:pPr>
    </w:p>
    <w:p w:rsidR="0000406F" w:rsidRDefault="0000406F" w14:paraId="66C8C56E" w14:textId="77777777" w:rsidP="00BB5287" w:rsidRPr="00793A69">
      <w:pPr>
        <w:spacing w:line="360" w:lineRule="auto"/>
        <w:rPr>
          <w:rFonts w:ascii="Arial" w:cs="Arial" w:hAnsi="Arial"/>
        </w:rPr>
      </w:pPr>
    </w:p>
    <w:p w:rsidR="0000406F" w:rsidRDefault="0000406F" w14:paraId="3F4B012D" w14:textId="77777777" w:rsidP="0000406F" w:rsidRPr="00793A69">
      <w:pPr>
        <w:rPr>
          <w:rFonts w:ascii="Arial" w:cs="Arial" w:hAnsi="Arial"/>
        </w:rPr>
      </w:pPr>
    </w:p>
    <w:p w:rsidR="0000406F" w:rsidRDefault="0000406F" w14:paraId="3B78EA9F" w14:textId="77777777" w:rsidP="0000406F" w:rsidRPr="00793A69">
      <w:pPr>
        <w:rPr>
          <w:rFonts w:ascii="Arial" w:cs="Arial" w:hAnsi="Arial"/>
        </w:rPr>
      </w:pPr>
    </w:p>
    <w:p w:rsidR="00C02FCE" w:rsidRDefault="00C02FCE" w14:paraId="28CDB659" w14:textId="77777777" w:rsidP="00930868" w:rsidRPr="00793A69">
      <w:pPr>
        <w:rPr>
          <w:rFonts w:ascii="Arial" w:cs="Arial" w:hAnsi="Arial"/>
        </w:rPr>
      </w:pPr>
    </w:p>
    <w:sectPr w:rsidR="00C02FCE" w:rsidRPr="00793A69">
      <w:docGrid w:linePitch="360"/>
      <w:headerReference r:id="rId21" w:type="default"/>
      <w:pgSz w:w="11906" w:h="16838"/>
      <w:pgMar w:left="1440" w:right="1440" w:top="1440" w:bottom="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7F57C7" w14:textId="77777777" w:rsidR="00844303" w:rsidRDefault="00844303" w:rsidP="00867DED">
      <w:pPr>
        <w:spacing w:after="0" w:line="240" w:lineRule="auto"/>
      </w:pPr>
      <w:r>
        <w:separator/>
      </w:r>
    </w:p>
  </w:endnote>
  <w:endnote w:type="continuationSeparator" w:id="0">
    <w:p w14:paraId="7367887A" w14:textId="77777777" w:rsidR="00844303" w:rsidRDefault="00844303" w:rsidP="00867DED">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E6E48D" w14:textId="77777777" w:rsidR="00844303" w:rsidRDefault="00844303" w:rsidP="00867DED">
      <w:pPr>
        <w:spacing w:after="0" w:line="240" w:lineRule="auto"/>
      </w:pPr>
      <w:r>
        <w:separator/>
      </w:r>
    </w:p>
  </w:footnote>
  <w:footnote w:type="continuationSeparator" w:id="0">
    <w:p w14:paraId="2F3C1B93" w14:textId="77777777" w:rsidR="00844303" w:rsidRDefault="00844303" w:rsidP="00867D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34281325"/>
      <w:docPartObj>
        <w:docPartGallery w:val="Page Numbers (Top of Page)"/>
        <w:docPartUnique/>
      </w:docPartObj>
    </w:sdtPr>
    <w:sdtEndPr>
      <w:rPr>
        <w:rFonts w:ascii="Arial" w:hAnsi="Arial" w:cs="Arial"/>
        <w:noProof/>
        <w:sz w:val="24"/>
        <w:szCs w:val="24"/>
      </w:rPr>
    </w:sdtEndPr>
    <w:sdtContent>
      <w:p w14:paraId="577B7496" w14:textId="77777777" w:rsidR="00912271" w:rsidRPr="00912271" w:rsidRDefault="00912271">
        <w:pPr>
          <w:pStyle w:val="Header"/>
          <w:jc w:val="right"/>
          <w:rPr>
            <w:rFonts w:ascii="Arial" w:hAnsi="Arial" w:cs="Arial"/>
            <w:sz w:val="24"/>
            <w:szCs w:val="24"/>
          </w:rPr>
        </w:pPr>
        <w:r w:rsidRPr="00912271">
          <w:rPr>
            <w:rFonts w:ascii="Arial" w:hAnsi="Arial" w:cs="Arial"/>
            <w:sz w:val="24"/>
            <w:szCs w:val="24"/>
          </w:rPr>
          <w:fldChar w:fldCharType="begin"/>
        </w:r>
        <w:r w:rsidRPr="00912271">
          <w:rPr>
            <w:rFonts w:ascii="Arial" w:hAnsi="Arial" w:cs="Arial"/>
            <w:sz w:val="24"/>
            <w:szCs w:val="24"/>
          </w:rPr>
          <w:instrText xml:space="preserve"> PAGE   \* MERGEFORMAT </w:instrText>
        </w:r>
        <w:r w:rsidRPr="00912271">
          <w:rPr>
            <w:rFonts w:ascii="Arial" w:hAnsi="Arial" w:cs="Arial"/>
            <w:sz w:val="24"/>
            <w:szCs w:val="24"/>
          </w:rPr>
          <w:fldChar w:fldCharType="separate"/>
        </w:r>
        <w:r w:rsidR="00A1609A">
          <w:rPr>
            <w:rFonts w:ascii="Arial" w:hAnsi="Arial" w:cs="Arial"/>
            <w:noProof/>
            <w:sz w:val="24"/>
            <w:szCs w:val="24"/>
          </w:rPr>
          <w:t>3</w:t>
        </w:r>
        <w:r w:rsidRPr="00912271">
          <w:rPr>
            <w:rFonts w:ascii="Arial" w:hAnsi="Arial" w:cs="Arial"/>
            <w:noProof/>
            <w:sz w:val="24"/>
            <w:szCs w:val="24"/>
          </w:rPr>
          <w:fldChar w:fldCharType="end"/>
        </w:r>
      </w:p>
    </w:sdtContent>
  </w:sdt>
  <w:p w14:paraId="36347BB4" w14:textId="77777777" w:rsidR="00912271" w:rsidRDefault="00912271">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336A24F3"/>
    <w:tmpl w:val="7CAEA8D8"/>
    <w:lvl w:ilvl="0" w:tplc="0809000F">
      <w:numFmt w:val="decimal"/>
      <w:lvlText w:val="%1."/>
      <w:start w:val="1"/>
      <w:rPr>
        <w:rFonts w:hint="default"/>
      </w:rPr>
      <w:pPr>
        <w:ind w:left="360"/>
        <w:ind w:hanging="360"/>
      </w:pPr>
      <w:lvlJc w:val="left"/>
    </w:lvl>
    <w:lvl w:ilvl="1" w:tentative="1" w:tplc="08090019">
      <w:numFmt w:val="lowerLetter"/>
      <w:lvlText w:val="%2."/>
      <w:start w:val="1"/>
      <w:pPr>
        <w:ind w:left="1080"/>
        <w:ind w:hanging="360"/>
      </w:pPr>
      <w:lvlJc w:val="left"/>
    </w:lvl>
    <w:lvl w:ilvl="2" w:tentative="1" w:tplc="0809001B">
      <w:numFmt w:val="lowerRoman"/>
      <w:lvlText w:val="%3."/>
      <w:start w:val="1"/>
      <w:pPr>
        <w:ind w:left="1800"/>
        <w:ind w:hanging="180"/>
      </w:pPr>
      <w:lvlJc w:val="right"/>
    </w:lvl>
    <w:lvl w:ilvl="3" w:tentative="1" w:tplc="0809000F">
      <w:numFmt w:val="decimal"/>
      <w:lvlText w:val="%4."/>
      <w:start w:val="1"/>
      <w:pPr>
        <w:ind w:left="2520"/>
        <w:ind w:hanging="360"/>
      </w:pPr>
      <w:lvlJc w:val="left"/>
    </w:lvl>
    <w:lvl w:ilvl="4" w:tentative="1" w:tplc="08090019">
      <w:numFmt w:val="lowerLetter"/>
      <w:lvlText w:val="%5."/>
      <w:start w:val="1"/>
      <w:pPr>
        <w:ind w:left="3240"/>
        <w:ind w:hanging="360"/>
      </w:pPr>
      <w:lvlJc w:val="left"/>
    </w:lvl>
    <w:lvl w:ilvl="5" w:tentative="1" w:tplc="0809001B">
      <w:numFmt w:val="lowerRoman"/>
      <w:lvlText w:val="%6."/>
      <w:start w:val="1"/>
      <w:pPr>
        <w:ind w:left="3960"/>
        <w:ind w:hanging="180"/>
      </w:pPr>
      <w:lvlJc w:val="right"/>
    </w:lvl>
    <w:lvl w:ilvl="6" w:tentative="1" w:tplc="0809000F">
      <w:numFmt w:val="decimal"/>
      <w:lvlText w:val="%7."/>
      <w:start w:val="1"/>
      <w:pPr>
        <w:ind w:left="4680"/>
        <w:ind w:hanging="360"/>
      </w:pPr>
      <w:lvlJc w:val="left"/>
    </w:lvl>
    <w:lvl w:ilvl="7" w:tentative="1" w:tplc="08090019">
      <w:numFmt w:val="lowerLetter"/>
      <w:lvlText w:val="%8."/>
      <w:start w:val="1"/>
      <w:pPr>
        <w:ind w:left="5400"/>
        <w:ind w:hanging="360"/>
      </w:pPr>
      <w:lvlJc w:val="left"/>
    </w:lvl>
    <w:lvl w:ilvl="8" w:tentative="1" w:tplc="0809001B">
      <w:numFmt w:val="lowerRoman"/>
      <w:lvlText w:val="%9."/>
      <w:start w:val="1"/>
      <w:pPr>
        <w:ind w:left="6120"/>
        <w:ind w:hanging="180"/>
      </w:pPr>
      <w:lvlJc w:val="right"/>
    </w:lvl>
  </w:abstractNum>
  <w:abstractNum w:abstractNumId="1">
    <w:multiLevelType w:val="hybridMultilevel"/>
    <w:nsid w:val="6C78797C"/>
    <w:tmpl w:val="9D506FB6"/>
    <w:lvl w:ilvl="0">
      <w:numFmt w:val="bullet"/>
      <w:lvlText w:val=""/>
      <w:start w:val="1"/>
      <w:rPr>
        <w:rFonts w:ascii="Symbol" w:hAnsi="Symbol" w:hint="default"/>
        <w:sz w:val="20"/>
      </w:rPr>
      <w:pPr>
        <w:ind w:left="720"/>
        <w:ind w:hanging="360"/>
        <w:tabs>
          <w:tab w:val="num" w:pos="720"/>
        </w:tabs>
      </w:pPr>
      <w:lvlJc w:val="left"/>
    </w:lvl>
    <w:lvl w:ilvl="1">
      <w:numFmt w:val="bullet"/>
      <w:lvlText w:val="o"/>
      <w:start w:val="1"/>
      <w:rPr>
        <w:rFonts w:ascii="Courier New" w:hAnsi="Courier New" w:hint="default"/>
        <w:sz w:val="20"/>
      </w:rPr>
      <w:pPr>
        <w:ind w:left="1440"/>
        <w:ind w:hanging="360"/>
        <w:tabs>
          <w:tab w:val="num" w:pos="1440"/>
        </w:tabs>
      </w:pPr>
      <w:lvlJc w:val="left"/>
    </w:lvl>
    <w:lvl w:ilvl="2" w:tentative="1">
      <w:numFmt w:val="bullet"/>
      <w:lvlText w:val=""/>
      <w:start w:val="1"/>
      <w:rPr>
        <w:rFonts w:ascii="Wingdings" w:hAnsi="Wingdings" w:hint="default"/>
        <w:sz w:val="20"/>
      </w:rPr>
      <w:pPr>
        <w:ind w:left="2160"/>
        <w:ind w:hanging="360"/>
        <w:tabs>
          <w:tab w:val="num" w:pos="2160"/>
        </w:tabs>
      </w:pPr>
      <w:lvlJc w:val="left"/>
    </w:lvl>
    <w:lvl w:ilvl="3" w:tentative="1">
      <w:numFmt w:val="bullet"/>
      <w:lvlText w:val=""/>
      <w:start w:val="1"/>
      <w:rPr>
        <w:rFonts w:ascii="Wingdings" w:hAnsi="Wingdings" w:hint="default"/>
        <w:sz w:val="20"/>
      </w:rPr>
      <w:pPr>
        <w:ind w:left="2880"/>
        <w:ind w:hanging="360"/>
        <w:tabs>
          <w:tab w:val="num" w:pos="2880"/>
        </w:tabs>
      </w:pPr>
      <w:lvlJc w:val="left"/>
    </w:lvl>
    <w:lvl w:ilvl="4" w:tentative="1">
      <w:numFmt w:val="bullet"/>
      <w:lvlText w:val=""/>
      <w:start w:val="1"/>
      <w:rPr>
        <w:rFonts w:ascii="Wingdings" w:hAnsi="Wingdings" w:hint="default"/>
        <w:sz w:val="20"/>
      </w:rPr>
      <w:pPr>
        <w:ind w:left="3600"/>
        <w:ind w:hanging="360"/>
        <w:tabs>
          <w:tab w:val="num" w:pos="3600"/>
        </w:tabs>
      </w:pPr>
      <w:lvlJc w:val="left"/>
    </w:lvl>
    <w:lvl w:ilvl="5" w:tentative="1">
      <w:numFmt w:val="bullet"/>
      <w:lvlText w:val=""/>
      <w:start w:val="1"/>
      <w:rPr>
        <w:rFonts w:ascii="Wingdings" w:hAnsi="Wingdings" w:hint="default"/>
        <w:sz w:val="20"/>
      </w:rPr>
      <w:pPr>
        <w:ind w:left="4320"/>
        <w:ind w:hanging="360"/>
        <w:tabs>
          <w:tab w:val="num" w:pos="4320"/>
        </w:tabs>
      </w:pPr>
      <w:lvlJc w:val="left"/>
    </w:lvl>
    <w:lvl w:ilvl="6" w:tentative="1">
      <w:numFmt w:val="bullet"/>
      <w:lvlText w:val=""/>
      <w:start w:val="1"/>
      <w:rPr>
        <w:rFonts w:ascii="Wingdings" w:hAnsi="Wingdings" w:hint="default"/>
        <w:sz w:val="20"/>
      </w:rPr>
      <w:pPr>
        <w:ind w:left="5040"/>
        <w:ind w:hanging="360"/>
        <w:tabs>
          <w:tab w:val="num" w:pos="5040"/>
        </w:tabs>
      </w:pPr>
      <w:lvlJc w:val="left"/>
    </w:lvl>
    <w:lvl w:ilvl="7" w:tentative="1">
      <w:numFmt w:val="bullet"/>
      <w:lvlText w:val=""/>
      <w:start w:val="1"/>
      <w:rPr>
        <w:rFonts w:ascii="Wingdings" w:hAnsi="Wingdings" w:hint="default"/>
        <w:sz w:val="20"/>
      </w:rPr>
      <w:pPr>
        <w:ind w:left="5760"/>
        <w:ind w:hanging="360"/>
        <w:tabs>
          <w:tab w:val="num" w:pos="5760"/>
        </w:tabs>
      </w:pPr>
      <w:lvlJc w:val="left"/>
    </w:lvl>
    <w:lvl w:ilvl="8" w:tentative="1">
      <w:numFmt w:val="bullet"/>
      <w:lvlText w:val=""/>
      <w:start w:val="1"/>
      <w:rPr>
        <w:rFonts w:ascii="Wingdings" w:hAnsi="Wingdings" w:hint="default"/>
        <w:sz w:val="20"/>
      </w:rPr>
      <w:pPr>
        <w:ind w:left="6480"/>
        <w:ind w:hanging="360"/>
        <w:tabs>
          <w:tab w:val="num" w:pos="6480"/>
        </w:tabs>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
  </w:num>
  <w:num w:numId="2">
    <w:abstractNumId w:val="0"/>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4FA9AC5"/>
  <w15:chartTrackingRefBased/>
  <w15:docId w15:val="{80659587-F7A1-4D71-BC2A-68D1159961A8}"/>
  <w:rsids>
    <w:rsidRoot val=""/>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docDefaults>
    <w:rPrDefault>
      <w:rPr>
        <w:lang w:val="en-GB" w:eastAsia="en-US" w:bidi="ar-SA"/>
        <w:rFonts w:ascii="Calibri" w:eastAsiaTheme="minorHAnsi" w:hAnsiTheme="minorHAnsi" w:cstheme="minorBidi"/>
        <w:sz w:val="22"/>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2271"/>
    <w:rPr>
      <w:lang w:val="en-AU"/>
    </w:rPr>
  </w:style>
  <w:style w:type="paragraph" w:styleId="Heading1">
    <w:name w:val="Heading 1"/>
    <w:qFormat/>
    <w:basedOn w:val="Normal"/>
    <w:next w:val="Normal"/>
    <w:link w:val="Heading1Char"/>
    <w:uiPriority w:val="9"/>
    <w:rsid w:val="00912271"/>
    <w:pPr>
      <w:keepNext/>
      <w:keepLines/>
      <w:outlineLvl w:val="0"/>
      <w:spacing w:before="240" w:after="0"/>
    </w:pPr>
    <w:rPr>
      <w:color w:val="2E74B5"/>
      <w:rFonts w:ascii="Calibri Light" w:eastAsiaTheme="majorEastAsia" w:hAnsiTheme="majorHAnsi" w:cstheme="majorBidi"/>
      <w:sz w:val="32"/>
      <w:szCs w:val="32"/>
    </w:rPr>
  </w:style>
  <w:style w:type="paragraph" w:styleId="Heading2">
    <w:name w:val="Heading 2"/>
    <w:qFormat/>
    <w:basedOn w:val="Normal"/>
    <w:next w:val="Normal"/>
    <w:link w:val="Heading2Char"/>
    <w:uiPriority w:val="9"/>
    <w:unhideWhenUsed/>
    <w:rsid w:val="00912271"/>
    <w:pPr>
      <w:keepNext/>
      <w:keepLines/>
      <w:outlineLvl w:val="1"/>
      <w:spacing w:before="40" w:after="0"/>
    </w:pPr>
    <w:rPr>
      <w:color w:val="2E74B5"/>
      <w:rFonts w:ascii="Calibri Light" w:eastAsiaTheme="majorEastAsia" w:hAnsiTheme="majorHAnsi" w:cstheme="majorBidi"/>
      <w:sz w:val="26"/>
      <w:szCs w:val="26"/>
    </w:rPr>
  </w:style>
  <w:style w:type="paragraph" w:styleId="Heading3">
    <w:name w:val="Heading 3"/>
    <w:qFormat/>
    <w:basedOn w:val="Normal"/>
    <w:next w:val="Normal"/>
    <w:link w:val="Heading3Char"/>
    <w:uiPriority w:val="9"/>
    <w:semiHidden/>
    <w:unhideWhenUsed/>
    <w:rsid w:val="00495605"/>
    <w:pPr>
      <w:keepNext/>
      <w:keepLines/>
      <w:outlineLvl w:val="2"/>
      <w:spacing w:before="40" w:after="0"/>
    </w:pPr>
    <w:rPr>
      <w:color w:val="1F4D78"/>
      <w:rFonts w:ascii="Calibri Light" w:eastAsiaTheme="majorEastAsia" w:hAnsiTheme="majorHAnsi" w:cstheme="majorBidi"/>
      <w:sz w:val="24"/>
      <w:szCs w:val="24"/>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yperlink">
    <w:name w:val="Hyperlink"/>
    <w:basedOn w:val="DefaultParagraphFont"/>
    <w:uiPriority w:val="99"/>
    <w:unhideWhenUsed/>
    <w:rsid w:val="00C02FCE"/>
    <w:rPr>
      <w:u w:val="single"/>
      <w:color w:val="0563C1"/>
    </w:rPr>
  </w:style>
  <w:style w:type="paragraph" w:styleId="Header">
    <w:name w:val="header"/>
    <w:basedOn w:val="Normal"/>
    <w:link w:val="HeaderChar"/>
    <w:uiPriority w:val="99"/>
    <w:unhideWhenUsed/>
    <w:rsid w:val="00867DED"/>
    <w:pPr>
      <w:spacing w:after="0" w:line="240" w:lineRule="auto"/>
      <w:tabs>
        <w:tab w:val="center" w:pos="4680"/>
        <w:tab w:val="right" w:pos="9360"/>
      </w:tabs>
    </w:pPr>
  </w:style>
  <w:style w:type="character" w:styleId="HeaderChar">
    <w:name w:val="Header Char"/>
    <w:basedOn w:val="DefaultParagraphFont"/>
    <w:link w:val="Header"/>
    <w:uiPriority w:val="99"/>
    <w:rsid w:val="00867DED"/>
    <w:rPr>
      <w:lang w:val="en-AU"/>
    </w:rPr>
  </w:style>
  <w:style w:type="paragraph" w:styleId="Footer">
    <w:name w:val="footer"/>
    <w:basedOn w:val="Normal"/>
    <w:link w:val="FooterChar"/>
    <w:uiPriority w:val="99"/>
    <w:unhideWhenUsed/>
    <w:rsid w:val="00867DED"/>
    <w:pPr>
      <w:spacing w:after="0" w:line="240" w:lineRule="auto"/>
      <w:tabs>
        <w:tab w:val="center" w:pos="4680"/>
        <w:tab w:val="right" w:pos="9360"/>
      </w:tabs>
    </w:pPr>
  </w:style>
  <w:style w:type="character" w:styleId="FooterChar">
    <w:name w:val="Footer Char"/>
    <w:basedOn w:val="DefaultParagraphFont"/>
    <w:link w:val="Footer"/>
    <w:uiPriority w:val="99"/>
    <w:rsid w:val="00867DED"/>
    <w:rPr>
      <w:lang w:val="en-AU"/>
    </w:rPr>
  </w:style>
  <w:style w:type="character" w:styleId="Heading1Char">
    <w:name w:val="Heading 1 Char"/>
    <w:basedOn w:val="DefaultParagraphFont"/>
    <w:link w:val="Heading1"/>
    <w:uiPriority w:val="9"/>
    <w:rsid w:val="00912271"/>
    <w:rPr>
      <w:lang w:val="en-AU"/>
      <w:color w:val="2E74B5"/>
      <w:rFonts w:ascii="Calibri Light" w:eastAsiaTheme="majorEastAsia" w:hAnsiTheme="majorHAnsi" w:cstheme="majorBidi"/>
      <w:sz w:val="32"/>
      <w:szCs w:val="32"/>
    </w:rPr>
  </w:style>
  <w:style w:type="character" w:styleId="Heading2Char">
    <w:name w:val="Heading 2 Char"/>
    <w:basedOn w:val="DefaultParagraphFont"/>
    <w:link w:val="Heading2"/>
    <w:uiPriority w:val="9"/>
    <w:rsid w:val="00912271"/>
    <w:rPr>
      <w:lang w:val="en-AU"/>
      <w:color w:val="2E74B5"/>
      <w:rFonts w:ascii="Calibri Light" w:eastAsiaTheme="majorEastAsia" w:hAnsiTheme="majorHAnsi" w:cstheme="majorBidi"/>
      <w:sz w:val="26"/>
      <w:szCs w:val="26"/>
    </w:rPr>
  </w:style>
  <w:style w:type="paragraph" w:styleId="TOCHeading">
    <w:name w:val="TOC Heading"/>
    <w:qFormat/>
    <w:basedOn w:val="Heading1"/>
    <w:next w:val="Normal"/>
    <w:uiPriority w:val="39"/>
    <w:unhideWhenUsed/>
    <w:rsid w:val="00912271"/>
    <w:pPr>
      <w:outlineLvl w:val="9"/>
    </w:pPr>
    <w:rPr>
      <w:lang w:val="en-US"/>
    </w:rPr>
  </w:style>
  <w:style w:type="paragraph" w:styleId="TOC1">
    <w:name w:val="toc 1"/>
    <w:basedOn w:val="Normal"/>
    <w:next w:val="Normal"/>
    <w:autoRedefine/>
    <w:uiPriority w:val="39"/>
    <w:unhideWhenUsed/>
    <w:rsid w:val="00912271"/>
    <w:pPr>
      <w:spacing w:after="100"/>
    </w:pPr>
  </w:style>
  <w:style w:type="paragraph" w:styleId="TOC2">
    <w:name w:val="toc 2"/>
    <w:basedOn w:val="Normal"/>
    <w:next w:val="Normal"/>
    <w:autoRedefine/>
    <w:uiPriority w:val="39"/>
    <w:unhideWhenUsed/>
    <w:rsid w:val="00912271"/>
    <w:pPr>
      <w:ind w:left="220"/>
      <w:spacing w:after="100"/>
    </w:pPr>
  </w:style>
  <w:style w:type="character" w:styleId="Heading3Char">
    <w:name w:val="Heading 3 Char"/>
    <w:basedOn w:val="DefaultParagraphFont"/>
    <w:link w:val="Heading3"/>
    <w:uiPriority w:val="9"/>
    <w:semiHidden/>
    <w:rsid w:val="00495605"/>
    <w:rPr>
      <w:lang w:val="en-AU"/>
      <w:color w:val="1F4D78"/>
      <w:rFonts w:ascii="Calibri Light" w:eastAsiaTheme="majorEastAsia" w:hAnsiTheme="majorHAnsi" w:cstheme="majorBidi"/>
      <w:sz w:val="24"/>
      <w:szCs w:val="24"/>
    </w:rPr>
  </w:style>
  <w:style w:type="paragraph" w:styleId="ListParagraph">
    <w:name w:val="List Paragraph"/>
    <w:qFormat/>
    <w:basedOn w:val="Normal"/>
    <w:uiPriority w:val="34"/>
    <w:rsid w:val="00287A54"/>
    <w:pPr>
      <w:ind w:left="720"/>
      <w:contextualSpacing/>
    </w:pPr>
  </w:style>
  <w:style w:type="paragraph" w:styleId="TOC3">
    <w:name w:val="toc 3"/>
    <w:basedOn w:val="Normal"/>
    <w:next w:val="Normal"/>
    <w:autoRedefine/>
    <w:uiPriority w:val="39"/>
    <w:unhideWhenUsed/>
    <w:rsid w:val="00793A69"/>
    <w:pPr>
      <w:ind w:left="440"/>
      <w:spacing w:after="100"/>
    </w:p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646850">
      <w:bodyDiv w:val="1"/>
      <w:marLeft w:val="0"/>
      <w:marRight w:val="0"/>
      <w:marTop w:val="0"/>
      <w:marBottom w:val="0"/>
      <w:divBdr>
        <w:top w:val="none" w:sz="0" w:space="0" w:color="auto"/>
        <w:left w:val="none" w:sz="0" w:space="0" w:color="auto"/>
        <w:bottom w:val="none" w:sz="0" w:space="0" w:color="auto"/>
        <w:right w:val="none" w:sz="0" w:space="0" w:color="auto"/>
      </w:divBdr>
    </w:div>
    <w:div w:id="45179044">
      <w:bodyDiv w:val="1"/>
      <w:marLeft w:val="0"/>
      <w:marRight w:val="0"/>
      <w:marTop w:val="0"/>
      <w:marBottom w:val="0"/>
      <w:divBdr>
        <w:top w:val="none" w:sz="0" w:space="0" w:color="auto"/>
        <w:left w:val="none" w:sz="0" w:space="0" w:color="auto"/>
        <w:bottom w:val="none" w:sz="0" w:space="0" w:color="auto"/>
        <w:right w:val="none" w:sz="0" w:space="0" w:color="auto"/>
      </w:divBdr>
    </w:div>
    <w:div w:id="179247936">
      <w:bodyDiv w:val="1"/>
      <w:marLeft w:val="0"/>
      <w:marRight w:val="0"/>
      <w:marTop w:val="0"/>
      <w:marBottom w:val="0"/>
      <w:divBdr>
        <w:top w:val="none" w:sz="0" w:space="0" w:color="auto"/>
        <w:left w:val="none" w:sz="0" w:space="0" w:color="auto"/>
        <w:bottom w:val="none" w:sz="0" w:space="0" w:color="auto"/>
        <w:right w:val="none" w:sz="0" w:space="0" w:color="auto"/>
      </w:divBdr>
      <w:divsChild>
        <w:div w:id="1969046856">
          <w:marLeft w:val="0"/>
          <w:marRight w:val="0"/>
          <w:marTop w:val="0"/>
          <w:marBottom w:val="0"/>
          <w:divBdr>
            <w:top w:val="none" w:sz="0" w:space="0" w:color="auto"/>
            <w:left w:val="none" w:sz="0" w:space="0" w:color="auto"/>
            <w:bottom w:val="none" w:sz="0" w:space="0" w:color="auto"/>
            <w:right w:val="none" w:sz="0" w:space="0" w:color="auto"/>
          </w:divBdr>
        </w:div>
      </w:divsChild>
    </w:div>
    <w:div w:id="330960133">
      <w:bodyDiv w:val="1"/>
      <w:marLeft w:val="0"/>
      <w:marRight w:val="0"/>
      <w:marTop w:val="0"/>
      <w:marBottom w:val="0"/>
      <w:divBdr>
        <w:top w:val="none" w:sz="0" w:space="0" w:color="auto"/>
        <w:left w:val="none" w:sz="0" w:space="0" w:color="auto"/>
        <w:bottom w:val="none" w:sz="0" w:space="0" w:color="auto"/>
        <w:right w:val="none" w:sz="0" w:space="0" w:color="auto"/>
      </w:divBdr>
      <w:divsChild>
        <w:div w:id="1254784240">
          <w:marLeft w:val="0"/>
          <w:marRight w:val="0"/>
          <w:marTop w:val="0"/>
          <w:marBottom w:val="0"/>
          <w:divBdr>
            <w:top w:val="none" w:sz="0" w:space="0" w:color="auto"/>
            <w:left w:val="none" w:sz="0" w:space="0" w:color="auto"/>
            <w:bottom w:val="none" w:sz="0" w:space="0" w:color="auto"/>
            <w:right w:val="none" w:sz="0" w:space="0" w:color="auto"/>
          </w:divBdr>
          <w:divsChild>
            <w:div w:id="1181775218">
              <w:marLeft w:val="0"/>
              <w:marRight w:val="0"/>
              <w:marTop w:val="0"/>
              <w:marBottom w:val="0"/>
              <w:divBdr>
                <w:top w:val="none" w:sz="0" w:space="0" w:color="auto"/>
                <w:left w:val="none" w:sz="0" w:space="0" w:color="auto"/>
                <w:bottom w:val="none" w:sz="0" w:space="0" w:color="auto"/>
                <w:right w:val="none" w:sz="0" w:space="0" w:color="auto"/>
              </w:divBdr>
              <w:divsChild>
                <w:div w:id="1122580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7273344">
      <w:bodyDiv w:val="1"/>
      <w:marLeft w:val="0"/>
      <w:marRight w:val="0"/>
      <w:marTop w:val="0"/>
      <w:marBottom w:val="0"/>
      <w:divBdr>
        <w:top w:val="none" w:sz="0" w:space="0" w:color="auto"/>
        <w:left w:val="none" w:sz="0" w:space="0" w:color="auto"/>
        <w:bottom w:val="none" w:sz="0" w:space="0" w:color="auto"/>
        <w:right w:val="none" w:sz="0" w:space="0" w:color="auto"/>
      </w:divBdr>
      <w:divsChild>
        <w:div w:id="858811006">
          <w:marLeft w:val="0"/>
          <w:marRight w:val="0"/>
          <w:marTop w:val="0"/>
          <w:marBottom w:val="0"/>
          <w:divBdr>
            <w:top w:val="none" w:sz="0" w:space="0" w:color="auto"/>
            <w:left w:val="none" w:sz="0" w:space="0" w:color="auto"/>
            <w:bottom w:val="none" w:sz="0" w:space="0" w:color="auto"/>
            <w:right w:val="none" w:sz="0" w:space="0" w:color="auto"/>
          </w:divBdr>
        </w:div>
      </w:divsChild>
    </w:div>
    <w:div w:id="406809861">
      <w:bodyDiv w:val="1"/>
      <w:marLeft w:val="0"/>
      <w:marRight w:val="0"/>
      <w:marTop w:val="0"/>
      <w:marBottom w:val="0"/>
      <w:divBdr>
        <w:top w:val="none" w:sz="0" w:space="0" w:color="auto"/>
        <w:left w:val="none" w:sz="0" w:space="0" w:color="auto"/>
        <w:bottom w:val="none" w:sz="0" w:space="0" w:color="auto"/>
        <w:right w:val="none" w:sz="0" w:space="0" w:color="auto"/>
      </w:divBdr>
    </w:div>
    <w:div w:id="545530645">
      <w:bodyDiv w:val="1"/>
      <w:marLeft w:val="0"/>
      <w:marRight w:val="0"/>
      <w:marTop w:val="0"/>
      <w:marBottom w:val="0"/>
      <w:divBdr>
        <w:top w:val="none" w:sz="0" w:space="0" w:color="auto"/>
        <w:left w:val="none" w:sz="0" w:space="0" w:color="auto"/>
        <w:bottom w:val="none" w:sz="0" w:space="0" w:color="auto"/>
        <w:right w:val="none" w:sz="0" w:space="0" w:color="auto"/>
      </w:divBdr>
    </w:div>
    <w:div w:id="655767005">
      <w:bodyDiv w:val="1"/>
      <w:marLeft w:val="0"/>
      <w:marRight w:val="0"/>
      <w:marTop w:val="0"/>
      <w:marBottom w:val="0"/>
      <w:divBdr>
        <w:top w:val="none" w:sz="0" w:space="0" w:color="auto"/>
        <w:left w:val="none" w:sz="0" w:space="0" w:color="auto"/>
        <w:bottom w:val="none" w:sz="0" w:space="0" w:color="auto"/>
        <w:right w:val="none" w:sz="0" w:space="0" w:color="auto"/>
      </w:divBdr>
    </w:div>
    <w:div w:id="834685658">
      <w:bodyDiv w:val="1"/>
      <w:marLeft w:val="0"/>
      <w:marRight w:val="0"/>
      <w:marTop w:val="0"/>
      <w:marBottom w:val="0"/>
      <w:divBdr>
        <w:top w:val="none" w:sz="0" w:space="0" w:color="auto"/>
        <w:left w:val="none" w:sz="0" w:space="0" w:color="auto"/>
        <w:bottom w:val="none" w:sz="0" w:space="0" w:color="auto"/>
        <w:right w:val="none" w:sz="0" w:space="0" w:color="auto"/>
      </w:divBdr>
      <w:divsChild>
        <w:div w:id="766191980">
          <w:marLeft w:val="0"/>
          <w:marRight w:val="0"/>
          <w:marTop w:val="0"/>
          <w:marBottom w:val="0"/>
          <w:divBdr>
            <w:top w:val="none" w:sz="0" w:space="0" w:color="auto"/>
            <w:left w:val="none" w:sz="0" w:space="0" w:color="auto"/>
            <w:bottom w:val="none" w:sz="0" w:space="0" w:color="auto"/>
            <w:right w:val="none" w:sz="0" w:space="0" w:color="auto"/>
          </w:divBdr>
        </w:div>
      </w:divsChild>
    </w:div>
    <w:div w:id="841554723">
      <w:bodyDiv w:val="1"/>
      <w:marLeft w:val="0"/>
      <w:marRight w:val="0"/>
      <w:marTop w:val="0"/>
      <w:marBottom w:val="0"/>
      <w:divBdr>
        <w:top w:val="none" w:sz="0" w:space="0" w:color="auto"/>
        <w:left w:val="none" w:sz="0" w:space="0" w:color="auto"/>
        <w:bottom w:val="none" w:sz="0" w:space="0" w:color="auto"/>
        <w:right w:val="none" w:sz="0" w:space="0" w:color="auto"/>
      </w:divBdr>
    </w:div>
    <w:div w:id="1003359425">
      <w:bodyDiv w:val="1"/>
      <w:marLeft w:val="0"/>
      <w:marRight w:val="0"/>
      <w:marTop w:val="0"/>
      <w:marBottom w:val="0"/>
      <w:divBdr>
        <w:top w:val="none" w:sz="0" w:space="0" w:color="auto"/>
        <w:left w:val="none" w:sz="0" w:space="0" w:color="auto"/>
        <w:bottom w:val="none" w:sz="0" w:space="0" w:color="auto"/>
        <w:right w:val="none" w:sz="0" w:space="0" w:color="auto"/>
      </w:divBdr>
    </w:div>
    <w:div w:id="1027409049">
      <w:bodyDiv w:val="1"/>
      <w:marLeft w:val="0"/>
      <w:marRight w:val="0"/>
      <w:marTop w:val="0"/>
      <w:marBottom w:val="0"/>
      <w:divBdr>
        <w:top w:val="none" w:sz="0" w:space="0" w:color="auto"/>
        <w:left w:val="none" w:sz="0" w:space="0" w:color="auto"/>
        <w:bottom w:val="none" w:sz="0" w:space="0" w:color="auto"/>
        <w:right w:val="none" w:sz="0" w:space="0" w:color="auto"/>
      </w:divBdr>
    </w:div>
    <w:div w:id="1048840066">
      <w:bodyDiv w:val="1"/>
      <w:marLeft w:val="0"/>
      <w:marRight w:val="0"/>
      <w:marTop w:val="0"/>
      <w:marBottom w:val="0"/>
      <w:divBdr>
        <w:top w:val="none" w:sz="0" w:space="0" w:color="auto"/>
        <w:left w:val="none" w:sz="0" w:space="0" w:color="auto"/>
        <w:bottom w:val="none" w:sz="0" w:space="0" w:color="auto"/>
        <w:right w:val="none" w:sz="0" w:space="0" w:color="auto"/>
      </w:divBdr>
    </w:div>
    <w:div w:id="1143810315">
      <w:bodyDiv w:val="1"/>
      <w:marLeft w:val="0"/>
      <w:marRight w:val="0"/>
      <w:marTop w:val="0"/>
      <w:marBottom w:val="0"/>
      <w:divBdr>
        <w:top w:val="none" w:sz="0" w:space="0" w:color="auto"/>
        <w:left w:val="none" w:sz="0" w:space="0" w:color="auto"/>
        <w:bottom w:val="none" w:sz="0" w:space="0" w:color="auto"/>
        <w:right w:val="none" w:sz="0" w:space="0" w:color="auto"/>
      </w:divBdr>
    </w:div>
    <w:div w:id="1159928523">
      <w:bodyDiv w:val="1"/>
      <w:marLeft w:val="0"/>
      <w:marRight w:val="0"/>
      <w:marTop w:val="0"/>
      <w:marBottom w:val="0"/>
      <w:divBdr>
        <w:top w:val="none" w:sz="0" w:space="0" w:color="auto"/>
        <w:left w:val="none" w:sz="0" w:space="0" w:color="auto"/>
        <w:bottom w:val="none" w:sz="0" w:space="0" w:color="auto"/>
        <w:right w:val="none" w:sz="0" w:space="0" w:color="auto"/>
      </w:divBdr>
      <w:divsChild>
        <w:div w:id="304314989">
          <w:marLeft w:val="0"/>
          <w:marRight w:val="0"/>
          <w:marTop w:val="0"/>
          <w:marBottom w:val="0"/>
          <w:divBdr>
            <w:top w:val="none" w:sz="0" w:space="0" w:color="auto"/>
            <w:left w:val="none" w:sz="0" w:space="0" w:color="auto"/>
            <w:bottom w:val="none" w:sz="0" w:space="0" w:color="auto"/>
            <w:right w:val="none" w:sz="0" w:space="0" w:color="auto"/>
          </w:divBdr>
        </w:div>
      </w:divsChild>
    </w:div>
    <w:div w:id="1174107186">
      <w:bodyDiv w:val="1"/>
      <w:marLeft w:val="0"/>
      <w:marRight w:val="0"/>
      <w:marTop w:val="0"/>
      <w:marBottom w:val="0"/>
      <w:divBdr>
        <w:top w:val="none" w:sz="0" w:space="0" w:color="auto"/>
        <w:left w:val="none" w:sz="0" w:space="0" w:color="auto"/>
        <w:bottom w:val="none" w:sz="0" w:space="0" w:color="auto"/>
        <w:right w:val="none" w:sz="0" w:space="0" w:color="auto"/>
      </w:divBdr>
      <w:divsChild>
        <w:div w:id="2134251266">
          <w:marLeft w:val="-720"/>
          <w:marRight w:val="0"/>
          <w:marTop w:val="0"/>
          <w:marBottom w:val="0"/>
          <w:divBdr>
            <w:top w:val="none" w:sz="0" w:space="0" w:color="auto"/>
            <w:left w:val="none" w:sz="0" w:space="0" w:color="auto"/>
            <w:bottom w:val="none" w:sz="0" w:space="0" w:color="auto"/>
            <w:right w:val="none" w:sz="0" w:space="0" w:color="auto"/>
          </w:divBdr>
        </w:div>
      </w:divsChild>
    </w:div>
    <w:div w:id="1226184859">
      <w:bodyDiv w:val="1"/>
      <w:marLeft w:val="0"/>
      <w:marRight w:val="0"/>
      <w:marTop w:val="0"/>
      <w:marBottom w:val="0"/>
      <w:divBdr>
        <w:top w:val="none" w:sz="0" w:space="0" w:color="auto"/>
        <w:left w:val="none" w:sz="0" w:space="0" w:color="auto"/>
        <w:bottom w:val="none" w:sz="0" w:space="0" w:color="auto"/>
        <w:right w:val="none" w:sz="0" w:space="0" w:color="auto"/>
      </w:divBdr>
    </w:div>
    <w:div w:id="1292438259">
      <w:bodyDiv w:val="1"/>
      <w:marLeft w:val="0"/>
      <w:marRight w:val="0"/>
      <w:marTop w:val="0"/>
      <w:marBottom w:val="0"/>
      <w:divBdr>
        <w:top w:val="none" w:sz="0" w:space="0" w:color="auto"/>
        <w:left w:val="none" w:sz="0" w:space="0" w:color="auto"/>
        <w:bottom w:val="none" w:sz="0" w:space="0" w:color="auto"/>
        <w:right w:val="none" w:sz="0" w:space="0" w:color="auto"/>
      </w:divBdr>
    </w:div>
    <w:div w:id="1313412264">
      <w:bodyDiv w:val="1"/>
      <w:marLeft w:val="0"/>
      <w:marRight w:val="0"/>
      <w:marTop w:val="0"/>
      <w:marBottom w:val="0"/>
      <w:divBdr>
        <w:top w:val="none" w:sz="0" w:space="0" w:color="auto"/>
        <w:left w:val="none" w:sz="0" w:space="0" w:color="auto"/>
        <w:bottom w:val="none" w:sz="0" w:space="0" w:color="auto"/>
        <w:right w:val="none" w:sz="0" w:space="0" w:color="auto"/>
      </w:divBdr>
    </w:div>
    <w:div w:id="1336180113">
      <w:bodyDiv w:val="1"/>
      <w:marLeft w:val="0"/>
      <w:marRight w:val="0"/>
      <w:marTop w:val="0"/>
      <w:marBottom w:val="0"/>
      <w:divBdr>
        <w:top w:val="none" w:sz="0" w:space="0" w:color="auto"/>
        <w:left w:val="none" w:sz="0" w:space="0" w:color="auto"/>
        <w:bottom w:val="none" w:sz="0" w:space="0" w:color="auto"/>
        <w:right w:val="none" w:sz="0" w:space="0" w:color="auto"/>
      </w:divBdr>
      <w:divsChild>
        <w:div w:id="2012680495">
          <w:marLeft w:val="0"/>
          <w:marRight w:val="0"/>
          <w:marTop w:val="0"/>
          <w:marBottom w:val="0"/>
          <w:divBdr>
            <w:top w:val="none" w:sz="0" w:space="0" w:color="auto"/>
            <w:left w:val="none" w:sz="0" w:space="0" w:color="auto"/>
            <w:bottom w:val="none" w:sz="0" w:space="0" w:color="auto"/>
            <w:right w:val="none" w:sz="0" w:space="0" w:color="auto"/>
          </w:divBdr>
        </w:div>
      </w:divsChild>
    </w:div>
    <w:div w:id="1413426106">
      <w:bodyDiv w:val="1"/>
      <w:marLeft w:val="0"/>
      <w:marRight w:val="0"/>
      <w:marTop w:val="0"/>
      <w:marBottom w:val="0"/>
      <w:divBdr>
        <w:top w:val="none" w:sz="0" w:space="0" w:color="auto"/>
        <w:left w:val="none" w:sz="0" w:space="0" w:color="auto"/>
        <w:bottom w:val="none" w:sz="0" w:space="0" w:color="auto"/>
        <w:right w:val="none" w:sz="0" w:space="0" w:color="auto"/>
      </w:divBdr>
    </w:div>
    <w:div w:id="1559705804">
      <w:bodyDiv w:val="1"/>
      <w:marLeft w:val="0"/>
      <w:marRight w:val="0"/>
      <w:marTop w:val="0"/>
      <w:marBottom w:val="0"/>
      <w:divBdr>
        <w:top w:val="none" w:sz="0" w:space="0" w:color="auto"/>
        <w:left w:val="none" w:sz="0" w:space="0" w:color="auto"/>
        <w:bottom w:val="none" w:sz="0" w:space="0" w:color="auto"/>
        <w:right w:val="none" w:sz="0" w:space="0" w:color="auto"/>
      </w:divBdr>
    </w:div>
    <w:div w:id="1565873587">
      <w:bodyDiv w:val="1"/>
      <w:marLeft w:val="0"/>
      <w:marRight w:val="0"/>
      <w:marTop w:val="0"/>
      <w:marBottom w:val="0"/>
      <w:divBdr>
        <w:top w:val="none" w:sz="0" w:space="0" w:color="auto"/>
        <w:left w:val="none" w:sz="0" w:space="0" w:color="auto"/>
        <w:bottom w:val="none" w:sz="0" w:space="0" w:color="auto"/>
        <w:right w:val="none" w:sz="0" w:space="0" w:color="auto"/>
      </w:divBdr>
    </w:div>
    <w:div w:id="1651901819">
      <w:bodyDiv w:val="1"/>
      <w:marLeft w:val="0"/>
      <w:marRight w:val="0"/>
      <w:marTop w:val="0"/>
      <w:marBottom w:val="0"/>
      <w:divBdr>
        <w:top w:val="none" w:sz="0" w:space="0" w:color="auto"/>
        <w:left w:val="none" w:sz="0" w:space="0" w:color="auto"/>
        <w:bottom w:val="none" w:sz="0" w:space="0" w:color="auto"/>
        <w:right w:val="none" w:sz="0" w:space="0" w:color="auto"/>
      </w:divBdr>
    </w:div>
    <w:div w:id="1781757582">
      <w:bodyDiv w:val="1"/>
      <w:marLeft w:val="0"/>
      <w:marRight w:val="0"/>
      <w:marTop w:val="0"/>
      <w:marBottom w:val="0"/>
      <w:divBdr>
        <w:top w:val="none" w:sz="0" w:space="0" w:color="auto"/>
        <w:left w:val="none" w:sz="0" w:space="0" w:color="auto"/>
        <w:bottom w:val="none" w:sz="0" w:space="0" w:color="auto"/>
        <w:right w:val="none" w:sz="0" w:space="0" w:color="auto"/>
      </w:divBdr>
    </w:div>
    <w:div w:id="1800493599">
      <w:bodyDiv w:val="1"/>
      <w:marLeft w:val="0"/>
      <w:marRight w:val="0"/>
      <w:marTop w:val="0"/>
      <w:marBottom w:val="0"/>
      <w:divBdr>
        <w:top w:val="none" w:sz="0" w:space="0" w:color="auto"/>
        <w:left w:val="none" w:sz="0" w:space="0" w:color="auto"/>
        <w:bottom w:val="none" w:sz="0" w:space="0" w:color="auto"/>
        <w:right w:val="none" w:sz="0" w:space="0" w:color="auto"/>
      </w:divBdr>
    </w:div>
    <w:div w:id="1940945595">
      <w:bodyDiv w:val="1"/>
      <w:marLeft w:val="0"/>
      <w:marRight w:val="0"/>
      <w:marTop w:val="0"/>
      <w:marBottom w:val="0"/>
      <w:divBdr>
        <w:top w:val="none" w:sz="0" w:space="0" w:color="auto"/>
        <w:left w:val="none" w:sz="0" w:space="0" w:color="auto"/>
        <w:bottom w:val="none" w:sz="0" w:space="0" w:color="auto"/>
        <w:right w:val="none" w:sz="0" w:space="0" w:color="auto"/>
      </w:divBdr>
    </w:div>
    <w:div w:id="2009289772">
      <w:bodyDiv w:val="1"/>
      <w:marLeft w:val="0"/>
      <w:marRight w:val="0"/>
      <w:marTop w:val="0"/>
      <w:marBottom w:val="0"/>
      <w:divBdr>
        <w:top w:val="none" w:sz="0" w:space="0" w:color="auto"/>
        <w:left w:val="none" w:sz="0" w:space="0" w:color="auto"/>
        <w:bottom w:val="none" w:sz="0" w:space="0" w:color="auto"/>
        <w:right w:val="none" w:sz="0" w:space="0" w:color="auto"/>
      </w:divBdr>
      <w:divsChild>
        <w:div w:id="1285650790">
          <w:marLeft w:val="0"/>
          <w:marRight w:val="0"/>
          <w:marTop w:val="0"/>
          <w:marBottom w:val="0"/>
          <w:divBdr>
            <w:top w:val="none" w:sz="0" w:space="0" w:color="auto"/>
            <w:left w:val="none" w:sz="0" w:space="0" w:color="auto"/>
            <w:bottom w:val="none" w:sz="0" w:space="0" w:color="auto"/>
            <w:right w:val="none" w:sz="0" w:space="0" w:color="auto"/>
          </w:divBdr>
        </w:div>
      </w:divsChild>
    </w:div>
    <w:div w:id="2019890249">
      <w:bodyDiv w:val="1"/>
      <w:marLeft w:val="0"/>
      <w:marRight w:val="0"/>
      <w:marTop w:val="0"/>
      <w:marBottom w:val="0"/>
      <w:divBdr>
        <w:top w:val="none" w:sz="0" w:space="0" w:color="auto"/>
        <w:left w:val="none" w:sz="0" w:space="0" w:color="auto"/>
        <w:bottom w:val="none" w:sz="0" w:space="0" w:color="auto"/>
        <w:right w:val="none" w:sz="0" w:space="0" w:color="auto"/>
      </w:divBdr>
    </w:div>
    <w:div w:id="2050176911">
      <w:bodyDiv w:val="1"/>
      <w:marLeft w:val="0"/>
      <w:marRight w:val="0"/>
      <w:marTop w:val="0"/>
      <w:marBottom w:val="0"/>
      <w:divBdr>
        <w:top w:val="none" w:sz="0" w:space="0" w:color="auto"/>
        <w:left w:val="none" w:sz="0" w:space="0" w:color="auto"/>
        <w:bottom w:val="none" w:sz="0" w:space="0" w:color="auto"/>
        <w:right w:val="none" w:sz="0" w:space="0" w:color="auto"/>
      </w:divBdr>
    </w:div>
    <w:div w:id="2080593886">
      <w:bodyDiv w:val="1"/>
      <w:marLeft w:val="0"/>
      <w:marRight w:val="0"/>
      <w:marTop w:val="0"/>
      <w:marBottom w:val="0"/>
      <w:divBdr>
        <w:top w:val="none" w:sz="0" w:space="0" w:color="auto"/>
        <w:left w:val="none" w:sz="0" w:space="0" w:color="auto"/>
        <w:bottom w:val="none" w:sz="0" w:space="0" w:color="auto"/>
        <w:right w:val="none" w:sz="0" w:space="0" w:color="auto"/>
      </w:divBdr>
      <w:divsChild>
        <w:div w:id="817840139">
          <w:marLeft w:val="0"/>
          <w:marRight w:val="0"/>
          <w:marTop w:val="0"/>
          <w:marBottom w:val="0"/>
          <w:divBdr>
            <w:top w:val="none" w:sz="0" w:space="0" w:color="auto"/>
            <w:left w:val="none" w:sz="0" w:space="0" w:color="auto"/>
            <w:bottom w:val="none" w:sz="0" w:space="0" w:color="auto"/>
            <w:right w:val="none" w:sz="0" w:space="0" w:color="auto"/>
          </w:divBdr>
        </w:div>
      </w:divsChild>
    </w:div>
    <w:div w:id="2107186911">
      <w:bodyDiv w:val="1"/>
      <w:marLeft w:val="0"/>
      <w:marRight w:val="0"/>
      <w:marTop w:val="0"/>
      <w:marBottom w:val="0"/>
      <w:divBdr>
        <w:top w:val="none" w:sz="0" w:space="0" w:color="auto"/>
        <w:left w:val="none" w:sz="0" w:space="0" w:color="auto"/>
        <w:bottom w:val="none" w:sz="0" w:space="0" w:color="auto"/>
        <w:right w:val="none" w:sz="0" w:space="0" w:color="auto"/>
      </w:divBdr>
    </w:div>
    <w:div w:id="2117485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8421/tem104-12" TargetMode="External"/><Relationship Id="rId18" Type="http://schemas.openxmlformats.org/officeDocument/2006/relationships/hyperlink" Target="https://hbr.org/2013/09/the-truth-about-customer-experience"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finder.com/uk/banking/banking-statistics" TargetMode="External"/><Relationship Id="rId17" Type="http://schemas.openxmlformats.org/officeDocument/2006/relationships/hyperlink" Target="https://doi.org/10.1007/s11747-018-0608-3" TargetMode="External"/><Relationship Id="rId2" Type="http://schemas.openxmlformats.org/officeDocument/2006/relationships/numbering" Target="numbering.xml"/><Relationship Id="rId16" Type="http://schemas.openxmlformats.org/officeDocument/2006/relationships/hyperlink" Target="https://hbr.org/2012/05/a-simple-tool-you-need-to-mana" TargetMode="External"/><Relationship Id="rId20" Type="http://schemas.openxmlformats.org/officeDocument/2006/relationships/hyperlink" Target="https://www.statista.com/statistics/441855/barclays-group-employees-by-country-worldwide/?srsltid=AfmBOorHn5ukphkoSDHQ44dO0ndrQ5wH9Gs03wataFEvPlOJq9SXBlt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br.org/2015/11/competing-on-customer-journeys" TargetMode="External"/><Relationship Id="rId5" Type="http://schemas.openxmlformats.org/officeDocument/2006/relationships/webSettings" Target="webSettings.xml"/><Relationship Id="rId15" Type="http://schemas.openxmlformats.org/officeDocument/2006/relationships/hyperlink" Target="https://doi.org/10.1108/josm-05-2020-0156" TargetMode="External"/><Relationship Id="rId23" Type="http://schemas.openxmlformats.org/officeDocument/2006/relationships/theme" Target="theme/theme1.xml"/><Relationship Id="rId10" Type="http://schemas.openxmlformats.org/officeDocument/2006/relationships/hyperlink" Target="https://home.barclays/content/dam/home-barclays/documents/investor-relations/reports-and-events/annual-reports/2024/Barclays-PLC-Annual-Report-2024.pdf" TargetMode="External"/><Relationship Id="rId19" Type="http://schemas.openxmlformats.org/officeDocument/2006/relationships/hyperlink" Target="https://www.reuters.com/business/finance/uk-banks-press-with-tokenised-deposits-after-boe-stablecoin-warning-2025-09-26/"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hbs.edu/faculty/Pages/item.aspx?num=56633" TargetMode="External"/><Relationship Id="rId22" Type="http://schemas.openxmlformats.org/officeDocument/2006/relationships/fontTable" Target="fontTable.xml"/><Relationship Id="rId24" Type="http://schemas.openxmlformats.org/officeDocument/2006/relationships/image" Target="media/image1.png"/><Relationship Id="rId25"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D7CE3B-4669-4A59-BC62-17F223C06B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15</Pages>
  <Words>5168</Words>
  <Characters>28582</Characters>
  <Application>Microsoft Office Word</Application>
  <DocSecurity>0</DocSecurity>
  <Lines>510</Lines>
  <Paragraphs>137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Dennis Wachira</cp:lastModifiedBy>
  <cp:revision>5</cp:revision>
  <dcterms:created xsi:type="dcterms:W3CDTF">2025-10-20T15:49:00Z</dcterms:created>
  <dcterms:modified xsi:type="dcterms:W3CDTF">2025-10-20T20:47:00Z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7e155d6a-4456-4313-884b-ef040ca58b41</vt:lpwstr>
  </property>
</Properties>
</file>