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6ADB2" w14:textId="77777777" w:rsidR="004E58C4" w:rsidRDefault="004E58C4">
      <w:pPr>
        <w:spacing w:line="360" w:lineRule="auto"/>
        <w:jc w:val="center"/>
        <w:rPr>
          <w:rFonts w:ascii="Arial" w:hAnsi="Arial" w:cs="Arial"/>
          <w:b/>
          <w:bCs/>
          <w:sz w:val="32"/>
          <w:szCs w:val="32"/>
        </w:rPr>
      </w:pPr>
    </w:p>
    <w:p w14:paraId="03A260DB" w14:textId="77777777" w:rsidR="004E58C4" w:rsidRDefault="004E58C4">
      <w:pPr>
        <w:spacing w:line="360" w:lineRule="auto"/>
        <w:jc w:val="center"/>
        <w:rPr>
          <w:rFonts w:ascii="Arial" w:hAnsi="Arial" w:cs="Arial"/>
          <w:b/>
          <w:bCs/>
          <w:sz w:val="32"/>
          <w:szCs w:val="32"/>
        </w:rPr>
      </w:pPr>
    </w:p>
    <w:p w14:paraId="076A6736" w14:textId="77777777" w:rsidR="004E58C4" w:rsidRDefault="004E58C4">
      <w:pPr>
        <w:spacing w:line="360" w:lineRule="auto"/>
        <w:jc w:val="center"/>
        <w:rPr>
          <w:rFonts w:ascii="Arial" w:hAnsi="Arial" w:cs="Arial"/>
          <w:b/>
          <w:bCs/>
          <w:sz w:val="32"/>
          <w:szCs w:val="32"/>
        </w:rPr>
      </w:pPr>
    </w:p>
    <w:p w14:paraId="18063832" w14:textId="77777777" w:rsidR="004E58C4" w:rsidRDefault="004E58C4">
      <w:pPr>
        <w:spacing w:line="360" w:lineRule="auto"/>
        <w:jc w:val="center"/>
        <w:rPr>
          <w:rFonts w:ascii="Arial" w:hAnsi="Arial" w:cs="Arial"/>
          <w:b/>
          <w:bCs/>
          <w:sz w:val="32"/>
          <w:szCs w:val="32"/>
        </w:rPr>
      </w:pPr>
    </w:p>
    <w:p w14:paraId="41A684C5" w14:textId="77777777" w:rsidR="004E58C4" w:rsidRDefault="004E58C4">
      <w:pPr>
        <w:spacing w:line="360" w:lineRule="auto"/>
        <w:jc w:val="center"/>
        <w:rPr>
          <w:rFonts w:ascii="Arial" w:hAnsi="Arial" w:cs="Arial"/>
          <w:b/>
          <w:bCs/>
          <w:sz w:val="32"/>
          <w:szCs w:val="32"/>
        </w:rPr>
      </w:pPr>
    </w:p>
    <w:p w14:paraId="2C4052A8" w14:textId="77777777" w:rsidR="004E58C4" w:rsidRDefault="004E58C4">
      <w:pPr>
        <w:spacing w:line="360" w:lineRule="auto"/>
        <w:jc w:val="center"/>
        <w:rPr>
          <w:rFonts w:ascii="Arial" w:hAnsi="Arial" w:cs="Arial"/>
          <w:b/>
          <w:bCs/>
          <w:sz w:val="32"/>
          <w:szCs w:val="32"/>
        </w:rPr>
      </w:pPr>
    </w:p>
    <w:p w14:paraId="3AAFCFBF" w14:textId="77777777" w:rsidR="004E58C4" w:rsidRDefault="004E58C4">
      <w:pPr>
        <w:spacing w:line="360" w:lineRule="auto"/>
        <w:jc w:val="center"/>
        <w:rPr>
          <w:rFonts w:ascii="Arial" w:hAnsi="Arial" w:cs="Arial"/>
          <w:b/>
          <w:bCs/>
          <w:sz w:val="32"/>
          <w:szCs w:val="32"/>
        </w:rPr>
      </w:pPr>
    </w:p>
    <w:p w14:paraId="05C1AEA1" w14:textId="77777777" w:rsidR="004E58C4" w:rsidRDefault="004E58C4">
      <w:pPr>
        <w:spacing w:line="360" w:lineRule="auto"/>
        <w:jc w:val="center"/>
        <w:rPr>
          <w:rFonts w:ascii="Arial" w:hAnsi="Arial" w:cs="Arial"/>
          <w:b/>
          <w:bCs/>
          <w:sz w:val="32"/>
          <w:szCs w:val="32"/>
        </w:rPr>
      </w:pPr>
    </w:p>
    <w:p w14:paraId="7254FA9A" w14:textId="77777777" w:rsidR="004E58C4" w:rsidRDefault="004E58C4">
      <w:pPr>
        <w:spacing w:line="360" w:lineRule="auto"/>
        <w:jc w:val="center"/>
        <w:rPr>
          <w:rFonts w:ascii="Arial" w:hAnsi="Arial" w:cs="Arial"/>
          <w:b/>
          <w:bCs/>
          <w:sz w:val="32"/>
          <w:szCs w:val="32"/>
        </w:rPr>
      </w:pPr>
    </w:p>
    <w:p w14:paraId="411ED4EA" w14:textId="77777777" w:rsidR="004E58C4" w:rsidRPr="00E117D7" w:rsidRDefault="00D64053">
      <w:pPr>
        <w:spacing w:line="360" w:lineRule="auto"/>
        <w:jc w:val="center"/>
        <w:rPr>
          <w:rFonts w:ascii="Arial" w:hAnsi="Arial" w:cs="Arial"/>
          <w:b/>
          <w:bCs/>
          <w:sz w:val="36"/>
          <w:szCs w:val="36"/>
          <w:lang w:val="en-GB"/>
        </w:rPr>
      </w:pPr>
      <w:r w:rsidRPr="00E117D7">
        <w:rPr>
          <w:rFonts w:ascii="Arial" w:hAnsi="Arial" w:cs="Arial"/>
          <w:b/>
          <w:bCs/>
          <w:sz w:val="36"/>
          <w:szCs w:val="36"/>
          <w:lang w:val="en-GB"/>
        </w:rPr>
        <w:t>NAME: MALIKA ALI</w:t>
      </w:r>
    </w:p>
    <w:p w14:paraId="56DAEF4C" w14:textId="4A3CB06C" w:rsidR="004E58C4" w:rsidRPr="00E117D7" w:rsidRDefault="00D64053">
      <w:pPr>
        <w:spacing w:line="360" w:lineRule="auto"/>
        <w:jc w:val="center"/>
        <w:rPr>
          <w:rFonts w:ascii="Arial" w:hAnsi="Arial" w:cs="Arial"/>
          <w:b/>
          <w:bCs/>
          <w:sz w:val="36"/>
          <w:szCs w:val="36"/>
          <w:lang w:val="en-GB"/>
        </w:rPr>
      </w:pPr>
      <w:r w:rsidRPr="00E117D7">
        <w:rPr>
          <w:rFonts w:ascii="Arial" w:hAnsi="Arial" w:cs="Arial"/>
          <w:b/>
          <w:bCs/>
          <w:sz w:val="36"/>
          <w:szCs w:val="36"/>
          <w:lang w:val="en-GB"/>
        </w:rPr>
        <w:t>STUDENT NO</w:t>
      </w:r>
      <w:r w:rsidRPr="00E117D7">
        <w:rPr>
          <w:rFonts w:ascii="Arial" w:hAnsi="Arial" w:cs="Arial"/>
          <w:b/>
          <w:bCs/>
          <w:sz w:val="36"/>
          <w:szCs w:val="36"/>
          <w:lang w:val="en-GB"/>
        </w:rPr>
        <w:t>:</w:t>
      </w:r>
      <w:r w:rsidR="00E117D7" w:rsidRPr="00E117D7">
        <w:rPr>
          <w:rFonts w:ascii="Arial" w:hAnsi="Arial" w:cs="Arial"/>
          <w:b/>
          <w:bCs/>
          <w:sz w:val="36"/>
          <w:szCs w:val="36"/>
          <w:lang w:val="en-GB"/>
        </w:rPr>
        <w:t xml:space="preserve"> 2026355</w:t>
      </w:r>
    </w:p>
    <w:p w14:paraId="281B0BBB" w14:textId="77777777" w:rsidR="004E58C4" w:rsidRPr="00E117D7" w:rsidRDefault="00D64053">
      <w:pPr>
        <w:spacing w:line="360" w:lineRule="auto"/>
        <w:jc w:val="center"/>
        <w:rPr>
          <w:rFonts w:ascii="Arial" w:hAnsi="Arial" w:cs="Arial"/>
          <w:b/>
          <w:bCs/>
          <w:sz w:val="36"/>
          <w:szCs w:val="36"/>
          <w:lang w:val="en-GB"/>
        </w:rPr>
      </w:pPr>
      <w:r w:rsidRPr="00E117D7">
        <w:rPr>
          <w:rFonts w:ascii="Arial" w:hAnsi="Arial" w:cs="Arial"/>
          <w:b/>
          <w:bCs/>
          <w:sz w:val="36"/>
          <w:szCs w:val="36"/>
          <w:lang w:val="en-GB"/>
        </w:rPr>
        <w:t>LECTURER’S NAME:</w:t>
      </w:r>
    </w:p>
    <w:p w14:paraId="309DC599" w14:textId="77777777" w:rsidR="004E58C4" w:rsidRPr="00E117D7" w:rsidRDefault="00D64053">
      <w:pPr>
        <w:spacing w:line="360" w:lineRule="auto"/>
        <w:jc w:val="center"/>
        <w:rPr>
          <w:rFonts w:ascii="Arial" w:hAnsi="Arial"/>
          <w:b/>
          <w:bCs/>
          <w:sz w:val="36"/>
          <w:szCs w:val="36"/>
          <w:lang w:val="en-GB"/>
        </w:rPr>
      </w:pPr>
      <w:r w:rsidRPr="00E117D7">
        <w:rPr>
          <w:rFonts w:ascii="Arial" w:hAnsi="Arial"/>
          <w:b/>
          <w:bCs/>
          <w:sz w:val="36"/>
          <w:szCs w:val="36"/>
          <w:lang w:val="en-GB"/>
        </w:rPr>
        <w:t>CHLOE HARRIES</w:t>
      </w:r>
    </w:p>
    <w:p w14:paraId="2FB24F0E" w14:textId="77777777" w:rsidR="004E58C4" w:rsidRPr="00E117D7" w:rsidRDefault="00D64053">
      <w:pPr>
        <w:spacing w:line="360" w:lineRule="auto"/>
        <w:jc w:val="center"/>
        <w:rPr>
          <w:rFonts w:ascii="Arial" w:hAnsi="Arial"/>
          <w:b/>
          <w:bCs/>
          <w:sz w:val="36"/>
          <w:szCs w:val="36"/>
          <w:lang w:val="en-GB"/>
        </w:rPr>
      </w:pPr>
      <w:r w:rsidRPr="00E117D7">
        <w:rPr>
          <w:rFonts w:ascii="Arial" w:hAnsi="Arial"/>
          <w:b/>
          <w:bCs/>
          <w:sz w:val="36"/>
          <w:szCs w:val="36"/>
          <w:lang w:val="en-GB"/>
        </w:rPr>
        <w:t xml:space="preserve">JOANNE DAVIES </w:t>
      </w:r>
    </w:p>
    <w:p w14:paraId="668FA912" w14:textId="77777777" w:rsidR="004E58C4" w:rsidRPr="00E117D7" w:rsidRDefault="00D64053">
      <w:pPr>
        <w:spacing w:line="360" w:lineRule="auto"/>
        <w:jc w:val="center"/>
        <w:rPr>
          <w:rFonts w:ascii="Arial" w:hAnsi="Arial"/>
          <w:b/>
          <w:bCs/>
          <w:sz w:val="36"/>
          <w:szCs w:val="36"/>
          <w:lang w:val="en-GB"/>
        </w:rPr>
      </w:pPr>
      <w:r w:rsidRPr="00E117D7">
        <w:rPr>
          <w:rFonts w:ascii="Arial" w:hAnsi="Arial" w:cs="Arial"/>
          <w:b/>
          <w:bCs/>
          <w:sz w:val="36"/>
          <w:szCs w:val="36"/>
          <w:lang w:val="en-GB"/>
        </w:rPr>
        <w:t xml:space="preserve">MODULE TITLE: </w:t>
      </w:r>
      <w:r w:rsidRPr="00E117D7">
        <w:rPr>
          <w:rFonts w:ascii="Arial" w:hAnsi="Arial"/>
          <w:b/>
          <w:bCs/>
          <w:sz w:val="36"/>
          <w:szCs w:val="36"/>
          <w:lang w:val="en-GB"/>
        </w:rPr>
        <w:t xml:space="preserve">HEALTH, WELLBEING AND SUSTAINABLE DEVELOPMENT </w:t>
      </w:r>
    </w:p>
    <w:p w14:paraId="30560157" w14:textId="77777777" w:rsidR="004E58C4" w:rsidRPr="00E117D7" w:rsidRDefault="00D64053">
      <w:pPr>
        <w:spacing w:line="360" w:lineRule="auto"/>
        <w:jc w:val="center"/>
        <w:rPr>
          <w:rFonts w:ascii="Arial" w:hAnsi="Arial" w:cs="Arial"/>
          <w:b/>
          <w:bCs/>
          <w:sz w:val="36"/>
          <w:szCs w:val="36"/>
          <w:lang w:val="en-GB"/>
        </w:rPr>
      </w:pPr>
      <w:r w:rsidRPr="00E117D7">
        <w:rPr>
          <w:rFonts w:ascii="Arial" w:hAnsi="Arial" w:cs="Arial"/>
          <w:b/>
          <w:sz w:val="36"/>
          <w:szCs w:val="36"/>
          <w:lang w:val="en-GB"/>
        </w:rPr>
        <w:t xml:space="preserve">ASSIGNMENT TITLE: </w:t>
      </w:r>
      <w:r w:rsidRPr="00E117D7">
        <w:rPr>
          <w:rFonts w:ascii="Arial" w:hAnsi="Arial" w:cs="Arial"/>
          <w:b/>
          <w:bCs/>
          <w:sz w:val="36"/>
          <w:szCs w:val="36"/>
          <w:lang w:val="en-GB"/>
        </w:rPr>
        <w:t xml:space="preserve">COMPONENT 1 – WRITTEN REPORT </w:t>
      </w:r>
    </w:p>
    <w:p w14:paraId="6E7E2C5C" w14:textId="77777777" w:rsidR="004E58C4" w:rsidRPr="00E117D7" w:rsidRDefault="00D64053">
      <w:pPr>
        <w:spacing w:line="360" w:lineRule="auto"/>
        <w:jc w:val="center"/>
        <w:rPr>
          <w:rFonts w:ascii="Arial" w:hAnsi="Arial" w:cs="Arial"/>
          <w:b/>
          <w:bCs/>
          <w:sz w:val="36"/>
          <w:szCs w:val="36"/>
          <w:lang w:val="en-GB"/>
        </w:rPr>
      </w:pPr>
      <w:r w:rsidRPr="00E117D7">
        <w:rPr>
          <w:rFonts w:ascii="Arial" w:hAnsi="Arial" w:cs="Arial"/>
          <w:b/>
          <w:bCs/>
          <w:sz w:val="36"/>
          <w:szCs w:val="36"/>
          <w:lang w:val="en-GB"/>
        </w:rPr>
        <w:t xml:space="preserve">MODULE CODE: </w:t>
      </w:r>
      <w:r w:rsidRPr="00E117D7">
        <w:rPr>
          <w:rFonts w:ascii="Arial" w:hAnsi="Arial"/>
          <w:b/>
          <w:bCs/>
          <w:sz w:val="36"/>
          <w:szCs w:val="36"/>
          <w:lang w:val="en-GB"/>
        </w:rPr>
        <w:t>BMHP6021</w:t>
      </w:r>
    </w:p>
    <w:p w14:paraId="7978C9BE" w14:textId="77777777" w:rsidR="004E58C4" w:rsidRPr="00E117D7" w:rsidRDefault="004E58C4">
      <w:pPr>
        <w:rPr>
          <w:lang w:val="en-GB"/>
        </w:rPr>
      </w:pPr>
    </w:p>
    <w:p w14:paraId="29E075B0" w14:textId="77777777" w:rsidR="004E58C4" w:rsidRPr="00E117D7" w:rsidRDefault="004E58C4">
      <w:pPr>
        <w:rPr>
          <w:lang w:val="en-GB"/>
        </w:rPr>
      </w:pPr>
    </w:p>
    <w:p w14:paraId="230F9790" w14:textId="77777777" w:rsidR="004E58C4" w:rsidRPr="00E117D7" w:rsidRDefault="00D64053">
      <w:pPr>
        <w:rPr>
          <w:lang w:val="en-GB"/>
        </w:rPr>
      </w:pPr>
      <w:r w:rsidRPr="00E117D7">
        <w:rPr>
          <w:lang w:val="en-GB"/>
        </w:rPr>
        <w:br w:type="page"/>
      </w:r>
    </w:p>
    <w:p w14:paraId="283632C0" w14:textId="77777777" w:rsidR="004E58C4" w:rsidRPr="00E117D7" w:rsidRDefault="004E58C4">
      <w:pPr>
        <w:jc w:val="center"/>
        <w:rPr>
          <w:rFonts w:ascii="Arial" w:hAnsi="Arial" w:cs="Arial"/>
          <w:b/>
          <w:bCs/>
          <w:sz w:val="24"/>
          <w:szCs w:val="24"/>
          <w:lang w:val="en-GB"/>
        </w:rPr>
      </w:pPr>
    </w:p>
    <w:p w14:paraId="4245B582" w14:textId="77777777" w:rsidR="004E58C4" w:rsidRPr="00E117D7" w:rsidRDefault="00D64053">
      <w:pPr>
        <w:spacing w:line="360" w:lineRule="auto"/>
        <w:jc w:val="center"/>
        <w:rPr>
          <w:rFonts w:ascii="Arial" w:hAnsi="Arial" w:cs="Arial"/>
          <w:b/>
          <w:bCs/>
          <w:sz w:val="24"/>
          <w:szCs w:val="24"/>
          <w:u w:val="single"/>
          <w:lang w:val="en-GB"/>
        </w:rPr>
      </w:pPr>
      <w:r w:rsidRPr="00E117D7">
        <w:rPr>
          <w:rFonts w:ascii="Arial" w:hAnsi="Arial" w:cs="Arial"/>
          <w:b/>
          <w:bCs/>
          <w:sz w:val="24"/>
          <w:szCs w:val="24"/>
          <w:u w:val="single"/>
          <w:lang w:val="en-GB"/>
        </w:rPr>
        <w:t>CONTENTS</w:t>
      </w:r>
    </w:p>
    <w:p w14:paraId="07511A31" w14:textId="77777777" w:rsidR="004E58C4" w:rsidRPr="00E117D7" w:rsidRDefault="004E58C4">
      <w:pPr>
        <w:spacing w:line="360" w:lineRule="auto"/>
        <w:jc w:val="center"/>
        <w:rPr>
          <w:rFonts w:ascii="Arial" w:hAnsi="Arial" w:cs="Arial"/>
          <w:b/>
          <w:bCs/>
          <w:sz w:val="24"/>
          <w:szCs w:val="24"/>
          <w:lang w:val="en-GB"/>
        </w:rPr>
      </w:pPr>
    </w:p>
    <w:p w14:paraId="4D6674BC" w14:textId="77777777" w:rsidR="004E58C4" w:rsidRPr="00E117D7" w:rsidRDefault="004E58C4">
      <w:pPr>
        <w:spacing w:line="360" w:lineRule="auto"/>
        <w:jc w:val="center"/>
        <w:rPr>
          <w:rFonts w:ascii="Arial" w:hAnsi="Arial" w:cs="Arial"/>
          <w:b/>
          <w:bCs/>
          <w:sz w:val="24"/>
          <w:szCs w:val="24"/>
          <w:lang w:val="en-GB"/>
        </w:rPr>
      </w:pPr>
    </w:p>
    <w:tbl>
      <w:tblPr>
        <w:tblStyle w:val="TableGrid"/>
        <w:tblW w:w="0" w:type="auto"/>
        <w:tblLook w:val="04A0" w:firstRow="1" w:lastRow="0" w:firstColumn="1" w:lastColumn="0" w:noHBand="0" w:noVBand="1"/>
      </w:tblPr>
      <w:tblGrid>
        <w:gridCol w:w="700"/>
        <w:gridCol w:w="6386"/>
        <w:gridCol w:w="1210"/>
      </w:tblGrid>
      <w:tr w:rsidR="004E58C4" w:rsidRPr="00E117D7" w14:paraId="0E2B1E79" w14:textId="77777777">
        <w:tc>
          <w:tcPr>
            <w:tcW w:w="717" w:type="dxa"/>
          </w:tcPr>
          <w:p w14:paraId="6E992D35" w14:textId="77777777" w:rsidR="004E58C4" w:rsidRPr="00E117D7" w:rsidRDefault="004E58C4">
            <w:pPr>
              <w:spacing w:line="360" w:lineRule="auto"/>
              <w:jc w:val="center"/>
              <w:rPr>
                <w:rFonts w:ascii="Arial" w:hAnsi="Arial" w:cs="Arial"/>
                <w:sz w:val="24"/>
                <w:szCs w:val="24"/>
                <w:lang w:val="en-GB"/>
              </w:rPr>
            </w:pPr>
          </w:p>
        </w:tc>
        <w:tc>
          <w:tcPr>
            <w:tcW w:w="6574" w:type="dxa"/>
          </w:tcPr>
          <w:p w14:paraId="05682D17" w14:textId="77777777" w:rsidR="004E58C4" w:rsidRPr="00E117D7" w:rsidRDefault="00D64053">
            <w:pPr>
              <w:spacing w:line="360" w:lineRule="auto"/>
              <w:rPr>
                <w:rFonts w:ascii="Arial" w:hAnsi="Arial" w:cs="Arial"/>
                <w:b/>
                <w:bCs/>
                <w:sz w:val="24"/>
                <w:szCs w:val="24"/>
                <w:lang w:val="en-GB"/>
              </w:rPr>
            </w:pPr>
            <w:r w:rsidRPr="00E117D7">
              <w:rPr>
                <w:rFonts w:ascii="Arial" w:hAnsi="Arial" w:cs="Arial"/>
                <w:b/>
                <w:bCs/>
                <w:sz w:val="24"/>
                <w:szCs w:val="24"/>
                <w:lang w:val="en-GB"/>
              </w:rPr>
              <w:t>Title</w:t>
            </w:r>
          </w:p>
        </w:tc>
        <w:tc>
          <w:tcPr>
            <w:tcW w:w="1231" w:type="dxa"/>
          </w:tcPr>
          <w:p w14:paraId="08966EF3" w14:textId="77777777" w:rsidR="004E58C4" w:rsidRPr="00E117D7" w:rsidRDefault="00D64053">
            <w:pPr>
              <w:spacing w:line="360" w:lineRule="auto"/>
              <w:jc w:val="center"/>
              <w:rPr>
                <w:rFonts w:ascii="Arial" w:hAnsi="Arial" w:cs="Arial"/>
                <w:b/>
                <w:bCs/>
                <w:sz w:val="24"/>
                <w:szCs w:val="24"/>
                <w:lang w:val="en-GB"/>
              </w:rPr>
            </w:pPr>
            <w:r w:rsidRPr="00E117D7">
              <w:rPr>
                <w:rFonts w:ascii="Arial" w:hAnsi="Arial" w:cs="Arial"/>
                <w:b/>
                <w:bCs/>
                <w:sz w:val="24"/>
                <w:szCs w:val="24"/>
                <w:lang w:val="en-GB"/>
              </w:rPr>
              <w:t>Page No.</w:t>
            </w:r>
          </w:p>
        </w:tc>
      </w:tr>
      <w:tr w:rsidR="004E58C4" w:rsidRPr="00E117D7" w14:paraId="2AEA6408" w14:textId="77777777">
        <w:tc>
          <w:tcPr>
            <w:tcW w:w="717" w:type="dxa"/>
          </w:tcPr>
          <w:p w14:paraId="273CB24B" w14:textId="77777777" w:rsidR="004E58C4" w:rsidRPr="00E117D7" w:rsidRDefault="00D64053">
            <w:pPr>
              <w:spacing w:line="360" w:lineRule="auto"/>
              <w:jc w:val="center"/>
              <w:rPr>
                <w:rFonts w:ascii="Arial" w:hAnsi="Arial" w:cs="Arial"/>
                <w:sz w:val="24"/>
                <w:szCs w:val="24"/>
                <w:lang w:val="en-GB"/>
              </w:rPr>
            </w:pPr>
            <w:r w:rsidRPr="00E117D7">
              <w:rPr>
                <w:rFonts w:ascii="Arial" w:hAnsi="Arial" w:cs="Arial"/>
                <w:sz w:val="24"/>
                <w:szCs w:val="24"/>
                <w:lang w:val="en-GB"/>
              </w:rPr>
              <w:t>1</w:t>
            </w:r>
          </w:p>
        </w:tc>
        <w:tc>
          <w:tcPr>
            <w:tcW w:w="6574" w:type="dxa"/>
          </w:tcPr>
          <w:p w14:paraId="5E90B2C6" w14:textId="77777777" w:rsidR="004E58C4" w:rsidRPr="00E117D7" w:rsidRDefault="00D64053">
            <w:pPr>
              <w:spacing w:line="360" w:lineRule="auto"/>
              <w:rPr>
                <w:rFonts w:ascii="Arial" w:hAnsi="Arial" w:cs="Arial"/>
                <w:b/>
                <w:bCs/>
                <w:sz w:val="24"/>
                <w:szCs w:val="24"/>
                <w:lang w:val="en-GB"/>
              </w:rPr>
            </w:pPr>
            <w:r w:rsidRPr="00E117D7">
              <w:rPr>
                <w:rFonts w:ascii="Arial" w:hAnsi="Arial" w:cs="Arial"/>
                <w:b/>
                <w:bCs/>
                <w:sz w:val="24"/>
                <w:szCs w:val="24"/>
                <w:lang w:val="en-GB"/>
              </w:rPr>
              <w:t>Introduction</w:t>
            </w:r>
          </w:p>
        </w:tc>
        <w:tc>
          <w:tcPr>
            <w:tcW w:w="1231" w:type="dxa"/>
          </w:tcPr>
          <w:p w14:paraId="7027335D" w14:textId="77777777" w:rsidR="004E58C4" w:rsidRPr="00E117D7" w:rsidRDefault="00D64053">
            <w:pPr>
              <w:spacing w:line="360" w:lineRule="auto"/>
              <w:jc w:val="center"/>
              <w:rPr>
                <w:rFonts w:ascii="Arial" w:hAnsi="Arial" w:cs="Arial"/>
                <w:sz w:val="24"/>
                <w:szCs w:val="24"/>
                <w:lang w:val="en-GB"/>
              </w:rPr>
            </w:pPr>
            <w:r w:rsidRPr="00E117D7">
              <w:rPr>
                <w:rFonts w:ascii="Arial" w:hAnsi="Arial" w:cs="Arial"/>
                <w:sz w:val="24"/>
                <w:szCs w:val="24"/>
                <w:lang w:val="en-GB"/>
              </w:rPr>
              <w:t>3</w:t>
            </w:r>
          </w:p>
        </w:tc>
      </w:tr>
      <w:tr w:rsidR="004E58C4" w:rsidRPr="00E117D7" w14:paraId="08CA65E5" w14:textId="77777777">
        <w:tc>
          <w:tcPr>
            <w:tcW w:w="717" w:type="dxa"/>
          </w:tcPr>
          <w:p w14:paraId="7D0C5A4C" w14:textId="77777777" w:rsidR="004E58C4" w:rsidRPr="00E117D7" w:rsidRDefault="00D64053">
            <w:pPr>
              <w:spacing w:line="360" w:lineRule="auto"/>
              <w:jc w:val="center"/>
              <w:rPr>
                <w:rFonts w:ascii="Arial" w:hAnsi="Arial" w:cs="Arial"/>
                <w:sz w:val="24"/>
                <w:szCs w:val="24"/>
                <w:lang w:val="en-GB"/>
              </w:rPr>
            </w:pPr>
            <w:r w:rsidRPr="00E117D7">
              <w:rPr>
                <w:rFonts w:ascii="Arial" w:hAnsi="Arial" w:cs="Arial"/>
                <w:sz w:val="24"/>
                <w:szCs w:val="24"/>
                <w:lang w:val="en-GB"/>
              </w:rPr>
              <w:t>2</w:t>
            </w:r>
          </w:p>
        </w:tc>
        <w:tc>
          <w:tcPr>
            <w:tcW w:w="6574" w:type="dxa"/>
          </w:tcPr>
          <w:p w14:paraId="5DF11C2E" w14:textId="77777777" w:rsidR="004E58C4" w:rsidRPr="00E117D7" w:rsidRDefault="00D64053">
            <w:pPr>
              <w:spacing w:line="360" w:lineRule="auto"/>
              <w:rPr>
                <w:rFonts w:ascii="Arial" w:hAnsi="Arial" w:cs="Arial"/>
                <w:b/>
                <w:bCs/>
                <w:sz w:val="24"/>
                <w:szCs w:val="24"/>
                <w:lang w:val="en-GB"/>
              </w:rPr>
            </w:pPr>
            <w:r w:rsidRPr="00E117D7">
              <w:rPr>
                <w:rFonts w:ascii="Arial" w:hAnsi="Arial"/>
                <w:b/>
                <w:bCs/>
                <w:sz w:val="24"/>
                <w:szCs w:val="24"/>
                <w:lang w:val="en-GB"/>
              </w:rPr>
              <w:t>Sustainable Development Goals and UK Strategies/Programs</w:t>
            </w:r>
          </w:p>
        </w:tc>
        <w:tc>
          <w:tcPr>
            <w:tcW w:w="1231" w:type="dxa"/>
          </w:tcPr>
          <w:p w14:paraId="05D2F33F" w14:textId="77777777" w:rsidR="004E58C4" w:rsidRPr="00E117D7" w:rsidRDefault="00D64053">
            <w:pPr>
              <w:spacing w:line="360" w:lineRule="auto"/>
              <w:jc w:val="center"/>
              <w:rPr>
                <w:rFonts w:ascii="Arial" w:hAnsi="Arial" w:cs="Arial"/>
                <w:sz w:val="24"/>
                <w:szCs w:val="24"/>
                <w:lang w:val="en-GB"/>
              </w:rPr>
            </w:pPr>
            <w:r w:rsidRPr="00E117D7">
              <w:rPr>
                <w:rFonts w:ascii="Arial" w:hAnsi="Arial" w:cs="Arial"/>
                <w:sz w:val="24"/>
                <w:szCs w:val="24"/>
                <w:lang w:val="en-GB"/>
              </w:rPr>
              <w:t>4</w:t>
            </w:r>
          </w:p>
        </w:tc>
      </w:tr>
      <w:tr w:rsidR="004E58C4" w:rsidRPr="00E117D7" w14:paraId="2D0AF6B0" w14:textId="77777777">
        <w:tc>
          <w:tcPr>
            <w:tcW w:w="717" w:type="dxa"/>
          </w:tcPr>
          <w:p w14:paraId="57B3C9E6" w14:textId="77777777" w:rsidR="004E58C4" w:rsidRPr="00E117D7" w:rsidRDefault="00D64053">
            <w:pPr>
              <w:spacing w:line="360" w:lineRule="auto"/>
              <w:jc w:val="center"/>
              <w:rPr>
                <w:rFonts w:ascii="Arial" w:hAnsi="Arial" w:cs="Arial"/>
                <w:sz w:val="24"/>
                <w:szCs w:val="24"/>
                <w:lang w:val="en-GB"/>
              </w:rPr>
            </w:pPr>
            <w:r w:rsidRPr="00E117D7">
              <w:rPr>
                <w:rFonts w:ascii="Arial" w:hAnsi="Arial" w:cs="Arial"/>
                <w:sz w:val="24"/>
                <w:szCs w:val="24"/>
                <w:lang w:val="en-GB"/>
              </w:rPr>
              <w:t>3</w:t>
            </w:r>
          </w:p>
        </w:tc>
        <w:tc>
          <w:tcPr>
            <w:tcW w:w="6574" w:type="dxa"/>
          </w:tcPr>
          <w:p w14:paraId="27554FE0" w14:textId="77777777" w:rsidR="004E58C4" w:rsidRPr="00E117D7" w:rsidRDefault="00D64053">
            <w:pPr>
              <w:spacing w:line="360" w:lineRule="auto"/>
              <w:rPr>
                <w:rFonts w:ascii="Arial" w:hAnsi="Arial" w:cs="Arial"/>
                <w:b/>
                <w:bCs/>
                <w:sz w:val="24"/>
                <w:szCs w:val="24"/>
                <w:lang w:val="en-GB"/>
              </w:rPr>
            </w:pPr>
            <w:r w:rsidRPr="00E117D7">
              <w:rPr>
                <w:rFonts w:ascii="Arial" w:hAnsi="Arial"/>
                <w:b/>
                <w:bCs/>
                <w:sz w:val="24"/>
                <w:szCs w:val="24"/>
                <w:lang w:val="en-GB"/>
              </w:rPr>
              <w:t>Evaluation of Progress</w:t>
            </w:r>
          </w:p>
        </w:tc>
        <w:tc>
          <w:tcPr>
            <w:tcW w:w="1231" w:type="dxa"/>
          </w:tcPr>
          <w:p w14:paraId="0EE61D9E" w14:textId="77777777" w:rsidR="004E58C4" w:rsidRPr="00E117D7" w:rsidRDefault="00D64053">
            <w:pPr>
              <w:spacing w:line="360" w:lineRule="auto"/>
              <w:jc w:val="center"/>
              <w:rPr>
                <w:rFonts w:ascii="Arial" w:hAnsi="Arial" w:cs="Arial"/>
                <w:sz w:val="24"/>
                <w:szCs w:val="24"/>
                <w:lang w:val="en-GB"/>
              </w:rPr>
            </w:pPr>
            <w:r w:rsidRPr="00E117D7">
              <w:rPr>
                <w:rFonts w:ascii="Arial" w:hAnsi="Arial" w:cs="Arial"/>
                <w:sz w:val="24"/>
                <w:szCs w:val="24"/>
                <w:lang w:val="en-GB"/>
              </w:rPr>
              <w:t>7</w:t>
            </w:r>
          </w:p>
        </w:tc>
      </w:tr>
      <w:tr w:rsidR="004E58C4" w:rsidRPr="00E117D7" w14:paraId="63C63AAB" w14:textId="77777777">
        <w:tc>
          <w:tcPr>
            <w:tcW w:w="717" w:type="dxa"/>
          </w:tcPr>
          <w:p w14:paraId="18A691EF" w14:textId="77777777" w:rsidR="004E58C4" w:rsidRPr="00E117D7" w:rsidRDefault="00D64053">
            <w:pPr>
              <w:spacing w:line="360" w:lineRule="auto"/>
              <w:jc w:val="center"/>
              <w:rPr>
                <w:rFonts w:ascii="Arial" w:hAnsi="Arial" w:cs="Arial"/>
                <w:sz w:val="24"/>
                <w:szCs w:val="24"/>
                <w:lang w:val="en-GB"/>
              </w:rPr>
            </w:pPr>
            <w:r w:rsidRPr="00E117D7">
              <w:rPr>
                <w:rFonts w:ascii="Arial" w:hAnsi="Arial" w:cs="Arial"/>
                <w:sz w:val="24"/>
                <w:szCs w:val="24"/>
                <w:lang w:val="en-GB"/>
              </w:rPr>
              <w:t>4</w:t>
            </w:r>
          </w:p>
        </w:tc>
        <w:tc>
          <w:tcPr>
            <w:tcW w:w="6574" w:type="dxa"/>
          </w:tcPr>
          <w:p w14:paraId="4939490D" w14:textId="77777777" w:rsidR="004E58C4" w:rsidRPr="00E117D7" w:rsidRDefault="00D64053">
            <w:pPr>
              <w:spacing w:line="360" w:lineRule="auto"/>
              <w:rPr>
                <w:rFonts w:ascii="Arial" w:hAnsi="Arial" w:cs="Arial"/>
                <w:b/>
                <w:bCs/>
                <w:sz w:val="24"/>
                <w:szCs w:val="24"/>
                <w:lang w:val="en-GB"/>
              </w:rPr>
            </w:pPr>
            <w:r w:rsidRPr="00E117D7">
              <w:rPr>
                <w:rFonts w:ascii="Arial" w:hAnsi="Arial"/>
                <w:b/>
                <w:bCs/>
                <w:sz w:val="24"/>
                <w:szCs w:val="24"/>
                <w:lang w:val="en-GB"/>
              </w:rPr>
              <w:t>Impact on Health, Well-being, and Sustainable Development</w:t>
            </w:r>
          </w:p>
        </w:tc>
        <w:tc>
          <w:tcPr>
            <w:tcW w:w="1231" w:type="dxa"/>
          </w:tcPr>
          <w:p w14:paraId="35B45FA6" w14:textId="77777777" w:rsidR="004E58C4" w:rsidRPr="00E117D7" w:rsidRDefault="00D64053">
            <w:pPr>
              <w:spacing w:line="360" w:lineRule="auto"/>
              <w:jc w:val="center"/>
              <w:rPr>
                <w:rFonts w:ascii="Arial" w:hAnsi="Arial" w:cs="Arial"/>
                <w:sz w:val="24"/>
                <w:szCs w:val="24"/>
                <w:lang w:val="en-GB"/>
              </w:rPr>
            </w:pPr>
            <w:r w:rsidRPr="00E117D7">
              <w:rPr>
                <w:rFonts w:ascii="Arial" w:hAnsi="Arial" w:cs="Arial"/>
                <w:sz w:val="24"/>
                <w:szCs w:val="24"/>
                <w:lang w:val="en-GB"/>
              </w:rPr>
              <w:t>10</w:t>
            </w:r>
          </w:p>
        </w:tc>
      </w:tr>
      <w:tr w:rsidR="004E58C4" w:rsidRPr="00E117D7" w14:paraId="2C2A59BB" w14:textId="77777777">
        <w:tc>
          <w:tcPr>
            <w:tcW w:w="717" w:type="dxa"/>
          </w:tcPr>
          <w:p w14:paraId="46C5AA62" w14:textId="77777777" w:rsidR="004E58C4" w:rsidRPr="00E117D7" w:rsidRDefault="00D64053">
            <w:pPr>
              <w:spacing w:line="360" w:lineRule="auto"/>
              <w:jc w:val="center"/>
              <w:rPr>
                <w:rFonts w:ascii="Arial" w:hAnsi="Arial" w:cs="Arial"/>
                <w:sz w:val="24"/>
                <w:szCs w:val="24"/>
                <w:lang w:val="en-GB"/>
              </w:rPr>
            </w:pPr>
            <w:r w:rsidRPr="00E117D7">
              <w:rPr>
                <w:rFonts w:ascii="Arial" w:hAnsi="Arial" w:cs="Arial"/>
                <w:sz w:val="24"/>
                <w:szCs w:val="24"/>
                <w:lang w:val="en-GB"/>
              </w:rPr>
              <w:t>5</w:t>
            </w:r>
          </w:p>
        </w:tc>
        <w:tc>
          <w:tcPr>
            <w:tcW w:w="6574" w:type="dxa"/>
          </w:tcPr>
          <w:p w14:paraId="28263989" w14:textId="77777777" w:rsidR="004E58C4" w:rsidRPr="00E117D7" w:rsidRDefault="00D64053">
            <w:pPr>
              <w:spacing w:line="360" w:lineRule="auto"/>
              <w:rPr>
                <w:rFonts w:ascii="Arial" w:hAnsi="Arial" w:cs="Arial"/>
                <w:b/>
                <w:bCs/>
                <w:sz w:val="24"/>
                <w:szCs w:val="24"/>
                <w:lang w:val="en-GB"/>
              </w:rPr>
            </w:pPr>
            <w:r w:rsidRPr="00E117D7">
              <w:rPr>
                <w:rFonts w:ascii="Arial" w:hAnsi="Arial"/>
                <w:b/>
                <w:bCs/>
                <w:sz w:val="24"/>
                <w:szCs w:val="24"/>
                <w:lang w:val="en-GB"/>
              </w:rPr>
              <w:t>Challenges in Implementation</w:t>
            </w:r>
          </w:p>
        </w:tc>
        <w:tc>
          <w:tcPr>
            <w:tcW w:w="1231" w:type="dxa"/>
          </w:tcPr>
          <w:p w14:paraId="5D79FEA1" w14:textId="77777777" w:rsidR="004E58C4" w:rsidRPr="00E117D7" w:rsidRDefault="00D64053">
            <w:pPr>
              <w:spacing w:line="360" w:lineRule="auto"/>
              <w:jc w:val="center"/>
              <w:rPr>
                <w:rFonts w:ascii="Arial" w:hAnsi="Arial" w:cs="Arial"/>
                <w:sz w:val="24"/>
                <w:szCs w:val="24"/>
                <w:lang w:val="en-GB"/>
              </w:rPr>
            </w:pPr>
            <w:r w:rsidRPr="00E117D7">
              <w:rPr>
                <w:rFonts w:ascii="Arial" w:hAnsi="Arial" w:cs="Arial"/>
                <w:sz w:val="24"/>
                <w:szCs w:val="24"/>
                <w:lang w:val="en-GB"/>
              </w:rPr>
              <w:t>13</w:t>
            </w:r>
          </w:p>
        </w:tc>
      </w:tr>
      <w:tr w:rsidR="004E58C4" w:rsidRPr="00E117D7" w14:paraId="0A31D15E" w14:textId="77777777">
        <w:tc>
          <w:tcPr>
            <w:tcW w:w="717" w:type="dxa"/>
          </w:tcPr>
          <w:p w14:paraId="6FC11C58" w14:textId="77777777" w:rsidR="004E58C4" w:rsidRPr="00E117D7" w:rsidRDefault="00D64053">
            <w:pPr>
              <w:spacing w:line="360" w:lineRule="auto"/>
              <w:jc w:val="center"/>
              <w:rPr>
                <w:rFonts w:ascii="Arial" w:hAnsi="Arial" w:cs="Arial"/>
                <w:sz w:val="24"/>
                <w:szCs w:val="24"/>
                <w:lang w:val="en-GB"/>
              </w:rPr>
            </w:pPr>
            <w:r w:rsidRPr="00E117D7">
              <w:rPr>
                <w:rFonts w:ascii="Arial" w:hAnsi="Arial" w:cs="Arial"/>
                <w:sz w:val="24"/>
                <w:szCs w:val="24"/>
                <w:lang w:val="en-GB"/>
              </w:rPr>
              <w:t>6</w:t>
            </w:r>
          </w:p>
        </w:tc>
        <w:tc>
          <w:tcPr>
            <w:tcW w:w="6574" w:type="dxa"/>
          </w:tcPr>
          <w:p w14:paraId="5E694BC3" w14:textId="77777777" w:rsidR="004E58C4" w:rsidRPr="00E117D7" w:rsidRDefault="00D64053">
            <w:pPr>
              <w:spacing w:line="360" w:lineRule="auto"/>
              <w:rPr>
                <w:rFonts w:ascii="Arial" w:hAnsi="Arial" w:cs="Arial"/>
                <w:b/>
                <w:bCs/>
                <w:sz w:val="24"/>
                <w:szCs w:val="24"/>
                <w:lang w:val="en-GB"/>
              </w:rPr>
            </w:pPr>
            <w:r w:rsidRPr="00E117D7">
              <w:rPr>
                <w:rFonts w:ascii="Arial" w:hAnsi="Arial"/>
                <w:b/>
                <w:bCs/>
                <w:sz w:val="24"/>
                <w:szCs w:val="24"/>
                <w:lang w:val="en-GB"/>
              </w:rPr>
              <w:t>Recommendations</w:t>
            </w:r>
          </w:p>
        </w:tc>
        <w:tc>
          <w:tcPr>
            <w:tcW w:w="1231" w:type="dxa"/>
          </w:tcPr>
          <w:p w14:paraId="088C51FB" w14:textId="77777777" w:rsidR="004E58C4" w:rsidRPr="00E117D7" w:rsidRDefault="00D64053">
            <w:pPr>
              <w:spacing w:line="360" w:lineRule="auto"/>
              <w:jc w:val="center"/>
              <w:rPr>
                <w:rFonts w:ascii="Arial" w:hAnsi="Arial" w:cs="Arial"/>
                <w:sz w:val="24"/>
                <w:szCs w:val="24"/>
                <w:lang w:val="en-GB"/>
              </w:rPr>
            </w:pPr>
            <w:r w:rsidRPr="00E117D7">
              <w:rPr>
                <w:rFonts w:ascii="Arial" w:hAnsi="Arial" w:cs="Arial"/>
                <w:sz w:val="24"/>
                <w:szCs w:val="24"/>
                <w:lang w:val="en-GB"/>
              </w:rPr>
              <w:t>16</w:t>
            </w:r>
          </w:p>
        </w:tc>
      </w:tr>
      <w:tr w:rsidR="004E58C4" w:rsidRPr="00E117D7" w14:paraId="271C66B8" w14:textId="77777777">
        <w:tc>
          <w:tcPr>
            <w:tcW w:w="717" w:type="dxa"/>
          </w:tcPr>
          <w:p w14:paraId="3439CC0E" w14:textId="77777777" w:rsidR="004E58C4" w:rsidRPr="00E117D7" w:rsidRDefault="00D64053">
            <w:pPr>
              <w:spacing w:line="360" w:lineRule="auto"/>
              <w:jc w:val="center"/>
              <w:rPr>
                <w:rFonts w:ascii="Arial" w:hAnsi="Arial" w:cs="Arial"/>
                <w:sz w:val="24"/>
                <w:szCs w:val="24"/>
                <w:lang w:val="en-GB"/>
              </w:rPr>
            </w:pPr>
            <w:r w:rsidRPr="00E117D7">
              <w:rPr>
                <w:rFonts w:ascii="Arial" w:hAnsi="Arial" w:cs="Arial"/>
                <w:sz w:val="24"/>
                <w:szCs w:val="24"/>
                <w:lang w:val="en-GB"/>
              </w:rPr>
              <w:t>7</w:t>
            </w:r>
          </w:p>
        </w:tc>
        <w:tc>
          <w:tcPr>
            <w:tcW w:w="6574" w:type="dxa"/>
          </w:tcPr>
          <w:p w14:paraId="285604D0" w14:textId="77777777" w:rsidR="004E58C4" w:rsidRPr="00E117D7" w:rsidRDefault="00D64053">
            <w:pPr>
              <w:spacing w:line="360" w:lineRule="auto"/>
              <w:rPr>
                <w:rFonts w:ascii="Arial" w:hAnsi="Arial" w:cs="Arial"/>
                <w:b/>
                <w:bCs/>
                <w:sz w:val="24"/>
                <w:szCs w:val="24"/>
                <w:lang w:val="en-GB"/>
              </w:rPr>
            </w:pPr>
            <w:r w:rsidRPr="00E117D7">
              <w:rPr>
                <w:rFonts w:ascii="Arial" w:hAnsi="Arial" w:cs="Arial"/>
                <w:b/>
                <w:bCs/>
                <w:sz w:val="24"/>
                <w:szCs w:val="24"/>
                <w:lang w:val="en-GB"/>
              </w:rPr>
              <w:t>Conclusion</w:t>
            </w:r>
          </w:p>
        </w:tc>
        <w:tc>
          <w:tcPr>
            <w:tcW w:w="1231" w:type="dxa"/>
          </w:tcPr>
          <w:p w14:paraId="07035D3B" w14:textId="77777777" w:rsidR="004E58C4" w:rsidRPr="00E117D7" w:rsidRDefault="00D64053">
            <w:pPr>
              <w:spacing w:line="360" w:lineRule="auto"/>
              <w:jc w:val="center"/>
              <w:rPr>
                <w:rFonts w:ascii="Arial" w:hAnsi="Arial" w:cs="Arial"/>
                <w:sz w:val="24"/>
                <w:szCs w:val="24"/>
                <w:lang w:val="en-GB"/>
              </w:rPr>
            </w:pPr>
            <w:r w:rsidRPr="00E117D7">
              <w:rPr>
                <w:rFonts w:ascii="Arial" w:hAnsi="Arial" w:cs="Arial"/>
                <w:sz w:val="24"/>
                <w:szCs w:val="24"/>
                <w:lang w:val="en-GB"/>
              </w:rPr>
              <w:t>19</w:t>
            </w:r>
          </w:p>
        </w:tc>
      </w:tr>
      <w:tr w:rsidR="004E58C4" w:rsidRPr="00E117D7" w14:paraId="3D8AB88A" w14:textId="77777777">
        <w:tc>
          <w:tcPr>
            <w:tcW w:w="717" w:type="dxa"/>
          </w:tcPr>
          <w:p w14:paraId="079D62DC" w14:textId="77777777" w:rsidR="004E58C4" w:rsidRPr="00E117D7" w:rsidRDefault="00D64053">
            <w:pPr>
              <w:spacing w:line="360" w:lineRule="auto"/>
              <w:jc w:val="center"/>
              <w:rPr>
                <w:rFonts w:ascii="Arial" w:hAnsi="Arial" w:cs="Arial"/>
                <w:sz w:val="24"/>
                <w:szCs w:val="24"/>
                <w:lang w:val="en-GB"/>
              </w:rPr>
            </w:pPr>
            <w:r w:rsidRPr="00E117D7">
              <w:rPr>
                <w:rFonts w:ascii="Arial" w:hAnsi="Arial" w:cs="Arial"/>
                <w:sz w:val="24"/>
                <w:szCs w:val="24"/>
                <w:lang w:val="en-GB"/>
              </w:rPr>
              <w:t>8</w:t>
            </w:r>
          </w:p>
        </w:tc>
        <w:tc>
          <w:tcPr>
            <w:tcW w:w="6574" w:type="dxa"/>
          </w:tcPr>
          <w:p w14:paraId="3BE6465F" w14:textId="77777777" w:rsidR="004E58C4" w:rsidRPr="00E117D7" w:rsidRDefault="00D64053">
            <w:pPr>
              <w:spacing w:line="360" w:lineRule="auto"/>
              <w:rPr>
                <w:rFonts w:ascii="Arial" w:hAnsi="Arial" w:cs="Arial"/>
                <w:b/>
                <w:bCs/>
                <w:sz w:val="24"/>
                <w:szCs w:val="24"/>
                <w:lang w:val="en-GB"/>
              </w:rPr>
            </w:pPr>
            <w:r w:rsidRPr="00E117D7">
              <w:rPr>
                <w:rFonts w:ascii="Arial" w:hAnsi="Arial" w:cs="Arial"/>
                <w:b/>
                <w:bCs/>
                <w:sz w:val="24"/>
                <w:szCs w:val="24"/>
                <w:lang w:val="en-GB"/>
              </w:rPr>
              <w:t>References</w:t>
            </w:r>
          </w:p>
        </w:tc>
        <w:tc>
          <w:tcPr>
            <w:tcW w:w="1231" w:type="dxa"/>
          </w:tcPr>
          <w:p w14:paraId="0C268A0C" w14:textId="77777777" w:rsidR="004E58C4" w:rsidRPr="00E117D7" w:rsidRDefault="00D64053">
            <w:pPr>
              <w:spacing w:line="360" w:lineRule="auto"/>
              <w:jc w:val="center"/>
              <w:rPr>
                <w:rFonts w:ascii="Arial" w:hAnsi="Arial" w:cs="Arial"/>
                <w:sz w:val="24"/>
                <w:szCs w:val="24"/>
                <w:lang w:val="en-GB"/>
              </w:rPr>
            </w:pPr>
            <w:r w:rsidRPr="00E117D7">
              <w:rPr>
                <w:rFonts w:ascii="Arial" w:hAnsi="Arial" w:cs="Arial"/>
                <w:sz w:val="24"/>
                <w:szCs w:val="24"/>
                <w:lang w:val="en-GB"/>
              </w:rPr>
              <w:t>20</w:t>
            </w:r>
          </w:p>
        </w:tc>
      </w:tr>
    </w:tbl>
    <w:p w14:paraId="0DD6593B" w14:textId="77777777" w:rsidR="004E58C4" w:rsidRPr="00E117D7" w:rsidRDefault="004E58C4">
      <w:pPr>
        <w:spacing w:line="360" w:lineRule="auto"/>
        <w:rPr>
          <w:rFonts w:ascii="Arial" w:hAnsi="Arial" w:cs="Arial"/>
          <w:b/>
          <w:bCs/>
          <w:sz w:val="24"/>
          <w:szCs w:val="24"/>
          <w:lang w:val="en-GB"/>
        </w:rPr>
      </w:pPr>
    </w:p>
    <w:p w14:paraId="7329F0C4" w14:textId="77777777" w:rsidR="004E58C4" w:rsidRPr="00E117D7" w:rsidRDefault="00D64053">
      <w:pPr>
        <w:spacing w:line="360" w:lineRule="auto"/>
        <w:rPr>
          <w:lang w:val="en-GB"/>
        </w:rPr>
      </w:pPr>
      <w:r w:rsidRPr="00E117D7">
        <w:rPr>
          <w:lang w:val="en-GB"/>
        </w:rPr>
        <w:br w:type="page"/>
      </w:r>
    </w:p>
    <w:p w14:paraId="2B068238" w14:textId="77777777" w:rsidR="004E58C4" w:rsidRPr="00E117D7" w:rsidRDefault="004E58C4">
      <w:pPr>
        <w:rPr>
          <w:rFonts w:ascii="Arial" w:hAnsi="Arial" w:cs="Arial"/>
          <w:b/>
          <w:bCs/>
          <w:sz w:val="22"/>
          <w:szCs w:val="22"/>
          <w:lang w:val="en-GB"/>
        </w:rPr>
      </w:pPr>
    </w:p>
    <w:p w14:paraId="33BE714A" w14:textId="77777777" w:rsidR="004E58C4" w:rsidRPr="00E117D7" w:rsidRDefault="00D64053">
      <w:pPr>
        <w:spacing w:line="360" w:lineRule="auto"/>
        <w:jc w:val="center"/>
        <w:rPr>
          <w:rFonts w:ascii="Arial" w:hAnsi="Arial" w:cs="Arial"/>
          <w:b/>
          <w:bCs/>
          <w:sz w:val="24"/>
          <w:szCs w:val="24"/>
          <w:u w:val="single"/>
          <w:lang w:val="en-GB"/>
        </w:rPr>
      </w:pPr>
      <w:r w:rsidRPr="00E117D7">
        <w:rPr>
          <w:rFonts w:ascii="Arial" w:hAnsi="Arial" w:cs="Arial"/>
          <w:b/>
          <w:bCs/>
          <w:sz w:val="24"/>
          <w:szCs w:val="24"/>
          <w:u w:val="single"/>
          <w:lang w:val="en-GB"/>
        </w:rPr>
        <w:t>INTRODUCTION</w:t>
      </w:r>
    </w:p>
    <w:p w14:paraId="2C0D00A5" w14:textId="77777777" w:rsidR="004E58C4" w:rsidRPr="00E117D7" w:rsidRDefault="004E58C4">
      <w:pPr>
        <w:spacing w:line="360" w:lineRule="auto"/>
        <w:rPr>
          <w:rFonts w:ascii="Arial" w:hAnsi="Arial" w:cs="Arial"/>
          <w:b/>
          <w:bCs/>
          <w:sz w:val="24"/>
          <w:szCs w:val="24"/>
          <w:lang w:val="en-GB"/>
        </w:rPr>
      </w:pPr>
    </w:p>
    <w:p w14:paraId="09DE8ED7" w14:textId="77777777" w:rsidR="004E58C4" w:rsidRPr="00E117D7" w:rsidRDefault="00D64053">
      <w:pPr>
        <w:spacing w:line="360" w:lineRule="auto"/>
        <w:jc w:val="both"/>
        <w:rPr>
          <w:rFonts w:ascii="Arial" w:hAnsi="Arial"/>
          <w:sz w:val="24"/>
          <w:szCs w:val="24"/>
          <w:lang w:val="en-GB"/>
        </w:rPr>
      </w:pPr>
      <w:r w:rsidRPr="00E117D7">
        <w:rPr>
          <w:rFonts w:ascii="Arial" w:hAnsi="Arial"/>
          <w:sz w:val="24"/>
          <w:szCs w:val="24"/>
          <w:lang w:val="en-GB"/>
        </w:rPr>
        <w:t xml:space="preserve">The United Nations' Sustainable Development Goals (SDGs) are a worldwide call to action to address a wide variety of vital challenges confronting the globe, from poverty and inequality to climate change and </w:t>
      </w:r>
      <w:r w:rsidRPr="00E117D7">
        <w:rPr>
          <w:rFonts w:ascii="Arial" w:hAnsi="Arial"/>
          <w:sz w:val="24"/>
          <w:szCs w:val="24"/>
          <w:lang w:val="en-GB"/>
        </w:rPr>
        <w:t>environmental sustainability. Among these objectives, SDG 2 - "End Hunger, Achieve Food Security, and Improved Nutrition," and SDG 3 - "Ensure Healthy Lives and Promote Well-being for All at All Ages," are critical components of the United Nations' wider 2030 Agenda for Sustainable Development.</w:t>
      </w:r>
    </w:p>
    <w:p w14:paraId="3A1A79DD" w14:textId="77777777" w:rsidR="004E58C4" w:rsidRPr="00E117D7" w:rsidRDefault="004E58C4">
      <w:pPr>
        <w:spacing w:line="360" w:lineRule="auto"/>
        <w:jc w:val="both"/>
        <w:rPr>
          <w:rFonts w:ascii="Arial" w:hAnsi="Arial"/>
          <w:sz w:val="24"/>
          <w:szCs w:val="24"/>
          <w:lang w:val="en-GB"/>
        </w:rPr>
      </w:pPr>
    </w:p>
    <w:p w14:paraId="24C1F020"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In the United Kingdom, a nation deeply committed to upholding these universal values, significant progress has been made in the pursuit of these objectives. SDG 2 (United Nations, 2022) underscores the importance of eliminating hunger, improving food security, and enhancing nutrition, while SDG 3 (sdgdata.gov.uk, n.d.) emphasizes the importance of ensuring healthy lives and overall well-being for all its citizens. Together, these goals encapsulate the fundamental aspects of a society's health, its access to</w:t>
      </w:r>
      <w:r w:rsidRPr="00E117D7">
        <w:rPr>
          <w:rFonts w:ascii="Arial" w:hAnsi="Arial" w:cs="Arial"/>
          <w:sz w:val="24"/>
          <w:szCs w:val="24"/>
          <w:lang w:val="en-GB"/>
        </w:rPr>
        <w:t xml:space="preserve"> nourishing food, and the quality of life for its people.</w:t>
      </w:r>
    </w:p>
    <w:p w14:paraId="3F25B120" w14:textId="77777777" w:rsidR="004E58C4" w:rsidRPr="00E117D7" w:rsidRDefault="004E58C4">
      <w:pPr>
        <w:spacing w:line="360" w:lineRule="auto"/>
        <w:jc w:val="both"/>
        <w:rPr>
          <w:rFonts w:ascii="Arial" w:hAnsi="Arial" w:cs="Arial"/>
          <w:sz w:val="24"/>
          <w:szCs w:val="24"/>
          <w:lang w:val="en-GB"/>
        </w:rPr>
      </w:pPr>
    </w:p>
    <w:p w14:paraId="2408E6A1"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This report delves into the comprehensive evaluation of the progress achieved in pursuit of SDG 2 and SDG 3, providing detailed insights into the strategies and programs implemented by the UK. We will critically assess the impact of these initiatives on the healthcare sector, as well as their contributions to sustainable development within the country. Furthermore, we will acknowledge the challenges that continue to persist on this journey and offer recommendations for enhancing and expanding the ongoing ef</w:t>
      </w:r>
      <w:r w:rsidRPr="00E117D7">
        <w:rPr>
          <w:rFonts w:ascii="Arial" w:hAnsi="Arial" w:cs="Arial"/>
          <w:sz w:val="24"/>
          <w:szCs w:val="24"/>
          <w:lang w:val="en-GB"/>
        </w:rPr>
        <w:t>forts.</w:t>
      </w:r>
    </w:p>
    <w:p w14:paraId="04846557" w14:textId="77777777" w:rsidR="004E58C4" w:rsidRPr="00E117D7" w:rsidRDefault="004E58C4">
      <w:pPr>
        <w:spacing w:line="360" w:lineRule="auto"/>
        <w:jc w:val="both"/>
        <w:rPr>
          <w:rFonts w:ascii="Arial" w:hAnsi="Arial" w:cs="Arial"/>
          <w:sz w:val="24"/>
          <w:szCs w:val="24"/>
          <w:lang w:val="en-GB"/>
        </w:rPr>
      </w:pPr>
    </w:p>
    <w:p w14:paraId="6AC26FE3" w14:textId="15490EA8" w:rsidR="004E58C4" w:rsidRPr="00E117D7" w:rsidRDefault="00D64053" w:rsidP="00E117D7">
      <w:pPr>
        <w:spacing w:line="360" w:lineRule="auto"/>
        <w:jc w:val="both"/>
        <w:rPr>
          <w:rFonts w:ascii="Arial" w:hAnsi="Arial" w:cs="Arial"/>
          <w:sz w:val="24"/>
          <w:szCs w:val="24"/>
          <w:lang w:val="en-GB"/>
        </w:rPr>
      </w:pPr>
      <w:r w:rsidRPr="00E117D7">
        <w:rPr>
          <w:rFonts w:ascii="Arial" w:hAnsi="Arial" w:cs="Arial"/>
          <w:sz w:val="24"/>
          <w:szCs w:val="24"/>
          <w:lang w:val="en-GB"/>
        </w:rPr>
        <w:t>In this era of evolving healthcare, shifting societal needs, and global environmental concerns, understanding and addressing the issues encapsulated in SDG 2 and SDG 3 are paramount. This report seeks to shed light on the achievements, challenges, and prospects within the United Kingdom as it works towards ensuring health, well-being, and sustainable development for its citizens.</w:t>
      </w:r>
      <w:r w:rsidRPr="00E117D7">
        <w:rPr>
          <w:rFonts w:ascii="Arial" w:hAnsi="Arial" w:cs="Arial"/>
          <w:b/>
          <w:bCs/>
          <w:sz w:val="24"/>
          <w:szCs w:val="24"/>
          <w:lang w:val="en-GB"/>
        </w:rPr>
        <w:br w:type="page"/>
      </w:r>
    </w:p>
    <w:p w14:paraId="404B368D" w14:textId="77777777" w:rsidR="004E58C4" w:rsidRPr="00E117D7" w:rsidRDefault="00D64053">
      <w:pPr>
        <w:spacing w:line="360" w:lineRule="auto"/>
        <w:jc w:val="center"/>
        <w:rPr>
          <w:rFonts w:ascii="Arial" w:hAnsi="Arial" w:cs="Arial"/>
          <w:b/>
          <w:bCs/>
          <w:sz w:val="24"/>
          <w:szCs w:val="24"/>
          <w:u w:val="single"/>
          <w:lang w:val="en-GB"/>
        </w:rPr>
      </w:pPr>
      <w:r w:rsidRPr="00E117D7">
        <w:rPr>
          <w:rFonts w:ascii="Arial" w:hAnsi="Arial" w:cs="Arial"/>
          <w:b/>
          <w:bCs/>
          <w:sz w:val="24"/>
          <w:szCs w:val="24"/>
          <w:u w:val="single"/>
          <w:lang w:val="en-GB"/>
        </w:rPr>
        <w:lastRenderedPageBreak/>
        <w:t>SUSTAINABLE DEVELOPMENT GOALS AND UK STRATEGIES/PROGRAMS</w:t>
      </w:r>
    </w:p>
    <w:p w14:paraId="207885F5" w14:textId="77777777" w:rsidR="004E58C4" w:rsidRPr="00E117D7" w:rsidRDefault="004E58C4">
      <w:pPr>
        <w:spacing w:line="360" w:lineRule="auto"/>
        <w:jc w:val="both"/>
        <w:rPr>
          <w:rFonts w:ascii="Arial" w:hAnsi="Arial" w:cs="Arial"/>
          <w:b/>
          <w:bCs/>
          <w:sz w:val="24"/>
          <w:szCs w:val="24"/>
          <w:lang w:val="en-GB"/>
        </w:rPr>
      </w:pPr>
    </w:p>
    <w:p w14:paraId="4AB7CD76" w14:textId="27B42B5F" w:rsidR="004E58C4" w:rsidRPr="00E117D7" w:rsidRDefault="00D64053">
      <w:pPr>
        <w:spacing w:line="360" w:lineRule="auto"/>
        <w:jc w:val="both"/>
        <w:rPr>
          <w:rFonts w:ascii="Arial" w:hAnsi="Arial" w:cs="Arial"/>
          <w:sz w:val="24"/>
          <w:szCs w:val="24"/>
          <w:lang w:val="en-GB"/>
        </w:rPr>
      </w:pPr>
      <w:r w:rsidRPr="00E117D7">
        <w:rPr>
          <w:rFonts w:ascii="Arial" w:hAnsi="Arial" w:cs="Arial"/>
          <w:b/>
          <w:bCs/>
          <w:sz w:val="24"/>
          <w:szCs w:val="24"/>
          <w:lang w:val="en-GB"/>
        </w:rPr>
        <w:t xml:space="preserve">SDG </w:t>
      </w:r>
      <w:r w:rsidR="00E117D7" w:rsidRPr="00E117D7">
        <w:rPr>
          <w:rFonts w:ascii="Arial" w:hAnsi="Arial" w:cs="Arial"/>
          <w:b/>
          <w:bCs/>
          <w:sz w:val="24"/>
          <w:szCs w:val="24"/>
          <w:lang w:val="en-GB"/>
        </w:rPr>
        <w:t>2</w:t>
      </w:r>
      <w:r w:rsidR="00E117D7" w:rsidRPr="00E117D7">
        <w:rPr>
          <w:rFonts w:ascii="Arial" w:hAnsi="Arial" w:cs="Arial"/>
          <w:sz w:val="24"/>
          <w:szCs w:val="24"/>
          <w:lang w:val="en-GB"/>
        </w:rPr>
        <w:t xml:space="preserve"> (</w:t>
      </w:r>
      <w:r w:rsidRPr="00E117D7">
        <w:rPr>
          <w:rFonts w:ascii="Arial" w:hAnsi="Arial" w:cs="Arial"/>
          <w:b/>
          <w:bCs/>
          <w:sz w:val="24"/>
          <w:szCs w:val="24"/>
          <w:lang w:val="en-GB"/>
        </w:rPr>
        <w:t>End Hunger, Achieve Food Security, and Improved Nutrition)</w:t>
      </w:r>
    </w:p>
    <w:p w14:paraId="08521052" w14:textId="77777777" w:rsidR="004E58C4" w:rsidRPr="00E117D7" w:rsidRDefault="004E58C4">
      <w:pPr>
        <w:spacing w:line="360" w:lineRule="auto"/>
        <w:jc w:val="both"/>
        <w:rPr>
          <w:rFonts w:ascii="Arial" w:hAnsi="Arial" w:cs="Arial"/>
          <w:b/>
          <w:bCs/>
          <w:sz w:val="24"/>
          <w:szCs w:val="24"/>
          <w:lang w:val="en-GB"/>
        </w:rPr>
      </w:pPr>
    </w:p>
    <w:p w14:paraId="4F48D535" w14:textId="0C89F79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 xml:space="preserve">Sustainable Development Goal 2, "End Hunger, Achieve Food Security, and Improved Nutrition," (sdgdata.gov.uk, n.d.) is a global imperative aimed at addressing the pervasive issues of food insecurity and malnutrition. It embodies the aspiration to ensure that no one goes to bed hungry and that everyone has access to safe, nutritious, and sufficient food all year round. For the United Kingdom, this goal resonates deeply with its commitment to the welfare of its citizens and aligns with its ambition to create </w:t>
      </w:r>
      <w:r w:rsidRPr="00E117D7">
        <w:rPr>
          <w:rFonts w:ascii="Arial" w:hAnsi="Arial" w:cs="Arial"/>
          <w:sz w:val="24"/>
          <w:szCs w:val="24"/>
          <w:lang w:val="en-GB"/>
        </w:rPr>
        <w:t xml:space="preserve">a just, equitable, and nourished society. Achieving SDG 2 is paramount for fostering physical and mental health, enhancing overall well-being, and laying the foundation for sustainable agricultural practices (House of Commons Environmental Audit Committee Sustainable Development Goals in the UK follow up: Hunger, </w:t>
      </w:r>
      <w:r w:rsidR="00E117D7" w:rsidRPr="00E117D7">
        <w:rPr>
          <w:rFonts w:ascii="Arial" w:hAnsi="Arial" w:cs="Arial"/>
          <w:sz w:val="24"/>
          <w:szCs w:val="24"/>
          <w:lang w:val="en-GB"/>
        </w:rPr>
        <w:t>malnutrition,</w:t>
      </w:r>
      <w:r w:rsidRPr="00E117D7">
        <w:rPr>
          <w:rFonts w:ascii="Arial" w:hAnsi="Arial" w:cs="Arial"/>
          <w:sz w:val="24"/>
          <w:szCs w:val="24"/>
          <w:lang w:val="en-GB"/>
        </w:rPr>
        <w:t xml:space="preserve"> and food insecurity in the UK Thirteenth Report of Session 2017-19 Report, together with formal minutes relating to the report, 2019).</w:t>
      </w:r>
    </w:p>
    <w:p w14:paraId="38282DAB" w14:textId="77777777" w:rsidR="004E58C4" w:rsidRPr="00E117D7" w:rsidRDefault="004E58C4">
      <w:pPr>
        <w:spacing w:line="360" w:lineRule="auto"/>
        <w:jc w:val="both"/>
        <w:rPr>
          <w:rFonts w:ascii="Arial" w:hAnsi="Arial" w:cs="Arial"/>
          <w:sz w:val="24"/>
          <w:szCs w:val="24"/>
          <w:lang w:val="en-GB"/>
        </w:rPr>
      </w:pPr>
    </w:p>
    <w:p w14:paraId="786CC3AC"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cs="Arial"/>
          <w:b/>
          <w:bCs/>
          <w:sz w:val="24"/>
          <w:szCs w:val="24"/>
          <w:lang w:val="en-GB"/>
        </w:rPr>
        <w:t>The National Food Strategy (2021)</w:t>
      </w:r>
    </w:p>
    <w:p w14:paraId="7F9B936B" w14:textId="3034F726"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The United Kingdom's approach to achieving SDG 2 is encapsulated in "The National Food Strategy," launched in 2021 (National Food Strategy, 2019). This comprehensive strategy is a testament to the UK's dedication to tackling food insecurity and enhancing nutrition. It emphasi</w:t>
      </w:r>
      <w:r w:rsidR="00E117D7">
        <w:rPr>
          <w:rFonts w:ascii="Arial" w:hAnsi="Arial" w:cs="Arial"/>
          <w:sz w:val="24"/>
          <w:szCs w:val="24"/>
          <w:lang w:val="en-GB"/>
        </w:rPr>
        <w:t>s</w:t>
      </w:r>
      <w:r w:rsidRPr="00E117D7">
        <w:rPr>
          <w:rFonts w:ascii="Arial" w:hAnsi="Arial" w:cs="Arial"/>
          <w:sz w:val="24"/>
          <w:szCs w:val="24"/>
          <w:lang w:val="en-GB"/>
        </w:rPr>
        <w:t>es the importance of making affordable, nutritious food accessible to all, regardless of socio-economic background. The strategy envisions a future where local food systems flourish, food poverty is minimized, and food education becomes integral to the national discourse. By addressing not only the immediate concerns of food access but also the broader issues of food production and distribution, the National Food Strategy seeks to fortify the foundation upon which SDG 2 stands.</w:t>
      </w:r>
    </w:p>
    <w:p w14:paraId="0E736C55" w14:textId="77777777" w:rsidR="004E58C4" w:rsidRPr="00E117D7" w:rsidRDefault="004E58C4">
      <w:pPr>
        <w:spacing w:line="360" w:lineRule="auto"/>
        <w:jc w:val="both"/>
        <w:rPr>
          <w:rFonts w:ascii="Arial" w:hAnsi="Arial" w:cs="Arial"/>
          <w:sz w:val="24"/>
          <w:szCs w:val="24"/>
          <w:lang w:val="en-GB"/>
        </w:rPr>
      </w:pPr>
    </w:p>
    <w:p w14:paraId="7D0FA11D"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cs="Arial"/>
          <w:b/>
          <w:bCs/>
          <w:sz w:val="24"/>
          <w:szCs w:val="24"/>
          <w:lang w:val="en-GB"/>
        </w:rPr>
        <w:t>Food Waste Reduction Initiatives</w:t>
      </w:r>
    </w:p>
    <w:p w14:paraId="5BA4C421" w14:textId="286B878C"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 xml:space="preserve">The fight against food insecurity also extends to minimizing wastage, as reducing food waste is pivotal to achieving SDG 2. The United Kingdom has </w:t>
      </w:r>
      <w:r w:rsidRPr="00E117D7">
        <w:rPr>
          <w:rFonts w:ascii="Arial" w:hAnsi="Arial" w:cs="Arial"/>
          <w:sz w:val="24"/>
          <w:szCs w:val="24"/>
          <w:lang w:val="en-GB"/>
        </w:rPr>
        <w:lastRenderedPageBreak/>
        <w:t xml:space="preserve">launched a suite of initiatives designed to curb food waste and promote sustainable farming practices for example Love Food Hate Waste, Wrap and Wasting Food: It's Out of Date (WRAP, </w:t>
      </w:r>
      <w:r w:rsidR="00E117D7" w:rsidRPr="00E117D7">
        <w:rPr>
          <w:rFonts w:ascii="Arial" w:hAnsi="Arial" w:cs="Arial"/>
          <w:sz w:val="24"/>
          <w:szCs w:val="24"/>
          <w:lang w:val="en-GB"/>
        </w:rPr>
        <w:t>n.d.) (</w:t>
      </w:r>
      <w:r w:rsidRPr="00E117D7">
        <w:rPr>
          <w:rFonts w:ascii="Arial" w:hAnsi="Arial" w:cs="Arial"/>
          <w:sz w:val="24"/>
          <w:szCs w:val="24"/>
          <w:lang w:val="en-GB"/>
        </w:rPr>
        <w:t>Lopes dos Santos and Jacobi, 2022). By redistributing surplus food to those in need, improving food labelling to minimize waste, and advocating for sustainable agricultural methods, the UK contributes not only to ensuring food security but also to the environmental sustainability of its practices. These food waste reduction initiatives align with the broader vision of a sustainable and equitable food system for all citizens (Gil et al., 2018).</w:t>
      </w:r>
    </w:p>
    <w:p w14:paraId="5B0503B9" w14:textId="77777777" w:rsidR="004E58C4" w:rsidRPr="00E117D7" w:rsidRDefault="004E58C4">
      <w:pPr>
        <w:spacing w:line="360" w:lineRule="auto"/>
        <w:jc w:val="both"/>
        <w:rPr>
          <w:rFonts w:ascii="Arial" w:hAnsi="Arial" w:cs="Arial"/>
          <w:sz w:val="24"/>
          <w:szCs w:val="24"/>
          <w:lang w:val="en-GB"/>
        </w:rPr>
      </w:pPr>
    </w:p>
    <w:p w14:paraId="6A6CB2F6"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cs="Arial"/>
          <w:sz w:val="24"/>
          <w:szCs w:val="24"/>
          <w:lang w:val="en-GB"/>
        </w:rPr>
        <w:t>In examining the strategies and programs associated with SDG 2, we will assess the extent to which these initiatives address the multifaceted issues of food insecurity, malnutrition, and sustainable agriculture within the United Kingdom. This report will critically evaluate the impact of these strategies on the nation's healthcare sector and its contribution to the overarching goals of sustainable development (UK Government, 2021).</w:t>
      </w:r>
    </w:p>
    <w:p w14:paraId="671A70A4" w14:textId="77777777" w:rsidR="004E58C4" w:rsidRPr="00E117D7" w:rsidRDefault="004E58C4">
      <w:pPr>
        <w:spacing w:line="360" w:lineRule="auto"/>
        <w:jc w:val="both"/>
        <w:rPr>
          <w:rFonts w:ascii="Arial" w:hAnsi="Arial" w:cs="Arial"/>
          <w:b/>
          <w:bCs/>
          <w:sz w:val="24"/>
          <w:szCs w:val="24"/>
          <w:lang w:val="en-GB"/>
        </w:rPr>
      </w:pPr>
    </w:p>
    <w:p w14:paraId="7C602548"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cs="Arial"/>
          <w:b/>
          <w:bCs/>
          <w:sz w:val="24"/>
          <w:szCs w:val="24"/>
          <w:lang w:val="en-GB"/>
        </w:rPr>
        <w:t>SDG 3 (Ensure Healthy Lives and Promote Well-being)</w:t>
      </w:r>
    </w:p>
    <w:p w14:paraId="0F8335F8" w14:textId="77777777" w:rsidR="004E58C4" w:rsidRPr="00E117D7" w:rsidRDefault="004E58C4">
      <w:pPr>
        <w:spacing w:line="360" w:lineRule="auto"/>
        <w:jc w:val="both"/>
        <w:rPr>
          <w:rFonts w:ascii="Arial" w:hAnsi="Arial" w:cs="Arial"/>
          <w:b/>
          <w:bCs/>
          <w:sz w:val="24"/>
          <w:szCs w:val="24"/>
          <w:lang w:val="en-GB"/>
        </w:rPr>
      </w:pPr>
    </w:p>
    <w:p w14:paraId="37BA137B"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 xml:space="preserve">Sustainable Development Goal 3, "Ensure Healthy Lives and Promote Well-being," embodies the universal aspiration for a world in which </w:t>
      </w:r>
      <w:r w:rsidRPr="00E117D7">
        <w:rPr>
          <w:rFonts w:ascii="Arial" w:hAnsi="Arial" w:cs="Arial"/>
          <w:sz w:val="24"/>
          <w:szCs w:val="24"/>
          <w:lang w:val="en-GB"/>
        </w:rPr>
        <w:t>every individual can enjoy a life of good health and well-being (World Health Organization, 2022). It is a goal that resonates deeply with the United Kingdom's commitment to providing quality healthcare and ensuring the well-being of its citizens. At its core, SDG 3 emphasizes access to essential healthcare services, promotion of mental health, and the reduction of health inequalities (</w:t>
      </w:r>
      <w:proofErr w:type="spellStart"/>
      <w:r w:rsidRPr="00E117D7">
        <w:rPr>
          <w:rFonts w:ascii="Arial" w:hAnsi="Arial" w:cs="Arial"/>
          <w:sz w:val="24"/>
          <w:szCs w:val="24"/>
          <w:lang w:val="en-GB"/>
        </w:rPr>
        <w:t>Guégan</w:t>
      </w:r>
      <w:proofErr w:type="spellEnd"/>
      <w:r w:rsidRPr="00E117D7">
        <w:rPr>
          <w:rFonts w:ascii="Arial" w:hAnsi="Arial" w:cs="Arial"/>
          <w:sz w:val="24"/>
          <w:szCs w:val="24"/>
          <w:lang w:val="en-GB"/>
        </w:rPr>
        <w:t xml:space="preserve"> et al., 2018). For the United Kingdom, this goal </w:t>
      </w:r>
      <w:proofErr w:type="gramStart"/>
      <w:r w:rsidRPr="00E117D7">
        <w:rPr>
          <w:rFonts w:ascii="Arial" w:hAnsi="Arial" w:cs="Arial"/>
          <w:sz w:val="24"/>
          <w:szCs w:val="24"/>
          <w:lang w:val="en-GB"/>
        </w:rPr>
        <w:t>is a reflection of</w:t>
      </w:r>
      <w:proofErr w:type="gramEnd"/>
      <w:r w:rsidRPr="00E117D7">
        <w:rPr>
          <w:rFonts w:ascii="Arial" w:hAnsi="Arial" w:cs="Arial"/>
          <w:sz w:val="24"/>
          <w:szCs w:val="24"/>
          <w:lang w:val="en-GB"/>
        </w:rPr>
        <w:t xml:space="preserve"> its dedication to building a society where every</w:t>
      </w:r>
      <w:r w:rsidRPr="00E117D7">
        <w:rPr>
          <w:rFonts w:ascii="Arial" w:hAnsi="Arial" w:cs="Arial"/>
          <w:sz w:val="24"/>
          <w:szCs w:val="24"/>
          <w:lang w:val="en-GB"/>
        </w:rPr>
        <w:t>one has the opportunity to live a healthy, fulfilling life.</w:t>
      </w:r>
    </w:p>
    <w:p w14:paraId="788A2BD9" w14:textId="77777777" w:rsidR="004E58C4" w:rsidRPr="00E117D7" w:rsidRDefault="004E58C4">
      <w:pPr>
        <w:spacing w:line="360" w:lineRule="auto"/>
        <w:jc w:val="both"/>
        <w:rPr>
          <w:rFonts w:ascii="Arial" w:hAnsi="Arial" w:cs="Arial"/>
          <w:sz w:val="24"/>
          <w:szCs w:val="24"/>
          <w:lang w:val="en-GB"/>
        </w:rPr>
      </w:pPr>
    </w:p>
    <w:p w14:paraId="67C11FB0"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cs="Arial"/>
          <w:b/>
          <w:bCs/>
          <w:sz w:val="24"/>
          <w:szCs w:val="24"/>
          <w:lang w:val="en-GB"/>
        </w:rPr>
        <w:t>The National Health Service (NHS) Long Term Plan</w:t>
      </w:r>
    </w:p>
    <w:p w14:paraId="76E98684"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 xml:space="preserve">The United Kingdom's approach to achieving SDG 3 is articulated through "The National Health Service (NHS) Long Term Plan," launched in 2019 </w:t>
      </w:r>
      <w:r w:rsidRPr="00E117D7">
        <w:rPr>
          <w:rFonts w:ascii="Arial" w:hAnsi="Arial" w:cs="Arial"/>
          <w:sz w:val="24"/>
          <w:szCs w:val="24"/>
          <w:lang w:val="en-GB"/>
        </w:rPr>
        <w:t xml:space="preserve">(NHS, 2019). This comprehensive strategy lays out a roadmap to improve patient care, enhance mental health services, and reduce health inequalities. The plan </w:t>
      </w:r>
      <w:r w:rsidRPr="00E117D7">
        <w:rPr>
          <w:rFonts w:ascii="Arial" w:hAnsi="Arial" w:cs="Arial"/>
          <w:sz w:val="24"/>
          <w:szCs w:val="24"/>
          <w:lang w:val="en-GB"/>
        </w:rPr>
        <w:lastRenderedPageBreak/>
        <w:t>places a strong emphasis on prevention, early intervention, and the integration of technology within healthcare. It encompasses the entire healthcare ecosystem, from primary care to specialized treatments, and is central to the nation's commitment to ensuring healthy lives and promoting overall well-being (Department of Health and Social Care, 2019).</w:t>
      </w:r>
    </w:p>
    <w:p w14:paraId="77DA5F26" w14:textId="77777777" w:rsidR="004E58C4" w:rsidRPr="00E117D7" w:rsidRDefault="004E58C4">
      <w:pPr>
        <w:spacing w:line="360" w:lineRule="auto"/>
        <w:jc w:val="both"/>
        <w:rPr>
          <w:rFonts w:ascii="Arial" w:hAnsi="Arial" w:cs="Arial"/>
          <w:sz w:val="24"/>
          <w:szCs w:val="24"/>
          <w:lang w:val="en-GB"/>
        </w:rPr>
      </w:pPr>
    </w:p>
    <w:p w14:paraId="0F8135E9"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cs="Arial"/>
          <w:b/>
          <w:bCs/>
          <w:sz w:val="24"/>
          <w:szCs w:val="24"/>
          <w:lang w:val="en-GB"/>
        </w:rPr>
        <w:t xml:space="preserve">Public Health England (PHE) - Prevention is Better than </w:t>
      </w:r>
      <w:proofErr w:type="gramStart"/>
      <w:r w:rsidRPr="00E117D7">
        <w:rPr>
          <w:rFonts w:ascii="Arial" w:hAnsi="Arial" w:cs="Arial"/>
          <w:b/>
          <w:bCs/>
          <w:sz w:val="24"/>
          <w:szCs w:val="24"/>
          <w:lang w:val="en-GB"/>
        </w:rPr>
        <w:t>Cure</w:t>
      </w:r>
      <w:proofErr w:type="gramEnd"/>
    </w:p>
    <w:p w14:paraId="6AFDDDEB" w14:textId="66E19650"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In conjunction with the NHS Long Term Plan, Public Health England (PHE) has developed the initiative, "Prevention is Better than Cure."(Department of Health and Social Care, 2018). This program is fundamentally aligned with the principles of SDG 3 and focuses on preventing diseases, promoting healthier lifestyles, and reducing health inequalities. By empowering communities, advocating for public health policies, and investing in health promotion and disease prevention, PHE contributes significantly to the U</w:t>
      </w:r>
      <w:r w:rsidRPr="00E117D7">
        <w:rPr>
          <w:rFonts w:ascii="Arial" w:hAnsi="Arial" w:cs="Arial"/>
          <w:sz w:val="24"/>
          <w:szCs w:val="24"/>
          <w:lang w:val="en-GB"/>
        </w:rPr>
        <w:t>K's efforts in ensuring healthy lives and well-being for all its citizens. (Prevention is better than cure Our vision to help you live well for longer, n.d.) Furthermore, multinational companies can make a very big impact to achieve this (</w:t>
      </w:r>
      <w:proofErr w:type="spellStart"/>
      <w:r w:rsidRPr="00E117D7">
        <w:rPr>
          <w:rFonts w:ascii="Arial" w:hAnsi="Arial" w:cs="Arial"/>
          <w:sz w:val="24"/>
          <w:szCs w:val="24"/>
          <w:lang w:val="en-GB"/>
        </w:rPr>
        <w:t>Eang</w:t>
      </w:r>
      <w:proofErr w:type="spellEnd"/>
      <w:r w:rsidRPr="00E117D7">
        <w:rPr>
          <w:rFonts w:ascii="Arial" w:hAnsi="Arial" w:cs="Arial"/>
          <w:sz w:val="24"/>
          <w:szCs w:val="24"/>
          <w:lang w:val="en-GB"/>
        </w:rPr>
        <w:t xml:space="preserve">, </w:t>
      </w:r>
      <w:r w:rsidR="00E117D7" w:rsidRPr="00E117D7">
        <w:rPr>
          <w:rFonts w:ascii="Arial" w:hAnsi="Arial" w:cs="Arial"/>
          <w:sz w:val="24"/>
          <w:szCs w:val="24"/>
          <w:lang w:val="en-GB"/>
        </w:rPr>
        <w:t>Clarke,</w:t>
      </w:r>
      <w:r w:rsidRPr="00E117D7">
        <w:rPr>
          <w:rFonts w:ascii="Arial" w:hAnsi="Arial" w:cs="Arial"/>
          <w:sz w:val="24"/>
          <w:szCs w:val="24"/>
          <w:lang w:val="en-GB"/>
        </w:rPr>
        <w:t xml:space="preserve"> and Ordonez-Ponce, 2022).</w:t>
      </w:r>
    </w:p>
    <w:p w14:paraId="28377C01" w14:textId="77777777" w:rsidR="004E58C4" w:rsidRPr="00E117D7" w:rsidRDefault="004E58C4">
      <w:pPr>
        <w:spacing w:line="360" w:lineRule="auto"/>
        <w:jc w:val="both"/>
        <w:rPr>
          <w:rFonts w:ascii="Arial" w:hAnsi="Arial" w:cs="Arial"/>
          <w:sz w:val="24"/>
          <w:szCs w:val="24"/>
          <w:lang w:val="en-GB"/>
        </w:rPr>
      </w:pPr>
    </w:p>
    <w:p w14:paraId="739D00F6"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In examining the strategies and programs associated with SDG 3, this report will delve into the extent to which these initiatives address the multifaceted challenges of healthcare, mental health, and health inequalities within the United Kingdom. It will critically evaluate the impact of these strategies on the nation's healthcare sector, its role in promoting overall well-being, and their contribution to the overarching goals of sustainable development.</w:t>
      </w:r>
    </w:p>
    <w:p w14:paraId="693ACBF6" w14:textId="77777777" w:rsidR="004E58C4" w:rsidRPr="00E117D7" w:rsidRDefault="004E58C4">
      <w:pPr>
        <w:spacing w:line="360" w:lineRule="auto"/>
        <w:jc w:val="both"/>
        <w:rPr>
          <w:rFonts w:ascii="Arial" w:hAnsi="Arial" w:cs="Arial"/>
          <w:sz w:val="24"/>
          <w:szCs w:val="24"/>
          <w:lang w:val="en-GB"/>
        </w:rPr>
      </w:pPr>
    </w:p>
    <w:p w14:paraId="0FAF7A1B" w14:textId="77777777" w:rsidR="004E58C4" w:rsidRPr="00E117D7" w:rsidRDefault="004E58C4">
      <w:pPr>
        <w:spacing w:line="360" w:lineRule="auto"/>
        <w:rPr>
          <w:rFonts w:ascii="Arial" w:hAnsi="Arial" w:cs="Arial"/>
          <w:b/>
          <w:bCs/>
          <w:sz w:val="24"/>
          <w:szCs w:val="24"/>
          <w:lang w:val="en-GB"/>
        </w:rPr>
      </w:pPr>
    </w:p>
    <w:p w14:paraId="59EC1A33" w14:textId="77777777" w:rsidR="004E58C4" w:rsidRPr="00E117D7" w:rsidRDefault="00D64053">
      <w:pPr>
        <w:spacing w:line="360" w:lineRule="auto"/>
        <w:rPr>
          <w:rFonts w:ascii="Arial" w:hAnsi="Arial" w:cs="Arial"/>
          <w:b/>
          <w:bCs/>
          <w:sz w:val="24"/>
          <w:szCs w:val="24"/>
          <w:lang w:val="en-GB"/>
        </w:rPr>
      </w:pPr>
      <w:r w:rsidRPr="00E117D7">
        <w:rPr>
          <w:rFonts w:ascii="Arial" w:hAnsi="Arial" w:cs="Arial"/>
          <w:b/>
          <w:bCs/>
          <w:sz w:val="24"/>
          <w:szCs w:val="24"/>
          <w:lang w:val="en-GB"/>
        </w:rPr>
        <w:br w:type="page"/>
      </w:r>
    </w:p>
    <w:p w14:paraId="51B5FFCD" w14:textId="77777777" w:rsidR="004E58C4" w:rsidRPr="00E117D7" w:rsidRDefault="00D64053">
      <w:pPr>
        <w:spacing w:line="360" w:lineRule="auto"/>
        <w:jc w:val="center"/>
        <w:rPr>
          <w:rFonts w:ascii="Arial" w:hAnsi="Arial" w:cs="Arial"/>
          <w:b/>
          <w:bCs/>
          <w:sz w:val="24"/>
          <w:szCs w:val="24"/>
          <w:u w:val="single"/>
          <w:lang w:val="en-GB"/>
        </w:rPr>
      </w:pPr>
      <w:r w:rsidRPr="00E117D7">
        <w:rPr>
          <w:rFonts w:ascii="Arial" w:hAnsi="Arial" w:cs="Arial"/>
          <w:b/>
          <w:bCs/>
          <w:sz w:val="24"/>
          <w:szCs w:val="24"/>
          <w:u w:val="single"/>
          <w:lang w:val="en-GB"/>
        </w:rPr>
        <w:lastRenderedPageBreak/>
        <w:t>EVALUATION OF PROGRESS</w:t>
      </w:r>
    </w:p>
    <w:p w14:paraId="4E233D2E" w14:textId="77777777" w:rsidR="004E58C4" w:rsidRPr="00E117D7" w:rsidRDefault="004E58C4">
      <w:pPr>
        <w:spacing w:line="360" w:lineRule="auto"/>
        <w:jc w:val="both"/>
        <w:rPr>
          <w:rFonts w:ascii="Arial" w:hAnsi="Arial" w:cs="Arial"/>
          <w:sz w:val="24"/>
          <w:szCs w:val="24"/>
          <w:lang w:val="en-GB"/>
        </w:rPr>
      </w:pPr>
    </w:p>
    <w:p w14:paraId="38EEE228"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cs="Arial"/>
          <w:b/>
          <w:bCs/>
          <w:sz w:val="24"/>
          <w:szCs w:val="24"/>
          <w:lang w:val="en-GB"/>
        </w:rPr>
        <w:t>SDG 2 (End Hunger, Achieve Food Security, and Improved Nutrition)</w:t>
      </w:r>
    </w:p>
    <w:p w14:paraId="3F66E735" w14:textId="77777777" w:rsidR="004E58C4" w:rsidRPr="00E117D7" w:rsidRDefault="004E58C4">
      <w:pPr>
        <w:spacing w:line="360" w:lineRule="auto"/>
        <w:jc w:val="both"/>
        <w:rPr>
          <w:rFonts w:ascii="Arial" w:hAnsi="Arial" w:cs="Arial"/>
          <w:sz w:val="24"/>
          <w:szCs w:val="24"/>
          <w:lang w:val="en-GB"/>
        </w:rPr>
      </w:pPr>
    </w:p>
    <w:p w14:paraId="69C0AB73"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One of the key aspects in evaluating the progress towards SDG 2 within the United Kingdom lies in the effectiveness of raising awareness about food insecurity and its consequences. (University of Glasgow, n.d.) Public engagement and awareness campaigns have been launched to highlight the urgency of addressing hunger and food security. Progress can be seen in the growing public recognition of these issues. As awareness grows, it lays the foundation for collective action, policy change, and broader social res</w:t>
      </w:r>
      <w:r w:rsidRPr="00E117D7">
        <w:rPr>
          <w:rFonts w:ascii="Arial" w:hAnsi="Arial" w:cs="Arial"/>
          <w:sz w:val="24"/>
          <w:szCs w:val="24"/>
          <w:lang w:val="en-GB"/>
        </w:rPr>
        <w:t>ponsibility (Sophie, n.d.).</w:t>
      </w:r>
    </w:p>
    <w:p w14:paraId="1F7E5AC2" w14:textId="77777777" w:rsidR="004E58C4" w:rsidRPr="00E117D7" w:rsidRDefault="004E58C4">
      <w:pPr>
        <w:spacing w:line="360" w:lineRule="auto"/>
        <w:jc w:val="both"/>
        <w:rPr>
          <w:rFonts w:ascii="Arial" w:hAnsi="Arial" w:cs="Arial"/>
          <w:sz w:val="24"/>
          <w:szCs w:val="24"/>
          <w:lang w:val="en-GB"/>
        </w:rPr>
      </w:pPr>
    </w:p>
    <w:p w14:paraId="4D6C813E"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 xml:space="preserve">The implementation of "The National Food Strategy" has had notable impacts, indicating progress toward the goal. The strategy's emphasis on local food systems and affordability of nutritious food has gained momentum. It has encouraged a shift in public discourse toward more equitable access to quality food. Community-based food projects, inspired by the strategy's principles, have shown promise in improving access to nutritious food, particularly in under-served areas. </w:t>
      </w:r>
      <w:r w:rsidRPr="00E117D7">
        <w:rPr>
          <w:rFonts w:ascii="Arial" w:hAnsi="Arial"/>
          <w:sz w:val="24"/>
          <w:szCs w:val="24"/>
          <w:lang w:val="en-GB"/>
        </w:rPr>
        <w:t>(</w:t>
      </w:r>
      <w:proofErr w:type="spellStart"/>
      <w:r w:rsidRPr="00E117D7">
        <w:rPr>
          <w:rFonts w:ascii="Arial" w:hAnsi="Arial"/>
          <w:sz w:val="24"/>
          <w:szCs w:val="24"/>
          <w:lang w:val="en-GB"/>
        </w:rPr>
        <w:t>Sellberg</w:t>
      </w:r>
      <w:proofErr w:type="spellEnd"/>
      <w:r w:rsidRPr="00E117D7">
        <w:rPr>
          <w:rFonts w:ascii="Arial" w:hAnsi="Arial"/>
          <w:sz w:val="24"/>
          <w:szCs w:val="24"/>
          <w:lang w:val="en-GB"/>
        </w:rPr>
        <w:t xml:space="preserve"> et al., 2020). </w:t>
      </w:r>
      <w:r w:rsidRPr="00E117D7">
        <w:rPr>
          <w:rFonts w:ascii="Arial" w:hAnsi="Arial" w:cs="Arial"/>
          <w:sz w:val="24"/>
          <w:szCs w:val="24"/>
          <w:lang w:val="en-GB"/>
        </w:rPr>
        <w:t>This shift suggests that the strategy's core objectives are being realized to some extent.</w:t>
      </w:r>
    </w:p>
    <w:p w14:paraId="56A70D46" w14:textId="77777777" w:rsidR="004E58C4" w:rsidRPr="00E117D7" w:rsidRDefault="004E58C4">
      <w:pPr>
        <w:spacing w:line="360" w:lineRule="auto"/>
        <w:jc w:val="both"/>
        <w:rPr>
          <w:rFonts w:ascii="Arial" w:hAnsi="Arial" w:cs="Arial"/>
          <w:sz w:val="24"/>
          <w:szCs w:val="24"/>
          <w:lang w:val="en-GB"/>
        </w:rPr>
      </w:pPr>
    </w:p>
    <w:p w14:paraId="61B529E4" w14:textId="6188000F"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 xml:space="preserve">Despite the progress, it is important to recognize the persistent challenges in fully eradicating food insecurity. Vulnerable populations, including low-income families and marginalized communities, continue to experience difficulties accessing nutritious food consistently. Food poverty remains a stark reality for many specially during the Covid-19 pandemic which led to many being unemployed and unable to afford the </w:t>
      </w:r>
      <w:proofErr w:type="gramStart"/>
      <w:r w:rsidRPr="00E117D7">
        <w:rPr>
          <w:rFonts w:ascii="Arial" w:hAnsi="Arial" w:cs="Arial"/>
          <w:sz w:val="24"/>
          <w:szCs w:val="24"/>
          <w:lang w:val="en-GB"/>
        </w:rPr>
        <w:t>basic necessities</w:t>
      </w:r>
      <w:proofErr w:type="gramEnd"/>
      <w:r w:rsidRPr="00E117D7">
        <w:rPr>
          <w:rFonts w:ascii="Arial" w:hAnsi="Arial" w:cs="Arial"/>
          <w:sz w:val="24"/>
          <w:szCs w:val="24"/>
          <w:lang w:val="en-GB"/>
        </w:rPr>
        <w:t xml:space="preserve">, despite the efforts put forth. </w:t>
      </w:r>
      <w:r w:rsidRPr="00E117D7">
        <w:rPr>
          <w:rFonts w:ascii="Arial" w:hAnsi="Arial"/>
          <w:sz w:val="24"/>
          <w:szCs w:val="24"/>
          <w:lang w:val="en-GB"/>
        </w:rPr>
        <w:t xml:space="preserve">(Pollard and Booth, 2019). </w:t>
      </w:r>
      <w:r w:rsidRPr="00E117D7">
        <w:rPr>
          <w:rFonts w:ascii="Arial" w:hAnsi="Arial" w:cs="Arial"/>
          <w:sz w:val="24"/>
          <w:szCs w:val="24"/>
          <w:lang w:val="en-GB"/>
        </w:rPr>
        <w:t xml:space="preserve">While awareness has grown, there remains much work to be done in converting this awareness into tangible solutions that address root causes and reach all segments of </w:t>
      </w:r>
      <w:r w:rsidR="00E117D7" w:rsidRPr="00E117D7">
        <w:rPr>
          <w:rFonts w:ascii="Arial" w:hAnsi="Arial" w:cs="Arial"/>
          <w:sz w:val="24"/>
          <w:szCs w:val="24"/>
          <w:lang w:val="en-GB"/>
        </w:rPr>
        <w:t>society (</w:t>
      </w:r>
      <w:r w:rsidRPr="00E117D7">
        <w:rPr>
          <w:rFonts w:ascii="Arial" w:hAnsi="Arial" w:cs="Arial"/>
          <w:sz w:val="24"/>
          <w:szCs w:val="24"/>
          <w:lang w:val="en-GB"/>
        </w:rPr>
        <w:t xml:space="preserve">Brown, Mills and </w:t>
      </w:r>
      <w:proofErr w:type="spellStart"/>
      <w:r w:rsidRPr="00E117D7">
        <w:rPr>
          <w:rFonts w:ascii="Arial" w:hAnsi="Arial" w:cs="Arial"/>
          <w:sz w:val="24"/>
          <w:szCs w:val="24"/>
          <w:lang w:val="en-GB"/>
        </w:rPr>
        <w:t>Albani</w:t>
      </w:r>
      <w:proofErr w:type="spellEnd"/>
      <w:r w:rsidRPr="00E117D7">
        <w:rPr>
          <w:rFonts w:ascii="Arial" w:hAnsi="Arial" w:cs="Arial"/>
          <w:sz w:val="24"/>
          <w:szCs w:val="24"/>
          <w:lang w:val="en-GB"/>
        </w:rPr>
        <w:t>, 2022).</w:t>
      </w:r>
    </w:p>
    <w:p w14:paraId="7E150C81" w14:textId="77777777" w:rsidR="004E58C4" w:rsidRPr="00E117D7" w:rsidRDefault="004E58C4">
      <w:pPr>
        <w:spacing w:line="360" w:lineRule="auto"/>
        <w:jc w:val="both"/>
        <w:rPr>
          <w:rFonts w:ascii="Arial" w:hAnsi="Arial" w:cs="Arial"/>
          <w:sz w:val="24"/>
          <w:szCs w:val="24"/>
          <w:lang w:val="en-GB"/>
        </w:rPr>
      </w:pPr>
    </w:p>
    <w:p w14:paraId="088DBAA9"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lastRenderedPageBreak/>
        <w:t xml:space="preserve">In evaluating progress towards SDG 2, it is imperative to take a nuanced view that considers not only the gains made but also the underlying challenges that need to be addressed. </w:t>
      </w:r>
      <w:r w:rsidRPr="00E117D7">
        <w:rPr>
          <w:rFonts w:ascii="Arial" w:hAnsi="Arial"/>
          <w:sz w:val="24"/>
          <w:szCs w:val="24"/>
          <w:lang w:val="en-GB"/>
        </w:rPr>
        <w:t xml:space="preserve">We can establish a more thorough knowledge of how the UK is progressing towards eradicating hunger, attaining food security, and increasing nutrition for all by monitoring awareness, the effect of important policies, and the persistent existence of food insecurity.  </w:t>
      </w:r>
      <w:r w:rsidRPr="00E117D7">
        <w:rPr>
          <w:rFonts w:ascii="Arial" w:hAnsi="Arial" w:cs="Arial"/>
          <w:sz w:val="24"/>
          <w:szCs w:val="24"/>
          <w:lang w:val="en-GB"/>
        </w:rPr>
        <w:t>(Gil et al., 2018).</w:t>
      </w:r>
    </w:p>
    <w:p w14:paraId="403E9A5F" w14:textId="77777777" w:rsidR="004E58C4" w:rsidRPr="00E117D7" w:rsidRDefault="004E58C4">
      <w:pPr>
        <w:spacing w:line="360" w:lineRule="auto"/>
        <w:jc w:val="both"/>
        <w:rPr>
          <w:rFonts w:ascii="Arial" w:hAnsi="Arial" w:cs="Arial"/>
          <w:sz w:val="24"/>
          <w:szCs w:val="24"/>
          <w:lang w:val="en-GB"/>
        </w:rPr>
      </w:pPr>
    </w:p>
    <w:p w14:paraId="3CB4F219"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cs="Arial"/>
          <w:b/>
          <w:bCs/>
          <w:sz w:val="24"/>
          <w:szCs w:val="24"/>
          <w:lang w:val="en-GB"/>
        </w:rPr>
        <w:t>SDG 3 (Ensure Healthy Lives and Promote Well-being)</w:t>
      </w:r>
    </w:p>
    <w:p w14:paraId="04B87CC8" w14:textId="77777777" w:rsidR="004E58C4" w:rsidRPr="00E117D7" w:rsidRDefault="004E58C4">
      <w:pPr>
        <w:spacing w:line="360" w:lineRule="auto"/>
        <w:jc w:val="both"/>
        <w:rPr>
          <w:rFonts w:ascii="Arial" w:hAnsi="Arial" w:cs="Arial"/>
          <w:b/>
          <w:bCs/>
          <w:sz w:val="24"/>
          <w:szCs w:val="24"/>
          <w:lang w:val="en-GB"/>
        </w:rPr>
      </w:pPr>
    </w:p>
    <w:p w14:paraId="3497B403" w14:textId="6EDFAFA6"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 xml:space="preserve">In assessing the progress toward SDG 3 within the United Kingdom, one cannot overlook the considerable achievements in improving public health. Life expectancy has steadily increased, reflecting advancements in healthcare and prevention measures. Furthermore, reduced smoking rates demonstrate a significant reduction in a major public health risk factor. These positive trends underscore the nation's commitment to ensuring healthier lives for its citizens, contributing to overall </w:t>
      </w:r>
      <w:r w:rsidR="00E117D7" w:rsidRPr="00E117D7">
        <w:rPr>
          <w:rFonts w:ascii="Arial" w:hAnsi="Arial" w:cs="Arial"/>
          <w:sz w:val="24"/>
          <w:szCs w:val="24"/>
          <w:lang w:val="en-GB"/>
        </w:rPr>
        <w:t>well</w:t>
      </w:r>
      <w:r w:rsidR="00E117D7">
        <w:rPr>
          <w:rFonts w:ascii="Arial" w:hAnsi="Arial" w:cs="Arial"/>
          <w:sz w:val="24"/>
          <w:szCs w:val="24"/>
          <w:lang w:val="en-GB"/>
        </w:rPr>
        <w:t>-</w:t>
      </w:r>
      <w:r w:rsidR="00E117D7" w:rsidRPr="00E117D7">
        <w:rPr>
          <w:rFonts w:ascii="Arial" w:hAnsi="Arial" w:cs="Arial"/>
          <w:sz w:val="24"/>
          <w:szCs w:val="24"/>
          <w:lang w:val="en-GB"/>
        </w:rPr>
        <w:t>being,</w:t>
      </w:r>
      <w:r w:rsidRPr="00E117D7">
        <w:rPr>
          <w:rFonts w:ascii="Arial" w:hAnsi="Arial" w:cs="Arial"/>
          <w:sz w:val="24"/>
          <w:szCs w:val="24"/>
          <w:lang w:val="en-GB"/>
        </w:rPr>
        <w:t xml:space="preserve"> and aligning with the objectives of SDG 3 (Howden-Chapman et al., 2017).</w:t>
      </w:r>
    </w:p>
    <w:p w14:paraId="3AE1A923" w14:textId="77777777" w:rsidR="004E58C4" w:rsidRPr="00E117D7" w:rsidRDefault="004E58C4">
      <w:pPr>
        <w:spacing w:line="360" w:lineRule="auto"/>
        <w:jc w:val="both"/>
        <w:rPr>
          <w:rFonts w:ascii="Arial" w:hAnsi="Arial" w:cs="Arial"/>
          <w:sz w:val="24"/>
          <w:szCs w:val="24"/>
          <w:lang w:val="en-GB"/>
        </w:rPr>
      </w:pPr>
    </w:p>
    <w:p w14:paraId="7E227994"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One notable area of progress has been the enhancement of mental health services. While challenges persist in terms of accessibility, the UK has made strides in addressing mental health concerns, reducing stigma, and providing essential support to those in need. The COVID-19 pandemic served as a test of the resilience and adaptability of the National Health Service (NHS) (</w:t>
      </w:r>
      <w:proofErr w:type="spellStart"/>
      <w:r w:rsidRPr="00E117D7">
        <w:rPr>
          <w:rFonts w:ascii="Arial" w:hAnsi="Arial" w:cs="Arial"/>
          <w:sz w:val="24"/>
          <w:szCs w:val="24"/>
          <w:lang w:val="en-GB"/>
        </w:rPr>
        <w:t>Takian</w:t>
      </w:r>
      <w:proofErr w:type="spellEnd"/>
      <w:r w:rsidRPr="00E117D7">
        <w:rPr>
          <w:rFonts w:ascii="Arial" w:hAnsi="Arial" w:cs="Arial"/>
          <w:sz w:val="24"/>
          <w:szCs w:val="24"/>
          <w:lang w:val="en-GB"/>
        </w:rPr>
        <w:t xml:space="preserve">, </w:t>
      </w:r>
      <w:proofErr w:type="spellStart"/>
      <w:r w:rsidRPr="00E117D7">
        <w:rPr>
          <w:rFonts w:ascii="Arial" w:hAnsi="Arial" w:cs="Arial"/>
          <w:sz w:val="24"/>
          <w:szCs w:val="24"/>
          <w:lang w:val="en-GB"/>
        </w:rPr>
        <w:t>Raoofi</w:t>
      </w:r>
      <w:proofErr w:type="spellEnd"/>
      <w:r w:rsidRPr="00E117D7">
        <w:rPr>
          <w:rFonts w:ascii="Arial" w:hAnsi="Arial" w:cs="Arial"/>
          <w:sz w:val="24"/>
          <w:szCs w:val="24"/>
          <w:lang w:val="en-GB"/>
        </w:rPr>
        <w:t xml:space="preserve"> and </w:t>
      </w:r>
      <w:proofErr w:type="spellStart"/>
      <w:r w:rsidRPr="00E117D7">
        <w:rPr>
          <w:rFonts w:ascii="Arial" w:hAnsi="Arial" w:cs="Arial"/>
          <w:sz w:val="24"/>
          <w:szCs w:val="24"/>
          <w:lang w:val="en-GB"/>
        </w:rPr>
        <w:t>Haghighi</w:t>
      </w:r>
      <w:proofErr w:type="spellEnd"/>
      <w:r w:rsidRPr="00E117D7">
        <w:rPr>
          <w:rFonts w:ascii="Arial" w:hAnsi="Arial" w:cs="Arial"/>
          <w:sz w:val="24"/>
          <w:szCs w:val="24"/>
          <w:lang w:val="en-GB"/>
        </w:rPr>
        <w:t>, 2022). The healthcare sector's response to the pandemic demonstrated its capacity to adapt swiftly, ensuring the well-being of the population. The UK's response to this crisis exemplifies the nation's commitment to the principles of SDG 3 and its aspiration to provide health and well-being for all its citizens.</w:t>
      </w:r>
    </w:p>
    <w:p w14:paraId="0B9F291E" w14:textId="77777777" w:rsidR="004E58C4" w:rsidRPr="00E117D7" w:rsidRDefault="004E58C4">
      <w:pPr>
        <w:spacing w:line="360" w:lineRule="auto"/>
        <w:jc w:val="both"/>
        <w:rPr>
          <w:rFonts w:ascii="Arial" w:hAnsi="Arial" w:cs="Arial"/>
          <w:sz w:val="24"/>
          <w:szCs w:val="24"/>
          <w:lang w:val="en-GB"/>
        </w:rPr>
      </w:pPr>
    </w:p>
    <w:p w14:paraId="73F90B3C"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 xml:space="preserve">However, it is crucial to acknowledge the challenges that persist in the journey to achieve SDG 3. Health inequalities are one such challenge. Disparities in healthcare access and outcomes among different demographics continue to be a concern. Low-income populations, ethnic minorities, and marginalized communities often face barriers in accessing quality healthcare. </w:t>
      </w:r>
      <w:r w:rsidRPr="00E117D7">
        <w:rPr>
          <w:rFonts w:ascii="Arial" w:hAnsi="Arial"/>
          <w:sz w:val="24"/>
          <w:szCs w:val="24"/>
          <w:lang w:val="en-GB"/>
        </w:rPr>
        <w:t>(</w:t>
      </w:r>
      <w:proofErr w:type="gramStart"/>
      <w:r w:rsidRPr="00E117D7">
        <w:rPr>
          <w:rFonts w:ascii="Arial" w:hAnsi="Arial"/>
          <w:sz w:val="24"/>
          <w:szCs w:val="24"/>
          <w:lang w:val="en-GB"/>
        </w:rPr>
        <w:t>Ajayi ,</w:t>
      </w:r>
      <w:proofErr w:type="gramEnd"/>
      <w:r w:rsidRPr="00E117D7">
        <w:rPr>
          <w:rFonts w:ascii="Arial" w:hAnsi="Arial"/>
          <w:sz w:val="24"/>
          <w:szCs w:val="24"/>
          <w:lang w:val="en-GB"/>
        </w:rPr>
        <w:t xml:space="preserve"> 2021).</w:t>
      </w:r>
      <w:r w:rsidRPr="00E117D7">
        <w:rPr>
          <w:rFonts w:ascii="Arial" w:hAnsi="Arial" w:cs="Arial"/>
          <w:sz w:val="24"/>
          <w:szCs w:val="24"/>
          <w:lang w:val="en-GB"/>
        </w:rPr>
        <w:t xml:space="preserve"> </w:t>
      </w:r>
      <w:r w:rsidRPr="00E117D7">
        <w:rPr>
          <w:rFonts w:ascii="Arial" w:hAnsi="Arial" w:cs="Arial"/>
          <w:sz w:val="24"/>
          <w:szCs w:val="24"/>
          <w:lang w:val="en-GB"/>
        </w:rPr>
        <w:lastRenderedPageBreak/>
        <w:t>Addressing health inequalities requires targeted efforts to ensure that healthcare services are accessible and equitable for all, regardless of socio-economic status or background. Additionally, funding challenges within the healthcare sector, such as resource allocation and workforce shortages, remain a considerable hurdle to achieving the objectives of SDG 3 (</w:t>
      </w:r>
      <w:proofErr w:type="spellStart"/>
      <w:r w:rsidRPr="00E117D7">
        <w:rPr>
          <w:rFonts w:ascii="Arial" w:hAnsi="Arial" w:cs="Arial"/>
          <w:sz w:val="24"/>
          <w:szCs w:val="24"/>
          <w:lang w:val="en-GB"/>
        </w:rPr>
        <w:t>Chotchoungchatchai</w:t>
      </w:r>
      <w:proofErr w:type="spellEnd"/>
      <w:r w:rsidRPr="00E117D7">
        <w:rPr>
          <w:rFonts w:ascii="Arial" w:hAnsi="Arial" w:cs="Arial"/>
          <w:sz w:val="24"/>
          <w:szCs w:val="24"/>
          <w:lang w:val="en-GB"/>
        </w:rPr>
        <w:t xml:space="preserve"> et al., 2020).</w:t>
      </w:r>
    </w:p>
    <w:p w14:paraId="3430E480" w14:textId="77777777" w:rsidR="004E58C4" w:rsidRPr="00E117D7" w:rsidRDefault="004E58C4">
      <w:pPr>
        <w:spacing w:line="360" w:lineRule="auto"/>
        <w:jc w:val="both"/>
        <w:rPr>
          <w:rFonts w:ascii="Arial" w:hAnsi="Arial" w:cs="Arial"/>
          <w:sz w:val="24"/>
          <w:szCs w:val="24"/>
          <w:lang w:val="en-GB"/>
        </w:rPr>
      </w:pPr>
    </w:p>
    <w:p w14:paraId="52BAC4F6"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sz w:val="24"/>
          <w:szCs w:val="24"/>
          <w:lang w:val="en-GB"/>
        </w:rPr>
        <w:t xml:space="preserve">As we assess progress towards SDG 3, </w:t>
      </w:r>
      <w:proofErr w:type="gramStart"/>
      <w:r w:rsidRPr="00E117D7">
        <w:rPr>
          <w:rFonts w:ascii="Arial" w:hAnsi="Arial"/>
          <w:sz w:val="24"/>
          <w:szCs w:val="24"/>
          <w:lang w:val="en-GB"/>
        </w:rPr>
        <w:t>it is clear that significant</w:t>
      </w:r>
      <w:proofErr w:type="gramEnd"/>
      <w:r w:rsidRPr="00E117D7">
        <w:rPr>
          <w:rFonts w:ascii="Arial" w:hAnsi="Arial"/>
          <w:sz w:val="24"/>
          <w:szCs w:val="24"/>
          <w:lang w:val="en-GB"/>
        </w:rPr>
        <w:t xml:space="preserve"> strides have been achieved, notably in extending life expectancy, lowering smoking rates, and strengthening mental health care. However, concerns such as health disparities and financial issues highlight the complexities of the healthcare system. A thorough assessment of these factors is required for developing successful policies to maintain healthy lives, enhance well-being, and eliminate inequities among all residents in the UK.</w:t>
      </w:r>
    </w:p>
    <w:p w14:paraId="6222EFA0" w14:textId="77777777" w:rsidR="004E58C4" w:rsidRPr="00E117D7" w:rsidRDefault="00D64053">
      <w:pPr>
        <w:spacing w:line="360" w:lineRule="auto"/>
        <w:rPr>
          <w:rFonts w:ascii="Arial" w:hAnsi="Arial" w:cs="Arial"/>
          <w:b/>
          <w:bCs/>
          <w:sz w:val="24"/>
          <w:szCs w:val="24"/>
          <w:lang w:val="en-GB"/>
        </w:rPr>
      </w:pPr>
      <w:r w:rsidRPr="00E117D7">
        <w:rPr>
          <w:rFonts w:ascii="Arial" w:hAnsi="Arial" w:cs="Arial"/>
          <w:b/>
          <w:bCs/>
          <w:sz w:val="24"/>
          <w:szCs w:val="24"/>
          <w:lang w:val="en-GB"/>
        </w:rPr>
        <w:br w:type="page"/>
      </w:r>
    </w:p>
    <w:p w14:paraId="714FBA4B" w14:textId="77777777" w:rsidR="004E58C4" w:rsidRPr="00E117D7" w:rsidRDefault="00D64053">
      <w:pPr>
        <w:spacing w:line="360" w:lineRule="auto"/>
        <w:jc w:val="center"/>
        <w:rPr>
          <w:rFonts w:ascii="Arial" w:hAnsi="Arial" w:cs="Arial"/>
          <w:b/>
          <w:bCs/>
          <w:sz w:val="24"/>
          <w:szCs w:val="24"/>
          <w:u w:val="single"/>
          <w:lang w:val="en-GB"/>
        </w:rPr>
      </w:pPr>
      <w:r w:rsidRPr="00E117D7">
        <w:rPr>
          <w:rFonts w:ascii="Arial" w:hAnsi="Arial" w:cs="Arial"/>
          <w:b/>
          <w:bCs/>
          <w:sz w:val="24"/>
          <w:szCs w:val="24"/>
          <w:u w:val="single"/>
          <w:lang w:val="en-GB"/>
        </w:rPr>
        <w:lastRenderedPageBreak/>
        <w:t>IMPACT ON HEALTH, WELL-BEING, AND SUSTAINABLE DEVELOPMENT</w:t>
      </w:r>
    </w:p>
    <w:p w14:paraId="1AAAC20A" w14:textId="77777777" w:rsidR="004E58C4" w:rsidRPr="00E117D7" w:rsidRDefault="004E58C4">
      <w:pPr>
        <w:spacing w:line="360" w:lineRule="auto"/>
        <w:jc w:val="both"/>
        <w:rPr>
          <w:rFonts w:ascii="Arial" w:hAnsi="Arial" w:cs="Arial"/>
          <w:b/>
          <w:bCs/>
          <w:sz w:val="24"/>
          <w:szCs w:val="24"/>
          <w:lang w:val="en-GB"/>
        </w:rPr>
      </w:pPr>
    </w:p>
    <w:p w14:paraId="23E2B79A"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cs="Arial"/>
          <w:b/>
          <w:bCs/>
          <w:sz w:val="24"/>
          <w:szCs w:val="24"/>
          <w:lang w:val="en-GB"/>
        </w:rPr>
        <w:t>SDG 2 (End Hunger, Achieve Food Security, and Improved Nutrition)</w:t>
      </w:r>
    </w:p>
    <w:p w14:paraId="4BAA4ABD" w14:textId="77777777" w:rsidR="004E58C4" w:rsidRPr="00E117D7" w:rsidRDefault="004E58C4">
      <w:pPr>
        <w:spacing w:line="360" w:lineRule="auto"/>
        <w:jc w:val="both"/>
        <w:rPr>
          <w:rFonts w:ascii="Arial" w:hAnsi="Arial" w:cs="Arial"/>
          <w:b/>
          <w:bCs/>
          <w:sz w:val="24"/>
          <w:szCs w:val="24"/>
          <w:lang w:val="en-GB"/>
        </w:rPr>
      </w:pPr>
    </w:p>
    <w:p w14:paraId="5F020C8D"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 xml:space="preserve">The impact of addressing SDG 2 has been keenly felt in terms of reduced food insecurity and improved public health. As </w:t>
      </w:r>
      <w:r w:rsidRPr="00E117D7">
        <w:rPr>
          <w:rFonts w:ascii="Arial" w:hAnsi="Arial" w:cs="Arial"/>
          <w:sz w:val="24"/>
          <w:szCs w:val="24"/>
          <w:lang w:val="en-GB"/>
        </w:rPr>
        <w:t>access to nutritious and sufficient food has increased, malnutrition-related health issues have decreased. Nutrient-rich diets play a crucial role in overall health and well-being, and progress in this area positively influences public health. A reduction in malnutrition and related health conditions contributes to the enhancement of the population's well-being and significantly reduces the burden on the healthcare system.</w:t>
      </w:r>
    </w:p>
    <w:p w14:paraId="6CA85988" w14:textId="77777777" w:rsidR="004E58C4" w:rsidRPr="00E117D7" w:rsidRDefault="004E58C4">
      <w:pPr>
        <w:spacing w:line="360" w:lineRule="auto"/>
        <w:jc w:val="both"/>
        <w:rPr>
          <w:rFonts w:ascii="Arial" w:hAnsi="Arial" w:cs="Arial"/>
          <w:sz w:val="24"/>
          <w:szCs w:val="24"/>
          <w:lang w:val="en-GB"/>
        </w:rPr>
      </w:pPr>
    </w:p>
    <w:p w14:paraId="117FAE38"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Promoting sustainable agricultural practices, a key component of SDG 2, goes beyond addressing food security and nutrition. These practices, such as reduced pesticide use and responsible land management, not only ensure a steady food supply but also have a considerable positive impact on the environment. They reduce greenhouse gas emissions, conserve natural resources, and promote biodiversity. As the UK moves toward sustainable agriculture, it actively contributes to environmental sustainability and the br</w:t>
      </w:r>
      <w:r w:rsidRPr="00E117D7">
        <w:rPr>
          <w:rFonts w:ascii="Arial" w:hAnsi="Arial" w:cs="Arial"/>
          <w:sz w:val="24"/>
          <w:szCs w:val="24"/>
          <w:lang w:val="en-GB"/>
        </w:rPr>
        <w:t xml:space="preserve">oader goals of sustainable development, recognizing the intricate interplay between food security, nutrition, and the environment. </w:t>
      </w:r>
      <w:r w:rsidRPr="00E117D7">
        <w:rPr>
          <w:rFonts w:ascii="Arial" w:hAnsi="Arial"/>
          <w:sz w:val="24"/>
          <w:szCs w:val="24"/>
          <w:lang w:val="en-GB"/>
        </w:rPr>
        <w:t>(DEFRA, 2018)</w:t>
      </w:r>
    </w:p>
    <w:p w14:paraId="6A4B5EE7" w14:textId="77777777" w:rsidR="004E58C4" w:rsidRPr="00E117D7" w:rsidRDefault="004E58C4">
      <w:pPr>
        <w:spacing w:line="360" w:lineRule="auto"/>
        <w:jc w:val="both"/>
        <w:rPr>
          <w:rFonts w:ascii="Arial" w:hAnsi="Arial" w:cs="Arial"/>
          <w:sz w:val="24"/>
          <w:szCs w:val="24"/>
          <w:lang w:val="en-GB"/>
        </w:rPr>
      </w:pPr>
    </w:p>
    <w:p w14:paraId="6884A579"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Efforts to reduce food waste as part of SDG 2's implementation have a dual benefit. By minimizing food waste through initiatives such as redistributing surplus food to those in need and improving food labelling, resources are conserved, and surplus food is redirected to vulnerable populations. (</w:t>
      </w:r>
      <w:r w:rsidRPr="00E117D7">
        <w:rPr>
          <w:rFonts w:ascii="Arial" w:hAnsi="Arial"/>
          <w:sz w:val="24"/>
          <w:szCs w:val="24"/>
          <w:lang w:val="en-GB"/>
        </w:rPr>
        <w:t>WFP (n.d.)</w:t>
      </w:r>
      <w:r w:rsidRPr="00E117D7">
        <w:rPr>
          <w:rFonts w:ascii="Arial" w:hAnsi="Arial" w:cs="Arial"/>
          <w:sz w:val="24"/>
          <w:szCs w:val="24"/>
          <w:lang w:val="en-GB"/>
        </w:rPr>
        <w:t xml:space="preserve"> This reduction in waste not only addresses food security but also contributes to societal well-being. Citizens have access to a more equitable food supply, and the environmental impact of food waste is mitigated. This multi-faceted approach illustrates the profound connection between sustainable development and the attainment of SDG 2.</w:t>
      </w:r>
    </w:p>
    <w:p w14:paraId="43CCFFD4" w14:textId="77777777" w:rsidR="004E58C4" w:rsidRPr="00E117D7" w:rsidRDefault="004E58C4">
      <w:pPr>
        <w:spacing w:line="360" w:lineRule="auto"/>
        <w:jc w:val="both"/>
        <w:rPr>
          <w:rFonts w:ascii="Arial" w:hAnsi="Arial" w:cs="Arial"/>
          <w:sz w:val="24"/>
          <w:szCs w:val="24"/>
          <w:lang w:val="en-GB"/>
        </w:rPr>
      </w:pPr>
    </w:p>
    <w:p w14:paraId="2A7F3EEF"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lastRenderedPageBreak/>
        <w:t>The impact of SDG 2 goes far beyond simply ensuring access to food. It extends to public health, the environment, and societal well-being, demonstrating the interconnected nature of the Sustainable Development Goals. By addressing food security and nutrition comprehensively, the United Kingdom not only advances its progress toward SDG 2 but also contributes to the broader vision of sustainable development as outlined by the United Nations.</w:t>
      </w:r>
    </w:p>
    <w:p w14:paraId="6E9E2546" w14:textId="77777777" w:rsidR="004E58C4" w:rsidRPr="00E117D7" w:rsidRDefault="004E58C4">
      <w:pPr>
        <w:spacing w:line="360" w:lineRule="auto"/>
        <w:jc w:val="both"/>
        <w:rPr>
          <w:rFonts w:ascii="Arial" w:hAnsi="Arial" w:cs="Arial"/>
          <w:sz w:val="24"/>
          <w:szCs w:val="24"/>
          <w:lang w:val="en-GB"/>
        </w:rPr>
      </w:pPr>
    </w:p>
    <w:p w14:paraId="4408CF16"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cs="Arial"/>
          <w:b/>
          <w:bCs/>
          <w:sz w:val="24"/>
          <w:szCs w:val="24"/>
          <w:lang w:val="en-GB"/>
        </w:rPr>
        <w:t>SDG 3 (Ensure Healthy Lives and Promote Well-being)</w:t>
      </w:r>
    </w:p>
    <w:p w14:paraId="20FD64F9" w14:textId="77777777" w:rsidR="004E58C4" w:rsidRPr="00E117D7" w:rsidRDefault="004E58C4">
      <w:pPr>
        <w:spacing w:line="360" w:lineRule="auto"/>
        <w:jc w:val="both"/>
        <w:rPr>
          <w:rFonts w:ascii="Arial" w:hAnsi="Arial" w:cs="Arial"/>
          <w:b/>
          <w:bCs/>
          <w:sz w:val="24"/>
          <w:szCs w:val="24"/>
          <w:lang w:val="en-GB"/>
        </w:rPr>
      </w:pPr>
    </w:p>
    <w:p w14:paraId="3417601A"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 xml:space="preserve">The impact of progress toward SDG 3 is vividly seen in the realm of healthcare accessibility and quality. By investing in healthcare infrastructure and expanding access to services, the United Kingdom has made substantial improvements in patient care. These enhancements are not only reflected in increased life expectancy but also in the quality of life for its citizens. Improved healthcare accessibility and quality directly contribute to the overall well-being of the population and create a healthier, more </w:t>
      </w:r>
      <w:r w:rsidRPr="00E117D7">
        <w:rPr>
          <w:rFonts w:ascii="Arial" w:hAnsi="Arial" w:cs="Arial"/>
          <w:sz w:val="24"/>
          <w:szCs w:val="24"/>
          <w:lang w:val="en-GB"/>
        </w:rPr>
        <w:t>resilient society.</w:t>
      </w:r>
    </w:p>
    <w:p w14:paraId="7FCE8F65" w14:textId="77777777" w:rsidR="004E58C4" w:rsidRPr="00E117D7" w:rsidRDefault="004E58C4">
      <w:pPr>
        <w:spacing w:line="360" w:lineRule="auto"/>
        <w:jc w:val="both"/>
        <w:rPr>
          <w:rFonts w:ascii="Arial" w:hAnsi="Arial" w:cs="Arial"/>
          <w:sz w:val="24"/>
          <w:szCs w:val="24"/>
          <w:lang w:val="en-GB"/>
        </w:rPr>
      </w:pPr>
    </w:p>
    <w:p w14:paraId="3260209C" w14:textId="1A86BB03"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 xml:space="preserve">The reduction in smoking rates has far-reaching public health benefits. Fewer individuals taking up smoking and more quitting result in a decreased burden of smoking-related diseases. This, in turn, not only improves individual health but also alleviates the strain on healthcare </w:t>
      </w:r>
      <w:r w:rsidR="00E117D7" w:rsidRPr="00E117D7">
        <w:rPr>
          <w:rFonts w:ascii="Arial" w:hAnsi="Arial" w:cs="Arial"/>
          <w:sz w:val="24"/>
          <w:szCs w:val="24"/>
          <w:lang w:val="en-GB"/>
        </w:rPr>
        <w:t>systems.</w:t>
      </w:r>
      <w:r w:rsidR="00E117D7" w:rsidRPr="00E117D7">
        <w:rPr>
          <w:rFonts w:ascii="Arial" w:hAnsi="Arial"/>
          <w:sz w:val="24"/>
          <w:szCs w:val="24"/>
          <w:lang w:val="en-GB"/>
        </w:rPr>
        <w:t xml:space="preserve"> (</w:t>
      </w:r>
      <w:r w:rsidRPr="00E117D7">
        <w:rPr>
          <w:rFonts w:ascii="Arial" w:hAnsi="Arial"/>
          <w:sz w:val="24"/>
          <w:szCs w:val="24"/>
          <w:lang w:val="en-GB"/>
        </w:rPr>
        <w:t>Jha, 2020)</w:t>
      </w:r>
      <w:r w:rsidRPr="00E117D7">
        <w:rPr>
          <w:rFonts w:ascii="Arial" w:hAnsi="Arial" w:cs="Arial"/>
          <w:sz w:val="24"/>
          <w:szCs w:val="24"/>
          <w:lang w:val="en-GB"/>
        </w:rPr>
        <w:t xml:space="preserve"> The positive impact of reduced smoking rates on public health and well-being cannot be understated. It aligns with the principles of SDG 3, which seek to reduce the risk factors that lead to illness and, ultimately, ensure healthy lives for all citizens.</w:t>
      </w:r>
    </w:p>
    <w:p w14:paraId="2CCFD15F" w14:textId="77777777" w:rsidR="004E58C4" w:rsidRPr="00E117D7" w:rsidRDefault="004E58C4">
      <w:pPr>
        <w:spacing w:line="360" w:lineRule="auto"/>
        <w:jc w:val="both"/>
        <w:rPr>
          <w:rFonts w:ascii="Arial" w:hAnsi="Arial" w:cs="Arial"/>
          <w:sz w:val="24"/>
          <w:szCs w:val="24"/>
          <w:lang w:val="en-GB"/>
        </w:rPr>
      </w:pPr>
    </w:p>
    <w:p w14:paraId="3B9FF50A" w14:textId="3813D76B"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 xml:space="preserve">An </w:t>
      </w:r>
      <w:r w:rsidR="00E117D7" w:rsidRPr="00E117D7">
        <w:rPr>
          <w:rFonts w:ascii="Arial" w:hAnsi="Arial" w:cs="Arial"/>
          <w:sz w:val="24"/>
          <w:szCs w:val="24"/>
          <w:lang w:val="en-GB"/>
        </w:rPr>
        <w:t>often-overlooked</w:t>
      </w:r>
      <w:r w:rsidRPr="00E117D7">
        <w:rPr>
          <w:rFonts w:ascii="Arial" w:hAnsi="Arial" w:cs="Arial"/>
          <w:sz w:val="24"/>
          <w:szCs w:val="24"/>
          <w:lang w:val="en-GB"/>
        </w:rPr>
        <w:t xml:space="preserve"> aspect of SDG 3's impact is the move toward sustainable healthcare practices. Sustainable healthcare, which reduces the environmental impact of healthcare operations, supports broader sustainable development goals. By minimizing waste, adopting eco-friendly practices, and integrating sustainability into healthcare delivery, the UK contributes to environmental conservation. </w:t>
      </w:r>
      <w:r w:rsidRPr="00E117D7">
        <w:rPr>
          <w:rFonts w:ascii="Arial" w:hAnsi="Arial"/>
          <w:sz w:val="24"/>
          <w:szCs w:val="24"/>
          <w:lang w:val="en-GB"/>
        </w:rPr>
        <w:t>(Mehra and Sharma, 2021).</w:t>
      </w:r>
      <w:r w:rsidRPr="00E117D7">
        <w:rPr>
          <w:rFonts w:ascii="Arial" w:hAnsi="Arial" w:cs="Arial"/>
          <w:sz w:val="24"/>
          <w:szCs w:val="24"/>
          <w:lang w:val="en-GB"/>
        </w:rPr>
        <w:t xml:space="preserve"> Sustainable healthcare aligns with the interconnected nature of the Sustainable Development Goals, recognizin</w:t>
      </w:r>
      <w:r w:rsidRPr="00E117D7">
        <w:rPr>
          <w:rFonts w:ascii="Arial" w:hAnsi="Arial" w:cs="Arial"/>
          <w:sz w:val="24"/>
          <w:szCs w:val="24"/>
          <w:lang w:val="en-GB"/>
        </w:rPr>
        <w:t>g that good health and well-being are inseparable from a healthy planet.</w:t>
      </w:r>
    </w:p>
    <w:p w14:paraId="02885E13" w14:textId="77777777" w:rsidR="004E58C4" w:rsidRPr="00E117D7" w:rsidRDefault="004E58C4">
      <w:pPr>
        <w:spacing w:line="360" w:lineRule="auto"/>
        <w:jc w:val="both"/>
        <w:rPr>
          <w:rFonts w:ascii="Arial" w:hAnsi="Arial" w:cs="Arial"/>
          <w:sz w:val="24"/>
          <w:szCs w:val="24"/>
          <w:lang w:val="en-GB"/>
        </w:rPr>
      </w:pPr>
    </w:p>
    <w:p w14:paraId="448D9F6C" w14:textId="77777777" w:rsidR="004E58C4" w:rsidRPr="00E117D7" w:rsidRDefault="00D64053">
      <w:pPr>
        <w:spacing w:line="360" w:lineRule="auto"/>
        <w:jc w:val="both"/>
        <w:rPr>
          <w:rFonts w:ascii="Arial" w:hAnsi="Arial" w:cs="Arial"/>
          <w:sz w:val="24"/>
          <w:szCs w:val="24"/>
          <w:lang w:val="en-GB"/>
        </w:rPr>
      </w:pPr>
      <w:proofErr w:type="gramStart"/>
      <w:r w:rsidRPr="00E117D7">
        <w:rPr>
          <w:rFonts w:ascii="Arial" w:hAnsi="Arial" w:cs="Arial"/>
          <w:sz w:val="24"/>
          <w:szCs w:val="24"/>
          <w:lang w:val="en-GB"/>
        </w:rPr>
        <w:t>In evaluating the impact of progress toward SDG 3, it</w:t>
      </w:r>
      <w:proofErr w:type="gramEnd"/>
      <w:r w:rsidRPr="00E117D7">
        <w:rPr>
          <w:rFonts w:ascii="Arial" w:hAnsi="Arial" w:cs="Arial"/>
          <w:sz w:val="24"/>
          <w:szCs w:val="24"/>
          <w:lang w:val="en-GB"/>
        </w:rPr>
        <w:t xml:space="preserve"> becomes evident that the improvement in healthcare accessibility and quality, the reduction in smoking rates, and the adoption of sustainable healthcare practices significantly impact health, well-being, and sustainable development. These advancements underscore the interconnected nature of the SDGs, illustrating that progress in one area can catalyse positive outcomes in others (Fernandez, 2019). Overall, the impact of SDG 3 is profound and central to the pursuit of a healthier, more sustainable, and equi</w:t>
      </w:r>
      <w:r w:rsidRPr="00E117D7">
        <w:rPr>
          <w:rFonts w:ascii="Arial" w:hAnsi="Arial" w:cs="Arial"/>
          <w:sz w:val="24"/>
          <w:szCs w:val="24"/>
          <w:lang w:val="en-GB"/>
        </w:rPr>
        <w:t>table society in the United Kingdom.</w:t>
      </w:r>
    </w:p>
    <w:p w14:paraId="0829C5A3" w14:textId="77777777" w:rsidR="004E58C4" w:rsidRPr="00E117D7" w:rsidRDefault="004E58C4">
      <w:pPr>
        <w:spacing w:line="360" w:lineRule="auto"/>
        <w:jc w:val="both"/>
        <w:rPr>
          <w:rFonts w:ascii="Arial" w:hAnsi="Arial" w:cs="Arial"/>
          <w:b/>
          <w:bCs/>
          <w:sz w:val="24"/>
          <w:szCs w:val="24"/>
          <w:lang w:val="en-GB"/>
        </w:rPr>
      </w:pPr>
    </w:p>
    <w:p w14:paraId="458FA8B3" w14:textId="77777777" w:rsidR="004E58C4" w:rsidRPr="00E117D7" w:rsidRDefault="004E58C4">
      <w:pPr>
        <w:spacing w:line="360" w:lineRule="auto"/>
        <w:jc w:val="both"/>
        <w:rPr>
          <w:rFonts w:ascii="Arial" w:hAnsi="Arial" w:cs="Arial"/>
          <w:b/>
          <w:bCs/>
          <w:sz w:val="24"/>
          <w:szCs w:val="24"/>
          <w:lang w:val="en-GB"/>
        </w:rPr>
      </w:pPr>
    </w:p>
    <w:p w14:paraId="3347B47E" w14:textId="77777777" w:rsidR="004E58C4" w:rsidRPr="00E117D7" w:rsidRDefault="00D64053">
      <w:pPr>
        <w:spacing w:line="360" w:lineRule="auto"/>
        <w:rPr>
          <w:rFonts w:ascii="Arial" w:hAnsi="Arial" w:cs="Arial"/>
          <w:b/>
          <w:bCs/>
          <w:sz w:val="24"/>
          <w:szCs w:val="24"/>
          <w:lang w:val="en-GB"/>
        </w:rPr>
      </w:pPr>
      <w:r w:rsidRPr="00E117D7">
        <w:rPr>
          <w:rFonts w:ascii="Arial" w:hAnsi="Arial" w:cs="Arial"/>
          <w:b/>
          <w:bCs/>
          <w:sz w:val="24"/>
          <w:szCs w:val="24"/>
          <w:lang w:val="en-GB"/>
        </w:rPr>
        <w:br w:type="page"/>
      </w:r>
    </w:p>
    <w:p w14:paraId="60E41AF7" w14:textId="77777777" w:rsidR="004E58C4" w:rsidRPr="00E117D7" w:rsidRDefault="00D64053">
      <w:pPr>
        <w:spacing w:line="360" w:lineRule="auto"/>
        <w:jc w:val="center"/>
        <w:rPr>
          <w:rFonts w:ascii="Arial" w:hAnsi="Arial" w:cs="Arial"/>
          <w:b/>
          <w:bCs/>
          <w:sz w:val="24"/>
          <w:szCs w:val="24"/>
          <w:u w:val="single"/>
          <w:lang w:val="en-GB"/>
        </w:rPr>
      </w:pPr>
      <w:r w:rsidRPr="00E117D7">
        <w:rPr>
          <w:rFonts w:ascii="Arial" w:hAnsi="Arial" w:cs="Arial"/>
          <w:b/>
          <w:bCs/>
          <w:sz w:val="24"/>
          <w:szCs w:val="24"/>
          <w:u w:val="single"/>
          <w:lang w:val="en-GB"/>
        </w:rPr>
        <w:lastRenderedPageBreak/>
        <w:t>CHALLENGES IN IMPLEMENTATION</w:t>
      </w:r>
    </w:p>
    <w:p w14:paraId="29EB63BA" w14:textId="77777777" w:rsidR="004E58C4" w:rsidRPr="00E117D7" w:rsidRDefault="004E58C4">
      <w:pPr>
        <w:spacing w:line="360" w:lineRule="auto"/>
        <w:jc w:val="both"/>
        <w:rPr>
          <w:rFonts w:ascii="Arial" w:hAnsi="Arial" w:cs="Arial"/>
          <w:b/>
          <w:bCs/>
          <w:sz w:val="24"/>
          <w:szCs w:val="24"/>
          <w:lang w:val="en-GB"/>
        </w:rPr>
      </w:pPr>
    </w:p>
    <w:p w14:paraId="465DA2EC"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cs="Arial"/>
          <w:b/>
          <w:bCs/>
          <w:sz w:val="24"/>
          <w:szCs w:val="24"/>
          <w:lang w:val="en-GB"/>
        </w:rPr>
        <w:t xml:space="preserve">SDG 2 (End Hunger, Achieve Food </w:t>
      </w:r>
      <w:r w:rsidRPr="00E117D7">
        <w:rPr>
          <w:rFonts w:ascii="Arial" w:hAnsi="Arial" w:cs="Arial"/>
          <w:b/>
          <w:bCs/>
          <w:sz w:val="24"/>
          <w:szCs w:val="24"/>
          <w:lang w:val="en-GB"/>
        </w:rPr>
        <w:t>Security, and Improved Nutrition)</w:t>
      </w:r>
    </w:p>
    <w:p w14:paraId="11401519" w14:textId="77777777" w:rsidR="004E58C4" w:rsidRPr="00E117D7" w:rsidRDefault="004E58C4">
      <w:pPr>
        <w:spacing w:line="360" w:lineRule="auto"/>
        <w:jc w:val="both"/>
        <w:rPr>
          <w:rFonts w:ascii="Arial" w:hAnsi="Arial" w:cs="Arial"/>
          <w:b/>
          <w:bCs/>
          <w:sz w:val="24"/>
          <w:szCs w:val="24"/>
          <w:lang w:val="en-GB"/>
        </w:rPr>
      </w:pPr>
    </w:p>
    <w:p w14:paraId="62761FFE"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 xml:space="preserve">The implementation of SDG 2 faces complex structural and social challenges within the United Kingdom (Hub, n.d.). Eradicating food insecurity and ensuring equitable access to nutritious food involves addressing deep-rooted issues like poverty, income inequality, and social disparities. While progress has been made, these structural barriers remain formidable. </w:t>
      </w:r>
      <w:r w:rsidRPr="00E117D7">
        <w:rPr>
          <w:rFonts w:ascii="Arial" w:hAnsi="Arial"/>
          <w:sz w:val="24"/>
          <w:szCs w:val="24"/>
          <w:lang w:val="en-GB"/>
        </w:rPr>
        <w:t>Poverty and economic inequality continue to limit marginalised populations' purchasing power, making it difficult for them to routinely purchase nutritious meals. The interaction of structural issues and food insecurity emphasises the importance of a holistic strategy to addressing the basic causes of hunger and malnutrition.</w:t>
      </w:r>
      <w:r w:rsidRPr="00E117D7">
        <w:rPr>
          <w:rFonts w:ascii="Arial" w:hAnsi="Arial" w:cs="Arial"/>
          <w:sz w:val="24"/>
          <w:szCs w:val="24"/>
          <w:lang w:val="en-GB"/>
        </w:rPr>
        <w:t xml:space="preserve"> (Perry et al., 2021).</w:t>
      </w:r>
    </w:p>
    <w:p w14:paraId="68B65127" w14:textId="77777777" w:rsidR="004E58C4" w:rsidRPr="00E117D7" w:rsidRDefault="004E58C4">
      <w:pPr>
        <w:spacing w:line="360" w:lineRule="auto"/>
        <w:jc w:val="both"/>
        <w:rPr>
          <w:rFonts w:ascii="Arial" w:hAnsi="Arial" w:cs="Arial"/>
          <w:sz w:val="24"/>
          <w:szCs w:val="24"/>
          <w:lang w:val="en-GB"/>
        </w:rPr>
      </w:pPr>
    </w:p>
    <w:p w14:paraId="35542501"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A key challenge in the implementation of SDG 2 lies in balancing the affordability of nutritious food with sustainable farming practices. Sustainable agriculture often requires additional investments in technologies and practices that can increase the cost of food production (Del-Aguila-</w:t>
      </w:r>
      <w:proofErr w:type="spellStart"/>
      <w:r w:rsidRPr="00E117D7">
        <w:rPr>
          <w:rFonts w:ascii="Arial" w:hAnsi="Arial" w:cs="Arial"/>
          <w:sz w:val="24"/>
          <w:szCs w:val="24"/>
          <w:lang w:val="en-GB"/>
        </w:rPr>
        <w:t>Arcentales</w:t>
      </w:r>
      <w:proofErr w:type="spellEnd"/>
      <w:r w:rsidRPr="00E117D7">
        <w:rPr>
          <w:rFonts w:ascii="Arial" w:hAnsi="Arial" w:cs="Arial"/>
          <w:sz w:val="24"/>
          <w:szCs w:val="24"/>
          <w:lang w:val="en-GB"/>
        </w:rPr>
        <w:t xml:space="preserve"> et al., 2022). While these practices are crucial for long-term environmental and food security goals, they may also impact the affordability of food, potentially exacerbating food insecurity, particularly for low-income populations. Striking a balance between sustainability and affordability is a delicate task, one that necessitates creative solutions and careful policy considerations (Morton, </w:t>
      </w:r>
      <w:proofErr w:type="spellStart"/>
      <w:r w:rsidRPr="00E117D7">
        <w:rPr>
          <w:rFonts w:ascii="Arial" w:hAnsi="Arial" w:cs="Arial"/>
          <w:sz w:val="24"/>
          <w:szCs w:val="24"/>
          <w:lang w:val="en-GB"/>
        </w:rPr>
        <w:t>Pencheon</w:t>
      </w:r>
      <w:proofErr w:type="spellEnd"/>
      <w:r w:rsidRPr="00E117D7">
        <w:rPr>
          <w:rFonts w:ascii="Arial" w:hAnsi="Arial" w:cs="Arial"/>
          <w:sz w:val="24"/>
          <w:szCs w:val="24"/>
          <w:lang w:val="en-GB"/>
        </w:rPr>
        <w:t xml:space="preserve"> and Squires, 2017).</w:t>
      </w:r>
    </w:p>
    <w:p w14:paraId="781C570D" w14:textId="77777777" w:rsidR="004E58C4" w:rsidRPr="00E117D7" w:rsidRDefault="004E58C4">
      <w:pPr>
        <w:spacing w:line="360" w:lineRule="auto"/>
        <w:jc w:val="both"/>
        <w:rPr>
          <w:rFonts w:ascii="Arial" w:hAnsi="Arial" w:cs="Arial"/>
          <w:sz w:val="24"/>
          <w:szCs w:val="24"/>
          <w:lang w:val="en-GB"/>
        </w:rPr>
      </w:pPr>
    </w:p>
    <w:p w14:paraId="724476B2" w14:textId="22DD13F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 xml:space="preserve">One of the central challenges in achieving SDG 2 within the UK is the continued inequitable distribution of resources and food access across regions. Food deserts, characterized by limited access to fresh, nutritious food, persist in certain areas, particularly in </w:t>
      </w:r>
      <w:proofErr w:type="gramStart"/>
      <w:r w:rsidRPr="00E117D7">
        <w:rPr>
          <w:rFonts w:ascii="Arial" w:hAnsi="Arial" w:cs="Arial"/>
          <w:sz w:val="24"/>
          <w:szCs w:val="24"/>
          <w:lang w:val="en-GB"/>
        </w:rPr>
        <w:t>economically disadvantaged</w:t>
      </w:r>
      <w:proofErr w:type="gramEnd"/>
      <w:r w:rsidRPr="00E117D7">
        <w:rPr>
          <w:rFonts w:ascii="Arial" w:hAnsi="Arial" w:cs="Arial"/>
          <w:sz w:val="24"/>
          <w:szCs w:val="24"/>
          <w:lang w:val="en-GB"/>
        </w:rPr>
        <w:t xml:space="preserve"> </w:t>
      </w:r>
      <w:r w:rsidR="00EE3467" w:rsidRPr="00E117D7">
        <w:rPr>
          <w:rFonts w:ascii="Arial" w:hAnsi="Arial" w:cs="Arial"/>
          <w:sz w:val="24"/>
          <w:szCs w:val="24"/>
          <w:lang w:val="en-GB"/>
        </w:rPr>
        <w:t>regions. (</w:t>
      </w:r>
      <w:r w:rsidRPr="00E117D7">
        <w:rPr>
          <w:rFonts w:ascii="Arial" w:hAnsi="Arial" w:cs="Arial"/>
          <w:sz w:val="24"/>
          <w:szCs w:val="24"/>
          <w:lang w:val="en-GB"/>
        </w:rPr>
        <w:t>Katila et al., 2019) These disparities in food access result in varying levels of food security and nutrition among different segments of the population. Addressing this challenge demands not only increased accessibility to nutritious food but also efforts to revitalize under-served communities and stimulate local food systems.</w:t>
      </w:r>
    </w:p>
    <w:p w14:paraId="478A76EF" w14:textId="77777777" w:rsidR="004E58C4" w:rsidRPr="00E117D7" w:rsidRDefault="004E58C4">
      <w:pPr>
        <w:spacing w:line="360" w:lineRule="auto"/>
        <w:jc w:val="both"/>
        <w:rPr>
          <w:rFonts w:ascii="Arial" w:hAnsi="Arial" w:cs="Arial"/>
          <w:sz w:val="24"/>
          <w:szCs w:val="24"/>
          <w:lang w:val="en-GB"/>
        </w:rPr>
      </w:pPr>
    </w:p>
    <w:p w14:paraId="26019ACC" w14:textId="77777777" w:rsidR="004E58C4" w:rsidRPr="00E117D7" w:rsidRDefault="00D64053">
      <w:pPr>
        <w:spacing w:line="360" w:lineRule="auto"/>
        <w:jc w:val="both"/>
        <w:rPr>
          <w:rFonts w:ascii="Arial" w:hAnsi="Arial"/>
          <w:sz w:val="24"/>
          <w:szCs w:val="24"/>
          <w:lang w:val="en-GB"/>
        </w:rPr>
      </w:pPr>
      <w:r w:rsidRPr="00E117D7">
        <w:rPr>
          <w:rFonts w:ascii="Arial" w:hAnsi="Arial" w:cs="Arial"/>
          <w:sz w:val="24"/>
          <w:szCs w:val="24"/>
          <w:lang w:val="en-GB"/>
        </w:rPr>
        <w:t xml:space="preserve">In recognizing these challenges, it becomes evident that achieving SDG 2 is not a straightforward task but one that requires a comprehensive approach, considering economic, social, and environmental dimensions. </w:t>
      </w:r>
      <w:r w:rsidRPr="00E117D7">
        <w:rPr>
          <w:rFonts w:ascii="Arial" w:hAnsi="Arial"/>
          <w:sz w:val="24"/>
          <w:szCs w:val="24"/>
          <w:lang w:val="en-GB"/>
        </w:rPr>
        <w:t>To overcome these problems and move closer to the ultimate objective of ending hunger, attaining food security, and enhancing nutrition for all, the complex character of food security and nutrition needs requires coordinated efforts across all sectors of society.</w:t>
      </w:r>
    </w:p>
    <w:p w14:paraId="269C5422" w14:textId="77777777" w:rsidR="004E58C4" w:rsidRPr="00E117D7" w:rsidRDefault="004E58C4">
      <w:pPr>
        <w:spacing w:line="360" w:lineRule="auto"/>
        <w:jc w:val="both"/>
        <w:rPr>
          <w:rFonts w:ascii="Arial" w:hAnsi="Arial"/>
          <w:sz w:val="24"/>
          <w:szCs w:val="24"/>
          <w:lang w:val="en-GB"/>
        </w:rPr>
      </w:pPr>
    </w:p>
    <w:p w14:paraId="565475E4"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cs="Arial"/>
          <w:b/>
          <w:bCs/>
          <w:sz w:val="24"/>
          <w:szCs w:val="24"/>
          <w:lang w:val="en-GB"/>
        </w:rPr>
        <w:t>SDG 3 (Ensure Healthy Lives and Promote Well-being)</w:t>
      </w:r>
    </w:p>
    <w:p w14:paraId="013B87FE" w14:textId="77777777" w:rsidR="004E58C4" w:rsidRPr="00E117D7" w:rsidRDefault="004E58C4">
      <w:pPr>
        <w:spacing w:line="360" w:lineRule="auto"/>
        <w:jc w:val="both"/>
        <w:rPr>
          <w:rFonts w:ascii="Arial" w:hAnsi="Arial" w:cs="Arial"/>
          <w:b/>
          <w:bCs/>
          <w:sz w:val="24"/>
          <w:szCs w:val="24"/>
          <w:lang w:val="en-GB"/>
        </w:rPr>
      </w:pPr>
    </w:p>
    <w:p w14:paraId="63DCDEC8"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 xml:space="preserve">Despite significant progress, challenges in achieving SDG 3 remain, particularly regarding health inequalities and access disparities. Inequalities persist, with marginalized communities, ethnic minorities, and </w:t>
      </w:r>
      <w:proofErr w:type="gramStart"/>
      <w:r w:rsidRPr="00E117D7">
        <w:rPr>
          <w:rFonts w:ascii="Arial" w:hAnsi="Arial" w:cs="Arial"/>
          <w:sz w:val="24"/>
          <w:szCs w:val="24"/>
          <w:lang w:val="en-GB"/>
        </w:rPr>
        <w:t>economically disadvantaged</w:t>
      </w:r>
      <w:proofErr w:type="gramEnd"/>
      <w:r w:rsidRPr="00E117D7">
        <w:rPr>
          <w:rFonts w:ascii="Arial" w:hAnsi="Arial" w:cs="Arial"/>
          <w:sz w:val="24"/>
          <w:szCs w:val="24"/>
          <w:lang w:val="en-GB"/>
        </w:rPr>
        <w:t xml:space="preserve"> populations facing barriers to accessing quality healthcare. This inequality extends to the broader social determinants of health, where factors like income, education, and social status significantly influence health outcomes. Addressing these disparities requires not only focused healthcare initiatives but also broader social and economic reforms.</w:t>
      </w:r>
    </w:p>
    <w:p w14:paraId="2B5B91C0" w14:textId="77777777" w:rsidR="004E58C4" w:rsidRPr="00E117D7" w:rsidRDefault="004E58C4">
      <w:pPr>
        <w:spacing w:line="360" w:lineRule="auto"/>
        <w:jc w:val="both"/>
        <w:rPr>
          <w:rFonts w:ascii="Arial" w:hAnsi="Arial" w:cs="Arial"/>
          <w:sz w:val="24"/>
          <w:szCs w:val="24"/>
          <w:lang w:val="en-GB"/>
        </w:rPr>
      </w:pPr>
    </w:p>
    <w:p w14:paraId="72F331B0"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The implementation of SDG 3 has placed substantial strain on healthcare resources. An ageing population, rising healthcare demands, and the complexities of healthcare service delivery have presented challenges in resource allocation. Ensuring access to healthcare for all citizens while maintaining the quality and affordability of services remains a considerable challenge. The allocation of resources to address emerging health issues, such as mental health, also requires careful consideration.</w:t>
      </w:r>
    </w:p>
    <w:p w14:paraId="76C61CF4" w14:textId="77777777" w:rsidR="004E58C4" w:rsidRPr="00E117D7" w:rsidRDefault="004E58C4">
      <w:pPr>
        <w:spacing w:line="360" w:lineRule="auto"/>
        <w:jc w:val="both"/>
        <w:rPr>
          <w:rFonts w:ascii="Arial" w:hAnsi="Arial" w:cs="Arial"/>
          <w:sz w:val="24"/>
          <w:szCs w:val="24"/>
          <w:lang w:val="en-GB"/>
        </w:rPr>
      </w:pPr>
    </w:p>
    <w:p w14:paraId="2951ABC3"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 xml:space="preserve">The COVID-19 pandemic, while showcasing the resilience of the healthcare sector, has also highlighted challenges in pandemic preparedness. The response to the pandemic revealed the need for robust and adaptable healthcare systems capable of handling unforeseen crises. Strengthening pandemic preparedness and ensuring the healthcare sector's continued resilience are imperative for the achievement of SDG 3's objectives. This </w:t>
      </w:r>
      <w:r w:rsidRPr="00E117D7">
        <w:rPr>
          <w:rFonts w:ascii="Arial" w:hAnsi="Arial" w:cs="Arial"/>
          <w:sz w:val="24"/>
          <w:szCs w:val="24"/>
          <w:lang w:val="en-GB"/>
        </w:rPr>
        <w:lastRenderedPageBreak/>
        <w:t>involves not only bolstering healthcare infrastructure but also investing in healthcare workforce capacity and emergency response mechanisms.</w:t>
      </w:r>
    </w:p>
    <w:p w14:paraId="3D3719B4" w14:textId="77777777" w:rsidR="004E58C4" w:rsidRPr="00E117D7" w:rsidRDefault="004E58C4">
      <w:pPr>
        <w:spacing w:line="360" w:lineRule="auto"/>
        <w:jc w:val="both"/>
        <w:rPr>
          <w:rFonts w:ascii="Arial" w:hAnsi="Arial" w:cs="Arial"/>
          <w:sz w:val="24"/>
          <w:szCs w:val="24"/>
          <w:lang w:val="en-GB"/>
        </w:rPr>
      </w:pPr>
    </w:p>
    <w:p w14:paraId="05E1DB45"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 xml:space="preserve">Promoting preventive health practices and behaviour change presents a challenge within SDG 3's framework. While the healthcare sector plays a pivotal role in disease management and treatment, there is a growing emphasis on preventive measures. Encouraging healthier lifestyles, reducing risk factors, and fostering behaviour change are complex tasks that require coordinated efforts across multiple sectors of society. Addressing this challenge necessitates comprehensive public health campaigns, education, and </w:t>
      </w:r>
      <w:r w:rsidRPr="00E117D7">
        <w:rPr>
          <w:rFonts w:ascii="Arial" w:hAnsi="Arial" w:cs="Arial"/>
          <w:sz w:val="24"/>
          <w:szCs w:val="24"/>
          <w:lang w:val="en-GB"/>
        </w:rPr>
        <w:t>the active involvement of communities (</w:t>
      </w:r>
      <w:proofErr w:type="spellStart"/>
      <w:r w:rsidRPr="00E117D7">
        <w:rPr>
          <w:rFonts w:ascii="Arial" w:hAnsi="Arial" w:cs="Arial"/>
          <w:sz w:val="24"/>
          <w:szCs w:val="24"/>
          <w:lang w:val="en-GB"/>
        </w:rPr>
        <w:t>Macassa</w:t>
      </w:r>
      <w:proofErr w:type="spellEnd"/>
      <w:r w:rsidRPr="00E117D7">
        <w:rPr>
          <w:rFonts w:ascii="Arial" w:hAnsi="Arial" w:cs="Arial"/>
          <w:sz w:val="24"/>
          <w:szCs w:val="24"/>
          <w:lang w:val="en-GB"/>
        </w:rPr>
        <w:t>, 2021).</w:t>
      </w:r>
    </w:p>
    <w:p w14:paraId="44A5A77B" w14:textId="77777777" w:rsidR="004E58C4" w:rsidRPr="00E117D7" w:rsidRDefault="004E58C4">
      <w:pPr>
        <w:spacing w:line="360" w:lineRule="auto"/>
        <w:jc w:val="both"/>
        <w:rPr>
          <w:rFonts w:ascii="Arial" w:hAnsi="Arial" w:cs="Arial"/>
          <w:sz w:val="24"/>
          <w:szCs w:val="24"/>
          <w:lang w:val="en-GB"/>
        </w:rPr>
      </w:pPr>
    </w:p>
    <w:p w14:paraId="2216E31E"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cs="Arial"/>
          <w:sz w:val="24"/>
          <w:szCs w:val="24"/>
          <w:lang w:val="en-GB"/>
        </w:rPr>
        <w:t xml:space="preserve">As we evaluate the progress and impact of SDG 3, it is essential to recognize the challenges that persist. Health inequalities, resource allocation, pandemic preparedness, and behaviour change are critical areas where focused efforts are required to ensure the well-being and health of all citizens. </w:t>
      </w:r>
      <w:r w:rsidRPr="00E117D7">
        <w:rPr>
          <w:rFonts w:ascii="Arial" w:hAnsi="Arial"/>
          <w:sz w:val="24"/>
          <w:szCs w:val="24"/>
          <w:lang w:val="en-GB"/>
        </w:rPr>
        <w:t>Addressing these issues thoroughly is critical to the UK's ongoing commitment to guaranteeing healthy lives and fostering well-being, as outlined in the Sustainable Development Goals.</w:t>
      </w:r>
    </w:p>
    <w:p w14:paraId="6313A9AC" w14:textId="77777777" w:rsidR="004E58C4" w:rsidRPr="00E117D7" w:rsidRDefault="00D64053">
      <w:pPr>
        <w:spacing w:line="360" w:lineRule="auto"/>
        <w:rPr>
          <w:rFonts w:ascii="Arial" w:hAnsi="Arial" w:cs="Arial"/>
          <w:b/>
          <w:bCs/>
          <w:sz w:val="24"/>
          <w:szCs w:val="24"/>
          <w:lang w:val="en-GB"/>
        </w:rPr>
      </w:pPr>
      <w:r w:rsidRPr="00E117D7">
        <w:rPr>
          <w:rFonts w:ascii="Arial" w:hAnsi="Arial" w:cs="Arial"/>
          <w:b/>
          <w:bCs/>
          <w:sz w:val="24"/>
          <w:szCs w:val="24"/>
          <w:lang w:val="en-GB"/>
        </w:rPr>
        <w:br w:type="page"/>
      </w:r>
    </w:p>
    <w:p w14:paraId="04611909" w14:textId="77777777" w:rsidR="004E58C4" w:rsidRPr="00E117D7" w:rsidRDefault="00D64053">
      <w:pPr>
        <w:spacing w:line="360" w:lineRule="auto"/>
        <w:jc w:val="center"/>
        <w:rPr>
          <w:rFonts w:ascii="Arial" w:hAnsi="Arial" w:cs="Arial"/>
          <w:b/>
          <w:bCs/>
          <w:sz w:val="24"/>
          <w:szCs w:val="24"/>
          <w:u w:val="single"/>
          <w:lang w:val="en-GB"/>
        </w:rPr>
      </w:pPr>
      <w:r w:rsidRPr="00E117D7">
        <w:rPr>
          <w:rFonts w:ascii="Arial" w:hAnsi="Arial" w:cs="Arial"/>
          <w:b/>
          <w:bCs/>
          <w:sz w:val="24"/>
          <w:szCs w:val="24"/>
          <w:u w:val="single"/>
          <w:lang w:val="en-GB"/>
        </w:rPr>
        <w:lastRenderedPageBreak/>
        <w:t>RECOMMENDATIONS</w:t>
      </w:r>
    </w:p>
    <w:p w14:paraId="1C0A10D0" w14:textId="77777777" w:rsidR="004E58C4" w:rsidRPr="00E117D7" w:rsidRDefault="004E58C4">
      <w:pPr>
        <w:spacing w:line="360" w:lineRule="auto"/>
        <w:jc w:val="both"/>
        <w:rPr>
          <w:rFonts w:ascii="Arial" w:hAnsi="Arial" w:cs="Arial"/>
          <w:b/>
          <w:bCs/>
          <w:sz w:val="24"/>
          <w:szCs w:val="24"/>
          <w:lang w:val="en-GB"/>
        </w:rPr>
      </w:pPr>
    </w:p>
    <w:p w14:paraId="4933CB49"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cs="Arial"/>
          <w:b/>
          <w:bCs/>
          <w:sz w:val="24"/>
          <w:szCs w:val="24"/>
          <w:lang w:val="en-GB"/>
        </w:rPr>
        <w:t xml:space="preserve">SDG 2 (End Hunger, Achieve Food Security, and Improved </w:t>
      </w:r>
      <w:r w:rsidRPr="00E117D7">
        <w:rPr>
          <w:rFonts w:ascii="Arial" w:hAnsi="Arial" w:cs="Arial"/>
          <w:b/>
          <w:bCs/>
          <w:sz w:val="24"/>
          <w:szCs w:val="24"/>
          <w:lang w:val="en-GB"/>
        </w:rPr>
        <w:t>Nutrition)</w:t>
      </w:r>
    </w:p>
    <w:p w14:paraId="630A938C" w14:textId="77777777" w:rsidR="004E58C4" w:rsidRPr="00E117D7" w:rsidRDefault="004E58C4">
      <w:pPr>
        <w:spacing w:line="360" w:lineRule="auto"/>
        <w:jc w:val="both"/>
        <w:rPr>
          <w:rFonts w:ascii="Arial" w:hAnsi="Arial" w:cs="Arial"/>
          <w:sz w:val="24"/>
          <w:szCs w:val="24"/>
          <w:lang w:val="en-GB"/>
        </w:rPr>
      </w:pPr>
    </w:p>
    <w:p w14:paraId="27CB4E82"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cs="Arial"/>
          <w:b/>
          <w:bCs/>
          <w:sz w:val="24"/>
          <w:szCs w:val="24"/>
          <w:lang w:val="en-GB"/>
        </w:rPr>
        <w:t>Strengthen Collaboration for Comprehensive Solutions:</w:t>
      </w:r>
    </w:p>
    <w:p w14:paraId="3D8F933D" w14:textId="77777777" w:rsidR="004E58C4" w:rsidRPr="00E117D7" w:rsidRDefault="00D64053">
      <w:pPr>
        <w:spacing w:line="360" w:lineRule="auto"/>
        <w:jc w:val="both"/>
        <w:rPr>
          <w:rFonts w:ascii="Arial" w:hAnsi="Arial" w:cs="Arial"/>
          <w:sz w:val="24"/>
          <w:szCs w:val="24"/>
          <w:lang w:val="en-GB"/>
        </w:rPr>
      </w:pPr>
      <w:proofErr w:type="gramStart"/>
      <w:r w:rsidRPr="00E117D7">
        <w:rPr>
          <w:rFonts w:ascii="Arial" w:hAnsi="Arial"/>
          <w:sz w:val="24"/>
          <w:szCs w:val="24"/>
          <w:lang w:val="en-GB"/>
        </w:rPr>
        <w:t>In order to</w:t>
      </w:r>
      <w:proofErr w:type="gramEnd"/>
      <w:r w:rsidRPr="00E117D7">
        <w:rPr>
          <w:rFonts w:ascii="Arial" w:hAnsi="Arial"/>
          <w:sz w:val="24"/>
          <w:szCs w:val="24"/>
          <w:lang w:val="en-GB"/>
        </w:rPr>
        <w:t xml:space="preserve"> achieve SDG 2, the United Kingdom should enhance collaboration across government agencies, non-profit organisations, and private sectors.</w:t>
      </w:r>
      <w:r w:rsidRPr="00E117D7">
        <w:rPr>
          <w:rFonts w:ascii="Arial" w:hAnsi="Arial" w:cs="Arial"/>
          <w:sz w:val="24"/>
          <w:szCs w:val="24"/>
          <w:lang w:val="en-GB"/>
        </w:rPr>
        <w:t xml:space="preserve"> (Van </w:t>
      </w:r>
      <w:proofErr w:type="spellStart"/>
      <w:r w:rsidRPr="00E117D7">
        <w:rPr>
          <w:rFonts w:ascii="Arial" w:hAnsi="Arial" w:cs="Arial"/>
          <w:sz w:val="24"/>
          <w:szCs w:val="24"/>
          <w:lang w:val="en-GB"/>
        </w:rPr>
        <w:t>Tulder</w:t>
      </w:r>
      <w:proofErr w:type="spellEnd"/>
      <w:r w:rsidRPr="00E117D7">
        <w:rPr>
          <w:rFonts w:ascii="Arial" w:hAnsi="Arial" w:cs="Arial"/>
          <w:sz w:val="24"/>
          <w:szCs w:val="24"/>
          <w:lang w:val="en-GB"/>
        </w:rPr>
        <w:t xml:space="preserve"> et al., 2021). A comprehensive approach that combines the expertise, resources, and innovation from all sectors is essential to address the multifaceted issues of food insecurity and malnutrition. Collaboration fosters knowledge exchange, ensures more effective targeting of vulnerable populations, and accelerates the pace of progress.</w:t>
      </w:r>
    </w:p>
    <w:p w14:paraId="481065F9" w14:textId="77777777" w:rsidR="004E58C4" w:rsidRPr="00E117D7" w:rsidRDefault="004E58C4">
      <w:pPr>
        <w:spacing w:line="360" w:lineRule="auto"/>
        <w:jc w:val="both"/>
        <w:rPr>
          <w:rFonts w:ascii="Arial" w:hAnsi="Arial" w:cs="Arial"/>
          <w:sz w:val="24"/>
          <w:szCs w:val="24"/>
          <w:lang w:val="en-GB"/>
        </w:rPr>
      </w:pPr>
    </w:p>
    <w:p w14:paraId="3824E0FE"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cs="Arial"/>
          <w:b/>
          <w:bCs/>
          <w:sz w:val="24"/>
          <w:szCs w:val="24"/>
          <w:lang w:val="en-GB"/>
        </w:rPr>
        <w:t>Encourage Sustainable Farming Practices and Reduce Food Waste:</w:t>
      </w:r>
    </w:p>
    <w:p w14:paraId="79D83A73"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To strike a balance between affordability and sustainability, the UK should encourage and support sustainable farming practices. Initiatives promoting environmentally responsible agriculture should be incentivized, such as organic farming, precision agriculture, and sustainable crop rotation. Additionally, measures to reduce food waste should be expanded, raising awareness among both producers and consumers about the importance of minimizing waste. This not only conserves resources but also ensures more equ</w:t>
      </w:r>
      <w:r w:rsidRPr="00E117D7">
        <w:rPr>
          <w:rFonts w:ascii="Arial" w:hAnsi="Arial" w:cs="Arial"/>
          <w:sz w:val="24"/>
          <w:szCs w:val="24"/>
          <w:lang w:val="en-GB"/>
        </w:rPr>
        <w:t>itable access to food.</w:t>
      </w:r>
    </w:p>
    <w:p w14:paraId="7747473C" w14:textId="77777777" w:rsidR="004E58C4" w:rsidRPr="00E117D7" w:rsidRDefault="004E58C4">
      <w:pPr>
        <w:spacing w:line="360" w:lineRule="auto"/>
        <w:jc w:val="both"/>
        <w:rPr>
          <w:rFonts w:ascii="Arial" w:hAnsi="Arial" w:cs="Arial"/>
          <w:sz w:val="24"/>
          <w:szCs w:val="24"/>
          <w:lang w:val="en-GB"/>
        </w:rPr>
      </w:pPr>
    </w:p>
    <w:p w14:paraId="0484B393"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cs="Arial"/>
          <w:b/>
          <w:bCs/>
          <w:sz w:val="24"/>
          <w:szCs w:val="24"/>
          <w:lang w:val="en-GB"/>
        </w:rPr>
        <w:t>Promote Equitable Access to Nutritious Food:</w:t>
      </w:r>
    </w:p>
    <w:p w14:paraId="71E9BBBB"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To address the challenge of inequitable food access, targeted programs and policies should be developed. The UK should work to revitalize under-served communities, stimulate local food systems, and bridge the gap in food access across regions. These programs can include community gardens, urban farming initiatives, and subsidies for nutritious food in food deserts. By promoting equitable access to nutritious food, the UK can take significant steps toward reducing food insecurity and improving overall nutrit</w:t>
      </w:r>
      <w:r w:rsidRPr="00E117D7">
        <w:rPr>
          <w:rFonts w:ascii="Arial" w:hAnsi="Arial" w:cs="Arial"/>
          <w:sz w:val="24"/>
          <w:szCs w:val="24"/>
          <w:lang w:val="en-GB"/>
        </w:rPr>
        <w:t>ion.</w:t>
      </w:r>
    </w:p>
    <w:p w14:paraId="2ED3F104" w14:textId="77777777" w:rsidR="004E58C4" w:rsidRPr="00E117D7" w:rsidRDefault="004E58C4">
      <w:pPr>
        <w:spacing w:line="360" w:lineRule="auto"/>
        <w:jc w:val="both"/>
        <w:rPr>
          <w:rFonts w:ascii="Arial" w:hAnsi="Arial" w:cs="Arial"/>
          <w:sz w:val="24"/>
          <w:szCs w:val="24"/>
          <w:lang w:val="en-GB"/>
        </w:rPr>
      </w:pPr>
    </w:p>
    <w:p w14:paraId="13D1F881"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cs="Arial"/>
          <w:b/>
          <w:bCs/>
          <w:sz w:val="24"/>
          <w:szCs w:val="24"/>
          <w:lang w:val="en-GB"/>
        </w:rPr>
        <w:t>SDG 3 (Ensure Healthy Lives and Promote Well-being)</w:t>
      </w:r>
    </w:p>
    <w:p w14:paraId="79371C5D" w14:textId="77777777" w:rsidR="004E58C4" w:rsidRPr="00E117D7" w:rsidRDefault="004E58C4">
      <w:pPr>
        <w:spacing w:line="360" w:lineRule="auto"/>
        <w:jc w:val="both"/>
        <w:rPr>
          <w:rFonts w:ascii="Arial" w:hAnsi="Arial" w:cs="Arial"/>
          <w:b/>
          <w:bCs/>
          <w:sz w:val="24"/>
          <w:szCs w:val="24"/>
          <w:lang w:val="en-GB"/>
        </w:rPr>
      </w:pPr>
    </w:p>
    <w:p w14:paraId="52482221"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cs="Arial"/>
          <w:b/>
          <w:bCs/>
          <w:sz w:val="24"/>
          <w:szCs w:val="24"/>
          <w:lang w:val="en-GB"/>
        </w:rPr>
        <w:t>Targeted Health Interventions for Vulnerable Populations:</w:t>
      </w:r>
    </w:p>
    <w:p w14:paraId="3452400E"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lastRenderedPageBreak/>
        <w:t>To address health inequalities and access disparities, it is recommended that the United Kingdom develops targeted health interventions for vulnerable populations. This includes the development of community-based healthcare programs, outreach initiatives, and increased access to preventive and primary care services in under-served areas. By focusing on those most in need, the UK can make significant strides toward achieving the equitable healthcare access outlined in SDG 3.</w:t>
      </w:r>
    </w:p>
    <w:p w14:paraId="52701A6C" w14:textId="77777777" w:rsidR="004E58C4" w:rsidRPr="00E117D7" w:rsidRDefault="004E58C4">
      <w:pPr>
        <w:spacing w:line="360" w:lineRule="auto"/>
        <w:jc w:val="both"/>
        <w:rPr>
          <w:rFonts w:ascii="Arial" w:hAnsi="Arial" w:cs="Arial"/>
          <w:sz w:val="24"/>
          <w:szCs w:val="24"/>
          <w:lang w:val="en-GB"/>
        </w:rPr>
      </w:pPr>
    </w:p>
    <w:p w14:paraId="31B28A0F"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cs="Arial"/>
          <w:b/>
          <w:bCs/>
          <w:sz w:val="24"/>
          <w:szCs w:val="24"/>
          <w:lang w:val="en-GB"/>
        </w:rPr>
        <w:t>Sustainable Resource Allocation and Workforce Development:</w:t>
      </w:r>
    </w:p>
    <w:p w14:paraId="29673FB6"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 xml:space="preserve">Efficient resource allocation within the healthcare sector is critical. The UK should focus on sustainable resource allocation that addresses the specific healthcare demands of </w:t>
      </w:r>
      <w:r w:rsidRPr="00E117D7">
        <w:rPr>
          <w:rFonts w:ascii="Arial" w:hAnsi="Arial" w:cs="Arial"/>
          <w:sz w:val="24"/>
          <w:szCs w:val="24"/>
          <w:lang w:val="en-GB"/>
        </w:rPr>
        <w:t>the population. This includes investments in healthcare workforce development, technology integration, and the expansion of healthcare infrastructure to meet the growing needs of the population. Sustainable resource allocation ensures that the healthcare sector can continue to deliver quality care while adapting to changing healthcare demands.</w:t>
      </w:r>
    </w:p>
    <w:p w14:paraId="7903EFEC" w14:textId="77777777" w:rsidR="004E58C4" w:rsidRPr="00E117D7" w:rsidRDefault="004E58C4">
      <w:pPr>
        <w:spacing w:line="360" w:lineRule="auto"/>
        <w:jc w:val="both"/>
        <w:rPr>
          <w:rFonts w:ascii="Arial" w:hAnsi="Arial" w:cs="Arial"/>
          <w:sz w:val="24"/>
          <w:szCs w:val="24"/>
          <w:lang w:val="en-GB"/>
        </w:rPr>
      </w:pPr>
    </w:p>
    <w:p w14:paraId="27182387"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cs="Arial"/>
          <w:b/>
          <w:bCs/>
          <w:sz w:val="24"/>
          <w:szCs w:val="24"/>
          <w:lang w:val="en-GB"/>
        </w:rPr>
        <w:t>Enhanced Pandemic Preparedness and Resilience:</w:t>
      </w:r>
    </w:p>
    <w:p w14:paraId="6417B002"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The lessons learned from the COVID-19 pandemic underscore the need for enhanced pandemic preparedness and resilience. It is recommended that the UK invests in strengthening healthcare systems, including the development of robust emergency response mechanisms and the stockpiling of essential medical supplies. The emphasis should be on creating a resilient healthcare sector capable of effectively managing and responding to unforeseen crises, safeguarding public health and well-being.</w:t>
      </w:r>
    </w:p>
    <w:p w14:paraId="7BC81EE1" w14:textId="77777777" w:rsidR="004E58C4" w:rsidRPr="00E117D7" w:rsidRDefault="004E58C4">
      <w:pPr>
        <w:spacing w:line="360" w:lineRule="auto"/>
        <w:jc w:val="both"/>
        <w:rPr>
          <w:rFonts w:ascii="Arial" w:hAnsi="Arial" w:cs="Arial"/>
          <w:sz w:val="24"/>
          <w:szCs w:val="24"/>
          <w:lang w:val="en-GB"/>
        </w:rPr>
      </w:pPr>
    </w:p>
    <w:p w14:paraId="47559BFE"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cs="Arial"/>
          <w:b/>
          <w:bCs/>
          <w:sz w:val="24"/>
          <w:szCs w:val="24"/>
          <w:lang w:val="en-GB"/>
        </w:rPr>
        <w:t>Comprehensive Public Health Promotion and Education:</w:t>
      </w:r>
    </w:p>
    <w:p w14:paraId="3A4E3BA9" w14:textId="77777777" w:rsidR="004E58C4" w:rsidRPr="00E117D7" w:rsidRDefault="00D64053">
      <w:pPr>
        <w:spacing w:line="360" w:lineRule="auto"/>
        <w:jc w:val="both"/>
        <w:rPr>
          <w:rFonts w:ascii="Arial" w:hAnsi="Arial" w:cs="Arial"/>
          <w:sz w:val="24"/>
          <w:szCs w:val="24"/>
          <w:lang w:val="en-GB"/>
        </w:rPr>
      </w:pPr>
      <w:r w:rsidRPr="00E117D7">
        <w:rPr>
          <w:rFonts w:ascii="Arial" w:hAnsi="Arial" w:cs="Arial"/>
          <w:sz w:val="24"/>
          <w:szCs w:val="24"/>
          <w:lang w:val="en-GB"/>
        </w:rPr>
        <w:t xml:space="preserve">To foster preventive health practices and behaviour change, comprehensive public health promotion and education campaigns are essential. Furthermore, research on how the </w:t>
      </w:r>
      <w:proofErr w:type="spellStart"/>
      <w:r w:rsidRPr="00E117D7">
        <w:rPr>
          <w:rFonts w:ascii="Arial" w:hAnsi="Arial" w:cs="Arial"/>
          <w:sz w:val="24"/>
          <w:szCs w:val="24"/>
          <w:lang w:val="en-GB"/>
        </w:rPr>
        <w:t>Sdgs</w:t>
      </w:r>
      <w:proofErr w:type="spellEnd"/>
      <w:r w:rsidRPr="00E117D7">
        <w:rPr>
          <w:rFonts w:ascii="Arial" w:hAnsi="Arial" w:cs="Arial"/>
          <w:sz w:val="24"/>
          <w:szCs w:val="24"/>
          <w:lang w:val="en-GB"/>
        </w:rPr>
        <w:t xml:space="preserve"> </w:t>
      </w:r>
      <w:proofErr w:type="gramStart"/>
      <w:r w:rsidRPr="00E117D7">
        <w:rPr>
          <w:rFonts w:ascii="Arial" w:hAnsi="Arial" w:cs="Arial"/>
          <w:sz w:val="24"/>
          <w:szCs w:val="24"/>
          <w:lang w:val="en-GB"/>
        </w:rPr>
        <w:t>are</w:t>
      </w:r>
      <w:proofErr w:type="gramEnd"/>
      <w:r w:rsidRPr="00E117D7">
        <w:rPr>
          <w:rFonts w:ascii="Arial" w:hAnsi="Arial" w:cs="Arial"/>
          <w:sz w:val="24"/>
          <w:szCs w:val="24"/>
          <w:lang w:val="en-GB"/>
        </w:rPr>
        <w:t xml:space="preserve"> being implemented and the challenges that are being faced is essential to achieve the goal fully (</w:t>
      </w:r>
      <w:proofErr w:type="spellStart"/>
      <w:r w:rsidRPr="00E117D7">
        <w:rPr>
          <w:rFonts w:ascii="Arial" w:hAnsi="Arial" w:cs="Arial"/>
          <w:sz w:val="24"/>
          <w:szCs w:val="24"/>
          <w:lang w:val="en-GB"/>
        </w:rPr>
        <w:t>Berrone</w:t>
      </w:r>
      <w:proofErr w:type="spellEnd"/>
      <w:r w:rsidRPr="00E117D7">
        <w:rPr>
          <w:rFonts w:ascii="Arial" w:hAnsi="Arial" w:cs="Arial"/>
          <w:sz w:val="24"/>
          <w:szCs w:val="24"/>
          <w:lang w:val="en-GB"/>
        </w:rPr>
        <w:t xml:space="preserve"> et al., 2023). </w:t>
      </w:r>
      <w:r w:rsidRPr="00E117D7">
        <w:rPr>
          <w:rFonts w:ascii="Arial" w:hAnsi="Arial"/>
          <w:sz w:val="24"/>
          <w:szCs w:val="24"/>
          <w:lang w:val="en-GB"/>
        </w:rPr>
        <w:t>These efforts should target a variety of risk factors, such as smoking, poor nutrition, and physical inactivity.</w:t>
      </w:r>
      <w:r w:rsidRPr="00E117D7">
        <w:rPr>
          <w:rFonts w:ascii="Arial" w:hAnsi="Arial" w:cs="Arial"/>
          <w:sz w:val="24"/>
          <w:szCs w:val="24"/>
          <w:lang w:val="en-GB"/>
        </w:rPr>
        <w:t xml:space="preserve"> By empowering citizens with knowledge and promoting healthier lifestyles, the UK can work toward reducing the burden of preventable </w:t>
      </w:r>
      <w:r w:rsidRPr="00E117D7">
        <w:rPr>
          <w:rFonts w:ascii="Arial" w:hAnsi="Arial" w:cs="Arial"/>
          <w:sz w:val="24"/>
          <w:szCs w:val="24"/>
          <w:lang w:val="en-GB"/>
        </w:rPr>
        <w:lastRenderedPageBreak/>
        <w:t>diseases. Such campaigns should involve schools, workplaces, and communities to ensure a holistic approach to behaviour change (Lynch, 20</w:t>
      </w:r>
      <w:r w:rsidRPr="00E117D7">
        <w:rPr>
          <w:rFonts w:ascii="Arial" w:hAnsi="Arial" w:cs="Arial"/>
          <w:sz w:val="24"/>
          <w:szCs w:val="24"/>
          <w:lang w:val="en-GB"/>
        </w:rPr>
        <w:t>16).</w:t>
      </w:r>
    </w:p>
    <w:p w14:paraId="66539ACF" w14:textId="77777777" w:rsidR="004E58C4" w:rsidRPr="00E117D7" w:rsidRDefault="004E58C4">
      <w:pPr>
        <w:spacing w:line="360" w:lineRule="auto"/>
        <w:jc w:val="both"/>
        <w:rPr>
          <w:rFonts w:ascii="Arial" w:hAnsi="Arial" w:cs="Arial"/>
          <w:sz w:val="24"/>
          <w:szCs w:val="24"/>
          <w:lang w:val="en-GB"/>
        </w:rPr>
      </w:pPr>
    </w:p>
    <w:p w14:paraId="3066DDED" w14:textId="77777777" w:rsidR="004E58C4" w:rsidRPr="00E117D7" w:rsidRDefault="00D64053">
      <w:pPr>
        <w:spacing w:line="360" w:lineRule="auto"/>
        <w:jc w:val="both"/>
        <w:rPr>
          <w:rFonts w:ascii="Arial" w:hAnsi="Arial" w:cs="Arial"/>
          <w:b/>
          <w:bCs/>
          <w:sz w:val="24"/>
          <w:szCs w:val="24"/>
          <w:lang w:val="en-GB"/>
        </w:rPr>
      </w:pPr>
      <w:r w:rsidRPr="00E117D7">
        <w:rPr>
          <w:rFonts w:ascii="Arial" w:hAnsi="Arial" w:cs="Arial"/>
          <w:b/>
          <w:bCs/>
          <w:sz w:val="24"/>
          <w:szCs w:val="24"/>
          <w:lang w:val="en-GB"/>
        </w:rPr>
        <w:br w:type="page"/>
      </w:r>
    </w:p>
    <w:p w14:paraId="755CA80F" w14:textId="77777777" w:rsidR="004E58C4" w:rsidRPr="00E117D7" w:rsidRDefault="00D64053">
      <w:pPr>
        <w:spacing w:line="360" w:lineRule="auto"/>
        <w:jc w:val="center"/>
        <w:rPr>
          <w:rFonts w:ascii="Arial" w:hAnsi="Arial" w:cs="Arial"/>
          <w:b/>
          <w:bCs/>
          <w:sz w:val="24"/>
          <w:szCs w:val="24"/>
          <w:u w:val="single"/>
          <w:lang w:val="en-GB"/>
        </w:rPr>
      </w:pPr>
      <w:r w:rsidRPr="00E117D7">
        <w:rPr>
          <w:rFonts w:ascii="Arial" w:hAnsi="Arial" w:cs="Arial"/>
          <w:b/>
          <w:bCs/>
          <w:sz w:val="24"/>
          <w:szCs w:val="24"/>
          <w:u w:val="single"/>
          <w:lang w:val="en-GB"/>
        </w:rPr>
        <w:lastRenderedPageBreak/>
        <w:t>CONCLUSION</w:t>
      </w:r>
    </w:p>
    <w:p w14:paraId="7EA834EA" w14:textId="77777777" w:rsidR="004E58C4" w:rsidRPr="00E117D7" w:rsidRDefault="004E58C4">
      <w:pPr>
        <w:spacing w:line="360" w:lineRule="auto"/>
        <w:jc w:val="both"/>
        <w:rPr>
          <w:rFonts w:ascii="Arial" w:hAnsi="Arial" w:cs="Arial"/>
          <w:b/>
          <w:bCs/>
          <w:sz w:val="24"/>
          <w:szCs w:val="24"/>
          <w:lang w:val="en-GB"/>
        </w:rPr>
      </w:pPr>
    </w:p>
    <w:p w14:paraId="160303C0" w14:textId="77777777" w:rsidR="004E58C4" w:rsidRPr="00E117D7" w:rsidRDefault="00D64053">
      <w:pPr>
        <w:spacing w:line="360" w:lineRule="auto"/>
        <w:jc w:val="both"/>
        <w:rPr>
          <w:rFonts w:ascii="Arial" w:hAnsi="Arial"/>
          <w:sz w:val="24"/>
          <w:szCs w:val="24"/>
          <w:lang w:val="en-GB"/>
        </w:rPr>
      </w:pPr>
      <w:r w:rsidRPr="00E117D7">
        <w:rPr>
          <w:rFonts w:ascii="Arial" w:hAnsi="Arial"/>
          <w:sz w:val="24"/>
          <w:szCs w:val="24"/>
          <w:lang w:val="en-GB"/>
        </w:rPr>
        <w:t xml:space="preserve">To summarise, attaining SDG 2 is a difficult yet necessary task. The recommendations offered here are intended to address the multiple character of food security and nutrition, emphasising the need of collaboration, the development of sustainable agriculture practises, and the emphasis on equitable food availability. </w:t>
      </w:r>
    </w:p>
    <w:p w14:paraId="0CB39147" w14:textId="77777777" w:rsidR="004E58C4" w:rsidRPr="00E117D7" w:rsidRDefault="004E58C4">
      <w:pPr>
        <w:spacing w:line="360" w:lineRule="auto"/>
        <w:jc w:val="both"/>
        <w:rPr>
          <w:rFonts w:ascii="Arial" w:hAnsi="Arial"/>
          <w:sz w:val="24"/>
          <w:szCs w:val="24"/>
          <w:lang w:val="en-GB"/>
        </w:rPr>
      </w:pPr>
    </w:p>
    <w:p w14:paraId="5FD910EE" w14:textId="77777777" w:rsidR="004E58C4" w:rsidRPr="00E117D7" w:rsidRDefault="00D64053">
      <w:pPr>
        <w:spacing w:line="360" w:lineRule="auto"/>
        <w:jc w:val="both"/>
        <w:rPr>
          <w:rFonts w:ascii="Arial" w:hAnsi="Arial"/>
          <w:b/>
          <w:bCs/>
          <w:sz w:val="24"/>
          <w:szCs w:val="24"/>
          <w:lang w:val="en-GB"/>
        </w:rPr>
      </w:pPr>
      <w:r w:rsidRPr="00E117D7">
        <w:rPr>
          <w:rFonts w:ascii="Arial" w:hAnsi="Arial"/>
          <w:sz w:val="24"/>
          <w:szCs w:val="24"/>
          <w:lang w:val="en-GB"/>
        </w:rPr>
        <w:t xml:space="preserve">The suggestions put forward attempt to thoroughly address the difficulties under SDG 3. The United Kingdom can maintain its commitment to guaranteeing healthy lives and fostering well-being for </w:t>
      </w:r>
      <w:proofErr w:type="gramStart"/>
      <w:r w:rsidRPr="00E117D7">
        <w:rPr>
          <w:rFonts w:ascii="Arial" w:hAnsi="Arial"/>
          <w:sz w:val="24"/>
          <w:szCs w:val="24"/>
          <w:lang w:val="en-GB"/>
        </w:rPr>
        <w:t>all of</w:t>
      </w:r>
      <w:proofErr w:type="gramEnd"/>
      <w:r w:rsidRPr="00E117D7">
        <w:rPr>
          <w:rFonts w:ascii="Arial" w:hAnsi="Arial"/>
          <w:sz w:val="24"/>
          <w:szCs w:val="24"/>
          <w:lang w:val="en-GB"/>
        </w:rPr>
        <w:t xml:space="preserve"> its residents by prioritising vulnerable groups, optimising resource allocation, increasing pandemic preparation, and investing in public health promotion. These proposals are critical to the UK's continuous pursuit of the SDGs and the construction of a healthier, more equal, and sustainable society.</w:t>
      </w:r>
    </w:p>
    <w:p w14:paraId="256B66E2" w14:textId="77777777" w:rsidR="004E58C4" w:rsidRPr="00E117D7" w:rsidRDefault="004E58C4">
      <w:pPr>
        <w:spacing w:line="360" w:lineRule="auto"/>
        <w:jc w:val="both"/>
        <w:rPr>
          <w:rFonts w:ascii="Arial" w:hAnsi="Arial"/>
          <w:b/>
          <w:bCs/>
          <w:sz w:val="24"/>
          <w:szCs w:val="24"/>
          <w:lang w:val="en-GB"/>
        </w:rPr>
      </w:pPr>
    </w:p>
    <w:p w14:paraId="2456BF93" w14:textId="77777777" w:rsidR="004E58C4" w:rsidRPr="00E117D7" w:rsidRDefault="004E58C4">
      <w:pPr>
        <w:spacing w:line="360" w:lineRule="auto"/>
        <w:jc w:val="both"/>
        <w:rPr>
          <w:rFonts w:ascii="Arial" w:hAnsi="Arial"/>
          <w:b/>
          <w:bCs/>
          <w:sz w:val="24"/>
          <w:szCs w:val="24"/>
          <w:lang w:val="en-GB"/>
        </w:rPr>
      </w:pPr>
    </w:p>
    <w:p w14:paraId="2F002B37" w14:textId="77777777" w:rsidR="004E58C4" w:rsidRPr="00E117D7" w:rsidRDefault="00D64053">
      <w:pPr>
        <w:rPr>
          <w:rFonts w:ascii="Arial" w:hAnsi="Arial"/>
          <w:b/>
          <w:bCs/>
          <w:sz w:val="24"/>
          <w:szCs w:val="24"/>
          <w:lang w:val="en-GB"/>
        </w:rPr>
      </w:pPr>
      <w:r w:rsidRPr="00E117D7">
        <w:rPr>
          <w:rFonts w:ascii="Arial" w:hAnsi="Arial"/>
          <w:b/>
          <w:bCs/>
          <w:sz w:val="24"/>
          <w:szCs w:val="24"/>
          <w:lang w:val="en-GB"/>
        </w:rPr>
        <w:br w:type="page"/>
      </w:r>
    </w:p>
    <w:p w14:paraId="3486BB64" w14:textId="77777777" w:rsidR="004E58C4" w:rsidRPr="00E117D7" w:rsidRDefault="00D64053">
      <w:pPr>
        <w:spacing w:line="360" w:lineRule="auto"/>
        <w:jc w:val="both"/>
        <w:rPr>
          <w:rFonts w:ascii="Arial" w:hAnsi="Arial"/>
          <w:b/>
          <w:bCs/>
          <w:sz w:val="24"/>
          <w:szCs w:val="24"/>
          <w:lang w:val="en-GB"/>
        </w:rPr>
      </w:pPr>
      <w:r w:rsidRPr="00E117D7">
        <w:rPr>
          <w:rFonts w:ascii="Arial" w:hAnsi="Arial"/>
          <w:b/>
          <w:bCs/>
          <w:sz w:val="24"/>
          <w:szCs w:val="24"/>
          <w:lang w:val="en-GB"/>
        </w:rPr>
        <w:lastRenderedPageBreak/>
        <w:t>REFERENCES</w:t>
      </w:r>
    </w:p>
    <w:p w14:paraId="2FCFC013" w14:textId="77777777" w:rsidR="004E58C4" w:rsidRPr="00E117D7" w:rsidRDefault="004E58C4">
      <w:pPr>
        <w:spacing w:line="360" w:lineRule="auto"/>
        <w:jc w:val="both"/>
        <w:rPr>
          <w:rFonts w:ascii="Arial" w:hAnsi="Arial"/>
          <w:b/>
          <w:bCs/>
          <w:sz w:val="24"/>
          <w:szCs w:val="24"/>
          <w:lang w:val="en-GB"/>
        </w:rPr>
      </w:pPr>
    </w:p>
    <w:p w14:paraId="50085D16"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United Nations (2022). Goal 2 | Department of Economic and Social Affairs. [online] sdgs.un.org. Available at: </w:t>
      </w:r>
      <w:hyperlink r:id="rId8" w:history="1">
        <w:r w:rsidRPr="00E117D7">
          <w:rPr>
            <w:rStyle w:val="Hyperlink"/>
            <w:rFonts w:ascii="Arial" w:hAnsi="Arial"/>
            <w:lang w:val="en-GB"/>
          </w:rPr>
          <w:t>https://sdgs.un.org/goals/goal2.</w:t>
        </w:r>
      </w:hyperlink>
    </w:p>
    <w:p w14:paraId="6BE7FA11"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sdgdata.gov.uk. (n.d.). Goal 2 - Zero hunger - U.K. Indicators For The Sustainable Development Goals. [online] Available at: </w:t>
      </w:r>
      <w:hyperlink r:id="rId9" w:history="1">
        <w:r w:rsidRPr="00E117D7">
          <w:rPr>
            <w:rStyle w:val="Hyperlink"/>
            <w:rFonts w:ascii="Arial" w:hAnsi="Arial"/>
            <w:lang w:val="en-GB"/>
          </w:rPr>
          <w:t>https://sdgdata.gov.uk/2/.</w:t>
        </w:r>
      </w:hyperlink>
    </w:p>
    <w:p w14:paraId="3D715FA7"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Hub, </w:t>
      </w:r>
      <w:proofErr w:type="spellStart"/>
      <w:r w:rsidRPr="00E117D7">
        <w:rPr>
          <w:rFonts w:ascii="Arial" w:hAnsi="Arial"/>
          <w:lang w:val="en-GB"/>
        </w:rPr>
        <w:t>Iisd.S.K</w:t>
      </w:r>
      <w:proofErr w:type="spellEnd"/>
      <w:r w:rsidRPr="00E117D7">
        <w:rPr>
          <w:rFonts w:ascii="Arial" w:hAnsi="Arial"/>
          <w:lang w:val="en-GB"/>
        </w:rPr>
        <w:t xml:space="preserve">. (n.d.). Guest Article: Four Ways the UK is Behind the Curve on SDG Implementation – and What To Do About It | SDG Knowledge Hub | IISD. [online] Available at: </w:t>
      </w:r>
      <w:hyperlink r:id="rId10" w:history="1">
        <w:r w:rsidRPr="00E117D7">
          <w:rPr>
            <w:rStyle w:val="Hyperlink"/>
            <w:rFonts w:ascii="Arial" w:hAnsi="Arial"/>
            <w:lang w:val="en-GB"/>
          </w:rPr>
          <w:t>https://sdg.iisd.org/commentary/guest-articles/four-ways-the-uk-is-behind-the-curve-on-sdg-implementation-and-what-to-do-about-it/.</w:t>
        </w:r>
      </w:hyperlink>
    </w:p>
    <w:p w14:paraId="416F5EB6"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House of Commons Environmental Audit Committee Sustainable Development Goals in the UK follow up: Hunger, </w:t>
      </w:r>
      <w:proofErr w:type="gramStart"/>
      <w:r w:rsidRPr="00E117D7">
        <w:rPr>
          <w:rFonts w:ascii="Arial" w:hAnsi="Arial"/>
          <w:lang w:val="en-GB"/>
        </w:rPr>
        <w:t>malnutrition</w:t>
      </w:r>
      <w:proofErr w:type="gramEnd"/>
      <w:r w:rsidRPr="00E117D7">
        <w:rPr>
          <w:rFonts w:ascii="Arial" w:hAnsi="Arial"/>
          <w:lang w:val="en-GB"/>
        </w:rPr>
        <w:t xml:space="preserve"> and food insecurity in the UK Thirteenth Report of Session 2017-19 Report, together with formal minutes relating to the report. (2019). Available at: </w:t>
      </w:r>
      <w:hyperlink r:id="rId11" w:history="1">
        <w:r w:rsidRPr="00E117D7">
          <w:rPr>
            <w:rStyle w:val="Hyperlink"/>
            <w:rFonts w:ascii="Arial" w:hAnsi="Arial"/>
            <w:lang w:val="en-GB"/>
          </w:rPr>
          <w:t>https://publications.parliament.uk/pa/cm201719/cmselect/cmenvaud/1491/1491.pdf.</w:t>
        </w:r>
      </w:hyperlink>
    </w:p>
    <w:p w14:paraId="68914C2C"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National Food Strategy (2019). Home - National Food Strategy. [online] National Food Strategy. Available at: https://www.nationalfoodstrategy.org/.</w:t>
      </w:r>
    </w:p>
    <w:p w14:paraId="29242EF2"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UK Government (2021). Implementing the Sustainable Development Goals. [online] GOV.UK. Available at: </w:t>
      </w:r>
      <w:hyperlink r:id="rId12" w:history="1">
        <w:r w:rsidRPr="00E117D7">
          <w:rPr>
            <w:rStyle w:val="Hyperlink"/>
            <w:rFonts w:ascii="Arial" w:hAnsi="Arial"/>
            <w:lang w:val="en-GB"/>
          </w:rPr>
          <w:t>https://www.gov.uk/government/publications/implementing-the-sustainable-development-goals/implementing-the-sustainable-development-goals--2.</w:t>
        </w:r>
      </w:hyperlink>
    </w:p>
    <w:p w14:paraId="6C29B029"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Sophie (n.d.). Voluntary National Review of progress towards the Sustainable Development Goals. [online] Available at: </w:t>
      </w:r>
      <w:hyperlink r:id="rId13" w:history="1">
        <w:r w:rsidRPr="00E117D7">
          <w:rPr>
            <w:rStyle w:val="Hyperlink"/>
            <w:rFonts w:ascii="Arial" w:hAnsi="Arial"/>
            <w:lang w:val="en-GB"/>
          </w:rPr>
          <w:t>https://sustainabledevelopment.un.org/content/documents/23678UK_12072019_UK_Voluntary_National_Review_2019.pdf.</w:t>
        </w:r>
      </w:hyperlink>
    </w:p>
    <w:p w14:paraId="16580238"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www.gla.ac.uk. (n.d.). University of Glasgow - Explore - United Nations’ Sustainable Development Goals - SDG 2: Zero hunger. [online] Available at: https://www.gla.ac.uk/explore/unsdgs/sdg2/ [Accessed 1 Nov. 2023].</w:t>
      </w:r>
    </w:p>
    <w:p w14:paraId="4959D26B"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Gil, J.D.B., </w:t>
      </w:r>
      <w:proofErr w:type="spellStart"/>
      <w:r w:rsidRPr="00E117D7">
        <w:rPr>
          <w:rFonts w:ascii="Arial" w:hAnsi="Arial"/>
          <w:lang w:val="en-GB"/>
        </w:rPr>
        <w:t>Reidsma</w:t>
      </w:r>
      <w:proofErr w:type="spellEnd"/>
      <w:r w:rsidRPr="00E117D7">
        <w:rPr>
          <w:rFonts w:ascii="Arial" w:hAnsi="Arial"/>
          <w:lang w:val="en-GB"/>
        </w:rPr>
        <w:t xml:space="preserve">, P., </w:t>
      </w:r>
      <w:proofErr w:type="spellStart"/>
      <w:r w:rsidRPr="00E117D7">
        <w:rPr>
          <w:rFonts w:ascii="Arial" w:hAnsi="Arial"/>
          <w:lang w:val="en-GB"/>
        </w:rPr>
        <w:t>Giller</w:t>
      </w:r>
      <w:proofErr w:type="spellEnd"/>
      <w:r w:rsidRPr="00E117D7">
        <w:rPr>
          <w:rFonts w:ascii="Arial" w:hAnsi="Arial"/>
          <w:lang w:val="en-GB"/>
        </w:rPr>
        <w:t xml:space="preserve">, K., </w:t>
      </w:r>
      <w:proofErr w:type="spellStart"/>
      <w:r w:rsidRPr="00E117D7">
        <w:rPr>
          <w:rFonts w:ascii="Arial" w:hAnsi="Arial"/>
          <w:lang w:val="en-GB"/>
        </w:rPr>
        <w:t>Todman</w:t>
      </w:r>
      <w:proofErr w:type="spellEnd"/>
      <w:r w:rsidRPr="00E117D7">
        <w:rPr>
          <w:rFonts w:ascii="Arial" w:hAnsi="Arial"/>
          <w:lang w:val="en-GB"/>
        </w:rPr>
        <w:t xml:space="preserve">, L., Whitmore, </w:t>
      </w:r>
      <w:proofErr w:type="gramStart"/>
      <w:r w:rsidRPr="00E117D7">
        <w:rPr>
          <w:rFonts w:ascii="Arial" w:hAnsi="Arial"/>
          <w:lang w:val="en-GB"/>
        </w:rPr>
        <w:t>A.</w:t>
      </w:r>
      <w:proofErr w:type="gramEnd"/>
      <w:r w:rsidRPr="00E117D7">
        <w:rPr>
          <w:rFonts w:ascii="Arial" w:hAnsi="Arial"/>
          <w:lang w:val="en-GB"/>
        </w:rPr>
        <w:t xml:space="preserve"> and van </w:t>
      </w:r>
      <w:proofErr w:type="spellStart"/>
      <w:r w:rsidRPr="00E117D7">
        <w:rPr>
          <w:rFonts w:ascii="Arial" w:hAnsi="Arial"/>
          <w:lang w:val="en-GB"/>
        </w:rPr>
        <w:t>Ittersum</w:t>
      </w:r>
      <w:proofErr w:type="spellEnd"/>
      <w:r w:rsidRPr="00E117D7">
        <w:rPr>
          <w:rFonts w:ascii="Arial" w:hAnsi="Arial"/>
          <w:lang w:val="en-GB"/>
        </w:rPr>
        <w:t xml:space="preserve">, M. (2018). Sustainable development goal 2: Improved targets and indicators for agriculture and food security. </w:t>
      </w:r>
      <w:proofErr w:type="spellStart"/>
      <w:r w:rsidRPr="00E117D7">
        <w:rPr>
          <w:rFonts w:ascii="Arial" w:hAnsi="Arial"/>
          <w:lang w:val="en-GB"/>
        </w:rPr>
        <w:t>Ambio</w:t>
      </w:r>
      <w:proofErr w:type="spellEnd"/>
      <w:r w:rsidRPr="00E117D7">
        <w:rPr>
          <w:rFonts w:ascii="Arial" w:hAnsi="Arial"/>
          <w:lang w:val="en-GB"/>
        </w:rPr>
        <w:t xml:space="preserve">, 48(7), pp.685–698. </w:t>
      </w:r>
      <w:proofErr w:type="spellStart"/>
      <w:proofErr w:type="gramStart"/>
      <w:r w:rsidRPr="00E117D7">
        <w:rPr>
          <w:rFonts w:ascii="Arial" w:hAnsi="Arial"/>
          <w:lang w:val="en-GB"/>
        </w:rPr>
        <w:t>doi:https</w:t>
      </w:r>
      <w:proofErr w:type="spellEnd"/>
      <w:r w:rsidRPr="00E117D7">
        <w:rPr>
          <w:rFonts w:ascii="Arial" w:hAnsi="Arial"/>
          <w:lang w:val="en-GB"/>
        </w:rPr>
        <w:t>://doi.org/10.1007/s13280-018-1101-4</w:t>
      </w:r>
      <w:proofErr w:type="gramEnd"/>
      <w:r w:rsidRPr="00E117D7">
        <w:rPr>
          <w:rFonts w:ascii="Arial" w:hAnsi="Arial"/>
          <w:lang w:val="en-GB"/>
        </w:rPr>
        <w:t>.</w:t>
      </w:r>
    </w:p>
    <w:p w14:paraId="15EA35EE"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Perry, B., </w:t>
      </w:r>
      <w:proofErr w:type="spellStart"/>
      <w:r w:rsidRPr="00E117D7">
        <w:rPr>
          <w:rFonts w:ascii="Arial" w:hAnsi="Arial"/>
          <w:lang w:val="en-GB"/>
        </w:rPr>
        <w:t>Diprose</w:t>
      </w:r>
      <w:proofErr w:type="spellEnd"/>
      <w:r w:rsidRPr="00E117D7">
        <w:rPr>
          <w:rFonts w:ascii="Arial" w:hAnsi="Arial"/>
          <w:lang w:val="en-GB"/>
        </w:rPr>
        <w:t xml:space="preserve">, K., Taylor Buck, N. and Simon, D. (2021). Localizing the SDGs in England: Challenges and Value Propositions for Local Government. Frontiers in Sustainable Cities, 3. </w:t>
      </w:r>
      <w:proofErr w:type="spellStart"/>
      <w:proofErr w:type="gramStart"/>
      <w:r w:rsidRPr="00E117D7">
        <w:rPr>
          <w:rFonts w:ascii="Arial" w:hAnsi="Arial"/>
          <w:lang w:val="en-GB"/>
        </w:rPr>
        <w:t>doi:https</w:t>
      </w:r>
      <w:proofErr w:type="spellEnd"/>
      <w:r w:rsidRPr="00E117D7">
        <w:rPr>
          <w:rFonts w:ascii="Arial" w:hAnsi="Arial"/>
          <w:lang w:val="en-GB"/>
        </w:rPr>
        <w:t>://doi.org/10.3389/frsc.2021.746337</w:t>
      </w:r>
      <w:proofErr w:type="gramEnd"/>
      <w:r w:rsidRPr="00E117D7">
        <w:rPr>
          <w:rFonts w:ascii="Arial" w:hAnsi="Arial"/>
          <w:lang w:val="en-GB"/>
        </w:rPr>
        <w:t>.</w:t>
      </w:r>
    </w:p>
    <w:p w14:paraId="5523A3E2"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Morton, S., </w:t>
      </w:r>
      <w:proofErr w:type="spellStart"/>
      <w:r w:rsidRPr="00E117D7">
        <w:rPr>
          <w:rFonts w:ascii="Arial" w:hAnsi="Arial"/>
          <w:lang w:val="en-GB"/>
        </w:rPr>
        <w:t>Pencheon</w:t>
      </w:r>
      <w:proofErr w:type="spellEnd"/>
      <w:r w:rsidRPr="00E117D7">
        <w:rPr>
          <w:rFonts w:ascii="Arial" w:hAnsi="Arial"/>
          <w:lang w:val="en-GB"/>
        </w:rPr>
        <w:t xml:space="preserve">, D. and Squires, N. (2017). Sustainable Development Goals (SDGs), and their implementation. British Medical Bulletin, [online] 124(1), pp.1–10. </w:t>
      </w:r>
      <w:proofErr w:type="spellStart"/>
      <w:proofErr w:type="gramStart"/>
      <w:r w:rsidRPr="00E117D7">
        <w:rPr>
          <w:rFonts w:ascii="Arial" w:hAnsi="Arial"/>
          <w:lang w:val="en-GB"/>
        </w:rPr>
        <w:t>doi:https</w:t>
      </w:r>
      <w:proofErr w:type="spellEnd"/>
      <w:r w:rsidRPr="00E117D7">
        <w:rPr>
          <w:rFonts w:ascii="Arial" w:hAnsi="Arial"/>
          <w:lang w:val="en-GB"/>
        </w:rPr>
        <w:t>://doi.org/10.1093/</w:t>
      </w:r>
      <w:proofErr w:type="spellStart"/>
      <w:r w:rsidRPr="00E117D7">
        <w:rPr>
          <w:rFonts w:ascii="Arial" w:hAnsi="Arial"/>
          <w:lang w:val="en-GB"/>
        </w:rPr>
        <w:t>bmb</w:t>
      </w:r>
      <w:proofErr w:type="spellEnd"/>
      <w:r w:rsidRPr="00E117D7">
        <w:rPr>
          <w:rFonts w:ascii="Arial" w:hAnsi="Arial"/>
          <w:lang w:val="en-GB"/>
        </w:rPr>
        <w:t>/ldx031</w:t>
      </w:r>
      <w:proofErr w:type="gramEnd"/>
      <w:r w:rsidRPr="00E117D7">
        <w:rPr>
          <w:rFonts w:ascii="Arial" w:hAnsi="Arial"/>
          <w:lang w:val="en-GB"/>
        </w:rPr>
        <w:t>.</w:t>
      </w:r>
    </w:p>
    <w:p w14:paraId="5352E653"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Katila, P., Pierce </w:t>
      </w:r>
      <w:proofErr w:type="spellStart"/>
      <w:r w:rsidRPr="00E117D7">
        <w:rPr>
          <w:rFonts w:ascii="Arial" w:hAnsi="Arial"/>
          <w:lang w:val="en-GB"/>
        </w:rPr>
        <w:t>Colfer</w:t>
      </w:r>
      <w:proofErr w:type="spellEnd"/>
      <w:r w:rsidRPr="00E117D7">
        <w:rPr>
          <w:rFonts w:ascii="Arial" w:hAnsi="Arial"/>
          <w:lang w:val="en-GB"/>
        </w:rPr>
        <w:t xml:space="preserve">, C.J., de Jong, W., Galloway, G., Pacheco, P. and Winkel, G. eds., (2019). Sustainable Development Goals: Their Impacts on Forests and People. Cambridge University Press. </w:t>
      </w:r>
      <w:proofErr w:type="spellStart"/>
      <w:proofErr w:type="gramStart"/>
      <w:r w:rsidRPr="00E117D7">
        <w:rPr>
          <w:rFonts w:ascii="Arial" w:hAnsi="Arial"/>
          <w:lang w:val="en-GB"/>
        </w:rPr>
        <w:t>doi:https</w:t>
      </w:r>
      <w:proofErr w:type="spellEnd"/>
      <w:r w:rsidRPr="00E117D7">
        <w:rPr>
          <w:rFonts w:ascii="Arial" w:hAnsi="Arial"/>
          <w:lang w:val="en-GB"/>
        </w:rPr>
        <w:t>://doi.org/10.1017/9781108765015</w:t>
      </w:r>
      <w:proofErr w:type="gramEnd"/>
      <w:r w:rsidRPr="00E117D7">
        <w:rPr>
          <w:rFonts w:ascii="Arial" w:hAnsi="Arial"/>
          <w:lang w:val="en-GB"/>
        </w:rPr>
        <w:t>.</w:t>
      </w:r>
    </w:p>
    <w:p w14:paraId="2E5AD419"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lastRenderedPageBreak/>
        <w:t>Del-Aguila-</w:t>
      </w:r>
      <w:proofErr w:type="spellStart"/>
      <w:r w:rsidRPr="00E117D7">
        <w:rPr>
          <w:rFonts w:ascii="Arial" w:hAnsi="Arial"/>
          <w:lang w:val="en-GB"/>
        </w:rPr>
        <w:t>Arcentales</w:t>
      </w:r>
      <w:proofErr w:type="spellEnd"/>
      <w:r w:rsidRPr="00E117D7">
        <w:rPr>
          <w:rFonts w:ascii="Arial" w:hAnsi="Arial"/>
          <w:lang w:val="en-GB"/>
        </w:rPr>
        <w:t>, S., Alvarez-</w:t>
      </w:r>
      <w:proofErr w:type="spellStart"/>
      <w:r w:rsidRPr="00E117D7">
        <w:rPr>
          <w:rFonts w:ascii="Arial" w:hAnsi="Arial"/>
          <w:lang w:val="en-GB"/>
        </w:rPr>
        <w:t>Risco</w:t>
      </w:r>
      <w:proofErr w:type="spellEnd"/>
      <w:r w:rsidRPr="00E117D7">
        <w:rPr>
          <w:rFonts w:ascii="Arial" w:hAnsi="Arial"/>
          <w:lang w:val="en-GB"/>
        </w:rPr>
        <w:t>, A., Jaramillo-</w:t>
      </w:r>
      <w:proofErr w:type="spellStart"/>
      <w:r w:rsidRPr="00E117D7">
        <w:rPr>
          <w:rFonts w:ascii="Arial" w:hAnsi="Arial"/>
          <w:lang w:val="en-GB"/>
        </w:rPr>
        <w:t>Arévalo</w:t>
      </w:r>
      <w:proofErr w:type="spellEnd"/>
      <w:r w:rsidRPr="00E117D7">
        <w:rPr>
          <w:rFonts w:ascii="Arial" w:hAnsi="Arial"/>
          <w:lang w:val="en-GB"/>
        </w:rPr>
        <w:t>, M., De-la-Cruz-Diaz, M. and Anderson-</w:t>
      </w:r>
      <w:proofErr w:type="spellStart"/>
      <w:r w:rsidRPr="00E117D7">
        <w:rPr>
          <w:rFonts w:ascii="Arial" w:hAnsi="Arial"/>
          <w:lang w:val="en-GB"/>
        </w:rPr>
        <w:t>Seminario</w:t>
      </w:r>
      <w:proofErr w:type="spellEnd"/>
      <w:r w:rsidRPr="00E117D7">
        <w:rPr>
          <w:rFonts w:ascii="Arial" w:hAnsi="Arial"/>
          <w:lang w:val="en-GB"/>
        </w:rPr>
        <w:t xml:space="preserve">, M. de las M. (2022). Influence of Social, Environmental and Economic Sustainable Development Goals (SDGs) over Continuation of Entrepreneurship and Competitiveness. Journal of Open Innovation: Technology, Market, and Complexity, 8(2), p.73. </w:t>
      </w:r>
      <w:proofErr w:type="spellStart"/>
      <w:proofErr w:type="gramStart"/>
      <w:r w:rsidRPr="00E117D7">
        <w:rPr>
          <w:rFonts w:ascii="Arial" w:hAnsi="Arial"/>
          <w:lang w:val="en-GB"/>
        </w:rPr>
        <w:t>doi:https</w:t>
      </w:r>
      <w:proofErr w:type="spellEnd"/>
      <w:r w:rsidRPr="00E117D7">
        <w:rPr>
          <w:rFonts w:ascii="Arial" w:hAnsi="Arial"/>
          <w:lang w:val="en-GB"/>
        </w:rPr>
        <w:t>://doi.org/10.3390/joitmc8020073</w:t>
      </w:r>
      <w:proofErr w:type="gramEnd"/>
      <w:r w:rsidRPr="00E117D7">
        <w:rPr>
          <w:rFonts w:ascii="Arial" w:hAnsi="Arial"/>
          <w:lang w:val="en-GB"/>
        </w:rPr>
        <w:t>.</w:t>
      </w:r>
    </w:p>
    <w:p w14:paraId="6D8783AB"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Van </w:t>
      </w:r>
      <w:proofErr w:type="spellStart"/>
      <w:r w:rsidRPr="00E117D7">
        <w:rPr>
          <w:rFonts w:ascii="Arial" w:hAnsi="Arial"/>
          <w:lang w:val="en-GB"/>
        </w:rPr>
        <w:t>Tulder</w:t>
      </w:r>
      <w:proofErr w:type="spellEnd"/>
      <w:r w:rsidRPr="00E117D7">
        <w:rPr>
          <w:rFonts w:ascii="Arial" w:hAnsi="Arial"/>
          <w:lang w:val="en-GB"/>
        </w:rPr>
        <w:t xml:space="preserve">, R., Rodrigues, S.B., Mirza, H. and Sexsmith, K. (2021). The UN’s Sustainable Development Goals: Can multinational enterprises lead the Decade of Action? Journal of International Business Policy, 4(1). </w:t>
      </w:r>
      <w:proofErr w:type="spellStart"/>
      <w:proofErr w:type="gramStart"/>
      <w:r w:rsidRPr="00E117D7">
        <w:rPr>
          <w:rFonts w:ascii="Arial" w:hAnsi="Arial"/>
          <w:lang w:val="en-GB"/>
        </w:rPr>
        <w:t>doi:https</w:t>
      </w:r>
      <w:proofErr w:type="spellEnd"/>
      <w:r w:rsidRPr="00E117D7">
        <w:rPr>
          <w:rFonts w:ascii="Arial" w:hAnsi="Arial"/>
          <w:lang w:val="en-GB"/>
        </w:rPr>
        <w:t>://doi.org/10.1057/s42214-020-00095-1</w:t>
      </w:r>
      <w:proofErr w:type="gramEnd"/>
      <w:r w:rsidRPr="00E117D7">
        <w:rPr>
          <w:rFonts w:ascii="Arial" w:hAnsi="Arial"/>
          <w:lang w:val="en-GB"/>
        </w:rPr>
        <w:t>.</w:t>
      </w:r>
    </w:p>
    <w:p w14:paraId="02D326FE"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Brown, H., Mills, S. and </w:t>
      </w:r>
      <w:proofErr w:type="spellStart"/>
      <w:r w:rsidRPr="00E117D7">
        <w:rPr>
          <w:rFonts w:ascii="Arial" w:hAnsi="Arial"/>
          <w:lang w:val="en-GB"/>
        </w:rPr>
        <w:t>Albani</w:t>
      </w:r>
      <w:proofErr w:type="spellEnd"/>
      <w:r w:rsidRPr="00E117D7">
        <w:rPr>
          <w:rFonts w:ascii="Arial" w:hAnsi="Arial"/>
          <w:lang w:val="en-GB"/>
        </w:rPr>
        <w:t xml:space="preserve">, V. (2022). Socioeconomic risks of food insecurity during the Covid-19 pandemic in the UK: findings from the Understanding Society Covid Survey. BMC Public Health, 22(1). </w:t>
      </w:r>
      <w:proofErr w:type="spellStart"/>
      <w:proofErr w:type="gramStart"/>
      <w:r w:rsidRPr="00E117D7">
        <w:rPr>
          <w:rFonts w:ascii="Arial" w:hAnsi="Arial"/>
          <w:lang w:val="en-GB"/>
        </w:rPr>
        <w:t>doi:https</w:t>
      </w:r>
      <w:proofErr w:type="spellEnd"/>
      <w:r w:rsidRPr="00E117D7">
        <w:rPr>
          <w:rFonts w:ascii="Arial" w:hAnsi="Arial"/>
          <w:lang w:val="en-GB"/>
        </w:rPr>
        <w:t>://doi.org/10.1186/s12889-022-12964-w</w:t>
      </w:r>
      <w:proofErr w:type="gramEnd"/>
      <w:r w:rsidRPr="00E117D7">
        <w:rPr>
          <w:rFonts w:ascii="Arial" w:hAnsi="Arial"/>
          <w:lang w:val="en-GB"/>
        </w:rPr>
        <w:t>.</w:t>
      </w:r>
    </w:p>
    <w:p w14:paraId="798B9917"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Lopes dos Santos, K. and Jacobi, P.R. (2022). Alignments between e‐waste legislation and the Sustainable Development Goals: the United Kingdom, Brazil, and Ghana case studies. Geo: Geography and Environment, 9(1). </w:t>
      </w:r>
      <w:proofErr w:type="spellStart"/>
      <w:proofErr w:type="gramStart"/>
      <w:r w:rsidRPr="00E117D7">
        <w:rPr>
          <w:rFonts w:ascii="Arial" w:hAnsi="Arial"/>
          <w:lang w:val="en-GB"/>
        </w:rPr>
        <w:t>doi:https</w:t>
      </w:r>
      <w:proofErr w:type="spellEnd"/>
      <w:r w:rsidRPr="00E117D7">
        <w:rPr>
          <w:rFonts w:ascii="Arial" w:hAnsi="Arial"/>
          <w:lang w:val="en-GB"/>
        </w:rPr>
        <w:t>://doi.org/10.1002/geo2.104</w:t>
      </w:r>
      <w:proofErr w:type="gramEnd"/>
      <w:r w:rsidRPr="00E117D7">
        <w:rPr>
          <w:rFonts w:ascii="Arial" w:hAnsi="Arial"/>
          <w:lang w:val="en-GB"/>
        </w:rPr>
        <w:t>.</w:t>
      </w:r>
    </w:p>
    <w:p w14:paraId="7B7CF7BF"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WRAP. (n.d.). Initiatives. [online] Available at: </w:t>
      </w:r>
      <w:hyperlink r:id="rId14" w:history="1">
        <w:r w:rsidRPr="00E117D7">
          <w:rPr>
            <w:rStyle w:val="Hyperlink"/>
            <w:rFonts w:ascii="Arial" w:hAnsi="Arial"/>
            <w:lang w:val="en-GB"/>
          </w:rPr>
          <w:t>https://wrap.org.uk/taking-action/food-drink/initiatives.</w:t>
        </w:r>
      </w:hyperlink>
    </w:p>
    <w:p w14:paraId="04395CD7"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sdgdata.gov.uk. (n.d.). Goal 3 - Good health and well-being - U.K. Indicators For The Sustainable Development Goals. [online] Available at: </w:t>
      </w:r>
      <w:hyperlink r:id="rId15" w:history="1">
        <w:r w:rsidRPr="00E117D7">
          <w:rPr>
            <w:rStyle w:val="Hyperlink"/>
            <w:rFonts w:ascii="Arial" w:hAnsi="Arial"/>
            <w:lang w:val="en-GB"/>
          </w:rPr>
          <w:t>https://sdgdata.gov.uk/3/.</w:t>
        </w:r>
      </w:hyperlink>
    </w:p>
    <w:p w14:paraId="27AB60B9" w14:textId="77777777" w:rsidR="004E58C4" w:rsidRPr="00E117D7" w:rsidRDefault="00D64053">
      <w:pPr>
        <w:numPr>
          <w:ilvl w:val="0"/>
          <w:numId w:val="1"/>
        </w:numPr>
        <w:spacing w:line="360" w:lineRule="auto"/>
        <w:jc w:val="both"/>
        <w:rPr>
          <w:rFonts w:ascii="Arial" w:hAnsi="Arial"/>
          <w:lang w:val="en-GB"/>
        </w:rPr>
      </w:pPr>
      <w:proofErr w:type="spellStart"/>
      <w:r w:rsidRPr="00E117D7">
        <w:rPr>
          <w:rFonts w:ascii="Arial" w:hAnsi="Arial"/>
          <w:lang w:val="en-GB"/>
        </w:rPr>
        <w:t>Takian</w:t>
      </w:r>
      <w:proofErr w:type="spellEnd"/>
      <w:r w:rsidRPr="00E117D7">
        <w:rPr>
          <w:rFonts w:ascii="Arial" w:hAnsi="Arial"/>
          <w:lang w:val="en-GB"/>
        </w:rPr>
        <w:t xml:space="preserve">, A., </w:t>
      </w:r>
      <w:proofErr w:type="spellStart"/>
      <w:r w:rsidRPr="00E117D7">
        <w:rPr>
          <w:rFonts w:ascii="Arial" w:hAnsi="Arial"/>
          <w:lang w:val="en-GB"/>
        </w:rPr>
        <w:t>Raoofi</w:t>
      </w:r>
      <w:proofErr w:type="spellEnd"/>
      <w:r w:rsidRPr="00E117D7">
        <w:rPr>
          <w:rFonts w:ascii="Arial" w:hAnsi="Arial"/>
          <w:lang w:val="en-GB"/>
        </w:rPr>
        <w:t xml:space="preserve">, A. and </w:t>
      </w:r>
      <w:proofErr w:type="spellStart"/>
      <w:r w:rsidRPr="00E117D7">
        <w:rPr>
          <w:rFonts w:ascii="Arial" w:hAnsi="Arial"/>
          <w:lang w:val="en-GB"/>
        </w:rPr>
        <w:t>Haghighi</w:t>
      </w:r>
      <w:proofErr w:type="spellEnd"/>
      <w:r w:rsidRPr="00E117D7">
        <w:rPr>
          <w:rFonts w:ascii="Arial" w:hAnsi="Arial"/>
          <w:lang w:val="en-GB"/>
        </w:rPr>
        <w:t xml:space="preserve">, H. (2022). COVID-19 pandemic: The fears and hopes for SDG 3, with focus on prevention and control of noncommunicable diseases (SDG 3.4) and universal health coverage (SDG 3.8). COVID-19 and the Sustainable Development Goals, [online] pp.211–234. </w:t>
      </w:r>
      <w:proofErr w:type="spellStart"/>
      <w:proofErr w:type="gramStart"/>
      <w:r w:rsidRPr="00E117D7">
        <w:rPr>
          <w:rFonts w:ascii="Arial" w:hAnsi="Arial"/>
          <w:lang w:val="en-GB"/>
        </w:rPr>
        <w:t>doi:https</w:t>
      </w:r>
      <w:proofErr w:type="spellEnd"/>
      <w:r w:rsidRPr="00E117D7">
        <w:rPr>
          <w:rFonts w:ascii="Arial" w:hAnsi="Arial"/>
          <w:lang w:val="en-GB"/>
        </w:rPr>
        <w:t>://doi.org/10.1016/B978-0-323-91307-2.00014-6</w:t>
      </w:r>
      <w:proofErr w:type="gramEnd"/>
      <w:r w:rsidRPr="00E117D7">
        <w:rPr>
          <w:rFonts w:ascii="Arial" w:hAnsi="Arial"/>
          <w:lang w:val="en-GB"/>
        </w:rPr>
        <w:t>.</w:t>
      </w:r>
    </w:p>
    <w:p w14:paraId="74AA7105"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NHS (2019). NHS Long Term Plan. [online] NHS. Available at: </w:t>
      </w:r>
      <w:hyperlink r:id="rId16" w:history="1">
        <w:r w:rsidRPr="00E117D7">
          <w:rPr>
            <w:rStyle w:val="Hyperlink"/>
            <w:rFonts w:ascii="Arial" w:hAnsi="Arial"/>
            <w:lang w:val="en-GB"/>
          </w:rPr>
          <w:t>https://www.longtermplan.nhs.uk/.</w:t>
        </w:r>
      </w:hyperlink>
    </w:p>
    <w:p w14:paraId="49BEC886"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Department of Health and Social Care (2019). NHS Long Term Plan launched. [online] GOV.UK. Available at: https://www.gov.uk/government/news/nhs-long-term-plan-launched.</w:t>
      </w:r>
    </w:p>
    <w:p w14:paraId="371F9253"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Department of Health and Social Care (2018). Prevention is better than cure: our vision to help you live well for longer. [online] GOV.UK. Available at: </w:t>
      </w:r>
      <w:hyperlink r:id="rId17" w:history="1">
        <w:r w:rsidRPr="00E117D7">
          <w:rPr>
            <w:rStyle w:val="Hyperlink"/>
            <w:rFonts w:ascii="Arial" w:hAnsi="Arial"/>
            <w:lang w:val="en-GB"/>
          </w:rPr>
          <w:t>https://www.gov.uk/government/publications/prevention-is-better-than-cure-our-vision-to-help-you-live-well-for-longer.</w:t>
        </w:r>
      </w:hyperlink>
    </w:p>
    <w:p w14:paraId="513D453B"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Prevention is better than cure Our vision to help you live well for longer. (n.d.). Available at: </w:t>
      </w:r>
      <w:hyperlink r:id="rId18" w:history="1">
        <w:r w:rsidRPr="00E117D7">
          <w:rPr>
            <w:rStyle w:val="Hyperlink"/>
            <w:rFonts w:ascii="Arial" w:hAnsi="Arial"/>
            <w:lang w:val="en-GB"/>
          </w:rPr>
          <w:t>https://assets.publishing.service.gov.uk/media/5be00437e5274a6e174bdac1/Prevention_is_better_than_cure_5-11.pdf.</w:t>
        </w:r>
      </w:hyperlink>
    </w:p>
    <w:p w14:paraId="3695C26C" w14:textId="77777777" w:rsidR="004E58C4" w:rsidRPr="00E117D7" w:rsidRDefault="00D64053">
      <w:pPr>
        <w:numPr>
          <w:ilvl w:val="0"/>
          <w:numId w:val="1"/>
        </w:numPr>
        <w:spacing w:line="360" w:lineRule="auto"/>
        <w:jc w:val="both"/>
        <w:rPr>
          <w:rFonts w:ascii="Arial" w:hAnsi="Arial"/>
          <w:lang w:val="en-GB"/>
        </w:rPr>
      </w:pPr>
      <w:proofErr w:type="spellStart"/>
      <w:r w:rsidRPr="00E117D7">
        <w:rPr>
          <w:rFonts w:ascii="Arial" w:hAnsi="Arial"/>
          <w:lang w:val="en-GB"/>
        </w:rPr>
        <w:t>Chotchoungchatchai</w:t>
      </w:r>
      <w:proofErr w:type="spellEnd"/>
      <w:r w:rsidRPr="00E117D7">
        <w:rPr>
          <w:rFonts w:ascii="Arial" w:hAnsi="Arial"/>
          <w:lang w:val="en-GB"/>
        </w:rPr>
        <w:t xml:space="preserve">, S., Marshall, A.I., </w:t>
      </w:r>
      <w:proofErr w:type="spellStart"/>
      <w:r w:rsidRPr="00E117D7">
        <w:rPr>
          <w:rFonts w:ascii="Arial" w:hAnsi="Arial"/>
          <w:lang w:val="en-GB"/>
        </w:rPr>
        <w:t>Witthayapipopsakul</w:t>
      </w:r>
      <w:proofErr w:type="spellEnd"/>
      <w:r w:rsidRPr="00E117D7">
        <w:rPr>
          <w:rFonts w:ascii="Arial" w:hAnsi="Arial"/>
          <w:lang w:val="en-GB"/>
        </w:rPr>
        <w:t xml:space="preserve">, W., </w:t>
      </w:r>
      <w:proofErr w:type="spellStart"/>
      <w:r w:rsidRPr="00E117D7">
        <w:rPr>
          <w:rFonts w:ascii="Arial" w:hAnsi="Arial"/>
          <w:lang w:val="en-GB"/>
        </w:rPr>
        <w:t>Panichkriangkrai</w:t>
      </w:r>
      <w:proofErr w:type="spellEnd"/>
      <w:r w:rsidRPr="00E117D7">
        <w:rPr>
          <w:rFonts w:ascii="Arial" w:hAnsi="Arial"/>
          <w:lang w:val="en-GB"/>
        </w:rPr>
        <w:t xml:space="preserve">, W., </w:t>
      </w:r>
      <w:proofErr w:type="spellStart"/>
      <w:r w:rsidRPr="00E117D7">
        <w:rPr>
          <w:rFonts w:ascii="Arial" w:hAnsi="Arial"/>
          <w:lang w:val="en-GB"/>
        </w:rPr>
        <w:t>Patcharanarumol</w:t>
      </w:r>
      <w:proofErr w:type="spellEnd"/>
      <w:r w:rsidRPr="00E117D7">
        <w:rPr>
          <w:rFonts w:ascii="Arial" w:hAnsi="Arial"/>
          <w:lang w:val="en-GB"/>
        </w:rPr>
        <w:t xml:space="preserve">, W. and </w:t>
      </w:r>
      <w:proofErr w:type="spellStart"/>
      <w:r w:rsidRPr="00E117D7">
        <w:rPr>
          <w:rFonts w:ascii="Arial" w:hAnsi="Arial"/>
          <w:lang w:val="en-GB"/>
        </w:rPr>
        <w:t>Tangcharoensathien</w:t>
      </w:r>
      <w:proofErr w:type="spellEnd"/>
      <w:r w:rsidRPr="00E117D7">
        <w:rPr>
          <w:rFonts w:ascii="Arial" w:hAnsi="Arial"/>
          <w:lang w:val="en-GB"/>
        </w:rPr>
        <w:t xml:space="preserve">, V. (2020). Primary health care and sustainable development goals. Bulletin of the World Health Organization, 98(11), pp.792–800. </w:t>
      </w:r>
      <w:proofErr w:type="spellStart"/>
      <w:proofErr w:type="gramStart"/>
      <w:r w:rsidRPr="00E117D7">
        <w:rPr>
          <w:rFonts w:ascii="Arial" w:hAnsi="Arial"/>
          <w:lang w:val="en-GB"/>
        </w:rPr>
        <w:t>doi:https</w:t>
      </w:r>
      <w:proofErr w:type="spellEnd"/>
      <w:r w:rsidRPr="00E117D7">
        <w:rPr>
          <w:rFonts w:ascii="Arial" w:hAnsi="Arial"/>
          <w:lang w:val="en-GB"/>
        </w:rPr>
        <w:t>://doi.org/10.2471/blt.19.245613</w:t>
      </w:r>
      <w:proofErr w:type="gramEnd"/>
      <w:r w:rsidRPr="00E117D7">
        <w:rPr>
          <w:rFonts w:ascii="Arial" w:hAnsi="Arial"/>
          <w:lang w:val="en-GB"/>
        </w:rPr>
        <w:t>.</w:t>
      </w:r>
    </w:p>
    <w:p w14:paraId="2A5088D8" w14:textId="77777777" w:rsidR="004E58C4" w:rsidRPr="00E117D7" w:rsidRDefault="00D64053">
      <w:pPr>
        <w:numPr>
          <w:ilvl w:val="0"/>
          <w:numId w:val="1"/>
        </w:numPr>
        <w:spacing w:line="360" w:lineRule="auto"/>
        <w:jc w:val="both"/>
        <w:rPr>
          <w:rFonts w:ascii="Arial" w:hAnsi="Arial"/>
          <w:lang w:val="en-GB"/>
        </w:rPr>
      </w:pPr>
      <w:proofErr w:type="spellStart"/>
      <w:r w:rsidRPr="00E117D7">
        <w:rPr>
          <w:rFonts w:ascii="Arial" w:hAnsi="Arial"/>
          <w:lang w:val="en-GB"/>
        </w:rPr>
        <w:lastRenderedPageBreak/>
        <w:t>Guégan</w:t>
      </w:r>
      <w:proofErr w:type="spellEnd"/>
      <w:r w:rsidRPr="00E117D7">
        <w:rPr>
          <w:rFonts w:ascii="Arial" w:hAnsi="Arial"/>
          <w:lang w:val="en-GB"/>
        </w:rPr>
        <w:t xml:space="preserve">, J.-F., </w:t>
      </w:r>
      <w:proofErr w:type="spellStart"/>
      <w:r w:rsidRPr="00E117D7">
        <w:rPr>
          <w:rFonts w:ascii="Arial" w:hAnsi="Arial"/>
          <w:lang w:val="en-GB"/>
        </w:rPr>
        <w:t>Suzán</w:t>
      </w:r>
      <w:proofErr w:type="spellEnd"/>
      <w:r w:rsidRPr="00E117D7">
        <w:rPr>
          <w:rFonts w:ascii="Arial" w:hAnsi="Arial"/>
          <w:lang w:val="en-GB"/>
        </w:rPr>
        <w:t xml:space="preserve">, G., Kati-Coulibaly, S., </w:t>
      </w:r>
      <w:proofErr w:type="spellStart"/>
      <w:r w:rsidRPr="00E117D7">
        <w:rPr>
          <w:rFonts w:ascii="Arial" w:hAnsi="Arial"/>
          <w:lang w:val="en-GB"/>
        </w:rPr>
        <w:t>Bonpamgue</w:t>
      </w:r>
      <w:proofErr w:type="spellEnd"/>
      <w:r w:rsidRPr="00E117D7">
        <w:rPr>
          <w:rFonts w:ascii="Arial" w:hAnsi="Arial"/>
          <w:lang w:val="en-GB"/>
        </w:rPr>
        <w:t xml:space="preserve">, D.N., </w:t>
      </w:r>
      <w:proofErr w:type="spellStart"/>
      <w:r w:rsidRPr="00E117D7">
        <w:rPr>
          <w:rFonts w:ascii="Arial" w:hAnsi="Arial"/>
          <w:lang w:val="en-GB"/>
        </w:rPr>
        <w:t>Moatti</w:t>
      </w:r>
      <w:proofErr w:type="spellEnd"/>
      <w:r w:rsidRPr="00E117D7">
        <w:rPr>
          <w:rFonts w:ascii="Arial" w:hAnsi="Arial"/>
          <w:lang w:val="en-GB"/>
        </w:rPr>
        <w:t xml:space="preserve">, J.-P., </w:t>
      </w:r>
      <w:proofErr w:type="spellStart"/>
      <w:r w:rsidRPr="00E117D7">
        <w:rPr>
          <w:rFonts w:ascii="Arial" w:hAnsi="Arial"/>
          <w:lang w:val="en-GB"/>
        </w:rPr>
        <w:t>Guégan</w:t>
      </w:r>
      <w:proofErr w:type="spellEnd"/>
      <w:r w:rsidRPr="00E117D7">
        <w:rPr>
          <w:rFonts w:ascii="Arial" w:hAnsi="Arial"/>
          <w:lang w:val="en-GB"/>
        </w:rPr>
        <w:t xml:space="preserve">, J.-F., </w:t>
      </w:r>
      <w:proofErr w:type="spellStart"/>
      <w:r w:rsidRPr="00E117D7">
        <w:rPr>
          <w:rFonts w:ascii="Arial" w:hAnsi="Arial"/>
          <w:lang w:val="en-GB"/>
        </w:rPr>
        <w:t>Suzán</w:t>
      </w:r>
      <w:proofErr w:type="spellEnd"/>
      <w:r w:rsidRPr="00E117D7">
        <w:rPr>
          <w:rFonts w:ascii="Arial" w:hAnsi="Arial"/>
          <w:lang w:val="en-GB"/>
        </w:rPr>
        <w:t xml:space="preserve">, G., Kati-Coulibaly, S., </w:t>
      </w:r>
      <w:proofErr w:type="spellStart"/>
      <w:r w:rsidRPr="00E117D7">
        <w:rPr>
          <w:rFonts w:ascii="Arial" w:hAnsi="Arial"/>
          <w:lang w:val="en-GB"/>
        </w:rPr>
        <w:t>Bonpamgue</w:t>
      </w:r>
      <w:proofErr w:type="spellEnd"/>
      <w:r w:rsidRPr="00E117D7">
        <w:rPr>
          <w:rFonts w:ascii="Arial" w:hAnsi="Arial"/>
          <w:lang w:val="en-GB"/>
        </w:rPr>
        <w:t xml:space="preserve">, D.N. and </w:t>
      </w:r>
      <w:proofErr w:type="spellStart"/>
      <w:r w:rsidRPr="00E117D7">
        <w:rPr>
          <w:rFonts w:ascii="Arial" w:hAnsi="Arial"/>
          <w:lang w:val="en-GB"/>
        </w:rPr>
        <w:t>Moatti</w:t>
      </w:r>
      <w:proofErr w:type="spellEnd"/>
      <w:r w:rsidRPr="00E117D7">
        <w:rPr>
          <w:rFonts w:ascii="Arial" w:hAnsi="Arial"/>
          <w:lang w:val="en-GB"/>
        </w:rPr>
        <w:t xml:space="preserve">, J.-P. (2018). Sustainable Development Goal #3, ‘health and well-being’, and the need for more integrative thinking. </w:t>
      </w:r>
      <w:proofErr w:type="spellStart"/>
      <w:r w:rsidRPr="00E117D7">
        <w:rPr>
          <w:rFonts w:ascii="Arial" w:hAnsi="Arial"/>
          <w:lang w:val="en-GB"/>
        </w:rPr>
        <w:t>Veterinaria</w:t>
      </w:r>
      <w:proofErr w:type="spellEnd"/>
      <w:r w:rsidRPr="00E117D7">
        <w:rPr>
          <w:rFonts w:ascii="Arial" w:hAnsi="Arial"/>
          <w:lang w:val="en-GB"/>
        </w:rPr>
        <w:t xml:space="preserve"> México OA, [online] 5(2). </w:t>
      </w:r>
      <w:proofErr w:type="spellStart"/>
      <w:proofErr w:type="gramStart"/>
      <w:r w:rsidRPr="00E117D7">
        <w:rPr>
          <w:rFonts w:ascii="Arial" w:hAnsi="Arial"/>
          <w:lang w:val="en-GB"/>
        </w:rPr>
        <w:t>doi:https</w:t>
      </w:r>
      <w:proofErr w:type="spellEnd"/>
      <w:r w:rsidRPr="00E117D7">
        <w:rPr>
          <w:rFonts w:ascii="Arial" w:hAnsi="Arial"/>
          <w:lang w:val="en-GB"/>
        </w:rPr>
        <w:t>://doi.org/10.21753/vmoa.5.2.443</w:t>
      </w:r>
      <w:proofErr w:type="gramEnd"/>
      <w:r w:rsidRPr="00E117D7">
        <w:rPr>
          <w:rFonts w:ascii="Arial" w:hAnsi="Arial"/>
          <w:lang w:val="en-GB"/>
        </w:rPr>
        <w:t>.</w:t>
      </w:r>
    </w:p>
    <w:p w14:paraId="6E9E979D"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World Health Organization (2022). Targets of Sustainable Development Goal 3. [online] www.who.int. Available at: </w:t>
      </w:r>
      <w:hyperlink r:id="rId19" w:history="1">
        <w:r w:rsidRPr="00E117D7">
          <w:rPr>
            <w:rStyle w:val="Hyperlink"/>
            <w:rFonts w:ascii="Arial" w:hAnsi="Arial"/>
            <w:lang w:val="en-GB"/>
          </w:rPr>
          <w:t>https://www.who.int/europe/about-us/our-work/sustainable-development-goals/targets-of-sustainable-development-goal-3.</w:t>
        </w:r>
      </w:hyperlink>
    </w:p>
    <w:p w14:paraId="552B575F" w14:textId="77777777" w:rsidR="004E58C4" w:rsidRPr="00E117D7" w:rsidRDefault="00D64053">
      <w:pPr>
        <w:numPr>
          <w:ilvl w:val="0"/>
          <w:numId w:val="1"/>
        </w:numPr>
        <w:spacing w:line="360" w:lineRule="auto"/>
        <w:jc w:val="both"/>
        <w:rPr>
          <w:rFonts w:ascii="Arial" w:hAnsi="Arial"/>
          <w:lang w:val="en-GB"/>
        </w:rPr>
      </w:pPr>
      <w:proofErr w:type="spellStart"/>
      <w:r w:rsidRPr="00E117D7">
        <w:rPr>
          <w:rFonts w:ascii="Arial" w:hAnsi="Arial"/>
          <w:lang w:val="en-GB"/>
        </w:rPr>
        <w:t>Eang</w:t>
      </w:r>
      <w:proofErr w:type="spellEnd"/>
      <w:r w:rsidRPr="00E117D7">
        <w:rPr>
          <w:rFonts w:ascii="Arial" w:hAnsi="Arial"/>
          <w:lang w:val="en-GB"/>
        </w:rPr>
        <w:t xml:space="preserve">, M., Clarke, A. and Ordonez-Ponce, E. (2022). The roles of multinational enterprises in implementing the United Nations Sustainable Development Goals at the local level. BRQ Business Research Quarterly, 26(1), p.234094442211409. </w:t>
      </w:r>
      <w:proofErr w:type="spellStart"/>
      <w:proofErr w:type="gramStart"/>
      <w:r w:rsidRPr="00E117D7">
        <w:rPr>
          <w:rFonts w:ascii="Arial" w:hAnsi="Arial"/>
          <w:lang w:val="en-GB"/>
        </w:rPr>
        <w:t>doi:https</w:t>
      </w:r>
      <w:proofErr w:type="spellEnd"/>
      <w:r w:rsidRPr="00E117D7">
        <w:rPr>
          <w:rFonts w:ascii="Arial" w:hAnsi="Arial"/>
          <w:lang w:val="en-GB"/>
        </w:rPr>
        <w:t>://doi.org/10.1177/23409444221140912</w:t>
      </w:r>
      <w:proofErr w:type="gramEnd"/>
      <w:r w:rsidRPr="00E117D7">
        <w:rPr>
          <w:rFonts w:ascii="Arial" w:hAnsi="Arial"/>
          <w:lang w:val="en-GB"/>
        </w:rPr>
        <w:t>.</w:t>
      </w:r>
    </w:p>
    <w:p w14:paraId="7AC3C295" w14:textId="77777777" w:rsidR="004E58C4" w:rsidRPr="00E117D7" w:rsidRDefault="00D64053">
      <w:pPr>
        <w:numPr>
          <w:ilvl w:val="0"/>
          <w:numId w:val="1"/>
        </w:numPr>
        <w:spacing w:line="360" w:lineRule="auto"/>
        <w:jc w:val="both"/>
        <w:rPr>
          <w:rFonts w:ascii="Arial" w:hAnsi="Arial"/>
          <w:lang w:val="en-GB"/>
        </w:rPr>
      </w:pPr>
      <w:proofErr w:type="spellStart"/>
      <w:r w:rsidRPr="00E117D7">
        <w:rPr>
          <w:rFonts w:ascii="Arial" w:hAnsi="Arial"/>
          <w:lang w:val="en-GB"/>
        </w:rPr>
        <w:t>Berrone</w:t>
      </w:r>
      <w:proofErr w:type="spellEnd"/>
      <w:r w:rsidRPr="00E117D7">
        <w:rPr>
          <w:rFonts w:ascii="Arial" w:hAnsi="Arial"/>
          <w:lang w:val="en-GB"/>
        </w:rPr>
        <w:t xml:space="preserve">, P., Rousseau, H.E., </w:t>
      </w:r>
      <w:proofErr w:type="spellStart"/>
      <w:r w:rsidRPr="00E117D7">
        <w:rPr>
          <w:rFonts w:ascii="Arial" w:hAnsi="Arial"/>
          <w:lang w:val="en-GB"/>
        </w:rPr>
        <w:t>Ricart</w:t>
      </w:r>
      <w:proofErr w:type="spellEnd"/>
      <w:r w:rsidRPr="00E117D7">
        <w:rPr>
          <w:rFonts w:ascii="Arial" w:hAnsi="Arial"/>
          <w:lang w:val="en-GB"/>
        </w:rPr>
        <w:t xml:space="preserve">, J.E., Brito, E. and </w:t>
      </w:r>
      <w:proofErr w:type="spellStart"/>
      <w:r w:rsidRPr="00E117D7">
        <w:rPr>
          <w:rFonts w:ascii="Arial" w:hAnsi="Arial"/>
          <w:lang w:val="en-GB"/>
        </w:rPr>
        <w:t>Giuliodori</w:t>
      </w:r>
      <w:proofErr w:type="spellEnd"/>
      <w:r w:rsidRPr="00E117D7">
        <w:rPr>
          <w:rFonts w:ascii="Arial" w:hAnsi="Arial"/>
          <w:lang w:val="en-GB"/>
        </w:rPr>
        <w:t xml:space="preserve">, A. (2023). How can research contribute to the implementation of sustainable development goals? An interpretive review of SDG literature in management. International Journal of Management Reviews. </w:t>
      </w:r>
      <w:proofErr w:type="spellStart"/>
      <w:proofErr w:type="gramStart"/>
      <w:r w:rsidRPr="00E117D7">
        <w:rPr>
          <w:rFonts w:ascii="Arial" w:hAnsi="Arial"/>
          <w:lang w:val="en-GB"/>
        </w:rPr>
        <w:t>doi:https</w:t>
      </w:r>
      <w:proofErr w:type="spellEnd"/>
      <w:r w:rsidRPr="00E117D7">
        <w:rPr>
          <w:rFonts w:ascii="Arial" w:hAnsi="Arial"/>
          <w:lang w:val="en-GB"/>
        </w:rPr>
        <w:t>://doi.org/10.1111/ijmr.12331</w:t>
      </w:r>
      <w:proofErr w:type="gramEnd"/>
      <w:r w:rsidRPr="00E117D7">
        <w:rPr>
          <w:rFonts w:ascii="Arial" w:hAnsi="Arial"/>
          <w:lang w:val="en-GB"/>
        </w:rPr>
        <w:t>.</w:t>
      </w:r>
    </w:p>
    <w:p w14:paraId="430CBD9F"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Howden-Chapman, P., Siri, J., Chisholm, E., Chapman, R., Doll, C. and Capon, A. (2017). SDG 3 ENSURE HEALTHY LIVES AND PROMOTE WELL- BEING FOR ALL AT ALL AGES. [online] Available at: </w:t>
      </w:r>
      <w:hyperlink r:id="rId20" w:history="1">
        <w:r w:rsidRPr="00E117D7">
          <w:rPr>
            <w:rStyle w:val="Hyperlink"/>
            <w:rFonts w:ascii="Arial" w:hAnsi="Arial"/>
            <w:lang w:val="en-GB"/>
          </w:rPr>
          <w:t>https://council.science/wp-content/uploads/2017/03/SDGs-interactions-3-healthy-lives.pdf.</w:t>
        </w:r>
      </w:hyperlink>
    </w:p>
    <w:p w14:paraId="5AD36164" w14:textId="77777777" w:rsidR="004E58C4" w:rsidRPr="00E117D7" w:rsidRDefault="00D64053">
      <w:pPr>
        <w:numPr>
          <w:ilvl w:val="0"/>
          <w:numId w:val="1"/>
        </w:numPr>
        <w:spacing w:line="360" w:lineRule="auto"/>
        <w:jc w:val="both"/>
        <w:rPr>
          <w:rFonts w:ascii="Arial" w:hAnsi="Arial"/>
          <w:lang w:val="en-GB"/>
        </w:rPr>
      </w:pPr>
      <w:proofErr w:type="spellStart"/>
      <w:r w:rsidRPr="00E117D7">
        <w:rPr>
          <w:rFonts w:ascii="Arial" w:hAnsi="Arial"/>
          <w:lang w:val="en-GB"/>
        </w:rPr>
        <w:t>Macassa</w:t>
      </w:r>
      <w:proofErr w:type="spellEnd"/>
      <w:r w:rsidRPr="00E117D7">
        <w:rPr>
          <w:rFonts w:ascii="Arial" w:hAnsi="Arial"/>
          <w:lang w:val="en-GB"/>
        </w:rPr>
        <w:t xml:space="preserve">, G. (2021). Can sustainable health behaviour contribute to ensure healthy lives and wellbeing for all at all ages (SDG 3)? A viewpoint. Journal of Public Health Research, 10(3). </w:t>
      </w:r>
      <w:proofErr w:type="spellStart"/>
      <w:proofErr w:type="gramStart"/>
      <w:r w:rsidRPr="00E117D7">
        <w:rPr>
          <w:rFonts w:ascii="Arial" w:hAnsi="Arial"/>
          <w:lang w:val="en-GB"/>
        </w:rPr>
        <w:t>doi:https</w:t>
      </w:r>
      <w:proofErr w:type="spellEnd"/>
      <w:r w:rsidRPr="00E117D7">
        <w:rPr>
          <w:rFonts w:ascii="Arial" w:hAnsi="Arial"/>
          <w:lang w:val="en-GB"/>
        </w:rPr>
        <w:t>://doi.org/10.4081/jphr.2021.2051</w:t>
      </w:r>
      <w:proofErr w:type="gramEnd"/>
      <w:r w:rsidRPr="00E117D7">
        <w:rPr>
          <w:rFonts w:ascii="Arial" w:hAnsi="Arial"/>
          <w:lang w:val="en-GB"/>
        </w:rPr>
        <w:t>.</w:t>
      </w:r>
    </w:p>
    <w:p w14:paraId="7A4C10FE"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Fernandez, R.M. (2019). SDG3 Good Health and Well-Being: Integration and Connection with Other SDGs. </w:t>
      </w:r>
      <w:proofErr w:type="spellStart"/>
      <w:r w:rsidRPr="00E117D7">
        <w:rPr>
          <w:rFonts w:ascii="Arial" w:hAnsi="Arial"/>
          <w:lang w:val="en-GB"/>
        </w:rPr>
        <w:t>Encyclopedia</w:t>
      </w:r>
      <w:proofErr w:type="spellEnd"/>
      <w:r w:rsidRPr="00E117D7">
        <w:rPr>
          <w:rFonts w:ascii="Arial" w:hAnsi="Arial"/>
          <w:lang w:val="en-GB"/>
        </w:rPr>
        <w:t xml:space="preserve"> of the UN Sustainable Development Goals, [online] pp.629–636. </w:t>
      </w:r>
      <w:proofErr w:type="spellStart"/>
      <w:proofErr w:type="gramStart"/>
      <w:r w:rsidRPr="00E117D7">
        <w:rPr>
          <w:rFonts w:ascii="Arial" w:hAnsi="Arial"/>
          <w:lang w:val="en-GB"/>
        </w:rPr>
        <w:t>doi:https</w:t>
      </w:r>
      <w:proofErr w:type="spellEnd"/>
      <w:r w:rsidRPr="00E117D7">
        <w:rPr>
          <w:rFonts w:ascii="Arial" w:hAnsi="Arial"/>
          <w:lang w:val="en-GB"/>
        </w:rPr>
        <w:t>://doi.org/10.1007/978-3-319-95681-7_64</w:t>
      </w:r>
      <w:proofErr w:type="gramEnd"/>
      <w:r w:rsidRPr="00E117D7">
        <w:rPr>
          <w:rFonts w:ascii="Arial" w:hAnsi="Arial"/>
          <w:lang w:val="en-GB"/>
        </w:rPr>
        <w:t>.</w:t>
      </w:r>
    </w:p>
    <w:p w14:paraId="5334CE0B"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Lynch, T. (2016). United Nations Sustainable Development Goals: Promoting health and well-being through physical education partnerships. Cogent Education, 3(1). </w:t>
      </w:r>
      <w:proofErr w:type="spellStart"/>
      <w:proofErr w:type="gramStart"/>
      <w:r w:rsidRPr="00E117D7">
        <w:rPr>
          <w:rFonts w:ascii="Arial" w:hAnsi="Arial"/>
          <w:lang w:val="en-GB"/>
        </w:rPr>
        <w:t>doi:https</w:t>
      </w:r>
      <w:proofErr w:type="spellEnd"/>
      <w:r w:rsidRPr="00E117D7">
        <w:rPr>
          <w:rFonts w:ascii="Arial" w:hAnsi="Arial"/>
          <w:lang w:val="en-GB"/>
        </w:rPr>
        <w:t>://doi.org/10.1080/2331186x.2016.1188469</w:t>
      </w:r>
      <w:proofErr w:type="gramEnd"/>
      <w:r w:rsidRPr="00E117D7">
        <w:rPr>
          <w:rFonts w:ascii="Arial" w:hAnsi="Arial"/>
          <w:lang w:val="en-GB"/>
        </w:rPr>
        <w:t>.</w:t>
      </w:r>
    </w:p>
    <w:p w14:paraId="2BD159E2" w14:textId="77777777" w:rsidR="004E58C4" w:rsidRPr="00E117D7" w:rsidRDefault="00D64053">
      <w:pPr>
        <w:numPr>
          <w:ilvl w:val="0"/>
          <w:numId w:val="1"/>
        </w:numPr>
        <w:spacing w:line="360" w:lineRule="auto"/>
        <w:jc w:val="both"/>
        <w:rPr>
          <w:rFonts w:ascii="Arial" w:hAnsi="Arial"/>
          <w:lang w:val="en-GB"/>
        </w:rPr>
      </w:pPr>
      <w:proofErr w:type="spellStart"/>
      <w:r w:rsidRPr="00E117D7">
        <w:rPr>
          <w:rFonts w:ascii="Arial" w:hAnsi="Arial"/>
          <w:lang w:val="en-GB"/>
        </w:rPr>
        <w:t>Sellberg</w:t>
      </w:r>
      <w:proofErr w:type="spellEnd"/>
      <w:r w:rsidRPr="00E117D7">
        <w:rPr>
          <w:rFonts w:ascii="Arial" w:hAnsi="Arial"/>
          <w:lang w:val="en-GB"/>
        </w:rPr>
        <w:t xml:space="preserve">, M.M., </w:t>
      </w:r>
      <w:proofErr w:type="spellStart"/>
      <w:r w:rsidRPr="00E117D7">
        <w:rPr>
          <w:rFonts w:ascii="Arial" w:hAnsi="Arial"/>
          <w:lang w:val="en-GB"/>
        </w:rPr>
        <w:t>Norström</w:t>
      </w:r>
      <w:proofErr w:type="spellEnd"/>
      <w:r w:rsidRPr="00E117D7">
        <w:rPr>
          <w:rFonts w:ascii="Arial" w:hAnsi="Arial"/>
          <w:lang w:val="en-GB"/>
        </w:rPr>
        <w:t xml:space="preserve">, A.V., Peterson, G.D. and Gordon, L.J. (2020). Using local initiatives to envision sustainable and resilient food systems in the Stockholm city-region. Global Food Security, 24, p.100334. </w:t>
      </w:r>
      <w:proofErr w:type="spellStart"/>
      <w:proofErr w:type="gramStart"/>
      <w:r w:rsidRPr="00E117D7">
        <w:rPr>
          <w:rFonts w:ascii="Arial" w:hAnsi="Arial"/>
          <w:lang w:val="en-GB"/>
        </w:rPr>
        <w:t>doi:https</w:t>
      </w:r>
      <w:proofErr w:type="spellEnd"/>
      <w:r w:rsidRPr="00E117D7">
        <w:rPr>
          <w:rFonts w:ascii="Arial" w:hAnsi="Arial"/>
          <w:lang w:val="en-GB"/>
        </w:rPr>
        <w:t>://doi.org/10.1016/j.gfs.2019.100334</w:t>
      </w:r>
      <w:proofErr w:type="gramEnd"/>
      <w:r w:rsidRPr="00E117D7">
        <w:rPr>
          <w:rFonts w:ascii="Arial" w:hAnsi="Arial"/>
          <w:lang w:val="en-GB"/>
        </w:rPr>
        <w:t>.</w:t>
      </w:r>
    </w:p>
    <w:p w14:paraId="1971FD6F"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Pollard, C.M. and Booth, S. (2019). Food Insecurity and Hunger in Rich Countries—It Is Time for Action against Inequality. International Journal of Environmental Research and Public Health, [online] 16(10), p.1804. </w:t>
      </w:r>
      <w:proofErr w:type="spellStart"/>
      <w:proofErr w:type="gramStart"/>
      <w:r w:rsidRPr="00E117D7">
        <w:rPr>
          <w:rFonts w:ascii="Arial" w:hAnsi="Arial"/>
          <w:lang w:val="en-GB"/>
        </w:rPr>
        <w:t>doi:https</w:t>
      </w:r>
      <w:proofErr w:type="spellEnd"/>
      <w:r w:rsidRPr="00E117D7">
        <w:rPr>
          <w:rFonts w:ascii="Arial" w:hAnsi="Arial"/>
          <w:lang w:val="en-GB"/>
        </w:rPr>
        <w:t>://doi.org/10.3390/ijerph16101804</w:t>
      </w:r>
      <w:proofErr w:type="gramEnd"/>
      <w:r w:rsidRPr="00E117D7">
        <w:rPr>
          <w:rFonts w:ascii="Arial" w:hAnsi="Arial"/>
          <w:lang w:val="en-GB"/>
        </w:rPr>
        <w:t>.</w:t>
      </w:r>
    </w:p>
    <w:p w14:paraId="451445FE" w14:textId="77777777" w:rsidR="004E58C4" w:rsidRPr="00E117D7" w:rsidRDefault="00D64053">
      <w:pPr>
        <w:numPr>
          <w:ilvl w:val="0"/>
          <w:numId w:val="1"/>
        </w:numPr>
        <w:spacing w:line="360" w:lineRule="auto"/>
        <w:jc w:val="both"/>
        <w:rPr>
          <w:rFonts w:ascii="Arial" w:hAnsi="Arial"/>
          <w:lang w:val="en-GB"/>
        </w:rPr>
      </w:pPr>
      <w:proofErr w:type="gramStart"/>
      <w:r w:rsidRPr="00E117D7">
        <w:rPr>
          <w:rFonts w:ascii="Arial" w:hAnsi="Arial"/>
          <w:lang w:val="en-GB"/>
        </w:rPr>
        <w:t>Ajayi ,</w:t>
      </w:r>
      <w:proofErr w:type="gramEnd"/>
      <w:r w:rsidRPr="00E117D7">
        <w:rPr>
          <w:rFonts w:ascii="Arial" w:hAnsi="Arial"/>
          <w:lang w:val="en-GB"/>
        </w:rPr>
        <w:t xml:space="preserve"> O. (2021). A perspective on health inequalities in BAME communities and how to improve access to primary care. Future Healthcare Journal, [online] 8(1), pp.36–39. </w:t>
      </w:r>
      <w:proofErr w:type="spellStart"/>
      <w:proofErr w:type="gramStart"/>
      <w:r w:rsidRPr="00E117D7">
        <w:rPr>
          <w:rFonts w:ascii="Arial" w:hAnsi="Arial"/>
          <w:lang w:val="en-GB"/>
        </w:rPr>
        <w:t>doi:https</w:t>
      </w:r>
      <w:proofErr w:type="spellEnd"/>
      <w:r w:rsidRPr="00E117D7">
        <w:rPr>
          <w:rFonts w:ascii="Arial" w:hAnsi="Arial"/>
          <w:lang w:val="en-GB"/>
        </w:rPr>
        <w:t>://doi.org/10.7861/fhj.2020-0217</w:t>
      </w:r>
      <w:proofErr w:type="gramEnd"/>
      <w:r w:rsidRPr="00E117D7">
        <w:rPr>
          <w:rFonts w:ascii="Arial" w:hAnsi="Arial"/>
          <w:lang w:val="en-GB"/>
        </w:rPr>
        <w:t>.</w:t>
      </w:r>
    </w:p>
    <w:p w14:paraId="35CE03BB"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DEFRA (2018). 25 Year Environment Plan. [online] GOV.UK. Available at: </w:t>
      </w:r>
      <w:hyperlink r:id="rId21" w:history="1">
        <w:r w:rsidRPr="00E117D7">
          <w:rPr>
            <w:rStyle w:val="Hyperlink"/>
            <w:rFonts w:ascii="Arial" w:hAnsi="Arial"/>
            <w:lang w:val="en-GB"/>
          </w:rPr>
          <w:t>https://www.gov.uk/government/publications/25-year-environment-plan.</w:t>
        </w:r>
      </w:hyperlink>
    </w:p>
    <w:p w14:paraId="3B71EA56"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lastRenderedPageBreak/>
        <w:t>WFP (n.d.). Network Fresh | WFP Innovation. [online] innovation.wfp.org. Available at: https://innovation.wfp.org/project/network-fresh [Accessed 17 Nov. 2023].</w:t>
      </w:r>
    </w:p>
    <w:p w14:paraId="1C37B112"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Jha, P. (2020). The Hazards of Smoking and the Benefits of Cessation: a Critical Summation of the Epidemiological Evidence in High-Income Countries. </w:t>
      </w:r>
      <w:proofErr w:type="spellStart"/>
      <w:r w:rsidRPr="00E117D7">
        <w:rPr>
          <w:rFonts w:ascii="Arial" w:hAnsi="Arial"/>
          <w:lang w:val="en-GB"/>
        </w:rPr>
        <w:t>eLife</w:t>
      </w:r>
      <w:proofErr w:type="spellEnd"/>
      <w:r w:rsidRPr="00E117D7">
        <w:rPr>
          <w:rFonts w:ascii="Arial" w:hAnsi="Arial"/>
          <w:lang w:val="en-GB"/>
        </w:rPr>
        <w:t xml:space="preserve">, 9(1). </w:t>
      </w:r>
      <w:proofErr w:type="spellStart"/>
      <w:proofErr w:type="gramStart"/>
      <w:r w:rsidRPr="00E117D7">
        <w:rPr>
          <w:rFonts w:ascii="Arial" w:hAnsi="Arial"/>
          <w:lang w:val="en-GB"/>
        </w:rPr>
        <w:t>doi:https</w:t>
      </w:r>
      <w:proofErr w:type="spellEnd"/>
      <w:r w:rsidRPr="00E117D7">
        <w:rPr>
          <w:rFonts w:ascii="Arial" w:hAnsi="Arial"/>
          <w:lang w:val="en-GB"/>
        </w:rPr>
        <w:t>://doi.org/10.7554/elife.49979</w:t>
      </w:r>
      <w:proofErr w:type="gramEnd"/>
      <w:r w:rsidRPr="00E117D7">
        <w:rPr>
          <w:rFonts w:ascii="Arial" w:hAnsi="Arial"/>
          <w:lang w:val="en-GB"/>
        </w:rPr>
        <w:t>.</w:t>
      </w:r>
    </w:p>
    <w:p w14:paraId="1F90D27D" w14:textId="77777777" w:rsidR="004E58C4" w:rsidRPr="00E117D7" w:rsidRDefault="00D64053">
      <w:pPr>
        <w:numPr>
          <w:ilvl w:val="0"/>
          <w:numId w:val="1"/>
        </w:numPr>
        <w:spacing w:line="360" w:lineRule="auto"/>
        <w:jc w:val="both"/>
        <w:rPr>
          <w:rFonts w:ascii="Arial" w:hAnsi="Arial"/>
          <w:lang w:val="en-GB"/>
        </w:rPr>
      </w:pPr>
      <w:r w:rsidRPr="00E117D7">
        <w:rPr>
          <w:rFonts w:ascii="Arial" w:hAnsi="Arial"/>
          <w:lang w:val="en-GB"/>
        </w:rPr>
        <w:t xml:space="preserve">Mehra, </w:t>
      </w:r>
      <w:proofErr w:type="gramStart"/>
      <w:r w:rsidRPr="00E117D7">
        <w:rPr>
          <w:rFonts w:ascii="Arial" w:hAnsi="Arial"/>
          <w:lang w:val="en-GB"/>
        </w:rPr>
        <w:t>R.</w:t>
      </w:r>
      <w:proofErr w:type="gramEnd"/>
      <w:r w:rsidRPr="00E117D7">
        <w:rPr>
          <w:rFonts w:ascii="Arial" w:hAnsi="Arial"/>
          <w:lang w:val="en-GB"/>
        </w:rPr>
        <w:t xml:space="preserve"> and Sharma, M.K. (2021). Measures of Sustainability in Healthcare. Sustainability Analytics and </w:t>
      </w:r>
      <w:proofErr w:type="spellStart"/>
      <w:r w:rsidRPr="00E117D7">
        <w:rPr>
          <w:rFonts w:ascii="Arial" w:hAnsi="Arial"/>
          <w:lang w:val="en-GB"/>
        </w:rPr>
        <w:t>Modeling</w:t>
      </w:r>
      <w:proofErr w:type="spellEnd"/>
      <w:r w:rsidRPr="00E117D7">
        <w:rPr>
          <w:rFonts w:ascii="Arial" w:hAnsi="Arial"/>
          <w:lang w:val="en-GB"/>
        </w:rPr>
        <w:t xml:space="preserve">, 1, p.100001. </w:t>
      </w:r>
      <w:proofErr w:type="spellStart"/>
      <w:proofErr w:type="gramStart"/>
      <w:r w:rsidRPr="00E117D7">
        <w:rPr>
          <w:rFonts w:ascii="Arial" w:hAnsi="Arial"/>
          <w:lang w:val="en-GB"/>
        </w:rPr>
        <w:t>doi:https</w:t>
      </w:r>
      <w:proofErr w:type="spellEnd"/>
      <w:r w:rsidRPr="00E117D7">
        <w:rPr>
          <w:rFonts w:ascii="Arial" w:hAnsi="Arial"/>
          <w:lang w:val="en-GB"/>
        </w:rPr>
        <w:t>://doi.org/10.1016/j.samod.2021.100001</w:t>
      </w:r>
      <w:proofErr w:type="gramEnd"/>
      <w:r w:rsidRPr="00E117D7">
        <w:rPr>
          <w:rFonts w:ascii="Arial" w:hAnsi="Arial"/>
          <w:lang w:val="en-GB"/>
        </w:rPr>
        <w:t>.</w:t>
      </w:r>
    </w:p>
    <w:sectPr w:rsidR="004E58C4" w:rsidRPr="00E117D7">
      <w:footerReference w:type="default" r:id="rId22"/>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67B6A" w14:textId="77777777" w:rsidR="00D64053" w:rsidRDefault="00D64053">
      <w:r>
        <w:separator/>
      </w:r>
    </w:p>
  </w:endnote>
  <w:endnote w:type="continuationSeparator" w:id="0">
    <w:p w14:paraId="2235C8E0" w14:textId="77777777" w:rsidR="00D64053" w:rsidRDefault="00D64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CBB75" w14:textId="77777777" w:rsidR="004E58C4" w:rsidRDefault="00D64053">
    <w:pPr>
      <w:pStyle w:val="Footer"/>
    </w:pPr>
    <w:r>
      <w:rPr>
        <w:noProof/>
      </w:rPr>
      <mc:AlternateContent>
        <mc:Choice Requires="wps">
          <w:drawing>
            <wp:anchor distT="0" distB="0" distL="114300" distR="114300" simplePos="0" relativeHeight="251659264" behindDoc="0" locked="0" layoutInCell="1" allowOverlap="1" wp14:anchorId="7D278F4B" wp14:editId="71B118B2">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0D4672" w14:textId="77777777" w:rsidR="004E58C4" w:rsidRDefault="00D64053">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D278F4B" id="_x0000_t202" coordsize="21600,21600" o:spt="202" path="m,l,21600r21600,l21600,xe">
              <v:stroke joinstyle="miter"/>
              <v:path gradientshapeok="t" o:connecttype="rect"/>
            </v:shapetype>
            <v:shape id="Text Box 1"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" filled="f" stroked="f" strokeweight=".5pt">
              <v:textbox style="mso-fit-shape-to-text:t" inset="0,0,0,0">
                <w:txbxContent>
                  <w:p w14:paraId="320D4672" w14:textId="77777777" w:rsidR="004E58C4" w:rsidRDefault="00D64053">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7BBD0" w14:textId="77777777" w:rsidR="00D64053" w:rsidRDefault="00D64053">
      <w:r>
        <w:separator/>
      </w:r>
    </w:p>
  </w:footnote>
  <w:footnote w:type="continuationSeparator" w:id="0">
    <w:p w14:paraId="255B6FD8" w14:textId="77777777" w:rsidR="00D64053" w:rsidRDefault="00D640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2F436"/>
    <w:multiLevelType w:val="singleLevel"/>
    <w:tmpl w:val="11C2F436"/>
    <w:lvl w:ilvl="0">
      <w:start w:val="1"/>
      <w:numFmt w:val="decimal"/>
      <w:lvlText w:val="%1."/>
      <w:lvlJc w:val="left"/>
      <w:pPr>
        <w:tabs>
          <w:tab w:val="left" w:pos="425"/>
        </w:tabs>
        <w:ind w:left="425" w:hanging="425"/>
      </w:pPr>
      <w:rPr>
        <w:rFonts w:ascii="Arial" w:hAnsi="Arial" w:cs="Arial" w:hint="default"/>
      </w:rPr>
    </w:lvl>
  </w:abstractNum>
  <w:num w:numId="1" w16cid:durableId="911694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4C433E1E"/>
    <w:rsid w:val="0020568D"/>
    <w:rsid w:val="004E58C4"/>
    <w:rsid w:val="00D64053"/>
    <w:rsid w:val="00E117D7"/>
    <w:rsid w:val="00EE3467"/>
    <w:rsid w:val="055955FB"/>
    <w:rsid w:val="07A07C25"/>
    <w:rsid w:val="13B860EB"/>
    <w:rsid w:val="1C912007"/>
    <w:rsid w:val="1E3061C1"/>
    <w:rsid w:val="23C15C4E"/>
    <w:rsid w:val="3424559A"/>
    <w:rsid w:val="4AEA5FCA"/>
    <w:rsid w:val="4C433E1E"/>
    <w:rsid w:val="548D343F"/>
    <w:rsid w:val="66DC6ECE"/>
    <w:rsid w:val="6D0A1C6E"/>
    <w:rsid w:val="74FD53D2"/>
    <w:rsid w:val="7D975A1A"/>
    <w:rsid w:val="7DC204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BCFBA55"/>
  <w15:docId w15:val="{C792EFAA-44B8-E648-A4F8-35026091B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qFormat/>
    <w:pPr>
      <w:tabs>
        <w:tab w:val="center" w:pos="4153"/>
        <w:tab w:val="right" w:pos="8306"/>
      </w:tabs>
      <w:snapToGrid w:val="0"/>
    </w:pPr>
    <w:rPr>
      <w:sz w:val="18"/>
      <w:szCs w:val="18"/>
    </w:rPr>
  </w:style>
  <w:style w:type="character" w:styleId="Hyperlink">
    <w:name w:val="Hyperlink"/>
    <w:basedOn w:val="DefaultParagraphFont"/>
    <w:rPr>
      <w:color w:val="0000FF"/>
      <w:u w:val="single"/>
    </w:rPr>
  </w:style>
  <w:style w:type="paragraph" w:styleId="NormalWeb">
    <w:name w:val="Normal (Web)"/>
    <w:qFormat/>
    <w:pPr>
      <w:spacing w:beforeAutospacing="1" w:afterAutospacing="1"/>
    </w:pPr>
    <w:rPr>
      <w:sz w:val="24"/>
      <w:szCs w:val="24"/>
      <w:lang w:val="en-US" w:eastAsia="zh-CN"/>
    </w:rPr>
  </w:style>
  <w:style w:type="character" w:styleId="Strong">
    <w:name w:val="Strong"/>
    <w:basedOn w:val="DefaultParagraphFont"/>
    <w:qFormat/>
    <w:rPr>
      <w:b/>
      <w:bCs/>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dgs.un.org/goals/goal2." TargetMode="External"/><Relationship Id="rId13" Type="http://schemas.openxmlformats.org/officeDocument/2006/relationships/hyperlink" Target="https://sustainabledevelopment.un.org/content/documents/23678UK_12072019_UK_Voluntary_National_Review_2019.pdf." TargetMode="External"/><Relationship Id="rId18" Type="http://schemas.openxmlformats.org/officeDocument/2006/relationships/hyperlink" Target="https://assets.publishing.service.gov.uk/media/5be00437e5274a6e174bdac1/Prevention_is_better_than_cure_5-11.pdf." TargetMode="External"/><Relationship Id="rId3" Type="http://schemas.openxmlformats.org/officeDocument/2006/relationships/styles" Target="styles.xml"/><Relationship Id="rId21" Type="http://schemas.openxmlformats.org/officeDocument/2006/relationships/hyperlink" Target="https://www.gov.uk/government/publications/25-year-environment-plan." TargetMode="External"/><Relationship Id="rId7" Type="http://schemas.openxmlformats.org/officeDocument/2006/relationships/endnotes" Target="endnotes.xml"/><Relationship Id="rId12" Type="http://schemas.openxmlformats.org/officeDocument/2006/relationships/hyperlink" Target="https://www.gov.uk/government/publications/implementing-the-sustainable-development-goals/implementing-the-sustainable-development-goals--2." TargetMode="External"/><Relationship Id="rId17" Type="http://schemas.openxmlformats.org/officeDocument/2006/relationships/hyperlink" Target="https://www.gov.uk/government/publications/prevention-is-better-than-cure-our-vision-to-help-you-live-well-for-longer." TargetMode="External"/><Relationship Id="rId2" Type="http://schemas.openxmlformats.org/officeDocument/2006/relationships/numbering" Target="numbering.xml"/><Relationship Id="rId16" Type="http://schemas.openxmlformats.org/officeDocument/2006/relationships/hyperlink" Target="https://www.longtermplan.nhs.uk/." TargetMode="External"/><Relationship Id="rId20" Type="http://schemas.openxmlformats.org/officeDocument/2006/relationships/hyperlink" Target="https://council.science/wp-content/uploads/2017/03/SDGs-interactions-3-healthy-liv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lications.parliament.uk/pa/cm201719/cmselect/cmenvaud/1491/1491.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dgdata.gov.uk/3/." TargetMode="External"/><Relationship Id="rId23" Type="http://schemas.openxmlformats.org/officeDocument/2006/relationships/fontTable" Target="fontTable.xml"/><Relationship Id="rId10" Type="http://schemas.openxmlformats.org/officeDocument/2006/relationships/hyperlink" Target="https://sdg.iisd.org/commentary/guest-articles/four-ways-the-uk-is-behind-the-curve-on-sdg-implementation-and-what-to-do-about-it/." TargetMode="External"/><Relationship Id="rId19" Type="http://schemas.openxmlformats.org/officeDocument/2006/relationships/hyperlink" Target="https://www.who.int/europe/about-us/our-work/sustainable-development-goals/targets-of-sustainable-development-goal-3." TargetMode="External"/><Relationship Id="rId4" Type="http://schemas.openxmlformats.org/officeDocument/2006/relationships/settings" Target="settings.xml"/><Relationship Id="rId9" Type="http://schemas.openxmlformats.org/officeDocument/2006/relationships/hyperlink" Target="https://sdgdata.gov.uk/2/." TargetMode="External"/><Relationship Id="rId14" Type="http://schemas.openxmlformats.org/officeDocument/2006/relationships/hyperlink" Target="https://wrap.org.uk/taking-action/food-drink/initiatives." TargetMode="External"/><Relationship Id="rId22"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5108</Words>
  <Characters>34115</Characters>
  <Application>Microsoft Office Word</Application>
  <DocSecurity>0</DocSecurity>
  <Lines>284</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Zahra</dc:creator>
  <cp:lastModifiedBy>Malika Ali (2026355)</cp:lastModifiedBy>
  <cp:revision>2</cp:revision>
  <dcterms:created xsi:type="dcterms:W3CDTF">2023-11-18T00:57:00Z</dcterms:created>
  <dcterms:modified xsi:type="dcterms:W3CDTF">2023-11-18T00:57:00Z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1033-12.2.0.13266</vt:lpwstr>
  </property>
  <property fmtid="{D5CDD505-2E9C-101B-9397-08002B2CF9AE}" pid="3" name="ICV">
    <vt:lpwstr>B801678D6B6E468EA2E8ACC448574D62_13</vt:lpwstr>
  </property>
</Properties>
</file>