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2DFC6F" w14:textId="77777777" w:rsidR="00F51391" w:rsidRDefault="00F51391" w:rsidP="00F51391">
      <w:pPr>
        <w:rPr>
          <w:b/>
          <w:bCs/>
        </w:rPr>
      </w:pPr>
    </w:p>
    <w:p w14:paraId="52B70C2C" w14:textId="66546BDD" w:rsidR="00F51391" w:rsidRDefault="00F51391" w:rsidP="00F51391">
      <w:pPr>
        <w:rPr>
          <w:b/>
          <w:bCs/>
        </w:rPr>
      </w:pPr>
      <w:r w:rsidRPr="00F51391">
        <w:rPr>
          <w:b/>
          <w:bCs/>
          <w:noProof/>
        </w:rPr>
        <w:drawing>
          <wp:inline distT="0" distB="0" distL="0" distR="0" wp14:anchorId="4FBADFE4" wp14:editId="4F2C092A">
            <wp:extent cx="4659143" cy="1269348"/>
            <wp:effectExtent l="0" t="0" r="0" b="7620"/>
            <wp:docPr id="1025" name="Picture 1" descr="A black background with white text&#10;&#10;Description automatically generated">
              <a:extLst xmlns:a="http://schemas.openxmlformats.org/drawingml/2006/main">
                <a:ext uri="{FF2B5EF4-FFF2-40B4-BE49-F238E27FC236}">
                  <a16:creationId xmlns:a16="http://schemas.microsoft.com/office/drawing/2014/main" id="{90D98E3A-9277-2E89-9671-A0398D74C9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 descr="A black background with white text&#10;&#10;Description automatically generated">
                      <a:extLst>
                        <a:ext uri="{FF2B5EF4-FFF2-40B4-BE49-F238E27FC236}">
                          <a16:creationId xmlns:a16="http://schemas.microsoft.com/office/drawing/2014/main" id="{90D98E3A-9277-2E89-9671-A0398D74C9B4}"/>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9143" cy="1269348"/>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D9CA910" w14:textId="77777777" w:rsidR="00F51391" w:rsidRDefault="00F51391" w:rsidP="00F51391">
      <w:pPr>
        <w:rPr>
          <w:b/>
          <w:bCs/>
        </w:rPr>
      </w:pPr>
    </w:p>
    <w:p w14:paraId="7741B920" w14:textId="77777777" w:rsidR="00F51391" w:rsidRDefault="00F51391" w:rsidP="00F51391">
      <w:pPr>
        <w:rPr>
          <w:b/>
          <w:bCs/>
        </w:rPr>
      </w:pPr>
    </w:p>
    <w:p w14:paraId="40C9FB3C" w14:textId="77777777" w:rsidR="00F51391" w:rsidRDefault="00F51391" w:rsidP="00F51391">
      <w:pPr>
        <w:rPr>
          <w:b/>
          <w:bCs/>
        </w:rPr>
      </w:pPr>
    </w:p>
    <w:p w14:paraId="5C16C26A" w14:textId="77777777" w:rsidR="00F51391" w:rsidRPr="009F6C8A" w:rsidRDefault="00F51391" w:rsidP="009F6C8A">
      <w:pPr>
        <w:spacing w:line="360" w:lineRule="auto"/>
        <w:jc w:val="both"/>
        <w:rPr>
          <w:rFonts w:ascii="Arial" w:hAnsi="Arial" w:cs="Arial"/>
          <w:b/>
          <w:bCs/>
        </w:rPr>
      </w:pPr>
    </w:p>
    <w:p w14:paraId="15FFF2AA" w14:textId="77777777" w:rsidR="00F51391" w:rsidRPr="009F6C8A" w:rsidRDefault="00F51391" w:rsidP="009F6C8A">
      <w:pPr>
        <w:spacing w:line="360" w:lineRule="auto"/>
        <w:jc w:val="both"/>
        <w:rPr>
          <w:rFonts w:ascii="Arial" w:hAnsi="Arial" w:cs="Arial"/>
          <w:b/>
          <w:bCs/>
        </w:rPr>
      </w:pPr>
    </w:p>
    <w:p w14:paraId="6E3B13B4" w14:textId="77777777" w:rsidR="00F51391" w:rsidRPr="009F6C8A" w:rsidRDefault="00F51391" w:rsidP="009F6C8A">
      <w:pPr>
        <w:spacing w:line="360" w:lineRule="auto"/>
        <w:jc w:val="both"/>
        <w:rPr>
          <w:rFonts w:ascii="Arial" w:hAnsi="Arial" w:cs="Arial"/>
          <w:b/>
          <w:bCs/>
        </w:rPr>
      </w:pPr>
    </w:p>
    <w:p w14:paraId="3E80B389" w14:textId="77777777" w:rsidR="00F51391" w:rsidRPr="009F6C8A" w:rsidRDefault="00F51391" w:rsidP="009F6C8A">
      <w:pPr>
        <w:spacing w:line="360" w:lineRule="auto"/>
        <w:jc w:val="both"/>
        <w:rPr>
          <w:rFonts w:ascii="Arial" w:hAnsi="Arial" w:cs="Arial"/>
          <w:b/>
          <w:bCs/>
        </w:rPr>
      </w:pPr>
    </w:p>
    <w:p w14:paraId="0CE9D0DA" w14:textId="77777777" w:rsidR="00F51391" w:rsidRPr="009F6C8A" w:rsidRDefault="00F51391" w:rsidP="009F6C8A">
      <w:pPr>
        <w:spacing w:line="360" w:lineRule="auto"/>
        <w:jc w:val="both"/>
        <w:rPr>
          <w:rFonts w:ascii="Arial" w:hAnsi="Arial" w:cs="Arial"/>
          <w:b/>
          <w:bCs/>
        </w:rPr>
      </w:pPr>
    </w:p>
    <w:p w14:paraId="35EEE474" w14:textId="6A745B92" w:rsidR="00F51391" w:rsidRPr="009F6C8A" w:rsidRDefault="00F51391" w:rsidP="009F6C8A">
      <w:pPr>
        <w:spacing w:line="360" w:lineRule="auto"/>
        <w:jc w:val="both"/>
        <w:rPr>
          <w:rFonts w:ascii="Arial" w:hAnsi="Arial" w:cs="Arial"/>
        </w:rPr>
      </w:pPr>
      <w:r w:rsidRPr="009F6C8A">
        <w:rPr>
          <w:rFonts w:ascii="Arial" w:hAnsi="Arial" w:cs="Arial"/>
          <w:b/>
          <w:bCs/>
        </w:rPr>
        <w:t xml:space="preserve">BA(Hons) Business Management </w:t>
      </w:r>
    </w:p>
    <w:p w14:paraId="28BEF6BB" w14:textId="77777777" w:rsidR="00F51391" w:rsidRPr="009F6C8A" w:rsidRDefault="00F51391" w:rsidP="009F6C8A">
      <w:pPr>
        <w:spacing w:line="360" w:lineRule="auto"/>
        <w:jc w:val="both"/>
        <w:rPr>
          <w:rFonts w:ascii="Arial" w:hAnsi="Arial" w:cs="Arial"/>
        </w:rPr>
      </w:pPr>
      <w:r w:rsidRPr="009F6C8A">
        <w:rPr>
          <w:rFonts w:ascii="Arial" w:hAnsi="Arial" w:cs="Arial"/>
          <w:b/>
          <w:bCs/>
        </w:rPr>
        <w:t xml:space="preserve">Student Name: </w:t>
      </w:r>
      <w:r w:rsidRPr="009F6C8A">
        <w:rPr>
          <w:rFonts w:ascii="Arial" w:hAnsi="Arial" w:cs="Arial"/>
        </w:rPr>
        <w:t>Trofim Borta</w:t>
      </w:r>
    </w:p>
    <w:p w14:paraId="410C2D70" w14:textId="77777777" w:rsidR="00F51391" w:rsidRPr="009F6C8A" w:rsidRDefault="00F51391" w:rsidP="009F6C8A">
      <w:pPr>
        <w:spacing w:line="360" w:lineRule="auto"/>
        <w:jc w:val="both"/>
        <w:rPr>
          <w:rFonts w:ascii="Arial" w:hAnsi="Arial" w:cs="Arial"/>
        </w:rPr>
      </w:pPr>
      <w:r w:rsidRPr="009F6C8A">
        <w:rPr>
          <w:rFonts w:ascii="Arial" w:hAnsi="Arial" w:cs="Arial"/>
          <w:b/>
          <w:bCs/>
        </w:rPr>
        <w:t xml:space="preserve">Student Number: </w:t>
      </w:r>
      <w:r w:rsidRPr="009F6C8A">
        <w:rPr>
          <w:rFonts w:ascii="Arial" w:hAnsi="Arial" w:cs="Arial"/>
        </w:rPr>
        <w:t>2239414</w:t>
      </w:r>
    </w:p>
    <w:p w14:paraId="0B3802CC" w14:textId="10E16501" w:rsidR="00F51391" w:rsidRPr="009F6C8A" w:rsidRDefault="00F51391" w:rsidP="009F6C8A">
      <w:pPr>
        <w:spacing w:line="360" w:lineRule="auto"/>
        <w:jc w:val="both"/>
        <w:rPr>
          <w:rFonts w:ascii="Arial" w:hAnsi="Arial" w:cs="Arial"/>
        </w:rPr>
      </w:pPr>
      <w:r w:rsidRPr="009F6C8A">
        <w:rPr>
          <w:rFonts w:ascii="Arial" w:hAnsi="Arial" w:cs="Arial"/>
          <w:b/>
          <w:bCs/>
        </w:rPr>
        <w:t xml:space="preserve">Course Name: </w:t>
      </w:r>
      <w:r w:rsidRPr="009F6C8A">
        <w:rPr>
          <w:rFonts w:ascii="Arial" w:hAnsi="Arial" w:cs="Arial"/>
        </w:rPr>
        <w:t>International Business Communication</w:t>
      </w:r>
      <w:r w:rsidR="001934D2" w:rsidRPr="009F6C8A">
        <w:rPr>
          <w:rFonts w:ascii="Arial" w:hAnsi="Arial" w:cs="Arial"/>
        </w:rPr>
        <w:t>s</w:t>
      </w:r>
    </w:p>
    <w:p w14:paraId="7ED00F2B" w14:textId="77777777" w:rsidR="00F51391" w:rsidRPr="009F6C8A" w:rsidRDefault="00F51391" w:rsidP="009F6C8A">
      <w:pPr>
        <w:spacing w:line="360" w:lineRule="auto"/>
        <w:jc w:val="both"/>
        <w:rPr>
          <w:rFonts w:ascii="Arial" w:hAnsi="Arial" w:cs="Arial"/>
        </w:rPr>
      </w:pPr>
      <w:r w:rsidRPr="009F6C8A">
        <w:rPr>
          <w:rFonts w:ascii="Arial" w:hAnsi="Arial" w:cs="Arial"/>
          <w:b/>
          <w:bCs/>
        </w:rPr>
        <w:t>Course Code:</w:t>
      </w:r>
      <w:r w:rsidRPr="009F6C8A">
        <w:rPr>
          <w:rFonts w:ascii="Arial" w:hAnsi="Arial" w:cs="Arial"/>
        </w:rPr>
        <w:t xml:space="preserve">  LCBB6023</w:t>
      </w:r>
    </w:p>
    <w:p w14:paraId="0EE2D445" w14:textId="77777777" w:rsidR="00F51391" w:rsidRPr="009F6C8A" w:rsidRDefault="00F51391" w:rsidP="009F6C8A">
      <w:pPr>
        <w:spacing w:line="360" w:lineRule="auto"/>
        <w:jc w:val="both"/>
        <w:rPr>
          <w:rFonts w:ascii="Arial" w:hAnsi="Arial" w:cs="Arial"/>
        </w:rPr>
      </w:pPr>
      <w:r w:rsidRPr="009F6C8A">
        <w:rPr>
          <w:rFonts w:ascii="Arial" w:hAnsi="Arial" w:cs="Arial"/>
          <w:b/>
          <w:bCs/>
        </w:rPr>
        <w:t>Lecturer Name:</w:t>
      </w:r>
      <w:r w:rsidRPr="009F6C8A">
        <w:rPr>
          <w:rFonts w:ascii="Arial" w:hAnsi="Arial" w:cs="Arial"/>
        </w:rPr>
        <w:t xml:space="preserve"> Afzal Munna</w:t>
      </w:r>
    </w:p>
    <w:p w14:paraId="7791D382" w14:textId="221D06F0" w:rsidR="00F51391" w:rsidRPr="00084ED3" w:rsidRDefault="00F51391" w:rsidP="009F6C8A">
      <w:pPr>
        <w:spacing w:line="360" w:lineRule="auto"/>
        <w:jc w:val="both"/>
        <w:rPr>
          <w:rFonts w:ascii="Arial" w:hAnsi="Arial" w:cs="Arial"/>
        </w:rPr>
      </w:pPr>
      <w:r w:rsidRPr="009F6C8A">
        <w:rPr>
          <w:rFonts w:ascii="Arial" w:hAnsi="Arial" w:cs="Arial"/>
          <w:b/>
          <w:bCs/>
        </w:rPr>
        <w:t xml:space="preserve">Date: </w:t>
      </w:r>
      <w:r w:rsidRPr="00084ED3">
        <w:rPr>
          <w:rFonts w:ascii="Arial" w:hAnsi="Arial" w:cs="Arial"/>
        </w:rPr>
        <w:t>17 August 202</w:t>
      </w:r>
      <w:r w:rsidR="007272F6" w:rsidRPr="00084ED3">
        <w:rPr>
          <w:rFonts w:ascii="Arial" w:hAnsi="Arial" w:cs="Arial"/>
        </w:rPr>
        <w:t>6</w:t>
      </w:r>
    </w:p>
    <w:p w14:paraId="241A6551" w14:textId="30F35FF6" w:rsidR="00B20B44" w:rsidRPr="009F6C8A" w:rsidRDefault="00B20B44" w:rsidP="009F6C8A">
      <w:pPr>
        <w:spacing w:line="360" w:lineRule="auto"/>
        <w:jc w:val="both"/>
        <w:rPr>
          <w:rFonts w:ascii="Arial" w:hAnsi="Arial" w:cs="Arial"/>
          <w:b/>
          <w:bCs/>
        </w:rPr>
      </w:pPr>
      <w:r w:rsidRPr="009F6C8A">
        <w:rPr>
          <w:rFonts w:ascii="Arial" w:hAnsi="Arial" w:cs="Arial"/>
          <w:b/>
          <w:bCs/>
        </w:rPr>
        <w:t>Essay: Cross-Cultural Communication in the M&amp;G–Dai-ichi Life Strategic Partnership</w:t>
      </w:r>
    </w:p>
    <w:p w14:paraId="62F473E3" w14:textId="23AD9CA9" w:rsidR="00F51391" w:rsidRPr="009F6C8A" w:rsidRDefault="00F51391" w:rsidP="009F6C8A">
      <w:pPr>
        <w:spacing w:line="360" w:lineRule="auto"/>
        <w:jc w:val="both"/>
        <w:rPr>
          <w:rFonts w:ascii="Arial" w:hAnsi="Arial" w:cs="Arial"/>
        </w:rPr>
      </w:pPr>
    </w:p>
    <w:p w14:paraId="6A18F9C9" w14:textId="77777777" w:rsidR="00F51391" w:rsidRPr="009F6C8A" w:rsidRDefault="00F51391" w:rsidP="009F6C8A">
      <w:pPr>
        <w:spacing w:line="360" w:lineRule="auto"/>
        <w:jc w:val="both"/>
        <w:rPr>
          <w:rFonts w:ascii="Arial" w:hAnsi="Arial" w:cs="Arial"/>
        </w:rPr>
      </w:pPr>
    </w:p>
    <w:p w14:paraId="65067DA9" w14:textId="77777777" w:rsidR="00F51391" w:rsidRPr="009F6C8A" w:rsidRDefault="00F51391" w:rsidP="009F6C8A">
      <w:pPr>
        <w:spacing w:line="360" w:lineRule="auto"/>
        <w:jc w:val="both"/>
        <w:rPr>
          <w:rFonts w:ascii="Arial" w:hAnsi="Arial" w:cs="Arial"/>
        </w:rPr>
      </w:pPr>
    </w:p>
    <w:p w14:paraId="6AEBD2AF" w14:textId="77777777" w:rsidR="00F51391" w:rsidRPr="009F6C8A" w:rsidRDefault="00F51391" w:rsidP="009F6C8A">
      <w:pPr>
        <w:spacing w:line="360" w:lineRule="auto"/>
        <w:jc w:val="both"/>
        <w:rPr>
          <w:rFonts w:ascii="Arial" w:hAnsi="Arial" w:cs="Arial"/>
        </w:rPr>
      </w:pPr>
    </w:p>
    <w:sdt>
      <w:sdtPr>
        <w:rPr>
          <w:rFonts w:ascii="Arial" w:eastAsiaTheme="minorHAnsi" w:hAnsi="Arial" w:cs="Arial"/>
          <w:color w:val="auto"/>
          <w:kern w:val="2"/>
          <w:sz w:val="24"/>
          <w:szCs w:val="24"/>
          <w:lang w:val="en-GB"/>
          <w14:ligatures w14:val="standardContextual"/>
        </w:rPr>
        <w:id w:val="-1590461007"/>
        <w:docPartObj>
          <w:docPartGallery w:val="Table of Contents"/>
          <w:docPartUnique/>
        </w:docPartObj>
      </w:sdtPr>
      <w:sdtEndPr>
        <w:rPr>
          <w:b/>
          <w:bCs/>
          <w:noProof/>
        </w:rPr>
      </w:sdtEndPr>
      <w:sdtContent>
        <w:p w14:paraId="650960E7" w14:textId="116E5405" w:rsidR="007272F6" w:rsidRPr="009F6C8A" w:rsidRDefault="007272F6" w:rsidP="009F6C8A">
          <w:pPr>
            <w:pStyle w:val="TOCHeading"/>
            <w:spacing w:line="360" w:lineRule="auto"/>
            <w:jc w:val="both"/>
            <w:rPr>
              <w:rFonts w:ascii="Arial" w:hAnsi="Arial" w:cs="Arial"/>
              <w:b/>
              <w:bCs/>
              <w:color w:val="auto"/>
              <w:sz w:val="24"/>
              <w:szCs w:val="24"/>
            </w:rPr>
          </w:pPr>
          <w:r w:rsidRPr="009F6C8A">
            <w:rPr>
              <w:rFonts w:ascii="Arial" w:hAnsi="Arial" w:cs="Arial"/>
              <w:b/>
              <w:bCs/>
              <w:color w:val="auto"/>
              <w:sz w:val="24"/>
              <w:szCs w:val="24"/>
            </w:rPr>
            <w:t>Table of Contents</w:t>
          </w:r>
        </w:p>
        <w:p w14:paraId="5AE85186" w14:textId="77777777" w:rsidR="007272F6" w:rsidRPr="009F6C8A" w:rsidRDefault="007272F6" w:rsidP="009F6C8A">
          <w:pPr>
            <w:spacing w:line="360" w:lineRule="auto"/>
            <w:jc w:val="both"/>
            <w:rPr>
              <w:rFonts w:ascii="Arial" w:hAnsi="Arial" w:cs="Arial"/>
              <w:lang w:val="en-US"/>
            </w:rPr>
          </w:pPr>
        </w:p>
        <w:p w14:paraId="7573A196" w14:textId="38C20FD8" w:rsidR="0036045D" w:rsidRPr="009F6C8A" w:rsidRDefault="007272F6" w:rsidP="009F6C8A">
          <w:pPr>
            <w:pStyle w:val="TOC1"/>
            <w:tabs>
              <w:tab w:val="left" w:pos="480"/>
              <w:tab w:val="right" w:leader="dot" w:pos="9345"/>
            </w:tabs>
            <w:spacing w:line="360" w:lineRule="auto"/>
            <w:jc w:val="both"/>
            <w:rPr>
              <w:rFonts w:ascii="Arial" w:eastAsiaTheme="minorEastAsia" w:hAnsi="Arial" w:cs="Arial"/>
              <w:noProof/>
              <w:lang w:eastAsia="en-GB"/>
            </w:rPr>
          </w:pPr>
          <w:r w:rsidRPr="009F6C8A">
            <w:rPr>
              <w:rFonts w:ascii="Arial" w:hAnsi="Arial" w:cs="Arial"/>
            </w:rPr>
            <w:fldChar w:fldCharType="begin"/>
          </w:r>
          <w:r w:rsidRPr="009F6C8A">
            <w:rPr>
              <w:rFonts w:ascii="Arial" w:hAnsi="Arial" w:cs="Arial"/>
            </w:rPr>
            <w:instrText xml:space="preserve"> TOC \o "1-3" \h \z \u </w:instrText>
          </w:r>
          <w:r w:rsidRPr="009F6C8A">
            <w:rPr>
              <w:rFonts w:ascii="Arial" w:hAnsi="Arial" w:cs="Arial"/>
            </w:rPr>
            <w:fldChar w:fldCharType="separate"/>
          </w:r>
          <w:hyperlink w:anchor="_Toc235714714" w:history="1">
            <w:r w:rsidR="0036045D" w:rsidRPr="009F6C8A">
              <w:rPr>
                <w:rStyle w:val="Hyperlink"/>
                <w:rFonts w:ascii="Arial" w:hAnsi="Arial" w:cs="Arial"/>
                <w:b/>
                <w:bCs/>
                <w:noProof/>
              </w:rPr>
              <w:t>1.</w:t>
            </w:r>
            <w:r w:rsidR="0036045D" w:rsidRPr="009F6C8A">
              <w:rPr>
                <w:rFonts w:ascii="Arial" w:eastAsiaTheme="minorEastAsia" w:hAnsi="Arial" w:cs="Arial"/>
                <w:noProof/>
                <w:lang w:eastAsia="en-GB"/>
              </w:rPr>
              <w:tab/>
            </w:r>
            <w:r w:rsidR="0036045D" w:rsidRPr="009F6C8A">
              <w:rPr>
                <w:rStyle w:val="Hyperlink"/>
                <w:rFonts w:ascii="Arial" w:hAnsi="Arial" w:cs="Arial"/>
                <w:b/>
                <w:bCs/>
                <w:noProof/>
              </w:rPr>
              <w:t>Introduction</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_Toc235714714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1</w:t>
            </w:r>
            <w:r w:rsidR="0036045D" w:rsidRPr="009F6C8A">
              <w:rPr>
                <w:rFonts w:ascii="Arial" w:hAnsi="Arial" w:cs="Arial"/>
                <w:noProof/>
                <w:webHidden/>
              </w:rPr>
              <w:fldChar w:fldCharType="end"/>
            </w:r>
          </w:hyperlink>
        </w:p>
        <w:p w14:paraId="700AF42C" w14:textId="6E61EDB2" w:rsidR="0036045D" w:rsidRPr="009F6C8A" w:rsidRDefault="00000000" w:rsidP="009F6C8A">
          <w:pPr>
            <w:pStyle w:val="TOC1"/>
            <w:tabs>
              <w:tab w:val="right" w:leader="dot" w:pos="9345"/>
            </w:tabs>
            <w:spacing w:line="360" w:lineRule="auto"/>
            <w:jc w:val="both"/>
            <w:rPr>
              <w:rFonts w:ascii="Arial" w:eastAsiaTheme="minorEastAsia" w:hAnsi="Arial" w:cs="Arial"/>
              <w:noProof/>
              <w:lang w:eastAsia="en-GB"/>
            </w:rPr>
          </w:pPr>
          <w:hyperlink w:anchor="_Toc235714715" w:history="1">
            <w:r w:rsidR="0036045D" w:rsidRPr="009F6C8A">
              <w:rPr>
                <w:rStyle w:val="Hyperlink"/>
                <w:rFonts w:ascii="Arial" w:hAnsi="Arial" w:cs="Arial"/>
                <w:b/>
                <w:bCs/>
                <w:noProof/>
              </w:rPr>
              <w:t>2.  Strategic, market and theoretical context</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_Toc235714715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2</w:t>
            </w:r>
            <w:r w:rsidR="0036045D" w:rsidRPr="009F6C8A">
              <w:rPr>
                <w:rFonts w:ascii="Arial" w:hAnsi="Arial" w:cs="Arial"/>
                <w:noProof/>
                <w:webHidden/>
              </w:rPr>
              <w:fldChar w:fldCharType="end"/>
            </w:r>
          </w:hyperlink>
        </w:p>
        <w:p w14:paraId="6F461F69" w14:textId="2ED050FC" w:rsidR="0036045D" w:rsidRPr="009F6C8A" w:rsidRDefault="00000000" w:rsidP="009F6C8A">
          <w:pPr>
            <w:pStyle w:val="TOC2"/>
            <w:tabs>
              <w:tab w:val="right" w:leader="dot" w:pos="9345"/>
            </w:tabs>
            <w:spacing w:line="360" w:lineRule="auto"/>
            <w:jc w:val="both"/>
            <w:rPr>
              <w:rFonts w:ascii="Arial" w:eastAsiaTheme="minorEastAsia" w:hAnsi="Arial" w:cs="Arial"/>
              <w:noProof/>
              <w:lang w:eastAsia="en-GB"/>
            </w:rPr>
          </w:pPr>
          <w:hyperlink w:anchor="_Toc235714716" w:history="1">
            <w:r w:rsidR="0036045D" w:rsidRPr="009F6C8A">
              <w:rPr>
                <w:rStyle w:val="Hyperlink"/>
                <w:rFonts w:ascii="Arial" w:hAnsi="Arial" w:cs="Arial"/>
                <w:b/>
                <w:bCs/>
                <w:noProof/>
              </w:rPr>
              <w:t>Figure 1: Cultural-dimension comparison between Japan and the United Kingdom</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_Toc235714716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3</w:t>
            </w:r>
            <w:r w:rsidR="0036045D" w:rsidRPr="009F6C8A">
              <w:rPr>
                <w:rFonts w:ascii="Arial" w:hAnsi="Arial" w:cs="Arial"/>
                <w:noProof/>
                <w:webHidden/>
              </w:rPr>
              <w:fldChar w:fldCharType="end"/>
            </w:r>
          </w:hyperlink>
        </w:p>
        <w:p w14:paraId="703000D8" w14:textId="38BCE041" w:rsidR="0036045D" w:rsidRPr="009F6C8A" w:rsidRDefault="00000000" w:rsidP="009F6C8A">
          <w:pPr>
            <w:pStyle w:val="TOC1"/>
            <w:tabs>
              <w:tab w:val="left" w:pos="480"/>
              <w:tab w:val="right" w:leader="dot" w:pos="9345"/>
            </w:tabs>
            <w:spacing w:line="360" w:lineRule="auto"/>
            <w:jc w:val="both"/>
            <w:rPr>
              <w:rFonts w:ascii="Arial" w:eastAsiaTheme="minorEastAsia" w:hAnsi="Arial" w:cs="Arial"/>
              <w:noProof/>
              <w:lang w:eastAsia="en-GB"/>
            </w:rPr>
          </w:pPr>
          <w:hyperlink w:anchor="_Toc235714717" w:history="1">
            <w:r w:rsidR="0036045D" w:rsidRPr="009F6C8A">
              <w:rPr>
                <w:rStyle w:val="Hyperlink"/>
                <w:rFonts w:ascii="Arial" w:hAnsi="Arial" w:cs="Arial"/>
                <w:b/>
                <w:bCs/>
                <w:noProof/>
              </w:rPr>
              <w:t>3.</w:t>
            </w:r>
            <w:r w:rsidR="0036045D" w:rsidRPr="009F6C8A">
              <w:rPr>
                <w:rFonts w:ascii="Arial" w:eastAsiaTheme="minorEastAsia" w:hAnsi="Arial" w:cs="Arial"/>
                <w:noProof/>
                <w:lang w:eastAsia="en-GB"/>
              </w:rPr>
              <w:tab/>
            </w:r>
            <w:r w:rsidR="0036045D" w:rsidRPr="009F6C8A">
              <w:rPr>
                <w:rStyle w:val="Hyperlink"/>
                <w:rFonts w:ascii="Arial" w:hAnsi="Arial" w:cs="Arial"/>
                <w:b/>
                <w:bCs/>
                <w:noProof/>
              </w:rPr>
              <w:t>Communication during product governance and regulatory approval</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_Toc235714717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3</w:t>
            </w:r>
            <w:r w:rsidR="0036045D" w:rsidRPr="009F6C8A">
              <w:rPr>
                <w:rFonts w:ascii="Arial" w:hAnsi="Arial" w:cs="Arial"/>
                <w:noProof/>
                <w:webHidden/>
              </w:rPr>
              <w:fldChar w:fldCharType="end"/>
            </w:r>
          </w:hyperlink>
        </w:p>
        <w:p w14:paraId="7C9D487D" w14:textId="37566E2F" w:rsidR="0036045D" w:rsidRPr="009F6C8A" w:rsidRDefault="00000000" w:rsidP="009F6C8A">
          <w:pPr>
            <w:pStyle w:val="TOC1"/>
            <w:tabs>
              <w:tab w:val="left" w:pos="480"/>
              <w:tab w:val="right" w:leader="dot" w:pos="9345"/>
            </w:tabs>
            <w:spacing w:line="360" w:lineRule="auto"/>
            <w:jc w:val="both"/>
            <w:rPr>
              <w:rFonts w:ascii="Arial" w:eastAsiaTheme="minorEastAsia" w:hAnsi="Arial" w:cs="Arial"/>
              <w:noProof/>
              <w:lang w:eastAsia="en-GB"/>
            </w:rPr>
          </w:pPr>
          <w:hyperlink w:anchor="_Toc235714718" w:history="1">
            <w:r w:rsidR="0036045D" w:rsidRPr="009F6C8A">
              <w:rPr>
                <w:rStyle w:val="Hyperlink"/>
                <w:rFonts w:ascii="Arial" w:hAnsi="Arial" w:cs="Arial"/>
                <w:b/>
                <w:bCs/>
                <w:noProof/>
              </w:rPr>
              <w:t>4.</w:t>
            </w:r>
            <w:r w:rsidR="0036045D" w:rsidRPr="009F6C8A">
              <w:rPr>
                <w:rFonts w:ascii="Arial" w:eastAsiaTheme="minorEastAsia" w:hAnsi="Arial" w:cs="Arial"/>
                <w:noProof/>
                <w:lang w:eastAsia="en-GB"/>
              </w:rPr>
              <w:tab/>
            </w:r>
            <w:r w:rsidR="0036045D" w:rsidRPr="009F6C8A">
              <w:rPr>
                <w:rStyle w:val="Hyperlink"/>
                <w:rFonts w:ascii="Arial" w:hAnsi="Arial" w:cs="Arial"/>
                <w:b/>
                <w:bCs/>
                <w:noProof/>
              </w:rPr>
              <w:t>Customer communication and Japanese distribution</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_Toc235714718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4</w:t>
            </w:r>
            <w:r w:rsidR="0036045D" w:rsidRPr="009F6C8A">
              <w:rPr>
                <w:rFonts w:ascii="Arial" w:hAnsi="Arial" w:cs="Arial"/>
                <w:noProof/>
                <w:webHidden/>
              </w:rPr>
              <w:fldChar w:fldCharType="end"/>
            </w:r>
          </w:hyperlink>
        </w:p>
        <w:p w14:paraId="38F2E483" w14:textId="15739BB8" w:rsidR="0036045D" w:rsidRPr="009F6C8A" w:rsidRDefault="00000000" w:rsidP="009F6C8A">
          <w:pPr>
            <w:pStyle w:val="TOC1"/>
            <w:tabs>
              <w:tab w:val="left" w:pos="480"/>
              <w:tab w:val="right" w:leader="dot" w:pos="9345"/>
            </w:tabs>
            <w:spacing w:line="360" w:lineRule="auto"/>
            <w:jc w:val="both"/>
            <w:rPr>
              <w:rFonts w:ascii="Arial" w:eastAsiaTheme="minorEastAsia" w:hAnsi="Arial" w:cs="Arial"/>
              <w:noProof/>
              <w:lang w:eastAsia="en-GB"/>
            </w:rPr>
          </w:pPr>
          <w:hyperlink w:anchor="_Toc235714719" w:history="1">
            <w:r w:rsidR="0036045D" w:rsidRPr="009F6C8A">
              <w:rPr>
                <w:rStyle w:val="Hyperlink"/>
                <w:rFonts w:ascii="Arial" w:hAnsi="Arial" w:cs="Arial"/>
                <w:b/>
                <w:bCs/>
                <w:noProof/>
              </w:rPr>
              <w:t>5.</w:t>
            </w:r>
            <w:r w:rsidR="0036045D" w:rsidRPr="009F6C8A">
              <w:rPr>
                <w:rFonts w:ascii="Arial" w:eastAsiaTheme="minorEastAsia" w:hAnsi="Arial" w:cs="Arial"/>
                <w:noProof/>
                <w:lang w:eastAsia="en-GB"/>
              </w:rPr>
              <w:tab/>
            </w:r>
            <w:r w:rsidR="0036045D" w:rsidRPr="009F6C8A">
              <w:rPr>
                <w:rStyle w:val="Hyperlink"/>
                <w:rFonts w:ascii="Arial" w:hAnsi="Arial" w:cs="Arial"/>
                <w:b/>
                <w:bCs/>
                <w:noProof/>
              </w:rPr>
              <w:t>Risk escalation, hierarchy, and specialist knowledge</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_Toc235714719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5</w:t>
            </w:r>
            <w:r w:rsidR="0036045D" w:rsidRPr="009F6C8A">
              <w:rPr>
                <w:rFonts w:ascii="Arial" w:hAnsi="Arial" w:cs="Arial"/>
                <w:noProof/>
                <w:webHidden/>
              </w:rPr>
              <w:fldChar w:fldCharType="end"/>
            </w:r>
          </w:hyperlink>
        </w:p>
        <w:p w14:paraId="59354E3B" w14:textId="2FAEA6D7" w:rsidR="0036045D" w:rsidRPr="009F6C8A" w:rsidRDefault="00000000" w:rsidP="009F6C8A">
          <w:pPr>
            <w:pStyle w:val="TOC1"/>
            <w:tabs>
              <w:tab w:val="left" w:pos="480"/>
              <w:tab w:val="right" w:leader="dot" w:pos="9345"/>
            </w:tabs>
            <w:spacing w:line="360" w:lineRule="auto"/>
            <w:jc w:val="both"/>
            <w:rPr>
              <w:rFonts w:ascii="Arial" w:eastAsiaTheme="minorEastAsia" w:hAnsi="Arial" w:cs="Arial"/>
              <w:noProof/>
              <w:lang w:eastAsia="en-GB"/>
            </w:rPr>
          </w:pPr>
          <w:hyperlink w:anchor="_Toc235714720" w:history="1">
            <w:r w:rsidR="0036045D" w:rsidRPr="009F6C8A">
              <w:rPr>
                <w:rStyle w:val="Hyperlink"/>
                <w:rFonts w:ascii="Arial" w:hAnsi="Arial" w:cs="Arial"/>
                <w:b/>
                <w:bCs/>
                <w:noProof/>
              </w:rPr>
              <w:t>6.</w:t>
            </w:r>
            <w:r w:rsidR="0036045D" w:rsidRPr="009F6C8A">
              <w:rPr>
                <w:rFonts w:ascii="Arial" w:eastAsiaTheme="minorEastAsia" w:hAnsi="Arial" w:cs="Arial"/>
                <w:noProof/>
                <w:lang w:eastAsia="en-GB"/>
              </w:rPr>
              <w:tab/>
            </w:r>
            <w:r w:rsidR="0036045D" w:rsidRPr="009F6C8A">
              <w:rPr>
                <w:rStyle w:val="Hyperlink"/>
                <w:rFonts w:ascii="Arial" w:hAnsi="Arial" w:cs="Arial"/>
                <w:b/>
                <w:bCs/>
                <w:noProof/>
              </w:rPr>
              <w:t>Consultation and joint product decisions</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_Toc235714720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5</w:t>
            </w:r>
            <w:r w:rsidR="0036045D" w:rsidRPr="009F6C8A">
              <w:rPr>
                <w:rFonts w:ascii="Arial" w:hAnsi="Arial" w:cs="Arial"/>
                <w:noProof/>
                <w:webHidden/>
              </w:rPr>
              <w:fldChar w:fldCharType="end"/>
            </w:r>
          </w:hyperlink>
        </w:p>
        <w:p w14:paraId="6D0702B3" w14:textId="209243BB" w:rsidR="0036045D" w:rsidRPr="009F6C8A" w:rsidRDefault="00000000" w:rsidP="009F6C8A">
          <w:pPr>
            <w:pStyle w:val="TOC1"/>
            <w:tabs>
              <w:tab w:val="left" w:pos="480"/>
              <w:tab w:val="right" w:leader="dot" w:pos="9345"/>
            </w:tabs>
            <w:spacing w:line="360" w:lineRule="auto"/>
            <w:jc w:val="both"/>
            <w:rPr>
              <w:rFonts w:ascii="Arial" w:eastAsiaTheme="minorEastAsia" w:hAnsi="Arial" w:cs="Arial"/>
              <w:noProof/>
              <w:lang w:eastAsia="en-GB"/>
            </w:rPr>
          </w:pPr>
          <w:hyperlink w:anchor="_Toc235714721" w:history="1">
            <w:r w:rsidR="0036045D" w:rsidRPr="009F6C8A">
              <w:rPr>
                <w:rStyle w:val="Hyperlink"/>
                <w:rFonts w:ascii="Arial" w:hAnsi="Arial" w:cs="Arial"/>
                <w:b/>
                <w:bCs/>
                <w:noProof/>
              </w:rPr>
              <w:t>7.</w:t>
            </w:r>
            <w:r w:rsidR="0036045D" w:rsidRPr="009F6C8A">
              <w:rPr>
                <w:rFonts w:ascii="Arial" w:eastAsiaTheme="minorEastAsia" w:hAnsi="Arial" w:cs="Arial"/>
                <w:noProof/>
                <w:lang w:eastAsia="en-GB"/>
              </w:rPr>
              <w:tab/>
            </w:r>
            <w:r w:rsidR="0036045D" w:rsidRPr="009F6C8A">
              <w:rPr>
                <w:rStyle w:val="Hyperlink"/>
                <w:rFonts w:ascii="Arial" w:hAnsi="Arial" w:cs="Arial"/>
                <w:b/>
                <w:bCs/>
                <w:noProof/>
              </w:rPr>
              <w:t>Language, expertise, and power in joint meetings</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_Toc235714721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6</w:t>
            </w:r>
            <w:r w:rsidR="0036045D" w:rsidRPr="009F6C8A">
              <w:rPr>
                <w:rFonts w:ascii="Arial" w:hAnsi="Arial" w:cs="Arial"/>
                <w:noProof/>
                <w:webHidden/>
              </w:rPr>
              <w:fldChar w:fldCharType="end"/>
            </w:r>
          </w:hyperlink>
        </w:p>
        <w:p w14:paraId="40FF81FE" w14:textId="4FDB6E7D" w:rsidR="0036045D" w:rsidRPr="009F6C8A" w:rsidRDefault="00000000" w:rsidP="009F6C8A">
          <w:pPr>
            <w:pStyle w:val="TOC1"/>
            <w:tabs>
              <w:tab w:val="left" w:pos="480"/>
              <w:tab w:val="right" w:leader="dot" w:pos="9345"/>
            </w:tabs>
            <w:spacing w:line="360" w:lineRule="auto"/>
            <w:jc w:val="both"/>
            <w:rPr>
              <w:rFonts w:ascii="Arial" w:eastAsiaTheme="minorEastAsia" w:hAnsi="Arial" w:cs="Arial"/>
              <w:noProof/>
              <w:lang w:eastAsia="en-GB"/>
            </w:rPr>
          </w:pPr>
          <w:hyperlink w:anchor="_Toc235714722" w:history="1">
            <w:r w:rsidR="0036045D" w:rsidRPr="009F6C8A">
              <w:rPr>
                <w:rStyle w:val="Hyperlink"/>
                <w:rFonts w:ascii="Arial" w:hAnsi="Arial" w:cs="Arial"/>
                <w:b/>
                <w:bCs/>
                <w:noProof/>
              </w:rPr>
              <w:t>8.</w:t>
            </w:r>
            <w:r w:rsidR="0036045D" w:rsidRPr="009F6C8A">
              <w:rPr>
                <w:rFonts w:ascii="Arial" w:eastAsiaTheme="minorEastAsia" w:hAnsi="Arial" w:cs="Arial"/>
                <w:noProof/>
                <w:lang w:eastAsia="en-GB"/>
              </w:rPr>
              <w:tab/>
            </w:r>
            <w:r w:rsidR="0036045D" w:rsidRPr="009F6C8A">
              <w:rPr>
                <w:rStyle w:val="Hyperlink"/>
                <w:rFonts w:ascii="Arial" w:hAnsi="Arial" w:cs="Arial"/>
                <w:b/>
                <w:bCs/>
                <w:noProof/>
              </w:rPr>
              <w:t>National, organisational, and professional cultures</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_Toc235714722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7</w:t>
            </w:r>
            <w:r w:rsidR="0036045D" w:rsidRPr="009F6C8A">
              <w:rPr>
                <w:rFonts w:ascii="Arial" w:hAnsi="Arial" w:cs="Arial"/>
                <w:noProof/>
                <w:webHidden/>
              </w:rPr>
              <w:fldChar w:fldCharType="end"/>
            </w:r>
          </w:hyperlink>
        </w:p>
        <w:p w14:paraId="252AB595" w14:textId="524A67F0" w:rsidR="0036045D" w:rsidRPr="009F6C8A" w:rsidRDefault="00000000" w:rsidP="009F6C8A">
          <w:pPr>
            <w:pStyle w:val="TOC1"/>
            <w:tabs>
              <w:tab w:val="left" w:pos="480"/>
              <w:tab w:val="right" w:leader="dot" w:pos="9345"/>
            </w:tabs>
            <w:spacing w:line="360" w:lineRule="auto"/>
            <w:jc w:val="both"/>
            <w:rPr>
              <w:rFonts w:ascii="Arial" w:eastAsiaTheme="minorEastAsia" w:hAnsi="Arial" w:cs="Arial"/>
              <w:noProof/>
              <w:lang w:eastAsia="en-GB"/>
            </w:rPr>
          </w:pPr>
          <w:hyperlink w:anchor="_Toc235714723" w:history="1">
            <w:r w:rsidR="0036045D" w:rsidRPr="009F6C8A">
              <w:rPr>
                <w:rStyle w:val="Hyperlink"/>
                <w:rFonts w:ascii="Arial" w:hAnsi="Arial" w:cs="Arial"/>
                <w:b/>
                <w:bCs/>
                <w:noProof/>
              </w:rPr>
              <w:t>9.</w:t>
            </w:r>
            <w:r w:rsidR="0036045D" w:rsidRPr="009F6C8A">
              <w:rPr>
                <w:rFonts w:ascii="Arial" w:eastAsiaTheme="minorEastAsia" w:hAnsi="Arial" w:cs="Arial"/>
                <w:noProof/>
                <w:lang w:eastAsia="en-GB"/>
              </w:rPr>
              <w:tab/>
            </w:r>
            <w:r w:rsidR="0036045D" w:rsidRPr="009F6C8A">
              <w:rPr>
                <w:rStyle w:val="Hyperlink"/>
                <w:rFonts w:ascii="Arial" w:hAnsi="Arial" w:cs="Arial"/>
                <w:b/>
                <w:bCs/>
                <w:noProof/>
              </w:rPr>
              <w:t>A communication system for the partnership</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_Toc235714723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7</w:t>
            </w:r>
            <w:r w:rsidR="0036045D" w:rsidRPr="009F6C8A">
              <w:rPr>
                <w:rFonts w:ascii="Arial" w:hAnsi="Arial" w:cs="Arial"/>
                <w:noProof/>
                <w:webHidden/>
              </w:rPr>
              <w:fldChar w:fldCharType="end"/>
            </w:r>
          </w:hyperlink>
        </w:p>
        <w:p w14:paraId="7284D377" w14:textId="31AC9C54" w:rsidR="0036045D" w:rsidRPr="009F6C8A" w:rsidRDefault="00000000" w:rsidP="009F6C8A">
          <w:pPr>
            <w:pStyle w:val="TOC1"/>
            <w:tabs>
              <w:tab w:val="left" w:pos="720"/>
              <w:tab w:val="right" w:leader="dot" w:pos="9345"/>
            </w:tabs>
            <w:spacing w:line="360" w:lineRule="auto"/>
            <w:jc w:val="both"/>
            <w:rPr>
              <w:rFonts w:ascii="Arial" w:eastAsiaTheme="minorEastAsia" w:hAnsi="Arial" w:cs="Arial"/>
              <w:noProof/>
              <w:lang w:eastAsia="en-GB"/>
            </w:rPr>
          </w:pPr>
          <w:hyperlink w:anchor="_Toc235714724" w:history="1">
            <w:r w:rsidR="0036045D" w:rsidRPr="009F6C8A">
              <w:rPr>
                <w:rStyle w:val="Hyperlink"/>
                <w:rFonts w:ascii="Arial" w:hAnsi="Arial" w:cs="Arial"/>
                <w:b/>
                <w:bCs/>
                <w:noProof/>
              </w:rPr>
              <w:t>10.</w:t>
            </w:r>
            <w:r w:rsidR="009F6C8A" w:rsidRPr="009F6C8A">
              <w:rPr>
                <w:rFonts w:ascii="Arial" w:eastAsiaTheme="minorEastAsia" w:hAnsi="Arial" w:cs="Arial"/>
                <w:noProof/>
                <w:lang w:eastAsia="en-GB"/>
              </w:rPr>
              <w:t xml:space="preserve"> </w:t>
            </w:r>
            <w:r w:rsidR="0036045D" w:rsidRPr="009F6C8A">
              <w:rPr>
                <w:rStyle w:val="Hyperlink"/>
                <w:rFonts w:ascii="Arial" w:hAnsi="Arial" w:cs="Arial"/>
                <w:b/>
                <w:bCs/>
                <w:noProof/>
              </w:rPr>
              <w:t>Conclusion</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_Toc235714724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8</w:t>
            </w:r>
            <w:r w:rsidR="0036045D" w:rsidRPr="009F6C8A">
              <w:rPr>
                <w:rFonts w:ascii="Arial" w:hAnsi="Arial" w:cs="Arial"/>
                <w:noProof/>
                <w:webHidden/>
              </w:rPr>
              <w:fldChar w:fldCharType="end"/>
            </w:r>
          </w:hyperlink>
        </w:p>
        <w:p w14:paraId="6CB1813A" w14:textId="77328E89" w:rsidR="0036045D" w:rsidRPr="009F6C8A" w:rsidRDefault="00000000" w:rsidP="009F6C8A">
          <w:pPr>
            <w:pStyle w:val="TOC1"/>
            <w:tabs>
              <w:tab w:val="right" w:leader="dot" w:pos="9345"/>
            </w:tabs>
            <w:spacing w:line="360" w:lineRule="auto"/>
            <w:jc w:val="both"/>
            <w:rPr>
              <w:rFonts w:ascii="Arial" w:eastAsiaTheme="minorEastAsia" w:hAnsi="Arial" w:cs="Arial"/>
              <w:noProof/>
              <w:lang w:eastAsia="en-GB"/>
            </w:rPr>
          </w:pPr>
          <w:hyperlink w:anchor="_Toc235714725" w:history="1">
            <w:r w:rsidR="0036045D" w:rsidRPr="009F6C8A">
              <w:rPr>
                <w:rStyle w:val="Hyperlink"/>
                <w:rFonts w:ascii="Arial" w:hAnsi="Arial" w:cs="Arial"/>
                <w:b/>
                <w:bCs/>
                <w:noProof/>
              </w:rPr>
              <w:t>References</w:t>
            </w:r>
            <w:r w:rsidR="0036045D" w:rsidRPr="009F6C8A">
              <w:rPr>
                <w:rFonts w:ascii="Arial" w:hAnsi="Arial" w:cs="Arial"/>
                <w:noProof/>
                <w:webHidden/>
              </w:rPr>
              <w:tab/>
            </w:r>
            <w:r w:rsidR="0036045D" w:rsidRPr="009F6C8A">
              <w:rPr>
                <w:rFonts w:ascii="Arial" w:hAnsi="Arial" w:cs="Arial"/>
                <w:noProof/>
                <w:webHidden/>
              </w:rPr>
              <w:fldChar w:fldCharType="begin"/>
            </w:r>
            <w:r w:rsidR="0036045D" w:rsidRPr="009F6C8A">
              <w:rPr>
                <w:rFonts w:ascii="Arial" w:hAnsi="Arial" w:cs="Arial"/>
                <w:noProof/>
                <w:webHidden/>
              </w:rPr>
              <w:instrText xml:space="preserve"> PAGEREF _Toc235714725 \h </w:instrText>
            </w:r>
            <w:r w:rsidR="0036045D" w:rsidRPr="009F6C8A">
              <w:rPr>
                <w:rFonts w:ascii="Arial" w:hAnsi="Arial" w:cs="Arial"/>
                <w:noProof/>
                <w:webHidden/>
              </w:rPr>
            </w:r>
            <w:r w:rsidR="0036045D" w:rsidRPr="009F6C8A">
              <w:rPr>
                <w:rFonts w:ascii="Arial" w:hAnsi="Arial" w:cs="Arial"/>
                <w:noProof/>
                <w:webHidden/>
              </w:rPr>
              <w:fldChar w:fldCharType="separate"/>
            </w:r>
            <w:r w:rsidR="0036045D" w:rsidRPr="009F6C8A">
              <w:rPr>
                <w:rFonts w:ascii="Arial" w:hAnsi="Arial" w:cs="Arial"/>
                <w:noProof/>
                <w:webHidden/>
              </w:rPr>
              <w:t>10</w:t>
            </w:r>
            <w:r w:rsidR="0036045D" w:rsidRPr="009F6C8A">
              <w:rPr>
                <w:rFonts w:ascii="Arial" w:hAnsi="Arial" w:cs="Arial"/>
                <w:noProof/>
                <w:webHidden/>
              </w:rPr>
              <w:fldChar w:fldCharType="end"/>
            </w:r>
          </w:hyperlink>
        </w:p>
        <w:p w14:paraId="33D75C41" w14:textId="70B777CB" w:rsidR="007272F6" w:rsidRPr="009F6C8A" w:rsidRDefault="007272F6" w:rsidP="009F6C8A">
          <w:pPr>
            <w:spacing w:line="360" w:lineRule="auto"/>
            <w:jc w:val="both"/>
            <w:rPr>
              <w:rFonts w:ascii="Arial" w:hAnsi="Arial" w:cs="Arial"/>
            </w:rPr>
          </w:pPr>
          <w:r w:rsidRPr="009F6C8A">
            <w:rPr>
              <w:rFonts w:ascii="Arial" w:hAnsi="Arial" w:cs="Arial"/>
              <w:b/>
              <w:bCs/>
              <w:noProof/>
            </w:rPr>
            <w:fldChar w:fldCharType="end"/>
          </w:r>
        </w:p>
      </w:sdtContent>
    </w:sdt>
    <w:p w14:paraId="04602E7F" w14:textId="77777777" w:rsidR="00F51391" w:rsidRPr="009F6C8A" w:rsidRDefault="00F51391" w:rsidP="009F6C8A">
      <w:pPr>
        <w:spacing w:line="360" w:lineRule="auto"/>
        <w:jc w:val="both"/>
        <w:rPr>
          <w:rFonts w:ascii="Arial" w:hAnsi="Arial" w:cs="Arial"/>
        </w:rPr>
      </w:pPr>
    </w:p>
    <w:p w14:paraId="701DD7BD" w14:textId="77777777" w:rsidR="00F51391" w:rsidRPr="009F6C8A" w:rsidRDefault="00F51391" w:rsidP="009F6C8A">
      <w:pPr>
        <w:spacing w:line="360" w:lineRule="auto"/>
        <w:jc w:val="both"/>
        <w:rPr>
          <w:rFonts w:ascii="Arial" w:hAnsi="Arial" w:cs="Arial"/>
        </w:rPr>
      </w:pPr>
    </w:p>
    <w:p w14:paraId="1004B163" w14:textId="77777777" w:rsidR="00F51391" w:rsidRPr="009F6C8A" w:rsidRDefault="00F51391" w:rsidP="009F6C8A">
      <w:pPr>
        <w:spacing w:line="360" w:lineRule="auto"/>
        <w:jc w:val="both"/>
        <w:rPr>
          <w:rFonts w:ascii="Arial" w:hAnsi="Arial" w:cs="Arial"/>
        </w:rPr>
      </w:pPr>
    </w:p>
    <w:p w14:paraId="2201B38C" w14:textId="77777777" w:rsidR="00F51391" w:rsidRPr="009F6C8A" w:rsidRDefault="00F51391" w:rsidP="009F6C8A">
      <w:pPr>
        <w:spacing w:line="360" w:lineRule="auto"/>
        <w:jc w:val="both"/>
        <w:rPr>
          <w:rFonts w:ascii="Arial" w:hAnsi="Arial" w:cs="Arial"/>
        </w:rPr>
      </w:pPr>
    </w:p>
    <w:p w14:paraId="79474329" w14:textId="77777777" w:rsidR="00F51391" w:rsidRPr="009F6C8A" w:rsidRDefault="00F51391" w:rsidP="009F6C8A">
      <w:pPr>
        <w:spacing w:line="360" w:lineRule="auto"/>
        <w:jc w:val="both"/>
        <w:rPr>
          <w:rFonts w:ascii="Arial" w:hAnsi="Arial" w:cs="Arial"/>
        </w:rPr>
      </w:pPr>
    </w:p>
    <w:p w14:paraId="7A3EF44F" w14:textId="77777777" w:rsidR="007272F6" w:rsidRPr="009F6C8A" w:rsidRDefault="007272F6" w:rsidP="009F6C8A">
      <w:pPr>
        <w:spacing w:line="360" w:lineRule="auto"/>
        <w:jc w:val="both"/>
        <w:rPr>
          <w:rFonts w:ascii="Arial" w:hAnsi="Arial" w:cs="Arial"/>
        </w:rPr>
        <w:sectPr w:rsidR="007272F6" w:rsidRPr="009F6C8A">
          <w:pgSz w:w="11906" w:h="16838"/>
          <w:pgMar w:top="1134" w:right="850" w:bottom="1134" w:left="1701" w:header="708" w:footer="708" w:gutter="0"/>
          <w:cols w:space="708"/>
          <w:docGrid w:linePitch="360"/>
        </w:sectPr>
      </w:pPr>
    </w:p>
    <w:p w14:paraId="2D6E91A1" w14:textId="77777777" w:rsidR="00002220" w:rsidRPr="009F6C8A" w:rsidRDefault="00002220" w:rsidP="009F6C8A">
      <w:pPr>
        <w:spacing w:line="360" w:lineRule="auto"/>
        <w:jc w:val="both"/>
        <w:rPr>
          <w:rFonts w:ascii="Arial" w:hAnsi="Arial" w:cs="Arial"/>
        </w:rPr>
      </w:pPr>
    </w:p>
    <w:p w14:paraId="5D7807A1" w14:textId="060E1B35" w:rsidR="00F51391" w:rsidRPr="009F6C8A" w:rsidRDefault="00F51391" w:rsidP="009F6C8A">
      <w:pPr>
        <w:pStyle w:val="Heading1"/>
        <w:numPr>
          <w:ilvl w:val="0"/>
          <w:numId w:val="2"/>
        </w:numPr>
        <w:spacing w:line="360" w:lineRule="auto"/>
        <w:jc w:val="both"/>
        <w:rPr>
          <w:rFonts w:ascii="Arial" w:hAnsi="Arial" w:cs="Arial"/>
          <w:b/>
          <w:bCs/>
          <w:color w:val="auto"/>
          <w:sz w:val="24"/>
          <w:szCs w:val="24"/>
        </w:rPr>
      </w:pPr>
      <w:bookmarkStart w:id="0" w:name="_Toc235714714"/>
      <w:r w:rsidRPr="009F6C8A">
        <w:rPr>
          <w:rFonts w:ascii="Arial" w:hAnsi="Arial" w:cs="Arial"/>
          <w:b/>
          <w:bCs/>
          <w:color w:val="auto"/>
          <w:sz w:val="24"/>
          <w:szCs w:val="24"/>
        </w:rPr>
        <w:t>Introduction</w:t>
      </w:r>
      <w:bookmarkEnd w:id="0"/>
    </w:p>
    <w:p w14:paraId="3836C3F3" w14:textId="77777777" w:rsidR="00F51391" w:rsidRPr="009F6C8A" w:rsidRDefault="00F51391" w:rsidP="009F6C8A">
      <w:pPr>
        <w:spacing w:line="360" w:lineRule="auto"/>
        <w:jc w:val="both"/>
        <w:rPr>
          <w:rFonts w:ascii="Arial" w:hAnsi="Arial" w:cs="Arial"/>
        </w:rPr>
      </w:pPr>
    </w:p>
    <w:p w14:paraId="3D296011" w14:textId="4CA3C671" w:rsidR="000A4C4C" w:rsidRPr="009F6C8A" w:rsidRDefault="000A4C4C" w:rsidP="009F6C8A">
      <w:pPr>
        <w:spacing w:line="360" w:lineRule="auto"/>
        <w:jc w:val="both"/>
        <w:rPr>
          <w:rFonts w:ascii="Arial" w:hAnsi="Arial" w:cs="Arial"/>
        </w:rPr>
      </w:pPr>
      <w:r w:rsidRPr="009F6C8A">
        <w:rPr>
          <w:rFonts w:ascii="Arial" w:hAnsi="Arial" w:cs="Arial"/>
        </w:rPr>
        <w:t xml:space="preserve">International partnerships help organisations enter new markets, combine </w:t>
      </w:r>
      <w:r w:rsidR="0036045D" w:rsidRPr="009F6C8A">
        <w:rPr>
          <w:rFonts w:ascii="Arial" w:hAnsi="Arial" w:cs="Arial"/>
        </w:rPr>
        <w:t>expertise,</w:t>
      </w:r>
      <w:r w:rsidRPr="009F6C8A">
        <w:rPr>
          <w:rFonts w:ascii="Arial" w:hAnsi="Arial" w:cs="Arial"/>
        </w:rPr>
        <w:t xml:space="preserve"> and develop products that may be difficult to create independently. However, cooperation does not become effective simply because an agreement has been signed. Employees must still explain proposals, challenge assumptions, share specialist knowledge and agree when a decision is final. According to Deresky (2022), culture influences how people interpret information, relationships, and authority, meaning that communication differences can directly affect international management.</w:t>
      </w:r>
    </w:p>
    <w:p w14:paraId="77573C02" w14:textId="48C8E544" w:rsidR="000A4C4C" w:rsidRPr="009F6C8A" w:rsidRDefault="000A4C4C" w:rsidP="009F6C8A">
      <w:pPr>
        <w:spacing w:line="360" w:lineRule="auto"/>
        <w:jc w:val="both"/>
        <w:rPr>
          <w:rFonts w:ascii="Arial" w:hAnsi="Arial" w:cs="Arial"/>
        </w:rPr>
      </w:pPr>
      <w:r w:rsidRPr="009F6C8A">
        <w:rPr>
          <w:rFonts w:ascii="Arial" w:hAnsi="Arial" w:cs="Arial"/>
        </w:rPr>
        <w:t>This essay examines the long-term strategic partnership between M&amp;G plc and Dai-ichi Life Holdings. M&amp;G is a UK-based savings and investment organisation operating across asset management, retirement, and investment services, while Dai-ichi Life is a major Japanese insurance and financial-services group with extensive knowledge of customers, distribution, and the domestic market (M&amp;G plc, n.d.; Daiichi Life Group, Inc., n.d.). Announced in May 2025, the partnership covers asset management, life insurance, product distribution and the potential joint development of financial products (M&amp;G plc, 2025).</w:t>
      </w:r>
    </w:p>
    <w:p w14:paraId="3FEF945E" w14:textId="37A6E47F" w:rsidR="00F51391" w:rsidRPr="009F6C8A" w:rsidRDefault="000A4C4C" w:rsidP="009F6C8A">
      <w:pPr>
        <w:spacing w:line="360" w:lineRule="auto"/>
        <w:jc w:val="both"/>
        <w:rPr>
          <w:rFonts w:ascii="Arial" w:hAnsi="Arial" w:cs="Arial"/>
        </w:rPr>
      </w:pPr>
      <w:r w:rsidRPr="009F6C8A">
        <w:rPr>
          <w:rFonts w:ascii="Arial" w:hAnsi="Arial" w:cs="Arial"/>
        </w:rPr>
        <w:t>The central challenge is not simply that British employees may be more direct and Japanese employees more indirect. It is the need to integrate M&amp;G's product and investment capabilities with Dai-ichi Life's knowledge of Japanese regulation, customers, and distribution. Hall's context theory and selected Hofstede dimensions are therefore applied to product governance, customer communication, risk escalation, joint decisions, and English-language meetings. The argument is that national culture can reveal possible misunderstandings, but organisational culture, professional responsibilities and language power are equally influential.</w:t>
      </w:r>
    </w:p>
    <w:p w14:paraId="795E62F2" w14:textId="77777777" w:rsidR="00FA6CB5" w:rsidRPr="009F6C8A" w:rsidRDefault="00FA6CB5" w:rsidP="009F6C8A">
      <w:pPr>
        <w:spacing w:line="360" w:lineRule="auto"/>
        <w:jc w:val="both"/>
        <w:rPr>
          <w:rFonts w:ascii="Arial" w:hAnsi="Arial" w:cs="Arial"/>
        </w:rPr>
      </w:pPr>
    </w:p>
    <w:p w14:paraId="6DFA111B" w14:textId="0FCDDBD4" w:rsidR="00FA6CB5" w:rsidRDefault="000A4C4C" w:rsidP="009F6C8A">
      <w:pPr>
        <w:pStyle w:val="Heading1"/>
        <w:numPr>
          <w:ilvl w:val="0"/>
          <w:numId w:val="2"/>
        </w:numPr>
        <w:spacing w:line="360" w:lineRule="auto"/>
        <w:jc w:val="both"/>
        <w:rPr>
          <w:rFonts w:ascii="Arial" w:hAnsi="Arial" w:cs="Arial"/>
          <w:b/>
          <w:bCs/>
          <w:color w:val="auto"/>
          <w:sz w:val="24"/>
          <w:szCs w:val="24"/>
        </w:rPr>
      </w:pPr>
      <w:bookmarkStart w:id="1" w:name="_Toc235714715"/>
      <w:r w:rsidRPr="009F6C8A">
        <w:rPr>
          <w:rFonts w:ascii="Arial" w:hAnsi="Arial" w:cs="Arial"/>
          <w:b/>
          <w:bCs/>
          <w:color w:val="auto"/>
          <w:sz w:val="24"/>
          <w:szCs w:val="24"/>
        </w:rPr>
        <w:t>Strategic, market and theoretical context</w:t>
      </w:r>
      <w:bookmarkEnd w:id="1"/>
    </w:p>
    <w:p w14:paraId="4F4471C8" w14:textId="02336594" w:rsidR="009F6C8A" w:rsidRPr="009F6C8A" w:rsidRDefault="009F6C8A" w:rsidP="009F6C8A"/>
    <w:p w14:paraId="7328D722" w14:textId="12DDFC37" w:rsidR="000A4C4C" w:rsidRPr="009F6C8A" w:rsidRDefault="000A4C4C" w:rsidP="009F6C8A">
      <w:pPr>
        <w:pStyle w:val="NormalWeb"/>
        <w:spacing w:line="360" w:lineRule="auto"/>
        <w:jc w:val="both"/>
        <w:rPr>
          <w:rFonts w:ascii="Arial" w:hAnsi="Arial" w:cs="Arial"/>
        </w:rPr>
      </w:pPr>
      <w:r w:rsidRPr="009F6C8A">
        <w:rPr>
          <w:rFonts w:ascii="Arial" w:hAnsi="Arial" w:cs="Arial"/>
        </w:rPr>
        <w:t xml:space="preserve">The partnership combines complementary resources. M&amp;G contributes investment, savings, and retirement expertise, while Dai-ichi Life contributes local insurance </w:t>
      </w:r>
      <w:r w:rsidRPr="009F6C8A">
        <w:rPr>
          <w:rFonts w:ascii="Arial" w:hAnsi="Arial" w:cs="Arial"/>
        </w:rPr>
        <w:lastRenderedPageBreak/>
        <w:t>knowledge, customer relationships and distribution capability. Japan also offers a large and mature market. The Life Insurance Association of Japan (2025) reported approximately 195.3 million individual life-insurance policies in force in 2024. Reforms to the NISA tax-exemption scheme also form part of government efforts to encourage household investment and strengthen Japan as an asset-management centre (Financial Services Agency, 2023). These conditions create opportunities, but unsuitable wording, unclear approval or inconsistent customer information could create regulatory and reputational consequences.</w:t>
      </w:r>
    </w:p>
    <w:p w14:paraId="351D8A37" w14:textId="67E7E4C6" w:rsidR="0036045D" w:rsidRDefault="000A4C4C" w:rsidP="009F6C8A">
      <w:pPr>
        <w:pStyle w:val="NormalWeb"/>
        <w:spacing w:line="360" w:lineRule="auto"/>
        <w:jc w:val="both"/>
        <w:rPr>
          <w:rFonts w:ascii="Arial" w:hAnsi="Arial" w:cs="Arial"/>
        </w:rPr>
      </w:pPr>
      <w:r w:rsidRPr="009F6C8A">
        <w:rPr>
          <w:rFonts w:ascii="Arial" w:hAnsi="Arial" w:cs="Arial"/>
        </w:rPr>
        <w:t>Hall (1976) distinguishes explicit communication from communication in which meaning depends more strongly on context, relationships, and shared understanding. Barmeyer (2026) evaluates the model as a consciousness-building framework that reveals hidden assumptions. Hofstede's dimensions offer a second perspective. The Culture Factor Group (n.d.) reports that Japan scores higher than the UK for power distance, uncertainty avoidance and long-term orientation, while the UK scores higher for individualism. Figure 1 summarises the broader comparison. These scores may explain different expectations concerning hierarchy, consultation, evidence, and responsibility</w:t>
      </w:r>
      <w:r w:rsidR="009F6C8A">
        <w:rPr>
          <w:rFonts w:ascii="Arial" w:hAnsi="Arial" w:cs="Arial"/>
        </w:rPr>
        <w:t>.</w:t>
      </w:r>
    </w:p>
    <w:p w14:paraId="5AE3155E" w14:textId="77777777" w:rsidR="00084ED3" w:rsidRPr="009F6C8A" w:rsidRDefault="00084ED3" w:rsidP="009F6C8A">
      <w:pPr>
        <w:pStyle w:val="NormalWeb"/>
        <w:spacing w:line="360" w:lineRule="auto"/>
        <w:jc w:val="both"/>
        <w:rPr>
          <w:rFonts w:ascii="Arial" w:hAnsi="Arial" w:cs="Arial"/>
        </w:rPr>
      </w:pPr>
    </w:p>
    <w:p w14:paraId="22107B9A" w14:textId="1CEBE47F" w:rsidR="00FA6CB5" w:rsidRPr="009F6C8A" w:rsidRDefault="00FA6CB5" w:rsidP="009F6C8A">
      <w:pPr>
        <w:pStyle w:val="Heading2"/>
        <w:spacing w:line="360" w:lineRule="auto"/>
        <w:jc w:val="both"/>
        <w:rPr>
          <w:rFonts w:ascii="Arial" w:hAnsi="Arial" w:cs="Arial"/>
          <w:b/>
          <w:bCs/>
          <w:color w:val="auto"/>
          <w:sz w:val="24"/>
          <w:szCs w:val="24"/>
        </w:rPr>
      </w:pPr>
      <w:bookmarkStart w:id="2" w:name="_Toc235714716"/>
      <w:r w:rsidRPr="009F6C8A">
        <w:rPr>
          <w:rFonts w:ascii="Arial" w:hAnsi="Arial" w:cs="Arial"/>
          <w:b/>
          <w:bCs/>
          <w:color w:val="auto"/>
          <w:sz w:val="24"/>
          <w:szCs w:val="24"/>
        </w:rPr>
        <w:t>Figure 1: Cultural-dimension comparison between Japan and the United Kingdom</w:t>
      </w:r>
      <w:bookmarkEnd w:id="2"/>
    </w:p>
    <w:p w14:paraId="6F922895" w14:textId="77777777" w:rsidR="008B5800" w:rsidRPr="009F6C8A" w:rsidRDefault="008B5800" w:rsidP="009F6C8A">
      <w:pPr>
        <w:spacing w:line="360" w:lineRule="auto"/>
        <w:jc w:val="both"/>
        <w:rPr>
          <w:rFonts w:ascii="Arial" w:hAnsi="Arial" w:cs="Arial"/>
        </w:rPr>
      </w:pPr>
    </w:p>
    <w:p w14:paraId="28A9CB16" w14:textId="381AB09A" w:rsidR="00FA6CB5" w:rsidRPr="009F6C8A" w:rsidRDefault="008019CC" w:rsidP="009F6C8A">
      <w:pPr>
        <w:spacing w:line="360" w:lineRule="auto"/>
        <w:jc w:val="both"/>
        <w:rPr>
          <w:rFonts w:ascii="Arial" w:hAnsi="Arial" w:cs="Arial"/>
        </w:rPr>
      </w:pPr>
      <w:r w:rsidRPr="009F6C8A">
        <w:rPr>
          <w:rFonts w:ascii="Arial" w:hAnsi="Arial" w:cs="Arial"/>
          <w:noProof/>
        </w:rPr>
        <w:drawing>
          <wp:inline distT="0" distB="0" distL="0" distR="0" wp14:anchorId="519D273B" wp14:editId="1F6F9E54">
            <wp:extent cx="5486400" cy="3200400"/>
            <wp:effectExtent l="0" t="0" r="0" b="0"/>
            <wp:docPr id="11860137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2335701" w14:textId="24E14C6D" w:rsidR="00FA6CB5" w:rsidRPr="009F6C8A" w:rsidRDefault="00FA6CB5" w:rsidP="009F6C8A">
      <w:pPr>
        <w:spacing w:line="360" w:lineRule="auto"/>
        <w:jc w:val="both"/>
        <w:rPr>
          <w:rFonts w:ascii="Arial" w:hAnsi="Arial" w:cs="Arial"/>
        </w:rPr>
      </w:pPr>
      <w:r w:rsidRPr="009F6C8A">
        <w:rPr>
          <w:rFonts w:ascii="Arial" w:hAnsi="Arial" w:cs="Arial"/>
        </w:rPr>
        <w:t xml:space="preserve">Source: </w:t>
      </w:r>
      <w:r w:rsidR="001317EC" w:rsidRPr="009F6C8A">
        <w:rPr>
          <w:rFonts w:ascii="Arial" w:hAnsi="Arial" w:cs="Arial"/>
        </w:rPr>
        <w:t>Adapted</w:t>
      </w:r>
      <w:r w:rsidR="00F4473C" w:rsidRPr="009F6C8A">
        <w:rPr>
          <w:rFonts w:ascii="Arial" w:hAnsi="Arial" w:cs="Arial"/>
        </w:rPr>
        <w:t xml:space="preserve"> from </w:t>
      </w:r>
      <w:r w:rsidRPr="009F6C8A">
        <w:rPr>
          <w:rFonts w:ascii="Arial" w:hAnsi="Arial" w:cs="Arial"/>
        </w:rPr>
        <w:t>The Culture Factor Group (n.d.)</w:t>
      </w:r>
    </w:p>
    <w:p w14:paraId="477FE4EC" w14:textId="72565A73" w:rsidR="000A4C4C" w:rsidRPr="009F6C8A" w:rsidRDefault="000A4C4C" w:rsidP="009F6C8A">
      <w:pPr>
        <w:spacing w:line="360" w:lineRule="auto"/>
        <w:jc w:val="both"/>
        <w:rPr>
          <w:rFonts w:ascii="Arial" w:hAnsi="Arial" w:cs="Arial"/>
        </w:rPr>
      </w:pPr>
      <w:r w:rsidRPr="009F6C8A">
        <w:rPr>
          <w:rFonts w:ascii="Arial" w:hAnsi="Arial" w:cs="Arial"/>
        </w:rPr>
        <w:lastRenderedPageBreak/>
        <w:t>Nevertheless, the theories should not be used as national checklists. Maletzky de García and Barmeyer (2026) treat cultural dimensions as interpretive frameworks rather than predictions of individual behaviour. They are applied here to three practical questions: how products are approved, how they are communicated to Japanese customers, and how specialist knowledge reaches decision-makers.</w:t>
      </w:r>
    </w:p>
    <w:p w14:paraId="1A8AA78C" w14:textId="77777777" w:rsidR="0036045D" w:rsidRPr="009F6C8A" w:rsidRDefault="0036045D" w:rsidP="009F6C8A">
      <w:pPr>
        <w:spacing w:line="360" w:lineRule="auto"/>
        <w:jc w:val="both"/>
        <w:rPr>
          <w:rFonts w:ascii="Arial" w:hAnsi="Arial" w:cs="Arial"/>
        </w:rPr>
      </w:pPr>
    </w:p>
    <w:p w14:paraId="18517BAB" w14:textId="03D9DF24" w:rsidR="00DB114E" w:rsidRPr="009F6C8A" w:rsidRDefault="000A4C4C" w:rsidP="009F6C8A">
      <w:pPr>
        <w:pStyle w:val="Heading1"/>
        <w:numPr>
          <w:ilvl w:val="0"/>
          <w:numId w:val="4"/>
        </w:numPr>
        <w:spacing w:line="360" w:lineRule="auto"/>
        <w:jc w:val="both"/>
        <w:rPr>
          <w:rFonts w:ascii="Arial" w:hAnsi="Arial" w:cs="Arial"/>
          <w:b/>
          <w:bCs/>
          <w:color w:val="auto"/>
          <w:sz w:val="24"/>
          <w:szCs w:val="24"/>
        </w:rPr>
      </w:pPr>
      <w:bookmarkStart w:id="3" w:name="_Toc235714717"/>
      <w:r w:rsidRPr="009F6C8A">
        <w:rPr>
          <w:rFonts w:ascii="Arial" w:hAnsi="Arial" w:cs="Arial"/>
          <w:b/>
          <w:bCs/>
          <w:color w:val="auto"/>
          <w:sz w:val="24"/>
          <w:szCs w:val="24"/>
        </w:rPr>
        <w:t>Communication during product governance and regulatory approval</w:t>
      </w:r>
      <w:bookmarkEnd w:id="3"/>
    </w:p>
    <w:p w14:paraId="3BF4E3E5" w14:textId="77777777" w:rsidR="000A4C4C" w:rsidRPr="009F6C8A" w:rsidRDefault="000A4C4C" w:rsidP="009F6C8A">
      <w:pPr>
        <w:spacing w:line="360" w:lineRule="auto"/>
        <w:jc w:val="both"/>
        <w:rPr>
          <w:rFonts w:ascii="Arial" w:hAnsi="Arial" w:cs="Arial"/>
        </w:rPr>
      </w:pPr>
    </w:p>
    <w:p w14:paraId="78F33C34" w14:textId="77777777" w:rsidR="000A4C4C" w:rsidRPr="009F6C8A" w:rsidRDefault="000A4C4C" w:rsidP="009F6C8A">
      <w:pPr>
        <w:spacing w:line="360" w:lineRule="auto"/>
        <w:jc w:val="both"/>
        <w:rPr>
          <w:rFonts w:ascii="Arial" w:hAnsi="Arial" w:cs="Arial"/>
        </w:rPr>
      </w:pPr>
      <w:r w:rsidRPr="009F6C8A">
        <w:rPr>
          <w:rFonts w:ascii="Arial" w:hAnsi="Arial" w:cs="Arial"/>
        </w:rPr>
        <w:t>A communication risk could arise when M&amp;G proposes an investment or retirement product for distribution through Dai-ichi Life. M&amp;G may expect Japanese compliance and distribution specialists to state objections clearly. Dai-ichi Life participants may instead express concern through cautious wording, requests for internal discussion or reluctance to commit. From a higher-context perspective, the absence of endorsement may already communicate that the proposal is unsuitable. M&amp;G could interpret the same response as general support subject to minor amendment.</w:t>
      </w:r>
    </w:p>
    <w:p w14:paraId="26599872" w14:textId="77777777" w:rsidR="000A4C4C" w:rsidRPr="009F6C8A" w:rsidRDefault="000A4C4C" w:rsidP="009F6C8A">
      <w:pPr>
        <w:spacing w:line="360" w:lineRule="auto"/>
        <w:jc w:val="both"/>
        <w:rPr>
          <w:rFonts w:ascii="Arial" w:hAnsi="Arial" w:cs="Arial"/>
        </w:rPr>
      </w:pPr>
      <w:r w:rsidRPr="009F6C8A">
        <w:rPr>
          <w:rFonts w:ascii="Arial" w:hAnsi="Arial" w:cs="Arial"/>
        </w:rPr>
        <w:t>Hall's framework is useful because it shows why identical words do not guarantee shared meaning (Hall, 1976). Nixon and Bull (2006) similarly found that British and Japanese participants differed in interpreting communication involving relationships and status. In this partnership, a misunderstood warning could waste development resources or allow an unsuitable feature to progress before Japanese regulatory concerns are resolved.</w:t>
      </w:r>
    </w:p>
    <w:p w14:paraId="563A0323" w14:textId="652A52F7" w:rsidR="000A4C4C" w:rsidRPr="009F6C8A" w:rsidRDefault="000A4C4C" w:rsidP="009F6C8A">
      <w:pPr>
        <w:spacing w:line="360" w:lineRule="auto"/>
        <w:jc w:val="both"/>
        <w:rPr>
          <w:rFonts w:ascii="Arial" w:hAnsi="Arial" w:cs="Arial"/>
        </w:rPr>
      </w:pPr>
      <w:r w:rsidRPr="009F6C8A">
        <w:rPr>
          <w:rFonts w:ascii="Arial" w:hAnsi="Arial" w:cs="Arial"/>
        </w:rPr>
        <w:t>Japan's uncertainty-avoidance score of 92, compared with 35 for the UK, also suggests a stronger preference for evidence, risk analysis and established approval procedures (The Culture Factor Group, n.d.). M&amp;G may regard repeated review as delaying progress, whereas Dai-ichi Life may regard it as necessary protection. However, caution cannot be attributed only to nationality because compliance specialists in both companies work in a regulated industry. The strongest explanation is therefore a combination of national tendencies and the professional culture of financial services. Managers should clarify what evidence or approval remains outstanding rather than</w:t>
      </w:r>
      <w:r w:rsidR="008B5F2E">
        <w:rPr>
          <w:rFonts w:ascii="Arial" w:hAnsi="Arial" w:cs="Arial"/>
        </w:rPr>
        <w:t xml:space="preserve"> believing that</w:t>
      </w:r>
      <w:r w:rsidR="009F6C8A" w:rsidRPr="009F6C8A">
        <w:rPr>
          <w:rFonts w:ascii="Arial" w:hAnsi="Arial" w:cs="Arial"/>
        </w:rPr>
        <w:t xml:space="preserve"> the delay reflects indecision.</w:t>
      </w:r>
    </w:p>
    <w:p w14:paraId="49765791" w14:textId="77777777" w:rsidR="002F7407" w:rsidRPr="009F6C8A" w:rsidRDefault="002F7407" w:rsidP="009F6C8A">
      <w:pPr>
        <w:spacing w:line="360" w:lineRule="auto"/>
        <w:jc w:val="both"/>
        <w:rPr>
          <w:rFonts w:ascii="Arial" w:hAnsi="Arial" w:cs="Arial"/>
        </w:rPr>
      </w:pPr>
    </w:p>
    <w:p w14:paraId="2C87981A" w14:textId="4473AB74" w:rsidR="000A4C4C" w:rsidRPr="009F6C8A" w:rsidRDefault="000A4C4C" w:rsidP="009F6C8A">
      <w:pPr>
        <w:pStyle w:val="Heading1"/>
        <w:numPr>
          <w:ilvl w:val="0"/>
          <w:numId w:val="4"/>
        </w:numPr>
        <w:spacing w:line="360" w:lineRule="auto"/>
        <w:jc w:val="both"/>
        <w:rPr>
          <w:rFonts w:ascii="Arial" w:hAnsi="Arial" w:cs="Arial"/>
          <w:b/>
          <w:bCs/>
          <w:color w:val="auto"/>
          <w:sz w:val="24"/>
          <w:szCs w:val="24"/>
        </w:rPr>
      </w:pPr>
      <w:bookmarkStart w:id="4" w:name="_Toc235714718"/>
      <w:r w:rsidRPr="009F6C8A">
        <w:rPr>
          <w:rFonts w:ascii="Arial" w:hAnsi="Arial" w:cs="Arial"/>
          <w:b/>
          <w:bCs/>
          <w:color w:val="auto"/>
          <w:sz w:val="24"/>
          <w:szCs w:val="24"/>
        </w:rPr>
        <w:lastRenderedPageBreak/>
        <w:t>Customer communication and Japanese distribution</w:t>
      </w:r>
      <w:bookmarkEnd w:id="4"/>
    </w:p>
    <w:p w14:paraId="2D058994" w14:textId="77777777" w:rsidR="000A4C4C" w:rsidRPr="009F6C8A" w:rsidRDefault="000A4C4C" w:rsidP="009F6C8A">
      <w:pPr>
        <w:spacing w:line="360" w:lineRule="auto"/>
        <w:jc w:val="both"/>
        <w:rPr>
          <w:rFonts w:ascii="Arial" w:hAnsi="Arial" w:cs="Arial"/>
        </w:rPr>
      </w:pPr>
    </w:p>
    <w:p w14:paraId="3B198A48" w14:textId="230EEDDD" w:rsidR="000A4C4C" w:rsidRPr="009F6C8A" w:rsidRDefault="000A4C4C" w:rsidP="009F6C8A">
      <w:pPr>
        <w:spacing w:line="360" w:lineRule="auto"/>
        <w:jc w:val="both"/>
        <w:rPr>
          <w:rFonts w:ascii="Arial" w:hAnsi="Arial" w:cs="Arial"/>
        </w:rPr>
      </w:pPr>
      <w:r w:rsidRPr="009F6C8A">
        <w:rPr>
          <w:rFonts w:ascii="Arial" w:hAnsi="Arial" w:cs="Arial"/>
        </w:rPr>
        <w:t>Success will also depend on how products are explained to Japanese customers through Dai-ichi Life's distribution channels. Literal translation is insufficient because financial communication includes assumptions about trust, persuasion, risk, and long-term security. M&amp;G may favour concise explanations of investment objectives, performance, and risk, while Dai-ichi Life may place greater importance on reassurance, reputation, and the adviser-customer relationship. A message that appears commercially confident in Britain could appear too assertive in Japan.</w:t>
      </w:r>
    </w:p>
    <w:p w14:paraId="5DDABFB3" w14:textId="77777777" w:rsidR="000A4C4C" w:rsidRPr="009F6C8A" w:rsidRDefault="000A4C4C" w:rsidP="009F6C8A">
      <w:pPr>
        <w:spacing w:line="360" w:lineRule="auto"/>
        <w:jc w:val="both"/>
        <w:rPr>
          <w:rFonts w:ascii="Arial" w:hAnsi="Arial" w:cs="Arial"/>
        </w:rPr>
      </w:pPr>
      <w:r w:rsidRPr="009F6C8A">
        <w:rPr>
          <w:rFonts w:ascii="Arial" w:hAnsi="Arial" w:cs="Arial"/>
        </w:rPr>
        <w:t>Tabata and Vrij (2023) identified differences between Japanese and British participants in the verbal strategies they believed would appear convincing. This suggests that an assertive M&amp;G presentation might be interpreted as confidence by British colleagues but as pressure by some Japanese audiences. Equally, a qualified explanation from Dai-ichi Life could be misjudged as weak or uncommercial. The study did not examine financial customers, so it should identify a risk rather than predict customer reactions.</w:t>
      </w:r>
    </w:p>
    <w:p w14:paraId="51C12DFA" w14:textId="10B1FCAE" w:rsidR="00F51391" w:rsidRDefault="000A4C4C" w:rsidP="009F6C8A">
      <w:pPr>
        <w:spacing w:line="360" w:lineRule="auto"/>
        <w:jc w:val="both"/>
        <w:rPr>
          <w:rFonts w:ascii="Arial" w:hAnsi="Arial" w:cs="Arial"/>
        </w:rPr>
      </w:pPr>
      <w:r w:rsidRPr="009F6C8A">
        <w:rPr>
          <w:rFonts w:ascii="Arial" w:hAnsi="Arial" w:cs="Arial"/>
        </w:rPr>
        <w:t>Customer materials should therefore be adapted and tested locally, not merely translated. Dai-ichi Life should review product descriptions, risk explanations, adviser scripts and digital communications before launch. Inconsistent explanations could reduce confidence and create conduct risk. Local communication should therefore be treated as part of product governance rather than a final marketing activity.</w:t>
      </w:r>
    </w:p>
    <w:p w14:paraId="7FC0521B" w14:textId="77777777" w:rsidR="008B5F2E" w:rsidRPr="009F6C8A" w:rsidRDefault="008B5F2E" w:rsidP="009F6C8A">
      <w:pPr>
        <w:spacing w:line="360" w:lineRule="auto"/>
        <w:jc w:val="both"/>
        <w:rPr>
          <w:rFonts w:ascii="Arial" w:hAnsi="Arial" w:cs="Arial"/>
        </w:rPr>
      </w:pPr>
    </w:p>
    <w:p w14:paraId="22236CAA" w14:textId="3109B81F" w:rsidR="000A4C4C" w:rsidRPr="009F6C8A" w:rsidRDefault="000A4C4C" w:rsidP="009F6C8A">
      <w:pPr>
        <w:pStyle w:val="Heading1"/>
        <w:numPr>
          <w:ilvl w:val="0"/>
          <w:numId w:val="4"/>
        </w:numPr>
        <w:spacing w:line="360" w:lineRule="auto"/>
        <w:jc w:val="both"/>
        <w:rPr>
          <w:rFonts w:ascii="Arial" w:hAnsi="Arial" w:cs="Arial"/>
          <w:b/>
          <w:bCs/>
          <w:color w:val="auto"/>
          <w:sz w:val="24"/>
          <w:szCs w:val="24"/>
        </w:rPr>
      </w:pPr>
      <w:bookmarkStart w:id="5" w:name="_Toc235714719"/>
      <w:r w:rsidRPr="009F6C8A">
        <w:rPr>
          <w:rFonts w:ascii="Arial" w:hAnsi="Arial" w:cs="Arial"/>
          <w:b/>
          <w:bCs/>
          <w:color w:val="auto"/>
          <w:sz w:val="24"/>
          <w:szCs w:val="24"/>
        </w:rPr>
        <w:t xml:space="preserve">Risk escalation, </w:t>
      </w:r>
      <w:r w:rsidR="0036045D" w:rsidRPr="009F6C8A">
        <w:rPr>
          <w:rFonts w:ascii="Arial" w:hAnsi="Arial" w:cs="Arial"/>
          <w:b/>
          <w:bCs/>
          <w:color w:val="auto"/>
          <w:sz w:val="24"/>
          <w:szCs w:val="24"/>
        </w:rPr>
        <w:t>hierarchy,</w:t>
      </w:r>
      <w:r w:rsidRPr="009F6C8A">
        <w:rPr>
          <w:rFonts w:ascii="Arial" w:hAnsi="Arial" w:cs="Arial"/>
          <w:b/>
          <w:bCs/>
          <w:color w:val="auto"/>
          <w:sz w:val="24"/>
          <w:szCs w:val="24"/>
        </w:rPr>
        <w:t xml:space="preserve"> and specialist knowledge</w:t>
      </w:r>
      <w:bookmarkEnd w:id="5"/>
    </w:p>
    <w:p w14:paraId="7F9C7A38" w14:textId="77777777" w:rsidR="0036045D" w:rsidRPr="009F6C8A" w:rsidRDefault="0036045D" w:rsidP="009F6C8A">
      <w:pPr>
        <w:pStyle w:val="ListParagraph"/>
        <w:spacing w:line="360" w:lineRule="auto"/>
        <w:ind w:left="1440"/>
        <w:jc w:val="both"/>
        <w:rPr>
          <w:rFonts w:ascii="Arial" w:hAnsi="Arial" w:cs="Arial"/>
        </w:rPr>
      </w:pPr>
    </w:p>
    <w:p w14:paraId="440C7AC5" w14:textId="77777777" w:rsidR="000A4C4C" w:rsidRPr="009F6C8A" w:rsidRDefault="000A4C4C" w:rsidP="009F6C8A">
      <w:pPr>
        <w:spacing w:line="360" w:lineRule="auto"/>
        <w:jc w:val="both"/>
        <w:rPr>
          <w:rFonts w:ascii="Arial" w:hAnsi="Arial" w:cs="Arial"/>
        </w:rPr>
      </w:pPr>
      <w:r w:rsidRPr="009F6C8A">
        <w:rPr>
          <w:rFonts w:ascii="Arial" w:hAnsi="Arial" w:cs="Arial"/>
        </w:rPr>
        <w:t>Hierarchy matters when a junior specialist identifies a concern. The UK's power-distance score is 35, compared with 54 for Japan, suggesting that British workplaces may accept more informal challenge, while Japanese employees may value seniority and established channels (The Culture Factor Group, n.d.). An M&amp;G project leader may invite open disagreement and assume that silence indicates acceptance. A Dai-ichi Life compliance specialist may possess important local knowledge but prefer to raise it privately or through a senior manager.</w:t>
      </w:r>
    </w:p>
    <w:p w14:paraId="2DCEAD36" w14:textId="470E4CFF" w:rsidR="000A4C4C" w:rsidRPr="009F6C8A" w:rsidRDefault="000A4C4C" w:rsidP="009F6C8A">
      <w:pPr>
        <w:spacing w:line="360" w:lineRule="auto"/>
        <w:jc w:val="both"/>
        <w:rPr>
          <w:rFonts w:ascii="Arial" w:hAnsi="Arial" w:cs="Arial"/>
        </w:rPr>
      </w:pPr>
      <w:r w:rsidRPr="009F6C8A">
        <w:rPr>
          <w:rFonts w:ascii="Arial" w:hAnsi="Arial" w:cs="Arial"/>
        </w:rPr>
        <w:lastRenderedPageBreak/>
        <w:t>The main risk is the loss of specialist knowledge. A regulatory concern may not reach those controlling the budget or launch schedule, and the product may progress on the false assumption that local approval exists. At the same time, blunt public criticism could damage trust and reduce future disclosure. Wyant and Cionea (2024) found that workplace trust influenced communication and information sharing between Japanese expatriates and host-country employees. Their US</w:t>
      </w:r>
      <w:r w:rsidR="009F6C8A" w:rsidRPr="009F6C8A">
        <w:rPr>
          <w:rFonts w:ascii="Arial" w:hAnsi="Arial" w:cs="Arial"/>
        </w:rPr>
        <w:t>—</w:t>
      </w:r>
      <w:r w:rsidRPr="009F6C8A">
        <w:rPr>
          <w:rFonts w:ascii="Arial" w:hAnsi="Arial" w:cs="Arial"/>
        </w:rPr>
        <w:t>Japanese manufacturing context limits direct application, but the study supports the view that the handling of disagreement affects whether employees continue to share concerns.</w:t>
      </w:r>
    </w:p>
    <w:p w14:paraId="6CD7BBB1" w14:textId="4ACDB0FC" w:rsidR="000A4C4C" w:rsidRPr="009F6C8A" w:rsidRDefault="009F6C8A" w:rsidP="009F6C8A">
      <w:pPr>
        <w:spacing w:line="360" w:lineRule="auto"/>
        <w:jc w:val="both"/>
        <w:rPr>
          <w:rFonts w:ascii="Arial" w:hAnsi="Arial" w:cs="Arial"/>
        </w:rPr>
      </w:pPr>
      <w:r w:rsidRPr="009F6C8A">
        <w:rPr>
          <w:rFonts w:ascii="Arial" w:hAnsi="Arial" w:cs="Arial"/>
        </w:rPr>
        <w:t xml:space="preserve">The partnership requires more than simply promoting open communication. </w:t>
      </w:r>
      <w:r w:rsidR="000A4C4C" w:rsidRPr="009F6C8A">
        <w:rPr>
          <w:rFonts w:ascii="Arial" w:hAnsi="Arial" w:cs="Arial"/>
        </w:rPr>
        <w:t>It requires a protected route through which regulatory, customer and distribution specialists can submit concerns privately and in writing, with a clear obligation for project leaders to respond. This respects different preferences for public challenge while ensuring that expertise is not filtered out by hierarchy.</w:t>
      </w:r>
    </w:p>
    <w:p w14:paraId="340539E6" w14:textId="77777777" w:rsidR="0036045D" w:rsidRPr="009F6C8A" w:rsidRDefault="0036045D" w:rsidP="009F6C8A">
      <w:pPr>
        <w:spacing w:line="360" w:lineRule="auto"/>
        <w:jc w:val="both"/>
        <w:rPr>
          <w:rFonts w:ascii="Arial" w:hAnsi="Arial" w:cs="Arial"/>
        </w:rPr>
      </w:pPr>
    </w:p>
    <w:p w14:paraId="2B4875A8" w14:textId="6A8B0DC3" w:rsidR="000A4C4C" w:rsidRPr="009F6C8A" w:rsidRDefault="000A4C4C" w:rsidP="009F6C8A">
      <w:pPr>
        <w:pStyle w:val="Heading1"/>
        <w:numPr>
          <w:ilvl w:val="0"/>
          <w:numId w:val="4"/>
        </w:numPr>
        <w:spacing w:line="360" w:lineRule="auto"/>
        <w:jc w:val="both"/>
        <w:rPr>
          <w:rFonts w:ascii="Arial" w:hAnsi="Arial" w:cs="Arial"/>
          <w:b/>
          <w:bCs/>
          <w:color w:val="auto"/>
          <w:sz w:val="24"/>
          <w:szCs w:val="24"/>
        </w:rPr>
      </w:pPr>
      <w:bookmarkStart w:id="6" w:name="_Toc235714720"/>
      <w:r w:rsidRPr="009F6C8A">
        <w:rPr>
          <w:rFonts w:ascii="Arial" w:hAnsi="Arial" w:cs="Arial"/>
          <w:b/>
          <w:bCs/>
          <w:color w:val="auto"/>
          <w:sz w:val="24"/>
          <w:szCs w:val="24"/>
        </w:rPr>
        <w:t>Consultation and joint product decisions</w:t>
      </w:r>
      <w:bookmarkEnd w:id="6"/>
    </w:p>
    <w:p w14:paraId="2A0A5C7E" w14:textId="77777777" w:rsidR="0036045D" w:rsidRPr="009F6C8A" w:rsidRDefault="0036045D" w:rsidP="009F6C8A">
      <w:pPr>
        <w:pStyle w:val="ListParagraph"/>
        <w:spacing w:line="360" w:lineRule="auto"/>
        <w:ind w:left="1440"/>
        <w:jc w:val="both"/>
        <w:rPr>
          <w:rFonts w:ascii="Arial" w:hAnsi="Arial" w:cs="Arial"/>
        </w:rPr>
      </w:pPr>
    </w:p>
    <w:p w14:paraId="15D6675B" w14:textId="77777777" w:rsidR="000A4C4C" w:rsidRPr="009F6C8A" w:rsidRDefault="000A4C4C" w:rsidP="009F6C8A">
      <w:pPr>
        <w:spacing w:line="360" w:lineRule="auto"/>
        <w:jc w:val="both"/>
        <w:rPr>
          <w:rFonts w:ascii="Arial" w:hAnsi="Arial" w:cs="Arial"/>
        </w:rPr>
      </w:pPr>
      <w:r w:rsidRPr="009F6C8A">
        <w:rPr>
          <w:rFonts w:ascii="Arial" w:hAnsi="Arial" w:cs="Arial"/>
        </w:rPr>
        <w:t>Differences may also appear in deciding whether a proposal is ready. The UK individualism score of 76, compared with 62 for Japan, suggests that M&amp;G managers may be more comfortable with delegated authority and individual accountability (The Culture Factor Group, n.d.). Dai-ichi Life may expect consultation across compliance, distribution, customer service and senior management. M&amp;G could interpret this as slow, while Dai-ichi Life could view rapid approval as insufficiently supported.</w:t>
      </w:r>
    </w:p>
    <w:p w14:paraId="5D47BFCF" w14:textId="03B70A77" w:rsidR="000A4C4C" w:rsidRPr="009F6C8A" w:rsidRDefault="0036045D" w:rsidP="009F6C8A">
      <w:pPr>
        <w:spacing w:line="360" w:lineRule="auto"/>
        <w:jc w:val="both"/>
        <w:rPr>
          <w:rFonts w:ascii="Arial" w:hAnsi="Arial" w:cs="Arial"/>
        </w:rPr>
      </w:pPr>
      <w:r w:rsidRPr="009F6C8A">
        <w:rPr>
          <w:rFonts w:ascii="Arial" w:hAnsi="Arial" w:cs="Arial"/>
        </w:rPr>
        <w:t xml:space="preserve">Chau and Nacharoenkul (2023) discuss </w:t>
      </w:r>
      <w:r w:rsidRPr="009F6C8A">
        <w:rPr>
          <w:rFonts w:ascii="Arial" w:hAnsi="Arial" w:cs="Arial"/>
          <w:i/>
          <w:iCs/>
        </w:rPr>
        <w:t>h</w:t>
      </w:r>
      <w:r w:rsidR="009F6C8A" w:rsidRPr="009F6C8A">
        <w:rPr>
          <w:rFonts w:ascii="Arial" w:hAnsi="Arial" w:cs="Arial"/>
          <w:i/>
          <w:iCs/>
        </w:rPr>
        <w:t>o</w:t>
      </w:r>
      <w:r w:rsidRPr="009F6C8A">
        <w:rPr>
          <w:rFonts w:ascii="Arial" w:hAnsi="Arial" w:cs="Arial"/>
          <w:i/>
          <w:iCs/>
        </w:rPr>
        <w:t>rens</w:t>
      </w:r>
      <w:r w:rsidR="009F6C8A" w:rsidRPr="009F6C8A">
        <w:rPr>
          <w:rFonts w:ascii="Arial" w:hAnsi="Arial" w:cs="Arial"/>
          <w:i/>
          <w:iCs/>
        </w:rPr>
        <w:t>o</w:t>
      </w:r>
      <w:r w:rsidRPr="009F6C8A">
        <w:rPr>
          <w:rFonts w:ascii="Arial" w:hAnsi="Arial" w:cs="Arial"/>
        </w:rPr>
        <w:t>—reporting, informing, and consulting</w:t>
      </w:r>
      <w:r w:rsidR="009F6C8A" w:rsidRPr="009F6C8A">
        <w:rPr>
          <w:rFonts w:ascii="Arial" w:hAnsi="Arial" w:cs="Arial"/>
        </w:rPr>
        <w:t xml:space="preserve"> </w:t>
      </w:r>
      <w:r w:rsidRPr="009F6C8A">
        <w:rPr>
          <w:rFonts w:ascii="Arial" w:hAnsi="Arial" w:cs="Arial"/>
        </w:rPr>
        <w:t xml:space="preserve">as an important Japanese business practice. </w:t>
      </w:r>
      <w:r w:rsidR="000A4C4C" w:rsidRPr="009F6C8A">
        <w:rPr>
          <w:rFonts w:ascii="Arial" w:hAnsi="Arial" w:cs="Arial"/>
        </w:rPr>
        <w:t>Although their evidence comes from manufacturing in Thailand, the principle is relevant because Dai-ichi Life must coordinate knowledge held by different departments. Customer-service teams understand likely questions, advisers know what customers find difficult, and compliance specialists identify legal or conduct concerns. Consultation can therefore improve implementation rather than merely delay it.</w:t>
      </w:r>
    </w:p>
    <w:p w14:paraId="2496596B" w14:textId="53A6F721" w:rsidR="000A4C4C" w:rsidRPr="009F6C8A" w:rsidRDefault="000A4C4C" w:rsidP="009F6C8A">
      <w:pPr>
        <w:spacing w:line="360" w:lineRule="auto"/>
        <w:jc w:val="both"/>
        <w:rPr>
          <w:rFonts w:ascii="Arial" w:hAnsi="Arial" w:cs="Arial"/>
        </w:rPr>
      </w:pPr>
      <w:r w:rsidRPr="009F6C8A">
        <w:rPr>
          <w:rFonts w:ascii="Arial" w:hAnsi="Arial" w:cs="Arial"/>
        </w:rPr>
        <w:t xml:space="preserve">Delegation also has value because not every operational issue requires senior consensus. The weakness arises when the companies do not know whether a discussion represents informal consultation, conditional support, or formal approval. Each major </w:t>
      </w:r>
      <w:r w:rsidRPr="009F6C8A">
        <w:rPr>
          <w:rFonts w:ascii="Arial" w:hAnsi="Arial" w:cs="Arial"/>
        </w:rPr>
        <w:lastRenderedPageBreak/>
        <w:t>decision should be recorded as approved, conditionally approved, pending consultation, rejected, or requiring further evidence. This combines M&amp;G's need for clarity and pace with Dai-ichi Life's need for internal alignment.</w:t>
      </w:r>
    </w:p>
    <w:p w14:paraId="73AD827D" w14:textId="77777777" w:rsidR="0036045D" w:rsidRPr="009F6C8A" w:rsidRDefault="0036045D" w:rsidP="009F6C8A">
      <w:pPr>
        <w:spacing w:line="360" w:lineRule="auto"/>
        <w:jc w:val="both"/>
        <w:rPr>
          <w:rFonts w:ascii="Arial" w:hAnsi="Arial" w:cs="Arial"/>
        </w:rPr>
      </w:pPr>
    </w:p>
    <w:p w14:paraId="36F122F5" w14:textId="7926DC24" w:rsidR="000A4C4C" w:rsidRPr="009F6C8A" w:rsidRDefault="000A4C4C" w:rsidP="009F6C8A">
      <w:pPr>
        <w:pStyle w:val="Heading1"/>
        <w:numPr>
          <w:ilvl w:val="0"/>
          <w:numId w:val="4"/>
        </w:numPr>
        <w:spacing w:line="360" w:lineRule="auto"/>
        <w:jc w:val="both"/>
        <w:rPr>
          <w:rFonts w:ascii="Arial" w:hAnsi="Arial" w:cs="Arial"/>
          <w:b/>
          <w:bCs/>
          <w:color w:val="auto"/>
          <w:sz w:val="24"/>
          <w:szCs w:val="24"/>
        </w:rPr>
      </w:pPr>
      <w:bookmarkStart w:id="7" w:name="_Toc235714721"/>
      <w:r w:rsidRPr="009F6C8A">
        <w:rPr>
          <w:rFonts w:ascii="Arial" w:hAnsi="Arial" w:cs="Arial"/>
          <w:b/>
          <w:bCs/>
          <w:color w:val="auto"/>
          <w:sz w:val="24"/>
          <w:szCs w:val="24"/>
        </w:rPr>
        <w:t>Language, expertise, and power in joint meetings</w:t>
      </w:r>
      <w:bookmarkEnd w:id="7"/>
    </w:p>
    <w:p w14:paraId="266B3040" w14:textId="77777777" w:rsidR="0036045D" w:rsidRPr="009F6C8A" w:rsidRDefault="0036045D" w:rsidP="009F6C8A">
      <w:pPr>
        <w:pStyle w:val="ListParagraph"/>
        <w:spacing w:line="360" w:lineRule="auto"/>
        <w:ind w:left="1440"/>
        <w:jc w:val="both"/>
        <w:rPr>
          <w:rFonts w:ascii="Arial" w:hAnsi="Arial" w:cs="Arial"/>
        </w:rPr>
      </w:pPr>
    </w:p>
    <w:p w14:paraId="5BD6D69C" w14:textId="095B8584" w:rsidR="000A4C4C" w:rsidRPr="009F6C8A" w:rsidRDefault="000A4C4C" w:rsidP="009F6C8A">
      <w:pPr>
        <w:spacing w:line="360" w:lineRule="auto"/>
        <w:jc w:val="both"/>
        <w:rPr>
          <w:rFonts w:ascii="Arial" w:hAnsi="Arial" w:cs="Arial"/>
        </w:rPr>
      </w:pPr>
      <w:r w:rsidRPr="009F6C8A">
        <w:rPr>
          <w:rFonts w:ascii="Arial" w:hAnsi="Arial" w:cs="Arial"/>
        </w:rPr>
        <w:t>English is likely to be the common working language, but one language does not create equal participation. Ivanova-Gongne et al. (2023) argue that language competence can influence perceived power in intercultural business interactions. M&amp;G employees may speak more quickly and present technical arguments more confidently in English. Dai-ichi Life employees may nevertheless hold stronger knowledge of Japanese regulation, distribution, and customers. Fluency could therefore be mistaken for professional authority.</w:t>
      </w:r>
    </w:p>
    <w:p w14:paraId="5BF4150F" w14:textId="64C9D31A" w:rsidR="000A4C4C" w:rsidRPr="009F6C8A" w:rsidRDefault="000A4C4C" w:rsidP="009F6C8A">
      <w:pPr>
        <w:spacing w:line="360" w:lineRule="auto"/>
        <w:jc w:val="both"/>
        <w:rPr>
          <w:rFonts w:ascii="Arial" w:hAnsi="Arial" w:cs="Arial"/>
        </w:rPr>
      </w:pPr>
      <w:r w:rsidRPr="009F6C8A">
        <w:rPr>
          <w:rFonts w:ascii="Arial" w:hAnsi="Arial" w:cs="Arial"/>
        </w:rPr>
        <w:t>This is particularly relevant in video meetings, where pauses can be interpreted as uncertainty. Silence may reflect translation effort, reflection, or hesitation about challenging a proposal rather than agreement. Huggins, Williams, and Sato (2023) found some UK-Japan differences in emotional self-awareness, although their pilot sample was small and not workplace-specific. Their findings cannot predict behaviour, but they reinforce the need to avoid judging confidence or concern only through familiar British signals.</w:t>
      </w:r>
    </w:p>
    <w:p w14:paraId="3DD8B9FD" w14:textId="77777777" w:rsidR="000A4C4C" w:rsidRDefault="000A4C4C" w:rsidP="009F6C8A">
      <w:pPr>
        <w:spacing w:line="360" w:lineRule="auto"/>
        <w:jc w:val="both"/>
        <w:rPr>
          <w:rFonts w:ascii="Arial" w:hAnsi="Arial" w:cs="Arial"/>
        </w:rPr>
      </w:pPr>
      <w:r w:rsidRPr="009F6C8A">
        <w:rPr>
          <w:rFonts w:ascii="Arial" w:hAnsi="Arial" w:cs="Arial"/>
        </w:rPr>
        <w:t>Agendas and papers should be circulated before meetings, chairs should pause after major questions, and participants should be invited to comment by function rather than only by seniority. Important customer and compliance documents should be bilingual and professionally translated. These practices reduce the possibility that English fluency dominates local expertise.</w:t>
      </w:r>
    </w:p>
    <w:p w14:paraId="44063896" w14:textId="77777777" w:rsidR="008B5F2E" w:rsidRPr="009F6C8A" w:rsidRDefault="008B5F2E" w:rsidP="009F6C8A">
      <w:pPr>
        <w:spacing w:line="360" w:lineRule="auto"/>
        <w:jc w:val="both"/>
        <w:rPr>
          <w:rFonts w:ascii="Arial" w:hAnsi="Arial" w:cs="Arial"/>
        </w:rPr>
      </w:pPr>
    </w:p>
    <w:p w14:paraId="3E63FB13" w14:textId="141FEA80" w:rsidR="000A4C4C" w:rsidRPr="009F6C8A" w:rsidRDefault="000A4C4C" w:rsidP="009F6C8A">
      <w:pPr>
        <w:pStyle w:val="Heading1"/>
        <w:numPr>
          <w:ilvl w:val="0"/>
          <w:numId w:val="4"/>
        </w:numPr>
        <w:spacing w:line="360" w:lineRule="auto"/>
        <w:jc w:val="both"/>
        <w:rPr>
          <w:rFonts w:ascii="Arial" w:hAnsi="Arial" w:cs="Arial"/>
          <w:b/>
          <w:bCs/>
          <w:color w:val="auto"/>
          <w:sz w:val="24"/>
          <w:szCs w:val="24"/>
        </w:rPr>
      </w:pPr>
      <w:bookmarkStart w:id="8" w:name="_Toc235714722"/>
      <w:r w:rsidRPr="009F6C8A">
        <w:rPr>
          <w:rFonts w:ascii="Arial" w:hAnsi="Arial" w:cs="Arial"/>
          <w:b/>
          <w:bCs/>
          <w:color w:val="auto"/>
          <w:sz w:val="24"/>
          <w:szCs w:val="24"/>
        </w:rPr>
        <w:t xml:space="preserve">National, </w:t>
      </w:r>
      <w:r w:rsidR="0036045D" w:rsidRPr="009F6C8A">
        <w:rPr>
          <w:rFonts w:ascii="Arial" w:hAnsi="Arial" w:cs="Arial"/>
          <w:b/>
          <w:bCs/>
          <w:color w:val="auto"/>
          <w:sz w:val="24"/>
          <w:szCs w:val="24"/>
        </w:rPr>
        <w:t>organisational,</w:t>
      </w:r>
      <w:r w:rsidRPr="009F6C8A">
        <w:rPr>
          <w:rFonts w:ascii="Arial" w:hAnsi="Arial" w:cs="Arial"/>
          <w:b/>
          <w:bCs/>
          <w:color w:val="auto"/>
          <w:sz w:val="24"/>
          <w:szCs w:val="24"/>
        </w:rPr>
        <w:t xml:space="preserve"> and professional cultures</w:t>
      </w:r>
      <w:bookmarkEnd w:id="8"/>
    </w:p>
    <w:p w14:paraId="2726BCA6" w14:textId="77777777" w:rsidR="0036045D" w:rsidRPr="009F6C8A" w:rsidRDefault="0036045D" w:rsidP="009F6C8A">
      <w:pPr>
        <w:pStyle w:val="ListParagraph"/>
        <w:spacing w:line="360" w:lineRule="auto"/>
        <w:ind w:left="1440"/>
        <w:jc w:val="both"/>
        <w:rPr>
          <w:rFonts w:ascii="Arial" w:hAnsi="Arial" w:cs="Arial"/>
        </w:rPr>
      </w:pPr>
    </w:p>
    <w:p w14:paraId="1CA3CB6A" w14:textId="096D1604" w:rsidR="000A4C4C" w:rsidRPr="009F6C8A" w:rsidRDefault="000A4C4C" w:rsidP="009F6C8A">
      <w:pPr>
        <w:spacing w:line="360" w:lineRule="auto"/>
        <w:jc w:val="both"/>
        <w:rPr>
          <w:rFonts w:ascii="Arial" w:hAnsi="Arial" w:cs="Arial"/>
        </w:rPr>
      </w:pPr>
      <w:r w:rsidRPr="009F6C8A">
        <w:rPr>
          <w:rFonts w:ascii="Arial" w:hAnsi="Arial" w:cs="Arial"/>
        </w:rPr>
        <w:t xml:space="preserve">Hall and Hofstede help managers ask useful questions, but they do not explain every behaviour. M&amp;G's organisational culture may be shaped by investment performance, commercial </w:t>
      </w:r>
      <w:r w:rsidR="0036045D" w:rsidRPr="009F6C8A">
        <w:rPr>
          <w:rFonts w:ascii="Arial" w:hAnsi="Arial" w:cs="Arial"/>
        </w:rPr>
        <w:t>accountability,</w:t>
      </w:r>
      <w:r w:rsidRPr="009F6C8A">
        <w:rPr>
          <w:rFonts w:ascii="Arial" w:hAnsi="Arial" w:cs="Arial"/>
        </w:rPr>
        <w:t xml:space="preserve"> and delegated decisions. Dai-ichi Life may have routines </w:t>
      </w:r>
      <w:r w:rsidRPr="009F6C8A">
        <w:rPr>
          <w:rFonts w:ascii="Arial" w:hAnsi="Arial" w:cs="Arial"/>
        </w:rPr>
        <w:lastRenderedPageBreak/>
        <w:t>shaped by insurance, customer service and internal approval. These organisational differences may sometimes be stronger than the national contrast.</w:t>
      </w:r>
    </w:p>
    <w:p w14:paraId="52BF6E3C" w14:textId="78CFF976" w:rsidR="000A4C4C" w:rsidRPr="009F6C8A" w:rsidRDefault="000A4C4C" w:rsidP="009F6C8A">
      <w:pPr>
        <w:spacing w:line="360" w:lineRule="auto"/>
        <w:jc w:val="both"/>
        <w:rPr>
          <w:rFonts w:ascii="Arial" w:hAnsi="Arial" w:cs="Arial"/>
        </w:rPr>
      </w:pPr>
      <w:r w:rsidRPr="009F6C8A">
        <w:rPr>
          <w:rFonts w:ascii="Arial" w:hAnsi="Arial" w:cs="Arial"/>
        </w:rPr>
        <w:t xml:space="preserve">Professional culture adds another layer. An M&amp;G compliance specialist may have more in common with a Dai-ichi Life compliance specialist than with an M&amp;G marketing manager because both compliance professionals require evidence, </w:t>
      </w:r>
      <w:r w:rsidR="0036045D" w:rsidRPr="009F6C8A">
        <w:rPr>
          <w:rFonts w:ascii="Arial" w:hAnsi="Arial" w:cs="Arial"/>
        </w:rPr>
        <w:t>documentation,</w:t>
      </w:r>
      <w:r w:rsidRPr="009F6C8A">
        <w:rPr>
          <w:rFonts w:ascii="Arial" w:hAnsi="Arial" w:cs="Arial"/>
        </w:rPr>
        <w:t xml:space="preserve"> and customer protection. Investment specialists may communicate through technical data, while distribution employees depend more on adviser and customer feedback. Age, international experience, language ability, personality and meeting format can also change behaviour.</w:t>
      </w:r>
    </w:p>
    <w:p w14:paraId="14F4CDA4" w14:textId="77777777" w:rsidR="000A4C4C" w:rsidRPr="009F6C8A" w:rsidRDefault="000A4C4C" w:rsidP="009F6C8A">
      <w:pPr>
        <w:spacing w:line="360" w:lineRule="auto"/>
        <w:jc w:val="both"/>
        <w:rPr>
          <w:rFonts w:ascii="Arial" w:hAnsi="Arial" w:cs="Arial"/>
        </w:rPr>
      </w:pPr>
      <w:r w:rsidRPr="009F6C8A">
        <w:rPr>
          <w:rFonts w:ascii="Arial" w:hAnsi="Arial" w:cs="Arial"/>
        </w:rPr>
        <w:t>National frameworks should therefore challenge assumptions rather than label employees. Managers should not assume that every Japanese participant is indirect or that every British participant welcomes confrontation. Instead, the partnership should establish how each team prefers concerns to be raised, who holds authority and what evidence is required. This prepares employees for difference without turning national averages into stereotypes.</w:t>
      </w:r>
    </w:p>
    <w:p w14:paraId="78D27E55" w14:textId="77777777" w:rsidR="0036045D" w:rsidRPr="009F6C8A" w:rsidRDefault="0036045D" w:rsidP="009F6C8A">
      <w:pPr>
        <w:spacing w:line="360" w:lineRule="auto"/>
        <w:jc w:val="both"/>
        <w:rPr>
          <w:rFonts w:ascii="Arial" w:hAnsi="Arial" w:cs="Arial"/>
        </w:rPr>
      </w:pPr>
    </w:p>
    <w:p w14:paraId="0E81B7E4" w14:textId="76086C49" w:rsidR="000A4C4C" w:rsidRPr="009F6C8A" w:rsidRDefault="000A4C4C" w:rsidP="009F6C8A">
      <w:pPr>
        <w:pStyle w:val="Heading1"/>
        <w:numPr>
          <w:ilvl w:val="0"/>
          <w:numId w:val="4"/>
        </w:numPr>
        <w:spacing w:line="360" w:lineRule="auto"/>
        <w:jc w:val="both"/>
        <w:rPr>
          <w:rFonts w:ascii="Arial" w:hAnsi="Arial" w:cs="Arial"/>
          <w:b/>
          <w:bCs/>
          <w:color w:val="auto"/>
          <w:sz w:val="24"/>
          <w:szCs w:val="24"/>
        </w:rPr>
      </w:pPr>
      <w:bookmarkStart w:id="9" w:name="_Toc235714723"/>
      <w:r w:rsidRPr="009F6C8A">
        <w:rPr>
          <w:rFonts w:ascii="Arial" w:hAnsi="Arial" w:cs="Arial"/>
          <w:b/>
          <w:bCs/>
          <w:color w:val="auto"/>
          <w:sz w:val="24"/>
          <w:szCs w:val="24"/>
        </w:rPr>
        <w:t>A communication system for the partnership</w:t>
      </w:r>
      <w:bookmarkEnd w:id="9"/>
    </w:p>
    <w:p w14:paraId="2E1851D7" w14:textId="77777777" w:rsidR="0036045D" w:rsidRPr="009F6C8A" w:rsidRDefault="0036045D" w:rsidP="009F6C8A">
      <w:pPr>
        <w:pStyle w:val="ListParagraph"/>
        <w:spacing w:line="360" w:lineRule="auto"/>
        <w:ind w:left="1440"/>
        <w:jc w:val="both"/>
        <w:rPr>
          <w:rFonts w:ascii="Arial" w:hAnsi="Arial" w:cs="Arial"/>
        </w:rPr>
      </w:pPr>
    </w:p>
    <w:p w14:paraId="217858DB" w14:textId="100807E8" w:rsidR="000A4C4C" w:rsidRPr="009F6C8A" w:rsidRDefault="000A4C4C" w:rsidP="009F6C8A">
      <w:pPr>
        <w:spacing w:line="360" w:lineRule="auto"/>
        <w:jc w:val="both"/>
        <w:rPr>
          <w:rFonts w:ascii="Arial" w:hAnsi="Arial" w:cs="Arial"/>
        </w:rPr>
      </w:pPr>
      <w:r w:rsidRPr="009F6C8A">
        <w:rPr>
          <w:rFonts w:ascii="Arial" w:hAnsi="Arial" w:cs="Arial"/>
        </w:rPr>
        <w:t>The partnership requires a communication system built around financial-product governance. A product-governance map should separate responsibility for investment design, Japanese regulatory compliance, distribution, customer communication and final commercial approval. This</w:t>
      </w:r>
      <w:r w:rsidR="00B20B44" w:rsidRPr="009F6C8A">
        <w:rPr>
          <w:rFonts w:ascii="Arial" w:hAnsi="Arial" w:cs="Arial"/>
        </w:rPr>
        <w:t xml:space="preserve"> prevents one team from</w:t>
      </w:r>
      <w:r w:rsidR="008B5F2E">
        <w:rPr>
          <w:rFonts w:ascii="Arial" w:hAnsi="Arial" w:cs="Arial"/>
        </w:rPr>
        <w:t xml:space="preserve"> considering that</w:t>
      </w:r>
      <w:r w:rsidR="00B20B44" w:rsidRPr="009F6C8A">
        <w:rPr>
          <w:rFonts w:ascii="Arial" w:hAnsi="Arial" w:cs="Arial"/>
        </w:rPr>
        <w:t xml:space="preserve"> another team’s support </w:t>
      </w:r>
      <w:r w:rsidRPr="009F6C8A">
        <w:rPr>
          <w:rFonts w:ascii="Arial" w:hAnsi="Arial" w:cs="Arial"/>
        </w:rPr>
        <w:t>covers areas outside its authority.</w:t>
      </w:r>
    </w:p>
    <w:p w14:paraId="20F597C9" w14:textId="77777777" w:rsidR="000A4C4C" w:rsidRPr="009F6C8A" w:rsidRDefault="000A4C4C" w:rsidP="009F6C8A">
      <w:pPr>
        <w:spacing w:line="360" w:lineRule="auto"/>
        <w:jc w:val="both"/>
        <w:rPr>
          <w:rFonts w:ascii="Arial" w:hAnsi="Arial" w:cs="Arial"/>
        </w:rPr>
      </w:pPr>
      <w:r w:rsidRPr="009F6C8A">
        <w:rPr>
          <w:rFonts w:ascii="Arial" w:hAnsi="Arial" w:cs="Arial"/>
        </w:rPr>
        <w:t>A bilingual decision and risk register should record the status of each major proposal, unresolved regulatory or customer concerns, responsible persons, required evidence and deadlines. General verbal support should not count as final approval unless it is recorded by the correct authority. Customer communication should also be reviewed and tested locally. M&amp;G should ensure investment accuracy, while Dai-ichi Life should have formal authority over the suitability of product language, adviser materials and risk explanations for Japan.</w:t>
      </w:r>
    </w:p>
    <w:p w14:paraId="08CCC5C7" w14:textId="77777777" w:rsidR="000A4C4C" w:rsidRPr="009F6C8A" w:rsidRDefault="000A4C4C" w:rsidP="009F6C8A">
      <w:pPr>
        <w:spacing w:line="360" w:lineRule="auto"/>
        <w:jc w:val="both"/>
        <w:rPr>
          <w:rFonts w:ascii="Arial" w:hAnsi="Arial" w:cs="Arial"/>
        </w:rPr>
      </w:pPr>
      <w:r w:rsidRPr="009F6C8A">
        <w:rPr>
          <w:rFonts w:ascii="Arial" w:hAnsi="Arial" w:cs="Arial"/>
        </w:rPr>
        <w:t xml:space="preserve">Major meetings should be jointly led by one representative from each company. Proposals should be circulated in advance, allowing Dai-ichi Life to consult internally and M&amp;G to </w:t>
      </w:r>
      <w:r w:rsidRPr="009F6C8A">
        <w:rPr>
          <w:rFonts w:ascii="Arial" w:hAnsi="Arial" w:cs="Arial"/>
        </w:rPr>
        <w:lastRenderedPageBreak/>
        <w:t>receive concerns before approval. After each meeting, a summary should state what was decided, what remains conditional and who must act next. A protected escalation route should also allow junior specialists to raise concerns privately.</w:t>
      </w:r>
    </w:p>
    <w:p w14:paraId="32CC08E8" w14:textId="77777777" w:rsidR="000A4C4C" w:rsidRPr="009F6C8A" w:rsidRDefault="000A4C4C" w:rsidP="009F6C8A">
      <w:pPr>
        <w:spacing w:line="360" w:lineRule="auto"/>
        <w:jc w:val="both"/>
        <w:rPr>
          <w:rFonts w:ascii="Arial" w:hAnsi="Arial" w:cs="Arial"/>
        </w:rPr>
      </w:pPr>
      <w:r w:rsidRPr="009F6C8A">
        <w:rPr>
          <w:rFonts w:ascii="Arial" w:hAnsi="Arial" w:cs="Arial"/>
        </w:rPr>
        <w:t>Intercultural training can support these processes, but generic awareness is insufficient. Training should use actual product cases, approval language and customer risks. The aim is not to make one side communicate like the other, but to create a system in which different styles still lead to clear, safe and accountable decisions.</w:t>
      </w:r>
    </w:p>
    <w:p w14:paraId="676A52B5" w14:textId="77777777" w:rsidR="0036045D" w:rsidRPr="009F6C8A" w:rsidRDefault="0036045D" w:rsidP="009F6C8A">
      <w:pPr>
        <w:spacing w:line="360" w:lineRule="auto"/>
        <w:jc w:val="both"/>
        <w:rPr>
          <w:rFonts w:ascii="Arial" w:hAnsi="Arial" w:cs="Arial"/>
        </w:rPr>
      </w:pPr>
    </w:p>
    <w:p w14:paraId="587E8D2A" w14:textId="701FBB7D" w:rsidR="000A4C4C" w:rsidRPr="009F6C8A" w:rsidRDefault="00B20B44" w:rsidP="009F6C8A">
      <w:pPr>
        <w:pStyle w:val="Heading1"/>
        <w:numPr>
          <w:ilvl w:val="0"/>
          <w:numId w:val="4"/>
        </w:numPr>
        <w:spacing w:line="360" w:lineRule="auto"/>
        <w:jc w:val="both"/>
        <w:rPr>
          <w:rFonts w:ascii="Arial" w:hAnsi="Arial" w:cs="Arial"/>
          <w:b/>
          <w:bCs/>
          <w:color w:val="auto"/>
          <w:sz w:val="24"/>
          <w:szCs w:val="24"/>
        </w:rPr>
      </w:pPr>
      <w:bookmarkStart w:id="10" w:name="_Toc235714724"/>
      <w:r w:rsidRPr="009F6C8A">
        <w:rPr>
          <w:rFonts w:ascii="Arial" w:hAnsi="Arial" w:cs="Arial"/>
          <w:b/>
          <w:bCs/>
          <w:color w:val="auto"/>
          <w:sz w:val="24"/>
          <w:szCs w:val="24"/>
        </w:rPr>
        <w:t xml:space="preserve"> </w:t>
      </w:r>
      <w:r w:rsidR="000A4C4C" w:rsidRPr="009F6C8A">
        <w:rPr>
          <w:rFonts w:ascii="Arial" w:hAnsi="Arial" w:cs="Arial"/>
          <w:b/>
          <w:bCs/>
          <w:color w:val="auto"/>
          <w:sz w:val="24"/>
          <w:szCs w:val="24"/>
        </w:rPr>
        <w:t>Conclusion</w:t>
      </w:r>
      <w:bookmarkEnd w:id="10"/>
    </w:p>
    <w:p w14:paraId="500958B9" w14:textId="77777777" w:rsidR="0036045D" w:rsidRPr="009F6C8A" w:rsidRDefault="0036045D" w:rsidP="009F6C8A">
      <w:pPr>
        <w:pStyle w:val="ListParagraph"/>
        <w:spacing w:line="360" w:lineRule="auto"/>
        <w:ind w:left="1440"/>
        <w:jc w:val="both"/>
        <w:rPr>
          <w:rFonts w:ascii="Arial" w:hAnsi="Arial" w:cs="Arial"/>
        </w:rPr>
      </w:pPr>
    </w:p>
    <w:p w14:paraId="09FA58C8" w14:textId="77777777" w:rsidR="000A4C4C" w:rsidRPr="009F6C8A" w:rsidRDefault="000A4C4C" w:rsidP="009F6C8A">
      <w:pPr>
        <w:spacing w:line="360" w:lineRule="auto"/>
        <w:jc w:val="both"/>
        <w:rPr>
          <w:rFonts w:ascii="Arial" w:hAnsi="Arial" w:cs="Arial"/>
        </w:rPr>
      </w:pPr>
      <w:r w:rsidRPr="009F6C8A">
        <w:rPr>
          <w:rFonts w:ascii="Arial" w:hAnsi="Arial" w:cs="Arial"/>
        </w:rPr>
        <w:t>The central communication challenge for M&amp;G and Dai-ichi Life is integrating investment expertise with Japanese regulatory, distribution and customer knowledge. Cultural differences may influence how concerns are expressed, how hierarchy is interpreted and when decisions are considered final. Hall and Hofstede help identify these risks, but organisational culture, professional responsibility and language competence are equally important.</w:t>
      </w:r>
    </w:p>
    <w:p w14:paraId="642C9FEF" w14:textId="38DBC900" w:rsidR="000A4C4C" w:rsidRPr="009F6C8A" w:rsidRDefault="000A4C4C" w:rsidP="009F6C8A">
      <w:pPr>
        <w:spacing w:line="360" w:lineRule="auto"/>
        <w:jc w:val="both"/>
        <w:rPr>
          <w:rFonts w:ascii="Arial" w:hAnsi="Arial" w:cs="Arial"/>
        </w:rPr>
      </w:pPr>
      <w:r w:rsidRPr="009F6C8A">
        <w:rPr>
          <w:rFonts w:ascii="Arial" w:hAnsi="Arial" w:cs="Arial"/>
        </w:rPr>
        <w:t xml:space="preserve">Misunderstandings could affect product approval, customer confidence, risk escalation and implementation. M&amp;G's directness and delegated authority may support speed, while Dai-ichi Life's consultation and attention to context may improve local suitability. The partnership will create the greatest value when these strengths are connected through clear governance roles, explicit decision status, bilingual documentation, protected </w:t>
      </w:r>
      <w:r w:rsidR="0036045D" w:rsidRPr="009F6C8A">
        <w:rPr>
          <w:rFonts w:ascii="Arial" w:hAnsi="Arial" w:cs="Arial"/>
        </w:rPr>
        <w:t>challenge,</w:t>
      </w:r>
      <w:r w:rsidRPr="009F6C8A">
        <w:rPr>
          <w:rFonts w:ascii="Arial" w:hAnsi="Arial" w:cs="Arial"/>
        </w:rPr>
        <w:t xml:space="preserve"> and local customer review. M&amp;G's capabilities should not simply be transferred into Japan; they should be adapted through Dai-ichi Life's regulatory knowledge, distribution experience and understanding of Japanese customers.</w:t>
      </w:r>
    </w:p>
    <w:p w14:paraId="7587656D" w14:textId="77777777" w:rsidR="00F51391" w:rsidRPr="009F6C8A" w:rsidRDefault="00F51391" w:rsidP="009F6C8A">
      <w:pPr>
        <w:spacing w:line="360" w:lineRule="auto"/>
        <w:jc w:val="both"/>
        <w:rPr>
          <w:rFonts w:ascii="Arial" w:hAnsi="Arial" w:cs="Arial"/>
        </w:rPr>
      </w:pPr>
    </w:p>
    <w:p w14:paraId="3BDF658C" w14:textId="77777777" w:rsidR="00664330" w:rsidRPr="009F6C8A" w:rsidRDefault="00664330" w:rsidP="009F6C8A">
      <w:pPr>
        <w:spacing w:line="360" w:lineRule="auto"/>
        <w:jc w:val="both"/>
        <w:rPr>
          <w:rFonts w:ascii="Arial" w:hAnsi="Arial" w:cs="Arial"/>
        </w:rPr>
      </w:pPr>
    </w:p>
    <w:p w14:paraId="327FF842" w14:textId="77777777" w:rsidR="0036045D" w:rsidRPr="009F6C8A" w:rsidRDefault="0036045D" w:rsidP="009F6C8A">
      <w:pPr>
        <w:spacing w:line="360" w:lineRule="auto"/>
        <w:jc w:val="both"/>
        <w:rPr>
          <w:rFonts w:ascii="Arial" w:hAnsi="Arial" w:cs="Arial"/>
        </w:rPr>
      </w:pPr>
    </w:p>
    <w:p w14:paraId="2EEE2C17" w14:textId="77777777" w:rsidR="0036045D" w:rsidRPr="009F6C8A" w:rsidRDefault="0036045D" w:rsidP="009F6C8A">
      <w:pPr>
        <w:spacing w:line="360" w:lineRule="auto"/>
        <w:jc w:val="both"/>
        <w:rPr>
          <w:rFonts w:ascii="Arial" w:hAnsi="Arial" w:cs="Arial"/>
        </w:rPr>
      </w:pPr>
    </w:p>
    <w:p w14:paraId="5C74527A" w14:textId="77777777" w:rsidR="0036045D" w:rsidRPr="009F6C8A" w:rsidRDefault="0036045D" w:rsidP="009F6C8A">
      <w:pPr>
        <w:spacing w:line="360" w:lineRule="auto"/>
        <w:jc w:val="both"/>
        <w:rPr>
          <w:rFonts w:ascii="Arial" w:hAnsi="Arial" w:cs="Arial"/>
        </w:rPr>
      </w:pPr>
    </w:p>
    <w:p w14:paraId="2D82AD74" w14:textId="77777777" w:rsidR="0036045D" w:rsidRPr="009F6C8A" w:rsidRDefault="0036045D" w:rsidP="009F6C8A">
      <w:pPr>
        <w:spacing w:line="360" w:lineRule="auto"/>
        <w:jc w:val="both"/>
        <w:rPr>
          <w:rFonts w:ascii="Arial" w:hAnsi="Arial" w:cs="Arial"/>
        </w:rPr>
      </w:pPr>
    </w:p>
    <w:p w14:paraId="07458DCA" w14:textId="77777777" w:rsidR="0036045D" w:rsidRPr="009F6C8A" w:rsidRDefault="0036045D" w:rsidP="009F6C8A">
      <w:pPr>
        <w:spacing w:line="360" w:lineRule="auto"/>
        <w:jc w:val="both"/>
        <w:rPr>
          <w:rFonts w:ascii="Arial" w:hAnsi="Arial" w:cs="Arial"/>
        </w:rPr>
      </w:pPr>
    </w:p>
    <w:p w14:paraId="65680E34" w14:textId="46272501" w:rsidR="00F51391" w:rsidRPr="009F6C8A" w:rsidRDefault="00F51391" w:rsidP="009F6C8A">
      <w:pPr>
        <w:pStyle w:val="Heading1"/>
        <w:spacing w:line="360" w:lineRule="auto"/>
        <w:jc w:val="both"/>
        <w:rPr>
          <w:rFonts w:ascii="Arial" w:hAnsi="Arial" w:cs="Arial"/>
          <w:b/>
          <w:bCs/>
          <w:color w:val="auto"/>
          <w:sz w:val="24"/>
          <w:szCs w:val="24"/>
        </w:rPr>
      </w:pPr>
      <w:bookmarkStart w:id="11" w:name="_Toc235714725"/>
      <w:r w:rsidRPr="009F6C8A">
        <w:rPr>
          <w:rFonts w:ascii="Arial" w:hAnsi="Arial" w:cs="Arial"/>
          <w:b/>
          <w:bCs/>
          <w:color w:val="auto"/>
          <w:sz w:val="24"/>
          <w:szCs w:val="24"/>
        </w:rPr>
        <w:t>References</w:t>
      </w:r>
      <w:bookmarkEnd w:id="11"/>
    </w:p>
    <w:p w14:paraId="720E92BE" w14:textId="77777777" w:rsidR="00F51391" w:rsidRPr="009F6C8A" w:rsidRDefault="00F51391" w:rsidP="009F6C8A">
      <w:pPr>
        <w:spacing w:line="360" w:lineRule="auto"/>
        <w:jc w:val="both"/>
        <w:rPr>
          <w:rFonts w:ascii="Arial" w:hAnsi="Arial" w:cs="Arial"/>
        </w:rPr>
      </w:pPr>
    </w:p>
    <w:p w14:paraId="5C20D35E" w14:textId="77777777" w:rsidR="00F51391" w:rsidRPr="009F6C8A" w:rsidRDefault="00F51391" w:rsidP="009F6C8A">
      <w:pPr>
        <w:spacing w:line="360" w:lineRule="auto"/>
        <w:jc w:val="both"/>
        <w:rPr>
          <w:rFonts w:ascii="Arial" w:hAnsi="Arial" w:cs="Arial"/>
        </w:rPr>
      </w:pPr>
    </w:p>
    <w:p w14:paraId="529DE301" w14:textId="4ED58EB1"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Barmeyer, C. (2026) ‘Edward T. Hall: cultural dimensions as consciousness-building frameworks’, in Barmeyer, C. and Busch, D. (eds.) </w:t>
      </w:r>
      <w:r w:rsidRPr="009F6C8A">
        <w:rPr>
          <w:rStyle w:val="Emphasis"/>
          <w:rFonts w:ascii="Arial" w:eastAsiaTheme="majorEastAsia" w:hAnsi="Arial" w:cs="Arial"/>
        </w:rPr>
        <w:t>Landmarks in Intercultural Studies: Biographies. Concepts. Positions</w:t>
      </w:r>
      <w:r w:rsidRPr="009F6C8A">
        <w:rPr>
          <w:rFonts w:ascii="Arial" w:hAnsi="Arial" w:cs="Arial"/>
        </w:rPr>
        <w:t xml:space="preserve">. Wiesbaden: Palgrave Macmillan, pp. 69–98. </w:t>
      </w:r>
      <w:hyperlink r:id="rId13" w:history="1">
        <w:r w:rsidR="00002220" w:rsidRPr="009F6C8A">
          <w:rPr>
            <w:rStyle w:val="Hyperlink"/>
            <w:rFonts w:ascii="Arial" w:hAnsi="Arial" w:cs="Arial"/>
            <w:shd w:val="clear" w:color="auto" w:fill="FFFFFF"/>
          </w:rPr>
          <w:t>https://</w:t>
        </w:r>
        <w:proofErr w:type="spellStart"/>
        <w:r w:rsidR="00002220" w:rsidRPr="009F6C8A">
          <w:rPr>
            <w:rStyle w:val="Hyperlink"/>
            <w:rFonts w:ascii="Arial" w:hAnsi="Arial" w:cs="Arial"/>
            <w:shd w:val="clear" w:color="auto" w:fill="FFFFFF"/>
          </w:rPr>
          <w:t>doi.org</w:t>
        </w:r>
        <w:proofErr w:type="spellEnd"/>
        <w:r w:rsidR="00002220" w:rsidRPr="009F6C8A">
          <w:rPr>
            <w:rStyle w:val="Hyperlink"/>
            <w:rFonts w:ascii="Arial" w:hAnsi="Arial" w:cs="Arial"/>
            <w:shd w:val="clear" w:color="auto" w:fill="FFFFFF"/>
          </w:rPr>
          <w:t>/10.1007/978-3-658-48139-1_3</w:t>
        </w:r>
      </w:hyperlink>
      <w:r w:rsidR="00002220" w:rsidRPr="009F6C8A">
        <w:rPr>
          <w:rFonts w:ascii="Arial" w:hAnsi="Arial" w:cs="Arial"/>
          <w:color w:val="222222"/>
          <w:shd w:val="clear" w:color="auto" w:fill="FFFFFF"/>
        </w:rPr>
        <w:t xml:space="preserve"> </w:t>
      </w:r>
    </w:p>
    <w:p w14:paraId="0E1A8F42"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Chau, V.S. and Nacharoenkul, T. (2023) ‘Japanese business communication practices in Thailand: tales from an electronic components manufacturer’, </w:t>
      </w:r>
      <w:r w:rsidRPr="009F6C8A">
        <w:rPr>
          <w:rStyle w:val="Emphasis"/>
          <w:rFonts w:ascii="Arial" w:eastAsiaTheme="majorEastAsia" w:hAnsi="Arial" w:cs="Arial"/>
        </w:rPr>
        <w:t>Management Decision</w:t>
      </w:r>
      <w:r w:rsidRPr="009F6C8A">
        <w:rPr>
          <w:rFonts w:ascii="Arial" w:hAnsi="Arial" w:cs="Arial"/>
        </w:rPr>
        <w:t xml:space="preserve">, 61(8), pp. 2467–2490. </w:t>
      </w:r>
      <w:hyperlink r:id="rId14" w:history="1">
        <w:r w:rsidRPr="009F6C8A">
          <w:rPr>
            <w:rStyle w:val="Hyperlink"/>
            <w:rFonts w:ascii="Arial" w:eastAsiaTheme="majorEastAsia" w:hAnsi="Arial" w:cs="Arial"/>
          </w:rPr>
          <w:t>https://doi.org/10.1108/MD-08-2022-1092</w:t>
        </w:r>
      </w:hyperlink>
    </w:p>
    <w:p w14:paraId="2BF68E0D"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Daiichi Life Group, Inc. (n.d.) </w:t>
      </w:r>
      <w:r w:rsidRPr="009F6C8A">
        <w:rPr>
          <w:rStyle w:val="Emphasis"/>
          <w:rFonts w:ascii="Arial" w:eastAsiaTheme="majorEastAsia" w:hAnsi="Arial" w:cs="Arial"/>
        </w:rPr>
        <w:t>At a glance of Daiichi Life Group</w:t>
      </w:r>
      <w:r w:rsidRPr="009F6C8A">
        <w:rPr>
          <w:rFonts w:ascii="Arial" w:hAnsi="Arial" w:cs="Arial"/>
        </w:rPr>
        <w:t xml:space="preserve">. Available at: </w:t>
      </w:r>
      <w:hyperlink r:id="rId15" w:history="1">
        <w:r w:rsidRPr="009F6C8A">
          <w:rPr>
            <w:rStyle w:val="Hyperlink"/>
            <w:rFonts w:ascii="Arial" w:eastAsiaTheme="majorEastAsia" w:hAnsi="Arial" w:cs="Arial"/>
          </w:rPr>
          <w:t>https://</w:t>
        </w:r>
        <w:proofErr w:type="spellStart"/>
        <w:r w:rsidRPr="009F6C8A">
          <w:rPr>
            <w:rStyle w:val="Hyperlink"/>
            <w:rFonts w:ascii="Arial" w:eastAsiaTheme="majorEastAsia" w:hAnsi="Arial" w:cs="Arial"/>
          </w:rPr>
          <w:t>www.daiichilife-group.com</w:t>
        </w:r>
        <w:proofErr w:type="spellEnd"/>
        <w:r w:rsidRPr="009F6C8A">
          <w:rPr>
            <w:rStyle w:val="Hyperlink"/>
            <w:rFonts w:ascii="Arial" w:eastAsiaTheme="majorEastAsia" w:hAnsi="Arial" w:cs="Arial"/>
          </w:rPr>
          <w:t>/</w:t>
        </w:r>
        <w:proofErr w:type="spellStart"/>
        <w:r w:rsidRPr="009F6C8A">
          <w:rPr>
            <w:rStyle w:val="Hyperlink"/>
            <w:rFonts w:ascii="Arial" w:eastAsiaTheme="majorEastAsia" w:hAnsi="Arial" w:cs="Arial"/>
          </w:rPr>
          <w:t>en</w:t>
        </w:r>
        <w:proofErr w:type="spellEnd"/>
        <w:r w:rsidRPr="009F6C8A">
          <w:rPr>
            <w:rStyle w:val="Hyperlink"/>
            <w:rFonts w:ascii="Arial" w:eastAsiaTheme="majorEastAsia" w:hAnsi="Arial" w:cs="Arial"/>
          </w:rPr>
          <w:t>/about/at-a-</w:t>
        </w:r>
        <w:proofErr w:type="spellStart"/>
        <w:r w:rsidRPr="009F6C8A">
          <w:rPr>
            <w:rStyle w:val="Hyperlink"/>
            <w:rFonts w:ascii="Arial" w:eastAsiaTheme="majorEastAsia" w:hAnsi="Arial" w:cs="Arial"/>
          </w:rPr>
          <w:t>glance.html</w:t>
        </w:r>
        <w:proofErr w:type="spellEnd"/>
      </w:hyperlink>
      <w:r w:rsidRPr="009F6C8A">
        <w:rPr>
          <w:rFonts w:ascii="Arial" w:hAnsi="Arial" w:cs="Arial"/>
        </w:rPr>
        <w:t xml:space="preserve"> (Accessed: 19 July 2026).</w:t>
      </w:r>
    </w:p>
    <w:p w14:paraId="2CB44F9B"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Deresky, H. (2022) </w:t>
      </w:r>
      <w:r w:rsidRPr="009F6C8A">
        <w:rPr>
          <w:rStyle w:val="Emphasis"/>
          <w:rFonts w:ascii="Arial" w:eastAsiaTheme="majorEastAsia" w:hAnsi="Arial" w:cs="Arial"/>
        </w:rPr>
        <w:t>International Management: Managing Across Borders and Cultures: Text and Cases</w:t>
      </w:r>
      <w:r w:rsidRPr="009F6C8A">
        <w:rPr>
          <w:rFonts w:ascii="Arial" w:hAnsi="Arial" w:cs="Arial"/>
        </w:rPr>
        <w:t>. 10th edn. Global edn. Harlow: Pearson.</w:t>
      </w:r>
    </w:p>
    <w:p w14:paraId="1C5EC0B5"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Financial Services Agency (2023) ‘Policy plan for promoting Japan as a leading asset management centre’, 14 December. Available at: </w:t>
      </w:r>
      <w:hyperlink r:id="rId16" w:history="1">
        <w:r w:rsidRPr="009F6C8A">
          <w:rPr>
            <w:rStyle w:val="Hyperlink"/>
            <w:rFonts w:ascii="Arial" w:eastAsiaTheme="majorEastAsia" w:hAnsi="Arial" w:cs="Arial"/>
          </w:rPr>
          <w:t>https://</w:t>
        </w:r>
        <w:proofErr w:type="spellStart"/>
        <w:r w:rsidRPr="009F6C8A">
          <w:rPr>
            <w:rStyle w:val="Hyperlink"/>
            <w:rFonts w:ascii="Arial" w:eastAsiaTheme="majorEastAsia" w:hAnsi="Arial" w:cs="Arial"/>
          </w:rPr>
          <w:t>www.fsa.go.jp</w:t>
        </w:r>
        <w:proofErr w:type="spellEnd"/>
        <w:r w:rsidRPr="009F6C8A">
          <w:rPr>
            <w:rStyle w:val="Hyperlink"/>
            <w:rFonts w:ascii="Arial" w:eastAsiaTheme="majorEastAsia" w:hAnsi="Arial" w:cs="Arial"/>
          </w:rPr>
          <w:t>/</w:t>
        </w:r>
        <w:proofErr w:type="spellStart"/>
        <w:r w:rsidRPr="009F6C8A">
          <w:rPr>
            <w:rStyle w:val="Hyperlink"/>
            <w:rFonts w:ascii="Arial" w:eastAsiaTheme="majorEastAsia" w:hAnsi="Arial" w:cs="Arial"/>
          </w:rPr>
          <w:t>en</w:t>
        </w:r>
        <w:proofErr w:type="spellEnd"/>
        <w:r w:rsidRPr="009F6C8A">
          <w:rPr>
            <w:rStyle w:val="Hyperlink"/>
            <w:rFonts w:ascii="Arial" w:eastAsiaTheme="majorEastAsia" w:hAnsi="Arial" w:cs="Arial"/>
          </w:rPr>
          <w:t>/policy/</w:t>
        </w:r>
        <w:proofErr w:type="spellStart"/>
        <w:r w:rsidRPr="009F6C8A">
          <w:rPr>
            <w:rStyle w:val="Hyperlink"/>
            <w:rFonts w:ascii="Arial" w:eastAsiaTheme="majorEastAsia" w:hAnsi="Arial" w:cs="Arial"/>
          </w:rPr>
          <w:t>pjlamc</w:t>
        </w:r>
        <w:proofErr w:type="spellEnd"/>
        <w:r w:rsidRPr="009F6C8A">
          <w:rPr>
            <w:rStyle w:val="Hyperlink"/>
            <w:rFonts w:ascii="Arial" w:eastAsiaTheme="majorEastAsia" w:hAnsi="Arial" w:cs="Arial"/>
          </w:rPr>
          <w:t>/20231214.html</w:t>
        </w:r>
      </w:hyperlink>
      <w:r w:rsidRPr="009F6C8A">
        <w:rPr>
          <w:rFonts w:ascii="Arial" w:hAnsi="Arial" w:cs="Arial"/>
        </w:rPr>
        <w:t xml:space="preserve"> (Accessed: 19 July 2026).</w:t>
      </w:r>
    </w:p>
    <w:p w14:paraId="7A139998"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Hall, E.T. (1976) </w:t>
      </w:r>
      <w:r w:rsidRPr="009F6C8A">
        <w:rPr>
          <w:rStyle w:val="Emphasis"/>
          <w:rFonts w:ascii="Arial" w:eastAsiaTheme="majorEastAsia" w:hAnsi="Arial" w:cs="Arial"/>
        </w:rPr>
        <w:t>Beyond Culture</w:t>
      </w:r>
      <w:r w:rsidRPr="009F6C8A">
        <w:rPr>
          <w:rFonts w:ascii="Arial" w:hAnsi="Arial" w:cs="Arial"/>
        </w:rPr>
        <w:t>. Garden City, NY: Anchor Press/Doubleday.</w:t>
      </w:r>
    </w:p>
    <w:p w14:paraId="5CF8651C"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Huggins, C.F., Williams, J.H.G. and Sato, W. (2023) ‘Cross-cultural differences in self-reported and behavioural emotional self-awareness between Japan and the UK’, </w:t>
      </w:r>
      <w:r w:rsidRPr="009F6C8A">
        <w:rPr>
          <w:rStyle w:val="Emphasis"/>
          <w:rFonts w:ascii="Arial" w:eastAsiaTheme="majorEastAsia" w:hAnsi="Arial" w:cs="Arial"/>
        </w:rPr>
        <w:t>BMC Research Notes</w:t>
      </w:r>
      <w:r w:rsidRPr="009F6C8A">
        <w:rPr>
          <w:rFonts w:ascii="Arial" w:hAnsi="Arial" w:cs="Arial"/>
        </w:rPr>
        <w:t xml:space="preserve">, 16, article 380. </w:t>
      </w:r>
      <w:hyperlink r:id="rId17" w:history="1">
        <w:r w:rsidRPr="009F6C8A">
          <w:rPr>
            <w:rStyle w:val="Hyperlink"/>
            <w:rFonts w:ascii="Arial" w:eastAsiaTheme="majorEastAsia" w:hAnsi="Arial" w:cs="Arial"/>
          </w:rPr>
          <w:t>https://doi.org/10.1186/s13104-023-06660-0</w:t>
        </w:r>
      </w:hyperlink>
    </w:p>
    <w:p w14:paraId="404BDDFB"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Ivanova-Gongne, M., Barner-Rasmussen, W., Torkkeli, L. and Elo, M. (2023) ‘Language in intercultural business interactions: A self-perceived power perspective’, </w:t>
      </w:r>
      <w:r w:rsidRPr="009F6C8A">
        <w:rPr>
          <w:rStyle w:val="Emphasis"/>
          <w:rFonts w:ascii="Arial" w:eastAsiaTheme="majorEastAsia" w:hAnsi="Arial" w:cs="Arial"/>
        </w:rPr>
        <w:t>Industrial Marketing Management</w:t>
      </w:r>
      <w:r w:rsidRPr="009F6C8A">
        <w:rPr>
          <w:rFonts w:ascii="Arial" w:hAnsi="Arial" w:cs="Arial"/>
        </w:rPr>
        <w:t xml:space="preserve">, 115, pp. 312–326. </w:t>
      </w:r>
      <w:hyperlink r:id="rId18" w:history="1">
        <w:r w:rsidRPr="009F6C8A">
          <w:rPr>
            <w:rStyle w:val="Hyperlink"/>
            <w:rFonts w:ascii="Arial" w:eastAsiaTheme="majorEastAsia" w:hAnsi="Arial" w:cs="Arial"/>
          </w:rPr>
          <w:t>https://doi.org/10.1016/j.indmarman.2023.10.004</w:t>
        </w:r>
      </w:hyperlink>
    </w:p>
    <w:p w14:paraId="398FB4DC"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lastRenderedPageBreak/>
        <w:t xml:space="preserve">Life Insurance Association of Japan (2025) </w:t>
      </w:r>
      <w:r w:rsidRPr="009F6C8A">
        <w:rPr>
          <w:rStyle w:val="Emphasis"/>
          <w:rFonts w:ascii="Arial" w:eastAsiaTheme="majorEastAsia" w:hAnsi="Arial" w:cs="Arial"/>
        </w:rPr>
        <w:t>Life Insurance Fact Book 2025</w:t>
      </w:r>
      <w:r w:rsidRPr="009F6C8A">
        <w:rPr>
          <w:rFonts w:ascii="Arial" w:hAnsi="Arial" w:cs="Arial"/>
        </w:rPr>
        <w:t xml:space="preserve">. Tokyo: Life Insurance Association of Japan. Available at: </w:t>
      </w:r>
      <w:hyperlink r:id="rId19" w:history="1">
        <w:r w:rsidRPr="009F6C8A">
          <w:rPr>
            <w:rStyle w:val="Hyperlink"/>
            <w:rFonts w:ascii="Arial" w:eastAsiaTheme="majorEastAsia" w:hAnsi="Arial" w:cs="Arial"/>
          </w:rPr>
          <w:t>https://</w:t>
        </w:r>
        <w:proofErr w:type="spellStart"/>
        <w:r w:rsidRPr="009F6C8A">
          <w:rPr>
            <w:rStyle w:val="Hyperlink"/>
            <w:rFonts w:ascii="Arial" w:eastAsiaTheme="majorEastAsia" w:hAnsi="Arial" w:cs="Arial"/>
          </w:rPr>
          <w:t>www.seiho.or.jp</w:t>
        </w:r>
        <w:proofErr w:type="spellEnd"/>
        <w:r w:rsidRPr="009F6C8A">
          <w:rPr>
            <w:rStyle w:val="Hyperlink"/>
            <w:rFonts w:ascii="Arial" w:eastAsiaTheme="majorEastAsia" w:hAnsi="Arial" w:cs="Arial"/>
          </w:rPr>
          <w:t>/</w:t>
        </w:r>
        <w:proofErr w:type="spellStart"/>
        <w:r w:rsidRPr="009F6C8A">
          <w:rPr>
            <w:rStyle w:val="Hyperlink"/>
            <w:rFonts w:ascii="Arial" w:eastAsiaTheme="majorEastAsia" w:hAnsi="Arial" w:cs="Arial"/>
          </w:rPr>
          <w:t>english</w:t>
        </w:r>
        <w:proofErr w:type="spellEnd"/>
        <w:r w:rsidRPr="009F6C8A">
          <w:rPr>
            <w:rStyle w:val="Hyperlink"/>
            <w:rFonts w:ascii="Arial" w:eastAsiaTheme="majorEastAsia" w:hAnsi="Arial" w:cs="Arial"/>
          </w:rPr>
          <w:t>/statistics/trend/pdf/2025.pdf</w:t>
        </w:r>
      </w:hyperlink>
      <w:r w:rsidRPr="009F6C8A">
        <w:rPr>
          <w:rFonts w:ascii="Arial" w:hAnsi="Arial" w:cs="Arial"/>
        </w:rPr>
        <w:t xml:space="preserve"> (Accessed: 19 July 2026).</w:t>
      </w:r>
    </w:p>
    <w:p w14:paraId="591A2B1F"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M&amp;G plc (n.d.) </w:t>
      </w:r>
      <w:r w:rsidRPr="009F6C8A">
        <w:rPr>
          <w:rStyle w:val="Emphasis"/>
          <w:rFonts w:ascii="Arial" w:eastAsiaTheme="majorEastAsia" w:hAnsi="Arial" w:cs="Arial"/>
        </w:rPr>
        <w:t>About us</w:t>
      </w:r>
      <w:r w:rsidRPr="009F6C8A">
        <w:rPr>
          <w:rFonts w:ascii="Arial" w:hAnsi="Arial" w:cs="Arial"/>
        </w:rPr>
        <w:t xml:space="preserve">. Available at: </w:t>
      </w:r>
      <w:hyperlink r:id="rId20" w:history="1">
        <w:r w:rsidRPr="009F6C8A">
          <w:rPr>
            <w:rStyle w:val="Hyperlink"/>
            <w:rFonts w:ascii="Arial" w:eastAsiaTheme="majorEastAsia" w:hAnsi="Arial" w:cs="Arial"/>
          </w:rPr>
          <w:t>https://</w:t>
        </w:r>
        <w:proofErr w:type="spellStart"/>
        <w:r w:rsidRPr="009F6C8A">
          <w:rPr>
            <w:rStyle w:val="Hyperlink"/>
            <w:rFonts w:ascii="Arial" w:eastAsiaTheme="majorEastAsia" w:hAnsi="Arial" w:cs="Arial"/>
          </w:rPr>
          <w:t>group.mandg.com</w:t>
        </w:r>
        <w:proofErr w:type="spellEnd"/>
        <w:r w:rsidRPr="009F6C8A">
          <w:rPr>
            <w:rStyle w:val="Hyperlink"/>
            <w:rFonts w:ascii="Arial" w:eastAsiaTheme="majorEastAsia" w:hAnsi="Arial" w:cs="Arial"/>
          </w:rPr>
          <w:t>/about-us</w:t>
        </w:r>
      </w:hyperlink>
      <w:r w:rsidRPr="009F6C8A">
        <w:rPr>
          <w:rFonts w:ascii="Arial" w:hAnsi="Arial" w:cs="Arial"/>
        </w:rPr>
        <w:t xml:space="preserve"> (Accessed: 19 July 2026).</w:t>
      </w:r>
    </w:p>
    <w:p w14:paraId="5BF51DE0"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M&amp;G plc (2025) ‘Dai-ichi Life HD and M&amp;G establish long-term strategic partnership’, 30 May. Available at: </w:t>
      </w:r>
      <w:hyperlink r:id="rId21" w:history="1">
        <w:r w:rsidRPr="009F6C8A">
          <w:rPr>
            <w:rStyle w:val="Hyperlink"/>
            <w:rFonts w:ascii="Arial" w:eastAsiaTheme="majorEastAsia" w:hAnsi="Arial" w:cs="Arial"/>
          </w:rPr>
          <w:t>https://group.mandg.com/news-and-insights/press-releases/2025/30-05-2025</w:t>
        </w:r>
      </w:hyperlink>
      <w:r w:rsidRPr="009F6C8A">
        <w:rPr>
          <w:rFonts w:ascii="Arial" w:hAnsi="Arial" w:cs="Arial"/>
        </w:rPr>
        <w:t xml:space="preserve"> (Accessed: 19 July 2026).</w:t>
      </w:r>
    </w:p>
    <w:p w14:paraId="6587FD81"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Maletzky de García, M. and Barmeyer, C. (2026) ‘Geert Hofstede: cross-cultural management research’, in Barmeyer, C. and Busch, D. (eds.) </w:t>
      </w:r>
      <w:r w:rsidRPr="009F6C8A">
        <w:rPr>
          <w:rStyle w:val="Emphasis"/>
          <w:rFonts w:ascii="Arial" w:eastAsiaTheme="majorEastAsia" w:hAnsi="Arial" w:cs="Arial"/>
        </w:rPr>
        <w:t>Landmarks in Intercultural Studies: Biographies. Concepts. Positions</w:t>
      </w:r>
      <w:r w:rsidRPr="009F6C8A">
        <w:rPr>
          <w:rFonts w:ascii="Arial" w:hAnsi="Arial" w:cs="Arial"/>
        </w:rPr>
        <w:t xml:space="preserve">. Wiesbaden: Palgrave Macmillan, pp. 129–167. </w:t>
      </w:r>
      <w:hyperlink r:id="rId22" w:history="1">
        <w:r w:rsidRPr="009F6C8A">
          <w:rPr>
            <w:rStyle w:val="Hyperlink"/>
            <w:rFonts w:ascii="Arial" w:eastAsiaTheme="majorEastAsia" w:hAnsi="Arial" w:cs="Arial"/>
          </w:rPr>
          <w:t>https://doi.org/10.1007/978-3-658-48139-1_5</w:t>
        </w:r>
      </w:hyperlink>
    </w:p>
    <w:p w14:paraId="2D15239E"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Nixon, Y. and Bull, P. (2006) ‘Cultural communication styles and accuracy in cross-cultural perception: A British and Japanese study’, </w:t>
      </w:r>
      <w:r w:rsidRPr="009F6C8A">
        <w:rPr>
          <w:rStyle w:val="Emphasis"/>
          <w:rFonts w:ascii="Arial" w:eastAsiaTheme="majorEastAsia" w:hAnsi="Arial" w:cs="Arial"/>
        </w:rPr>
        <w:t>Journal of Intercultural Communication</w:t>
      </w:r>
      <w:r w:rsidRPr="009F6C8A">
        <w:rPr>
          <w:rFonts w:ascii="Arial" w:hAnsi="Arial" w:cs="Arial"/>
        </w:rPr>
        <w:t xml:space="preserve">, 6(2), pp. 1–21. </w:t>
      </w:r>
      <w:hyperlink r:id="rId23" w:history="1">
        <w:r w:rsidRPr="009F6C8A">
          <w:rPr>
            <w:rStyle w:val="Hyperlink"/>
            <w:rFonts w:ascii="Arial" w:eastAsiaTheme="majorEastAsia" w:hAnsi="Arial" w:cs="Arial"/>
          </w:rPr>
          <w:t>https://doi.org/10.36923/jicc.v6i2.429</w:t>
        </w:r>
      </w:hyperlink>
    </w:p>
    <w:p w14:paraId="1F043181"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Tabata, N. and Vrij, A. (2023) ‘Differences between Japanese and British participants in self-reported verbal strategies to appear convincing’, </w:t>
      </w:r>
      <w:r w:rsidRPr="009F6C8A">
        <w:rPr>
          <w:rStyle w:val="Emphasis"/>
          <w:rFonts w:ascii="Arial" w:eastAsiaTheme="majorEastAsia" w:hAnsi="Arial" w:cs="Arial"/>
        </w:rPr>
        <w:t>Psychiatry, Psychology and Law</w:t>
      </w:r>
      <w:r w:rsidRPr="009F6C8A">
        <w:rPr>
          <w:rFonts w:ascii="Arial" w:hAnsi="Arial" w:cs="Arial"/>
        </w:rPr>
        <w:t xml:space="preserve">, 30(2), pp. 177–191. </w:t>
      </w:r>
      <w:hyperlink r:id="rId24" w:history="1">
        <w:r w:rsidRPr="009F6C8A">
          <w:rPr>
            <w:rStyle w:val="Hyperlink"/>
            <w:rFonts w:ascii="Arial" w:eastAsiaTheme="majorEastAsia" w:hAnsi="Arial" w:cs="Arial"/>
          </w:rPr>
          <w:t>https://doi.org/10.1080/13218719.2021.2003269</w:t>
        </w:r>
      </w:hyperlink>
    </w:p>
    <w:p w14:paraId="7EEBD1D0"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The Culture Factor Group (n.d.) </w:t>
      </w:r>
      <w:r w:rsidRPr="009F6C8A">
        <w:rPr>
          <w:rStyle w:val="Emphasis"/>
          <w:rFonts w:ascii="Arial" w:eastAsiaTheme="majorEastAsia" w:hAnsi="Arial" w:cs="Arial"/>
        </w:rPr>
        <w:t>Country comparison tool: Japan and the United Kingdom</w:t>
      </w:r>
      <w:r w:rsidRPr="009F6C8A">
        <w:rPr>
          <w:rFonts w:ascii="Arial" w:hAnsi="Arial" w:cs="Arial"/>
        </w:rPr>
        <w:t xml:space="preserve">. Available at: </w:t>
      </w:r>
      <w:hyperlink r:id="rId25" w:history="1">
        <w:r w:rsidRPr="009F6C8A">
          <w:rPr>
            <w:rStyle w:val="Hyperlink"/>
            <w:rFonts w:ascii="Arial" w:eastAsiaTheme="majorEastAsia" w:hAnsi="Arial" w:cs="Arial"/>
          </w:rPr>
          <w:t>https://</w:t>
        </w:r>
        <w:proofErr w:type="spellStart"/>
        <w:r w:rsidRPr="009F6C8A">
          <w:rPr>
            <w:rStyle w:val="Hyperlink"/>
            <w:rFonts w:ascii="Arial" w:eastAsiaTheme="majorEastAsia" w:hAnsi="Arial" w:cs="Arial"/>
          </w:rPr>
          <w:t>www.theculturefactor.com</w:t>
        </w:r>
        <w:proofErr w:type="spellEnd"/>
        <w:r w:rsidRPr="009F6C8A">
          <w:rPr>
            <w:rStyle w:val="Hyperlink"/>
            <w:rFonts w:ascii="Arial" w:eastAsiaTheme="majorEastAsia" w:hAnsi="Arial" w:cs="Arial"/>
          </w:rPr>
          <w:t>/country-comparison-tool</w:t>
        </w:r>
      </w:hyperlink>
      <w:r w:rsidRPr="009F6C8A">
        <w:rPr>
          <w:rFonts w:ascii="Arial" w:hAnsi="Arial" w:cs="Arial"/>
        </w:rPr>
        <w:t xml:space="preserve"> (Accessed: 19 July 2026).</w:t>
      </w:r>
    </w:p>
    <w:p w14:paraId="37DD225B" w14:textId="77777777" w:rsidR="00D23016" w:rsidRPr="009F6C8A" w:rsidRDefault="00D23016" w:rsidP="009F6C8A">
      <w:pPr>
        <w:pStyle w:val="NormalWeb"/>
        <w:spacing w:line="360" w:lineRule="auto"/>
        <w:jc w:val="both"/>
        <w:rPr>
          <w:rFonts w:ascii="Arial" w:hAnsi="Arial" w:cs="Arial"/>
        </w:rPr>
      </w:pPr>
      <w:r w:rsidRPr="009F6C8A">
        <w:rPr>
          <w:rFonts w:ascii="Arial" w:hAnsi="Arial" w:cs="Arial"/>
        </w:rPr>
        <w:t xml:space="preserve">Wyant, M.H. and Cionea, I.A. (2024) ‘“Without trust, we can’t really do any work”: workplace trust and communication among expatriates and host nationals’, </w:t>
      </w:r>
      <w:r w:rsidRPr="009F6C8A">
        <w:rPr>
          <w:rStyle w:val="Emphasis"/>
          <w:rFonts w:ascii="Arial" w:eastAsiaTheme="majorEastAsia" w:hAnsi="Arial" w:cs="Arial"/>
        </w:rPr>
        <w:t>Cross Cultural &amp; Strategic Management</w:t>
      </w:r>
      <w:r w:rsidRPr="009F6C8A">
        <w:rPr>
          <w:rFonts w:ascii="Arial" w:hAnsi="Arial" w:cs="Arial"/>
        </w:rPr>
        <w:t xml:space="preserve">, 31(4), pp. 559–583. </w:t>
      </w:r>
      <w:hyperlink r:id="rId26" w:history="1">
        <w:r w:rsidRPr="009F6C8A">
          <w:rPr>
            <w:rStyle w:val="Hyperlink"/>
            <w:rFonts w:ascii="Arial" w:eastAsiaTheme="majorEastAsia" w:hAnsi="Arial" w:cs="Arial"/>
          </w:rPr>
          <w:t>https://doi.org/10.1108/CCSM-07-2023-0131</w:t>
        </w:r>
      </w:hyperlink>
    </w:p>
    <w:p w14:paraId="7A222890" w14:textId="77777777" w:rsidR="00F51391" w:rsidRPr="004364CD" w:rsidRDefault="00F51391" w:rsidP="004364CD">
      <w:pPr>
        <w:spacing w:line="360" w:lineRule="auto"/>
        <w:jc w:val="both"/>
        <w:rPr>
          <w:rFonts w:ascii="Arial" w:hAnsi="Arial" w:cs="Arial"/>
        </w:rPr>
      </w:pPr>
    </w:p>
    <w:sectPr w:rsidR="00F51391" w:rsidRPr="004364CD" w:rsidSect="007272F6">
      <w:footerReference w:type="default" r:id="rId27"/>
      <w:pgSz w:w="11906" w:h="16838"/>
      <w:pgMar w:top="1134" w:right="850" w:bottom="1134"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3A4DBA" w14:textId="77777777" w:rsidR="00D4397A" w:rsidRDefault="00D4397A" w:rsidP="007272F6">
      <w:pPr>
        <w:spacing w:after="0" w:line="240" w:lineRule="auto"/>
      </w:pPr>
      <w:r>
        <w:separator/>
      </w:r>
    </w:p>
  </w:endnote>
  <w:endnote w:type="continuationSeparator" w:id="0">
    <w:p w14:paraId="0361D34B" w14:textId="77777777" w:rsidR="00D4397A" w:rsidRDefault="00D4397A" w:rsidP="00727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E88321" w14:textId="35A750BA" w:rsidR="007272F6" w:rsidRDefault="007272F6">
    <w:pPr>
      <w:pStyle w:val="Footer"/>
    </w:pPr>
    <w:r>
      <w:fldChar w:fldCharType="begin"/>
    </w:r>
    <w:r>
      <w:instrText xml:space="preserve"> PAGE   \* MERGEFORMAT </w:instrText>
    </w:r>
    <w:r>
      <w:fldChar w:fldCharType="separate"/>
    </w:r>
    <w:r>
      <w:rPr>
        <w:b/>
        <w:bCs/>
        <w:noProof/>
      </w:rPr>
      <w:t>1</w:t>
    </w:r>
    <w:r>
      <w:rPr>
        <w:b/>
        <w:bCs/>
        <w:noProof/>
      </w:rPr>
      <w:fldChar w:fldCharType="end"/>
    </w:r>
    <w:r>
      <w:rPr>
        <w:b/>
        <w:bCs/>
      </w:rPr>
      <w:t xml:space="preserve"> </w:t>
    </w:r>
    <w:r>
      <w:t>|</w:t>
    </w:r>
    <w:r>
      <w:rPr>
        <w:b/>
        <w:bCs/>
      </w:rPr>
      <w:t xml:space="preserve"> </w:t>
    </w:r>
    <w:r>
      <w:rPr>
        <w:color w:val="7F7F7F" w:themeColor="background1" w:themeShade="7F"/>
        <w:spacing w:val="60"/>
      </w:rPr>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3B743A" w14:textId="77777777" w:rsidR="00D4397A" w:rsidRDefault="00D4397A" w:rsidP="007272F6">
      <w:pPr>
        <w:spacing w:after="0" w:line="240" w:lineRule="auto"/>
      </w:pPr>
      <w:r>
        <w:separator/>
      </w:r>
    </w:p>
  </w:footnote>
  <w:footnote w:type="continuationSeparator" w:id="0">
    <w:p w14:paraId="60E81CCA" w14:textId="77777777" w:rsidR="00D4397A" w:rsidRDefault="00D4397A" w:rsidP="007272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CF3849"/>
    <w:multiLevelType w:val="hybridMultilevel"/>
    <w:tmpl w:val="A678F31E"/>
    <w:lvl w:ilvl="0" w:tplc="CC8A80D4">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9B800D0"/>
    <w:multiLevelType w:val="hybridMultilevel"/>
    <w:tmpl w:val="FACC27BC"/>
    <w:lvl w:ilvl="0" w:tplc="ECE6F6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A144CBF"/>
    <w:multiLevelType w:val="multilevel"/>
    <w:tmpl w:val="FBBA9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A736BC"/>
    <w:multiLevelType w:val="hybridMultilevel"/>
    <w:tmpl w:val="7F28C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9383248">
    <w:abstractNumId w:val="3"/>
  </w:num>
  <w:num w:numId="2" w16cid:durableId="1397896601">
    <w:abstractNumId w:val="1"/>
  </w:num>
  <w:num w:numId="3" w16cid:durableId="1169562497">
    <w:abstractNumId w:val="2"/>
  </w:num>
  <w:num w:numId="4" w16cid:durableId="1532718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391"/>
    <w:rsid w:val="00002220"/>
    <w:rsid w:val="00033190"/>
    <w:rsid w:val="00084ED3"/>
    <w:rsid w:val="000A4C4C"/>
    <w:rsid w:val="001317EC"/>
    <w:rsid w:val="00162865"/>
    <w:rsid w:val="001934D2"/>
    <w:rsid w:val="001E5CF2"/>
    <w:rsid w:val="0022395F"/>
    <w:rsid w:val="0022621C"/>
    <w:rsid w:val="00294902"/>
    <w:rsid w:val="002C54AA"/>
    <w:rsid w:val="002F7407"/>
    <w:rsid w:val="003420D0"/>
    <w:rsid w:val="0036045D"/>
    <w:rsid w:val="003825A5"/>
    <w:rsid w:val="003C65A5"/>
    <w:rsid w:val="003D4476"/>
    <w:rsid w:val="0042164C"/>
    <w:rsid w:val="004364CD"/>
    <w:rsid w:val="0049513A"/>
    <w:rsid w:val="004C15D8"/>
    <w:rsid w:val="00595C6F"/>
    <w:rsid w:val="00641CAB"/>
    <w:rsid w:val="00664330"/>
    <w:rsid w:val="00664F8A"/>
    <w:rsid w:val="006C1441"/>
    <w:rsid w:val="006D3936"/>
    <w:rsid w:val="0070411F"/>
    <w:rsid w:val="007272F6"/>
    <w:rsid w:val="00755031"/>
    <w:rsid w:val="007843B4"/>
    <w:rsid w:val="008019CC"/>
    <w:rsid w:val="008454B5"/>
    <w:rsid w:val="00863E05"/>
    <w:rsid w:val="00870709"/>
    <w:rsid w:val="0088703A"/>
    <w:rsid w:val="008B5800"/>
    <w:rsid w:val="008B5F2E"/>
    <w:rsid w:val="009309C3"/>
    <w:rsid w:val="009374CA"/>
    <w:rsid w:val="009411A0"/>
    <w:rsid w:val="009433C1"/>
    <w:rsid w:val="009E192A"/>
    <w:rsid w:val="009F6C8A"/>
    <w:rsid w:val="00A00500"/>
    <w:rsid w:val="00A3649A"/>
    <w:rsid w:val="00A36CC6"/>
    <w:rsid w:val="00A96B91"/>
    <w:rsid w:val="00B03943"/>
    <w:rsid w:val="00B20B44"/>
    <w:rsid w:val="00BA5362"/>
    <w:rsid w:val="00C0034F"/>
    <w:rsid w:val="00C24A69"/>
    <w:rsid w:val="00C575D9"/>
    <w:rsid w:val="00C630DB"/>
    <w:rsid w:val="00C92B3F"/>
    <w:rsid w:val="00C96F01"/>
    <w:rsid w:val="00CA351C"/>
    <w:rsid w:val="00CC5DAA"/>
    <w:rsid w:val="00D14FB5"/>
    <w:rsid w:val="00D23016"/>
    <w:rsid w:val="00D4397A"/>
    <w:rsid w:val="00D717DA"/>
    <w:rsid w:val="00D81D09"/>
    <w:rsid w:val="00DA6D91"/>
    <w:rsid w:val="00DA71F8"/>
    <w:rsid w:val="00DB114E"/>
    <w:rsid w:val="00E04F5E"/>
    <w:rsid w:val="00E12E71"/>
    <w:rsid w:val="00EA3516"/>
    <w:rsid w:val="00EA3BF7"/>
    <w:rsid w:val="00ED11FC"/>
    <w:rsid w:val="00F4473C"/>
    <w:rsid w:val="00F51391"/>
    <w:rsid w:val="00F577CE"/>
    <w:rsid w:val="00FA6CB5"/>
    <w:rsid w:val="00FE6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81FF4"/>
  <w15:chartTrackingRefBased/>
  <w15:docId w15:val="{523C4929-F1D4-441A-9A3F-D97AA8EB4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3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13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13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13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13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13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13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13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13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3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13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13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13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13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13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13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13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1391"/>
    <w:rPr>
      <w:rFonts w:eastAsiaTheme="majorEastAsia" w:cstheme="majorBidi"/>
      <w:color w:val="272727" w:themeColor="text1" w:themeTint="D8"/>
    </w:rPr>
  </w:style>
  <w:style w:type="paragraph" w:styleId="Title">
    <w:name w:val="Title"/>
    <w:basedOn w:val="Normal"/>
    <w:next w:val="Normal"/>
    <w:link w:val="TitleChar"/>
    <w:uiPriority w:val="10"/>
    <w:qFormat/>
    <w:rsid w:val="00F513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13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13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13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1391"/>
    <w:pPr>
      <w:spacing w:before="160"/>
      <w:jc w:val="center"/>
    </w:pPr>
    <w:rPr>
      <w:i/>
      <w:iCs/>
      <w:color w:val="404040" w:themeColor="text1" w:themeTint="BF"/>
    </w:rPr>
  </w:style>
  <w:style w:type="character" w:customStyle="1" w:styleId="QuoteChar">
    <w:name w:val="Quote Char"/>
    <w:basedOn w:val="DefaultParagraphFont"/>
    <w:link w:val="Quote"/>
    <w:uiPriority w:val="29"/>
    <w:rsid w:val="00F51391"/>
    <w:rPr>
      <w:i/>
      <w:iCs/>
      <w:color w:val="404040" w:themeColor="text1" w:themeTint="BF"/>
    </w:rPr>
  </w:style>
  <w:style w:type="paragraph" w:styleId="ListParagraph">
    <w:name w:val="List Paragraph"/>
    <w:basedOn w:val="Normal"/>
    <w:uiPriority w:val="34"/>
    <w:qFormat/>
    <w:rsid w:val="00F51391"/>
    <w:pPr>
      <w:ind w:left="720"/>
      <w:contextualSpacing/>
    </w:pPr>
  </w:style>
  <w:style w:type="character" w:styleId="IntenseEmphasis">
    <w:name w:val="Intense Emphasis"/>
    <w:basedOn w:val="DefaultParagraphFont"/>
    <w:uiPriority w:val="21"/>
    <w:qFormat/>
    <w:rsid w:val="00F51391"/>
    <w:rPr>
      <w:i/>
      <w:iCs/>
      <w:color w:val="0F4761" w:themeColor="accent1" w:themeShade="BF"/>
    </w:rPr>
  </w:style>
  <w:style w:type="paragraph" w:styleId="IntenseQuote">
    <w:name w:val="Intense Quote"/>
    <w:basedOn w:val="Normal"/>
    <w:next w:val="Normal"/>
    <w:link w:val="IntenseQuoteChar"/>
    <w:uiPriority w:val="30"/>
    <w:qFormat/>
    <w:rsid w:val="00F513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1391"/>
    <w:rPr>
      <w:i/>
      <w:iCs/>
      <w:color w:val="0F4761" w:themeColor="accent1" w:themeShade="BF"/>
    </w:rPr>
  </w:style>
  <w:style w:type="character" w:styleId="IntenseReference">
    <w:name w:val="Intense Reference"/>
    <w:basedOn w:val="DefaultParagraphFont"/>
    <w:uiPriority w:val="32"/>
    <w:qFormat/>
    <w:rsid w:val="00F51391"/>
    <w:rPr>
      <w:b/>
      <w:bCs/>
      <w:smallCaps/>
      <w:color w:val="0F4761" w:themeColor="accent1" w:themeShade="BF"/>
      <w:spacing w:val="5"/>
    </w:rPr>
  </w:style>
  <w:style w:type="paragraph" w:styleId="NormalWeb">
    <w:name w:val="Normal (Web)"/>
    <w:basedOn w:val="Normal"/>
    <w:uiPriority w:val="99"/>
    <w:unhideWhenUsed/>
    <w:rsid w:val="00F513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51391"/>
    <w:rPr>
      <w:i/>
      <w:iCs/>
    </w:rPr>
  </w:style>
  <w:style w:type="character" w:styleId="Hyperlink">
    <w:name w:val="Hyperlink"/>
    <w:basedOn w:val="DefaultParagraphFont"/>
    <w:uiPriority w:val="99"/>
    <w:unhideWhenUsed/>
    <w:rsid w:val="00F51391"/>
    <w:rPr>
      <w:color w:val="0000FF"/>
      <w:u w:val="single"/>
    </w:rPr>
  </w:style>
  <w:style w:type="paragraph" w:styleId="TOCHeading">
    <w:name w:val="TOC Heading"/>
    <w:basedOn w:val="Heading1"/>
    <w:next w:val="Normal"/>
    <w:uiPriority w:val="39"/>
    <w:unhideWhenUsed/>
    <w:qFormat/>
    <w:rsid w:val="007272F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272F6"/>
    <w:pPr>
      <w:spacing w:after="100"/>
    </w:pPr>
  </w:style>
  <w:style w:type="paragraph" w:styleId="TOC2">
    <w:name w:val="toc 2"/>
    <w:basedOn w:val="Normal"/>
    <w:next w:val="Normal"/>
    <w:autoRedefine/>
    <w:uiPriority w:val="39"/>
    <w:unhideWhenUsed/>
    <w:rsid w:val="007272F6"/>
    <w:pPr>
      <w:spacing w:after="100"/>
      <w:ind w:left="240"/>
    </w:pPr>
  </w:style>
  <w:style w:type="paragraph" w:styleId="TOC3">
    <w:name w:val="toc 3"/>
    <w:basedOn w:val="Normal"/>
    <w:next w:val="Normal"/>
    <w:autoRedefine/>
    <w:uiPriority w:val="39"/>
    <w:unhideWhenUsed/>
    <w:rsid w:val="007272F6"/>
    <w:pPr>
      <w:spacing w:after="100"/>
      <w:ind w:left="480"/>
    </w:pPr>
  </w:style>
  <w:style w:type="paragraph" w:styleId="Header">
    <w:name w:val="header"/>
    <w:basedOn w:val="Normal"/>
    <w:link w:val="HeaderChar"/>
    <w:uiPriority w:val="99"/>
    <w:unhideWhenUsed/>
    <w:rsid w:val="007272F6"/>
    <w:pPr>
      <w:tabs>
        <w:tab w:val="center" w:pos="4677"/>
        <w:tab w:val="right" w:pos="9355"/>
      </w:tabs>
      <w:spacing w:after="0" w:line="240" w:lineRule="auto"/>
    </w:pPr>
  </w:style>
  <w:style w:type="character" w:customStyle="1" w:styleId="HeaderChar">
    <w:name w:val="Header Char"/>
    <w:basedOn w:val="DefaultParagraphFont"/>
    <w:link w:val="Header"/>
    <w:uiPriority w:val="99"/>
    <w:rsid w:val="007272F6"/>
  </w:style>
  <w:style w:type="paragraph" w:styleId="Footer">
    <w:name w:val="footer"/>
    <w:basedOn w:val="Normal"/>
    <w:link w:val="FooterChar"/>
    <w:uiPriority w:val="99"/>
    <w:unhideWhenUsed/>
    <w:rsid w:val="007272F6"/>
    <w:pPr>
      <w:tabs>
        <w:tab w:val="center" w:pos="4677"/>
        <w:tab w:val="right" w:pos="9355"/>
      </w:tabs>
      <w:spacing w:after="0" w:line="240" w:lineRule="auto"/>
    </w:pPr>
  </w:style>
  <w:style w:type="character" w:customStyle="1" w:styleId="FooterChar">
    <w:name w:val="Footer Char"/>
    <w:basedOn w:val="DefaultParagraphFont"/>
    <w:link w:val="Footer"/>
    <w:uiPriority w:val="99"/>
    <w:rsid w:val="007272F6"/>
  </w:style>
  <w:style w:type="paragraph" w:customStyle="1" w:styleId="pdq2pgselectionanchorcontainer">
    <w:name w:val="pdq2pg_selectionanchorcontainer"/>
    <w:basedOn w:val="Normal"/>
    <w:rsid w:val="004951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D23016"/>
    <w:rPr>
      <w:color w:val="605E5C"/>
      <w:shd w:val="clear" w:color="auto" w:fill="E1DFDD"/>
    </w:rPr>
  </w:style>
  <w:style w:type="character" w:customStyle="1" w:styleId="anchor-text">
    <w:name w:val="anchor-text"/>
    <w:basedOn w:val="DefaultParagraphFont"/>
    <w:rsid w:val="00D23016"/>
  </w:style>
  <w:style w:type="paragraph" w:customStyle="1" w:styleId="dx-doi">
    <w:name w:val="dx-doi"/>
    <w:basedOn w:val="Normal"/>
    <w:rsid w:val="00D2301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12E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224250">
      <w:bodyDiv w:val="1"/>
      <w:marLeft w:val="0"/>
      <w:marRight w:val="0"/>
      <w:marTop w:val="0"/>
      <w:marBottom w:val="0"/>
      <w:divBdr>
        <w:top w:val="none" w:sz="0" w:space="0" w:color="auto"/>
        <w:left w:val="none" w:sz="0" w:space="0" w:color="auto"/>
        <w:bottom w:val="none" w:sz="0" w:space="0" w:color="auto"/>
        <w:right w:val="none" w:sz="0" w:space="0" w:color="auto"/>
      </w:divBdr>
    </w:div>
    <w:div w:id="110169065">
      <w:bodyDiv w:val="1"/>
      <w:marLeft w:val="0"/>
      <w:marRight w:val="0"/>
      <w:marTop w:val="0"/>
      <w:marBottom w:val="0"/>
      <w:divBdr>
        <w:top w:val="none" w:sz="0" w:space="0" w:color="auto"/>
        <w:left w:val="none" w:sz="0" w:space="0" w:color="auto"/>
        <w:bottom w:val="none" w:sz="0" w:space="0" w:color="auto"/>
        <w:right w:val="none" w:sz="0" w:space="0" w:color="auto"/>
      </w:divBdr>
    </w:div>
    <w:div w:id="183177826">
      <w:bodyDiv w:val="1"/>
      <w:marLeft w:val="0"/>
      <w:marRight w:val="0"/>
      <w:marTop w:val="0"/>
      <w:marBottom w:val="0"/>
      <w:divBdr>
        <w:top w:val="none" w:sz="0" w:space="0" w:color="auto"/>
        <w:left w:val="none" w:sz="0" w:space="0" w:color="auto"/>
        <w:bottom w:val="none" w:sz="0" w:space="0" w:color="auto"/>
        <w:right w:val="none" w:sz="0" w:space="0" w:color="auto"/>
      </w:divBdr>
    </w:div>
    <w:div w:id="187068387">
      <w:bodyDiv w:val="1"/>
      <w:marLeft w:val="0"/>
      <w:marRight w:val="0"/>
      <w:marTop w:val="0"/>
      <w:marBottom w:val="0"/>
      <w:divBdr>
        <w:top w:val="none" w:sz="0" w:space="0" w:color="auto"/>
        <w:left w:val="none" w:sz="0" w:space="0" w:color="auto"/>
        <w:bottom w:val="none" w:sz="0" w:space="0" w:color="auto"/>
        <w:right w:val="none" w:sz="0" w:space="0" w:color="auto"/>
      </w:divBdr>
    </w:div>
    <w:div w:id="225603103">
      <w:bodyDiv w:val="1"/>
      <w:marLeft w:val="0"/>
      <w:marRight w:val="0"/>
      <w:marTop w:val="0"/>
      <w:marBottom w:val="0"/>
      <w:divBdr>
        <w:top w:val="none" w:sz="0" w:space="0" w:color="auto"/>
        <w:left w:val="none" w:sz="0" w:space="0" w:color="auto"/>
        <w:bottom w:val="none" w:sz="0" w:space="0" w:color="auto"/>
        <w:right w:val="none" w:sz="0" w:space="0" w:color="auto"/>
      </w:divBdr>
    </w:div>
    <w:div w:id="385225275">
      <w:bodyDiv w:val="1"/>
      <w:marLeft w:val="0"/>
      <w:marRight w:val="0"/>
      <w:marTop w:val="0"/>
      <w:marBottom w:val="0"/>
      <w:divBdr>
        <w:top w:val="none" w:sz="0" w:space="0" w:color="auto"/>
        <w:left w:val="none" w:sz="0" w:space="0" w:color="auto"/>
        <w:bottom w:val="none" w:sz="0" w:space="0" w:color="auto"/>
        <w:right w:val="none" w:sz="0" w:space="0" w:color="auto"/>
      </w:divBdr>
    </w:div>
    <w:div w:id="551770655">
      <w:bodyDiv w:val="1"/>
      <w:marLeft w:val="0"/>
      <w:marRight w:val="0"/>
      <w:marTop w:val="0"/>
      <w:marBottom w:val="0"/>
      <w:divBdr>
        <w:top w:val="none" w:sz="0" w:space="0" w:color="auto"/>
        <w:left w:val="none" w:sz="0" w:space="0" w:color="auto"/>
        <w:bottom w:val="none" w:sz="0" w:space="0" w:color="auto"/>
        <w:right w:val="none" w:sz="0" w:space="0" w:color="auto"/>
      </w:divBdr>
    </w:div>
    <w:div w:id="616448467">
      <w:bodyDiv w:val="1"/>
      <w:marLeft w:val="0"/>
      <w:marRight w:val="0"/>
      <w:marTop w:val="0"/>
      <w:marBottom w:val="0"/>
      <w:divBdr>
        <w:top w:val="none" w:sz="0" w:space="0" w:color="auto"/>
        <w:left w:val="none" w:sz="0" w:space="0" w:color="auto"/>
        <w:bottom w:val="none" w:sz="0" w:space="0" w:color="auto"/>
        <w:right w:val="none" w:sz="0" w:space="0" w:color="auto"/>
      </w:divBdr>
    </w:div>
    <w:div w:id="724454116">
      <w:bodyDiv w:val="1"/>
      <w:marLeft w:val="0"/>
      <w:marRight w:val="0"/>
      <w:marTop w:val="0"/>
      <w:marBottom w:val="0"/>
      <w:divBdr>
        <w:top w:val="none" w:sz="0" w:space="0" w:color="auto"/>
        <w:left w:val="none" w:sz="0" w:space="0" w:color="auto"/>
        <w:bottom w:val="none" w:sz="0" w:space="0" w:color="auto"/>
        <w:right w:val="none" w:sz="0" w:space="0" w:color="auto"/>
      </w:divBdr>
    </w:div>
    <w:div w:id="746608497">
      <w:bodyDiv w:val="1"/>
      <w:marLeft w:val="0"/>
      <w:marRight w:val="0"/>
      <w:marTop w:val="0"/>
      <w:marBottom w:val="0"/>
      <w:divBdr>
        <w:top w:val="none" w:sz="0" w:space="0" w:color="auto"/>
        <w:left w:val="none" w:sz="0" w:space="0" w:color="auto"/>
        <w:bottom w:val="none" w:sz="0" w:space="0" w:color="auto"/>
        <w:right w:val="none" w:sz="0" w:space="0" w:color="auto"/>
      </w:divBdr>
    </w:div>
    <w:div w:id="792210765">
      <w:bodyDiv w:val="1"/>
      <w:marLeft w:val="0"/>
      <w:marRight w:val="0"/>
      <w:marTop w:val="0"/>
      <w:marBottom w:val="0"/>
      <w:divBdr>
        <w:top w:val="none" w:sz="0" w:space="0" w:color="auto"/>
        <w:left w:val="none" w:sz="0" w:space="0" w:color="auto"/>
        <w:bottom w:val="none" w:sz="0" w:space="0" w:color="auto"/>
        <w:right w:val="none" w:sz="0" w:space="0" w:color="auto"/>
      </w:divBdr>
    </w:div>
    <w:div w:id="833448887">
      <w:bodyDiv w:val="1"/>
      <w:marLeft w:val="0"/>
      <w:marRight w:val="0"/>
      <w:marTop w:val="0"/>
      <w:marBottom w:val="0"/>
      <w:divBdr>
        <w:top w:val="none" w:sz="0" w:space="0" w:color="auto"/>
        <w:left w:val="none" w:sz="0" w:space="0" w:color="auto"/>
        <w:bottom w:val="none" w:sz="0" w:space="0" w:color="auto"/>
        <w:right w:val="none" w:sz="0" w:space="0" w:color="auto"/>
      </w:divBdr>
    </w:div>
    <w:div w:id="843742278">
      <w:bodyDiv w:val="1"/>
      <w:marLeft w:val="0"/>
      <w:marRight w:val="0"/>
      <w:marTop w:val="0"/>
      <w:marBottom w:val="0"/>
      <w:divBdr>
        <w:top w:val="none" w:sz="0" w:space="0" w:color="auto"/>
        <w:left w:val="none" w:sz="0" w:space="0" w:color="auto"/>
        <w:bottom w:val="none" w:sz="0" w:space="0" w:color="auto"/>
        <w:right w:val="none" w:sz="0" w:space="0" w:color="auto"/>
      </w:divBdr>
    </w:div>
    <w:div w:id="1018897734">
      <w:bodyDiv w:val="1"/>
      <w:marLeft w:val="0"/>
      <w:marRight w:val="0"/>
      <w:marTop w:val="0"/>
      <w:marBottom w:val="0"/>
      <w:divBdr>
        <w:top w:val="none" w:sz="0" w:space="0" w:color="auto"/>
        <w:left w:val="none" w:sz="0" w:space="0" w:color="auto"/>
        <w:bottom w:val="none" w:sz="0" w:space="0" w:color="auto"/>
        <w:right w:val="none" w:sz="0" w:space="0" w:color="auto"/>
      </w:divBdr>
      <w:divsChild>
        <w:div w:id="208305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9036483">
      <w:bodyDiv w:val="1"/>
      <w:marLeft w:val="0"/>
      <w:marRight w:val="0"/>
      <w:marTop w:val="0"/>
      <w:marBottom w:val="0"/>
      <w:divBdr>
        <w:top w:val="none" w:sz="0" w:space="0" w:color="auto"/>
        <w:left w:val="none" w:sz="0" w:space="0" w:color="auto"/>
        <w:bottom w:val="none" w:sz="0" w:space="0" w:color="auto"/>
        <w:right w:val="none" w:sz="0" w:space="0" w:color="auto"/>
      </w:divBdr>
    </w:div>
    <w:div w:id="1207178542">
      <w:bodyDiv w:val="1"/>
      <w:marLeft w:val="0"/>
      <w:marRight w:val="0"/>
      <w:marTop w:val="0"/>
      <w:marBottom w:val="0"/>
      <w:divBdr>
        <w:top w:val="none" w:sz="0" w:space="0" w:color="auto"/>
        <w:left w:val="none" w:sz="0" w:space="0" w:color="auto"/>
        <w:bottom w:val="none" w:sz="0" w:space="0" w:color="auto"/>
        <w:right w:val="none" w:sz="0" w:space="0" w:color="auto"/>
      </w:divBdr>
      <w:divsChild>
        <w:div w:id="1923829327">
          <w:blockQuote w:val="1"/>
          <w:marLeft w:val="720"/>
          <w:marRight w:val="720"/>
          <w:marTop w:val="100"/>
          <w:marBottom w:val="100"/>
          <w:divBdr>
            <w:top w:val="none" w:sz="0" w:space="0" w:color="auto"/>
            <w:left w:val="none" w:sz="0" w:space="0" w:color="auto"/>
            <w:bottom w:val="none" w:sz="0" w:space="0" w:color="auto"/>
            <w:right w:val="none" w:sz="0" w:space="0" w:color="auto"/>
          </w:divBdr>
        </w:div>
        <w:div w:id="1305891133">
          <w:blockQuote w:val="1"/>
          <w:marLeft w:val="720"/>
          <w:marRight w:val="720"/>
          <w:marTop w:val="100"/>
          <w:marBottom w:val="100"/>
          <w:divBdr>
            <w:top w:val="none" w:sz="0" w:space="0" w:color="auto"/>
            <w:left w:val="none" w:sz="0" w:space="0" w:color="auto"/>
            <w:bottom w:val="none" w:sz="0" w:space="0" w:color="auto"/>
            <w:right w:val="none" w:sz="0" w:space="0" w:color="auto"/>
          </w:divBdr>
        </w:div>
        <w:div w:id="939605343">
          <w:blockQuote w:val="1"/>
          <w:marLeft w:val="720"/>
          <w:marRight w:val="720"/>
          <w:marTop w:val="100"/>
          <w:marBottom w:val="100"/>
          <w:divBdr>
            <w:top w:val="none" w:sz="0" w:space="0" w:color="auto"/>
            <w:left w:val="none" w:sz="0" w:space="0" w:color="auto"/>
            <w:bottom w:val="none" w:sz="0" w:space="0" w:color="auto"/>
            <w:right w:val="none" w:sz="0" w:space="0" w:color="auto"/>
          </w:divBdr>
        </w:div>
        <w:div w:id="19736331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1768484">
      <w:bodyDiv w:val="1"/>
      <w:marLeft w:val="0"/>
      <w:marRight w:val="0"/>
      <w:marTop w:val="0"/>
      <w:marBottom w:val="0"/>
      <w:divBdr>
        <w:top w:val="none" w:sz="0" w:space="0" w:color="auto"/>
        <w:left w:val="none" w:sz="0" w:space="0" w:color="auto"/>
        <w:bottom w:val="none" w:sz="0" w:space="0" w:color="auto"/>
        <w:right w:val="none" w:sz="0" w:space="0" w:color="auto"/>
      </w:divBdr>
    </w:div>
    <w:div w:id="1583756819">
      <w:bodyDiv w:val="1"/>
      <w:marLeft w:val="0"/>
      <w:marRight w:val="0"/>
      <w:marTop w:val="0"/>
      <w:marBottom w:val="0"/>
      <w:divBdr>
        <w:top w:val="none" w:sz="0" w:space="0" w:color="auto"/>
        <w:left w:val="none" w:sz="0" w:space="0" w:color="auto"/>
        <w:bottom w:val="none" w:sz="0" w:space="0" w:color="auto"/>
        <w:right w:val="none" w:sz="0" w:space="0" w:color="auto"/>
      </w:divBdr>
    </w:div>
    <w:div w:id="1603342609">
      <w:bodyDiv w:val="1"/>
      <w:marLeft w:val="0"/>
      <w:marRight w:val="0"/>
      <w:marTop w:val="0"/>
      <w:marBottom w:val="0"/>
      <w:divBdr>
        <w:top w:val="none" w:sz="0" w:space="0" w:color="auto"/>
        <w:left w:val="none" w:sz="0" w:space="0" w:color="auto"/>
        <w:bottom w:val="none" w:sz="0" w:space="0" w:color="auto"/>
        <w:right w:val="none" w:sz="0" w:space="0" w:color="auto"/>
      </w:divBdr>
    </w:div>
    <w:div w:id="1620991971">
      <w:bodyDiv w:val="1"/>
      <w:marLeft w:val="0"/>
      <w:marRight w:val="0"/>
      <w:marTop w:val="0"/>
      <w:marBottom w:val="0"/>
      <w:divBdr>
        <w:top w:val="none" w:sz="0" w:space="0" w:color="auto"/>
        <w:left w:val="none" w:sz="0" w:space="0" w:color="auto"/>
        <w:bottom w:val="none" w:sz="0" w:space="0" w:color="auto"/>
        <w:right w:val="none" w:sz="0" w:space="0" w:color="auto"/>
      </w:divBdr>
    </w:div>
    <w:div w:id="1709528581">
      <w:bodyDiv w:val="1"/>
      <w:marLeft w:val="0"/>
      <w:marRight w:val="0"/>
      <w:marTop w:val="0"/>
      <w:marBottom w:val="0"/>
      <w:divBdr>
        <w:top w:val="none" w:sz="0" w:space="0" w:color="auto"/>
        <w:left w:val="none" w:sz="0" w:space="0" w:color="auto"/>
        <w:bottom w:val="none" w:sz="0" w:space="0" w:color="auto"/>
        <w:right w:val="none" w:sz="0" w:space="0" w:color="auto"/>
      </w:divBdr>
    </w:div>
    <w:div w:id="1754084281">
      <w:bodyDiv w:val="1"/>
      <w:marLeft w:val="0"/>
      <w:marRight w:val="0"/>
      <w:marTop w:val="0"/>
      <w:marBottom w:val="0"/>
      <w:divBdr>
        <w:top w:val="none" w:sz="0" w:space="0" w:color="auto"/>
        <w:left w:val="none" w:sz="0" w:space="0" w:color="auto"/>
        <w:bottom w:val="none" w:sz="0" w:space="0" w:color="auto"/>
        <w:right w:val="none" w:sz="0" w:space="0" w:color="auto"/>
      </w:divBdr>
    </w:div>
    <w:div w:id="1787239649">
      <w:bodyDiv w:val="1"/>
      <w:marLeft w:val="0"/>
      <w:marRight w:val="0"/>
      <w:marTop w:val="0"/>
      <w:marBottom w:val="0"/>
      <w:divBdr>
        <w:top w:val="none" w:sz="0" w:space="0" w:color="auto"/>
        <w:left w:val="none" w:sz="0" w:space="0" w:color="auto"/>
        <w:bottom w:val="none" w:sz="0" w:space="0" w:color="auto"/>
        <w:right w:val="none" w:sz="0" w:space="0" w:color="auto"/>
      </w:divBdr>
    </w:div>
    <w:div w:id="1811897921">
      <w:bodyDiv w:val="1"/>
      <w:marLeft w:val="0"/>
      <w:marRight w:val="0"/>
      <w:marTop w:val="0"/>
      <w:marBottom w:val="0"/>
      <w:divBdr>
        <w:top w:val="none" w:sz="0" w:space="0" w:color="auto"/>
        <w:left w:val="none" w:sz="0" w:space="0" w:color="auto"/>
        <w:bottom w:val="none" w:sz="0" w:space="0" w:color="auto"/>
        <w:right w:val="none" w:sz="0" w:space="0" w:color="auto"/>
      </w:divBdr>
    </w:div>
    <w:div w:id="1935280486">
      <w:bodyDiv w:val="1"/>
      <w:marLeft w:val="0"/>
      <w:marRight w:val="0"/>
      <w:marTop w:val="0"/>
      <w:marBottom w:val="0"/>
      <w:divBdr>
        <w:top w:val="none" w:sz="0" w:space="0" w:color="auto"/>
        <w:left w:val="none" w:sz="0" w:space="0" w:color="auto"/>
        <w:bottom w:val="none" w:sz="0" w:space="0" w:color="auto"/>
        <w:right w:val="none" w:sz="0" w:space="0" w:color="auto"/>
      </w:divBdr>
    </w:div>
    <w:div w:id="1993748550">
      <w:bodyDiv w:val="1"/>
      <w:marLeft w:val="0"/>
      <w:marRight w:val="0"/>
      <w:marTop w:val="0"/>
      <w:marBottom w:val="0"/>
      <w:divBdr>
        <w:top w:val="none" w:sz="0" w:space="0" w:color="auto"/>
        <w:left w:val="none" w:sz="0" w:space="0" w:color="auto"/>
        <w:bottom w:val="none" w:sz="0" w:space="0" w:color="auto"/>
        <w:right w:val="none" w:sz="0" w:space="0" w:color="auto"/>
      </w:divBdr>
    </w:div>
    <w:div w:id="2097822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07/978-3-658-48139-1_3" TargetMode="External"/><Relationship Id="rId18" Type="http://schemas.openxmlformats.org/officeDocument/2006/relationships/hyperlink" Target="https://doi.org/10.1016/j.indmarman.2023.10.004" TargetMode="External"/><Relationship Id="rId26" Type="http://schemas.openxmlformats.org/officeDocument/2006/relationships/hyperlink" Target="https://doi.org/10.1108/CCSM-07-2023-0131" TargetMode="External"/><Relationship Id="rId3" Type="http://schemas.openxmlformats.org/officeDocument/2006/relationships/customXml" Target="../customXml/item3.xml"/><Relationship Id="rId21" Type="http://schemas.openxmlformats.org/officeDocument/2006/relationships/hyperlink" Target="https://group.mandg.com/news-and-insights/press-releases/2025/30-05-2025" TargetMode="Externa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doi.org/10.1186/s13104-023-06660-0" TargetMode="External"/><Relationship Id="rId25" Type="http://schemas.openxmlformats.org/officeDocument/2006/relationships/hyperlink" Target="https://www.theculturefactor.com/country-comparison-tool" TargetMode="External"/><Relationship Id="rId2" Type="http://schemas.openxmlformats.org/officeDocument/2006/relationships/customXml" Target="../customXml/item2.xml"/><Relationship Id="rId16" Type="http://schemas.openxmlformats.org/officeDocument/2006/relationships/hyperlink" Target="https://www.fsa.go.jp/en/policy/pjlamc/20231214.html" TargetMode="External"/><Relationship Id="rId20" Type="http://schemas.openxmlformats.org/officeDocument/2006/relationships/hyperlink" Target="https://group.mandg.com/about-u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80/13218719.2021.2003269" TargetMode="External"/><Relationship Id="rId5" Type="http://schemas.openxmlformats.org/officeDocument/2006/relationships/numbering" Target="numbering.xml"/><Relationship Id="rId15" Type="http://schemas.openxmlformats.org/officeDocument/2006/relationships/hyperlink" Target="https://www.daiichilife-group.com/en/about/at-a-glance.html" TargetMode="External"/><Relationship Id="rId23" Type="http://schemas.openxmlformats.org/officeDocument/2006/relationships/hyperlink" Target="https://doi.org/10.36923/jicc.v6i2.429"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eiho.or.jp/english/statistics/trend/pdf/202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08/MD-08-2022-1092" TargetMode="External"/><Relationship Id="rId22" Type="http://schemas.openxmlformats.org/officeDocument/2006/relationships/hyperlink" Target="https://doi.org/10.1007/978-3-658-48139-1_5"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United Kingdom </c:v>
                </c:pt>
              </c:strCache>
            </c:strRef>
          </c:tx>
          <c:spPr>
            <a:solidFill>
              <a:schemeClr val="accent1"/>
            </a:solidFill>
            <a:ln>
              <a:noFill/>
            </a:ln>
            <a:effectLst/>
          </c:spPr>
          <c:invertIfNegative val="0"/>
          <c:cat>
            <c:strRef>
              <c:f>Sheet1!$A$2:$A$7</c:f>
              <c:strCache>
                <c:ptCount val="6"/>
                <c:pt idx="0">
                  <c:v>Power Distance</c:v>
                </c:pt>
                <c:pt idx="1">
                  <c:v>Individualism</c:v>
                </c:pt>
                <c:pt idx="2">
                  <c:v>Motivation towards Achievement and Success</c:v>
                </c:pt>
                <c:pt idx="3">
                  <c:v>Uncertainty Avoidance</c:v>
                </c:pt>
                <c:pt idx="4">
                  <c:v>Long - term orientation</c:v>
                </c:pt>
                <c:pt idx="5">
                  <c:v>Indulgence</c:v>
                </c:pt>
              </c:strCache>
            </c:strRef>
          </c:cat>
          <c:val>
            <c:numRef>
              <c:f>Sheet1!$B$2:$B$7</c:f>
              <c:numCache>
                <c:formatCode>General</c:formatCode>
                <c:ptCount val="6"/>
                <c:pt idx="0">
                  <c:v>35</c:v>
                </c:pt>
                <c:pt idx="1">
                  <c:v>76</c:v>
                </c:pt>
                <c:pt idx="2">
                  <c:v>66</c:v>
                </c:pt>
                <c:pt idx="3">
                  <c:v>35</c:v>
                </c:pt>
                <c:pt idx="4">
                  <c:v>60</c:v>
                </c:pt>
                <c:pt idx="5">
                  <c:v>69</c:v>
                </c:pt>
              </c:numCache>
            </c:numRef>
          </c:val>
          <c:extLst>
            <c:ext xmlns:c16="http://schemas.microsoft.com/office/drawing/2014/chart" uri="{C3380CC4-5D6E-409C-BE32-E72D297353CC}">
              <c16:uniqueId val="{00000000-D46D-4879-89E4-7ACC6DA38049}"/>
            </c:ext>
          </c:extLst>
        </c:ser>
        <c:ser>
          <c:idx val="1"/>
          <c:order val="1"/>
          <c:tx>
            <c:strRef>
              <c:f>Sheet1!$C$1</c:f>
              <c:strCache>
                <c:ptCount val="1"/>
                <c:pt idx="0">
                  <c:v>Japan</c:v>
                </c:pt>
              </c:strCache>
            </c:strRef>
          </c:tx>
          <c:spPr>
            <a:solidFill>
              <a:schemeClr val="accent2"/>
            </a:solidFill>
            <a:ln>
              <a:noFill/>
            </a:ln>
            <a:effectLst/>
          </c:spPr>
          <c:invertIfNegative val="0"/>
          <c:cat>
            <c:strRef>
              <c:f>Sheet1!$A$2:$A$7</c:f>
              <c:strCache>
                <c:ptCount val="6"/>
                <c:pt idx="0">
                  <c:v>Power Distance</c:v>
                </c:pt>
                <c:pt idx="1">
                  <c:v>Individualism</c:v>
                </c:pt>
                <c:pt idx="2">
                  <c:v>Motivation towards Achievement and Success</c:v>
                </c:pt>
                <c:pt idx="3">
                  <c:v>Uncertainty Avoidance</c:v>
                </c:pt>
                <c:pt idx="4">
                  <c:v>Long - term orientation</c:v>
                </c:pt>
                <c:pt idx="5">
                  <c:v>Indulgence</c:v>
                </c:pt>
              </c:strCache>
            </c:strRef>
          </c:cat>
          <c:val>
            <c:numRef>
              <c:f>Sheet1!$C$2:$C$7</c:f>
              <c:numCache>
                <c:formatCode>General</c:formatCode>
                <c:ptCount val="6"/>
                <c:pt idx="0">
                  <c:v>54</c:v>
                </c:pt>
                <c:pt idx="1">
                  <c:v>62</c:v>
                </c:pt>
                <c:pt idx="2">
                  <c:v>95</c:v>
                </c:pt>
                <c:pt idx="3">
                  <c:v>92</c:v>
                </c:pt>
                <c:pt idx="4">
                  <c:v>100</c:v>
                </c:pt>
                <c:pt idx="5">
                  <c:v>42</c:v>
                </c:pt>
              </c:numCache>
            </c:numRef>
          </c:val>
          <c:extLst>
            <c:ext xmlns:c16="http://schemas.microsoft.com/office/drawing/2014/chart" uri="{C3380CC4-5D6E-409C-BE32-E72D297353CC}">
              <c16:uniqueId val="{00000001-D46D-4879-89E4-7ACC6DA38049}"/>
            </c:ext>
          </c:extLst>
        </c:ser>
        <c:dLbls>
          <c:showLegendKey val="0"/>
          <c:showVal val="0"/>
          <c:showCatName val="0"/>
          <c:showSerName val="0"/>
          <c:showPercent val="0"/>
          <c:showBubbleSize val="0"/>
        </c:dLbls>
        <c:gapWidth val="219"/>
        <c:overlap val="-27"/>
        <c:axId val="1784332032"/>
        <c:axId val="1784331552"/>
      </c:barChart>
      <c:catAx>
        <c:axId val="1784332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331552"/>
        <c:crosses val="autoZero"/>
        <c:auto val="1"/>
        <c:lblAlgn val="ctr"/>
        <c:lblOffset val="100"/>
        <c:noMultiLvlLbl val="0"/>
      </c:catAx>
      <c:valAx>
        <c:axId val="1784331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332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3" ma:contentTypeDescription="Create a new document." ma:contentTypeScope="" ma:versionID="15c9b8e8d668dc4316f977ab2df6c76e">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932ed3beffdb84628c9474779345da9a"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A35548-8FD7-4539-BFA2-F27EF7D62A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99B8E3-9664-4A2F-946E-265DB658E205}">
  <ds:schemaRefs>
    <ds:schemaRef ds:uri="http://schemas.openxmlformats.org/officeDocument/2006/bibliography"/>
  </ds:schemaRefs>
</ds:datastoreItem>
</file>

<file path=customXml/itemProps3.xml><?xml version="1.0" encoding="utf-8"?>
<ds:datastoreItem xmlns:ds="http://schemas.openxmlformats.org/officeDocument/2006/customXml" ds:itemID="{F37DF695-42B0-4C6C-8DCB-32C36A383952}">
  <ds:schemaRefs>
    <ds:schemaRef ds:uri="http://schemas.microsoft.com/office/2006/metadata/properties"/>
    <ds:schemaRef ds:uri="http://schemas.microsoft.com/office/infopath/2007/PartnerControls"/>
    <ds:schemaRef ds:uri="6f3ab0a0-177c-4664-a7c5-83ebe3d5d33a"/>
  </ds:schemaRefs>
</ds:datastoreItem>
</file>

<file path=customXml/itemProps4.xml><?xml version="1.0" encoding="utf-8"?>
<ds:datastoreItem xmlns:ds="http://schemas.openxmlformats.org/officeDocument/2006/customXml" ds:itemID="{DF1F493A-A53A-48FD-A634-3F4ED9A1ADD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3276</Words>
  <Characters>18678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Trofim Borta (2239414)</dc:creator>
  <cp:keywords/>
  <dc:description/>
  <cp:lastModifiedBy>Trofim Borta (2239414)</cp:lastModifiedBy>
  <cp:revision>2</cp:revision>
  <dcterms:created xsi:type="dcterms:W3CDTF">2026-08-08T12:55:00Z</dcterms:created>
  <dcterms:modified xsi:type="dcterms:W3CDTF">2026-08-08T12:55:00Z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ies>
</file>