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7FDF63" w14:textId="77777777" w:rsidR="005A48FF" w:rsidRPr="007C6D9A" w:rsidRDefault="005A48FF" w:rsidP="007C6D9A">
      <w:pPr>
        <w:spacing w:line="480" w:lineRule="auto"/>
        <w:ind w:firstLine="720"/>
        <w:rPr>
          <w:rFonts w:ascii="Times New Roman" w:hAnsi="Times New Roman" w:cs="Times New Roman"/>
          <w:b/>
          <w:bCs/>
          <w:sz w:val="24"/>
          <w:szCs w:val="24"/>
        </w:rPr>
      </w:pPr>
    </w:p>
    <w:p w14:paraId="49A9B8F3" w14:textId="77777777" w:rsidR="005A48FF" w:rsidRPr="007C6D9A" w:rsidRDefault="005A48FF" w:rsidP="007C6D9A">
      <w:pPr>
        <w:spacing w:line="480" w:lineRule="auto"/>
        <w:ind w:firstLine="720"/>
        <w:rPr>
          <w:rFonts w:ascii="Times New Roman" w:hAnsi="Times New Roman" w:cs="Times New Roman"/>
          <w:b/>
          <w:bCs/>
          <w:sz w:val="24"/>
          <w:szCs w:val="24"/>
        </w:rPr>
      </w:pPr>
    </w:p>
    <w:p w14:paraId="0F290FE8" w14:textId="77777777" w:rsidR="005A48FF" w:rsidRPr="007C6D9A" w:rsidRDefault="005A48FF" w:rsidP="007C6D9A">
      <w:pPr>
        <w:spacing w:line="480" w:lineRule="auto"/>
        <w:ind w:firstLine="720"/>
        <w:rPr>
          <w:rFonts w:ascii="Times New Roman" w:hAnsi="Times New Roman" w:cs="Times New Roman"/>
          <w:b/>
          <w:bCs/>
          <w:sz w:val="24"/>
          <w:szCs w:val="24"/>
        </w:rPr>
      </w:pPr>
    </w:p>
    <w:p w14:paraId="7D5C8729" w14:textId="7B57B258" w:rsidR="00436D05" w:rsidRPr="00B44D7E" w:rsidRDefault="00436D05" w:rsidP="00B44D7E">
      <w:pPr>
        <w:spacing w:line="360" w:lineRule="auto"/>
        <w:rPr>
          <w:rFonts w:ascii="Arial" w:hAnsi="Arial" w:cs="Arial"/>
          <w:b/>
          <w:bCs/>
        </w:rPr>
      </w:pPr>
      <w:r>
        <w:rPr>
          <w:rFonts w:ascii="Times New Roman" w:hAnsi="Times New Roman" w:cs="Times New Roman"/>
          <w:b/>
          <w:bCs/>
          <w:sz w:val="24"/>
          <w:szCs w:val="24"/>
        </w:rPr>
        <w:t xml:space="preserve">                 </w:t>
      </w:r>
      <w:r w:rsidRPr="00B44D7E">
        <w:rPr>
          <w:rFonts w:ascii="Arial" w:hAnsi="Arial" w:cs="Arial"/>
          <w:b/>
          <w:bCs/>
        </w:rPr>
        <w:t xml:space="preserve">Evaluating Health and Well-being Initiatives on Citizens   </w:t>
      </w:r>
    </w:p>
    <w:p w14:paraId="52E76B9F" w14:textId="77777777" w:rsidR="00436D05" w:rsidRPr="00B44D7E" w:rsidRDefault="00436D05" w:rsidP="00B44D7E">
      <w:pPr>
        <w:spacing w:line="360" w:lineRule="auto"/>
        <w:ind w:firstLine="720"/>
        <w:rPr>
          <w:rFonts w:ascii="Arial" w:hAnsi="Arial" w:cs="Arial"/>
          <w:b/>
          <w:bCs/>
        </w:rPr>
      </w:pPr>
    </w:p>
    <w:p w14:paraId="61BA1F9C" w14:textId="345C875C" w:rsidR="00436D05" w:rsidRPr="00B44D7E" w:rsidRDefault="00436D05" w:rsidP="00B44D7E">
      <w:pPr>
        <w:spacing w:line="360" w:lineRule="auto"/>
        <w:rPr>
          <w:rFonts w:ascii="Arial" w:hAnsi="Arial" w:cs="Arial"/>
          <w:b/>
          <w:bCs/>
        </w:rPr>
      </w:pPr>
      <w:r w:rsidRPr="00B44D7E">
        <w:rPr>
          <w:rFonts w:ascii="Arial" w:hAnsi="Arial" w:cs="Arial"/>
          <w:b/>
          <w:bCs/>
        </w:rPr>
        <w:t xml:space="preserve">                             Student Name: Deborah Agada</w:t>
      </w:r>
    </w:p>
    <w:p w14:paraId="3C5B9D48" w14:textId="7D9DAF5D" w:rsidR="00436D05" w:rsidRPr="00B44D7E" w:rsidRDefault="00436D05" w:rsidP="00B44D7E">
      <w:pPr>
        <w:spacing w:line="360" w:lineRule="auto"/>
        <w:rPr>
          <w:rFonts w:ascii="Arial" w:hAnsi="Arial" w:cs="Arial"/>
          <w:b/>
          <w:bCs/>
        </w:rPr>
      </w:pPr>
      <w:r w:rsidRPr="00B44D7E">
        <w:rPr>
          <w:rFonts w:ascii="Arial" w:hAnsi="Arial" w:cs="Arial"/>
          <w:b/>
          <w:bCs/>
        </w:rPr>
        <w:t xml:space="preserve">                             Student Number: 2224942</w:t>
      </w:r>
    </w:p>
    <w:p w14:paraId="21ADA56E" w14:textId="714BCD06" w:rsidR="00436D05" w:rsidRPr="00B44D7E" w:rsidRDefault="00436D05" w:rsidP="00B44D7E">
      <w:pPr>
        <w:spacing w:line="360" w:lineRule="auto"/>
        <w:ind w:firstLine="720"/>
        <w:rPr>
          <w:rFonts w:ascii="Arial" w:hAnsi="Arial" w:cs="Arial"/>
          <w:b/>
          <w:bCs/>
        </w:rPr>
      </w:pPr>
      <w:r w:rsidRPr="00B44D7E">
        <w:rPr>
          <w:rFonts w:ascii="Arial" w:hAnsi="Arial" w:cs="Arial"/>
          <w:b/>
          <w:bCs/>
        </w:rPr>
        <w:t xml:space="preserve">                 Module title: Health, Wellbeing and Sustainable Development</w:t>
      </w:r>
    </w:p>
    <w:p w14:paraId="1DB0315F" w14:textId="3D752D7D" w:rsidR="00436D05" w:rsidRPr="00B44D7E" w:rsidRDefault="00436D05" w:rsidP="00B44D7E">
      <w:pPr>
        <w:spacing w:line="360" w:lineRule="auto"/>
        <w:ind w:firstLine="720"/>
        <w:rPr>
          <w:rFonts w:ascii="Arial" w:hAnsi="Arial" w:cs="Arial"/>
          <w:b/>
          <w:bCs/>
        </w:rPr>
      </w:pPr>
      <w:r w:rsidRPr="00B44D7E">
        <w:rPr>
          <w:rFonts w:ascii="Arial" w:hAnsi="Arial" w:cs="Arial"/>
          <w:b/>
          <w:bCs/>
        </w:rPr>
        <w:t xml:space="preserve">                 Module Code: BMHP6030</w:t>
      </w:r>
    </w:p>
    <w:p w14:paraId="0B62DD23" w14:textId="4B485B18" w:rsidR="00436D05" w:rsidRPr="00B44D7E" w:rsidRDefault="00436D05" w:rsidP="00B44D7E">
      <w:pPr>
        <w:spacing w:line="360" w:lineRule="auto"/>
        <w:rPr>
          <w:rFonts w:ascii="Arial" w:hAnsi="Arial" w:cs="Arial"/>
          <w:b/>
          <w:bCs/>
        </w:rPr>
      </w:pPr>
      <w:r w:rsidRPr="00B44D7E">
        <w:rPr>
          <w:rFonts w:ascii="Arial" w:hAnsi="Arial" w:cs="Arial"/>
          <w:b/>
          <w:bCs/>
        </w:rPr>
        <w:t xml:space="preserve">                             Lecturer’s name: Parese Ahmed</w:t>
      </w:r>
    </w:p>
    <w:p w14:paraId="6ACA3019" w14:textId="7A128256" w:rsidR="00436D05" w:rsidRPr="00B44D7E" w:rsidRDefault="00436D05" w:rsidP="00B44D7E">
      <w:pPr>
        <w:spacing w:line="360" w:lineRule="auto"/>
        <w:rPr>
          <w:rFonts w:ascii="Arial" w:hAnsi="Arial" w:cs="Arial"/>
          <w:b/>
          <w:bCs/>
        </w:rPr>
      </w:pPr>
      <w:r w:rsidRPr="00B44D7E">
        <w:rPr>
          <w:rFonts w:ascii="Arial" w:hAnsi="Arial" w:cs="Arial"/>
          <w:b/>
          <w:bCs/>
        </w:rPr>
        <w:t xml:space="preserve">                             Assignment: Component 2</w:t>
      </w:r>
    </w:p>
    <w:p w14:paraId="706A5A3F" w14:textId="77777777" w:rsidR="00C53CF7" w:rsidRPr="00B44D7E" w:rsidRDefault="00C53CF7" w:rsidP="00B44D7E">
      <w:pPr>
        <w:spacing w:line="360" w:lineRule="auto"/>
        <w:ind w:firstLine="720"/>
        <w:rPr>
          <w:rFonts w:ascii="Arial" w:hAnsi="Arial" w:cs="Arial"/>
          <w:b/>
          <w:bCs/>
        </w:rPr>
      </w:pPr>
    </w:p>
    <w:p w14:paraId="3B152723" w14:textId="77777777" w:rsidR="00C53CF7" w:rsidRPr="00B44D7E" w:rsidRDefault="00C53CF7" w:rsidP="00B44D7E">
      <w:pPr>
        <w:spacing w:line="360" w:lineRule="auto"/>
        <w:ind w:firstLine="720"/>
        <w:rPr>
          <w:rFonts w:ascii="Arial" w:hAnsi="Arial" w:cs="Arial"/>
          <w:b/>
          <w:bCs/>
        </w:rPr>
      </w:pPr>
    </w:p>
    <w:p w14:paraId="358B341F" w14:textId="77777777" w:rsidR="00C53CF7" w:rsidRPr="00B44D7E" w:rsidRDefault="00C53CF7" w:rsidP="00B44D7E">
      <w:pPr>
        <w:spacing w:line="360" w:lineRule="auto"/>
        <w:ind w:firstLine="720"/>
        <w:rPr>
          <w:rFonts w:ascii="Arial" w:hAnsi="Arial" w:cs="Arial"/>
          <w:b/>
          <w:bCs/>
        </w:rPr>
      </w:pPr>
    </w:p>
    <w:p w14:paraId="1287499E" w14:textId="686562DF" w:rsidR="00C53CF7" w:rsidRPr="00B44D7E" w:rsidRDefault="00C53CF7" w:rsidP="00B44D7E">
      <w:pPr>
        <w:spacing w:line="360" w:lineRule="auto"/>
        <w:ind w:firstLine="720"/>
        <w:rPr>
          <w:rFonts w:ascii="Arial" w:hAnsi="Arial" w:cs="Arial"/>
        </w:rPr>
      </w:pPr>
    </w:p>
    <w:p w14:paraId="6B1FF0BD" w14:textId="77777777" w:rsidR="005A48FF" w:rsidRPr="00B44D7E" w:rsidRDefault="005A48FF" w:rsidP="00B44D7E">
      <w:pPr>
        <w:spacing w:line="360" w:lineRule="auto"/>
        <w:ind w:firstLine="720"/>
        <w:rPr>
          <w:rFonts w:ascii="Arial" w:hAnsi="Arial" w:cs="Arial"/>
          <w:b/>
          <w:bCs/>
        </w:rPr>
      </w:pPr>
    </w:p>
    <w:p w14:paraId="4363614B" w14:textId="77777777" w:rsidR="005A48FF" w:rsidRPr="00B44D7E" w:rsidRDefault="005A48FF" w:rsidP="00B44D7E">
      <w:pPr>
        <w:spacing w:line="360" w:lineRule="auto"/>
        <w:ind w:firstLine="720"/>
        <w:rPr>
          <w:rFonts w:ascii="Arial" w:hAnsi="Arial" w:cs="Arial"/>
          <w:b/>
          <w:bCs/>
        </w:rPr>
      </w:pPr>
    </w:p>
    <w:p w14:paraId="569863F8" w14:textId="77777777" w:rsidR="005A48FF" w:rsidRPr="00B44D7E" w:rsidRDefault="005A48FF" w:rsidP="00B44D7E">
      <w:pPr>
        <w:spacing w:line="360" w:lineRule="auto"/>
        <w:ind w:firstLine="720"/>
        <w:rPr>
          <w:rFonts w:ascii="Arial" w:hAnsi="Arial" w:cs="Arial"/>
          <w:b/>
          <w:bCs/>
        </w:rPr>
      </w:pPr>
    </w:p>
    <w:p w14:paraId="2F400640" w14:textId="77777777" w:rsidR="005A48FF" w:rsidRPr="00B44D7E" w:rsidRDefault="005A48FF" w:rsidP="00B44D7E">
      <w:pPr>
        <w:spacing w:line="360" w:lineRule="auto"/>
        <w:ind w:firstLine="720"/>
        <w:rPr>
          <w:rFonts w:ascii="Arial" w:hAnsi="Arial" w:cs="Arial"/>
          <w:b/>
          <w:bCs/>
        </w:rPr>
      </w:pPr>
    </w:p>
    <w:p w14:paraId="463C80F8" w14:textId="77777777" w:rsidR="005A48FF" w:rsidRPr="00B44D7E" w:rsidRDefault="005A48FF" w:rsidP="00B44D7E">
      <w:pPr>
        <w:spacing w:line="360" w:lineRule="auto"/>
        <w:ind w:firstLine="720"/>
        <w:rPr>
          <w:rFonts w:ascii="Arial" w:hAnsi="Arial" w:cs="Arial"/>
          <w:b/>
          <w:bCs/>
        </w:rPr>
      </w:pPr>
    </w:p>
    <w:p w14:paraId="1A2C7B05" w14:textId="77777777" w:rsidR="005A48FF" w:rsidRPr="00B44D7E" w:rsidRDefault="005A48FF" w:rsidP="00B44D7E">
      <w:pPr>
        <w:spacing w:line="360" w:lineRule="auto"/>
        <w:ind w:firstLine="720"/>
        <w:rPr>
          <w:rFonts w:ascii="Arial" w:hAnsi="Arial" w:cs="Arial"/>
          <w:b/>
          <w:bCs/>
        </w:rPr>
      </w:pPr>
    </w:p>
    <w:p w14:paraId="377828E3" w14:textId="77777777" w:rsidR="005A48FF" w:rsidRPr="00B44D7E" w:rsidRDefault="005A48FF" w:rsidP="00B44D7E">
      <w:pPr>
        <w:spacing w:line="360" w:lineRule="auto"/>
        <w:ind w:firstLine="720"/>
        <w:rPr>
          <w:rFonts w:ascii="Arial" w:hAnsi="Arial" w:cs="Arial"/>
          <w:b/>
          <w:bCs/>
        </w:rPr>
      </w:pPr>
    </w:p>
    <w:p w14:paraId="17C55D8A" w14:textId="77777777" w:rsidR="005A48FF" w:rsidRPr="00B44D7E" w:rsidRDefault="005A48FF" w:rsidP="00B44D7E">
      <w:pPr>
        <w:spacing w:line="360" w:lineRule="auto"/>
        <w:ind w:firstLine="720"/>
        <w:rPr>
          <w:rFonts w:ascii="Arial" w:hAnsi="Arial" w:cs="Arial"/>
          <w:b/>
          <w:bCs/>
        </w:rPr>
      </w:pPr>
    </w:p>
    <w:p w14:paraId="09A23F24" w14:textId="77777777" w:rsidR="005A48FF" w:rsidRPr="00B44D7E" w:rsidRDefault="005A48FF" w:rsidP="00B44D7E">
      <w:pPr>
        <w:spacing w:line="360" w:lineRule="auto"/>
        <w:ind w:firstLine="720"/>
        <w:rPr>
          <w:rFonts w:ascii="Arial" w:hAnsi="Arial" w:cs="Arial"/>
          <w:b/>
          <w:bCs/>
        </w:rPr>
      </w:pPr>
    </w:p>
    <w:p w14:paraId="305D10E9" w14:textId="77777777" w:rsidR="005A48FF" w:rsidRPr="00B44D7E" w:rsidRDefault="005A48FF" w:rsidP="00B44D7E">
      <w:pPr>
        <w:spacing w:line="360" w:lineRule="auto"/>
        <w:ind w:firstLine="720"/>
        <w:rPr>
          <w:rFonts w:ascii="Arial" w:hAnsi="Arial" w:cs="Arial"/>
          <w:b/>
          <w:bCs/>
        </w:rPr>
      </w:pPr>
    </w:p>
    <w:p w14:paraId="7D5E8366" w14:textId="77777777" w:rsidR="005A48FF" w:rsidRPr="00B44D7E" w:rsidRDefault="005A48FF" w:rsidP="00B44D7E">
      <w:pPr>
        <w:spacing w:line="360" w:lineRule="auto"/>
        <w:ind w:firstLine="720"/>
        <w:rPr>
          <w:rFonts w:ascii="Arial" w:hAnsi="Arial" w:cs="Arial"/>
          <w:b/>
          <w:bCs/>
        </w:rPr>
      </w:pPr>
    </w:p>
    <w:p w14:paraId="2DE3C835" w14:textId="77777777" w:rsidR="005A48FF" w:rsidRPr="00B44D7E" w:rsidRDefault="005A48FF" w:rsidP="00B44D7E">
      <w:pPr>
        <w:spacing w:line="360" w:lineRule="auto"/>
        <w:ind w:firstLine="720"/>
        <w:rPr>
          <w:rFonts w:ascii="Arial" w:hAnsi="Arial" w:cs="Arial"/>
          <w:b/>
          <w:bCs/>
        </w:rPr>
      </w:pPr>
    </w:p>
    <w:sdt>
      <w:sdtPr>
        <w:rPr>
          <w:rFonts w:ascii="Arial" w:eastAsiaTheme="minorEastAsia" w:hAnsi="Arial" w:cs="Arial"/>
          <w:b w:val="0"/>
          <w:bCs w:val="0"/>
          <w:caps w:val="0"/>
          <w:spacing w:val="0"/>
          <w:sz w:val="22"/>
          <w:szCs w:val="22"/>
        </w:rPr>
        <w:id w:val="807289982"/>
        <w:docPartObj>
          <w:docPartGallery w:val="Table of Contents"/>
          <w:docPartUnique/>
        </w:docPartObj>
      </w:sdtPr>
      <w:sdtEndPr>
        <w:rPr>
          <w:noProof/>
        </w:rPr>
      </w:sdtEndPr>
      <w:sdtContent>
        <w:p w14:paraId="16845F51" w14:textId="77777777" w:rsidR="007C6D9A" w:rsidRPr="00B44D7E" w:rsidRDefault="007C6D9A" w:rsidP="00B44D7E">
          <w:pPr>
            <w:pStyle w:val="TOCHeading"/>
            <w:spacing w:line="360" w:lineRule="auto"/>
            <w:rPr>
              <w:rFonts w:ascii="Arial" w:hAnsi="Arial" w:cs="Arial"/>
              <w:sz w:val="22"/>
              <w:szCs w:val="22"/>
            </w:rPr>
          </w:pPr>
          <w:r w:rsidRPr="00B44D7E">
            <w:rPr>
              <w:rFonts w:ascii="Arial" w:hAnsi="Arial" w:cs="Arial"/>
              <w:sz w:val="22"/>
              <w:szCs w:val="22"/>
            </w:rPr>
            <w:t>Contents</w:t>
          </w:r>
        </w:p>
        <w:p w14:paraId="6F495388" w14:textId="77777777" w:rsidR="007C6D9A" w:rsidRPr="00B44D7E" w:rsidRDefault="007C6D9A" w:rsidP="00B44D7E">
          <w:pPr>
            <w:pStyle w:val="TOC1"/>
            <w:tabs>
              <w:tab w:val="right" w:leader="dot" w:pos="9016"/>
            </w:tabs>
            <w:spacing w:line="360" w:lineRule="auto"/>
            <w:rPr>
              <w:rFonts w:ascii="Arial" w:hAnsi="Arial" w:cs="Arial"/>
              <w:noProof/>
              <w:kern w:val="2"/>
              <w14:ligatures w14:val="standardContextual"/>
            </w:rPr>
          </w:pPr>
          <w:r w:rsidRPr="00B44D7E">
            <w:rPr>
              <w:rFonts w:ascii="Arial" w:hAnsi="Arial" w:cs="Arial"/>
            </w:rPr>
            <w:fldChar w:fldCharType="begin"/>
          </w:r>
          <w:r w:rsidRPr="00B44D7E">
            <w:rPr>
              <w:rFonts w:ascii="Arial" w:hAnsi="Arial" w:cs="Arial"/>
            </w:rPr>
            <w:instrText xml:space="preserve"> TOC \o "1-3" \h \z \u </w:instrText>
          </w:r>
          <w:r w:rsidRPr="00B44D7E">
            <w:rPr>
              <w:rFonts w:ascii="Arial" w:hAnsi="Arial" w:cs="Arial"/>
            </w:rPr>
            <w:fldChar w:fldCharType="separate"/>
          </w:r>
          <w:hyperlink w:anchor="_Toc214025273" w:history="1">
            <w:r w:rsidRPr="00B44D7E">
              <w:rPr>
                <w:rStyle w:val="Hyperlink"/>
                <w:rFonts w:ascii="Arial" w:hAnsi="Arial" w:cs="Arial"/>
                <w:noProof/>
              </w:rPr>
              <w:t>Introduction</w:t>
            </w:r>
            <w:r w:rsidRPr="00B44D7E">
              <w:rPr>
                <w:rFonts w:ascii="Arial" w:hAnsi="Arial" w:cs="Arial"/>
                <w:noProof/>
                <w:webHidden/>
              </w:rPr>
              <w:tab/>
            </w:r>
            <w:r w:rsidRPr="00B44D7E">
              <w:rPr>
                <w:rFonts w:ascii="Arial" w:hAnsi="Arial" w:cs="Arial"/>
                <w:noProof/>
                <w:webHidden/>
              </w:rPr>
              <w:fldChar w:fldCharType="begin"/>
            </w:r>
            <w:r w:rsidRPr="00B44D7E">
              <w:rPr>
                <w:rFonts w:ascii="Arial" w:hAnsi="Arial" w:cs="Arial"/>
                <w:noProof/>
                <w:webHidden/>
              </w:rPr>
              <w:instrText xml:space="preserve"> PAGEREF _Toc214025273 \h </w:instrText>
            </w:r>
            <w:r w:rsidRPr="00B44D7E">
              <w:rPr>
                <w:rFonts w:ascii="Arial" w:hAnsi="Arial" w:cs="Arial"/>
                <w:noProof/>
                <w:webHidden/>
              </w:rPr>
            </w:r>
            <w:r w:rsidRPr="00B44D7E">
              <w:rPr>
                <w:rFonts w:ascii="Arial" w:hAnsi="Arial" w:cs="Arial"/>
                <w:noProof/>
                <w:webHidden/>
              </w:rPr>
              <w:fldChar w:fldCharType="separate"/>
            </w:r>
            <w:r w:rsidRPr="00B44D7E">
              <w:rPr>
                <w:rFonts w:ascii="Arial" w:hAnsi="Arial" w:cs="Arial"/>
                <w:noProof/>
                <w:webHidden/>
              </w:rPr>
              <w:t>3</w:t>
            </w:r>
            <w:r w:rsidRPr="00B44D7E">
              <w:rPr>
                <w:rFonts w:ascii="Arial" w:hAnsi="Arial" w:cs="Arial"/>
                <w:noProof/>
                <w:webHidden/>
              </w:rPr>
              <w:fldChar w:fldCharType="end"/>
            </w:r>
          </w:hyperlink>
        </w:p>
        <w:p w14:paraId="6B166F95" w14:textId="77777777" w:rsidR="007C6D9A" w:rsidRPr="00B44D7E" w:rsidRDefault="007C6D9A" w:rsidP="00B44D7E">
          <w:pPr>
            <w:pStyle w:val="TOC1"/>
            <w:tabs>
              <w:tab w:val="right" w:leader="dot" w:pos="9016"/>
            </w:tabs>
            <w:spacing w:line="360" w:lineRule="auto"/>
            <w:rPr>
              <w:rFonts w:ascii="Arial" w:hAnsi="Arial" w:cs="Arial"/>
              <w:noProof/>
              <w:kern w:val="2"/>
              <w14:ligatures w14:val="standardContextual"/>
            </w:rPr>
          </w:pPr>
          <w:hyperlink w:anchor="_Toc214025274" w:history="1">
            <w:r w:rsidRPr="00B44D7E">
              <w:rPr>
                <w:rStyle w:val="Hyperlink"/>
                <w:rFonts w:ascii="Arial" w:hAnsi="Arial" w:cs="Arial"/>
                <w:noProof/>
              </w:rPr>
              <w:t>SDG 3: Good Health and Well-being</w:t>
            </w:r>
            <w:r w:rsidRPr="00B44D7E">
              <w:rPr>
                <w:rFonts w:ascii="Arial" w:hAnsi="Arial" w:cs="Arial"/>
                <w:noProof/>
                <w:webHidden/>
              </w:rPr>
              <w:tab/>
            </w:r>
            <w:r w:rsidRPr="00B44D7E">
              <w:rPr>
                <w:rFonts w:ascii="Arial" w:hAnsi="Arial" w:cs="Arial"/>
                <w:noProof/>
                <w:webHidden/>
              </w:rPr>
              <w:fldChar w:fldCharType="begin"/>
            </w:r>
            <w:r w:rsidRPr="00B44D7E">
              <w:rPr>
                <w:rFonts w:ascii="Arial" w:hAnsi="Arial" w:cs="Arial"/>
                <w:noProof/>
                <w:webHidden/>
              </w:rPr>
              <w:instrText xml:space="preserve"> PAGEREF _Toc214025274 \h </w:instrText>
            </w:r>
            <w:r w:rsidRPr="00B44D7E">
              <w:rPr>
                <w:rFonts w:ascii="Arial" w:hAnsi="Arial" w:cs="Arial"/>
                <w:noProof/>
                <w:webHidden/>
              </w:rPr>
            </w:r>
            <w:r w:rsidRPr="00B44D7E">
              <w:rPr>
                <w:rFonts w:ascii="Arial" w:hAnsi="Arial" w:cs="Arial"/>
                <w:noProof/>
                <w:webHidden/>
              </w:rPr>
              <w:fldChar w:fldCharType="separate"/>
            </w:r>
            <w:r w:rsidRPr="00B44D7E">
              <w:rPr>
                <w:rFonts w:ascii="Arial" w:hAnsi="Arial" w:cs="Arial"/>
                <w:noProof/>
                <w:webHidden/>
              </w:rPr>
              <w:t>3</w:t>
            </w:r>
            <w:r w:rsidRPr="00B44D7E">
              <w:rPr>
                <w:rFonts w:ascii="Arial" w:hAnsi="Arial" w:cs="Arial"/>
                <w:noProof/>
                <w:webHidden/>
              </w:rPr>
              <w:fldChar w:fldCharType="end"/>
            </w:r>
          </w:hyperlink>
        </w:p>
        <w:p w14:paraId="11A46CB0" w14:textId="29BC9858" w:rsidR="007C6D9A" w:rsidRPr="00B44D7E" w:rsidRDefault="007C6D9A" w:rsidP="009741B8">
          <w:pPr>
            <w:pStyle w:val="TOC2"/>
            <w:tabs>
              <w:tab w:val="right" w:leader="dot" w:pos="9016"/>
            </w:tabs>
            <w:spacing w:line="360" w:lineRule="auto"/>
            <w:rPr>
              <w:rFonts w:ascii="Arial" w:hAnsi="Arial" w:cs="Arial"/>
              <w:noProof/>
              <w:kern w:val="2"/>
              <w14:ligatures w14:val="standardContextual"/>
            </w:rPr>
          </w:pPr>
          <w:hyperlink w:anchor="_Toc214025275" w:history="1">
            <w:r w:rsidRPr="00B44D7E">
              <w:rPr>
                <w:rStyle w:val="Hyperlink"/>
                <w:rFonts w:ascii="Arial" w:hAnsi="Arial" w:cs="Arial"/>
                <w:noProof/>
              </w:rPr>
              <w:t>Global</w:t>
            </w:r>
            <w:r w:rsidR="009741B8">
              <w:rPr>
                <w:rStyle w:val="Hyperlink"/>
                <w:rFonts w:ascii="Arial" w:hAnsi="Arial" w:cs="Arial"/>
                <w:noProof/>
              </w:rPr>
              <w:t>, National, and Local initiatives</w:t>
            </w:r>
            <w:r w:rsidRPr="00B44D7E">
              <w:rPr>
                <w:rStyle w:val="Hyperlink"/>
                <w:rFonts w:ascii="Arial" w:hAnsi="Arial" w:cs="Arial"/>
                <w:noProof/>
              </w:rPr>
              <w:t xml:space="preserve"> </w:t>
            </w:r>
            <w:r w:rsidRPr="00B44D7E">
              <w:rPr>
                <w:rFonts w:ascii="Arial" w:hAnsi="Arial" w:cs="Arial"/>
                <w:noProof/>
                <w:webHidden/>
              </w:rPr>
              <w:tab/>
            </w:r>
            <w:r w:rsidRPr="00B44D7E">
              <w:rPr>
                <w:rFonts w:ascii="Arial" w:hAnsi="Arial" w:cs="Arial"/>
                <w:noProof/>
                <w:webHidden/>
              </w:rPr>
              <w:fldChar w:fldCharType="begin"/>
            </w:r>
            <w:r w:rsidRPr="00B44D7E">
              <w:rPr>
                <w:rFonts w:ascii="Arial" w:hAnsi="Arial" w:cs="Arial"/>
                <w:noProof/>
                <w:webHidden/>
              </w:rPr>
              <w:instrText xml:space="preserve"> PAGEREF _Toc214025275 \h </w:instrText>
            </w:r>
            <w:r w:rsidRPr="00B44D7E">
              <w:rPr>
                <w:rFonts w:ascii="Arial" w:hAnsi="Arial" w:cs="Arial"/>
                <w:noProof/>
                <w:webHidden/>
              </w:rPr>
            </w:r>
            <w:r w:rsidRPr="00B44D7E">
              <w:rPr>
                <w:rFonts w:ascii="Arial" w:hAnsi="Arial" w:cs="Arial"/>
                <w:noProof/>
                <w:webHidden/>
              </w:rPr>
              <w:fldChar w:fldCharType="separate"/>
            </w:r>
            <w:r w:rsidRPr="00B44D7E">
              <w:rPr>
                <w:rFonts w:ascii="Arial" w:hAnsi="Arial" w:cs="Arial"/>
                <w:noProof/>
                <w:webHidden/>
              </w:rPr>
              <w:t>4</w:t>
            </w:r>
            <w:r w:rsidRPr="00B44D7E">
              <w:rPr>
                <w:rFonts w:ascii="Arial" w:hAnsi="Arial" w:cs="Arial"/>
                <w:noProof/>
                <w:webHidden/>
              </w:rPr>
              <w:fldChar w:fldCharType="end"/>
            </w:r>
          </w:hyperlink>
        </w:p>
        <w:p w14:paraId="6BEA56E7" w14:textId="77777777" w:rsidR="007C6D9A" w:rsidRPr="00B44D7E" w:rsidRDefault="007C6D9A" w:rsidP="00B44D7E">
          <w:pPr>
            <w:pStyle w:val="TOC2"/>
            <w:tabs>
              <w:tab w:val="right" w:leader="dot" w:pos="9016"/>
            </w:tabs>
            <w:spacing w:line="360" w:lineRule="auto"/>
            <w:rPr>
              <w:rFonts w:ascii="Arial" w:hAnsi="Arial" w:cs="Arial"/>
              <w:noProof/>
              <w:kern w:val="2"/>
              <w14:ligatures w14:val="standardContextual"/>
            </w:rPr>
          </w:pPr>
          <w:hyperlink w:anchor="_Toc214025278" w:history="1">
            <w:r w:rsidRPr="00B44D7E">
              <w:rPr>
                <w:rStyle w:val="Hyperlink"/>
                <w:rFonts w:ascii="Arial" w:hAnsi="Arial" w:cs="Arial"/>
                <w:noProof/>
              </w:rPr>
              <w:t>Critical Analysis based on HBM</w:t>
            </w:r>
            <w:r w:rsidRPr="00B44D7E">
              <w:rPr>
                <w:rFonts w:ascii="Arial" w:hAnsi="Arial" w:cs="Arial"/>
                <w:noProof/>
                <w:webHidden/>
              </w:rPr>
              <w:tab/>
            </w:r>
            <w:r w:rsidRPr="00B44D7E">
              <w:rPr>
                <w:rFonts w:ascii="Arial" w:hAnsi="Arial" w:cs="Arial"/>
                <w:noProof/>
                <w:webHidden/>
              </w:rPr>
              <w:fldChar w:fldCharType="begin"/>
            </w:r>
            <w:r w:rsidRPr="00B44D7E">
              <w:rPr>
                <w:rFonts w:ascii="Arial" w:hAnsi="Arial" w:cs="Arial"/>
                <w:noProof/>
                <w:webHidden/>
              </w:rPr>
              <w:instrText xml:space="preserve"> PAGEREF _Toc214025278 \h </w:instrText>
            </w:r>
            <w:r w:rsidRPr="00B44D7E">
              <w:rPr>
                <w:rFonts w:ascii="Arial" w:hAnsi="Arial" w:cs="Arial"/>
                <w:noProof/>
                <w:webHidden/>
              </w:rPr>
            </w:r>
            <w:r w:rsidRPr="00B44D7E">
              <w:rPr>
                <w:rFonts w:ascii="Arial" w:hAnsi="Arial" w:cs="Arial"/>
                <w:noProof/>
                <w:webHidden/>
              </w:rPr>
              <w:fldChar w:fldCharType="separate"/>
            </w:r>
            <w:r w:rsidRPr="00B44D7E">
              <w:rPr>
                <w:rFonts w:ascii="Arial" w:hAnsi="Arial" w:cs="Arial"/>
                <w:noProof/>
                <w:webHidden/>
              </w:rPr>
              <w:t>5</w:t>
            </w:r>
            <w:r w:rsidRPr="00B44D7E">
              <w:rPr>
                <w:rFonts w:ascii="Arial" w:hAnsi="Arial" w:cs="Arial"/>
                <w:noProof/>
                <w:webHidden/>
              </w:rPr>
              <w:fldChar w:fldCharType="end"/>
            </w:r>
          </w:hyperlink>
        </w:p>
        <w:p w14:paraId="1814DA40" w14:textId="77777777" w:rsidR="007C6D9A" w:rsidRPr="00B44D7E" w:rsidRDefault="007C6D9A" w:rsidP="00B44D7E">
          <w:pPr>
            <w:pStyle w:val="TOC3"/>
            <w:tabs>
              <w:tab w:val="right" w:leader="dot" w:pos="9016"/>
            </w:tabs>
            <w:spacing w:line="360" w:lineRule="auto"/>
            <w:rPr>
              <w:rFonts w:ascii="Arial" w:hAnsi="Arial" w:cs="Arial"/>
              <w:noProof/>
              <w:kern w:val="2"/>
              <w14:ligatures w14:val="standardContextual"/>
            </w:rPr>
          </w:pPr>
          <w:hyperlink w:anchor="_Toc214025279" w:history="1">
            <w:r w:rsidRPr="00B44D7E">
              <w:rPr>
                <w:rStyle w:val="Hyperlink"/>
                <w:rFonts w:ascii="Arial" w:hAnsi="Arial" w:cs="Arial"/>
                <w:b/>
                <w:bCs/>
                <w:noProof/>
              </w:rPr>
              <w:t>Recommendations</w:t>
            </w:r>
            <w:r w:rsidRPr="00B44D7E">
              <w:rPr>
                <w:rFonts w:ascii="Arial" w:hAnsi="Arial" w:cs="Arial"/>
                <w:noProof/>
                <w:webHidden/>
              </w:rPr>
              <w:tab/>
            </w:r>
            <w:r w:rsidRPr="00B44D7E">
              <w:rPr>
                <w:rFonts w:ascii="Arial" w:hAnsi="Arial" w:cs="Arial"/>
                <w:noProof/>
                <w:webHidden/>
              </w:rPr>
              <w:fldChar w:fldCharType="begin"/>
            </w:r>
            <w:r w:rsidRPr="00B44D7E">
              <w:rPr>
                <w:rFonts w:ascii="Arial" w:hAnsi="Arial" w:cs="Arial"/>
                <w:noProof/>
                <w:webHidden/>
              </w:rPr>
              <w:instrText xml:space="preserve"> PAGEREF _Toc214025279 \h </w:instrText>
            </w:r>
            <w:r w:rsidRPr="00B44D7E">
              <w:rPr>
                <w:rFonts w:ascii="Arial" w:hAnsi="Arial" w:cs="Arial"/>
                <w:noProof/>
                <w:webHidden/>
              </w:rPr>
            </w:r>
            <w:r w:rsidRPr="00B44D7E">
              <w:rPr>
                <w:rFonts w:ascii="Arial" w:hAnsi="Arial" w:cs="Arial"/>
                <w:noProof/>
                <w:webHidden/>
              </w:rPr>
              <w:fldChar w:fldCharType="separate"/>
            </w:r>
            <w:r w:rsidRPr="00B44D7E">
              <w:rPr>
                <w:rFonts w:ascii="Arial" w:hAnsi="Arial" w:cs="Arial"/>
                <w:noProof/>
                <w:webHidden/>
              </w:rPr>
              <w:t>5</w:t>
            </w:r>
            <w:r w:rsidRPr="00B44D7E">
              <w:rPr>
                <w:rFonts w:ascii="Arial" w:hAnsi="Arial" w:cs="Arial"/>
                <w:noProof/>
                <w:webHidden/>
              </w:rPr>
              <w:fldChar w:fldCharType="end"/>
            </w:r>
          </w:hyperlink>
        </w:p>
        <w:p w14:paraId="73058650" w14:textId="77777777" w:rsidR="007C6D9A" w:rsidRPr="00B44D7E" w:rsidRDefault="007C6D9A" w:rsidP="00B44D7E">
          <w:pPr>
            <w:pStyle w:val="TOC1"/>
            <w:tabs>
              <w:tab w:val="right" w:leader="dot" w:pos="9016"/>
            </w:tabs>
            <w:spacing w:line="360" w:lineRule="auto"/>
            <w:rPr>
              <w:rFonts w:ascii="Arial" w:hAnsi="Arial" w:cs="Arial"/>
              <w:noProof/>
              <w:kern w:val="2"/>
              <w14:ligatures w14:val="standardContextual"/>
            </w:rPr>
          </w:pPr>
          <w:hyperlink w:anchor="_Toc214025280" w:history="1">
            <w:r w:rsidRPr="00B44D7E">
              <w:rPr>
                <w:rStyle w:val="Hyperlink"/>
                <w:rFonts w:ascii="Arial" w:hAnsi="Arial" w:cs="Arial"/>
                <w:noProof/>
              </w:rPr>
              <w:t>SDG 2: Zero Hunger</w:t>
            </w:r>
            <w:r w:rsidRPr="00B44D7E">
              <w:rPr>
                <w:rFonts w:ascii="Arial" w:hAnsi="Arial" w:cs="Arial"/>
                <w:noProof/>
                <w:webHidden/>
              </w:rPr>
              <w:tab/>
            </w:r>
            <w:r w:rsidRPr="00B44D7E">
              <w:rPr>
                <w:rFonts w:ascii="Arial" w:hAnsi="Arial" w:cs="Arial"/>
                <w:noProof/>
                <w:webHidden/>
              </w:rPr>
              <w:fldChar w:fldCharType="begin"/>
            </w:r>
            <w:r w:rsidRPr="00B44D7E">
              <w:rPr>
                <w:rFonts w:ascii="Arial" w:hAnsi="Arial" w:cs="Arial"/>
                <w:noProof/>
                <w:webHidden/>
              </w:rPr>
              <w:instrText xml:space="preserve"> PAGEREF _Toc214025280 \h </w:instrText>
            </w:r>
            <w:r w:rsidRPr="00B44D7E">
              <w:rPr>
                <w:rFonts w:ascii="Arial" w:hAnsi="Arial" w:cs="Arial"/>
                <w:noProof/>
                <w:webHidden/>
              </w:rPr>
            </w:r>
            <w:r w:rsidRPr="00B44D7E">
              <w:rPr>
                <w:rFonts w:ascii="Arial" w:hAnsi="Arial" w:cs="Arial"/>
                <w:noProof/>
                <w:webHidden/>
              </w:rPr>
              <w:fldChar w:fldCharType="separate"/>
            </w:r>
            <w:r w:rsidRPr="00B44D7E">
              <w:rPr>
                <w:rFonts w:ascii="Arial" w:hAnsi="Arial" w:cs="Arial"/>
                <w:noProof/>
                <w:webHidden/>
              </w:rPr>
              <w:t>7</w:t>
            </w:r>
            <w:r w:rsidRPr="00B44D7E">
              <w:rPr>
                <w:rFonts w:ascii="Arial" w:hAnsi="Arial" w:cs="Arial"/>
                <w:noProof/>
                <w:webHidden/>
              </w:rPr>
              <w:fldChar w:fldCharType="end"/>
            </w:r>
          </w:hyperlink>
        </w:p>
        <w:p w14:paraId="0A35D4EF" w14:textId="6B1B924E" w:rsidR="007C6D9A" w:rsidRPr="00B44D7E" w:rsidRDefault="007C6D9A" w:rsidP="00EE74F5">
          <w:pPr>
            <w:pStyle w:val="TOC2"/>
            <w:tabs>
              <w:tab w:val="right" w:leader="dot" w:pos="9016"/>
            </w:tabs>
            <w:spacing w:line="360" w:lineRule="auto"/>
            <w:rPr>
              <w:rFonts w:ascii="Arial" w:hAnsi="Arial" w:cs="Arial"/>
              <w:noProof/>
              <w:kern w:val="2"/>
              <w14:ligatures w14:val="standardContextual"/>
            </w:rPr>
          </w:pPr>
          <w:hyperlink w:anchor="_Toc214025281" w:history="1">
            <w:r w:rsidRPr="00B44D7E">
              <w:rPr>
                <w:rStyle w:val="Hyperlink"/>
                <w:rFonts w:ascii="Arial" w:hAnsi="Arial" w:cs="Arial"/>
                <w:noProof/>
              </w:rPr>
              <w:t>Global</w:t>
            </w:r>
            <w:r w:rsidR="00EE74F5">
              <w:rPr>
                <w:rStyle w:val="Hyperlink"/>
                <w:rFonts w:ascii="Arial" w:hAnsi="Arial" w:cs="Arial"/>
                <w:noProof/>
              </w:rPr>
              <w:t xml:space="preserve">, National, and Local </w:t>
            </w:r>
            <w:r w:rsidRPr="00B44D7E">
              <w:rPr>
                <w:rStyle w:val="Hyperlink"/>
                <w:rFonts w:ascii="Arial" w:hAnsi="Arial" w:cs="Arial"/>
                <w:noProof/>
              </w:rPr>
              <w:t>Initiatives</w:t>
            </w:r>
            <w:r w:rsidRPr="00B44D7E">
              <w:rPr>
                <w:rFonts w:ascii="Arial" w:hAnsi="Arial" w:cs="Arial"/>
                <w:noProof/>
                <w:webHidden/>
              </w:rPr>
              <w:tab/>
            </w:r>
            <w:r w:rsidRPr="00B44D7E">
              <w:rPr>
                <w:rFonts w:ascii="Arial" w:hAnsi="Arial" w:cs="Arial"/>
                <w:noProof/>
                <w:webHidden/>
              </w:rPr>
              <w:fldChar w:fldCharType="begin"/>
            </w:r>
            <w:r w:rsidRPr="00B44D7E">
              <w:rPr>
                <w:rFonts w:ascii="Arial" w:hAnsi="Arial" w:cs="Arial"/>
                <w:noProof/>
                <w:webHidden/>
              </w:rPr>
              <w:instrText xml:space="preserve"> PAGEREF _Toc214025281 \h </w:instrText>
            </w:r>
            <w:r w:rsidRPr="00B44D7E">
              <w:rPr>
                <w:rFonts w:ascii="Arial" w:hAnsi="Arial" w:cs="Arial"/>
                <w:noProof/>
                <w:webHidden/>
              </w:rPr>
            </w:r>
            <w:r w:rsidRPr="00B44D7E">
              <w:rPr>
                <w:rFonts w:ascii="Arial" w:hAnsi="Arial" w:cs="Arial"/>
                <w:noProof/>
                <w:webHidden/>
              </w:rPr>
              <w:fldChar w:fldCharType="separate"/>
            </w:r>
            <w:r w:rsidRPr="00B44D7E">
              <w:rPr>
                <w:rFonts w:ascii="Arial" w:hAnsi="Arial" w:cs="Arial"/>
                <w:noProof/>
                <w:webHidden/>
              </w:rPr>
              <w:t>7</w:t>
            </w:r>
            <w:r w:rsidRPr="00B44D7E">
              <w:rPr>
                <w:rFonts w:ascii="Arial" w:hAnsi="Arial" w:cs="Arial"/>
                <w:noProof/>
                <w:webHidden/>
              </w:rPr>
              <w:fldChar w:fldCharType="end"/>
            </w:r>
          </w:hyperlink>
        </w:p>
        <w:p w14:paraId="4E367B90" w14:textId="77777777" w:rsidR="007C6D9A" w:rsidRPr="00B44D7E" w:rsidRDefault="007C6D9A" w:rsidP="00B44D7E">
          <w:pPr>
            <w:pStyle w:val="TOC2"/>
            <w:tabs>
              <w:tab w:val="right" w:leader="dot" w:pos="9016"/>
            </w:tabs>
            <w:spacing w:line="360" w:lineRule="auto"/>
            <w:rPr>
              <w:rFonts w:ascii="Arial" w:hAnsi="Arial" w:cs="Arial"/>
              <w:noProof/>
              <w:kern w:val="2"/>
              <w14:ligatures w14:val="standardContextual"/>
            </w:rPr>
          </w:pPr>
          <w:hyperlink w:anchor="_Toc214025284" w:history="1">
            <w:r w:rsidRPr="00B44D7E">
              <w:rPr>
                <w:rStyle w:val="Hyperlink"/>
                <w:rFonts w:ascii="Arial" w:hAnsi="Arial" w:cs="Arial"/>
                <w:noProof/>
              </w:rPr>
              <w:t>Critical Critique with the Help of Social Cognitive Theory</w:t>
            </w:r>
            <w:r w:rsidRPr="00B44D7E">
              <w:rPr>
                <w:rFonts w:ascii="Arial" w:hAnsi="Arial" w:cs="Arial"/>
                <w:noProof/>
                <w:webHidden/>
              </w:rPr>
              <w:tab/>
            </w:r>
            <w:r w:rsidRPr="00B44D7E">
              <w:rPr>
                <w:rFonts w:ascii="Arial" w:hAnsi="Arial" w:cs="Arial"/>
                <w:noProof/>
                <w:webHidden/>
              </w:rPr>
              <w:fldChar w:fldCharType="begin"/>
            </w:r>
            <w:r w:rsidRPr="00B44D7E">
              <w:rPr>
                <w:rFonts w:ascii="Arial" w:hAnsi="Arial" w:cs="Arial"/>
                <w:noProof/>
                <w:webHidden/>
              </w:rPr>
              <w:instrText xml:space="preserve"> PAGEREF _Toc214025284 \h </w:instrText>
            </w:r>
            <w:r w:rsidRPr="00B44D7E">
              <w:rPr>
                <w:rFonts w:ascii="Arial" w:hAnsi="Arial" w:cs="Arial"/>
                <w:noProof/>
                <w:webHidden/>
              </w:rPr>
            </w:r>
            <w:r w:rsidRPr="00B44D7E">
              <w:rPr>
                <w:rFonts w:ascii="Arial" w:hAnsi="Arial" w:cs="Arial"/>
                <w:noProof/>
                <w:webHidden/>
              </w:rPr>
              <w:fldChar w:fldCharType="separate"/>
            </w:r>
            <w:r w:rsidRPr="00B44D7E">
              <w:rPr>
                <w:rFonts w:ascii="Arial" w:hAnsi="Arial" w:cs="Arial"/>
                <w:noProof/>
                <w:webHidden/>
              </w:rPr>
              <w:t>8</w:t>
            </w:r>
            <w:r w:rsidRPr="00B44D7E">
              <w:rPr>
                <w:rFonts w:ascii="Arial" w:hAnsi="Arial" w:cs="Arial"/>
                <w:noProof/>
                <w:webHidden/>
              </w:rPr>
              <w:fldChar w:fldCharType="end"/>
            </w:r>
          </w:hyperlink>
        </w:p>
        <w:p w14:paraId="1B2F19A2" w14:textId="77777777" w:rsidR="007C6D9A" w:rsidRPr="00B44D7E" w:rsidRDefault="007C6D9A" w:rsidP="00B44D7E">
          <w:pPr>
            <w:pStyle w:val="TOC3"/>
            <w:tabs>
              <w:tab w:val="right" w:leader="dot" w:pos="9016"/>
            </w:tabs>
            <w:spacing w:line="360" w:lineRule="auto"/>
            <w:rPr>
              <w:rFonts w:ascii="Arial" w:hAnsi="Arial" w:cs="Arial"/>
              <w:noProof/>
              <w:kern w:val="2"/>
              <w14:ligatures w14:val="standardContextual"/>
            </w:rPr>
          </w:pPr>
          <w:hyperlink w:anchor="_Toc214025285" w:history="1">
            <w:r w:rsidRPr="00B44D7E">
              <w:rPr>
                <w:rStyle w:val="Hyperlink"/>
                <w:rFonts w:ascii="Arial" w:hAnsi="Arial" w:cs="Arial"/>
                <w:b/>
                <w:bCs/>
                <w:noProof/>
              </w:rPr>
              <w:t>Recommendations</w:t>
            </w:r>
            <w:r w:rsidRPr="00B44D7E">
              <w:rPr>
                <w:rFonts w:ascii="Arial" w:hAnsi="Arial" w:cs="Arial"/>
                <w:noProof/>
                <w:webHidden/>
              </w:rPr>
              <w:tab/>
            </w:r>
            <w:r w:rsidRPr="00B44D7E">
              <w:rPr>
                <w:rFonts w:ascii="Arial" w:hAnsi="Arial" w:cs="Arial"/>
                <w:noProof/>
                <w:webHidden/>
              </w:rPr>
              <w:fldChar w:fldCharType="begin"/>
            </w:r>
            <w:r w:rsidRPr="00B44D7E">
              <w:rPr>
                <w:rFonts w:ascii="Arial" w:hAnsi="Arial" w:cs="Arial"/>
                <w:noProof/>
                <w:webHidden/>
              </w:rPr>
              <w:instrText xml:space="preserve"> PAGEREF _Toc214025285 \h </w:instrText>
            </w:r>
            <w:r w:rsidRPr="00B44D7E">
              <w:rPr>
                <w:rFonts w:ascii="Arial" w:hAnsi="Arial" w:cs="Arial"/>
                <w:noProof/>
                <w:webHidden/>
              </w:rPr>
            </w:r>
            <w:r w:rsidRPr="00B44D7E">
              <w:rPr>
                <w:rFonts w:ascii="Arial" w:hAnsi="Arial" w:cs="Arial"/>
                <w:noProof/>
                <w:webHidden/>
              </w:rPr>
              <w:fldChar w:fldCharType="separate"/>
            </w:r>
            <w:r w:rsidRPr="00B44D7E">
              <w:rPr>
                <w:rFonts w:ascii="Arial" w:hAnsi="Arial" w:cs="Arial"/>
                <w:noProof/>
                <w:webHidden/>
              </w:rPr>
              <w:t>8</w:t>
            </w:r>
            <w:r w:rsidRPr="00B44D7E">
              <w:rPr>
                <w:rFonts w:ascii="Arial" w:hAnsi="Arial" w:cs="Arial"/>
                <w:noProof/>
                <w:webHidden/>
              </w:rPr>
              <w:fldChar w:fldCharType="end"/>
            </w:r>
          </w:hyperlink>
        </w:p>
        <w:p w14:paraId="78F718EA" w14:textId="77777777" w:rsidR="007C6D9A" w:rsidRPr="00B44D7E" w:rsidRDefault="007C6D9A" w:rsidP="00B44D7E">
          <w:pPr>
            <w:pStyle w:val="TOC1"/>
            <w:tabs>
              <w:tab w:val="right" w:leader="dot" w:pos="9016"/>
            </w:tabs>
            <w:spacing w:line="360" w:lineRule="auto"/>
            <w:rPr>
              <w:rFonts w:ascii="Arial" w:hAnsi="Arial" w:cs="Arial"/>
              <w:noProof/>
              <w:kern w:val="2"/>
              <w14:ligatures w14:val="standardContextual"/>
            </w:rPr>
          </w:pPr>
          <w:hyperlink w:anchor="_Toc214025286" w:history="1">
            <w:r w:rsidRPr="00B44D7E">
              <w:rPr>
                <w:rStyle w:val="Hyperlink"/>
                <w:rFonts w:ascii="Arial" w:hAnsi="Arial" w:cs="Arial"/>
                <w:noProof/>
              </w:rPr>
              <w:t>Analysis and Implications</w:t>
            </w:r>
            <w:r w:rsidRPr="00B44D7E">
              <w:rPr>
                <w:rFonts w:ascii="Arial" w:hAnsi="Arial" w:cs="Arial"/>
                <w:noProof/>
                <w:webHidden/>
              </w:rPr>
              <w:tab/>
            </w:r>
            <w:r w:rsidRPr="00B44D7E">
              <w:rPr>
                <w:rFonts w:ascii="Arial" w:hAnsi="Arial" w:cs="Arial"/>
                <w:noProof/>
                <w:webHidden/>
              </w:rPr>
              <w:fldChar w:fldCharType="begin"/>
            </w:r>
            <w:r w:rsidRPr="00B44D7E">
              <w:rPr>
                <w:rFonts w:ascii="Arial" w:hAnsi="Arial" w:cs="Arial"/>
                <w:noProof/>
                <w:webHidden/>
              </w:rPr>
              <w:instrText xml:space="preserve"> PAGEREF _Toc214025286 \h </w:instrText>
            </w:r>
            <w:r w:rsidRPr="00B44D7E">
              <w:rPr>
                <w:rFonts w:ascii="Arial" w:hAnsi="Arial" w:cs="Arial"/>
                <w:noProof/>
                <w:webHidden/>
              </w:rPr>
            </w:r>
            <w:r w:rsidRPr="00B44D7E">
              <w:rPr>
                <w:rFonts w:ascii="Arial" w:hAnsi="Arial" w:cs="Arial"/>
                <w:noProof/>
                <w:webHidden/>
              </w:rPr>
              <w:fldChar w:fldCharType="separate"/>
            </w:r>
            <w:r w:rsidRPr="00B44D7E">
              <w:rPr>
                <w:rFonts w:ascii="Arial" w:hAnsi="Arial" w:cs="Arial"/>
                <w:noProof/>
                <w:webHidden/>
              </w:rPr>
              <w:t>9</w:t>
            </w:r>
            <w:r w:rsidRPr="00B44D7E">
              <w:rPr>
                <w:rFonts w:ascii="Arial" w:hAnsi="Arial" w:cs="Arial"/>
                <w:noProof/>
                <w:webHidden/>
              </w:rPr>
              <w:fldChar w:fldCharType="end"/>
            </w:r>
          </w:hyperlink>
        </w:p>
        <w:p w14:paraId="3A83CAA2" w14:textId="77777777" w:rsidR="007C6D9A" w:rsidRPr="00B44D7E" w:rsidRDefault="007C6D9A" w:rsidP="00B44D7E">
          <w:pPr>
            <w:pStyle w:val="TOC1"/>
            <w:tabs>
              <w:tab w:val="right" w:leader="dot" w:pos="9016"/>
            </w:tabs>
            <w:spacing w:line="360" w:lineRule="auto"/>
            <w:rPr>
              <w:rFonts w:ascii="Arial" w:hAnsi="Arial" w:cs="Arial"/>
              <w:noProof/>
              <w:kern w:val="2"/>
              <w14:ligatures w14:val="standardContextual"/>
            </w:rPr>
          </w:pPr>
          <w:hyperlink w:anchor="_Toc214025287" w:history="1">
            <w:r w:rsidRPr="00B44D7E">
              <w:rPr>
                <w:rStyle w:val="Hyperlink"/>
                <w:rFonts w:ascii="Arial" w:hAnsi="Arial" w:cs="Arial"/>
                <w:noProof/>
              </w:rPr>
              <w:t>Conclusion</w:t>
            </w:r>
            <w:r w:rsidRPr="00B44D7E">
              <w:rPr>
                <w:rFonts w:ascii="Arial" w:hAnsi="Arial" w:cs="Arial"/>
                <w:noProof/>
                <w:webHidden/>
              </w:rPr>
              <w:tab/>
            </w:r>
            <w:r w:rsidRPr="00B44D7E">
              <w:rPr>
                <w:rFonts w:ascii="Arial" w:hAnsi="Arial" w:cs="Arial"/>
                <w:noProof/>
                <w:webHidden/>
              </w:rPr>
              <w:fldChar w:fldCharType="begin"/>
            </w:r>
            <w:r w:rsidRPr="00B44D7E">
              <w:rPr>
                <w:rFonts w:ascii="Arial" w:hAnsi="Arial" w:cs="Arial"/>
                <w:noProof/>
                <w:webHidden/>
              </w:rPr>
              <w:instrText xml:space="preserve"> PAGEREF _Toc214025287 \h </w:instrText>
            </w:r>
            <w:r w:rsidRPr="00B44D7E">
              <w:rPr>
                <w:rFonts w:ascii="Arial" w:hAnsi="Arial" w:cs="Arial"/>
                <w:noProof/>
                <w:webHidden/>
              </w:rPr>
            </w:r>
            <w:r w:rsidRPr="00B44D7E">
              <w:rPr>
                <w:rFonts w:ascii="Arial" w:hAnsi="Arial" w:cs="Arial"/>
                <w:noProof/>
                <w:webHidden/>
              </w:rPr>
              <w:fldChar w:fldCharType="separate"/>
            </w:r>
            <w:r w:rsidRPr="00B44D7E">
              <w:rPr>
                <w:rFonts w:ascii="Arial" w:hAnsi="Arial" w:cs="Arial"/>
                <w:noProof/>
                <w:webHidden/>
              </w:rPr>
              <w:t>10</w:t>
            </w:r>
            <w:r w:rsidRPr="00B44D7E">
              <w:rPr>
                <w:rFonts w:ascii="Arial" w:hAnsi="Arial" w:cs="Arial"/>
                <w:noProof/>
                <w:webHidden/>
              </w:rPr>
              <w:fldChar w:fldCharType="end"/>
            </w:r>
          </w:hyperlink>
        </w:p>
        <w:p w14:paraId="6D018BFB" w14:textId="77777777" w:rsidR="007C6D9A" w:rsidRPr="00B44D7E" w:rsidRDefault="007C6D9A" w:rsidP="00B44D7E">
          <w:pPr>
            <w:pStyle w:val="TOC1"/>
            <w:tabs>
              <w:tab w:val="right" w:leader="dot" w:pos="9016"/>
            </w:tabs>
            <w:spacing w:line="360" w:lineRule="auto"/>
            <w:rPr>
              <w:rFonts w:ascii="Arial" w:hAnsi="Arial" w:cs="Arial"/>
              <w:noProof/>
              <w:kern w:val="2"/>
              <w14:ligatures w14:val="standardContextual"/>
            </w:rPr>
          </w:pPr>
          <w:hyperlink w:anchor="_Toc214025288" w:history="1">
            <w:r w:rsidRPr="00B44D7E">
              <w:rPr>
                <w:rStyle w:val="Hyperlink"/>
                <w:rFonts w:ascii="Arial" w:hAnsi="Arial" w:cs="Arial"/>
                <w:noProof/>
              </w:rPr>
              <w:t>Reference List</w:t>
            </w:r>
            <w:r w:rsidRPr="00B44D7E">
              <w:rPr>
                <w:rFonts w:ascii="Arial" w:hAnsi="Arial" w:cs="Arial"/>
                <w:noProof/>
                <w:webHidden/>
              </w:rPr>
              <w:tab/>
            </w:r>
            <w:r w:rsidRPr="00B44D7E">
              <w:rPr>
                <w:rFonts w:ascii="Arial" w:hAnsi="Arial" w:cs="Arial"/>
                <w:noProof/>
                <w:webHidden/>
              </w:rPr>
              <w:fldChar w:fldCharType="begin"/>
            </w:r>
            <w:r w:rsidRPr="00B44D7E">
              <w:rPr>
                <w:rFonts w:ascii="Arial" w:hAnsi="Arial" w:cs="Arial"/>
                <w:noProof/>
                <w:webHidden/>
              </w:rPr>
              <w:instrText xml:space="preserve"> PAGEREF _Toc214025288 \h </w:instrText>
            </w:r>
            <w:r w:rsidRPr="00B44D7E">
              <w:rPr>
                <w:rFonts w:ascii="Arial" w:hAnsi="Arial" w:cs="Arial"/>
                <w:noProof/>
                <w:webHidden/>
              </w:rPr>
            </w:r>
            <w:r w:rsidRPr="00B44D7E">
              <w:rPr>
                <w:rFonts w:ascii="Arial" w:hAnsi="Arial" w:cs="Arial"/>
                <w:noProof/>
                <w:webHidden/>
              </w:rPr>
              <w:fldChar w:fldCharType="separate"/>
            </w:r>
            <w:r w:rsidRPr="00B44D7E">
              <w:rPr>
                <w:rFonts w:ascii="Arial" w:hAnsi="Arial" w:cs="Arial"/>
                <w:noProof/>
                <w:webHidden/>
              </w:rPr>
              <w:t>11</w:t>
            </w:r>
            <w:r w:rsidRPr="00B44D7E">
              <w:rPr>
                <w:rFonts w:ascii="Arial" w:hAnsi="Arial" w:cs="Arial"/>
                <w:noProof/>
                <w:webHidden/>
              </w:rPr>
              <w:fldChar w:fldCharType="end"/>
            </w:r>
          </w:hyperlink>
        </w:p>
        <w:p w14:paraId="6F6401EF" w14:textId="77777777" w:rsidR="007C6D9A" w:rsidRPr="00B44D7E" w:rsidRDefault="007C6D9A" w:rsidP="00B44D7E">
          <w:pPr>
            <w:spacing w:line="360" w:lineRule="auto"/>
            <w:rPr>
              <w:rFonts w:ascii="Arial" w:hAnsi="Arial" w:cs="Arial"/>
            </w:rPr>
          </w:pPr>
          <w:r w:rsidRPr="00B44D7E">
            <w:rPr>
              <w:rFonts w:ascii="Arial" w:hAnsi="Arial" w:cs="Arial"/>
              <w:b/>
              <w:bCs/>
              <w:noProof/>
            </w:rPr>
            <w:fldChar w:fldCharType="end"/>
          </w:r>
        </w:p>
      </w:sdtContent>
    </w:sdt>
    <w:p w14:paraId="6AAB2170" w14:textId="77777777" w:rsidR="005A48FF" w:rsidRPr="00B44D7E" w:rsidRDefault="005A48FF" w:rsidP="00B44D7E">
      <w:pPr>
        <w:spacing w:line="360" w:lineRule="auto"/>
        <w:rPr>
          <w:rFonts w:ascii="Arial" w:hAnsi="Arial" w:cs="Arial"/>
          <w:b/>
          <w:bCs/>
        </w:rPr>
      </w:pPr>
    </w:p>
    <w:p w14:paraId="422EAA04" w14:textId="77777777" w:rsidR="00C53CF7" w:rsidRPr="00B44D7E" w:rsidRDefault="00C53CF7" w:rsidP="00B44D7E">
      <w:pPr>
        <w:spacing w:line="360" w:lineRule="auto"/>
        <w:rPr>
          <w:rFonts w:ascii="Arial" w:hAnsi="Arial" w:cs="Arial"/>
          <w:b/>
          <w:bCs/>
        </w:rPr>
      </w:pPr>
    </w:p>
    <w:p w14:paraId="133D3D9D" w14:textId="77777777" w:rsidR="0037328C" w:rsidRPr="00B44D7E" w:rsidRDefault="0037328C" w:rsidP="00B44D7E">
      <w:pPr>
        <w:spacing w:line="360" w:lineRule="auto"/>
        <w:ind w:firstLine="720"/>
        <w:rPr>
          <w:rFonts w:ascii="Arial" w:hAnsi="Arial" w:cs="Arial"/>
          <w:b/>
          <w:bCs/>
        </w:rPr>
      </w:pPr>
    </w:p>
    <w:p w14:paraId="2F716190" w14:textId="77777777" w:rsidR="0037328C" w:rsidRPr="00B44D7E" w:rsidRDefault="0037328C" w:rsidP="00B44D7E">
      <w:pPr>
        <w:spacing w:line="360" w:lineRule="auto"/>
        <w:ind w:firstLine="720"/>
        <w:rPr>
          <w:rFonts w:ascii="Arial" w:hAnsi="Arial" w:cs="Arial"/>
          <w:b/>
          <w:bCs/>
        </w:rPr>
      </w:pPr>
    </w:p>
    <w:p w14:paraId="2BB8ADA0" w14:textId="77777777" w:rsidR="007C6D9A" w:rsidRPr="00B44D7E" w:rsidRDefault="007C6D9A" w:rsidP="00B44D7E">
      <w:pPr>
        <w:spacing w:line="360" w:lineRule="auto"/>
        <w:rPr>
          <w:rFonts w:ascii="Arial" w:hAnsi="Arial" w:cs="Arial"/>
          <w:b/>
          <w:bCs/>
        </w:rPr>
      </w:pPr>
    </w:p>
    <w:p w14:paraId="66E9A492" w14:textId="77777777" w:rsidR="007C6D9A" w:rsidRPr="00B44D7E" w:rsidRDefault="007C6D9A" w:rsidP="00B44D7E">
      <w:pPr>
        <w:spacing w:line="360" w:lineRule="auto"/>
        <w:rPr>
          <w:rFonts w:ascii="Arial" w:hAnsi="Arial" w:cs="Arial"/>
          <w:b/>
          <w:bCs/>
        </w:rPr>
      </w:pPr>
    </w:p>
    <w:p w14:paraId="2C5B5FE3" w14:textId="77777777" w:rsidR="007C6D9A" w:rsidRPr="00B44D7E" w:rsidRDefault="007C6D9A" w:rsidP="00B44D7E">
      <w:pPr>
        <w:spacing w:line="360" w:lineRule="auto"/>
        <w:rPr>
          <w:rFonts w:ascii="Arial" w:hAnsi="Arial" w:cs="Arial"/>
          <w:b/>
          <w:bCs/>
        </w:rPr>
      </w:pPr>
    </w:p>
    <w:p w14:paraId="487A620E" w14:textId="3A05FC9C" w:rsidR="00A85F16" w:rsidRPr="00B44D7E" w:rsidRDefault="00A85F16" w:rsidP="00EE74F5">
      <w:pPr>
        <w:spacing w:line="360" w:lineRule="auto"/>
        <w:rPr>
          <w:rFonts w:ascii="Arial" w:hAnsi="Arial" w:cs="Arial"/>
          <w:b/>
          <w:bCs/>
        </w:rPr>
      </w:pPr>
    </w:p>
    <w:p w14:paraId="139CEEF7" w14:textId="77777777" w:rsidR="00EB0074" w:rsidRDefault="00EB0074" w:rsidP="00B44D7E">
      <w:pPr>
        <w:pStyle w:val="Heading1"/>
        <w:spacing w:line="360" w:lineRule="auto"/>
        <w:ind w:firstLine="720"/>
        <w:rPr>
          <w:rFonts w:ascii="Arial" w:hAnsi="Arial" w:cs="Arial"/>
          <w:sz w:val="22"/>
          <w:szCs w:val="22"/>
        </w:rPr>
      </w:pPr>
      <w:bookmarkStart w:id="0" w:name="_Toc214025273"/>
    </w:p>
    <w:p w14:paraId="1A107DB8" w14:textId="61304391" w:rsidR="00A85F16" w:rsidRPr="00B44D7E" w:rsidRDefault="00A85F16" w:rsidP="00B44D7E">
      <w:pPr>
        <w:pStyle w:val="Heading1"/>
        <w:spacing w:line="360" w:lineRule="auto"/>
        <w:ind w:firstLine="720"/>
        <w:rPr>
          <w:rFonts w:ascii="Arial" w:hAnsi="Arial" w:cs="Arial"/>
          <w:sz w:val="22"/>
          <w:szCs w:val="22"/>
        </w:rPr>
      </w:pPr>
      <w:r w:rsidRPr="00B44D7E">
        <w:rPr>
          <w:rFonts w:ascii="Arial" w:hAnsi="Arial" w:cs="Arial"/>
          <w:sz w:val="22"/>
          <w:szCs w:val="22"/>
        </w:rPr>
        <w:t>Introduction</w:t>
      </w:r>
      <w:bookmarkEnd w:id="0"/>
    </w:p>
    <w:p w14:paraId="05B3AC07" w14:textId="6080FF94" w:rsidR="00A85F16" w:rsidRPr="00B44D7E" w:rsidRDefault="00A85F16" w:rsidP="00B44D7E">
      <w:pPr>
        <w:spacing w:line="360" w:lineRule="auto"/>
        <w:ind w:firstLine="720"/>
        <w:rPr>
          <w:rFonts w:ascii="Arial" w:hAnsi="Arial" w:cs="Arial"/>
        </w:rPr>
      </w:pPr>
      <w:r w:rsidRPr="00B44D7E">
        <w:rPr>
          <w:rFonts w:ascii="Arial" w:hAnsi="Arial" w:cs="Arial"/>
        </w:rPr>
        <w:t xml:space="preserve">The Sustainable Development Goals are a multilateral plan that aims to enhance human welfare in social, economic, and environmental sectors by the year 2030 (UNDP, 2022). Two objectives are specifically appropriate </w:t>
      </w:r>
      <w:r w:rsidR="009741B8" w:rsidRPr="00B44D7E">
        <w:rPr>
          <w:rFonts w:ascii="Arial" w:hAnsi="Arial" w:cs="Arial"/>
        </w:rPr>
        <w:t>for</w:t>
      </w:r>
      <w:r w:rsidRPr="00B44D7E">
        <w:rPr>
          <w:rFonts w:ascii="Arial" w:hAnsi="Arial" w:cs="Arial"/>
        </w:rPr>
        <w:t xml:space="preserve"> population health. Good Health and Wellbeing </w:t>
      </w:r>
      <w:r w:rsidR="009741B8" w:rsidRPr="00B44D7E">
        <w:rPr>
          <w:rFonts w:ascii="Arial" w:hAnsi="Arial" w:cs="Arial"/>
        </w:rPr>
        <w:t>prioritize</w:t>
      </w:r>
      <w:r w:rsidRPr="00B44D7E">
        <w:rPr>
          <w:rFonts w:ascii="Arial" w:hAnsi="Arial" w:cs="Arial"/>
        </w:rPr>
        <w:t xml:space="preserve"> access to effective health care, prevention, and health promotion that is universal (World Health Organization 2023). Zero Hunger is concerned with nutrition and sustainable agriculture </w:t>
      </w:r>
      <w:r w:rsidR="009741B8" w:rsidRPr="00B44D7E">
        <w:rPr>
          <w:rFonts w:ascii="Arial" w:hAnsi="Arial" w:cs="Arial"/>
        </w:rPr>
        <w:t>around</w:t>
      </w:r>
      <w:r w:rsidRPr="00B44D7E">
        <w:rPr>
          <w:rFonts w:ascii="Arial" w:hAnsi="Arial" w:cs="Arial"/>
        </w:rPr>
        <w:t xml:space="preserve"> food security. Both objectives are mutually significant as </w:t>
      </w:r>
      <w:r w:rsidR="00B44D7E" w:rsidRPr="00B44D7E">
        <w:rPr>
          <w:rFonts w:ascii="Arial" w:hAnsi="Arial" w:cs="Arial"/>
        </w:rPr>
        <w:t>nutritional</w:t>
      </w:r>
      <w:r w:rsidRPr="00B44D7E">
        <w:rPr>
          <w:rFonts w:ascii="Arial" w:hAnsi="Arial" w:cs="Arial"/>
        </w:rPr>
        <w:t xml:space="preserve"> status affects physical and mental health outcomes, and since the performance of the health systems has an impact on the ability of the populations to access food systems (Ghosh., 2023). This report presents a brief explanation of each of the goals and proceeds to look at the modern global, national, and community programs that deal with mental health and food security.</w:t>
      </w:r>
    </w:p>
    <w:p w14:paraId="58DB3426" w14:textId="4DF990D9" w:rsidR="00A85F16" w:rsidRPr="00B44D7E" w:rsidRDefault="00A85F16" w:rsidP="00B44D7E">
      <w:pPr>
        <w:spacing w:line="360" w:lineRule="auto"/>
        <w:ind w:firstLine="720"/>
        <w:rPr>
          <w:rFonts w:ascii="Arial" w:hAnsi="Arial" w:cs="Arial"/>
        </w:rPr>
      </w:pPr>
      <w:r w:rsidRPr="00B44D7E">
        <w:rPr>
          <w:rFonts w:ascii="Arial" w:hAnsi="Arial" w:cs="Arial"/>
        </w:rPr>
        <w:t xml:space="preserve"> The analysis follows the theoretical aspect to evaluate implementation and impact. Mental health initiatives are implemented with the help of the Health Belief Model to investigate the role of perception and action cues in influencing </w:t>
      </w:r>
      <w:r w:rsidR="00436D05" w:rsidRPr="00B44D7E">
        <w:rPr>
          <w:rFonts w:ascii="Arial" w:hAnsi="Arial" w:cs="Arial"/>
        </w:rPr>
        <w:t>help-seeking</w:t>
      </w:r>
      <w:r w:rsidRPr="00B44D7E">
        <w:rPr>
          <w:rFonts w:ascii="Arial" w:hAnsi="Arial" w:cs="Arial"/>
        </w:rPr>
        <w:t xml:space="preserve">. The Social Cognitive Theory is used to address food and agriculture projects to investigate how modelling self-efficacy and environmental supports can alter dietary </w:t>
      </w:r>
      <w:r w:rsidR="00436D05" w:rsidRPr="00B44D7E">
        <w:rPr>
          <w:rFonts w:ascii="Arial" w:hAnsi="Arial" w:cs="Arial"/>
        </w:rPr>
        <w:t>behavior</w:t>
      </w:r>
      <w:r w:rsidRPr="00B44D7E">
        <w:rPr>
          <w:rFonts w:ascii="Arial" w:hAnsi="Arial" w:cs="Arial"/>
        </w:rPr>
        <w:t xml:space="preserve"> and food access (</w:t>
      </w:r>
      <w:r w:rsidR="005A48FF" w:rsidRPr="00B44D7E">
        <w:rPr>
          <w:rFonts w:ascii="Arial" w:hAnsi="Arial" w:cs="Arial"/>
        </w:rPr>
        <w:t>Hirvonen et al.</w:t>
      </w:r>
      <w:r w:rsidRPr="00B44D7E">
        <w:rPr>
          <w:rFonts w:ascii="Arial" w:hAnsi="Arial" w:cs="Arial"/>
        </w:rPr>
        <w:t>, 202</w:t>
      </w:r>
      <w:r w:rsidR="005A48FF" w:rsidRPr="00B44D7E">
        <w:rPr>
          <w:rFonts w:ascii="Arial" w:hAnsi="Arial" w:cs="Arial"/>
        </w:rPr>
        <w:t>3</w:t>
      </w:r>
      <w:r w:rsidRPr="00B44D7E">
        <w:rPr>
          <w:rFonts w:ascii="Arial" w:hAnsi="Arial" w:cs="Arial"/>
        </w:rPr>
        <w:t>). This report builds on the current peer-reviewed evidence and other credible global reports to find the shortcomings, victories, and policy-relevant suggestions. The discussion is based on the global, national, and local perspectives, outlining the accomplishments and the constraints in addition to offering evidence-based recommendations.</w:t>
      </w:r>
    </w:p>
    <w:p w14:paraId="6C6C8B11" w14:textId="77777777" w:rsidR="00A85F16" w:rsidRPr="00B44D7E" w:rsidRDefault="00A85F16" w:rsidP="00B44D7E">
      <w:pPr>
        <w:pStyle w:val="Heading1"/>
        <w:spacing w:line="360" w:lineRule="auto"/>
        <w:ind w:firstLine="720"/>
        <w:rPr>
          <w:rFonts w:ascii="Arial" w:hAnsi="Arial" w:cs="Arial"/>
          <w:sz w:val="22"/>
          <w:szCs w:val="22"/>
        </w:rPr>
      </w:pPr>
      <w:bookmarkStart w:id="1" w:name="_Toc214025274"/>
      <w:r w:rsidRPr="00B44D7E">
        <w:rPr>
          <w:rFonts w:ascii="Arial" w:hAnsi="Arial" w:cs="Arial"/>
          <w:sz w:val="22"/>
          <w:szCs w:val="22"/>
        </w:rPr>
        <w:t>SDG 3: Good Health and Well-being</w:t>
      </w:r>
      <w:bookmarkEnd w:id="1"/>
    </w:p>
    <w:p w14:paraId="1B1FEF48" w14:textId="77777777" w:rsidR="00A85F16" w:rsidRPr="00B44D7E" w:rsidRDefault="00A85F16" w:rsidP="00B44D7E">
      <w:pPr>
        <w:spacing w:line="360" w:lineRule="auto"/>
        <w:ind w:firstLine="720"/>
        <w:rPr>
          <w:rFonts w:ascii="Arial" w:hAnsi="Arial" w:cs="Arial"/>
        </w:rPr>
      </w:pPr>
      <w:r w:rsidRPr="00B44D7E">
        <w:rPr>
          <w:rFonts w:ascii="Arial" w:hAnsi="Arial" w:cs="Arial"/>
        </w:rPr>
        <w:t xml:space="preserve">This objective aims at a sustainable and healthy life, as well as enhancing well-being in any age </w:t>
      </w:r>
      <w:r w:rsidR="00C53CF7" w:rsidRPr="00B44D7E">
        <w:rPr>
          <w:rFonts w:ascii="Arial" w:hAnsi="Arial" w:cs="Arial"/>
        </w:rPr>
        <w:t>group (</w:t>
      </w:r>
      <w:r w:rsidR="00C61A1D" w:rsidRPr="00B44D7E">
        <w:rPr>
          <w:rFonts w:ascii="Arial" w:hAnsi="Arial" w:cs="Arial"/>
        </w:rPr>
        <w:t>Cooper</w:t>
      </w:r>
      <w:r w:rsidR="006D2AA3" w:rsidRPr="00B44D7E">
        <w:rPr>
          <w:rFonts w:ascii="Arial" w:hAnsi="Arial" w:cs="Arial"/>
        </w:rPr>
        <w:t xml:space="preserve"> et al., 202</w:t>
      </w:r>
      <w:r w:rsidR="00C61A1D" w:rsidRPr="00B44D7E">
        <w:rPr>
          <w:rFonts w:ascii="Arial" w:hAnsi="Arial" w:cs="Arial"/>
        </w:rPr>
        <w:t>4</w:t>
      </w:r>
      <w:r w:rsidR="006D2AA3" w:rsidRPr="00B44D7E">
        <w:rPr>
          <w:rFonts w:ascii="Arial" w:hAnsi="Arial" w:cs="Arial"/>
        </w:rPr>
        <w:t>)</w:t>
      </w:r>
      <w:r w:rsidRPr="00B44D7E">
        <w:rPr>
          <w:rFonts w:ascii="Arial" w:hAnsi="Arial" w:cs="Arial"/>
        </w:rPr>
        <w:t>. Mental health, specifically, has become an issue of growing concern in the global arena as anxiety, depression, and post-pandemic distress become more prevalent.</w:t>
      </w:r>
    </w:p>
    <w:p w14:paraId="332B6A69" w14:textId="7BA0F4CB" w:rsidR="00A85F16" w:rsidRPr="00B44D7E" w:rsidRDefault="00A85F16" w:rsidP="00B44D7E">
      <w:pPr>
        <w:pStyle w:val="Heading2"/>
        <w:spacing w:line="360" w:lineRule="auto"/>
        <w:ind w:firstLine="720"/>
        <w:rPr>
          <w:rFonts w:ascii="Arial" w:hAnsi="Arial" w:cs="Arial"/>
          <w:sz w:val="22"/>
          <w:szCs w:val="22"/>
        </w:rPr>
      </w:pPr>
      <w:bookmarkStart w:id="2" w:name="_Toc214025275"/>
      <w:r w:rsidRPr="00B44D7E">
        <w:rPr>
          <w:rFonts w:ascii="Arial" w:hAnsi="Arial" w:cs="Arial"/>
          <w:sz w:val="22"/>
          <w:szCs w:val="22"/>
        </w:rPr>
        <w:t>Global</w:t>
      </w:r>
      <w:r w:rsidR="00EE74F5">
        <w:rPr>
          <w:rFonts w:ascii="Arial" w:hAnsi="Arial" w:cs="Arial"/>
          <w:sz w:val="22"/>
          <w:szCs w:val="22"/>
        </w:rPr>
        <w:t>,</w:t>
      </w:r>
      <w:r w:rsidRPr="00B44D7E">
        <w:rPr>
          <w:rFonts w:ascii="Arial" w:hAnsi="Arial" w:cs="Arial"/>
          <w:sz w:val="22"/>
          <w:szCs w:val="22"/>
        </w:rPr>
        <w:t xml:space="preserve"> </w:t>
      </w:r>
      <w:r w:rsidR="00EE74F5">
        <w:rPr>
          <w:rFonts w:ascii="Arial" w:hAnsi="Arial" w:cs="Arial"/>
          <w:sz w:val="22"/>
          <w:szCs w:val="22"/>
        </w:rPr>
        <w:t xml:space="preserve">National and Local </w:t>
      </w:r>
      <w:r w:rsidRPr="00B44D7E">
        <w:rPr>
          <w:rFonts w:ascii="Arial" w:hAnsi="Arial" w:cs="Arial"/>
          <w:sz w:val="22"/>
          <w:szCs w:val="22"/>
        </w:rPr>
        <w:t>Initiatives</w:t>
      </w:r>
      <w:bookmarkEnd w:id="2"/>
    </w:p>
    <w:p w14:paraId="239DFC0A" w14:textId="77777777" w:rsidR="00A85F16" w:rsidRPr="00B44D7E" w:rsidRDefault="00A85F16" w:rsidP="00B44D7E">
      <w:pPr>
        <w:spacing w:line="360" w:lineRule="auto"/>
        <w:ind w:firstLine="720"/>
        <w:rPr>
          <w:rFonts w:ascii="Arial" w:hAnsi="Arial" w:cs="Arial"/>
        </w:rPr>
      </w:pPr>
      <w:r w:rsidRPr="00B44D7E">
        <w:rPr>
          <w:rFonts w:ascii="Arial" w:hAnsi="Arial" w:cs="Arial"/>
        </w:rPr>
        <w:t xml:space="preserve">The Mental Health Action Plan (2023) by the World Health Organization (WHO) is a global initiative that enhances universal access to quality mental health care and emphasizes equity, reduction of stigma, and community-based interventions. </w:t>
      </w:r>
      <w:r w:rsidR="005A48FF" w:rsidRPr="00B44D7E">
        <w:rPr>
          <w:rFonts w:ascii="Arial" w:hAnsi="Arial" w:cs="Arial"/>
        </w:rPr>
        <w:t>Giebel</w:t>
      </w:r>
      <w:r w:rsidRPr="00B44D7E">
        <w:rPr>
          <w:rFonts w:ascii="Arial" w:hAnsi="Arial" w:cs="Arial"/>
        </w:rPr>
        <w:t xml:space="preserve"> et al. (2022) indicate that such </w:t>
      </w:r>
      <w:proofErr w:type="spellStart"/>
      <w:r w:rsidRPr="00B44D7E">
        <w:rPr>
          <w:rFonts w:ascii="Arial" w:hAnsi="Arial" w:cs="Arial"/>
        </w:rPr>
        <w:t>programmes</w:t>
      </w:r>
      <w:proofErr w:type="spellEnd"/>
      <w:r w:rsidRPr="00B44D7E">
        <w:rPr>
          <w:rFonts w:ascii="Arial" w:hAnsi="Arial" w:cs="Arial"/>
        </w:rPr>
        <w:t xml:space="preserve"> have greatly advanced awareness of mental health services in countries with low and middle incomes. Nonetheless, funding and digital access gaps continue to be a problematic issue.</w:t>
      </w:r>
    </w:p>
    <w:p w14:paraId="7EDAC074" w14:textId="234D58F5" w:rsidR="00A85F16" w:rsidRPr="00B44D7E" w:rsidRDefault="00A85F16" w:rsidP="00B44D7E">
      <w:pPr>
        <w:pStyle w:val="Heading2"/>
        <w:spacing w:line="360" w:lineRule="auto"/>
        <w:ind w:firstLine="720"/>
        <w:rPr>
          <w:rFonts w:ascii="Arial" w:hAnsi="Arial" w:cs="Arial"/>
          <w:sz w:val="22"/>
          <w:szCs w:val="22"/>
        </w:rPr>
      </w:pPr>
    </w:p>
    <w:p w14:paraId="29162484" w14:textId="73518348" w:rsidR="00A85F16" w:rsidRPr="00B44D7E" w:rsidRDefault="00A85F16" w:rsidP="00B44D7E">
      <w:pPr>
        <w:spacing w:line="360" w:lineRule="auto"/>
        <w:ind w:firstLine="720"/>
        <w:rPr>
          <w:rFonts w:ascii="Arial" w:hAnsi="Arial" w:cs="Arial"/>
        </w:rPr>
      </w:pPr>
      <w:r w:rsidRPr="00B44D7E">
        <w:rPr>
          <w:rFonts w:ascii="Arial" w:hAnsi="Arial" w:cs="Arial"/>
        </w:rPr>
        <w:t xml:space="preserve">On the national front, Every Mind Matters is a campaign on mental health, which is run by NHS England (2023) and Public Health England (2022) to empower individuals to address mental health more proactively by using digital resources and educating the population. The initiative demonstrates the Health Belief Model (HBM) that describes how the perception of susceptibility, severity, benefits, and barriers to health </w:t>
      </w:r>
      <w:r w:rsidR="004C4BE7" w:rsidRPr="00B44D7E">
        <w:rPr>
          <w:rFonts w:ascii="Arial" w:hAnsi="Arial" w:cs="Arial"/>
        </w:rPr>
        <w:t>behaviors</w:t>
      </w:r>
      <w:r w:rsidRPr="00B44D7E">
        <w:rPr>
          <w:rFonts w:ascii="Arial" w:hAnsi="Arial" w:cs="Arial"/>
        </w:rPr>
        <w:t xml:space="preserve"> affects the latter. Every Mind Matters boosts self-efficacy, which is one of the constructs of HBM, by increasing knowledge and perceived control (</w:t>
      </w:r>
      <w:r w:rsidR="00C61A1D" w:rsidRPr="00B44D7E">
        <w:rPr>
          <w:rFonts w:ascii="Arial" w:hAnsi="Arial" w:cs="Arial"/>
        </w:rPr>
        <w:t>Cooper</w:t>
      </w:r>
      <w:r w:rsidRPr="00B44D7E">
        <w:rPr>
          <w:rFonts w:ascii="Arial" w:hAnsi="Arial" w:cs="Arial"/>
        </w:rPr>
        <w:t xml:space="preserve"> et al., 202</w:t>
      </w:r>
      <w:r w:rsidR="00C61A1D" w:rsidRPr="00B44D7E">
        <w:rPr>
          <w:rFonts w:ascii="Arial" w:hAnsi="Arial" w:cs="Arial"/>
        </w:rPr>
        <w:t>4</w:t>
      </w:r>
      <w:r w:rsidRPr="00B44D7E">
        <w:rPr>
          <w:rFonts w:ascii="Arial" w:hAnsi="Arial" w:cs="Arial"/>
        </w:rPr>
        <w:t>). Digital exclusion and social stigma are obstacles to engagement, even though they have proved to be successful in raising awareness.</w:t>
      </w:r>
    </w:p>
    <w:p w14:paraId="5183B7E4" w14:textId="11DAF541" w:rsidR="00A85F16" w:rsidRPr="00B44D7E" w:rsidRDefault="00A85F16" w:rsidP="00B44D7E">
      <w:pPr>
        <w:pStyle w:val="Heading2"/>
        <w:spacing w:line="360" w:lineRule="auto"/>
        <w:ind w:firstLine="720"/>
        <w:rPr>
          <w:rFonts w:ascii="Arial" w:hAnsi="Arial" w:cs="Arial"/>
          <w:sz w:val="22"/>
          <w:szCs w:val="22"/>
        </w:rPr>
      </w:pPr>
    </w:p>
    <w:p w14:paraId="45327ACC" w14:textId="387ECC33" w:rsidR="00A85F16" w:rsidRPr="00B44D7E" w:rsidRDefault="00A85F16" w:rsidP="00B44D7E">
      <w:pPr>
        <w:spacing w:line="360" w:lineRule="auto"/>
        <w:ind w:firstLine="720"/>
        <w:rPr>
          <w:rFonts w:ascii="Arial" w:hAnsi="Arial" w:cs="Arial"/>
        </w:rPr>
      </w:pPr>
      <w:r w:rsidRPr="00B44D7E">
        <w:rPr>
          <w:rFonts w:ascii="Arial" w:hAnsi="Arial" w:cs="Arial"/>
        </w:rPr>
        <w:t>Locally, the example of the campaign of Full of Beans, developed by Birmingham City Council, shows how HBM can be applied to advocating mental health and nutrition education to people living in the community</w:t>
      </w:r>
      <w:r w:rsidR="007C6D9A" w:rsidRPr="00B44D7E">
        <w:rPr>
          <w:rFonts w:ascii="Arial" w:hAnsi="Arial" w:cs="Arial"/>
        </w:rPr>
        <w:t xml:space="preserve"> (Priebe et al., 2022)</w:t>
      </w:r>
      <w:r w:rsidRPr="00B44D7E">
        <w:rPr>
          <w:rFonts w:ascii="Arial" w:hAnsi="Arial" w:cs="Arial"/>
        </w:rPr>
        <w:t>. The program is aimed at promoting healthy lifestyle changes by providing interactive workshops, mental health talks, and available well-being services (Birmingham City Council</w:t>
      </w:r>
      <w:r w:rsidR="00C53CF7" w:rsidRPr="00B44D7E">
        <w:rPr>
          <w:rFonts w:ascii="Arial" w:hAnsi="Arial" w:cs="Arial"/>
        </w:rPr>
        <w:t>)</w:t>
      </w:r>
      <w:r w:rsidRPr="00B44D7E">
        <w:rPr>
          <w:rFonts w:ascii="Arial" w:hAnsi="Arial" w:cs="Arial"/>
        </w:rPr>
        <w:t xml:space="preserve">. It shows the role of perceived benefits and community support in the </w:t>
      </w:r>
      <w:r w:rsidR="0015143C" w:rsidRPr="00B44D7E">
        <w:rPr>
          <w:rFonts w:ascii="Arial" w:hAnsi="Arial" w:cs="Arial"/>
        </w:rPr>
        <w:t>behavior</w:t>
      </w:r>
      <w:r w:rsidRPr="00B44D7E">
        <w:rPr>
          <w:rFonts w:ascii="Arial" w:hAnsi="Arial" w:cs="Arial"/>
        </w:rPr>
        <w:t xml:space="preserve"> change at the grassroots level. Nonetheless, according to </w:t>
      </w:r>
      <w:r w:rsidR="002F0385" w:rsidRPr="00B44D7E">
        <w:rPr>
          <w:rFonts w:ascii="Arial" w:hAnsi="Arial" w:cs="Arial"/>
        </w:rPr>
        <w:t>Barker</w:t>
      </w:r>
      <w:r w:rsidRPr="00B44D7E">
        <w:rPr>
          <w:rFonts w:ascii="Arial" w:hAnsi="Arial" w:cs="Arial"/>
        </w:rPr>
        <w:t xml:space="preserve"> et al. (202</w:t>
      </w:r>
      <w:r w:rsidR="002F0385" w:rsidRPr="00B44D7E">
        <w:rPr>
          <w:rFonts w:ascii="Arial" w:hAnsi="Arial" w:cs="Arial"/>
        </w:rPr>
        <w:t>5</w:t>
      </w:r>
      <w:r w:rsidRPr="00B44D7E">
        <w:rPr>
          <w:rFonts w:ascii="Arial" w:hAnsi="Arial" w:cs="Arial"/>
        </w:rPr>
        <w:t>), the effect of such local program is lower due to resource limitations and limited outreach.</w:t>
      </w:r>
    </w:p>
    <w:p w14:paraId="3C9DBD33" w14:textId="77777777" w:rsidR="00A85F16" w:rsidRPr="00B44D7E" w:rsidRDefault="00A85F16" w:rsidP="00B44D7E">
      <w:pPr>
        <w:pStyle w:val="Heading2"/>
        <w:spacing w:line="360" w:lineRule="auto"/>
        <w:ind w:firstLine="720"/>
        <w:rPr>
          <w:rFonts w:ascii="Arial" w:hAnsi="Arial" w:cs="Arial"/>
          <w:sz w:val="22"/>
          <w:szCs w:val="22"/>
        </w:rPr>
      </w:pPr>
      <w:bookmarkStart w:id="3" w:name="_Toc214025278"/>
      <w:r w:rsidRPr="00B44D7E">
        <w:rPr>
          <w:rFonts w:ascii="Arial" w:hAnsi="Arial" w:cs="Arial"/>
          <w:sz w:val="22"/>
          <w:szCs w:val="22"/>
        </w:rPr>
        <w:t>Critical Analysis based on HBM</w:t>
      </w:r>
      <w:bookmarkEnd w:id="3"/>
    </w:p>
    <w:p w14:paraId="0A70263F" w14:textId="3C55DEB6" w:rsidR="00984B52" w:rsidRPr="00B44D7E" w:rsidRDefault="00EE74F5" w:rsidP="00B44D7E">
      <w:pPr>
        <w:spacing w:line="360" w:lineRule="auto"/>
        <w:ind w:firstLine="720"/>
        <w:rPr>
          <w:rFonts w:ascii="Arial" w:hAnsi="Arial" w:cs="Arial"/>
        </w:rPr>
      </w:pPr>
      <w:r w:rsidRPr="00B44D7E">
        <w:rPr>
          <w:rFonts w:ascii="Arial" w:hAnsi="Arial" w:cs="Arial"/>
        </w:rPr>
        <w:t>HBM</w:t>
      </w:r>
      <w:r w:rsidR="00A85F16" w:rsidRPr="00B44D7E">
        <w:rPr>
          <w:rFonts w:ascii="Arial" w:hAnsi="Arial" w:cs="Arial"/>
        </w:rPr>
        <w:t xml:space="preserve"> is a good model to explain </w:t>
      </w:r>
      <w:r w:rsidR="0015143C" w:rsidRPr="00B44D7E">
        <w:rPr>
          <w:rFonts w:ascii="Arial" w:hAnsi="Arial" w:cs="Arial"/>
        </w:rPr>
        <w:t>behavioral</w:t>
      </w:r>
      <w:r w:rsidR="00A85F16" w:rsidRPr="00B44D7E">
        <w:rPr>
          <w:rFonts w:ascii="Arial" w:hAnsi="Arial" w:cs="Arial"/>
        </w:rPr>
        <w:t xml:space="preserve"> intentions in such initiatives. Indicatively, people involved in Every Mind Matters campaign tend to mention positive changes in terms of being able to control mental health issues (</w:t>
      </w:r>
      <w:r w:rsidR="005A48FF" w:rsidRPr="00B44D7E">
        <w:rPr>
          <w:rFonts w:ascii="Arial" w:hAnsi="Arial" w:cs="Arial"/>
        </w:rPr>
        <w:t>Barnett</w:t>
      </w:r>
      <w:r w:rsidR="00A85F16" w:rsidRPr="00B44D7E">
        <w:rPr>
          <w:rFonts w:ascii="Arial" w:hAnsi="Arial" w:cs="Arial"/>
        </w:rPr>
        <w:t xml:space="preserve"> et al., 2022). On the same note, the participants of Full of Beans in Birmingham are more motivated through the encouragement of the community. However, these two instances demonstrate that the individual-oriented theory cannot effectively solve the structural problem of inequality in healthcare and socioeconomic deprivation. Therefore, although </w:t>
      </w:r>
      <w:r w:rsidR="0015143C" w:rsidRPr="00B44D7E">
        <w:rPr>
          <w:rFonts w:ascii="Arial" w:hAnsi="Arial" w:cs="Arial"/>
        </w:rPr>
        <w:t>HBM</w:t>
      </w:r>
      <w:r w:rsidR="00A85F16" w:rsidRPr="00B44D7E">
        <w:rPr>
          <w:rFonts w:ascii="Arial" w:hAnsi="Arial" w:cs="Arial"/>
        </w:rPr>
        <w:t xml:space="preserve"> can give a solid framework to explain health-related decision making, it needs to be complemented with policy-level interventions that cover more social determinants.</w:t>
      </w:r>
    </w:p>
    <w:p w14:paraId="0B77F4C4" w14:textId="77777777" w:rsidR="00984B52" w:rsidRPr="00B44D7E" w:rsidRDefault="00984B52" w:rsidP="00B44D7E">
      <w:pPr>
        <w:pStyle w:val="Heading3"/>
        <w:spacing w:line="360" w:lineRule="auto"/>
        <w:ind w:firstLine="720"/>
        <w:rPr>
          <w:rFonts w:ascii="Arial" w:hAnsi="Arial" w:cs="Arial"/>
          <w:b/>
          <w:bCs/>
          <w:sz w:val="22"/>
          <w:szCs w:val="22"/>
        </w:rPr>
      </w:pPr>
      <w:bookmarkStart w:id="4" w:name="_Toc214025279"/>
      <w:r w:rsidRPr="00B44D7E">
        <w:rPr>
          <w:rFonts w:ascii="Arial" w:hAnsi="Arial" w:cs="Arial"/>
          <w:b/>
          <w:bCs/>
          <w:sz w:val="22"/>
          <w:szCs w:val="22"/>
        </w:rPr>
        <w:t>Recommendations</w:t>
      </w:r>
      <w:bookmarkEnd w:id="4"/>
    </w:p>
    <w:p w14:paraId="13F5A752" w14:textId="17A8689E" w:rsidR="00984B52" w:rsidRPr="00B44D7E" w:rsidRDefault="00984B52" w:rsidP="00B44D7E">
      <w:pPr>
        <w:spacing w:line="360" w:lineRule="auto"/>
        <w:ind w:firstLine="720"/>
        <w:rPr>
          <w:rFonts w:ascii="Arial" w:hAnsi="Arial" w:cs="Arial"/>
        </w:rPr>
      </w:pPr>
      <w:r w:rsidRPr="00B44D7E">
        <w:rPr>
          <w:rFonts w:ascii="Arial" w:hAnsi="Arial" w:cs="Arial"/>
        </w:rPr>
        <w:t xml:space="preserve">Enhance fair access by prioritizing investment and workforce allocation. Governments and health systems must allocate funding to increase the number of community mental health teams in underserved regions and implement mobile outreach teams to reach populations with transportation restrictions. The implementation steps will involve the need-based mapping of the workforce, </w:t>
      </w:r>
      <w:r w:rsidR="0015143C" w:rsidRPr="00B44D7E">
        <w:rPr>
          <w:rFonts w:ascii="Arial" w:hAnsi="Arial" w:cs="Arial"/>
        </w:rPr>
        <w:t>prioritizing</w:t>
      </w:r>
      <w:r w:rsidRPr="00B44D7E">
        <w:rPr>
          <w:rFonts w:ascii="Arial" w:hAnsi="Arial" w:cs="Arial"/>
        </w:rPr>
        <w:t xml:space="preserve"> recruitment and retention incentives for clinicians in deprived localities, and funding mobile multidisciplinary teams that can offer assessments, brief </w:t>
      </w:r>
      <w:r w:rsidRPr="00B44D7E">
        <w:rPr>
          <w:rFonts w:ascii="Arial" w:hAnsi="Arial" w:cs="Arial"/>
        </w:rPr>
        <w:lastRenderedPageBreak/>
        <w:t>interventions, and referrals. The desired results are fewer waiting times, higher uptake in hard-to-reach groups, and better continuity of care, which will be measured by equity-sensitive indicators such as service uptake by ethnicity, socioeconomic status, and rurality.</w:t>
      </w:r>
    </w:p>
    <w:p w14:paraId="5220BD65" w14:textId="19F94DB1" w:rsidR="00984B52" w:rsidRPr="00B44D7E" w:rsidRDefault="00570559" w:rsidP="00B44D7E">
      <w:pPr>
        <w:spacing w:line="360" w:lineRule="auto"/>
        <w:ind w:firstLine="720"/>
        <w:rPr>
          <w:rFonts w:ascii="Arial" w:hAnsi="Arial" w:cs="Arial"/>
        </w:rPr>
      </w:pPr>
      <w:r w:rsidRPr="00B44D7E">
        <w:rPr>
          <w:rFonts w:ascii="Arial" w:hAnsi="Arial" w:cs="Arial"/>
        </w:rPr>
        <w:t xml:space="preserve">Secondly, </w:t>
      </w:r>
      <w:r w:rsidR="00984B52" w:rsidRPr="00B44D7E">
        <w:rPr>
          <w:rFonts w:ascii="Arial" w:hAnsi="Arial" w:cs="Arial"/>
        </w:rPr>
        <w:t xml:space="preserve">Incorporate Health Belief Model guided communication with structural supports. Formal referral pathways should be established to connect campaign activities, such as Every Mind Matters, with local community hubs that offer initial appointments, translation services, and access to digital services at low costs or for free. The steps of implementation can be formulating service level agreements between national campaign providers and local commissioners who develop </w:t>
      </w:r>
      <w:r w:rsidR="0015143C" w:rsidRPr="00B44D7E">
        <w:rPr>
          <w:rFonts w:ascii="Arial" w:hAnsi="Arial" w:cs="Arial"/>
        </w:rPr>
        <w:t>standardized</w:t>
      </w:r>
      <w:r w:rsidR="00984B52" w:rsidRPr="00B44D7E">
        <w:rPr>
          <w:rFonts w:ascii="Arial" w:hAnsi="Arial" w:cs="Arial"/>
        </w:rPr>
        <w:t xml:space="preserve"> pathways of referral and training community champions to deliver culturally adjusted lived experience narratives</w:t>
      </w:r>
      <w:r w:rsidR="005A48FF" w:rsidRPr="00B44D7E">
        <w:rPr>
          <w:rFonts w:ascii="Arial" w:hAnsi="Arial" w:cs="Arial"/>
        </w:rPr>
        <w:t xml:space="preserve"> (Brooks et al., 2023)</w:t>
      </w:r>
      <w:r w:rsidR="00984B52" w:rsidRPr="00B44D7E">
        <w:rPr>
          <w:rFonts w:ascii="Arial" w:hAnsi="Arial" w:cs="Arial"/>
        </w:rPr>
        <w:t>. The reason is that it occurs when the perceived benefits are high and accompanied by cues to action, which help translate help-seeking behavior. Outcome measures need to monitor campaign engagement for the first assessment and retention at three and six months.</w:t>
      </w:r>
    </w:p>
    <w:p w14:paraId="4D0EA5E8" w14:textId="1683DA7B" w:rsidR="00984B52" w:rsidRPr="00B44D7E" w:rsidRDefault="00570559" w:rsidP="00B44D7E">
      <w:pPr>
        <w:spacing w:line="360" w:lineRule="auto"/>
        <w:ind w:firstLine="720"/>
        <w:rPr>
          <w:rFonts w:ascii="Arial" w:hAnsi="Arial" w:cs="Arial"/>
        </w:rPr>
      </w:pPr>
      <w:r w:rsidRPr="00B44D7E">
        <w:rPr>
          <w:rFonts w:ascii="Arial" w:hAnsi="Arial" w:cs="Arial"/>
        </w:rPr>
        <w:t xml:space="preserve">Also, </w:t>
      </w:r>
      <w:r w:rsidR="0015143C" w:rsidRPr="00B44D7E">
        <w:rPr>
          <w:rFonts w:ascii="Arial" w:hAnsi="Arial" w:cs="Arial"/>
        </w:rPr>
        <w:t>standardize</w:t>
      </w:r>
      <w:r w:rsidR="00984B52" w:rsidRPr="00B44D7E">
        <w:rPr>
          <w:rFonts w:ascii="Arial" w:hAnsi="Arial" w:cs="Arial"/>
        </w:rPr>
        <w:t xml:space="preserve"> equity monitoring and outcome measurement. The minimum dataset in mental health programs that should be adopted by commissioners entails a combination of validated symptom scales, such as PHQ-9 and GAD-7, with equity indicators and service experience measures. The implementation includes nationally adopted data standards, obligatory reporting of funded </w:t>
      </w:r>
      <w:r w:rsidR="0015143C" w:rsidRPr="00B44D7E">
        <w:rPr>
          <w:rFonts w:ascii="Arial" w:hAnsi="Arial" w:cs="Arial"/>
        </w:rPr>
        <w:t>programmers</w:t>
      </w:r>
      <w:r w:rsidR="00984B52" w:rsidRPr="00B44D7E">
        <w:rPr>
          <w:rFonts w:ascii="Arial" w:hAnsi="Arial" w:cs="Arial"/>
        </w:rPr>
        <w:t>, and investment in local data infrastructure and data analysis capability</w:t>
      </w:r>
      <w:r w:rsidR="0037328C" w:rsidRPr="00B44D7E">
        <w:rPr>
          <w:rFonts w:ascii="Arial" w:hAnsi="Arial" w:cs="Arial"/>
        </w:rPr>
        <w:t xml:space="preserve"> (Burnett et al., 2023)</w:t>
      </w:r>
      <w:r w:rsidR="00984B52" w:rsidRPr="00B44D7E">
        <w:rPr>
          <w:rFonts w:ascii="Arial" w:hAnsi="Arial" w:cs="Arial"/>
        </w:rPr>
        <w:t>. This will enable a strong assessment of the clinical impact differences among the subgroups and the long-term sustainability of community-based solutions.</w:t>
      </w:r>
      <w:r w:rsidR="0037328C" w:rsidRPr="00B44D7E">
        <w:rPr>
          <w:rFonts w:ascii="Arial" w:hAnsi="Arial" w:cs="Arial"/>
        </w:rPr>
        <w:t xml:space="preserve"> </w:t>
      </w:r>
      <w:r w:rsidR="00984B52" w:rsidRPr="00B44D7E">
        <w:rPr>
          <w:rFonts w:ascii="Arial" w:hAnsi="Arial" w:cs="Arial"/>
        </w:rPr>
        <w:t>Scale co-production and diversification of the workforce. Increase investment in peer working positions and offer approved training opportunities that would allow peers to provide psychosocial interventions under supervision</w:t>
      </w:r>
      <w:r w:rsidR="0037328C" w:rsidRPr="00B44D7E">
        <w:rPr>
          <w:rFonts w:ascii="Arial" w:hAnsi="Arial" w:cs="Arial"/>
        </w:rPr>
        <w:t xml:space="preserve"> (Lee et al., 2023)</w:t>
      </w:r>
      <w:r w:rsidR="00984B52" w:rsidRPr="00B44D7E">
        <w:rPr>
          <w:rFonts w:ascii="Arial" w:hAnsi="Arial" w:cs="Arial"/>
        </w:rPr>
        <w:t>. It would involve having national frameworks for peer roles, competency-based training, and stable commissioning streams. The anticipated gains include enhanced cultural competency, increased trust, and better interaction, especially among marginalized communities.</w:t>
      </w:r>
    </w:p>
    <w:p w14:paraId="45FF836E" w14:textId="77777777" w:rsidR="00A85F16" w:rsidRPr="00B44D7E" w:rsidRDefault="00A85F16" w:rsidP="00B44D7E">
      <w:pPr>
        <w:pStyle w:val="Heading1"/>
        <w:spacing w:line="360" w:lineRule="auto"/>
        <w:rPr>
          <w:rFonts w:ascii="Arial" w:hAnsi="Arial" w:cs="Arial"/>
          <w:sz w:val="22"/>
          <w:szCs w:val="22"/>
        </w:rPr>
      </w:pPr>
      <w:bookmarkStart w:id="5" w:name="_Toc214025280"/>
      <w:r w:rsidRPr="00B44D7E">
        <w:rPr>
          <w:rFonts w:ascii="Arial" w:hAnsi="Arial" w:cs="Arial"/>
          <w:sz w:val="22"/>
          <w:szCs w:val="22"/>
        </w:rPr>
        <w:t>SDG 2: Zero Hunger</w:t>
      </w:r>
      <w:bookmarkEnd w:id="5"/>
    </w:p>
    <w:p w14:paraId="7661FE1B" w14:textId="0B7ED7EE" w:rsidR="00A85F16" w:rsidRPr="00B44D7E" w:rsidRDefault="00A85F16" w:rsidP="00B44D7E">
      <w:pPr>
        <w:spacing w:line="360" w:lineRule="auto"/>
        <w:ind w:firstLine="720"/>
        <w:rPr>
          <w:rFonts w:ascii="Arial" w:hAnsi="Arial" w:cs="Arial"/>
        </w:rPr>
      </w:pPr>
      <w:r w:rsidRPr="00B44D7E">
        <w:rPr>
          <w:rFonts w:ascii="Arial" w:hAnsi="Arial" w:cs="Arial"/>
        </w:rPr>
        <w:t>The aim of this is to stop hunger and embrace sustainable agriculture by way of fair food systems</w:t>
      </w:r>
      <w:r w:rsidR="006D2AA3" w:rsidRPr="00B44D7E">
        <w:rPr>
          <w:rFonts w:ascii="Arial" w:hAnsi="Arial" w:cs="Arial"/>
        </w:rPr>
        <w:t xml:space="preserve"> (Ghosh, 2023)</w:t>
      </w:r>
      <w:r w:rsidRPr="00B44D7E">
        <w:rPr>
          <w:rFonts w:ascii="Arial" w:hAnsi="Arial" w:cs="Arial"/>
        </w:rPr>
        <w:t>. Hunger and malnutrition are</w:t>
      </w:r>
      <w:r w:rsidR="0015143C">
        <w:rPr>
          <w:rFonts w:ascii="Arial" w:hAnsi="Arial" w:cs="Arial"/>
        </w:rPr>
        <w:t xml:space="preserve"> </w:t>
      </w:r>
      <w:r w:rsidRPr="00B44D7E">
        <w:rPr>
          <w:rFonts w:ascii="Arial" w:hAnsi="Arial" w:cs="Arial"/>
        </w:rPr>
        <w:t>worldwide issues that are aggravated by war, climate change, and economic instability.</w:t>
      </w:r>
    </w:p>
    <w:p w14:paraId="285E4846" w14:textId="086732A9" w:rsidR="00A85F16" w:rsidRPr="00B44D7E" w:rsidRDefault="00A85F16" w:rsidP="00B44D7E">
      <w:pPr>
        <w:pStyle w:val="Heading2"/>
        <w:spacing w:line="360" w:lineRule="auto"/>
        <w:ind w:firstLine="720"/>
        <w:rPr>
          <w:rFonts w:ascii="Arial" w:hAnsi="Arial" w:cs="Arial"/>
          <w:sz w:val="22"/>
          <w:szCs w:val="22"/>
        </w:rPr>
      </w:pPr>
    </w:p>
    <w:p w14:paraId="44075FA6" w14:textId="77777777" w:rsidR="00A85F16" w:rsidRPr="00B44D7E" w:rsidRDefault="00A85F16" w:rsidP="00B44D7E">
      <w:pPr>
        <w:spacing w:line="360" w:lineRule="auto"/>
        <w:ind w:firstLine="720"/>
        <w:rPr>
          <w:rFonts w:ascii="Arial" w:hAnsi="Arial" w:cs="Arial"/>
        </w:rPr>
      </w:pPr>
      <w:r w:rsidRPr="00B44D7E">
        <w:rPr>
          <w:rFonts w:ascii="Arial" w:hAnsi="Arial" w:cs="Arial"/>
        </w:rPr>
        <w:t xml:space="preserve">The World Food </w:t>
      </w:r>
      <w:proofErr w:type="spellStart"/>
      <w:r w:rsidRPr="00B44D7E">
        <w:rPr>
          <w:rFonts w:ascii="Arial" w:hAnsi="Arial" w:cs="Arial"/>
        </w:rPr>
        <w:t>Programme</w:t>
      </w:r>
      <w:proofErr w:type="spellEnd"/>
      <w:r w:rsidRPr="00B44D7E">
        <w:rPr>
          <w:rFonts w:ascii="Arial" w:hAnsi="Arial" w:cs="Arial"/>
        </w:rPr>
        <w:t xml:space="preserve"> (WFP) is a global organization that is at the frontline in the fight against food insecurity through emergency relief and agricultural resiliency projects in more than 80 countries. The WFP is also involved in not only providing food aid but also in </w:t>
      </w:r>
      <w:r w:rsidRPr="00B44D7E">
        <w:rPr>
          <w:rFonts w:ascii="Arial" w:hAnsi="Arial" w:cs="Arial"/>
        </w:rPr>
        <w:lastRenderedPageBreak/>
        <w:t xml:space="preserve">capacity-building </w:t>
      </w:r>
      <w:proofErr w:type="spellStart"/>
      <w:r w:rsidRPr="00B44D7E">
        <w:rPr>
          <w:rFonts w:ascii="Arial" w:hAnsi="Arial" w:cs="Arial"/>
        </w:rPr>
        <w:t>programmes</w:t>
      </w:r>
      <w:proofErr w:type="spellEnd"/>
      <w:r w:rsidRPr="00B44D7E">
        <w:rPr>
          <w:rFonts w:ascii="Arial" w:hAnsi="Arial" w:cs="Arial"/>
        </w:rPr>
        <w:t xml:space="preserve"> to ensure self-sufficiency </w:t>
      </w:r>
      <w:r w:rsidR="002F0385" w:rsidRPr="00B44D7E">
        <w:rPr>
          <w:rFonts w:ascii="Arial" w:hAnsi="Arial" w:cs="Arial"/>
        </w:rPr>
        <w:t>(Cain et al.</w:t>
      </w:r>
      <w:r w:rsidRPr="00B44D7E">
        <w:rPr>
          <w:rFonts w:ascii="Arial" w:hAnsi="Arial" w:cs="Arial"/>
        </w:rPr>
        <w:t>, 202</w:t>
      </w:r>
      <w:r w:rsidR="002F0385" w:rsidRPr="00B44D7E">
        <w:rPr>
          <w:rFonts w:ascii="Arial" w:hAnsi="Arial" w:cs="Arial"/>
        </w:rPr>
        <w:t>2</w:t>
      </w:r>
      <w:r w:rsidRPr="00B44D7E">
        <w:rPr>
          <w:rFonts w:ascii="Arial" w:hAnsi="Arial" w:cs="Arial"/>
        </w:rPr>
        <w:t>). Smith et al. (2022) state that such efforts will help to decrease instances of acute hunger and food systems stabilization, but logistical challenges and political obstacles remain.</w:t>
      </w:r>
    </w:p>
    <w:p w14:paraId="69ED4250" w14:textId="5837BB64" w:rsidR="00A85F16" w:rsidRPr="00B44D7E" w:rsidRDefault="00A85F16" w:rsidP="00B44D7E">
      <w:pPr>
        <w:pStyle w:val="Heading2"/>
        <w:spacing w:line="360" w:lineRule="auto"/>
        <w:ind w:firstLine="720"/>
        <w:rPr>
          <w:rFonts w:ascii="Arial" w:hAnsi="Arial" w:cs="Arial"/>
          <w:sz w:val="22"/>
          <w:szCs w:val="22"/>
        </w:rPr>
      </w:pPr>
    </w:p>
    <w:p w14:paraId="4E15DD30" w14:textId="52049FA7" w:rsidR="00A85F16" w:rsidRPr="00B44D7E" w:rsidRDefault="00A85F16" w:rsidP="00B44D7E">
      <w:pPr>
        <w:spacing w:line="360" w:lineRule="auto"/>
        <w:ind w:firstLine="720"/>
        <w:rPr>
          <w:rFonts w:ascii="Arial" w:hAnsi="Arial" w:cs="Arial"/>
        </w:rPr>
      </w:pPr>
      <w:r w:rsidRPr="00B44D7E">
        <w:rPr>
          <w:rFonts w:ascii="Arial" w:hAnsi="Arial" w:cs="Arial"/>
        </w:rPr>
        <w:t>In the UK, the National Food Strategy (</w:t>
      </w:r>
      <w:r w:rsidR="00C61A1D" w:rsidRPr="00B44D7E">
        <w:rPr>
          <w:rFonts w:ascii="Arial" w:hAnsi="Arial" w:cs="Arial"/>
        </w:rPr>
        <w:t>Cain et al., 2022</w:t>
      </w:r>
      <w:r w:rsidRPr="00B44D7E">
        <w:rPr>
          <w:rFonts w:ascii="Arial" w:hAnsi="Arial" w:cs="Arial"/>
        </w:rPr>
        <w:t xml:space="preserve">) and the Food Policy Report by Defra (2022) are expected to enhance the accessibility and sustainability of food. Such strategies are consistent with the Social Cognitive Theory (SCT), according to which the environment, individual factors, and </w:t>
      </w:r>
      <w:r w:rsidR="009741B8" w:rsidRPr="00B44D7E">
        <w:rPr>
          <w:rFonts w:ascii="Arial" w:hAnsi="Arial" w:cs="Arial"/>
        </w:rPr>
        <w:t>behavioral</w:t>
      </w:r>
      <w:r w:rsidRPr="00B44D7E">
        <w:rPr>
          <w:rFonts w:ascii="Arial" w:hAnsi="Arial" w:cs="Arial"/>
        </w:rPr>
        <w:t xml:space="preserve"> consequences interact (</w:t>
      </w:r>
      <w:r w:rsidR="002F0385" w:rsidRPr="00B44D7E">
        <w:rPr>
          <w:rFonts w:ascii="Arial" w:hAnsi="Arial" w:cs="Arial"/>
        </w:rPr>
        <w:t>Favara et al.</w:t>
      </w:r>
      <w:r w:rsidRPr="00B44D7E">
        <w:rPr>
          <w:rFonts w:ascii="Arial" w:hAnsi="Arial" w:cs="Arial"/>
        </w:rPr>
        <w:t>, 202</w:t>
      </w:r>
      <w:r w:rsidR="002F0385" w:rsidRPr="00B44D7E">
        <w:rPr>
          <w:rFonts w:ascii="Arial" w:hAnsi="Arial" w:cs="Arial"/>
        </w:rPr>
        <w:t>5</w:t>
      </w:r>
      <w:r w:rsidRPr="00B44D7E">
        <w:rPr>
          <w:rFonts w:ascii="Arial" w:hAnsi="Arial" w:cs="Arial"/>
        </w:rPr>
        <w:t xml:space="preserve">). The public health </w:t>
      </w:r>
      <w:proofErr w:type="spellStart"/>
      <w:r w:rsidRPr="00B44D7E">
        <w:rPr>
          <w:rFonts w:ascii="Arial" w:hAnsi="Arial" w:cs="Arial"/>
        </w:rPr>
        <w:t>program</w:t>
      </w:r>
      <w:r w:rsidR="00EE74F5">
        <w:rPr>
          <w:rFonts w:ascii="Arial" w:hAnsi="Arial" w:cs="Arial"/>
        </w:rPr>
        <w:t>m</w:t>
      </w:r>
      <w:r w:rsidRPr="00B44D7E">
        <w:rPr>
          <w:rFonts w:ascii="Arial" w:hAnsi="Arial" w:cs="Arial"/>
        </w:rPr>
        <w:t>es</w:t>
      </w:r>
      <w:proofErr w:type="spellEnd"/>
      <w:r w:rsidRPr="00B44D7E">
        <w:rPr>
          <w:rFonts w:ascii="Arial" w:hAnsi="Arial" w:cs="Arial"/>
        </w:rPr>
        <w:t xml:space="preserve">, like those that promote school lunch and local food hubs, lead to observational learning and </w:t>
      </w:r>
      <w:r w:rsidR="009741B8" w:rsidRPr="00B44D7E">
        <w:rPr>
          <w:rFonts w:ascii="Arial" w:hAnsi="Arial" w:cs="Arial"/>
        </w:rPr>
        <w:t>replicating</w:t>
      </w:r>
      <w:r w:rsidRPr="00B44D7E">
        <w:rPr>
          <w:rFonts w:ascii="Arial" w:hAnsi="Arial" w:cs="Arial"/>
        </w:rPr>
        <w:t xml:space="preserve"> healthy eating </w:t>
      </w:r>
      <w:r w:rsidR="009741B8" w:rsidRPr="00B44D7E">
        <w:rPr>
          <w:rFonts w:ascii="Arial" w:hAnsi="Arial" w:cs="Arial"/>
        </w:rPr>
        <w:t>behaviors</w:t>
      </w:r>
      <w:r w:rsidRPr="00B44D7E">
        <w:rPr>
          <w:rFonts w:ascii="Arial" w:hAnsi="Arial" w:cs="Arial"/>
        </w:rPr>
        <w:t xml:space="preserve"> (</w:t>
      </w:r>
      <w:r w:rsidR="005A48FF" w:rsidRPr="00B44D7E">
        <w:rPr>
          <w:rFonts w:ascii="Arial" w:hAnsi="Arial" w:cs="Arial"/>
        </w:rPr>
        <w:t>Beck</w:t>
      </w:r>
      <w:r w:rsidRPr="00B44D7E">
        <w:rPr>
          <w:rFonts w:ascii="Arial" w:hAnsi="Arial" w:cs="Arial"/>
        </w:rPr>
        <w:t xml:space="preserve"> et al., 202</w:t>
      </w:r>
      <w:r w:rsidR="005A48FF" w:rsidRPr="00B44D7E">
        <w:rPr>
          <w:rFonts w:ascii="Arial" w:hAnsi="Arial" w:cs="Arial"/>
        </w:rPr>
        <w:t>3</w:t>
      </w:r>
      <w:r w:rsidRPr="00B44D7E">
        <w:rPr>
          <w:rFonts w:ascii="Arial" w:hAnsi="Arial" w:cs="Arial"/>
        </w:rPr>
        <w:t xml:space="preserve">). Nonetheless, food banks, </w:t>
      </w:r>
      <w:r w:rsidR="00EE74F5" w:rsidRPr="00B44D7E">
        <w:rPr>
          <w:rFonts w:ascii="Arial" w:hAnsi="Arial" w:cs="Arial"/>
        </w:rPr>
        <w:t>such as</w:t>
      </w:r>
      <w:r w:rsidRPr="00B44D7E">
        <w:rPr>
          <w:rFonts w:ascii="Arial" w:hAnsi="Arial" w:cs="Arial"/>
        </w:rPr>
        <w:t xml:space="preserve"> </w:t>
      </w:r>
      <w:r w:rsidR="00C61A1D" w:rsidRPr="00B44D7E">
        <w:rPr>
          <w:rFonts w:ascii="Arial" w:hAnsi="Arial" w:cs="Arial"/>
        </w:rPr>
        <w:t>Cooper et al.,</w:t>
      </w:r>
      <w:r w:rsidRPr="00B44D7E">
        <w:rPr>
          <w:rFonts w:ascii="Arial" w:hAnsi="Arial" w:cs="Arial"/>
        </w:rPr>
        <w:t xml:space="preserve"> (202</w:t>
      </w:r>
      <w:r w:rsidR="00C61A1D" w:rsidRPr="00B44D7E">
        <w:rPr>
          <w:rFonts w:ascii="Arial" w:hAnsi="Arial" w:cs="Arial"/>
        </w:rPr>
        <w:t>4</w:t>
      </w:r>
      <w:r w:rsidRPr="00B44D7E">
        <w:rPr>
          <w:rFonts w:ascii="Arial" w:hAnsi="Arial" w:cs="Arial"/>
        </w:rPr>
        <w:t>) posits, imply continued inequality in the availability of food.</w:t>
      </w:r>
    </w:p>
    <w:p w14:paraId="37D36A62" w14:textId="2A5B662A" w:rsidR="00A85F16" w:rsidRPr="00B44D7E" w:rsidRDefault="00A85F16" w:rsidP="00B44D7E">
      <w:pPr>
        <w:pStyle w:val="Heading2"/>
        <w:spacing w:line="360" w:lineRule="auto"/>
        <w:ind w:firstLine="720"/>
        <w:rPr>
          <w:rFonts w:ascii="Arial" w:hAnsi="Arial" w:cs="Arial"/>
          <w:sz w:val="22"/>
          <w:szCs w:val="22"/>
        </w:rPr>
      </w:pPr>
    </w:p>
    <w:p w14:paraId="44A4F350" w14:textId="77777777" w:rsidR="00A85F16" w:rsidRPr="00B44D7E" w:rsidRDefault="00A85F16" w:rsidP="00B44D7E">
      <w:pPr>
        <w:spacing w:line="360" w:lineRule="auto"/>
        <w:ind w:firstLine="720"/>
        <w:rPr>
          <w:rFonts w:ascii="Arial" w:hAnsi="Arial" w:cs="Arial"/>
        </w:rPr>
      </w:pPr>
      <w:r w:rsidRPr="00B44D7E">
        <w:rPr>
          <w:rFonts w:ascii="Arial" w:hAnsi="Arial" w:cs="Arial"/>
        </w:rPr>
        <w:t xml:space="preserve">The programs of the Local Government Association, such as the Full of Beans food education project, use SCT principles by providing community cooking sessions and nutrition seminars. These </w:t>
      </w:r>
      <w:proofErr w:type="spellStart"/>
      <w:r w:rsidRPr="00B44D7E">
        <w:rPr>
          <w:rFonts w:ascii="Arial" w:hAnsi="Arial" w:cs="Arial"/>
        </w:rPr>
        <w:t>programmes</w:t>
      </w:r>
      <w:proofErr w:type="spellEnd"/>
      <w:r w:rsidRPr="00B44D7E">
        <w:rPr>
          <w:rFonts w:ascii="Arial" w:hAnsi="Arial" w:cs="Arial"/>
        </w:rPr>
        <w:t xml:space="preserve"> are a representation of learning through doing; they display to citizens how to prepare healthy food, invite peer monitoring, and demonstrate effective eating habits</w:t>
      </w:r>
      <w:r w:rsidR="0037328C" w:rsidRPr="00B44D7E">
        <w:rPr>
          <w:rFonts w:ascii="Arial" w:hAnsi="Arial" w:cs="Arial"/>
        </w:rPr>
        <w:t xml:space="preserve"> (Zamora et al., 2024)</w:t>
      </w:r>
      <w:r w:rsidRPr="00B44D7E">
        <w:rPr>
          <w:rFonts w:ascii="Arial" w:hAnsi="Arial" w:cs="Arial"/>
        </w:rPr>
        <w:t xml:space="preserve">. Through positive role models in society, people establish confidence in imitating sustainable habits of eating. However, as </w:t>
      </w:r>
      <w:r w:rsidR="00C53CF7" w:rsidRPr="00B44D7E">
        <w:rPr>
          <w:rFonts w:ascii="Arial" w:hAnsi="Arial" w:cs="Arial"/>
        </w:rPr>
        <w:t>Favara</w:t>
      </w:r>
      <w:r w:rsidRPr="00B44D7E">
        <w:rPr>
          <w:rFonts w:ascii="Arial" w:hAnsi="Arial" w:cs="Arial"/>
        </w:rPr>
        <w:t xml:space="preserve"> et al. (202</w:t>
      </w:r>
      <w:r w:rsidR="00C53CF7" w:rsidRPr="00B44D7E">
        <w:rPr>
          <w:rFonts w:ascii="Arial" w:hAnsi="Arial" w:cs="Arial"/>
        </w:rPr>
        <w:t>5</w:t>
      </w:r>
      <w:r w:rsidRPr="00B44D7E">
        <w:rPr>
          <w:rFonts w:ascii="Arial" w:hAnsi="Arial" w:cs="Arial"/>
        </w:rPr>
        <w:t>) observe, these efforts are difficult to fund and engage in long-term.</w:t>
      </w:r>
    </w:p>
    <w:p w14:paraId="0717295F" w14:textId="77777777" w:rsidR="00A85F16" w:rsidRPr="00B44D7E" w:rsidRDefault="00A85F16" w:rsidP="00B44D7E">
      <w:pPr>
        <w:pStyle w:val="Heading2"/>
        <w:spacing w:line="360" w:lineRule="auto"/>
        <w:ind w:firstLine="720"/>
        <w:rPr>
          <w:rFonts w:ascii="Arial" w:hAnsi="Arial" w:cs="Arial"/>
          <w:sz w:val="22"/>
          <w:szCs w:val="22"/>
        </w:rPr>
      </w:pPr>
      <w:bookmarkStart w:id="6" w:name="_Toc214025284"/>
      <w:r w:rsidRPr="00B44D7E">
        <w:rPr>
          <w:rFonts w:ascii="Arial" w:hAnsi="Arial" w:cs="Arial"/>
          <w:sz w:val="22"/>
          <w:szCs w:val="22"/>
        </w:rPr>
        <w:t>Critical Critique with the Help of S</w:t>
      </w:r>
      <w:r w:rsidR="006D2AA3" w:rsidRPr="00B44D7E">
        <w:rPr>
          <w:rFonts w:ascii="Arial" w:hAnsi="Arial" w:cs="Arial"/>
          <w:sz w:val="22"/>
          <w:szCs w:val="22"/>
        </w:rPr>
        <w:t xml:space="preserve">ocial </w:t>
      </w:r>
      <w:r w:rsidRPr="00B44D7E">
        <w:rPr>
          <w:rFonts w:ascii="Arial" w:hAnsi="Arial" w:cs="Arial"/>
          <w:sz w:val="22"/>
          <w:szCs w:val="22"/>
        </w:rPr>
        <w:t>C</w:t>
      </w:r>
      <w:r w:rsidR="006D2AA3" w:rsidRPr="00B44D7E">
        <w:rPr>
          <w:rFonts w:ascii="Arial" w:hAnsi="Arial" w:cs="Arial"/>
          <w:sz w:val="22"/>
          <w:szCs w:val="22"/>
        </w:rPr>
        <w:t xml:space="preserve">ognitive </w:t>
      </w:r>
      <w:r w:rsidRPr="00B44D7E">
        <w:rPr>
          <w:rFonts w:ascii="Arial" w:hAnsi="Arial" w:cs="Arial"/>
          <w:sz w:val="22"/>
          <w:szCs w:val="22"/>
        </w:rPr>
        <w:t>T</w:t>
      </w:r>
      <w:r w:rsidR="006D2AA3" w:rsidRPr="00B44D7E">
        <w:rPr>
          <w:rFonts w:ascii="Arial" w:hAnsi="Arial" w:cs="Arial"/>
          <w:sz w:val="22"/>
          <w:szCs w:val="22"/>
        </w:rPr>
        <w:t>heory</w:t>
      </w:r>
      <w:bookmarkEnd w:id="6"/>
    </w:p>
    <w:p w14:paraId="1E9AC4CE" w14:textId="4548B7EE" w:rsidR="00A85F16" w:rsidRPr="00B44D7E" w:rsidRDefault="00A85F16" w:rsidP="00B44D7E">
      <w:pPr>
        <w:spacing w:line="360" w:lineRule="auto"/>
        <w:ind w:firstLine="720"/>
        <w:rPr>
          <w:rFonts w:ascii="Arial" w:hAnsi="Arial" w:cs="Arial"/>
        </w:rPr>
      </w:pPr>
      <w:r w:rsidRPr="00B44D7E">
        <w:rPr>
          <w:rFonts w:ascii="Arial" w:hAnsi="Arial" w:cs="Arial"/>
        </w:rPr>
        <w:t xml:space="preserve">The success of food education based on </w:t>
      </w:r>
      <w:r w:rsidR="009741B8" w:rsidRPr="00B44D7E">
        <w:rPr>
          <w:rFonts w:ascii="Arial" w:hAnsi="Arial" w:cs="Arial"/>
        </w:rPr>
        <w:t>behavioral</w:t>
      </w:r>
      <w:r w:rsidRPr="00B44D7E">
        <w:rPr>
          <w:rFonts w:ascii="Arial" w:hAnsi="Arial" w:cs="Arial"/>
        </w:rPr>
        <w:t xml:space="preserve"> interventions can be well explained using Social Cognitive Theory. According to </w:t>
      </w:r>
      <w:proofErr w:type="spellStart"/>
      <w:r w:rsidR="00C61A1D" w:rsidRPr="00B44D7E">
        <w:rPr>
          <w:rFonts w:ascii="Arial" w:hAnsi="Arial" w:cs="Arial"/>
        </w:rPr>
        <w:t>Pourmotabbed</w:t>
      </w:r>
      <w:proofErr w:type="spellEnd"/>
      <w:r w:rsidRPr="00B44D7E">
        <w:rPr>
          <w:rFonts w:ascii="Arial" w:hAnsi="Arial" w:cs="Arial"/>
        </w:rPr>
        <w:t xml:space="preserve"> (202</w:t>
      </w:r>
      <w:r w:rsidR="00C61A1D" w:rsidRPr="00B44D7E">
        <w:rPr>
          <w:rFonts w:ascii="Arial" w:hAnsi="Arial" w:cs="Arial"/>
        </w:rPr>
        <w:t>0</w:t>
      </w:r>
      <w:r w:rsidRPr="00B44D7E">
        <w:rPr>
          <w:rFonts w:ascii="Arial" w:hAnsi="Arial" w:cs="Arial"/>
        </w:rPr>
        <w:t xml:space="preserve">), modelling, reinforcement, and self-regulation are the key elements of </w:t>
      </w:r>
      <w:r w:rsidR="009741B8" w:rsidRPr="00B44D7E">
        <w:rPr>
          <w:rFonts w:ascii="Arial" w:hAnsi="Arial" w:cs="Arial"/>
        </w:rPr>
        <w:t>behavior</w:t>
      </w:r>
      <w:r w:rsidRPr="00B44D7E">
        <w:rPr>
          <w:rFonts w:ascii="Arial" w:hAnsi="Arial" w:cs="Arial"/>
        </w:rPr>
        <w:t xml:space="preserve"> change. The local food </w:t>
      </w:r>
      <w:proofErr w:type="spellStart"/>
      <w:r w:rsidRPr="00B44D7E">
        <w:rPr>
          <w:rFonts w:ascii="Arial" w:hAnsi="Arial" w:cs="Arial"/>
        </w:rPr>
        <w:t>programmes</w:t>
      </w:r>
      <w:proofErr w:type="spellEnd"/>
      <w:r w:rsidRPr="00B44D7E">
        <w:rPr>
          <w:rFonts w:ascii="Arial" w:hAnsi="Arial" w:cs="Arial"/>
        </w:rPr>
        <w:t xml:space="preserve"> and the WFP have shown that knowledge transfer combined with social modelling is an effective way of increasing the use of healthy practices</w:t>
      </w:r>
      <w:r w:rsidR="006D2AA3" w:rsidRPr="00B44D7E">
        <w:rPr>
          <w:rFonts w:ascii="Arial" w:hAnsi="Arial" w:cs="Arial"/>
        </w:rPr>
        <w:t xml:space="preserve"> (F</w:t>
      </w:r>
      <w:r w:rsidR="00C61A1D" w:rsidRPr="00B44D7E">
        <w:rPr>
          <w:rFonts w:ascii="Arial" w:hAnsi="Arial" w:cs="Arial"/>
        </w:rPr>
        <w:t>avara</w:t>
      </w:r>
      <w:r w:rsidR="006D2AA3" w:rsidRPr="00B44D7E">
        <w:rPr>
          <w:rFonts w:ascii="Arial" w:hAnsi="Arial" w:cs="Arial"/>
        </w:rPr>
        <w:t xml:space="preserve"> et al., 202</w:t>
      </w:r>
      <w:r w:rsidR="00C61A1D" w:rsidRPr="00B44D7E">
        <w:rPr>
          <w:rFonts w:ascii="Arial" w:hAnsi="Arial" w:cs="Arial"/>
        </w:rPr>
        <w:t>5</w:t>
      </w:r>
      <w:r w:rsidR="006D2AA3" w:rsidRPr="00B44D7E">
        <w:rPr>
          <w:rFonts w:ascii="Arial" w:hAnsi="Arial" w:cs="Arial"/>
        </w:rPr>
        <w:t>)</w:t>
      </w:r>
      <w:r w:rsidRPr="00B44D7E">
        <w:rPr>
          <w:rFonts w:ascii="Arial" w:hAnsi="Arial" w:cs="Arial"/>
        </w:rPr>
        <w:t>. Nevertheless, such initiatives should cover systemic problems, including poverty and the cost of food</w:t>
      </w:r>
      <w:r w:rsidR="006D2AA3" w:rsidRPr="00B44D7E">
        <w:rPr>
          <w:rFonts w:ascii="Arial" w:hAnsi="Arial" w:cs="Arial"/>
        </w:rPr>
        <w:t>.</w:t>
      </w:r>
    </w:p>
    <w:p w14:paraId="327CDB84" w14:textId="77777777" w:rsidR="00A85F16" w:rsidRPr="00B44D7E" w:rsidRDefault="00A85F16" w:rsidP="00B44D7E">
      <w:pPr>
        <w:pStyle w:val="Heading3"/>
        <w:spacing w:line="360" w:lineRule="auto"/>
        <w:ind w:firstLine="720"/>
        <w:rPr>
          <w:rFonts w:ascii="Arial" w:hAnsi="Arial" w:cs="Arial"/>
          <w:b/>
          <w:bCs/>
          <w:sz w:val="22"/>
          <w:szCs w:val="22"/>
        </w:rPr>
      </w:pPr>
      <w:bookmarkStart w:id="7" w:name="_Toc214025285"/>
      <w:r w:rsidRPr="00B44D7E">
        <w:rPr>
          <w:rFonts w:ascii="Arial" w:hAnsi="Arial" w:cs="Arial"/>
          <w:b/>
          <w:bCs/>
          <w:sz w:val="22"/>
          <w:szCs w:val="22"/>
        </w:rPr>
        <w:t>Recommendations</w:t>
      </w:r>
      <w:bookmarkEnd w:id="7"/>
    </w:p>
    <w:p w14:paraId="7AFE3822" w14:textId="77777777" w:rsidR="00984B52" w:rsidRPr="00B44D7E" w:rsidRDefault="00984B52" w:rsidP="00B44D7E">
      <w:pPr>
        <w:spacing w:line="360" w:lineRule="auto"/>
        <w:ind w:firstLine="720"/>
        <w:rPr>
          <w:rFonts w:ascii="Arial" w:hAnsi="Arial" w:cs="Arial"/>
        </w:rPr>
      </w:pPr>
      <w:r w:rsidRPr="00B44D7E">
        <w:rPr>
          <w:rFonts w:ascii="Arial" w:hAnsi="Arial" w:cs="Arial"/>
        </w:rPr>
        <w:t xml:space="preserve">Enhance both the global emergency response and national long-term resilience building. Multilateral agencies, such as the WFP, and donors should augment funding sources that explicitly tie emergency food aid to local procurement, smallholder subsidies, and nutritional education. The implementation details involve conditional funding, which requires a percentage of the assistance to be obtained locally, as well as training modules for local suppliers and performance metrics for both immediate food security and medium-term market </w:t>
      </w:r>
      <w:r w:rsidRPr="00B44D7E">
        <w:rPr>
          <w:rFonts w:ascii="Arial" w:hAnsi="Arial" w:cs="Arial"/>
        </w:rPr>
        <w:lastRenderedPageBreak/>
        <w:t>stability</w:t>
      </w:r>
      <w:r w:rsidR="0037328C" w:rsidRPr="00B44D7E">
        <w:rPr>
          <w:rFonts w:ascii="Arial" w:hAnsi="Arial" w:cs="Arial"/>
        </w:rPr>
        <w:t xml:space="preserve"> (Bhan et al., 2023)</w:t>
      </w:r>
      <w:r w:rsidRPr="00B44D7E">
        <w:rPr>
          <w:rFonts w:ascii="Arial" w:hAnsi="Arial" w:cs="Arial"/>
        </w:rPr>
        <w:t>. Measures should comprise the dietary diversity score, school attendance, and the change in smallholder income.</w:t>
      </w:r>
    </w:p>
    <w:p w14:paraId="05BC60BF" w14:textId="77777777" w:rsidR="00984B52" w:rsidRPr="00B44D7E" w:rsidRDefault="00570559" w:rsidP="00B44D7E">
      <w:pPr>
        <w:spacing w:line="360" w:lineRule="auto"/>
        <w:ind w:firstLine="720"/>
        <w:rPr>
          <w:rFonts w:ascii="Arial" w:hAnsi="Arial" w:cs="Arial"/>
        </w:rPr>
      </w:pPr>
      <w:r w:rsidRPr="00B44D7E">
        <w:rPr>
          <w:rFonts w:ascii="Arial" w:hAnsi="Arial" w:cs="Arial"/>
        </w:rPr>
        <w:t>Also, s</w:t>
      </w:r>
      <w:r w:rsidR="00984B52" w:rsidRPr="00B44D7E">
        <w:rPr>
          <w:rFonts w:ascii="Arial" w:hAnsi="Arial" w:cs="Arial"/>
        </w:rPr>
        <w:t xml:space="preserve">cale community </w:t>
      </w:r>
      <w:proofErr w:type="spellStart"/>
      <w:r w:rsidR="00984B52" w:rsidRPr="00B44D7E">
        <w:rPr>
          <w:rFonts w:ascii="Arial" w:hAnsi="Arial" w:cs="Arial"/>
        </w:rPr>
        <w:t>programmes</w:t>
      </w:r>
      <w:proofErr w:type="spellEnd"/>
      <w:r w:rsidR="00984B52" w:rsidRPr="00B44D7E">
        <w:rPr>
          <w:rFonts w:ascii="Arial" w:hAnsi="Arial" w:cs="Arial"/>
        </w:rPr>
        <w:t xml:space="preserve"> like Full of Beans through safe commissioning and collaboration with national supply chain </w:t>
      </w:r>
      <w:proofErr w:type="spellStart"/>
      <w:r w:rsidR="00984B52" w:rsidRPr="00B44D7E">
        <w:rPr>
          <w:rFonts w:ascii="Arial" w:hAnsi="Arial" w:cs="Arial"/>
        </w:rPr>
        <w:t>programmes</w:t>
      </w:r>
      <w:proofErr w:type="spellEnd"/>
      <w:r w:rsidR="00984B52" w:rsidRPr="00B44D7E">
        <w:rPr>
          <w:rFonts w:ascii="Arial" w:hAnsi="Arial" w:cs="Arial"/>
        </w:rPr>
        <w:t>. Local councils are urged to co-design contracting models that involve funding community provision over a multi-year period to incorporate community allotments within school feeding procurement and encourage local retailers to carry more affordable, nutritious foods. It will require the implementation of governance structures for local food partnerships that share procurement hubs and capital infrastructure, such as community kitchens and storage facilities, which are funded by seed money. The anticipated results include a greater dietary variety, which can be measured through regular check-ups, as well as an improvement in the local economy and program sustainability.</w:t>
      </w:r>
    </w:p>
    <w:p w14:paraId="26D8448C" w14:textId="50547E2F" w:rsidR="00984B52" w:rsidRPr="00B44D7E" w:rsidRDefault="00570559" w:rsidP="00B44D7E">
      <w:pPr>
        <w:spacing w:line="360" w:lineRule="auto"/>
        <w:ind w:firstLine="720"/>
        <w:rPr>
          <w:rFonts w:ascii="Arial" w:hAnsi="Arial" w:cs="Arial"/>
        </w:rPr>
      </w:pPr>
      <w:r w:rsidRPr="00B44D7E">
        <w:rPr>
          <w:rFonts w:ascii="Arial" w:hAnsi="Arial" w:cs="Arial"/>
        </w:rPr>
        <w:t>Additionally,</w:t>
      </w:r>
      <w:r w:rsidRPr="00B44D7E">
        <w:rPr>
          <w:rFonts w:ascii="Arial" w:hAnsi="Arial" w:cs="Arial"/>
          <w:b/>
          <w:bCs/>
        </w:rPr>
        <w:t xml:space="preserve"> </w:t>
      </w:r>
      <w:r w:rsidRPr="00B44D7E">
        <w:rPr>
          <w:rFonts w:ascii="Arial" w:hAnsi="Arial" w:cs="Arial"/>
        </w:rPr>
        <w:t>o</w:t>
      </w:r>
      <w:r w:rsidR="00984B52" w:rsidRPr="00B44D7E">
        <w:rPr>
          <w:rFonts w:ascii="Arial" w:hAnsi="Arial" w:cs="Arial"/>
        </w:rPr>
        <w:t xml:space="preserve">ffer guided material assistance to transform capability into action. Governments should start using packages that combine both skill development and material support, in the form of time-constrained food vouchers provided at a </w:t>
      </w:r>
      <w:r w:rsidR="009741B8" w:rsidRPr="00B44D7E">
        <w:rPr>
          <w:rFonts w:ascii="Arial" w:hAnsi="Arial" w:cs="Arial"/>
        </w:rPr>
        <w:t>subsidized</w:t>
      </w:r>
      <w:r w:rsidR="00984B52" w:rsidRPr="00B44D7E">
        <w:rPr>
          <w:rFonts w:ascii="Arial" w:hAnsi="Arial" w:cs="Arial"/>
        </w:rPr>
        <w:t xml:space="preserve"> price for fruit and vegetable boxes, as well as conditional cash transfers based on school attendance. The implementation strategies include a means-tested voucher system with digital redemption, enabling local retailers and evaluation trials to establish cost-effectiveness. Redemption rates, dietary quality index, and food security in households should be monitored.</w:t>
      </w:r>
    </w:p>
    <w:p w14:paraId="51CA7B6F" w14:textId="4A329B1B" w:rsidR="00984B52" w:rsidRPr="00B44D7E" w:rsidRDefault="00570559" w:rsidP="00B44D7E">
      <w:pPr>
        <w:spacing w:line="360" w:lineRule="auto"/>
        <w:ind w:firstLine="720"/>
        <w:rPr>
          <w:rFonts w:ascii="Arial" w:hAnsi="Arial" w:cs="Arial"/>
        </w:rPr>
      </w:pPr>
      <w:r w:rsidRPr="00B44D7E">
        <w:rPr>
          <w:rFonts w:ascii="Arial" w:hAnsi="Arial" w:cs="Arial"/>
        </w:rPr>
        <w:t>Moreover,</w:t>
      </w:r>
      <w:r w:rsidR="00984B52" w:rsidRPr="00B44D7E">
        <w:rPr>
          <w:rFonts w:ascii="Arial" w:hAnsi="Arial" w:cs="Arial"/>
        </w:rPr>
        <w:t xml:space="preserve"> </w:t>
      </w:r>
      <w:r w:rsidRPr="00B44D7E">
        <w:rPr>
          <w:rFonts w:ascii="Arial" w:hAnsi="Arial" w:cs="Arial"/>
        </w:rPr>
        <w:t>e</w:t>
      </w:r>
      <w:r w:rsidR="00984B52" w:rsidRPr="00B44D7E">
        <w:rPr>
          <w:rFonts w:ascii="Arial" w:hAnsi="Arial" w:cs="Arial"/>
        </w:rPr>
        <w:t>nhance</w:t>
      </w:r>
      <w:r w:rsidR="009741B8">
        <w:rPr>
          <w:rFonts w:ascii="Arial" w:hAnsi="Arial" w:cs="Arial"/>
        </w:rPr>
        <w:t>d</w:t>
      </w:r>
      <w:r w:rsidR="00984B52" w:rsidRPr="00B44D7E">
        <w:rPr>
          <w:rFonts w:ascii="Arial" w:hAnsi="Arial" w:cs="Arial"/>
        </w:rPr>
        <w:t xml:space="preserve"> market and agricultural services to smallholder farmers to </w:t>
      </w:r>
      <w:r w:rsidR="009741B8" w:rsidRPr="00B44D7E">
        <w:rPr>
          <w:rFonts w:ascii="Arial" w:hAnsi="Arial" w:cs="Arial"/>
        </w:rPr>
        <w:t>stabilize</w:t>
      </w:r>
      <w:r w:rsidR="00984B52" w:rsidRPr="00B44D7E">
        <w:rPr>
          <w:rFonts w:ascii="Arial" w:hAnsi="Arial" w:cs="Arial"/>
        </w:rPr>
        <w:t xml:space="preserve"> the supply chain and </w:t>
      </w:r>
      <w:r w:rsidR="009741B8" w:rsidRPr="00B44D7E">
        <w:rPr>
          <w:rFonts w:ascii="Arial" w:hAnsi="Arial" w:cs="Arial"/>
        </w:rPr>
        <w:t>minimize</w:t>
      </w:r>
      <w:r w:rsidR="00984B52" w:rsidRPr="00B44D7E">
        <w:rPr>
          <w:rFonts w:ascii="Arial" w:hAnsi="Arial" w:cs="Arial"/>
        </w:rPr>
        <w:t xml:space="preserve"> price fluctuations. Climate-smart </w:t>
      </w:r>
      <w:r w:rsidR="009741B8" w:rsidRPr="00B44D7E">
        <w:rPr>
          <w:rFonts w:ascii="Arial" w:hAnsi="Arial" w:cs="Arial"/>
        </w:rPr>
        <w:t>input</w:t>
      </w:r>
      <w:r w:rsidR="00984B52" w:rsidRPr="00B44D7E">
        <w:rPr>
          <w:rFonts w:ascii="Arial" w:hAnsi="Arial" w:cs="Arial"/>
        </w:rPr>
        <w:t xml:space="preserve"> extension should be included in the national agricultural policy, and market linkages should be established in times of shock, as well as price stabilization mechanisms. This requires implementation through coordination between Defra's national procurement schemes and local councils, with a link to the procurement undertakings of the school feeding and social protection </w:t>
      </w:r>
      <w:proofErr w:type="spellStart"/>
      <w:r w:rsidR="00984B52" w:rsidRPr="00B44D7E">
        <w:rPr>
          <w:rFonts w:ascii="Arial" w:hAnsi="Arial" w:cs="Arial"/>
        </w:rPr>
        <w:t>programmes</w:t>
      </w:r>
      <w:proofErr w:type="spellEnd"/>
      <w:r w:rsidR="00984B52" w:rsidRPr="00B44D7E">
        <w:rPr>
          <w:rFonts w:ascii="Arial" w:hAnsi="Arial" w:cs="Arial"/>
        </w:rPr>
        <w:t>. It is projected that the positive impacts will be more durable local supply chains, lower price spikes, and increased affordability of nutritious foods.</w:t>
      </w:r>
    </w:p>
    <w:p w14:paraId="5FEE4397" w14:textId="77777777" w:rsidR="00A85F16" w:rsidRPr="00B44D7E" w:rsidRDefault="00A85F16" w:rsidP="00B44D7E">
      <w:pPr>
        <w:pStyle w:val="Heading1"/>
        <w:spacing w:line="360" w:lineRule="auto"/>
        <w:rPr>
          <w:rFonts w:ascii="Arial" w:hAnsi="Arial" w:cs="Arial"/>
          <w:sz w:val="22"/>
          <w:szCs w:val="22"/>
        </w:rPr>
      </w:pPr>
      <w:bookmarkStart w:id="8" w:name="_Toc214025286"/>
      <w:r w:rsidRPr="00B44D7E">
        <w:rPr>
          <w:rFonts w:ascii="Arial" w:hAnsi="Arial" w:cs="Arial"/>
          <w:sz w:val="22"/>
          <w:szCs w:val="22"/>
        </w:rPr>
        <w:t>Analysis and Implications</w:t>
      </w:r>
      <w:bookmarkEnd w:id="8"/>
    </w:p>
    <w:p w14:paraId="52A3D1C5" w14:textId="6773C87E" w:rsidR="00A85F16" w:rsidRPr="00B44D7E" w:rsidRDefault="00A85F16" w:rsidP="00B44D7E">
      <w:pPr>
        <w:spacing w:line="360" w:lineRule="auto"/>
        <w:ind w:firstLine="720"/>
        <w:rPr>
          <w:rFonts w:ascii="Arial" w:hAnsi="Arial" w:cs="Arial"/>
          <w:b/>
          <w:bCs/>
        </w:rPr>
      </w:pPr>
      <w:r w:rsidRPr="00B44D7E">
        <w:rPr>
          <w:rFonts w:ascii="Arial" w:hAnsi="Arial" w:cs="Arial"/>
        </w:rPr>
        <w:t xml:space="preserve">Good Health and Wellbeing and Zero Hunger are two concepts closely related. Food insecurity leads to an increase in the risk of mental distress, and poor nutrition contributes </w:t>
      </w:r>
      <w:proofErr w:type="gramStart"/>
      <w:r w:rsidRPr="00B44D7E">
        <w:rPr>
          <w:rFonts w:ascii="Arial" w:hAnsi="Arial" w:cs="Arial"/>
        </w:rPr>
        <w:t>to  physical</w:t>
      </w:r>
      <w:proofErr w:type="gramEnd"/>
      <w:r w:rsidRPr="00B44D7E">
        <w:rPr>
          <w:rFonts w:ascii="Arial" w:hAnsi="Arial" w:cs="Arial"/>
        </w:rPr>
        <w:t xml:space="preserve"> and cognitive vulnerability. On the other hand, mental </w:t>
      </w:r>
      <w:r w:rsidR="00C61A1D" w:rsidRPr="00B44D7E">
        <w:rPr>
          <w:rFonts w:ascii="Arial" w:hAnsi="Arial" w:cs="Arial"/>
        </w:rPr>
        <w:t>ill-health</w:t>
      </w:r>
      <w:r w:rsidRPr="00B44D7E">
        <w:rPr>
          <w:rFonts w:ascii="Arial" w:hAnsi="Arial" w:cs="Arial"/>
        </w:rPr>
        <w:t xml:space="preserve"> causes the loss of ability to make balanced meals, stay in employment, and get social support</w:t>
      </w:r>
      <w:r w:rsidR="0037328C" w:rsidRPr="00B44D7E">
        <w:rPr>
          <w:rFonts w:ascii="Arial" w:hAnsi="Arial" w:cs="Arial"/>
        </w:rPr>
        <w:t xml:space="preserve"> (Niles et al., 2023)</w:t>
      </w:r>
      <w:r w:rsidRPr="00B44D7E">
        <w:rPr>
          <w:rFonts w:ascii="Arial" w:hAnsi="Arial" w:cs="Arial"/>
        </w:rPr>
        <w:t xml:space="preserve">. Multi-sectoral responses are therefore necessary to provide the concurrent application of theory-informed </w:t>
      </w:r>
      <w:r w:rsidR="009741B8" w:rsidRPr="00B44D7E">
        <w:rPr>
          <w:rFonts w:ascii="Arial" w:hAnsi="Arial" w:cs="Arial"/>
        </w:rPr>
        <w:t>behavior</w:t>
      </w:r>
      <w:r w:rsidRPr="00B44D7E">
        <w:rPr>
          <w:rFonts w:ascii="Arial" w:hAnsi="Arial" w:cs="Arial"/>
        </w:rPr>
        <w:t xml:space="preserve"> change and structural policy leverages (</w:t>
      </w:r>
      <w:r w:rsidR="00C61A1D" w:rsidRPr="00B44D7E">
        <w:rPr>
          <w:rFonts w:ascii="Arial" w:hAnsi="Arial" w:cs="Arial"/>
        </w:rPr>
        <w:t>Osei-Owusu et al., 2024</w:t>
      </w:r>
      <w:r w:rsidRPr="00B44D7E">
        <w:rPr>
          <w:rFonts w:ascii="Arial" w:hAnsi="Arial" w:cs="Arial"/>
        </w:rPr>
        <w:t xml:space="preserve">). </w:t>
      </w:r>
      <w:r w:rsidR="009741B8" w:rsidRPr="00B44D7E">
        <w:rPr>
          <w:rFonts w:ascii="Arial" w:hAnsi="Arial" w:cs="Arial"/>
        </w:rPr>
        <w:lastRenderedPageBreak/>
        <w:t>Behavioral</w:t>
      </w:r>
      <w:r w:rsidRPr="00B44D7E">
        <w:rPr>
          <w:rFonts w:ascii="Arial" w:hAnsi="Arial" w:cs="Arial"/>
        </w:rPr>
        <w:t xml:space="preserve"> models are useful in the design of interventions, but they can only be useful in bringing about impact when included within systems that assist in affordability, accessibility, and social inclusion (</w:t>
      </w:r>
      <w:r w:rsidR="00C53CF7" w:rsidRPr="00B44D7E">
        <w:rPr>
          <w:rFonts w:ascii="Arial" w:hAnsi="Arial" w:cs="Arial"/>
        </w:rPr>
        <w:t>Young et al</w:t>
      </w:r>
      <w:r w:rsidRPr="00B44D7E">
        <w:rPr>
          <w:rFonts w:ascii="Arial" w:hAnsi="Arial" w:cs="Arial"/>
        </w:rPr>
        <w:t>, 202</w:t>
      </w:r>
      <w:r w:rsidR="00C53CF7" w:rsidRPr="00B44D7E">
        <w:rPr>
          <w:rFonts w:ascii="Arial" w:hAnsi="Arial" w:cs="Arial"/>
        </w:rPr>
        <w:t>3</w:t>
      </w:r>
      <w:r w:rsidRPr="00B44D7E">
        <w:rPr>
          <w:rFonts w:ascii="Arial" w:hAnsi="Arial" w:cs="Arial"/>
        </w:rPr>
        <w:t xml:space="preserve">). Scaling should be accompanied by embedded equity monitoring and the </w:t>
      </w:r>
      <w:r w:rsidR="009741B8" w:rsidRPr="00B44D7E">
        <w:rPr>
          <w:rFonts w:ascii="Arial" w:hAnsi="Arial" w:cs="Arial"/>
        </w:rPr>
        <w:t>standardized</w:t>
      </w:r>
      <w:r w:rsidRPr="00B44D7E">
        <w:rPr>
          <w:rFonts w:ascii="Arial" w:hAnsi="Arial" w:cs="Arial"/>
        </w:rPr>
        <w:t xml:space="preserve"> outcome measurement to make sure that the initiatives have benefited the populations at the highest risk.</w:t>
      </w:r>
    </w:p>
    <w:p w14:paraId="71B34B34" w14:textId="77777777" w:rsidR="00A85F16" w:rsidRPr="00B44D7E" w:rsidRDefault="00A85F16" w:rsidP="00B44D7E">
      <w:pPr>
        <w:pStyle w:val="Heading1"/>
        <w:spacing w:line="360" w:lineRule="auto"/>
        <w:rPr>
          <w:rFonts w:ascii="Arial" w:hAnsi="Arial" w:cs="Arial"/>
          <w:sz w:val="22"/>
          <w:szCs w:val="22"/>
        </w:rPr>
      </w:pPr>
      <w:bookmarkStart w:id="9" w:name="_Toc214025287"/>
      <w:r w:rsidRPr="00B44D7E">
        <w:rPr>
          <w:rFonts w:ascii="Arial" w:hAnsi="Arial" w:cs="Arial"/>
          <w:sz w:val="22"/>
          <w:szCs w:val="22"/>
        </w:rPr>
        <w:t>Conclusion</w:t>
      </w:r>
      <w:bookmarkEnd w:id="9"/>
    </w:p>
    <w:p w14:paraId="06590587" w14:textId="197ABF5D" w:rsidR="00A85F16" w:rsidRPr="00B44D7E" w:rsidRDefault="00A85F16" w:rsidP="00B44D7E">
      <w:pPr>
        <w:spacing w:line="360" w:lineRule="auto"/>
        <w:ind w:firstLine="720"/>
        <w:rPr>
          <w:rFonts w:ascii="Arial" w:hAnsi="Arial" w:cs="Arial"/>
        </w:rPr>
      </w:pPr>
      <w:r w:rsidRPr="00B44D7E">
        <w:rPr>
          <w:rFonts w:ascii="Arial" w:hAnsi="Arial" w:cs="Arial"/>
        </w:rPr>
        <w:t xml:space="preserve">The last few years have witnessed key policy and </w:t>
      </w:r>
      <w:proofErr w:type="spellStart"/>
      <w:r w:rsidRPr="00B44D7E">
        <w:rPr>
          <w:rFonts w:ascii="Arial" w:hAnsi="Arial" w:cs="Arial"/>
        </w:rPr>
        <w:t>programme</w:t>
      </w:r>
      <w:proofErr w:type="spellEnd"/>
      <w:r w:rsidRPr="00B44D7E">
        <w:rPr>
          <w:rFonts w:ascii="Arial" w:hAnsi="Arial" w:cs="Arial"/>
        </w:rPr>
        <w:t>-level developments that focus on mental health, incorporating community care and resilient food systems (WHO, 2022). The Health Belief Model use of mental health programs elucidates the role of perceptions and action cues in influencing help seeking and additionally illustrates how perceptions fail to produce the intended effect without structural investment to eliminate access barriers (</w:t>
      </w:r>
      <w:r w:rsidR="005A48FF" w:rsidRPr="00B44D7E">
        <w:rPr>
          <w:rFonts w:ascii="Arial" w:hAnsi="Arial" w:cs="Arial"/>
        </w:rPr>
        <w:t>Young et al., 2023</w:t>
      </w:r>
      <w:r w:rsidRPr="00B44D7E">
        <w:rPr>
          <w:rFonts w:ascii="Arial" w:hAnsi="Arial" w:cs="Arial"/>
        </w:rPr>
        <w:t xml:space="preserve">). The implementation of Social Cognitive Theory to food and agriculture interventions underlines the way modelling and self-efficacy influence </w:t>
      </w:r>
      <w:r w:rsidR="000D0668" w:rsidRPr="00B44D7E">
        <w:rPr>
          <w:rFonts w:ascii="Arial" w:hAnsi="Arial" w:cs="Arial"/>
        </w:rPr>
        <w:t>behavioral</w:t>
      </w:r>
      <w:r w:rsidRPr="00B44D7E">
        <w:rPr>
          <w:rFonts w:ascii="Arial" w:hAnsi="Arial" w:cs="Arial"/>
        </w:rPr>
        <w:t xml:space="preserve"> change and the restrictions imposed on the ability to translate the capability into long-term nutritional change by the environment (</w:t>
      </w:r>
      <w:r w:rsidR="002F0385" w:rsidRPr="00B44D7E">
        <w:rPr>
          <w:rFonts w:ascii="Arial" w:hAnsi="Arial" w:cs="Arial"/>
        </w:rPr>
        <w:t>McGeechan et al.</w:t>
      </w:r>
      <w:r w:rsidRPr="00B44D7E">
        <w:rPr>
          <w:rFonts w:ascii="Arial" w:hAnsi="Arial" w:cs="Arial"/>
        </w:rPr>
        <w:t>, 202</w:t>
      </w:r>
      <w:r w:rsidR="002F0385" w:rsidRPr="00B44D7E">
        <w:rPr>
          <w:rFonts w:ascii="Arial" w:hAnsi="Arial" w:cs="Arial"/>
        </w:rPr>
        <w:t>3</w:t>
      </w:r>
      <w:r w:rsidRPr="00B44D7E">
        <w:rPr>
          <w:rFonts w:ascii="Arial" w:hAnsi="Arial" w:cs="Arial"/>
        </w:rPr>
        <w:t xml:space="preserve">). Their further development will rely on both combined strategies that will entail the integration of global guidance, national system fortification, and co-production at the community level, and the </w:t>
      </w:r>
      <w:r w:rsidR="00EE74F5" w:rsidRPr="00B44D7E">
        <w:rPr>
          <w:rFonts w:ascii="Arial" w:hAnsi="Arial" w:cs="Arial"/>
        </w:rPr>
        <w:t>focus</w:t>
      </w:r>
      <w:r w:rsidR="00EE74F5">
        <w:rPr>
          <w:rFonts w:ascii="Arial" w:hAnsi="Arial" w:cs="Arial"/>
        </w:rPr>
        <w:t xml:space="preserve">es </w:t>
      </w:r>
      <w:r w:rsidRPr="00B44D7E">
        <w:rPr>
          <w:rFonts w:ascii="Arial" w:hAnsi="Arial" w:cs="Arial"/>
        </w:rPr>
        <w:t xml:space="preserve">on equity, long-term funding, and strong evaluation systems. Both SDG 3 and SDG 2 are based on human development and equity. The analysis shows that global and national campaigns, including those of WHO, WFP, NHS England, and Defra, have achieved significant progress, but the effectiveness of these campaigns relies largely on local involvement and local adaptation to the situation. The </w:t>
      </w:r>
      <w:r w:rsidR="009741B8" w:rsidRPr="00B44D7E">
        <w:rPr>
          <w:rFonts w:ascii="Arial" w:hAnsi="Arial" w:cs="Arial"/>
        </w:rPr>
        <w:t>utilization</w:t>
      </w:r>
      <w:r w:rsidRPr="00B44D7E">
        <w:rPr>
          <w:rFonts w:ascii="Arial" w:hAnsi="Arial" w:cs="Arial"/>
        </w:rPr>
        <w:t xml:space="preserve"> of theoretical models such as the Health Belief Model and the Social Cognitive Theory facilitates a more intense insight into </w:t>
      </w:r>
      <w:r w:rsidR="009741B8" w:rsidRPr="00B44D7E">
        <w:rPr>
          <w:rFonts w:ascii="Arial" w:hAnsi="Arial" w:cs="Arial"/>
        </w:rPr>
        <w:t>behavioral</w:t>
      </w:r>
      <w:r w:rsidRPr="00B44D7E">
        <w:rPr>
          <w:rFonts w:ascii="Arial" w:hAnsi="Arial" w:cs="Arial"/>
        </w:rPr>
        <w:t xml:space="preserve"> processes that </w:t>
      </w:r>
      <w:r w:rsidR="00EE74F5" w:rsidRPr="00B44D7E">
        <w:rPr>
          <w:rFonts w:ascii="Arial" w:hAnsi="Arial" w:cs="Arial"/>
        </w:rPr>
        <w:t>underline</w:t>
      </w:r>
      <w:r w:rsidRPr="00B44D7E">
        <w:rPr>
          <w:rFonts w:ascii="Arial" w:hAnsi="Arial" w:cs="Arial"/>
        </w:rPr>
        <w:t xml:space="preserve"> interventions related to the field of public health and food security. </w:t>
      </w:r>
    </w:p>
    <w:p w14:paraId="2035B46E" w14:textId="77777777" w:rsidR="007C6D9A" w:rsidRPr="00B44D7E" w:rsidRDefault="007C6D9A" w:rsidP="00B44D7E">
      <w:pPr>
        <w:spacing w:line="360" w:lineRule="auto"/>
        <w:rPr>
          <w:rFonts w:ascii="Arial" w:hAnsi="Arial" w:cs="Arial"/>
        </w:rPr>
      </w:pPr>
    </w:p>
    <w:p w14:paraId="4757B621" w14:textId="77777777" w:rsidR="007C6D9A" w:rsidRPr="00B44D7E" w:rsidRDefault="007C6D9A" w:rsidP="00B44D7E">
      <w:pPr>
        <w:spacing w:line="360" w:lineRule="auto"/>
        <w:rPr>
          <w:rFonts w:ascii="Arial" w:hAnsi="Arial" w:cs="Arial"/>
        </w:rPr>
      </w:pPr>
    </w:p>
    <w:p w14:paraId="0AF2E57C" w14:textId="77777777" w:rsidR="007C6D9A" w:rsidRPr="00B44D7E" w:rsidRDefault="007C6D9A" w:rsidP="00B44D7E">
      <w:pPr>
        <w:spacing w:line="360" w:lineRule="auto"/>
        <w:rPr>
          <w:rFonts w:ascii="Arial" w:hAnsi="Arial" w:cs="Arial"/>
        </w:rPr>
      </w:pPr>
    </w:p>
    <w:p w14:paraId="235A8331" w14:textId="77777777" w:rsidR="007C6D9A" w:rsidRPr="00B44D7E" w:rsidRDefault="007C6D9A" w:rsidP="00B44D7E">
      <w:pPr>
        <w:spacing w:line="360" w:lineRule="auto"/>
        <w:rPr>
          <w:rFonts w:ascii="Arial" w:hAnsi="Arial" w:cs="Arial"/>
        </w:rPr>
      </w:pPr>
    </w:p>
    <w:p w14:paraId="6267AAAB" w14:textId="77777777" w:rsidR="007C6D9A" w:rsidRPr="00B44D7E" w:rsidRDefault="007C6D9A" w:rsidP="00B44D7E">
      <w:pPr>
        <w:spacing w:line="360" w:lineRule="auto"/>
        <w:rPr>
          <w:rFonts w:ascii="Arial" w:hAnsi="Arial" w:cs="Arial"/>
        </w:rPr>
      </w:pPr>
    </w:p>
    <w:p w14:paraId="3E0B40FB" w14:textId="77777777" w:rsidR="007C6D9A" w:rsidRPr="00B44D7E" w:rsidRDefault="007C6D9A" w:rsidP="00B44D7E">
      <w:pPr>
        <w:spacing w:line="360" w:lineRule="auto"/>
        <w:rPr>
          <w:rFonts w:ascii="Arial" w:hAnsi="Arial" w:cs="Arial"/>
        </w:rPr>
      </w:pPr>
    </w:p>
    <w:p w14:paraId="50C8B560" w14:textId="77777777" w:rsidR="007C6D9A" w:rsidRPr="00B44D7E" w:rsidRDefault="007C6D9A" w:rsidP="00B44D7E">
      <w:pPr>
        <w:spacing w:line="360" w:lineRule="auto"/>
        <w:rPr>
          <w:rFonts w:ascii="Arial" w:hAnsi="Arial" w:cs="Arial"/>
        </w:rPr>
      </w:pPr>
    </w:p>
    <w:p w14:paraId="3EE2F5B2" w14:textId="77777777" w:rsidR="007C6D9A" w:rsidRPr="00B44D7E" w:rsidRDefault="007C6D9A" w:rsidP="00B44D7E">
      <w:pPr>
        <w:spacing w:line="360" w:lineRule="auto"/>
        <w:rPr>
          <w:rFonts w:ascii="Arial" w:hAnsi="Arial" w:cs="Arial"/>
        </w:rPr>
      </w:pPr>
    </w:p>
    <w:p w14:paraId="23F894FE" w14:textId="77777777" w:rsidR="007C6D9A" w:rsidRPr="00B44D7E" w:rsidRDefault="007C6D9A" w:rsidP="00B44D7E">
      <w:pPr>
        <w:spacing w:line="360" w:lineRule="auto"/>
        <w:rPr>
          <w:rFonts w:ascii="Arial" w:hAnsi="Arial" w:cs="Arial"/>
        </w:rPr>
      </w:pPr>
    </w:p>
    <w:p w14:paraId="12789A42" w14:textId="77777777" w:rsidR="007C6D9A" w:rsidRPr="00B44D7E" w:rsidRDefault="007C6D9A" w:rsidP="00B44D7E">
      <w:pPr>
        <w:spacing w:line="360" w:lineRule="auto"/>
        <w:rPr>
          <w:rFonts w:ascii="Arial" w:hAnsi="Arial" w:cs="Arial"/>
        </w:rPr>
      </w:pPr>
    </w:p>
    <w:p w14:paraId="37C2A27B" w14:textId="77777777" w:rsidR="007C6D9A" w:rsidRPr="00B44D7E" w:rsidRDefault="007C6D9A" w:rsidP="00B44D7E">
      <w:pPr>
        <w:spacing w:line="360" w:lineRule="auto"/>
        <w:rPr>
          <w:rFonts w:ascii="Arial" w:hAnsi="Arial" w:cs="Arial"/>
        </w:rPr>
      </w:pPr>
    </w:p>
    <w:p w14:paraId="40E00D9E" w14:textId="77777777" w:rsidR="007C6D9A" w:rsidRPr="00B44D7E" w:rsidRDefault="00C53CF7" w:rsidP="00B44D7E">
      <w:pPr>
        <w:pStyle w:val="Heading1"/>
        <w:spacing w:line="360" w:lineRule="auto"/>
        <w:rPr>
          <w:rFonts w:ascii="Arial" w:hAnsi="Arial" w:cs="Arial"/>
          <w:sz w:val="22"/>
          <w:szCs w:val="22"/>
        </w:rPr>
      </w:pPr>
      <w:bookmarkStart w:id="10" w:name="_Toc214025288"/>
      <w:r w:rsidRPr="00B44D7E">
        <w:rPr>
          <w:rFonts w:ascii="Arial" w:hAnsi="Arial" w:cs="Arial"/>
          <w:sz w:val="22"/>
          <w:szCs w:val="22"/>
        </w:rPr>
        <w:t>Reference List</w:t>
      </w:r>
      <w:bookmarkEnd w:id="10"/>
    </w:p>
    <w:p w14:paraId="6E77446E"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Barker, L., Wang, S.S., Huda, M.N., Sunder, A., Patel, K. and McCauley, R. (2025) ‘Community based mental health interventions for reducing youth suicidal thoughts and </w:t>
      </w:r>
      <w:proofErr w:type="spellStart"/>
      <w:r w:rsidRPr="00B44D7E">
        <w:rPr>
          <w:rFonts w:ascii="Arial" w:hAnsi="Arial" w:cs="Arial"/>
        </w:rPr>
        <w:t>behaviours</w:t>
      </w:r>
      <w:proofErr w:type="spellEnd"/>
      <w:r w:rsidRPr="00B44D7E">
        <w:rPr>
          <w:rFonts w:ascii="Arial" w:hAnsi="Arial" w:cs="Arial"/>
        </w:rPr>
        <w:t xml:space="preserve">: A systematic review and </w:t>
      </w:r>
      <w:r w:rsidR="00BF0F9C" w:rsidRPr="00B44D7E">
        <w:rPr>
          <w:rFonts w:ascii="Arial" w:hAnsi="Arial" w:cs="Arial"/>
        </w:rPr>
        <w:t>meta-analysis</w:t>
      </w:r>
      <w:r w:rsidRPr="00B44D7E">
        <w:rPr>
          <w:rFonts w:ascii="Arial" w:hAnsi="Arial" w:cs="Arial"/>
        </w:rPr>
        <w:t xml:space="preserve">’, </w:t>
      </w:r>
      <w:r w:rsidRPr="00B44D7E">
        <w:rPr>
          <w:rFonts w:ascii="Arial" w:hAnsi="Arial" w:cs="Arial"/>
          <w:i/>
          <w:iCs/>
        </w:rPr>
        <w:t>BMC Psychiatry</w:t>
      </w:r>
      <w:r w:rsidRPr="00B44D7E">
        <w:rPr>
          <w:rFonts w:ascii="Arial" w:hAnsi="Arial" w:cs="Arial"/>
        </w:rPr>
        <w:t>, 25, 1041.</w:t>
      </w:r>
    </w:p>
    <w:p w14:paraId="70892E96"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Barnett, P., </w:t>
      </w:r>
      <w:proofErr w:type="spellStart"/>
      <w:r w:rsidRPr="00B44D7E">
        <w:rPr>
          <w:rFonts w:ascii="Arial" w:hAnsi="Arial" w:cs="Arial"/>
        </w:rPr>
        <w:t>Steare</w:t>
      </w:r>
      <w:proofErr w:type="spellEnd"/>
      <w:r w:rsidRPr="00B44D7E">
        <w:rPr>
          <w:rFonts w:ascii="Arial" w:hAnsi="Arial" w:cs="Arial"/>
        </w:rPr>
        <w:t xml:space="preserve">, T., </w:t>
      </w:r>
      <w:proofErr w:type="spellStart"/>
      <w:r w:rsidRPr="00B44D7E">
        <w:rPr>
          <w:rFonts w:ascii="Arial" w:hAnsi="Arial" w:cs="Arial"/>
        </w:rPr>
        <w:t>Dedat</w:t>
      </w:r>
      <w:proofErr w:type="spellEnd"/>
      <w:r w:rsidRPr="00B44D7E">
        <w:rPr>
          <w:rFonts w:ascii="Arial" w:hAnsi="Arial" w:cs="Arial"/>
        </w:rPr>
        <w:t>, Z., Patel, V., Lloyd-Evans, B. and Johnson, S. (</w:t>
      </w:r>
      <w:proofErr w:type="gramStart"/>
      <w:r w:rsidRPr="00B44D7E">
        <w:rPr>
          <w:rFonts w:ascii="Arial" w:hAnsi="Arial" w:cs="Arial"/>
        </w:rPr>
        <w:t>2022) ‘</w:t>
      </w:r>
      <w:proofErr w:type="gramEnd"/>
      <w:r w:rsidRPr="00B44D7E">
        <w:rPr>
          <w:rFonts w:ascii="Arial" w:hAnsi="Arial" w:cs="Arial"/>
        </w:rPr>
        <w:t xml:space="preserve">Interventions to improve social circumstances of people with mental health conditions: A rapid evidence synthesis’, </w:t>
      </w:r>
      <w:r w:rsidRPr="00B44D7E">
        <w:rPr>
          <w:rFonts w:ascii="Arial" w:hAnsi="Arial" w:cs="Arial"/>
          <w:i/>
          <w:iCs/>
        </w:rPr>
        <w:t>BMC Psychiatry</w:t>
      </w:r>
      <w:r w:rsidRPr="00B44D7E">
        <w:rPr>
          <w:rFonts w:ascii="Arial" w:hAnsi="Arial" w:cs="Arial"/>
        </w:rPr>
        <w:t>, 22, 302.</w:t>
      </w:r>
    </w:p>
    <w:p w14:paraId="59CD2FCB"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Beck, J.B.J., </w:t>
      </w:r>
      <w:proofErr w:type="spellStart"/>
      <w:r w:rsidRPr="00B44D7E">
        <w:rPr>
          <w:rFonts w:ascii="Arial" w:hAnsi="Arial" w:cs="Arial"/>
        </w:rPr>
        <w:t>Koebach</w:t>
      </w:r>
      <w:proofErr w:type="spellEnd"/>
      <w:r w:rsidRPr="00B44D7E">
        <w:rPr>
          <w:rFonts w:ascii="Arial" w:hAnsi="Arial" w:cs="Arial"/>
        </w:rPr>
        <w:t>, A., Abreu, L., Foley, S. and Elbert, T. (</w:t>
      </w:r>
      <w:proofErr w:type="gramStart"/>
      <w:r w:rsidRPr="00B44D7E">
        <w:rPr>
          <w:rFonts w:ascii="Arial" w:hAnsi="Arial" w:cs="Arial"/>
        </w:rPr>
        <w:t>2023) ‘</w:t>
      </w:r>
      <w:proofErr w:type="gramEnd"/>
      <w:r w:rsidRPr="00B44D7E">
        <w:rPr>
          <w:rFonts w:ascii="Arial" w:hAnsi="Arial" w:cs="Arial"/>
        </w:rPr>
        <w:t xml:space="preserve">Covid-19 pandemic and food insecurity fuel the mental health crisis in Africa’, </w:t>
      </w:r>
      <w:r w:rsidRPr="00B44D7E">
        <w:rPr>
          <w:rFonts w:ascii="Arial" w:hAnsi="Arial" w:cs="Arial"/>
          <w:i/>
          <w:iCs/>
        </w:rPr>
        <w:t>International Journal of Public Health</w:t>
      </w:r>
      <w:r w:rsidRPr="00B44D7E">
        <w:rPr>
          <w:rFonts w:ascii="Arial" w:hAnsi="Arial" w:cs="Arial"/>
        </w:rPr>
        <w:t>, 68, 1606369.</w:t>
      </w:r>
    </w:p>
    <w:p w14:paraId="2FAF6FF7"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 Bhan, N., Kohli, N., Millett, C., Subramanian, S.V. and Basu, S. (</w:t>
      </w:r>
      <w:proofErr w:type="gramStart"/>
      <w:r w:rsidRPr="00B44D7E">
        <w:rPr>
          <w:rFonts w:ascii="Arial" w:hAnsi="Arial" w:cs="Arial"/>
        </w:rPr>
        <w:t>2023) ‘</w:t>
      </w:r>
      <w:proofErr w:type="gramEnd"/>
      <w:r w:rsidRPr="00B44D7E">
        <w:rPr>
          <w:rFonts w:ascii="Arial" w:hAnsi="Arial" w:cs="Arial"/>
        </w:rPr>
        <w:t xml:space="preserve">Mental health, social conditions, and food insecurity: Intersecting drivers of health inequality’, </w:t>
      </w:r>
      <w:r w:rsidRPr="00B44D7E">
        <w:rPr>
          <w:rFonts w:ascii="Arial" w:hAnsi="Arial" w:cs="Arial"/>
          <w:i/>
          <w:iCs/>
        </w:rPr>
        <w:t>Social Science &amp; Medicine</w:t>
      </w:r>
      <w:r w:rsidRPr="00B44D7E">
        <w:rPr>
          <w:rFonts w:ascii="Arial" w:hAnsi="Arial" w:cs="Arial"/>
        </w:rPr>
        <w:t>, 320, 115737.</w:t>
      </w:r>
    </w:p>
    <w:p w14:paraId="78671BD0"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 Brooks, H., Devereux-Fitzgerald, A., Richmond, L., Bee, P., Haddock, G. and Lovell, K. (</w:t>
      </w:r>
      <w:proofErr w:type="gramStart"/>
      <w:r w:rsidRPr="00B44D7E">
        <w:rPr>
          <w:rFonts w:ascii="Arial" w:hAnsi="Arial" w:cs="Arial"/>
        </w:rPr>
        <w:t>2023) ‘</w:t>
      </w:r>
      <w:proofErr w:type="gramEnd"/>
      <w:r w:rsidRPr="00B44D7E">
        <w:rPr>
          <w:rFonts w:ascii="Arial" w:hAnsi="Arial" w:cs="Arial"/>
        </w:rPr>
        <w:t xml:space="preserve">Exploring the use of social network interventions for adults with mental health difficulties: A systematic review and narrative synthesis’, </w:t>
      </w:r>
      <w:r w:rsidRPr="00B44D7E">
        <w:rPr>
          <w:rFonts w:ascii="Arial" w:hAnsi="Arial" w:cs="Arial"/>
          <w:i/>
          <w:iCs/>
        </w:rPr>
        <w:t>BMC Psychiatry</w:t>
      </w:r>
      <w:r w:rsidRPr="00B44D7E">
        <w:rPr>
          <w:rFonts w:ascii="Arial" w:hAnsi="Arial" w:cs="Arial"/>
        </w:rPr>
        <w:t>, 23, 486.</w:t>
      </w:r>
    </w:p>
    <w:p w14:paraId="26A2E689"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 Burnett, R., Fox, E., Sullivan, L. and Draper, A. (2024) ‘</w:t>
      </w:r>
      <w:proofErr w:type="spellStart"/>
      <w:r w:rsidRPr="00B44D7E">
        <w:rPr>
          <w:rFonts w:ascii="Arial" w:hAnsi="Arial" w:cs="Arial"/>
        </w:rPr>
        <w:t>Behaviour</w:t>
      </w:r>
      <w:proofErr w:type="spellEnd"/>
      <w:r w:rsidRPr="00B44D7E">
        <w:rPr>
          <w:rFonts w:ascii="Arial" w:hAnsi="Arial" w:cs="Arial"/>
        </w:rPr>
        <w:t xml:space="preserve"> change interventions for healthy eating in disadvantaged communities: A systematic review’, </w:t>
      </w:r>
      <w:r w:rsidRPr="00B44D7E">
        <w:rPr>
          <w:rFonts w:ascii="Arial" w:hAnsi="Arial" w:cs="Arial"/>
          <w:i/>
          <w:iCs/>
        </w:rPr>
        <w:t>Public Health Nutrition</w:t>
      </w:r>
      <w:r w:rsidRPr="00B44D7E">
        <w:rPr>
          <w:rFonts w:ascii="Arial" w:hAnsi="Arial" w:cs="Arial"/>
        </w:rPr>
        <w:t>, 27(1), pp. 45–59.</w:t>
      </w:r>
    </w:p>
    <w:p w14:paraId="5272E5DE"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Cain, K.S., Meyer, S.C., Cummer, E., </w:t>
      </w:r>
      <w:proofErr w:type="spellStart"/>
      <w:r w:rsidRPr="00B44D7E">
        <w:rPr>
          <w:rFonts w:ascii="Arial" w:hAnsi="Arial" w:cs="Arial"/>
        </w:rPr>
        <w:t>Lillehoj</w:t>
      </w:r>
      <w:proofErr w:type="spellEnd"/>
      <w:r w:rsidRPr="00B44D7E">
        <w:rPr>
          <w:rFonts w:ascii="Arial" w:hAnsi="Arial" w:cs="Arial"/>
        </w:rPr>
        <w:t xml:space="preserve">, C.J., Perkins, N. and De Marco, M. (2022) ‘Association of food insecurity with mental health outcomes in parents and children: A systematic review’, </w:t>
      </w:r>
      <w:r w:rsidRPr="00B44D7E">
        <w:rPr>
          <w:rFonts w:ascii="Arial" w:hAnsi="Arial" w:cs="Arial"/>
          <w:i/>
          <w:iCs/>
        </w:rPr>
        <w:t>Academic Pediatrics</w:t>
      </w:r>
      <w:r w:rsidRPr="00B44D7E">
        <w:rPr>
          <w:rFonts w:ascii="Arial" w:hAnsi="Arial" w:cs="Arial"/>
        </w:rPr>
        <w:t>, 22(7), pp. 1105–1114.</w:t>
      </w:r>
    </w:p>
    <w:p w14:paraId="1CE95629"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Cooper, R.E., Saunders, K.R.K., Greenburgh, A., Pritchard, M., Wood, L., Atkin, K. and Gayer-Anderson, C. (2024) ‘The effectiveness, implementation and experiences of peer support approaches for mental health: A systematic umbrella review’, </w:t>
      </w:r>
      <w:r w:rsidRPr="00B44D7E">
        <w:rPr>
          <w:rFonts w:ascii="Arial" w:hAnsi="Arial" w:cs="Arial"/>
          <w:i/>
          <w:iCs/>
        </w:rPr>
        <w:t>BMC Medicine</w:t>
      </w:r>
      <w:r w:rsidRPr="00B44D7E">
        <w:rPr>
          <w:rFonts w:ascii="Arial" w:hAnsi="Arial" w:cs="Arial"/>
        </w:rPr>
        <w:t>, 22, 72.</w:t>
      </w:r>
    </w:p>
    <w:p w14:paraId="3E9B1493" w14:textId="77777777" w:rsidR="007C6D9A" w:rsidRPr="00B44D7E" w:rsidRDefault="007C6D9A" w:rsidP="00B44D7E">
      <w:pPr>
        <w:spacing w:line="360" w:lineRule="auto"/>
        <w:ind w:left="720" w:hanging="720"/>
        <w:rPr>
          <w:rFonts w:ascii="Arial" w:hAnsi="Arial" w:cs="Arial"/>
        </w:rPr>
      </w:pPr>
      <w:r w:rsidRPr="00B44D7E">
        <w:rPr>
          <w:rFonts w:ascii="Arial" w:hAnsi="Arial" w:cs="Arial"/>
        </w:rPr>
        <w:lastRenderedPageBreak/>
        <w:t xml:space="preserve"> Favara, M., Ward, A., Lee, H. and Porter, C. (</w:t>
      </w:r>
      <w:proofErr w:type="gramStart"/>
      <w:r w:rsidRPr="00B44D7E">
        <w:rPr>
          <w:rFonts w:ascii="Arial" w:hAnsi="Arial" w:cs="Arial"/>
        </w:rPr>
        <w:t>2025) ‘</w:t>
      </w:r>
      <w:proofErr w:type="gramEnd"/>
      <w:r w:rsidRPr="00B44D7E">
        <w:rPr>
          <w:rFonts w:ascii="Arial" w:hAnsi="Arial" w:cs="Arial"/>
        </w:rPr>
        <w:t xml:space="preserve">Covid-19 induced food insecurity and adolescent wellbeing: One year post Covid’, </w:t>
      </w:r>
      <w:r w:rsidRPr="00B44D7E">
        <w:rPr>
          <w:rFonts w:ascii="Arial" w:hAnsi="Arial" w:cs="Arial"/>
          <w:i/>
          <w:iCs/>
        </w:rPr>
        <w:t>Child Indicators Research</w:t>
      </w:r>
      <w:r w:rsidRPr="00B44D7E">
        <w:rPr>
          <w:rFonts w:ascii="Arial" w:hAnsi="Arial" w:cs="Arial"/>
        </w:rPr>
        <w:t>, Advance online publication.</w:t>
      </w:r>
    </w:p>
    <w:p w14:paraId="5E710F49"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Ghosh, J. (</w:t>
      </w:r>
      <w:proofErr w:type="gramStart"/>
      <w:r w:rsidRPr="00B44D7E">
        <w:rPr>
          <w:rFonts w:ascii="Arial" w:hAnsi="Arial" w:cs="Arial"/>
        </w:rPr>
        <w:t>2023) ‘</w:t>
      </w:r>
      <w:proofErr w:type="gramEnd"/>
      <w:r w:rsidRPr="00B44D7E">
        <w:rPr>
          <w:rFonts w:ascii="Arial" w:hAnsi="Arial" w:cs="Arial"/>
        </w:rPr>
        <w:t xml:space="preserve">Global hunger and policy responses’, </w:t>
      </w:r>
      <w:r w:rsidRPr="00B44D7E">
        <w:rPr>
          <w:rFonts w:ascii="Arial" w:hAnsi="Arial" w:cs="Arial"/>
          <w:i/>
          <w:iCs/>
        </w:rPr>
        <w:t>World Development</w:t>
      </w:r>
      <w:r w:rsidRPr="00B44D7E">
        <w:rPr>
          <w:rFonts w:ascii="Arial" w:hAnsi="Arial" w:cs="Arial"/>
        </w:rPr>
        <w:t>, 161, 106074.</w:t>
      </w:r>
    </w:p>
    <w:p w14:paraId="32645317"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 Giebel, C., Shrestha, N., Reilly, S., Arora, R., Dao, A., Drozdowska, A., </w:t>
      </w:r>
      <w:proofErr w:type="spellStart"/>
      <w:r w:rsidRPr="00B44D7E">
        <w:rPr>
          <w:rFonts w:ascii="Arial" w:hAnsi="Arial" w:cs="Arial"/>
        </w:rPr>
        <w:t>Gofal</w:t>
      </w:r>
      <w:proofErr w:type="spellEnd"/>
      <w:r w:rsidRPr="00B44D7E">
        <w:rPr>
          <w:rFonts w:ascii="Arial" w:hAnsi="Arial" w:cs="Arial"/>
        </w:rPr>
        <w:t>, S., Khan, A.N. and Tulloch, A.D. (</w:t>
      </w:r>
      <w:proofErr w:type="gramStart"/>
      <w:r w:rsidRPr="00B44D7E">
        <w:rPr>
          <w:rFonts w:ascii="Arial" w:hAnsi="Arial" w:cs="Arial"/>
        </w:rPr>
        <w:t>2022) ‘</w:t>
      </w:r>
      <w:proofErr w:type="gramEnd"/>
      <w:r w:rsidRPr="00B44D7E">
        <w:rPr>
          <w:rFonts w:ascii="Arial" w:hAnsi="Arial" w:cs="Arial"/>
        </w:rPr>
        <w:t xml:space="preserve">Community based mental health and wellbeing interventions for older adults in </w:t>
      </w:r>
      <w:proofErr w:type="gramStart"/>
      <w:r w:rsidRPr="00B44D7E">
        <w:rPr>
          <w:rFonts w:ascii="Arial" w:hAnsi="Arial" w:cs="Arial"/>
        </w:rPr>
        <w:t>low and middle income</w:t>
      </w:r>
      <w:proofErr w:type="gramEnd"/>
      <w:r w:rsidRPr="00B44D7E">
        <w:rPr>
          <w:rFonts w:ascii="Arial" w:hAnsi="Arial" w:cs="Arial"/>
        </w:rPr>
        <w:t xml:space="preserve"> countries: A systematic review and </w:t>
      </w:r>
      <w:proofErr w:type="spellStart"/>
      <w:proofErr w:type="gramStart"/>
      <w:r w:rsidRPr="00B44D7E">
        <w:rPr>
          <w:rFonts w:ascii="Arial" w:hAnsi="Arial" w:cs="Arial"/>
        </w:rPr>
        <w:t>meta analysis</w:t>
      </w:r>
      <w:proofErr w:type="spellEnd"/>
      <w:proofErr w:type="gramEnd"/>
      <w:r w:rsidRPr="00B44D7E">
        <w:rPr>
          <w:rFonts w:ascii="Arial" w:hAnsi="Arial" w:cs="Arial"/>
        </w:rPr>
        <w:t xml:space="preserve">’, </w:t>
      </w:r>
      <w:r w:rsidRPr="00B44D7E">
        <w:rPr>
          <w:rFonts w:ascii="Arial" w:hAnsi="Arial" w:cs="Arial"/>
          <w:i/>
          <w:iCs/>
        </w:rPr>
        <w:t>BMC Geriatrics</w:t>
      </w:r>
      <w:r w:rsidRPr="00B44D7E">
        <w:rPr>
          <w:rFonts w:ascii="Arial" w:hAnsi="Arial" w:cs="Arial"/>
        </w:rPr>
        <w:t>, 22, 773.</w:t>
      </w:r>
    </w:p>
    <w:p w14:paraId="4DD45E97"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Hirvonen, K., Bai, Y., Headey, D. and Masters, W.A. (2023) ‘Drivers of food insecurity in low-income settings’, </w:t>
      </w:r>
      <w:r w:rsidRPr="00B44D7E">
        <w:rPr>
          <w:rFonts w:ascii="Arial" w:hAnsi="Arial" w:cs="Arial"/>
          <w:i/>
          <w:iCs/>
        </w:rPr>
        <w:t>Food Policy</w:t>
      </w:r>
      <w:r w:rsidRPr="00B44D7E">
        <w:rPr>
          <w:rFonts w:ascii="Arial" w:hAnsi="Arial" w:cs="Arial"/>
        </w:rPr>
        <w:t>, 113, pp. 1–10.</w:t>
      </w:r>
    </w:p>
    <w:p w14:paraId="673D9A66"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Lee, J., Lee, H. and Jeong, H. (2023) ‘Determinants of mental health service </w:t>
      </w:r>
      <w:proofErr w:type="spellStart"/>
      <w:r w:rsidRPr="00B44D7E">
        <w:rPr>
          <w:rFonts w:ascii="Arial" w:hAnsi="Arial" w:cs="Arial"/>
        </w:rPr>
        <w:t>utilisation</w:t>
      </w:r>
      <w:proofErr w:type="spellEnd"/>
      <w:r w:rsidRPr="00B44D7E">
        <w:rPr>
          <w:rFonts w:ascii="Arial" w:hAnsi="Arial" w:cs="Arial"/>
        </w:rPr>
        <w:t xml:space="preserve">: A systematic review of global evidence’, </w:t>
      </w:r>
      <w:r w:rsidRPr="00B44D7E">
        <w:rPr>
          <w:rFonts w:ascii="Arial" w:hAnsi="Arial" w:cs="Arial"/>
          <w:i/>
          <w:iCs/>
        </w:rPr>
        <w:t>Social Psychiatry and Psychiatric Epidemiology</w:t>
      </w:r>
      <w:r w:rsidRPr="00B44D7E">
        <w:rPr>
          <w:rFonts w:ascii="Arial" w:hAnsi="Arial" w:cs="Arial"/>
        </w:rPr>
        <w:t>, 58(4), pp. 567–584.</w:t>
      </w:r>
    </w:p>
    <w:p w14:paraId="41592933"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 McGeechan, G.J., Ells, L.J. and Giles, E.L. (2023) ‘Food insecurity and severe mental illness: Understanding the hidden problem and screening for food access during routine care’, </w:t>
      </w:r>
      <w:proofErr w:type="spellStart"/>
      <w:r w:rsidRPr="00B44D7E">
        <w:rPr>
          <w:rFonts w:ascii="Arial" w:hAnsi="Arial" w:cs="Arial"/>
          <w:i/>
          <w:iCs/>
        </w:rPr>
        <w:t>BJPsych</w:t>
      </w:r>
      <w:proofErr w:type="spellEnd"/>
      <w:r w:rsidRPr="00B44D7E">
        <w:rPr>
          <w:rFonts w:ascii="Arial" w:hAnsi="Arial" w:cs="Arial"/>
          <w:i/>
          <w:iCs/>
        </w:rPr>
        <w:t xml:space="preserve"> Advances</w:t>
      </w:r>
      <w:r w:rsidRPr="00B44D7E">
        <w:rPr>
          <w:rFonts w:ascii="Arial" w:hAnsi="Arial" w:cs="Arial"/>
        </w:rPr>
        <w:t>, 29, pp. 204–212.</w:t>
      </w:r>
    </w:p>
    <w:p w14:paraId="148E63D2"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Niles, M.T., Beavers, A.W., Clay, L.A. and Rogus, S. (</w:t>
      </w:r>
      <w:proofErr w:type="gramStart"/>
      <w:r w:rsidRPr="00B44D7E">
        <w:rPr>
          <w:rFonts w:ascii="Arial" w:hAnsi="Arial" w:cs="Arial"/>
        </w:rPr>
        <w:t>2023) ‘</w:t>
      </w:r>
      <w:proofErr w:type="gramEnd"/>
      <w:r w:rsidRPr="00B44D7E">
        <w:rPr>
          <w:rFonts w:ascii="Arial" w:hAnsi="Arial" w:cs="Arial"/>
        </w:rPr>
        <w:t xml:space="preserve">Food insecurity during economic shocks: A global systematic review’, </w:t>
      </w:r>
      <w:r w:rsidRPr="00B44D7E">
        <w:rPr>
          <w:rFonts w:ascii="Arial" w:hAnsi="Arial" w:cs="Arial"/>
          <w:i/>
          <w:iCs/>
        </w:rPr>
        <w:t>Global Food Security</w:t>
      </w:r>
      <w:r w:rsidRPr="00B44D7E">
        <w:rPr>
          <w:rFonts w:ascii="Arial" w:hAnsi="Arial" w:cs="Arial"/>
        </w:rPr>
        <w:t>, 37, 100657.</w:t>
      </w:r>
    </w:p>
    <w:p w14:paraId="35981E0C"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Osei-Owusu, Y., Boateng, G.O. and Appiah, K. (2024) ‘The impact of food insecurity on mental health among older adults in </w:t>
      </w:r>
      <w:proofErr w:type="gramStart"/>
      <w:r w:rsidRPr="00B44D7E">
        <w:rPr>
          <w:rFonts w:ascii="Arial" w:hAnsi="Arial" w:cs="Arial"/>
        </w:rPr>
        <w:t>low and middle income</w:t>
      </w:r>
      <w:proofErr w:type="gramEnd"/>
      <w:r w:rsidRPr="00B44D7E">
        <w:rPr>
          <w:rFonts w:ascii="Arial" w:hAnsi="Arial" w:cs="Arial"/>
        </w:rPr>
        <w:t xml:space="preserve"> countries: A systematic review’, </w:t>
      </w:r>
      <w:r w:rsidRPr="00B44D7E">
        <w:rPr>
          <w:rFonts w:ascii="Arial" w:hAnsi="Arial" w:cs="Arial"/>
          <w:i/>
          <w:iCs/>
        </w:rPr>
        <w:t>Journal of Affective Disorders</w:t>
      </w:r>
      <w:r w:rsidRPr="00B44D7E">
        <w:rPr>
          <w:rFonts w:ascii="Arial" w:hAnsi="Arial" w:cs="Arial"/>
        </w:rPr>
        <w:t>, 325, pp. 119–129.</w:t>
      </w:r>
    </w:p>
    <w:p w14:paraId="27C57306"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 </w:t>
      </w:r>
      <w:proofErr w:type="spellStart"/>
      <w:r w:rsidRPr="00B44D7E">
        <w:rPr>
          <w:rFonts w:ascii="Arial" w:hAnsi="Arial" w:cs="Arial"/>
        </w:rPr>
        <w:t>Pourmotabbed</w:t>
      </w:r>
      <w:proofErr w:type="spellEnd"/>
      <w:r w:rsidRPr="00B44D7E">
        <w:rPr>
          <w:rFonts w:ascii="Arial" w:hAnsi="Arial" w:cs="Arial"/>
        </w:rPr>
        <w:t xml:space="preserve">, A., Moradi, S., Babaei, A., Ghavami, A., Mohammadi, H. and Hamedani, M. (2020) ‘Food insecurity and mental health: A systematic review and </w:t>
      </w:r>
      <w:proofErr w:type="spellStart"/>
      <w:proofErr w:type="gramStart"/>
      <w:r w:rsidRPr="00B44D7E">
        <w:rPr>
          <w:rFonts w:ascii="Arial" w:hAnsi="Arial" w:cs="Arial"/>
        </w:rPr>
        <w:t>meta analysis</w:t>
      </w:r>
      <w:proofErr w:type="spellEnd"/>
      <w:proofErr w:type="gramEnd"/>
      <w:r w:rsidRPr="00B44D7E">
        <w:rPr>
          <w:rFonts w:ascii="Arial" w:hAnsi="Arial" w:cs="Arial"/>
        </w:rPr>
        <w:t xml:space="preserve">’, </w:t>
      </w:r>
      <w:r w:rsidRPr="00B44D7E">
        <w:rPr>
          <w:rFonts w:ascii="Arial" w:hAnsi="Arial" w:cs="Arial"/>
          <w:i/>
          <w:iCs/>
        </w:rPr>
        <w:t>Public Health Nutrition</w:t>
      </w:r>
      <w:r w:rsidRPr="00B44D7E">
        <w:rPr>
          <w:rFonts w:ascii="Arial" w:hAnsi="Arial" w:cs="Arial"/>
        </w:rPr>
        <w:t>, 23(10), pp. 1778–1790.</w:t>
      </w:r>
    </w:p>
    <w:p w14:paraId="5CDA7DA7"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Priebe, S., </w:t>
      </w:r>
      <w:proofErr w:type="spellStart"/>
      <w:r w:rsidRPr="00B44D7E">
        <w:rPr>
          <w:rFonts w:ascii="Arial" w:hAnsi="Arial" w:cs="Arial"/>
        </w:rPr>
        <w:t>Pavlickova</w:t>
      </w:r>
      <w:proofErr w:type="spellEnd"/>
      <w:r w:rsidRPr="00B44D7E">
        <w:rPr>
          <w:rFonts w:ascii="Arial" w:hAnsi="Arial" w:cs="Arial"/>
        </w:rPr>
        <w:t xml:space="preserve">, H., Eldridge, S., Bhatti, N., Vincent, C. and McCabe, R. (2022) ‘Effectiveness of community based mental health interventions: Meta review of international evidence’, </w:t>
      </w:r>
      <w:r w:rsidRPr="00B44D7E">
        <w:rPr>
          <w:rFonts w:ascii="Arial" w:hAnsi="Arial" w:cs="Arial"/>
          <w:i/>
          <w:iCs/>
        </w:rPr>
        <w:t>The Lancet Psychiatry</w:t>
      </w:r>
      <w:r w:rsidRPr="00B44D7E">
        <w:rPr>
          <w:rFonts w:ascii="Arial" w:hAnsi="Arial" w:cs="Arial"/>
        </w:rPr>
        <w:t>, 9(10), pp. 820–834.</w:t>
      </w:r>
    </w:p>
    <w:p w14:paraId="45134CA7"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 Smith, J., Fanzo, J. and Grace, D. (2022) ‘Food systems resilience’, </w:t>
      </w:r>
      <w:r w:rsidRPr="00B44D7E">
        <w:rPr>
          <w:rFonts w:ascii="Arial" w:hAnsi="Arial" w:cs="Arial"/>
          <w:i/>
          <w:iCs/>
        </w:rPr>
        <w:t>Nature Food</w:t>
      </w:r>
      <w:r w:rsidRPr="00B44D7E">
        <w:rPr>
          <w:rFonts w:ascii="Arial" w:hAnsi="Arial" w:cs="Arial"/>
        </w:rPr>
        <w:t>, 3, pp. 419–428.</w:t>
      </w:r>
    </w:p>
    <w:p w14:paraId="10708C78" w14:textId="77777777" w:rsidR="007C6D9A" w:rsidRPr="00B44D7E" w:rsidRDefault="007C6D9A" w:rsidP="00B44D7E">
      <w:pPr>
        <w:spacing w:line="360" w:lineRule="auto"/>
        <w:ind w:left="720" w:hanging="720"/>
        <w:rPr>
          <w:rFonts w:ascii="Arial" w:hAnsi="Arial" w:cs="Arial"/>
        </w:rPr>
      </w:pPr>
      <w:r w:rsidRPr="00B44D7E">
        <w:rPr>
          <w:rFonts w:ascii="Arial" w:hAnsi="Arial" w:cs="Arial"/>
        </w:rPr>
        <w:t xml:space="preserve">Young, S., Smith, C. and Bauman, A. (2023) ‘Food insecurity in adults with severe mental illness: A systematic review with </w:t>
      </w:r>
      <w:proofErr w:type="spellStart"/>
      <w:proofErr w:type="gramStart"/>
      <w:r w:rsidRPr="00B44D7E">
        <w:rPr>
          <w:rFonts w:ascii="Arial" w:hAnsi="Arial" w:cs="Arial"/>
        </w:rPr>
        <w:t>meta analysis</w:t>
      </w:r>
      <w:proofErr w:type="spellEnd"/>
      <w:proofErr w:type="gramEnd"/>
      <w:r w:rsidRPr="00B44D7E">
        <w:rPr>
          <w:rFonts w:ascii="Arial" w:hAnsi="Arial" w:cs="Arial"/>
        </w:rPr>
        <w:t xml:space="preserve">’, </w:t>
      </w:r>
      <w:r w:rsidRPr="00B44D7E">
        <w:rPr>
          <w:rFonts w:ascii="Arial" w:hAnsi="Arial" w:cs="Arial"/>
          <w:i/>
          <w:iCs/>
        </w:rPr>
        <w:t>Journal of Psychiatric and Mental Health Nursing</w:t>
      </w:r>
      <w:r w:rsidRPr="00B44D7E">
        <w:rPr>
          <w:rFonts w:ascii="Arial" w:hAnsi="Arial" w:cs="Arial"/>
        </w:rPr>
        <w:t xml:space="preserve">, </w:t>
      </w:r>
      <w:proofErr w:type="gramStart"/>
      <w:r w:rsidRPr="00B44D7E">
        <w:rPr>
          <w:rFonts w:ascii="Arial" w:hAnsi="Arial" w:cs="Arial"/>
        </w:rPr>
        <w:t>Online</w:t>
      </w:r>
      <w:proofErr w:type="gramEnd"/>
      <w:r w:rsidRPr="00B44D7E">
        <w:rPr>
          <w:rFonts w:ascii="Arial" w:hAnsi="Arial" w:cs="Arial"/>
        </w:rPr>
        <w:t xml:space="preserve"> early.</w:t>
      </w:r>
    </w:p>
    <w:p w14:paraId="48C99D5A" w14:textId="77777777" w:rsidR="007C6D9A" w:rsidRPr="00B44D7E" w:rsidRDefault="007C6D9A" w:rsidP="00B44D7E">
      <w:pPr>
        <w:spacing w:line="360" w:lineRule="auto"/>
        <w:ind w:left="720" w:hanging="720"/>
        <w:rPr>
          <w:rFonts w:ascii="Arial" w:hAnsi="Arial" w:cs="Arial"/>
        </w:rPr>
      </w:pPr>
      <w:r w:rsidRPr="00B44D7E">
        <w:rPr>
          <w:rFonts w:ascii="Arial" w:hAnsi="Arial" w:cs="Arial"/>
        </w:rPr>
        <w:lastRenderedPageBreak/>
        <w:t xml:space="preserve"> Zamora, A., Koch, F. and Bentley, M. (2024) ‘Local level food system interventions and their impact on dietary </w:t>
      </w:r>
      <w:proofErr w:type="spellStart"/>
      <w:r w:rsidRPr="00B44D7E">
        <w:rPr>
          <w:rFonts w:ascii="Arial" w:hAnsi="Arial" w:cs="Arial"/>
        </w:rPr>
        <w:t>behaviour</w:t>
      </w:r>
      <w:proofErr w:type="spellEnd"/>
      <w:r w:rsidRPr="00B44D7E">
        <w:rPr>
          <w:rFonts w:ascii="Arial" w:hAnsi="Arial" w:cs="Arial"/>
        </w:rPr>
        <w:t xml:space="preserve">: A systematic review of municipal public health actions’, </w:t>
      </w:r>
      <w:r w:rsidRPr="00B44D7E">
        <w:rPr>
          <w:rFonts w:ascii="Arial" w:hAnsi="Arial" w:cs="Arial"/>
          <w:i/>
          <w:iCs/>
        </w:rPr>
        <w:t>Health Promotion International</w:t>
      </w:r>
      <w:r w:rsidRPr="00B44D7E">
        <w:rPr>
          <w:rFonts w:ascii="Arial" w:hAnsi="Arial" w:cs="Arial"/>
        </w:rPr>
        <w:t>, 39(1), pp. 152–167.</w:t>
      </w:r>
    </w:p>
    <w:sectPr w:rsidR="007C6D9A" w:rsidRPr="00B44D7E" w:rsidSect="00DE35AB">
      <w:headerReference w:type="default" r:id="rId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14C68" w14:textId="77777777" w:rsidR="004D6806" w:rsidRDefault="004D6806" w:rsidP="00C53CF7">
      <w:pPr>
        <w:spacing w:line="240" w:lineRule="auto"/>
      </w:pPr>
      <w:r>
        <w:separator/>
      </w:r>
    </w:p>
  </w:endnote>
  <w:endnote w:type="continuationSeparator" w:id="0">
    <w:p w14:paraId="798B61FD" w14:textId="77777777" w:rsidR="004D6806" w:rsidRDefault="004D6806" w:rsidP="00C53CF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BE7200" w14:textId="77777777" w:rsidR="004D6806" w:rsidRDefault="004D6806" w:rsidP="00C53CF7">
      <w:pPr>
        <w:spacing w:line="240" w:lineRule="auto"/>
      </w:pPr>
      <w:r>
        <w:separator/>
      </w:r>
    </w:p>
  </w:footnote>
  <w:footnote w:type="continuationSeparator" w:id="0">
    <w:p w14:paraId="35838606" w14:textId="77777777" w:rsidR="004D6806" w:rsidRDefault="004D6806" w:rsidP="00C53CF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3079780"/>
      <w:docPartObj>
        <w:docPartGallery w:val="Page Numbers (Top of Page)"/>
        <w:docPartUnique/>
      </w:docPartObj>
    </w:sdtPr>
    <w:sdtEndPr>
      <w:rPr>
        <w:noProof/>
      </w:rPr>
    </w:sdtEndPr>
    <w:sdtContent>
      <w:p w14:paraId="1A14ADCC" w14:textId="77777777" w:rsidR="00C53CF7" w:rsidRDefault="00C53CF7">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65C3717" w14:textId="77777777" w:rsidR="00C53CF7" w:rsidRDefault="00C53CF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5F16"/>
    <w:rsid w:val="000D0668"/>
    <w:rsid w:val="0015143C"/>
    <w:rsid w:val="001F0C48"/>
    <w:rsid w:val="002F0385"/>
    <w:rsid w:val="003034FE"/>
    <w:rsid w:val="0037328C"/>
    <w:rsid w:val="00436D05"/>
    <w:rsid w:val="004C4BE7"/>
    <w:rsid w:val="004D6806"/>
    <w:rsid w:val="00505033"/>
    <w:rsid w:val="005321A3"/>
    <w:rsid w:val="00570559"/>
    <w:rsid w:val="005A48FF"/>
    <w:rsid w:val="006D2AA3"/>
    <w:rsid w:val="007C6D9A"/>
    <w:rsid w:val="007D0002"/>
    <w:rsid w:val="0088484B"/>
    <w:rsid w:val="008E465B"/>
    <w:rsid w:val="009741B8"/>
    <w:rsid w:val="00984B52"/>
    <w:rsid w:val="00A24F87"/>
    <w:rsid w:val="00A85F16"/>
    <w:rsid w:val="00B44D7E"/>
    <w:rsid w:val="00B66850"/>
    <w:rsid w:val="00BB687E"/>
    <w:rsid w:val="00BF0F9C"/>
    <w:rsid w:val="00BF29F5"/>
    <w:rsid w:val="00C53CF7"/>
    <w:rsid w:val="00C61A1D"/>
    <w:rsid w:val="00D86BAB"/>
    <w:rsid w:val="00DE35AB"/>
    <w:rsid w:val="00E9587D"/>
    <w:rsid w:val="00EB0074"/>
    <w:rsid w:val="00EB51C5"/>
    <w:rsid w:val="00EE74F5"/>
    <w:rsid w:val="00FD38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0ABAD2"/>
  <w15:chartTrackingRefBased/>
  <w15:docId w15:val="{2454D790-207E-4445-A61E-7271393C4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2"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328C"/>
  </w:style>
  <w:style w:type="paragraph" w:styleId="Heading1">
    <w:name w:val="heading 1"/>
    <w:basedOn w:val="Normal"/>
    <w:next w:val="Normal"/>
    <w:link w:val="Heading1Char"/>
    <w:uiPriority w:val="9"/>
    <w:qFormat/>
    <w:rsid w:val="0037328C"/>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unhideWhenUsed/>
    <w:qFormat/>
    <w:rsid w:val="0037328C"/>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unhideWhenUsed/>
    <w:qFormat/>
    <w:rsid w:val="0037328C"/>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37328C"/>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37328C"/>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37328C"/>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37328C"/>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37328C"/>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37328C"/>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28C"/>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rsid w:val="0037328C"/>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rsid w:val="0037328C"/>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37328C"/>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37328C"/>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37328C"/>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37328C"/>
    <w:rPr>
      <w:i/>
      <w:iCs/>
    </w:rPr>
  </w:style>
  <w:style w:type="character" w:customStyle="1" w:styleId="Heading8Char">
    <w:name w:val="Heading 8 Char"/>
    <w:basedOn w:val="DefaultParagraphFont"/>
    <w:link w:val="Heading8"/>
    <w:uiPriority w:val="9"/>
    <w:semiHidden/>
    <w:rsid w:val="0037328C"/>
    <w:rPr>
      <w:b/>
      <w:bCs/>
    </w:rPr>
  </w:style>
  <w:style w:type="character" w:customStyle="1" w:styleId="Heading9Char">
    <w:name w:val="Heading 9 Char"/>
    <w:basedOn w:val="DefaultParagraphFont"/>
    <w:link w:val="Heading9"/>
    <w:uiPriority w:val="9"/>
    <w:semiHidden/>
    <w:rsid w:val="0037328C"/>
    <w:rPr>
      <w:i/>
      <w:iCs/>
    </w:rPr>
  </w:style>
  <w:style w:type="paragraph" w:styleId="Title">
    <w:name w:val="Title"/>
    <w:basedOn w:val="Normal"/>
    <w:next w:val="Normal"/>
    <w:link w:val="TitleChar"/>
    <w:uiPriority w:val="10"/>
    <w:qFormat/>
    <w:rsid w:val="0037328C"/>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37328C"/>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37328C"/>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37328C"/>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37328C"/>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37328C"/>
    <w:rPr>
      <w:rFonts w:asciiTheme="majorHAnsi" w:eastAsiaTheme="majorEastAsia" w:hAnsiTheme="majorHAnsi" w:cstheme="majorBidi"/>
      <w:i/>
      <w:iCs/>
      <w:sz w:val="24"/>
      <w:szCs w:val="24"/>
    </w:rPr>
  </w:style>
  <w:style w:type="paragraph" w:styleId="ListParagraph">
    <w:name w:val="List Paragraph"/>
    <w:basedOn w:val="Normal"/>
    <w:uiPriority w:val="34"/>
    <w:qFormat/>
    <w:rsid w:val="00A85F16"/>
    <w:pPr>
      <w:ind w:left="720"/>
      <w:contextualSpacing/>
    </w:pPr>
  </w:style>
  <w:style w:type="character" w:styleId="IntenseEmphasis">
    <w:name w:val="Intense Emphasis"/>
    <w:basedOn w:val="DefaultParagraphFont"/>
    <w:uiPriority w:val="21"/>
    <w:qFormat/>
    <w:rsid w:val="0037328C"/>
    <w:rPr>
      <w:b/>
      <w:bCs/>
      <w:i/>
      <w:iCs/>
      <w:color w:val="auto"/>
    </w:rPr>
  </w:style>
  <w:style w:type="paragraph" w:styleId="IntenseQuote">
    <w:name w:val="Intense Quote"/>
    <w:basedOn w:val="Normal"/>
    <w:next w:val="Normal"/>
    <w:link w:val="IntenseQuoteChar"/>
    <w:uiPriority w:val="30"/>
    <w:qFormat/>
    <w:rsid w:val="0037328C"/>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37328C"/>
    <w:rPr>
      <w:rFonts w:asciiTheme="majorHAnsi" w:eastAsiaTheme="majorEastAsia" w:hAnsiTheme="majorHAnsi" w:cstheme="majorBidi"/>
      <w:sz w:val="26"/>
      <w:szCs w:val="26"/>
    </w:rPr>
  </w:style>
  <w:style w:type="character" w:styleId="IntenseReference">
    <w:name w:val="Intense Reference"/>
    <w:basedOn w:val="DefaultParagraphFont"/>
    <w:uiPriority w:val="32"/>
    <w:qFormat/>
    <w:rsid w:val="0037328C"/>
    <w:rPr>
      <w:b/>
      <w:bCs/>
      <w:smallCaps/>
      <w:color w:val="auto"/>
      <w:u w:val="single"/>
    </w:rPr>
  </w:style>
  <w:style w:type="paragraph" w:styleId="Header">
    <w:name w:val="header"/>
    <w:basedOn w:val="Normal"/>
    <w:link w:val="HeaderChar"/>
    <w:uiPriority w:val="99"/>
    <w:unhideWhenUsed/>
    <w:rsid w:val="00C53CF7"/>
    <w:pPr>
      <w:tabs>
        <w:tab w:val="center" w:pos="4680"/>
        <w:tab w:val="right" w:pos="9360"/>
      </w:tabs>
      <w:spacing w:line="240" w:lineRule="auto"/>
    </w:pPr>
  </w:style>
  <w:style w:type="character" w:customStyle="1" w:styleId="HeaderChar">
    <w:name w:val="Header Char"/>
    <w:basedOn w:val="DefaultParagraphFont"/>
    <w:link w:val="Header"/>
    <w:uiPriority w:val="99"/>
    <w:rsid w:val="00C53CF7"/>
  </w:style>
  <w:style w:type="paragraph" w:styleId="Footer">
    <w:name w:val="footer"/>
    <w:basedOn w:val="Normal"/>
    <w:link w:val="FooterChar"/>
    <w:uiPriority w:val="99"/>
    <w:unhideWhenUsed/>
    <w:rsid w:val="00C53CF7"/>
    <w:pPr>
      <w:tabs>
        <w:tab w:val="center" w:pos="4680"/>
        <w:tab w:val="right" w:pos="9360"/>
      </w:tabs>
      <w:spacing w:line="240" w:lineRule="auto"/>
    </w:pPr>
  </w:style>
  <w:style w:type="character" w:customStyle="1" w:styleId="FooterChar">
    <w:name w:val="Footer Char"/>
    <w:basedOn w:val="DefaultParagraphFont"/>
    <w:link w:val="Footer"/>
    <w:uiPriority w:val="99"/>
    <w:rsid w:val="00C53CF7"/>
  </w:style>
  <w:style w:type="paragraph" w:styleId="Caption">
    <w:name w:val="caption"/>
    <w:basedOn w:val="Normal"/>
    <w:next w:val="Normal"/>
    <w:uiPriority w:val="35"/>
    <w:semiHidden/>
    <w:unhideWhenUsed/>
    <w:qFormat/>
    <w:rsid w:val="0037328C"/>
    <w:rPr>
      <w:b/>
      <w:bCs/>
      <w:sz w:val="18"/>
      <w:szCs w:val="18"/>
    </w:rPr>
  </w:style>
  <w:style w:type="character" w:styleId="Strong">
    <w:name w:val="Strong"/>
    <w:basedOn w:val="DefaultParagraphFont"/>
    <w:uiPriority w:val="22"/>
    <w:qFormat/>
    <w:rsid w:val="0037328C"/>
    <w:rPr>
      <w:b/>
      <w:bCs/>
      <w:color w:val="auto"/>
    </w:rPr>
  </w:style>
  <w:style w:type="character" w:styleId="Emphasis">
    <w:name w:val="Emphasis"/>
    <w:basedOn w:val="DefaultParagraphFont"/>
    <w:uiPriority w:val="20"/>
    <w:qFormat/>
    <w:rsid w:val="0037328C"/>
    <w:rPr>
      <w:i/>
      <w:iCs/>
      <w:color w:val="auto"/>
    </w:rPr>
  </w:style>
  <w:style w:type="paragraph" w:styleId="NoSpacing">
    <w:name w:val="No Spacing"/>
    <w:uiPriority w:val="1"/>
    <w:qFormat/>
    <w:rsid w:val="0037328C"/>
    <w:pPr>
      <w:spacing w:after="0" w:line="240" w:lineRule="auto"/>
    </w:pPr>
  </w:style>
  <w:style w:type="character" w:styleId="SubtleEmphasis">
    <w:name w:val="Subtle Emphasis"/>
    <w:basedOn w:val="DefaultParagraphFont"/>
    <w:uiPriority w:val="19"/>
    <w:qFormat/>
    <w:rsid w:val="0037328C"/>
    <w:rPr>
      <w:i/>
      <w:iCs/>
      <w:color w:val="auto"/>
    </w:rPr>
  </w:style>
  <w:style w:type="character" w:styleId="SubtleReference">
    <w:name w:val="Subtle Reference"/>
    <w:basedOn w:val="DefaultParagraphFont"/>
    <w:uiPriority w:val="31"/>
    <w:qFormat/>
    <w:rsid w:val="0037328C"/>
    <w:rPr>
      <w:smallCaps/>
      <w:color w:val="auto"/>
      <w:u w:val="single" w:color="7F7F7F" w:themeColor="text1" w:themeTint="80"/>
    </w:rPr>
  </w:style>
  <w:style w:type="character" w:styleId="BookTitle">
    <w:name w:val="Book Title"/>
    <w:basedOn w:val="DefaultParagraphFont"/>
    <w:uiPriority w:val="33"/>
    <w:qFormat/>
    <w:rsid w:val="0037328C"/>
    <w:rPr>
      <w:b/>
      <w:bCs/>
      <w:smallCaps/>
      <w:color w:val="auto"/>
    </w:rPr>
  </w:style>
  <w:style w:type="paragraph" w:styleId="TOCHeading">
    <w:name w:val="TOC Heading"/>
    <w:basedOn w:val="Heading1"/>
    <w:next w:val="Normal"/>
    <w:uiPriority w:val="39"/>
    <w:unhideWhenUsed/>
    <w:qFormat/>
    <w:rsid w:val="0037328C"/>
    <w:pPr>
      <w:outlineLvl w:val="9"/>
    </w:pPr>
  </w:style>
  <w:style w:type="paragraph" w:styleId="TOC1">
    <w:name w:val="toc 1"/>
    <w:basedOn w:val="Normal"/>
    <w:next w:val="Normal"/>
    <w:autoRedefine/>
    <w:uiPriority w:val="39"/>
    <w:unhideWhenUsed/>
    <w:rsid w:val="007C6D9A"/>
    <w:pPr>
      <w:spacing w:after="100"/>
    </w:pPr>
  </w:style>
  <w:style w:type="paragraph" w:styleId="TOC2">
    <w:name w:val="toc 2"/>
    <w:basedOn w:val="Normal"/>
    <w:next w:val="Normal"/>
    <w:autoRedefine/>
    <w:uiPriority w:val="39"/>
    <w:unhideWhenUsed/>
    <w:rsid w:val="007C6D9A"/>
    <w:pPr>
      <w:spacing w:after="100"/>
      <w:ind w:left="220"/>
    </w:pPr>
  </w:style>
  <w:style w:type="paragraph" w:styleId="TOC3">
    <w:name w:val="toc 3"/>
    <w:basedOn w:val="Normal"/>
    <w:next w:val="Normal"/>
    <w:autoRedefine/>
    <w:uiPriority w:val="39"/>
    <w:unhideWhenUsed/>
    <w:rsid w:val="007C6D9A"/>
    <w:pPr>
      <w:spacing w:after="100"/>
      <w:ind w:left="440"/>
    </w:pPr>
  </w:style>
  <w:style w:type="character" w:styleId="Hyperlink">
    <w:name w:val="Hyperlink"/>
    <w:basedOn w:val="DefaultParagraphFont"/>
    <w:uiPriority w:val="99"/>
    <w:unhideWhenUsed/>
    <w:rsid w:val="007C6D9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A7D55-A59F-4E3B-B6BC-D245C104F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3115</Words>
  <Characters>18540</Characters>
  <Application>Microsoft Office Word</Application>
  <DocSecurity>0</DocSecurity>
  <Lines>337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Deborah Agada (2224942)</cp:lastModifiedBy>
  <cp:revision>2</cp:revision>
  <dcterms:created xsi:type="dcterms:W3CDTF">2025-11-15T20:30:00Z</dcterms:created>
  <dcterms:modified xsi:type="dcterms:W3CDTF">2025-11-15T20:30:00Z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796852d8-13ec-41bd-bddd-742c29b9797a</vt:lpwstr>
  </property>
</Properties>
</file>