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宋体" w:cs="Arial"/>
          <w:b/>
          <w:bCs/>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 xml:space="preserve">Research </w:t>
      </w:r>
      <w:r>
        <w:rPr>
          <w:rFonts w:hint="eastAsia" w:ascii="Arial" w:hAnsi="Arial" w:eastAsia="Arial-BoldMT" w:cs="Arial"/>
          <w:b/>
          <w:bCs/>
          <w:color w:val="000000"/>
          <w:kern w:val="0"/>
          <w:sz w:val="24"/>
          <w:szCs w:val="24"/>
          <w:lang w:val="en-US" w:eastAsia="zh-CN" w:bidi="ar"/>
        </w:rPr>
        <w:t>Proposal</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r>
        <w:rPr>
          <w:rFonts w:hint="eastAsia" w:ascii="Arial" w:hAnsi="Arial" w:eastAsia="Arial-BoldMT" w:cs="Arial"/>
          <w:b/>
          <w:bCs/>
          <w:color w:val="000000"/>
          <w:kern w:val="0"/>
          <w:sz w:val="24"/>
          <w:szCs w:val="24"/>
          <w:lang w:val="en-US" w:eastAsia="zh-CN" w:bidi="ar"/>
        </w:rPr>
        <w:t>Proposal</w:t>
      </w:r>
      <w:r>
        <w:rPr>
          <w:rFonts w:hint="default" w:ascii="Arial" w:hAnsi="Arial" w:eastAsia="Arial-BoldMT" w:cs="Arial"/>
          <w:b/>
          <w:bCs/>
          <w:color w:val="000000"/>
          <w:kern w:val="0"/>
          <w:sz w:val="24"/>
          <w:szCs w:val="24"/>
          <w:lang w:val="en-US" w:eastAsia="zh-CN" w:bidi="ar"/>
        </w:rPr>
        <w:t xml:space="preserve"> Title: An </w:t>
      </w:r>
      <w:r>
        <w:rPr>
          <w:rFonts w:hint="eastAsia" w:ascii="Arial" w:hAnsi="Arial" w:eastAsia="Arial-BoldMT" w:cs="Arial"/>
          <w:b/>
          <w:bCs/>
          <w:color w:val="000000"/>
          <w:kern w:val="0"/>
          <w:sz w:val="24"/>
          <w:szCs w:val="24"/>
          <w:lang w:val="en-US" w:eastAsia="zh-CN" w:bidi="ar"/>
        </w:rPr>
        <w:t>A</w:t>
      </w:r>
      <w:r>
        <w:rPr>
          <w:rFonts w:hint="default" w:ascii="Arial" w:hAnsi="Arial" w:eastAsia="Arial-BoldMT" w:cs="Arial"/>
          <w:b/>
          <w:bCs/>
          <w:color w:val="000000"/>
          <w:kern w:val="0"/>
          <w:sz w:val="24"/>
          <w:szCs w:val="24"/>
          <w:lang w:val="en-US" w:eastAsia="zh-CN" w:bidi="ar"/>
        </w:rPr>
        <w:t>nalysis of Feminist Approach to Leadership</w:t>
      </w:r>
      <w:r>
        <w:rPr>
          <w:rFonts w:hint="eastAsia" w:ascii="Arial" w:hAnsi="Arial" w:eastAsia="Arial-BoldMT" w:cs="Arial"/>
          <w:b/>
          <w:bCs/>
          <w:color w:val="000000"/>
          <w:kern w:val="0"/>
          <w:sz w:val="24"/>
          <w:szCs w:val="24"/>
          <w:lang w:val="en-US" w:eastAsia="zh-CN" w:bidi="ar"/>
        </w:rPr>
        <w:t xml:space="preserve"> </w:t>
      </w:r>
      <w:r>
        <w:rPr>
          <w:rFonts w:hint="default" w:ascii="Arial" w:hAnsi="Arial" w:eastAsia="Arial-BoldMT" w:cs="Arial"/>
          <w:b/>
          <w:bCs/>
          <w:color w:val="000000"/>
          <w:kern w:val="0"/>
          <w:sz w:val="24"/>
          <w:szCs w:val="24"/>
          <w:lang w:val="en-US" w:eastAsia="zh-CN" w:bidi="ar"/>
        </w:rPr>
        <w:t xml:space="preserve">by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 xml:space="preserve">iddle and </w:t>
      </w:r>
      <w:r>
        <w:rPr>
          <w:rFonts w:hint="eastAsia" w:ascii="Arial" w:hAnsi="Arial" w:eastAsia="Arial-BoldMT" w:cs="Arial"/>
          <w:b/>
          <w:bCs/>
          <w:color w:val="000000"/>
          <w:kern w:val="0"/>
          <w:sz w:val="24"/>
          <w:szCs w:val="24"/>
          <w:lang w:val="en-US" w:eastAsia="zh-CN" w:bidi="ar"/>
        </w:rPr>
        <w:t>J</w:t>
      </w:r>
      <w:r>
        <w:rPr>
          <w:rFonts w:hint="default" w:ascii="Arial" w:hAnsi="Arial" w:eastAsia="Arial-BoldMT" w:cs="Arial"/>
          <w:b/>
          <w:bCs/>
          <w:color w:val="000000"/>
          <w:kern w:val="0"/>
          <w:sz w:val="24"/>
          <w:szCs w:val="24"/>
          <w:lang w:val="en-US" w:eastAsia="zh-CN" w:bidi="ar"/>
        </w:rPr>
        <w:t xml:space="preserve">unior </w:t>
      </w:r>
      <w:r>
        <w:rPr>
          <w:rFonts w:hint="eastAsia" w:ascii="Arial" w:hAnsi="Arial" w:eastAsia="Arial-BoldMT" w:cs="Arial"/>
          <w:b/>
          <w:bCs/>
          <w:color w:val="000000"/>
          <w:kern w:val="0"/>
          <w:sz w:val="24"/>
          <w:szCs w:val="24"/>
          <w:lang w:val="en-US" w:eastAsia="zh-CN" w:bidi="ar"/>
        </w:rPr>
        <w:t>M</w:t>
      </w:r>
      <w:r>
        <w:rPr>
          <w:rFonts w:hint="default" w:ascii="Arial" w:hAnsi="Arial" w:eastAsia="Arial-BoldMT" w:cs="Arial"/>
          <w:b/>
          <w:bCs/>
          <w:color w:val="000000"/>
          <w:kern w:val="0"/>
          <w:sz w:val="24"/>
          <w:szCs w:val="24"/>
          <w:lang w:val="en-US" w:eastAsia="zh-CN" w:bidi="ar"/>
        </w:rPr>
        <w:t>anagers</w:t>
      </w:r>
      <w:r>
        <w:rPr>
          <w:rFonts w:hint="eastAsia" w:ascii="Arial" w:hAnsi="Arial" w:eastAsia="Arial-BoldMT" w:cs="Arial"/>
          <w:b/>
          <w:bCs/>
          <w:color w:val="000000"/>
          <w:kern w:val="0"/>
          <w:sz w:val="24"/>
          <w:szCs w:val="24"/>
          <w:lang w:val="en-US" w:eastAsia="zh-CN" w:bidi="ar"/>
        </w:rPr>
        <w:t xml:space="preserve"> </w:t>
      </w:r>
      <w:r>
        <w:rPr>
          <w:rFonts w:hint="default" w:ascii="Arial" w:hAnsi="Arial" w:eastAsia="Arial-BoldMT" w:cs="Arial"/>
          <w:b/>
          <w:bCs/>
          <w:color w:val="000000"/>
          <w:kern w:val="0"/>
          <w:sz w:val="24"/>
          <w:szCs w:val="24"/>
          <w:lang w:val="en-US" w:eastAsia="zh-CN" w:bidi="ar"/>
        </w:rPr>
        <w:t>in Yunnan Energy Investment Group</w:t>
      </w:r>
      <w:r>
        <w:rPr>
          <w:rFonts w:hint="eastAsia" w:ascii="Arial" w:hAnsi="Arial" w:eastAsia="Arial-BoldMT" w:cs="Arial"/>
          <w:b/>
          <w:bCs/>
          <w:color w:val="000000"/>
          <w:kern w:val="0"/>
          <w:sz w:val="24"/>
          <w:szCs w:val="24"/>
          <w:lang w:val="en-US" w:eastAsia="zh-CN" w:bidi="ar"/>
        </w:rPr>
        <w:t xml:space="preserve"> (YEIG)</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eastAsia="Arial-BoldMT" w:cs="Arial"/>
          <w:b/>
          <w:bCs/>
          <w:color w:val="000000"/>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Assessment title: </w:t>
      </w:r>
      <w:r>
        <w:rPr>
          <w:rFonts w:hint="eastAsia" w:ascii="Arial" w:hAnsi="Arial" w:eastAsia="宋体" w:cs="Arial"/>
          <w:color w:val="000000"/>
          <w:kern w:val="0"/>
          <w:sz w:val="24"/>
          <w:szCs w:val="24"/>
          <w:lang w:val="en-US" w:eastAsia="zh-CN" w:bidi="ar"/>
        </w:rPr>
        <w:t>Check</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name: </w:t>
      </w:r>
      <w:r>
        <w:rPr>
          <w:rFonts w:hint="eastAsia" w:ascii="Arial" w:hAnsi="Arial" w:eastAsia="宋体" w:cs="Arial"/>
          <w:color w:val="000000"/>
          <w:kern w:val="0"/>
          <w:sz w:val="24"/>
          <w:szCs w:val="24"/>
          <w:lang w:val="en-US" w:eastAsia="zh-CN" w:bidi="ar"/>
        </w:rPr>
        <w:t>Xinyu Wang</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Student ID number: </w:t>
      </w:r>
      <w:r>
        <w:rPr>
          <w:rFonts w:hint="eastAsia" w:ascii="Arial" w:hAnsi="Arial" w:eastAsia="宋体" w:cs="Arial"/>
          <w:color w:val="000000"/>
          <w:kern w:val="0"/>
          <w:sz w:val="24"/>
          <w:szCs w:val="24"/>
          <w:lang w:val="en-US" w:eastAsia="zh-CN" w:bidi="ar"/>
        </w:rPr>
        <w:t>2010660</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Submission date: </w:t>
      </w:r>
      <w:r>
        <w:rPr>
          <w:rFonts w:hint="eastAsia" w:ascii="Arial" w:hAnsi="Arial" w:eastAsia="宋体" w:cs="Arial"/>
          <w:color w:val="000000"/>
          <w:kern w:val="0"/>
          <w:sz w:val="24"/>
          <w:szCs w:val="24"/>
          <w:lang w:val="en-US" w:eastAsia="zh-CN" w:bidi="ar"/>
        </w:rPr>
        <w:t>3 February 2022</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sz w:val="24"/>
          <w:szCs w:val="24"/>
          <w:lang w:val="en-US"/>
        </w:rPr>
      </w:pPr>
      <w:r>
        <w:rPr>
          <w:rFonts w:hint="default" w:ascii="Arial" w:hAnsi="Arial" w:eastAsia="宋体" w:cs="Arial"/>
          <w:color w:val="000000"/>
          <w:kern w:val="0"/>
          <w:sz w:val="24"/>
          <w:szCs w:val="24"/>
          <w:lang w:val="en-US" w:eastAsia="zh-CN" w:bidi="ar"/>
        </w:rPr>
        <w:t xml:space="preserve">University/Programme: </w:t>
      </w:r>
      <w:r>
        <w:rPr>
          <w:rFonts w:hint="eastAsia" w:ascii="Arial" w:hAnsi="Arial" w:eastAsia="宋体" w:cs="Arial"/>
          <w:color w:val="000000"/>
          <w:kern w:val="0"/>
          <w:sz w:val="24"/>
          <w:szCs w:val="24"/>
          <w:lang w:val="en-US" w:eastAsia="zh-CN" w:bidi="ar"/>
        </w:rPr>
        <w:t>University of Wales Trinity Saint David</w:t>
      </w: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rPr>
          <w:rFonts w:hint="default" w:ascii="Arial" w:hAnsi="Arial" w:cs="Arial"/>
          <w:b/>
          <w:bCs/>
          <w:sz w:val="24"/>
          <w:szCs w:val="24"/>
          <w:lang w:val="en-US" w:eastAsia="zh-CN"/>
        </w:rPr>
      </w:pPr>
      <w:r>
        <w:rPr>
          <w:rFonts w:hint="default" w:ascii="Arial" w:hAnsi="Arial" w:eastAsia="宋体" w:cs="Arial"/>
          <w:color w:val="000000"/>
          <w:kern w:val="0"/>
          <w:sz w:val="24"/>
          <w:szCs w:val="24"/>
          <w:lang w:val="en-US" w:eastAsia="zh-CN" w:bidi="ar"/>
        </w:rPr>
        <w:t xml:space="preserve">Word count: </w:t>
      </w:r>
      <w:r>
        <w:rPr>
          <w:rFonts w:hint="eastAsia" w:ascii="Arial" w:hAnsi="Arial" w:eastAsia="宋体" w:cs="Arial"/>
          <w:color w:val="000000"/>
          <w:kern w:val="0"/>
          <w:sz w:val="24"/>
          <w:szCs w:val="24"/>
          <w:lang w:val="en-US" w:eastAsia="zh-CN" w:bidi="ar"/>
        </w:rPr>
        <w:t>7500</w:t>
      </w:r>
    </w:p>
    <w:p>
      <w:pPr>
        <w:keepNext w:val="0"/>
        <w:keepLines w:val="0"/>
        <w:pageBreakBefore/>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Arial-BoldMT" w:cs="Arial"/>
          <w:b/>
          <w:bCs/>
          <w:color w:val="000000"/>
          <w:kern w:val="0"/>
          <w:sz w:val="24"/>
          <w:szCs w:val="24"/>
          <w:lang w:val="en-US" w:eastAsia="zh-CN" w:bidi="ar"/>
        </w:rPr>
        <w:t>Table of Contents</w:t>
      </w:r>
      <w:r>
        <w:rPr>
          <w:rFonts w:hint="default" w:ascii="Arial" w:hAnsi="Arial" w:eastAsia="宋体" w:cs="Arial"/>
          <w:color w:val="000000"/>
          <w:kern w:val="0"/>
          <w:sz w:val="24"/>
          <w:szCs w:val="24"/>
          <w:lang w:val="en-US" w:eastAsia="zh-CN" w:bidi="ar"/>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Introduction</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Research questions</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K</w:t>
      </w:r>
      <w:r>
        <w:rPr>
          <w:rFonts w:hint="eastAsia" w:ascii="Arial" w:hAnsi="Arial" w:eastAsia="宋体" w:cs="Arial"/>
          <w:color w:val="000000"/>
          <w:kern w:val="0"/>
          <w:sz w:val="24"/>
          <w:szCs w:val="24"/>
          <w:lang w:val="en-US" w:eastAsia="zh-CN" w:bidi="ar"/>
        </w:rPr>
        <w:t>ey</w:t>
      </w:r>
      <w:r>
        <w:rPr>
          <w:rFonts w:hint="default" w:ascii="Arial" w:hAnsi="Arial" w:eastAsia="宋体" w:cs="Arial"/>
          <w:color w:val="000000"/>
          <w:kern w:val="0"/>
          <w:sz w:val="24"/>
          <w:szCs w:val="24"/>
          <w:lang w:val="en-US" w:eastAsia="zh-CN" w:bidi="ar"/>
        </w:rPr>
        <w:t xml:space="preserve"> A</w:t>
      </w:r>
      <w:r>
        <w:rPr>
          <w:rFonts w:hint="eastAsia" w:ascii="Arial" w:hAnsi="Arial" w:eastAsia="宋体" w:cs="Arial"/>
          <w:color w:val="000000"/>
          <w:kern w:val="0"/>
          <w:sz w:val="24"/>
          <w:szCs w:val="24"/>
          <w:lang w:val="en-US" w:eastAsia="zh-CN" w:bidi="ar"/>
        </w:rPr>
        <w:t>im</w:t>
      </w:r>
      <w:r>
        <w:rPr>
          <w:rFonts w:hint="default" w:ascii="Arial" w:hAnsi="Arial" w:eastAsia="宋体" w:cs="Arial"/>
          <w:color w:val="000000"/>
          <w:kern w:val="0"/>
          <w:sz w:val="24"/>
          <w:szCs w:val="24"/>
          <w:lang w:val="en-US" w:eastAsia="zh-CN" w:bidi="ar"/>
        </w:rPr>
        <w:t xml:space="preserve"> &amp; O</w:t>
      </w:r>
      <w:r>
        <w:rPr>
          <w:rFonts w:hint="eastAsia" w:ascii="Arial" w:hAnsi="Arial" w:eastAsia="宋体" w:cs="Arial"/>
          <w:color w:val="000000"/>
          <w:kern w:val="0"/>
          <w:sz w:val="24"/>
          <w:szCs w:val="24"/>
          <w:lang w:val="en-US" w:eastAsia="zh-CN" w:bidi="ar"/>
        </w:rPr>
        <w:t>bjectives</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of</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planned research</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Preliminary l</w:t>
      </w:r>
      <w:r>
        <w:rPr>
          <w:rFonts w:hint="default" w:ascii="Arial" w:hAnsi="Arial" w:eastAsia="宋体" w:cs="Arial"/>
          <w:color w:val="000000"/>
          <w:kern w:val="0"/>
          <w:sz w:val="24"/>
          <w:szCs w:val="24"/>
          <w:lang w:val="en-US" w:eastAsia="zh-CN" w:bidi="ar"/>
        </w:rPr>
        <w:t>iterature review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.1 </w:t>
      </w:r>
      <w:r>
        <w:rPr>
          <w:rFonts w:hint="eastAsia" w:ascii="Arial" w:hAnsi="Arial" w:cs="Arial"/>
          <w:b w:val="0"/>
          <w:bCs w:val="0"/>
          <w:sz w:val="24"/>
          <w:szCs w:val="24"/>
          <w:lang w:val="en-US" w:eastAsia="zh-CN"/>
        </w:rPr>
        <w:t>Embodiment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sz w:val="24"/>
          <w:szCs w:val="24"/>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.2 </w:t>
      </w:r>
      <w:r>
        <w:rPr>
          <w:rFonts w:hint="eastAsia" w:ascii="Arial" w:hAnsi="Arial" w:cs="Arial"/>
          <w:b w:val="0"/>
          <w:bCs w:val="0"/>
          <w:sz w:val="24"/>
          <w:szCs w:val="24"/>
          <w:lang w:val="en-US" w:eastAsia="zh-CN"/>
        </w:rPr>
        <w:t>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4</w:t>
      </w:r>
      <w:r>
        <w:rPr>
          <w:rFonts w:hint="default" w:ascii="Arial" w:hAnsi="Arial" w:eastAsia="宋体" w:cs="Arial"/>
          <w:color w:val="000000"/>
          <w:kern w:val="0"/>
          <w:sz w:val="24"/>
          <w:szCs w:val="24"/>
          <w:lang w:val="en-US" w:eastAsia="zh-CN" w:bidi="ar"/>
        </w:rPr>
        <w:t xml:space="preserve">.3 </w:t>
      </w:r>
      <w:r>
        <w:rPr>
          <w:rFonts w:hint="eastAsia" w:ascii="Arial" w:hAnsi="Arial" w:cs="Arial"/>
          <w:b w:val="0"/>
          <w:bCs w:val="0"/>
          <w:sz w:val="24"/>
          <w:szCs w:val="24"/>
          <w:lang w:val="en-US" w:eastAsia="zh-CN"/>
        </w:rPr>
        <w:t>Practical application of Female Leadership</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Methodology</w:t>
      </w:r>
    </w:p>
    <w:p>
      <w:pPr>
        <w:keepNext w:val="0"/>
        <w:keepLines w:val="0"/>
        <w:pageBreakBefore w:val="0"/>
        <w:widowControl/>
        <w:numPr>
          <w:ilvl w:val="1"/>
          <w:numId w:val="1"/>
        </w:numPr>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U</w:t>
      </w:r>
      <w:r>
        <w:rPr>
          <w:rFonts w:hint="eastAsia" w:ascii="Arial" w:hAnsi="Arial" w:eastAsia="宋体" w:cs="Arial"/>
          <w:color w:val="000000"/>
          <w:kern w:val="0"/>
          <w:sz w:val="24"/>
          <w:szCs w:val="24"/>
          <w:lang w:val="en-US" w:eastAsia="zh-CN" w:bidi="ar"/>
        </w:rPr>
        <w:t>nderlying</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theory</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of</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the</w:t>
      </w:r>
      <w:r>
        <w:rPr>
          <w:rFonts w:hint="default" w:ascii="Arial" w:hAnsi="Arial" w:eastAsia="宋体" w:cs="Arial"/>
          <w:color w:val="000000"/>
          <w:kern w:val="0"/>
          <w:sz w:val="24"/>
          <w:szCs w:val="24"/>
          <w:lang w:val="en-US" w:eastAsia="zh-CN" w:bidi="ar"/>
        </w:rPr>
        <w:t xml:space="preserve"> </w:t>
      </w:r>
      <w:r>
        <w:rPr>
          <w:rFonts w:hint="eastAsia" w:ascii="Arial" w:hAnsi="Arial" w:eastAsia="宋体" w:cs="Arial"/>
          <w:color w:val="000000"/>
          <w:kern w:val="0"/>
          <w:sz w:val="24"/>
          <w:szCs w:val="24"/>
          <w:lang w:val="en-US" w:eastAsia="zh-CN" w:bidi="ar"/>
        </w:rPr>
        <w:t>topic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Taylorist</w:t>
      </w:r>
      <w:r>
        <w:rPr>
          <w:rFonts w:hint="eastAsia" w:ascii="Arial" w:hAnsi="Arial" w:eastAsia="宋体" w:cs="Arial"/>
          <w:color w:val="000000"/>
          <w:kern w:val="0"/>
          <w:sz w:val="24"/>
          <w:szCs w:val="24"/>
          <w:lang w:val="en-US" w:eastAsia="zh-CN" w:bidi="ar"/>
        </w:rPr>
        <w:t xml:space="preserve"> and lean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Feminist </w:t>
      </w:r>
      <w:r>
        <w:rPr>
          <w:rFonts w:hint="eastAsia" w:ascii="Arial" w:hAnsi="Arial" w:eastAsia="宋体" w:cs="Arial"/>
          <w:color w:val="000000"/>
          <w:kern w:val="0"/>
          <w:sz w:val="24"/>
          <w:szCs w:val="24"/>
          <w:lang w:val="en-US" w:eastAsia="zh-CN" w:bidi="ar"/>
        </w:rPr>
        <w:t>a</w:t>
      </w:r>
      <w:r>
        <w:rPr>
          <w:rFonts w:hint="default" w:ascii="Arial" w:hAnsi="Arial" w:eastAsia="宋体" w:cs="Arial"/>
          <w:color w:val="000000"/>
          <w:kern w:val="0"/>
          <w:sz w:val="24"/>
          <w:szCs w:val="24"/>
          <w:lang w:val="en-US" w:eastAsia="zh-CN" w:bidi="ar"/>
        </w:rPr>
        <w:t xml:space="preserve">pproach to </w:t>
      </w:r>
      <w:r>
        <w:rPr>
          <w:rFonts w:hint="eastAsia" w:ascii="Arial" w:hAnsi="Arial" w:eastAsia="宋体" w:cs="Arial"/>
          <w:color w:val="000000"/>
          <w:kern w:val="0"/>
          <w:sz w:val="24"/>
          <w:szCs w:val="24"/>
          <w:lang w:val="en-US" w:eastAsia="zh-CN" w:bidi="ar"/>
        </w:rPr>
        <w:t>l</w:t>
      </w:r>
      <w:r>
        <w:rPr>
          <w:rFonts w:hint="default" w:ascii="Arial" w:hAnsi="Arial" w:eastAsia="宋体" w:cs="Arial"/>
          <w:color w:val="000000"/>
          <w:kern w:val="0"/>
          <w:sz w:val="24"/>
          <w:szCs w:val="24"/>
          <w:lang w:val="en-US" w:eastAsia="zh-CN" w:bidi="ar"/>
        </w:rPr>
        <w:t>eadership</w:t>
      </w:r>
      <w:r>
        <w:rPr>
          <w:rFonts w:hint="eastAsia" w:ascii="Arial" w:hAnsi="Arial" w:eastAsia="宋体" w:cs="Arial"/>
          <w:color w:val="000000"/>
          <w:kern w:val="0"/>
          <w:sz w:val="24"/>
          <w:szCs w:val="24"/>
          <w:lang w:val="en-US" w:eastAsia="zh-CN" w:bidi="ar"/>
        </w:rPr>
        <w:t xml:space="preserve"> and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Hofstede analysis</w:t>
      </w:r>
      <w:r>
        <w:rPr>
          <w:rFonts w:hint="eastAsia" w:ascii="Arial" w:hAnsi="Arial" w:eastAsia="宋体" w:cs="Arial"/>
          <w:b w:val="0"/>
          <w:bCs w:val="0"/>
          <w:color w:val="000000"/>
          <w:kern w:val="0"/>
          <w:sz w:val="24"/>
          <w:szCs w:val="24"/>
          <w:lang w:val="en-US" w:eastAsia="zh-CN" w:bidi="ar"/>
        </w:rPr>
        <w:t xml:space="preserve"> and cross-cultural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Atkinson</w:t>
      </w:r>
      <w:r>
        <w:rPr>
          <w:rFonts w:hint="default" w:ascii="Arial" w:hAnsi="Arial" w:eastAsia="宋体" w:cs="Arial"/>
          <w:b w:val="0"/>
          <w:bCs w:val="0"/>
          <w:color w:val="000000"/>
          <w:kern w:val="0"/>
          <w:sz w:val="24"/>
          <w:szCs w:val="24"/>
          <w:lang w:val="en-US" w:eastAsia="zh-CN" w:bidi="ar"/>
        </w:rPr>
        <w:t>’</w:t>
      </w:r>
      <w:r>
        <w:rPr>
          <w:rFonts w:hint="eastAsia" w:ascii="Arial" w:hAnsi="Arial" w:eastAsia="宋体" w:cs="Arial"/>
          <w:b w:val="0"/>
          <w:bCs w:val="0"/>
          <w:color w:val="000000"/>
          <w:kern w:val="0"/>
          <w:sz w:val="24"/>
          <w:szCs w:val="24"/>
          <w:lang w:val="en-US" w:eastAsia="zh-CN" w:bidi="ar"/>
        </w:rPr>
        <w:t>s flexibility and soft HRM</w:t>
      </w:r>
    </w:p>
    <w:p>
      <w:pPr>
        <w:keepNext w:val="0"/>
        <w:keepLines w:val="0"/>
        <w:pageBreakBefore w:val="0"/>
        <w:widowControl/>
        <w:numPr>
          <w:ilvl w:val="1"/>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A</w:t>
      </w:r>
      <w:r>
        <w:rPr>
          <w:rFonts w:hint="eastAsia" w:ascii="Arial" w:hAnsi="Arial" w:eastAsia="宋体" w:cs="Arial"/>
          <w:color w:val="000000"/>
          <w:kern w:val="0"/>
          <w:sz w:val="24"/>
          <w:szCs w:val="24"/>
          <w:lang w:val="en-US" w:eastAsia="zh-CN" w:bidi="ar"/>
        </w:rPr>
        <w:t>ppropriate methods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eastAsia"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Case study approach</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Validity and reliability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Data</w:t>
      </w:r>
      <w:r>
        <w:rPr>
          <w:rFonts w:hint="eastAsia" w:ascii="Arial" w:hAnsi="Arial" w:eastAsia="宋体" w:cs="Arial"/>
          <w:color w:val="000000"/>
          <w:kern w:val="0"/>
          <w:sz w:val="24"/>
          <w:szCs w:val="24"/>
          <w:lang w:val="en-US" w:eastAsia="zh-CN" w:bidi="ar"/>
        </w:rPr>
        <w:t xml:space="preserve"> </w:t>
      </w:r>
      <w:r>
        <w:rPr>
          <w:rFonts w:hint="default" w:ascii="Arial" w:hAnsi="Arial" w:eastAsia="宋体" w:cs="Arial"/>
          <w:color w:val="000000"/>
          <w:kern w:val="0"/>
          <w:sz w:val="24"/>
          <w:szCs w:val="24"/>
          <w:lang w:val="en-US" w:eastAsia="zh-CN" w:bidi="ar"/>
        </w:rPr>
        <w:t>analysis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Critical evaluation</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Research ethics</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Timetable</w:t>
      </w:r>
    </w:p>
    <w:p>
      <w:pPr>
        <w:keepNext w:val="0"/>
        <w:keepLines w:val="0"/>
        <w:pageBreakBefore w:val="0"/>
        <w:widowControl/>
        <w:numPr>
          <w:ilvl w:val="0"/>
          <w:numId w:val="1"/>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color w:val="000000"/>
          <w:kern w:val="0"/>
          <w:sz w:val="24"/>
          <w:szCs w:val="24"/>
          <w:lang w:val="en-US" w:eastAsia="zh-CN" w:bidi="ar"/>
        </w:rPr>
      </w:pPr>
      <w:r>
        <w:rPr>
          <w:rFonts w:hint="eastAsia" w:ascii="Arial" w:hAnsi="Arial" w:eastAsia="宋体" w:cs="Arial"/>
          <w:color w:val="000000"/>
          <w:kern w:val="0"/>
          <w:sz w:val="24"/>
          <w:szCs w:val="24"/>
          <w:lang w:val="en-US" w:eastAsia="zh-CN" w:bidi="ar"/>
        </w:rPr>
        <w:t>Conclusion</w:t>
      </w:r>
    </w:p>
    <w:p>
      <w:pPr>
        <w:keepNext w:val="0"/>
        <w:keepLines w:val="0"/>
        <w:widowControl/>
        <w:suppressLineNumbers w:val="0"/>
        <w:kinsoku/>
        <w:wordWrap/>
        <w:overflowPunct/>
        <w:topLinePunct w:val="0"/>
        <w:autoSpaceDE/>
        <w:autoSpaceDN/>
        <w:bidi w:val="0"/>
        <w:adjustRightInd/>
        <w:snapToGrid/>
        <w:spacing w:line="480" w:lineRule="auto"/>
        <w:jc w:val="left"/>
        <w:textAlignment w:val="auto"/>
        <w:rPr>
          <w:rFonts w:hint="eastAsia"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Reference List</w:t>
      </w:r>
    </w:p>
    <w:p>
      <w:pPr>
        <w:keepNext w:val="0"/>
        <w:keepLines w:val="0"/>
        <w:pageBreakBefore/>
        <w:widowControl w:val="0"/>
        <w:numPr>
          <w:ilvl w:val="0"/>
          <w:numId w:val="2"/>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Introductinon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bookmarkStart w:id="0" w:name="OLE_LINK1"/>
      <w:r>
        <w:rPr>
          <w:rFonts w:hint="eastAsia" w:ascii="Arial" w:hAnsi="Arial" w:cs="Arial"/>
          <w:b w:val="0"/>
          <w:bCs w:val="0"/>
          <w:sz w:val="24"/>
          <w:szCs w:val="24"/>
          <w:lang w:val="en-US" w:eastAsia="zh-CN"/>
        </w:rPr>
        <w:t>In the new era, women have become more popular in the world's world leadership business recently, showing that the top performance balance between men and women is between 40 percent to 60 percent world Economic forum (WEF. 2015) shows that sexual equality is only 60 percent in the economy and only 21 percent of politics. This research will look at general issues of discrimination against women and then give them a special application to China and the industry to review in the case analysis of the company.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epidemic at COVID-19 made people realize the importance of social sustainability and the balance of business value and social values. To be allowed to engage in business decisions, and have a solution for situations like this, unique business views of women, and rare, can bring capital and social value to business. With surveys and research, there are general issues involved with women's lives that can impact and help women to continue working and support their promotion. People can also see leaders and how they manage feminism, as well as new arguments and ideas on current management.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Research questions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What special spin will be there for YEIG?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The PRC's energy investment group is the Chinese government's business to expedite strong energy strategic operations to promote the coverage of The Global economy, sustainable coordination and development in 2012. It was approved by the Central Government of China's socialist and Communist party, including the security of energy and security of China's modern age. To provide services with government strategy and development during the visit, increasing business reform efficiency and optimization of the country, accelerating the development of social responsibility. Growth and development of modern green energy sources and digital industry three industries that accelerate storage of securities between digital development countries.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eastAsia="Arial-BoldMT" w:cs="Arial"/>
          <w:b w:val="0"/>
          <w:bCs w:val="0"/>
          <w:color w:val="000000"/>
          <w:kern w:val="0"/>
          <w:sz w:val="24"/>
          <w:szCs w:val="24"/>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What are the constraints on women managers getting to the top?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During this period, it was the Chinese Spring Festival. Many professional women who had worked in other places went back to their hometowns for the festival, including my classmates who had studied abroad. Some of them were excellent professional women. Taking the opportunity of the party, I incidentally interviewed their views on contemporary women's struggle in the workplace and discussed women's rights together, collecting many useful materials for the following paper research. In this process, we distinguish from the economic income gap, and mainly discuss the elite layer in big cities. For example, the manager of Procter&amp;Gamble in the United States introduced to us that the foreign company is one of the world's largest consumer goods companies, with nearly 100,000 employees worldwide, factories and branches in more than 80 countries around the world, and the products of more than 300 brands sold in more than 160 countries and regions. Many of P&amp;G's products have become household brands in China. In 1988, P&amp;G set up its first joint venture in China, Guangzhou P&amp;G Co., LTD. At present, P&amp;G has successively set up more than ten joint ventures and wholly owned enterprises in Guangzhou, Beijing, Shanghai, Chengdu, Tianjin and other places. The total investment in China has exceeded 1 billion US dollars and about 4000 employees. P&amp;G was ranked 86th on fortune's 2003 list of the world's 500 largest companies with annual sales of $43.4 billion in fiscal year 2002-2003. The truth is that none of the senior women in her company have children, whom they regard as a source of fatigue and a choice between children and work that is often not understood by their spouses. While women take at least a year to give birth, this has no effect on men. Using the examples around us, most women are faced with facial anxiety and anxious maintenance after the age of 25, while men rarely have such a situation. For example, in China, the organization and personnel management system stipulates that men retire at the age of 60 and women at 55, which restricts the development of women in terms of working years. By the way, women's housework in small cities and at the grassroots level of society is not recognized as it does not bring substantial economic income. Women's contributions to the family and society are taken for granted, while the essence of society is inseparable from the operation of society. In general, leadership is actually contribution, rather than leading. Female managers should find their own positioning, do their own role well, and finally achieve the goal of mutual benefit.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following graphs show that women who are organized by the style of leaders, women's leaders are very distinctive on both sides, they are engaged in navigation and vision, with no compulsions. Which means that women's leaders can provide a good direction and help and plan their future. </w:t>
      </w:r>
      <w:r>
        <w:rPr>
          <w:rFonts w:hint="eastAsia" w:ascii="Arial" w:hAnsi="Arial" w:cs="Arial"/>
          <w:b w:val="0"/>
          <w:bCs w:val="0"/>
          <w:sz w:val="24"/>
          <w:szCs w:val="24"/>
          <w:lang w:val="en-US" w:eastAsia="zh-CN"/>
        </w:rPr>
        <w:drawing>
          <wp:inline distT="0" distB="0" distL="114300" distR="114300">
            <wp:extent cx="5272405" cy="3163570"/>
            <wp:effectExtent l="0" t="0" r="4445" b="17780"/>
            <wp:docPr id="3" name="图片 3" descr="sustainability-13-08129-g006.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sustainability-13-08129-g006.webp"/>
                    <pic:cNvPicPr>
                      <a:picLocks noChangeAspect="1"/>
                    </pic:cNvPicPr>
                  </pic:nvPicPr>
                  <pic:blipFill>
                    <a:blip r:embed="rId5"/>
                    <a:stretch>
                      <a:fillRect/>
                    </a:stretch>
                  </pic:blipFill>
                  <pic:spPr>
                    <a:xfrm>
                      <a:off x="0" y="0"/>
                      <a:ext cx="5272405" cy="316357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Filtering by multiform Female Leadership. </w:t>
      </w:r>
      <w:r>
        <w:rPr>
          <w:rFonts w:hint="default" w:ascii="Arial" w:hAnsi="Arial" w:cs="Arial"/>
          <w:b w:val="0"/>
          <w:bCs w:val="0"/>
          <w:sz w:val="24"/>
          <w:szCs w:val="24"/>
          <w:lang w:val="en-US" w:eastAsia="zh-CN"/>
        </w:rPr>
        <w:t>Source: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elaborating by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AcevedoDuque</w:t>
      </w:r>
      <w:r>
        <w:rPr>
          <w:rFonts w:hint="eastAsia" w:ascii="Arial" w:hAnsi="Arial" w:cs="Arial"/>
          <w:b w:val="0"/>
          <w:bCs w:val="0"/>
          <w:sz w:val="24"/>
          <w:szCs w:val="24"/>
          <w:lang w:val="en-US" w:eastAsia="zh-CN"/>
        </w:rPr>
        <w:t xml:space="preserve"> </w:t>
      </w:r>
      <w:r>
        <w:rPr>
          <w:rFonts w:hint="eastAsia" w:ascii="Arial" w:hAnsi="Arial" w:cs="Arial"/>
          <w:b w:val="0"/>
          <w:bCs w:val="0"/>
          <w:i/>
          <w:iCs/>
          <w:sz w:val="24"/>
          <w:szCs w:val="24"/>
          <w:lang w:val="en-US" w:eastAsia="zh-CN"/>
        </w:rPr>
        <w:t xml:space="preserve">et al. </w:t>
      </w:r>
      <w:r>
        <w:rPr>
          <w:rFonts w:hint="default" w:ascii="Arial" w:hAnsi="Arial" w:cs="Arial"/>
          <w:b w:val="0"/>
          <w:bCs w:val="0"/>
          <w:sz w:val="24"/>
          <w:szCs w:val="24"/>
          <w:lang w:val="en-US" w:eastAsia="zh-CN"/>
        </w:rPr>
        <w:t>(20</w:t>
      </w:r>
      <w:r>
        <w:rPr>
          <w:rFonts w:hint="eastAsia" w:ascii="Arial" w:hAnsi="Arial" w:cs="Arial"/>
          <w:b w:val="0"/>
          <w:bCs w:val="0"/>
          <w:sz w:val="24"/>
          <w:szCs w:val="24"/>
          <w:lang w:val="en-US" w:eastAsia="zh-CN"/>
        </w:rPr>
        <w:t>21</w:t>
      </w:r>
      <w:r>
        <w:rPr>
          <w:rFonts w:hint="default"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However, others believe that even though women are more likely in a new era to bring differences between women and men, such as family factors, there is still plenty of difficulty (Nannerl, 2020). The family seems to limit the development of women's careers and work stops women from taking care of their families (Le Ha </w:t>
      </w:r>
      <w:r>
        <w:rPr>
          <w:rFonts w:hint="eastAsia" w:ascii="Arial" w:hAnsi="Arial" w:cs="Arial"/>
          <w:b w:val="0"/>
          <w:bCs w:val="0"/>
          <w:i/>
          <w:iCs/>
          <w:sz w:val="24"/>
          <w:szCs w:val="24"/>
          <w:lang w:val="en-US" w:eastAsia="zh-CN"/>
        </w:rPr>
        <w:t>et al</w:t>
      </w:r>
      <w:r>
        <w:rPr>
          <w:rFonts w:hint="eastAsia" w:ascii="Arial" w:hAnsi="Arial" w:cs="Arial"/>
          <w:b w:val="0"/>
          <w:bCs w:val="0"/>
          <w:sz w:val="24"/>
          <w:szCs w:val="24"/>
          <w:lang w:val="en-US" w:eastAsia="zh-CN"/>
        </w:rPr>
        <w:t>, 2020). So one of the most important things is balance between work and life, in fact, even though this argument is believable, women's leadership is used as a broad operating skill.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There are other ways in which people are discriminated against: Race, Class, Disability, Sexual orientation, Rural v urban, Educational, Political, And more. There are more difficulties to overcome in adapting to these conditions as a female character. On this basis, it is equally important to promote female managers.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Are they cultural or universal issues?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From a sociological point of view, society has higher requirements on women than men. Some students put forward that this is related to the deep-rooted patriarchal society, women's biological choice is to choose a stronger partner than themselves, while under the same conditions, men have more choices than women. Women are being urged to marry at 30, while men are in their prime at 30. Under the current social distribution system, Women's inequality is reflected in many aspects, such as the difference in pay to men, which is the most intuitive. Moreover, unlike South Korea or Japan, China follows the culture of male and female superiority and rank status. The social understanding of this is still that men stay at home and women stay at home, so the main requirement for women lies in their contribution to the family. China's current situation advocates democracy and equality, but has yet to achieve real equality, which results in the appearance of equality. Therefore, the public opinion respects women's free choice, but their views on family, marriage and procreation are still mainly aimed at women, so women in the workplace have to pay more attention to family.</w:t>
      </w:r>
      <w:bookmarkStart w:id="1" w:name="_GoBack"/>
      <w:bookmarkEnd w:id="1"/>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Business around the world is experiencing an unprecedented crisis due to the infection of </w:t>
      </w:r>
      <w:r>
        <w:rPr>
          <w:rFonts w:hint="eastAsia" w:ascii="Arial" w:hAnsi="Arial" w:eastAsia="Arial-BoldMT" w:cs="Arial"/>
          <w:b w:val="0"/>
          <w:bCs w:val="0"/>
          <w:color w:val="000000"/>
          <w:kern w:val="0"/>
          <w:sz w:val="24"/>
          <w:szCs w:val="24"/>
          <w:lang w:val="en-US" w:eastAsia="zh-CN" w:bidi="ar"/>
        </w:rPr>
        <w:t>the COVID-19</w:t>
      </w:r>
      <w:r>
        <w:rPr>
          <w:rFonts w:hint="default" w:ascii="Arial" w:hAnsi="Arial" w:eastAsia="Arial-BoldMT" w:cs="Arial"/>
          <w:b w:val="0"/>
          <w:bCs w:val="0"/>
          <w:color w:val="000000"/>
          <w:kern w:val="0"/>
          <w:sz w:val="24"/>
          <w:szCs w:val="24"/>
          <w:lang w:val="en-US" w:eastAsia="zh-CN" w:bidi="ar"/>
        </w:rPr>
        <w:t>. In addition, in today's globalization, the problem of female management, which was originally influenced by different cultures, has become a universal issu</w:t>
      </w:r>
      <w:r>
        <w:rPr>
          <w:rFonts w:hint="eastAsia" w:ascii="Arial" w:hAnsi="Arial" w:eastAsia="Arial-BoldMT" w:cs="Arial"/>
          <w:b w:val="0"/>
          <w:bCs w:val="0"/>
          <w:color w:val="000000"/>
          <w:kern w:val="0"/>
          <w:sz w:val="24"/>
          <w:szCs w:val="24"/>
          <w:lang w:val="en-US" w:eastAsia="zh-CN" w:bidi="ar"/>
        </w:rPr>
        <w:t>e</w:t>
      </w:r>
      <w:r>
        <w:rPr>
          <w:rFonts w:hint="default" w:ascii="Arial" w:hAnsi="Arial" w:eastAsia="Arial-BoldMT" w:cs="Arial"/>
          <w:b w:val="0"/>
          <w:bCs w:val="0"/>
          <w:color w:val="000000"/>
          <w:kern w:val="0"/>
          <w:sz w:val="24"/>
          <w:szCs w:val="24"/>
          <w:lang w:val="en-US" w:eastAsia="zh-CN" w:bidi="ar"/>
        </w:rPr>
        <w:t>. At the same time, this is also a phenomenon existing in state-owned enterprises. The city where Y</w:t>
      </w:r>
      <w:r>
        <w:rPr>
          <w:rFonts w:hint="eastAsia" w:ascii="Arial" w:hAnsi="Arial" w:eastAsia="Arial-BoldMT" w:cs="Arial"/>
          <w:b w:val="0"/>
          <w:bCs w:val="0"/>
          <w:color w:val="000000"/>
          <w:kern w:val="0"/>
          <w:sz w:val="24"/>
          <w:szCs w:val="24"/>
          <w:lang w:val="en-US" w:eastAsia="zh-CN" w:bidi="ar"/>
        </w:rPr>
        <w:t>EIG</w:t>
      </w:r>
      <w:r>
        <w:rPr>
          <w:rFonts w:hint="default" w:ascii="Arial" w:hAnsi="Arial" w:eastAsia="Arial-BoldMT" w:cs="Arial"/>
          <w:b w:val="0"/>
          <w:bCs w:val="0"/>
          <w:color w:val="000000"/>
          <w:kern w:val="0"/>
          <w:sz w:val="24"/>
          <w:szCs w:val="24"/>
          <w:lang w:val="en-US" w:eastAsia="zh-CN" w:bidi="ar"/>
        </w:rPr>
        <w:t xml:space="preserve"> is located is a second-tier city, which is relatively representative and referential. In 2020, the democratic Administration focused on creating a global green energy industry that has the advantage of the world's core green energy industry, and is trying to get into 500 strong industries, due to the continued development of high quality industry. The country's assets control committee and the national Asset management Committee were considered a good organization for the construction of the P</w:t>
      </w:r>
      <w:r>
        <w:rPr>
          <w:rFonts w:hint="eastAsia" w:ascii="Arial" w:hAnsi="Arial" w:eastAsia="Arial-BoldMT" w:cs="Arial"/>
          <w:b w:val="0"/>
          <w:bCs w:val="0"/>
          <w:color w:val="000000"/>
          <w:kern w:val="0"/>
          <w:sz w:val="24"/>
          <w:szCs w:val="24"/>
          <w:lang w:val="en-US" w:eastAsia="zh-CN" w:bidi="ar"/>
        </w:rPr>
        <w:t>arty</w:t>
      </w:r>
      <w:r>
        <w:rPr>
          <w:rFonts w:hint="default" w:ascii="Arial" w:hAnsi="Arial" w:eastAsia="Arial-BoldMT" w:cs="Arial"/>
          <w:b w:val="0"/>
          <w:bCs w:val="0"/>
          <w:color w:val="000000"/>
          <w:kern w:val="0"/>
          <w:sz w:val="24"/>
          <w:szCs w:val="24"/>
          <w:lang w:val="en-US" w:eastAsia="zh-CN" w:bidi="ar"/>
        </w:rPr>
        <w:t xml:space="preserve">'s integrity, </w:t>
      </w:r>
      <w:r>
        <w:rPr>
          <w:rFonts w:hint="eastAsia" w:ascii="Arial" w:hAnsi="Arial" w:eastAsia="Arial-BoldMT" w:cs="Arial"/>
          <w:b w:val="0"/>
          <w:bCs w:val="0"/>
          <w:color w:val="000000"/>
          <w:kern w:val="0"/>
          <w:sz w:val="24"/>
          <w:szCs w:val="24"/>
          <w:lang w:val="en-US" w:eastAsia="zh-CN" w:bidi="ar"/>
        </w:rPr>
        <w:t>and</w:t>
      </w:r>
      <w:r>
        <w:rPr>
          <w:rFonts w:hint="default" w:ascii="Arial" w:hAnsi="Arial" w:eastAsia="Arial-BoldMT" w:cs="Arial"/>
          <w:b w:val="0"/>
          <w:bCs w:val="0"/>
          <w:color w:val="000000"/>
          <w:kern w:val="0"/>
          <w:sz w:val="24"/>
          <w:szCs w:val="24"/>
          <w:lang w:val="en-US" w:eastAsia="zh-CN" w:bidi="ar"/>
        </w:rPr>
        <w:t xml:space="preserve"> a good leader.</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Arial-BoldMT" w:cs="Arial"/>
          <w:b w:val="0"/>
          <w:bCs w:val="0"/>
          <w:color w:val="000000"/>
          <w:kern w:val="0"/>
          <w:sz w:val="24"/>
          <w:szCs w:val="24"/>
          <w:lang w:val="en-US" w:eastAsia="zh-CN" w:bidi="ar"/>
        </w:rPr>
      </w:pPr>
      <w:r>
        <w:rPr>
          <w:rFonts w:hint="eastAsia" w:ascii="Arial" w:hAnsi="Arial" w:eastAsia="Arial-BoldMT" w:cs="Arial"/>
          <w:b w:val="0"/>
          <w:bCs w:val="0"/>
          <w:color w:val="000000"/>
          <w:kern w:val="0"/>
          <w:sz w:val="24"/>
          <w:szCs w:val="24"/>
          <w:lang w:val="en-US" w:eastAsia="zh-CN" w:bidi="ar"/>
        </w:rPr>
        <w:t>All cases are unique but it would be nice to aspire to derive general advice for similar companies and industries.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Key Aim &amp; Objectives of the planned research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key to this topic is the values of women's leadership to management, so the purpose of this project is to consider previous research, to analyze women's leadership by using information from different countries. In addition, developing countries should learn from developing countries. This shows three main topics: first of all, women's presentation, the analysis of women's advantages to the management of modern society, and in the end, the country representing and the general case.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Essentially the pretend research topic is exploratory since this research is not testing a specific hypothesis. In such cases the data collected is likely to contribute to the body of knowledge rather than prove that any particular theory is correct or not. Since the focus is YEIG during a particular time period (2019-2022), the general application of findings will be limited. The key aim will be to investigate the case. The aim is therefore detailed in the title. The more detailed objectives are to achieve by the end of the research: A review of the external reputation of YEIG</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management culture; An analysis of the opinions of employees of the leadership style of middle and junior female managers, reviewing possible female leadership characteristics; An evaluation of the degree of empowerment of the interviewed managers to stand up to and change a possible female culture and leadership group; Logically derive recommendations for YEIG on organisational changes that can be introduced to help female leadership cultures and prevent male dominating the company.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Preliminary literature review</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4.1 Embodiment of Female Leadership</w:t>
      </w:r>
    </w:p>
    <w:bookmarkEnd w:id="0"/>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In a new era, women have more opportunities to bring their power and rights to leaders (Nannerl, 2020).  For example, Hillary Clinton, prime Minister Of The United States Of Germany, Prime Minister Julia Gidat, Australian Prime Minister, President Of Australia, President Of Brazil, Christina Jefferson, and Prime Minister. In addition, Chen </w:t>
      </w:r>
      <w:r>
        <w:rPr>
          <w:rFonts w:hint="eastAsia" w:ascii="Arial" w:hAnsi="Arial" w:cs="Arial"/>
          <w:b w:val="0"/>
          <w:bCs w:val="0"/>
          <w:i/>
          <w:iCs/>
          <w:sz w:val="24"/>
          <w:szCs w:val="24"/>
          <w:lang w:val="en-US" w:eastAsia="zh-CN"/>
        </w:rPr>
        <w:t>et al.</w:t>
      </w:r>
      <w:r>
        <w:rPr>
          <w:rFonts w:hint="eastAsia" w:ascii="Arial" w:hAnsi="Arial" w:cs="Arial"/>
          <w:b w:val="0"/>
          <w:bCs w:val="0"/>
          <w:sz w:val="24"/>
          <w:szCs w:val="24"/>
          <w:lang w:val="en-US" w:eastAsia="zh-CN"/>
        </w:rPr>
        <w:t xml:space="preserve"> (2018) pointed out that the presence of women in business leaders can be compared to men. Women's leaders represent equity and cultural diversity on a certain level, so feminism does not say women are more powerful, but they say men and women are equal.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However, under the world's economic processes (2015), even though the world's sexual orientation is likely to decline, it takes a long time, but it's just speculation and there's not enough evidence. " The sexual differences are likely to decline in the year 2133." Studies also show that sexual equality is only 60 percent in the economy and only 21 percent of politics.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Study after that focuses on the speed of change in men's leadership and equality compared to any time in history, some documents have already been published for women who are more likely</w:t>
      </w:r>
      <w:r>
        <w:rPr>
          <w:rFonts w:hint="eastAsia" w:ascii="Arial" w:hAnsi="Arial" w:cs="Arial"/>
          <w:b w:val="0"/>
          <w:bCs w:val="0"/>
          <w:sz w:val="24"/>
          <w:szCs w:val="24"/>
          <w:lang w:val="en-US" w:eastAsia="zh-CN"/>
        </w:rPr>
        <w:t xml:space="preserve"> t</w:t>
      </w:r>
      <w:r>
        <w:rPr>
          <w:rFonts w:hint="default" w:ascii="Arial" w:hAnsi="Arial" w:cs="Arial"/>
          <w:b w:val="0"/>
          <w:bCs w:val="0"/>
          <w:sz w:val="24"/>
          <w:szCs w:val="24"/>
          <w:lang w:val="en-US" w:eastAsia="zh-CN"/>
        </w:rPr>
        <w:t>o make a significant leader (N</w:t>
      </w:r>
      <w:r>
        <w:rPr>
          <w:rFonts w:hint="eastAsia" w:ascii="Arial" w:hAnsi="Arial" w:cs="Arial"/>
          <w:b w:val="0"/>
          <w:bCs w:val="0"/>
          <w:sz w:val="24"/>
          <w:szCs w:val="24"/>
          <w:lang w:val="en-US" w:eastAsia="zh-CN"/>
        </w:rPr>
        <w:t>annerl</w:t>
      </w:r>
      <w:r>
        <w:rPr>
          <w:rFonts w:hint="default" w:ascii="Arial" w:hAnsi="Arial" w:cs="Arial"/>
          <w:b w:val="0"/>
          <w:bCs w:val="0"/>
          <w:sz w:val="24"/>
          <w:szCs w:val="24"/>
          <w:lang w:val="en-US" w:eastAsia="zh-CN"/>
        </w:rPr>
        <w:t>, 2020)</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4.2 Advantages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The work style of today's female leaders is often done as soft while you execute the rules of the </w:t>
      </w:r>
      <w:r>
        <w:rPr>
          <w:rFonts w:hint="eastAsia" w:ascii="Arial" w:hAnsi="Arial" w:cs="Arial"/>
          <w:b w:val="0"/>
          <w:bCs w:val="0"/>
          <w:color w:val="auto"/>
          <w:sz w:val="24"/>
          <w:szCs w:val="24"/>
          <w:lang w:val="en-US" w:eastAsia="zh-CN"/>
        </w:rPr>
        <w:t>SOCs</w:t>
      </w:r>
      <w:r>
        <w:rPr>
          <w:rFonts w:hint="default" w:ascii="Arial" w:hAnsi="Arial" w:cs="Arial"/>
          <w:b w:val="0"/>
          <w:bCs w:val="0"/>
          <w:color w:val="auto"/>
          <w:sz w:val="24"/>
          <w:szCs w:val="24"/>
          <w:lang w:val="en-US" w:eastAsia="zh-CN"/>
        </w:rPr>
        <w:t>. And it could now be claimed that managers in the business are more likely to end the plan together with their partners and not simply lead it</w:t>
      </w:r>
      <w:r>
        <w:rPr>
          <w:rFonts w:hint="eastAsia" w:ascii="Arial" w:hAnsi="Arial" w:cs="Arial"/>
          <w:b w:val="0"/>
          <w:bCs w:val="0"/>
          <w:color w:val="auto"/>
          <w:sz w:val="24"/>
          <w:szCs w:val="24"/>
          <w:lang w:val="en-US" w:eastAsia="zh-CN"/>
        </w:rPr>
        <w:t xml:space="preserve"> (AcevedoDuque</w:t>
      </w:r>
      <w:r>
        <w:rPr>
          <w:rFonts w:hint="eastAsia" w:ascii="Arial" w:hAnsi="Arial" w:cs="Arial"/>
          <w:b w:val="0"/>
          <w:bCs w:val="0"/>
          <w:i/>
          <w:iCs/>
          <w:color w:val="auto"/>
          <w:sz w:val="24"/>
          <w:szCs w:val="24"/>
          <w:lang w:val="en-US" w:eastAsia="zh-CN"/>
        </w:rPr>
        <w:t xml:space="preserve"> et al</w:t>
      </w:r>
      <w:r>
        <w:rPr>
          <w:rFonts w:hint="eastAsia" w:ascii="Arial" w:hAnsi="Arial" w:cs="Arial"/>
          <w:b w:val="0"/>
          <w:bCs w:val="0"/>
          <w:color w:val="auto"/>
          <w:sz w:val="24"/>
          <w:szCs w:val="24"/>
          <w:lang w:val="en-US" w:eastAsia="zh-CN"/>
        </w:rPr>
        <w:t>, 2021)</w:t>
      </w:r>
      <w:r>
        <w:rPr>
          <w:rFonts w:hint="default" w:ascii="Arial" w:hAnsi="Arial" w:cs="Arial"/>
          <w:b w:val="0"/>
          <w:bCs w:val="0"/>
          <w:color w:val="auto"/>
          <w:sz w:val="24"/>
          <w:szCs w:val="24"/>
          <w:lang w:val="en-US" w:eastAsia="zh-CN"/>
        </w:rPr>
        <w:t>. Corporate management shows how they communicate, show skills and leadership qualities</w:t>
      </w:r>
      <w:r>
        <w:rPr>
          <w:rFonts w:hint="eastAsia" w:ascii="Arial" w:hAnsi="Arial" w:cs="Arial"/>
          <w:b w:val="0"/>
          <w:bCs w:val="0"/>
          <w:color w:val="auto"/>
          <w:sz w:val="24"/>
          <w:szCs w:val="24"/>
          <w:lang w:val="en-US" w:eastAsia="zh-CN"/>
        </w:rPr>
        <w:t xml:space="preserve"> (Chen </w:t>
      </w:r>
      <w:r>
        <w:rPr>
          <w:rFonts w:hint="eastAsia" w:ascii="Arial" w:hAnsi="Arial" w:cs="Arial"/>
          <w:b w:val="0"/>
          <w:bCs w:val="0"/>
          <w:i/>
          <w:iCs/>
          <w:color w:val="auto"/>
          <w:sz w:val="24"/>
          <w:szCs w:val="24"/>
          <w:lang w:val="en-US" w:eastAsia="zh-CN"/>
        </w:rPr>
        <w:t>et al</w:t>
      </w:r>
      <w:r>
        <w:rPr>
          <w:rFonts w:hint="eastAsia" w:ascii="Arial" w:hAnsi="Arial" w:cs="Arial"/>
          <w:b w:val="0"/>
          <w:bCs w:val="0"/>
          <w:color w:val="auto"/>
          <w:sz w:val="24"/>
          <w:szCs w:val="24"/>
          <w:lang w:val="en-US" w:eastAsia="zh-CN"/>
        </w:rPr>
        <w:t>, 2018)</w:t>
      </w:r>
      <w:r>
        <w:rPr>
          <w:rFonts w:hint="default" w:ascii="Arial" w:hAnsi="Arial" w:cs="Arial"/>
          <w:b w:val="0"/>
          <w:bCs w:val="0"/>
          <w:color w:val="auto"/>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addition, some social security institutions have adopted provisions to help women develop a "family-friendly way of life" (</w:t>
      </w:r>
      <w:r>
        <w:rPr>
          <w:rFonts w:hint="eastAsia" w:ascii="Arial" w:hAnsi="Arial" w:cs="Arial"/>
          <w:b w:val="0"/>
          <w:bCs w:val="0"/>
          <w:sz w:val="24"/>
          <w:szCs w:val="24"/>
          <w:lang w:val="en-US" w:eastAsia="zh-CN"/>
        </w:rPr>
        <w:t>N</w:t>
      </w:r>
      <w:r>
        <w:rPr>
          <w:rFonts w:hint="default" w:ascii="Arial" w:hAnsi="Arial" w:cs="Arial"/>
          <w:b w:val="0"/>
          <w:bCs w:val="0"/>
          <w:sz w:val="24"/>
          <w:szCs w:val="24"/>
          <w:lang w:val="en-US" w:eastAsia="zh-CN"/>
        </w:rPr>
        <w:t>anne</w:t>
      </w:r>
      <w:r>
        <w:rPr>
          <w:rFonts w:hint="eastAsia" w:ascii="Arial" w:hAnsi="Arial" w:cs="Arial"/>
          <w:b w:val="0"/>
          <w:bCs w:val="0"/>
          <w:sz w:val="24"/>
          <w:szCs w:val="24"/>
          <w:lang w:val="en-US" w:eastAsia="zh-CN"/>
        </w:rPr>
        <w:t>r</w:t>
      </w:r>
      <w:r>
        <w:rPr>
          <w:rFonts w:hint="default" w:ascii="Arial" w:hAnsi="Arial" w:cs="Arial"/>
          <w:b w:val="0"/>
          <w:bCs w:val="0"/>
          <w:sz w:val="24"/>
          <w:szCs w:val="24"/>
          <w:lang w:val="en-US" w:eastAsia="zh-CN"/>
        </w:rPr>
        <w:t>l, 2020). These provisions have been implemented at various European and Chinese workplaces. Take the yunnan investment group, which has considerable strength and efficiency, is referred to as SOC within the country. A regulation has been implemented that allows female office workers to bring children to work. The heads of many areas such as market management and trade unions are also women. It also means improving the status of women in society so that they can help themselves achieve self-esteem in modern society.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4.3 Practical application of Female Leadership</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333333"/>
          <w:spacing w:val="0"/>
          <w:sz w:val="24"/>
          <w:szCs w:val="24"/>
          <w:shd w:val="clear" w:fill="FFFFFF"/>
        </w:rPr>
      </w:pPr>
      <w:r>
        <w:rPr>
          <w:rFonts w:hint="eastAsia" w:ascii="Arial" w:hAnsi="Arial" w:cs="Arial"/>
          <w:b w:val="0"/>
          <w:bCs w:val="0"/>
          <w:sz w:val="24"/>
          <w:szCs w:val="24"/>
          <w:lang w:val="en-US" w:eastAsia="zh-CN"/>
        </w:rPr>
        <w:t xml:space="preserve">The problem is that during the 2019 pandemic, women must be included in globalization to mitigate the long-term consequences of the pandemic. Wittenberg-Cox: In 2020, countries where women govern are safer and where men suffer about six times as many deaths as in countries where men take the lead. Therefore, the issue of women's rights is now an issue on which progress has been made in many countries. On the other hand, women in developing countries such as India, Vietnam, China and Latin America may still have the problem of recognising their qualifications (McGowan, 2021; Le Ha </w:t>
      </w:r>
      <w:r>
        <w:rPr>
          <w:rFonts w:hint="eastAsia" w:ascii="Arial" w:hAnsi="Arial" w:cs="Arial"/>
          <w:i/>
          <w:iCs/>
          <w:sz w:val="24"/>
          <w:szCs w:val="24"/>
          <w:shd w:val="clear" w:color="auto" w:fill="FFFFFF"/>
          <w:lang w:val="en-US" w:eastAsia="zh-CN"/>
        </w:rPr>
        <w:t>et al</w:t>
      </w:r>
      <w:r>
        <w:rPr>
          <w:rFonts w:hint="eastAsia" w:ascii="Arial" w:hAnsi="Arial" w:cs="Arial"/>
          <w:b w:val="0"/>
          <w:bCs w:val="0"/>
          <w:sz w:val="24"/>
          <w:szCs w:val="24"/>
          <w:lang w:val="en-US" w:eastAsia="zh-CN"/>
        </w:rPr>
        <w:t xml:space="preserve">, 2020; Chen </w:t>
      </w:r>
      <w:r>
        <w:rPr>
          <w:rFonts w:hint="eastAsia" w:ascii="Arial" w:hAnsi="Arial" w:cs="Arial"/>
          <w:b w:val="0"/>
          <w:bCs w:val="0"/>
          <w:i/>
          <w:iCs/>
          <w:sz w:val="24"/>
          <w:szCs w:val="24"/>
          <w:lang w:val="en-US" w:eastAsia="zh-CN"/>
        </w:rPr>
        <w:t>et al,</w:t>
      </w:r>
      <w:r>
        <w:rPr>
          <w:rFonts w:hint="eastAsia" w:ascii="Arial" w:hAnsi="Arial" w:cs="Arial"/>
          <w:b w:val="0"/>
          <w:bCs w:val="0"/>
          <w:i w:val="0"/>
          <w:iCs w:val="0"/>
          <w:sz w:val="24"/>
          <w:szCs w:val="24"/>
          <w:lang w:val="en-US" w:eastAsia="zh-CN"/>
        </w:rPr>
        <w:t xml:space="preserve"> 2018;</w:t>
      </w:r>
      <w:r>
        <w:rPr>
          <w:rFonts w:hint="eastAsia" w:ascii="Arial" w:hAnsi="Arial" w:cs="Arial"/>
          <w:b w:val="0"/>
          <w:bCs w:val="0"/>
          <w:i/>
          <w:iCs/>
          <w:sz w:val="24"/>
          <w:szCs w:val="24"/>
          <w:lang w:val="en-US" w:eastAsia="zh-CN"/>
        </w:rPr>
        <w:t xml:space="preserve"> </w:t>
      </w:r>
      <w:r>
        <w:rPr>
          <w:rFonts w:hint="eastAsia" w:ascii="Arial" w:hAnsi="Arial" w:cs="Arial"/>
          <w:sz w:val="24"/>
          <w:szCs w:val="24"/>
          <w:shd w:val="clear" w:color="auto" w:fill="FFFFFF"/>
          <w:lang w:val="en-US" w:eastAsia="zh-CN"/>
        </w:rPr>
        <w:t xml:space="preserve">AcevedoDuque </w:t>
      </w:r>
      <w:r>
        <w:rPr>
          <w:rFonts w:hint="eastAsia" w:ascii="Arial" w:hAnsi="Arial" w:cs="Arial"/>
          <w:i/>
          <w:iCs/>
          <w:sz w:val="24"/>
          <w:szCs w:val="24"/>
          <w:shd w:val="clear" w:color="auto" w:fill="FFFFFF"/>
          <w:lang w:val="en-US" w:eastAsia="zh-CN"/>
        </w:rPr>
        <w:t>et al</w:t>
      </w:r>
      <w:r>
        <w:rPr>
          <w:rFonts w:hint="eastAsia" w:ascii="Arial" w:hAnsi="Arial" w:cs="Arial"/>
          <w:sz w:val="24"/>
          <w:szCs w:val="24"/>
          <w:shd w:val="clear" w:color="auto" w:fill="FFFFFF"/>
          <w:lang w:val="en-US" w:eastAsia="zh-CN"/>
        </w:rPr>
        <w:t>, 2021</w:t>
      </w:r>
      <w:r>
        <w:rPr>
          <w:rFonts w:hint="eastAsia" w:ascii="Arial" w:hAnsi="Arial" w:cs="Arial"/>
          <w:b w:val="0"/>
          <w:bCs w:val="0"/>
          <w:sz w:val="24"/>
          <w:szCs w:val="24"/>
          <w:lang w:val="en-US" w:eastAsia="zh-CN"/>
        </w:rPr>
        <w:t xml:space="preserve">). </w:t>
      </w:r>
      <w:r>
        <w:rPr>
          <w:rFonts w:hint="eastAsia" w:ascii="Arial" w:hAnsi="Arial" w:eastAsia="宋体" w:cs="Arial"/>
          <w:i w:val="0"/>
          <w:iCs w:val="0"/>
          <w:caps w:val="0"/>
          <w:color w:val="333333"/>
          <w:spacing w:val="0"/>
          <w:sz w:val="24"/>
          <w:szCs w:val="24"/>
          <w:shd w:val="clear" w:fill="FFFFFF"/>
        </w:rPr>
        <w:t>It is shocking that even then the Taliban did not allow Afghan women to study or work or leave their homes. In a subordinate social position, women cannot assume the leading role in socialist society</w:t>
      </w:r>
      <w:r>
        <w:rPr>
          <w:rFonts w:hint="eastAsia" w:ascii="Arial" w:hAnsi="Arial" w:eastAsia="宋体" w:cs="Arial"/>
          <w:i w:val="0"/>
          <w:iCs w:val="0"/>
          <w:caps w:val="0"/>
          <w:color w:val="333333"/>
          <w:spacing w:val="0"/>
          <w:sz w:val="24"/>
          <w:szCs w:val="24"/>
          <w:shd w:val="clear" w:fill="FFFFFF"/>
          <w:lang w:val="en-US" w:eastAsia="zh-CN"/>
        </w:rPr>
        <w:t xml:space="preserve"> (Nannerl, 2020)</w:t>
      </w:r>
      <w:r>
        <w:rPr>
          <w:rFonts w:hint="default" w:ascii="Arial" w:hAnsi="Arial" w:eastAsia="宋体" w:cs="Arial"/>
          <w:i w:val="0"/>
          <w:iCs w:val="0"/>
          <w:caps w:val="0"/>
          <w:color w:val="333333"/>
          <w:spacing w:val="0"/>
          <w:sz w:val="24"/>
          <w:szCs w:val="24"/>
          <w:shd w:val="clear" w:fill="FFFFFF"/>
        </w:rPr>
        <w:t>.</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480" w:lineRule="auto"/>
        <w:ind w:left="0" w:right="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this way, they can learn from the Western industrialized countries, which are capable of more democracy. This is a US model: in 2018 and 2019, more women than ever came to power, and in 2018, 117 women were elected</w:t>
      </w:r>
      <w:r>
        <w:rPr>
          <w:rFonts w:hint="eastAsia" w:ascii="Arial" w:hAnsi="Arial" w:cs="Arial"/>
          <w:b w:val="0"/>
          <w:bCs w:val="0"/>
          <w:color w:val="auto"/>
          <w:sz w:val="24"/>
          <w:szCs w:val="24"/>
          <w:lang w:val="en-US" w:eastAsia="zh-CN"/>
        </w:rPr>
        <w:t xml:space="preserve"> </w:t>
      </w:r>
      <w:r>
        <w:rPr>
          <w:rFonts w:hint="eastAsia" w:ascii="Arial" w:hAnsi="Arial" w:eastAsia="宋体" w:cs="Arial"/>
          <w:i w:val="0"/>
          <w:iCs w:val="0"/>
          <w:caps w:val="0"/>
          <w:color w:val="333333"/>
          <w:spacing w:val="0"/>
          <w:sz w:val="24"/>
          <w:szCs w:val="24"/>
          <w:shd w:val="clear" w:fill="FFFFFF"/>
          <w:lang w:val="en-US" w:eastAsia="zh-CN"/>
        </w:rPr>
        <w:t>(Nannerl, 2020)</w:t>
      </w:r>
      <w:r>
        <w:rPr>
          <w:rFonts w:hint="eastAsia" w:ascii="Arial" w:hAnsi="Arial" w:cs="Arial"/>
          <w:b w:val="0"/>
          <w:bCs w:val="0"/>
          <w:color w:val="auto"/>
          <w:sz w:val="24"/>
          <w:szCs w:val="24"/>
          <w:lang w:val="en-US" w:eastAsia="zh-CN"/>
        </w:rPr>
        <w:t xml:space="preserve">. </w:t>
      </w:r>
      <w:r>
        <w:rPr>
          <w:rFonts w:hint="eastAsia" w:ascii="Arial" w:hAnsi="Arial" w:cs="Arial"/>
          <w:b w:val="0"/>
          <w:bCs w:val="0"/>
          <w:sz w:val="24"/>
          <w:szCs w:val="24"/>
          <w:lang w:val="en-US" w:eastAsia="zh-CN"/>
        </w:rPr>
        <w:t>The aim is to teach soc in developing countries a lesson in the training and use of women available to promote development anywhere in the world.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Methodology</w:t>
      </w:r>
    </w:p>
    <w:p>
      <w:pPr>
        <w:keepNext w:val="0"/>
        <w:keepLines w:val="0"/>
        <w:pageBreakBefore w:val="0"/>
        <w:widowControl w:val="0"/>
        <w:numPr>
          <w:ilvl w:val="1"/>
          <w:numId w:val="2"/>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Underlying theory of the topic</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Taylorist and lean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orist</w:t>
      </w:r>
      <w:r>
        <w:rPr>
          <w:rFonts w:hint="default" w:ascii="Arial" w:hAnsi="Arial" w:eastAsia="宋体" w:cs="Arial"/>
          <w:b w:val="0"/>
          <w:bCs w:val="0"/>
          <w:color w:val="000000"/>
          <w:kern w:val="0"/>
          <w:sz w:val="24"/>
          <w:szCs w:val="24"/>
          <w:lang w:val="en-US" w:eastAsia="zh-CN" w:bidi="ar"/>
        </w:rPr>
        <w:t xml:space="preserve"> and other relationships influence each other. In short, the theory of human relationships views people who take care of their needs that promote economic benefits. 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w:t>
      </w:r>
      <w:r>
        <w:rPr>
          <w:rFonts w:hint="default" w:ascii="Arial" w:hAnsi="Arial" w:eastAsia="宋体" w:cs="Arial"/>
          <w:b w:val="0"/>
          <w:bCs w:val="0"/>
          <w:color w:val="000000"/>
          <w:kern w:val="0"/>
          <w:sz w:val="24"/>
          <w:szCs w:val="24"/>
          <w:lang w:val="en-US" w:eastAsia="zh-CN" w:bidi="ar"/>
        </w:rPr>
        <w:t>r's "science management" sees people from the perspective of managers or capitalists as "machines". There are differences, but also similarities. The ethical orientation of a company is similar; they should complement each other and not be exclusive. The increasing attention to the human aspect began with the ethics and goals of scientific management. Similar to T</w:t>
      </w:r>
      <w:r>
        <w:rPr>
          <w:rFonts w:hint="eastAsia" w:ascii="Arial" w:hAnsi="Arial" w:eastAsia="宋体" w:cs="Arial"/>
          <w:b w:val="0"/>
          <w:bCs w:val="0"/>
          <w:color w:val="000000"/>
          <w:kern w:val="0"/>
          <w:sz w:val="24"/>
          <w:szCs w:val="24"/>
          <w:lang w:val="en-US" w:eastAsia="zh-CN" w:bidi="ar"/>
        </w:rPr>
        <w:t>a</w:t>
      </w:r>
      <w:r>
        <w:rPr>
          <w:rFonts w:hint="default" w:ascii="Arial" w:hAnsi="Arial" w:eastAsia="宋体" w:cs="Arial"/>
          <w:b w:val="0"/>
          <w:bCs w:val="0"/>
          <w:color w:val="000000"/>
          <w:kern w:val="0"/>
          <w:sz w:val="24"/>
          <w:szCs w:val="24"/>
          <w:lang w:val="en-US" w:eastAsia="zh-CN" w:bidi="ar"/>
        </w:rPr>
        <w:t>yl</w:t>
      </w:r>
      <w:r>
        <w:rPr>
          <w:rFonts w:hint="eastAsia" w:ascii="Arial" w:hAnsi="Arial" w:eastAsia="宋体" w:cs="Arial"/>
          <w:b w:val="0"/>
          <w:bCs w:val="0"/>
          <w:color w:val="000000"/>
          <w:kern w:val="0"/>
          <w:sz w:val="24"/>
          <w:szCs w:val="24"/>
          <w:lang w:val="en-US" w:eastAsia="zh-CN" w:bidi="ar"/>
        </w:rPr>
        <w:t>o</w:t>
      </w:r>
      <w:r>
        <w:rPr>
          <w:rFonts w:hint="default" w:ascii="Arial" w:hAnsi="Arial" w:eastAsia="宋体" w:cs="Arial"/>
          <w:b w:val="0"/>
          <w:bCs w:val="0"/>
          <w:color w:val="000000"/>
          <w:kern w:val="0"/>
          <w:sz w:val="24"/>
          <w:szCs w:val="24"/>
          <w:lang w:val="en-US" w:eastAsia="zh-CN" w:bidi="ar"/>
        </w:rPr>
        <w:t>r's approach to scientific management, the school of interpersonal relationships uses scientific approaches to study organizational behavior, emphasizing observed studies of behavior within organizations. In particular, industrial psychology, which emerged from experimental psychology, adheres closely to the guidelines and technical methods of scientific management. Both emphasize the individual and thus efficiency, and both emphasize scientific methods for achieving social benefits. As a rule, they are combined with the applications that the company actually operates. Taylor is interested in how companies can become profitable, cost low, productivity increases and shareholders profitable. Some people discuss how to design the job, make it happier and get involved. On the other hand, this increases productivity and leads to success.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In addition, the theory of slimming management is an enormously efficient application in the way modern organizations work. It can maximize the social value of an organization by increasing customer satisfaction, reducing costs, increasing quality, accelerating processes and increasing investment. It is a revolutionary new way of production control and practice. The central idea is to reduce waste and create a highly flexible and effective production system. It represents the direction in which the manufacturing industry is being developed today, and it is referred to as the "standard production model for the manufacturing industry of the 21st century". And hopefully contribute to an improvement in corporate governance in our country.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Many company managers are familiar with leaner production management and its economic theory, but when lean production management is implemented, it is often not an ideal result. Our survey found that many companies that apply lean production management often underestimate the core of lean production management: continuous improvement. While many companies stress that they promote sustained improvements without making much progress, a thorough study shows that some of the best companies in Japan and Europe not only have successful management practices, but also clear practices to improve the company support system. According to many of our experiences, improved production management is only successful if there is an improved extended system for promoting production, which ensures the participation of all. You're probably familiar with him. We had a system. However, the proposal for improvement here is not the same as for proposals for rationalisation and the like. That is, first to improve, then to improve, then to propose. An improved proposed system is the basis for all parties involved to make a lasting commitment to improvements. By limiting waste. No idea what that means. A medium topic is a topic that is called a big topic and for the most part refers to improvements in the processes. Thirdly, the entire workforce is platoon employees. Both for suggestions for improvement and for important projects where there is room for improvement, the results should be presented as a form of evaluation. But also by presenting the events. Presentation of the results on site and dissemination of the procedures to the participants. Fourthly, special diagnosis, Director General of Diagnostic Systems, President of Diagnostic Systems. What is the current question? Where do we need to go next? This requires the management of external experts, director-general and director. This procedure should also include improving the results of the previous section. Fifthly, it forms the basis for the training of all staff on appropriate improvements to the tools. Without these tools you can't climb and even if you have them, you can't start. Improving continuing vocational training is therefore a compulsory subject. This includes all levels of training, from beginners to employees, to moving companies, from the base to the management. From the five areas in which recommendations, qualitative improvements, publications, expert diagnostics and training on usage software are made, a cycle of continuous improvements for an improved production system and institutional security for improved production management is created.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eastAsia"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Feminist approach to leadership and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In her book The Invisible Woman by British writer William Peres, she explains that people live in a world based on human data. The absence of female data leads to the systematic ignorance of the needs of the other half of the population, where more and more companies are being built with massive data and algorithms. This neglect is not malicious or even intentional, but while men decide the whole society and the company, the technologies and products that are developed inevitably pass to men. Since women have a long time to go to the toilet for menstruation and during pregnancy, it is not wise to plan the toilets the same way as the toilets of men. The probability of being injured or dying in an accident is 50% higher in women than in men, mainly because car manufacturers mainly use male dolls in safety tests. In the new epidemic, 50 percent of doctors and 90 percent of nurses were women. But since the robe was developed for men, it is difficult to find the right size. Due to structural inequalities caused by gender imbalances, more women need to be involved in decision-making, immediately by eliminating the bias of data collection and responding to the real needs of women, thus developing products that are more suitable for women.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A 2018 study by the Boston Consulting Group found that for every dollar they invest, companies that own women earn more than five times as much as companies owned by men, and that most investors didn't make those companies. It has been reported that in 2020, only 2% of global risk financing went to </w:t>
      </w:r>
      <w:r>
        <w:rPr>
          <w:rFonts w:hint="eastAsia" w:ascii="Arial" w:hAnsi="Arial" w:eastAsia="宋体" w:cs="Arial"/>
          <w:b w:val="0"/>
          <w:bCs w:val="0"/>
          <w:color w:val="000000"/>
          <w:kern w:val="0"/>
          <w:sz w:val="24"/>
          <w:szCs w:val="24"/>
          <w:lang w:val="en-US" w:eastAsia="zh-CN" w:bidi="ar"/>
        </w:rPr>
        <w:t>the</w:t>
      </w:r>
      <w:r>
        <w:rPr>
          <w:rFonts w:hint="default" w:ascii="Arial" w:hAnsi="Arial" w:eastAsia="宋体" w:cs="Arial"/>
          <w:b w:val="0"/>
          <w:bCs w:val="0"/>
          <w:color w:val="000000"/>
          <w:kern w:val="0"/>
          <w:sz w:val="24"/>
          <w:szCs w:val="24"/>
          <w:lang w:val="en-US" w:eastAsia="zh-CN" w:bidi="ar"/>
        </w:rPr>
        <w:t xml:space="preserve"> group for female entrepreneurs, as </w:t>
      </w:r>
      <w:r>
        <w:rPr>
          <w:rFonts w:hint="eastAsia" w:ascii="Arial" w:hAnsi="Arial" w:eastAsia="宋体" w:cs="Arial"/>
          <w:b w:val="0"/>
          <w:bCs w:val="0"/>
          <w:color w:val="000000"/>
          <w:kern w:val="0"/>
          <w:sz w:val="24"/>
          <w:szCs w:val="24"/>
          <w:lang w:val="en-US" w:eastAsia="zh-CN" w:bidi="ar"/>
        </w:rPr>
        <w:t>C</w:t>
      </w:r>
      <w:r>
        <w:rPr>
          <w:rFonts w:hint="default" w:ascii="Arial" w:hAnsi="Arial" w:eastAsia="宋体" w:cs="Arial"/>
          <w:b w:val="0"/>
          <w:bCs w:val="0"/>
          <w:color w:val="000000"/>
          <w:kern w:val="0"/>
          <w:sz w:val="24"/>
          <w:szCs w:val="24"/>
          <w:lang w:val="en-US" w:eastAsia="zh-CN" w:bidi="ar"/>
        </w:rPr>
        <w:t>runch</w:t>
      </w:r>
      <w:r>
        <w:rPr>
          <w:rFonts w:hint="eastAsia" w:ascii="Arial" w:hAnsi="Arial" w:eastAsia="宋体" w:cs="Arial"/>
          <w:b w:val="0"/>
          <w:bCs w:val="0"/>
          <w:color w:val="000000"/>
          <w:kern w:val="0"/>
          <w:sz w:val="24"/>
          <w:szCs w:val="24"/>
          <w:lang w:val="en-US" w:eastAsia="zh-CN" w:bidi="ar"/>
        </w:rPr>
        <w:t>bas</w:t>
      </w:r>
      <w:r>
        <w:rPr>
          <w:rFonts w:hint="default" w:ascii="Arial" w:hAnsi="Arial" w:eastAsia="宋体" w:cs="Arial"/>
          <w:b w:val="0"/>
          <w:bCs w:val="0"/>
          <w:color w:val="000000"/>
          <w:kern w:val="0"/>
          <w:sz w:val="24"/>
          <w:szCs w:val="24"/>
          <w:lang w:val="en-US" w:eastAsia="zh-CN" w:bidi="ar"/>
        </w:rPr>
        <w:t>e</w:t>
      </w:r>
      <w:r>
        <w:rPr>
          <w:rFonts w:hint="eastAsia" w:ascii="Arial" w:hAnsi="Arial" w:eastAsia="宋体" w:cs="Arial"/>
          <w:b w:val="0"/>
          <w:bCs w:val="0"/>
          <w:color w:val="000000"/>
          <w:kern w:val="0"/>
          <w:sz w:val="24"/>
          <w:szCs w:val="24"/>
          <w:lang w:val="en-US" w:eastAsia="zh-CN" w:bidi="ar"/>
        </w:rPr>
        <w:t xml:space="preserve"> News</w:t>
      </w:r>
      <w:r>
        <w:rPr>
          <w:rFonts w:hint="default" w:ascii="Arial" w:hAnsi="Arial" w:eastAsia="宋体" w:cs="Arial"/>
          <w:b w:val="0"/>
          <w:bCs w:val="0"/>
          <w:color w:val="000000"/>
          <w:kern w:val="0"/>
          <w:sz w:val="24"/>
          <w:szCs w:val="24"/>
          <w:lang w:val="en-US" w:eastAsia="zh-CN" w:bidi="ar"/>
        </w:rPr>
        <w:t xml:space="preserve"> report.</w:t>
      </w:r>
      <w:r>
        <w:rPr>
          <w:rFonts w:ascii="宋体" w:hAnsi="宋体" w:eastAsia="宋体" w:cs="宋体"/>
          <w:sz w:val="24"/>
          <w:szCs w:val="24"/>
        </w:rPr>
        <w:drawing>
          <wp:inline distT="0" distB="0" distL="114300" distR="114300">
            <wp:extent cx="5271135" cy="3492500"/>
            <wp:effectExtent l="0" t="0" r="5715" b="12700"/>
            <wp:docPr id="6"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descr="IMG_256"/>
                    <pic:cNvPicPr>
                      <a:picLocks noChangeAspect="1"/>
                    </pic:cNvPicPr>
                  </pic:nvPicPr>
                  <pic:blipFill>
                    <a:blip r:embed="rId6"/>
                    <a:srcRect r="312" b="6689"/>
                    <a:stretch>
                      <a:fillRect/>
                    </a:stretch>
                  </pic:blipFill>
                  <pic:spPr>
                    <a:xfrm>
                      <a:off x="0" y="0"/>
                      <a:ext cx="5271135" cy="3492500"/>
                    </a:xfrm>
                    <a:prstGeom prst="rect">
                      <a:avLst/>
                    </a:prstGeom>
                    <a:noFill/>
                    <a:ln w="9525">
                      <a:noFill/>
                    </a:ln>
                  </pic:spPr>
                </pic:pic>
              </a:graphicData>
            </a:graphic>
          </wp:inline>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cause of prejudices against the leadership of women is essentially a distorted picture of leadership. In the early days of the industrial age, the organized pyramid produced an enormous number of powerful leaders, most of whom were independent, rational, strong, and aggressive. By such standards, a man naturally has advantages. In the age of the Internet, where the structures are moderate and networked and the leadership structures from top to bottom are gradually broken, the leadership structures of women in new corporate patterns must be reconsidered.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In the last two years, the concept of ESG has been at the forefront: environmental, social responsibility and corporate governance. The value of a company is no longer judged solely by its financial performance. Another important factor in calculating how money is earned and how positive feedback and values are achieved for the environment, society and consumers. It is increasingly recognized that a new economic logic is emerging, that the traditional profit-oriented business world needs to be reorganized, and that a higher participation of women in decision-making processes is certainly one of the most efficient ways of adapting corporate strategies.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Research shows that the presence of female leaders can have a positive impact on corporate social responsibility as it increases receptiveness to charity, employee well-being and environmental issues. In fact, the presence of female leaders sends a signal to society that companies focus on women and minorities and strive for a balanced and win-win situation in corporate and social issues. On the other hand, women are questioned by their low-risk preferences and conservative decision-making style. But when the experts have analyzed the investment teams of 50 risky philanthropists, they come to a surprising conclusion: as far as the social impact is concerned, women are more likely to assume these risks. Especially in the context of rapid economic growth, social problems such as lack of desire, self-preservation and growing income inequalities often rise. The risks behind these problems are difficult to quantify, but they are as important as financial considerations.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The radical pursuit of efficiency and profit has led corporate management to the fact that the law of the weak is suddenly the law of the stronger. On the other hand, the problems with humanistic business research led to numerous negative social events. At a time when money is no longer the only security in life, more and more workers are facing unpopular working conditions. Often the ultimate is altruism, a leadership model that focuses on the implementation of the values of others. Empathy can therefore help management levels protect themselves better than the crucial element of traditional leadership. In this regard, women have the natural advantage of having more empathy. In studies of magnetic resonance imaging, it was found that the gray layer of the female postfrontal and pretical cortex is larger, and thus has a strong connection to the formation of orthologists. Therefore, women are able to more accurately identify differentiated emotional needs, communicate more easily with their employees, create a cozy, pleasant working environment and stimulate the creativity of a group.</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The pilot project "female leadership" forum of the first </w:t>
      </w:r>
      <w:r>
        <w:rPr>
          <w:rFonts w:hint="eastAsia" w:ascii="Arial" w:hAnsi="Arial" w:eastAsia="宋体" w:cs="Arial"/>
          <w:b w:val="0"/>
          <w:bCs w:val="0"/>
          <w:color w:val="000000"/>
          <w:kern w:val="0"/>
          <w:sz w:val="24"/>
          <w:szCs w:val="24"/>
          <w:lang w:val="en-US" w:eastAsia="zh-CN" w:bidi="ar"/>
        </w:rPr>
        <w:t>MBA</w:t>
      </w:r>
      <w:r>
        <w:rPr>
          <w:rFonts w:hint="default" w:ascii="Arial" w:hAnsi="Arial" w:eastAsia="宋体" w:cs="Arial"/>
          <w:b w:val="0"/>
          <w:bCs w:val="0"/>
          <w:color w:val="000000"/>
          <w:kern w:val="0"/>
          <w:sz w:val="24"/>
          <w:szCs w:val="24"/>
          <w:lang w:val="en-US" w:eastAsia="zh-CN" w:bidi="ar"/>
        </w:rPr>
        <w:t xml:space="preserve"> class from the </w:t>
      </w:r>
      <w:r>
        <w:rPr>
          <w:rFonts w:hint="eastAsia" w:ascii="Arial" w:hAnsi="Arial" w:eastAsia="宋体" w:cs="Arial"/>
          <w:b w:val="0"/>
          <w:bCs w:val="0"/>
          <w:color w:val="000000"/>
          <w:kern w:val="0"/>
          <w:sz w:val="24"/>
          <w:szCs w:val="24"/>
          <w:lang w:val="en-US" w:eastAsia="zh-CN" w:bidi="ar"/>
        </w:rPr>
        <w:t>Nankai</w:t>
      </w:r>
      <w:r>
        <w:rPr>
          <w:rFonts w:hint="default" w:ascii="Arial" w:hAnsi="Arial" w:eastAsia="宋体" w:cs="Arial"/>
          <w:b w:val="0"/>
          <w:bCs w:val="0"/>
          <w:color w:val="000000"/>
          <w:kern w:val="0"/>
          <w:sz w:val="24"/>
          <w:szCs w:val="24"/>
          <w:lang w:val="en-US" w:eastAsia="zh-CN" w:bidi="ar"/>
        </w:rPr>
        <w:t xml:space="preserve"> University 2018 took place in </w:t>
      </w:r>
      <w:r>
        <w:rPr>
          <w:rFonts w:hint="eastAsia" w:ascii="Arial" w:hAnsi="Arial" w:eastAsia="宋体" w:cs="Arial"/>
          <w:b w:val="0"/>
          <w:bCs w:val="0"/>
          <w:color w:val="000000"/>
          <w:kern w:val="0"/>
          <w:sz w:val="24"/>
          <w:szCs w:val="24"/>
          <w:lang w:val="en-US" w:eastAsia="zh-CN" w:bidi="ar"/>
        </w:rPr>
        <w:t>T</w:t>
      </w:r>
      <w:r>
        <w:rPr>
          <w:rFonts w:hint="default" w:ascii="Arial" w:hAnsi="Arial" w:eastAsia="宋体" w:cs="Arial"/>
          <w:b w:val="0"/>
          <w:bCs w:val="0"/>
          <w:color w:val="000000"/>
          <w:kern w:val="0"/>
          <w:sz w:val="24"/>
          <w:szCs w:val="24"/>
          <w:lang w:val="en-US" w:eastAsia="zh-CN" w:bidi="ar"/>
        </w:rPr>
        <w:t xml:space="preserve">ianjin. According to </w:t>
      </w:r>
      <w:r>
        <w:rPr>
          <w:rFonts w:hint="eastAsia" w:ascii="Arial" w:hAnsi="Arial" w:eastAsia="宋体" w:cs="Arial"/>
          <w:b w:val="0"/>
          <w:bCs w:val="0"/>
          <w:color w:val="000000"/>
          <w:kern w:val="0"/>
          <w:sz w:val="24"/>
          <w:szCs w:val="24"/>
          <w:lang w:val="en-US" w:eastAsia="zh-CN" w:bidi="ar"/>
        </w:rPr>
        <w:t>Zhang Chen</w:t>
      </w:r>
      <w:r>
        <w:rPr>
          <w:rFonts w:hint="default" w:ascii="Arial" w:hAnsi="Arial" w:eastAsia="宋体" w:cs="Arial"/>
          <w:b w:val="0"/>
          <w:bCs w:val="0"/>
          <w:color w:val="000000"/>
          <w:kern w:val="0"/>
          <w:sz w:val="24"/>
          <w:szCs w:val="24"/>
          <w:lang w:val="en-US" w:eastAsia="zh-CN" w:bidi="ar"/>
        </w:rPr>
        <w:t>, chair</w:t>
      </w:r>
      <w:r>
        <w:rPr>
          <w:rFonts w:hint="eastAsia" w:ascii="Arial" w:hAnsi="Arial" w:eastAsia="宋体" w:cs="Arial"/>
          <w:b w:val="0"/>
          <w:bCs w:val="0"/>
          <w:color w:val="000000"/>
          <w:kern w:val="0"/>
          <w:sz w:val="24"/>
          <w:szCs w:val="24"/>
          <w:lang w:val="en-US" w:eastAsia="zh-CN" w:bidi="ar"/>
        </w:rPr>
        <w:t>wo</w:t>
      </w:r>
      <w:r>
        <w:rPr>
          <w:rFonts w:hint="default" w:ascii="Arial" w:hAnsi="Arial" w:eastAsia="宋体" w:cs="Arial"/>
          <w:b w:val="0"/>
          <w:bCs w:val="0"/>
          <w:color w:val="000000"/>
          <w:kern w:val="0"/>
          <w:sz w:val="24"/>
          <w:szCs w:val="24"/>
          <w:lang w:val="en-US" w:eastAsia="zh-CN" w:bidi="ar"/>
        </w:rPr>
        <w:t xml:space="preserve">man of </w:t>
      </w:r>
      <w:r>
        <w:rPr>
          <w:rFonts w:hint="eastAsia" w:ascii="Arial" w:hAnsi="Arial" w:eastAsia="宋体" w:cs="Arial"/>
          <w:b w:val="0"/>
          <w:bCs w:val="0"/>
          <w:color w:val="000000"/>
          <w:kern w:val="0"/>
          <w:sz w:val="24"/>
          <w:szCs w:val="24"/>
          <w:lang w:val="en-US" w:eastAsia="zh-CN" w:bidi="ar"/>
        </w:rPr>
        <w:t>Mahua Funage</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it</w:t>
      </w:r>
      <w:r>
        <w:rPr>
          <w:rFonts w:hint="default" w:ascii="Arial" w:hAnsi="Arial" w:eastAsia="宋体" w:cs="Arial"/>
          <w:b w:val="0"/>
          <w:bCs w:val="0"/>
          <w:color w:val="000000"/>
          <w:kern w:val="0"/>
          <w:sz w:val="24"/>
          <w:szCs w:val="24"/>
          <w:lang w:val="en-US" w:eastAsia="zh-CN" w:bidi="ar"/>
        </w:rPr>
        <w:t xml:space="preserve"> is a company in the comedy industry where over 60 percent of executives are women and </w:t>
      </w:r>
      <w:r>
        <w:rPr>
          <w:rFonts w:hint="eastAsia" w:ascii="Arial" w:hAnsi="Arial" w:eastAsia="宋体" w:cs="Arial"/>
          <w:b w:val="0"/>
          <w:bCs w:val="0"/>
          <w:color w:val="000000"/>
          <w:kern w:val="0"/>
          <w:sz w:val="24"/>
          <w:szCs w:val="24"/>
          <w:lang w:val="en-US" w:eastAsia="zh-CN" w:bidi="ar"/>
        </w:rPr>
        <w:t>management</w:t>
      </w:r>
      <w:r>
        <w:rPr>
          <w:rFonts w:hint="default" w:ascii="Arial" w:hAnsi="Arial" w:eastAsia="宋体" w:cs="Arial"/>
          <w:b w:val="0"/>
          <w:bCs w:val="0"/>
          <w:color w:val="000000"/>
          <w:kern w:val="0"/>
          <w:sz w:val="24"/>
          <w:szCs w:val="24"/>
          <w:lang w:val="en-US" w:eastAsia="zh-CN" w:bidi="ar"/>
        </w:rPr>
        <w:t xml:space="preserve"> hold important positions. The cultural industry is well suited for the development of women</w:t>
      </w:r>
      <w:r>
        <w:rPr>
          <w:rFonts w:hint="eastAsia" w:ascii="Arial" w:hAnsi="Arial" w:eastAsia="宋体" w:cs="Arial"/>
          <w:b w:val="0"/>
          <w:bCs w:val="0"/>
          <w:color w:val="000000"/>
          <w:kern w:val="0"/>
          <w:sz w:val="24"/>
          <w:szCs w:val="24"/>
          <w:lang w:val="en-US" w:eastAsia="zh-CN" w:bidi="ar"/>
        </w:rPr>
        <w:t>,</w:t>
      </w:r>
      <w:r>
        <w:rPr>
          <w:rFonts w:hint="default" w:ascii="Arial" w:hAnsi="Arial" w:eastAsia="宋体" w:cs="Arial"/>
          <w:b w:val="0"/>
          <w:bCs w:val="0"/>
          <w:color w:val="000000"/>
          <w:kern w:val="0"/>
          <w:sz w:val="24"/>
          <w:szCs w:val="24"/>
          <w:lang w:val="en-US" w:eastAsia="zh-CN" w:bidi="ar"/>
        </w:rPr>
        <w:t xml:space="preserve"> is such a center of management that is strongly influenced by emotions. If women are able to maintain themselves emotionally, they have more chances of success in management than men. With the rise of the economy and the changing times, the societies of today have become male-dominated and uneven, and the leadership style of transnational enterprises has been integrated. The organic connection of the emotional thinking abilities of women with the perception of abstract thinking abilities of men is an important direction in future leadership development. Female leaders are often criticized as unprofessional at work. If a woman as a leader can manage her emotions well and be successful in the job, it will only be natural that attention is drawn to her leadership skills and charm.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Women's leadership development history for status quo the and the women, is soft with regard to how work</w:t>
      </w:r>
      <w:r>
        <w:rPr>
          <w:rFonts w:hint="eastAsia" w:ascii="Arial" w:hAnsi="Arial" w:eastAsia="宋体" w:cs="Arial"/>
          <w:b w:val="0"/>
          <w:bCs w:val="0"/>
          <w:color w:val="000000"/>
          <w:kern w:val="0"/>
          <w:sz w:val="24"/>
          <w:szCs w:val="24"/>
          <w:lang w:val="en-US" w:eastAsia="zh-CN" w:bidi="ar"/>
        </w:rPr>
        <w:t xml:space="preserve"> and</w:t>
      </w:r>
      <w:r>
        <w:rPr>
          <w:rFonts w:hint="default" w:ascii="Arial" w:hAnsi="Arial" w:eastAsia="宋体" w:cs="Arial"/>
          <w:b w:val="0"/>
          <w:bCs w:val="0"/>
          <w:color w:val="000000"/>
          <w:kern w:val="0"/>
          <w:sz w:val="24"/>
          <w:szCs w:val="24"/>
          <w:lang w:val="en-US" w:eastAsia="zh-CN" w:bidi="ar"/>
        </w:rPr>
        <w:t xml:space="preserve"> family. Professor last, in old age, perhaps help women breakthrough career development intermediate products.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Hofstede analysis and cross-cultural management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 xml:space="preserve">Measured against a six-dimensional model of national culture, the combination of the practical example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global can represent the relative impact of </w:t>
      </w:r>
      <w:r>
        <w:rPr>
          <w:rFonts w:hint="eastAsia" w:ascii="Arial" w:hAnsi="Arial" w:eastAsia="宋体" w:cs="Arial"/>
          <w:b w:val="0"/>
          <w:bCs w:val="0"/>
          <w:color w:val="000000"/>
          <w:kern w:val="0"/>
          <w:sz w:val="24"/>
          <w:szCs w:val="24"/>
          <w:lang w:val="en-US" w:eastAsia="zh-CN" w:bidi="ar"/>
        </w:rPr>
        <w:t>H</w:t>
      </w:r>
      <w:r>
        <w:rPr>
          <w:rFonts w:hint="default" w:ascii="Arial" w:hAnsi="Arial" w:eastAsia="宋体" w:cs="Arial"/>
          <w:b w:val="0"/>
          <w:bCs w:val="0"/>
          <w:color w:val="000000"/>
          <w:kern w:val="0"/>
          <w:sz w:val="24"/>
          <w:szCs w:val="24"/>
          <w:lang w:val="en-US" w:eastAsia="zh-CN" w:bidi="ar"/>
        </w:rPr>
        <w:t>ofstede analysis on contemporary management practices. According to the powerledrice index (PDI), there is a small distance in Chinese culture compared to power. Considering the right to an individualism with a collective nationalism (</w:t>
      </w:r>
      <w:r>
        <w:rPr>
          <w:rFonts w:hint="eastAsia" w:ascii="Arial" w:hAnsi="Arial" w:eastAsia="宋体" w:cs="Arial"/>
          <w:b w:val="0"/>
          <w:bCs w:val="0"/>
          <w:color w:val="000000"/>
          <w:kern w:val="0"/>
          <w:sz w:val="24"/>
          <w:szCs w:val="24"/>
          <w:lang w:val="en-US" w:eastAsia="zh-CN" w:bidi="ar"/>
        </w:rPr>
        <w:t>IDV</w:t>
      </w:r>
      <w:r>
        <w:rPr>
          <w:rFonts w:hint="default" w:ascii="Arial" w:hAnsi="Arial" w:eastAsia="宋体" w:cs="Arial"/>
          <w:b w:val="0"/>
          <w:bCs w:val="0"/>
          <w:color w:val="000000"/>
          <w:kern w:val="0"/>
          <w:sz w:val="24"/>
          <w:szCs w:val="24"/>
          <w:lang w:val="en-US" w:eastAsia="zh-CN" w:bidi="ar"/>
        </w:rPr>
        <w:t xml:space="preserv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changes the healthy balance between individualism and </w:t>
      </w:r>
      <w:r>
        <w:rPr>
          <w:rFonts w:hint="eastAsia" w:ascii="Arial" w:hAnsi="Arial" w:eastAsia="宋体" w:cs="Arial"/>
          <w:b w:val="0"/>
          <w:bCs w:val="0"/>
          <w:color w:val="000000"/>
          <w:kern w:val="0"/>
          <w:sz w:val="24"/>
          <w:szCs w:val="24"/>
          <w:lang w:val="en-US" w:eastAsia="zh-CN" w:bidi="ar"/>
        </w:rPr>
        <w:t>collectivism</w:t>
      </w:r>
      <w:r>
        <w:rPr>
          <w:rFonts w:hint="default" w:ascii="Arial" w:hAnsi="Arial" w:eastAsia="宋体" w:cs="Arial"/>
          <w:b w:val="0"/>
          <w:bCs w:val="0"/>
          <w:color w:val="000000"/>
          <w:kern w:val="0"/>
          <w:sz w:val="24"/>
          <w:szCs w:val="24"/>
          <w:lang w:val="en-US" w:eastAsia="zh-CN" w:bidi="ar"/>
        </w:rPr>
        <w:t xml:space="preserve">, as well as the importance of appropriate growth in corporate culture for optimal employee performance and engagement. Compared to the male and female characteristics (MAS),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MAS is less into "relationships", which means that role models of men and women are mostly overlaying, that the job description is mostly overlaying and without gender-based prejudices. According to the uncertainty avoidance index (UAI),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has applied this combination in its culture, as risk avoidance tends to have a lower value. Similar to the conditions in the education and intelligence of the </w:t>
      </w:r>
      <w:r>
        <w:rPr>
          <w:rFonts w:hint="eastAsia" w:ascii="Arial" w:hAnsi="Arial" w:eastAsia="宋体" w:cs="Arial"/>
          <w:b w:val="0"/>
          <w:bCs w:val="0"/>
          <w:color w:val="000000"/>
          <w:kern w:val="0"/>
          <w:sz w:val="24"/>
          <w:szCs w:val="24"/>
          <w:lang w:val="en-US" w:eastAsia="zh-CN" w:bidi="ar"/>
        </w:rPr>
        <w:t>YEIG</w:t>
      </w:r>
      <w:r>
        <w:rPr>
          <w:rFonts w:hint="default" w:ascii="Arial" w:hAnsi="Arial" w:eastAsia="宋体" w:cs="Arial"/>
          <w:b w:val="0"/>
          <w:bCs w:val="0"/>
          <w:color w:val="000000"/>
          <w:kern w:val="0"/>
          <w:sz w:val="24"/>
          <w:szCs w:val="24"/>
          <w:lang w:val="en-US" w:eastAsia="zh-CN" w:bidi="ar"/>
        </w:rPr>
        <w:t xml:space="preserve"> employed, their character traits are also similar. The different responses of respondents to the same problem could therefore show the influence of their cultural environment on their values.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The more corporate globalization progresses, the more attention intercultural management becomes more important. Intercultural relations exist in China both in the individual sauces and in the centers together. As foreign culture and Western models of government take hold, a direct intercultural culture has moved into the future. In addition, drifted with macro groups in china implementation as an in, trade and group enterprise, from the simultaneous consumption of several existed, multiculturalism, as well as that of many different in different parts of the, people, members of the same company, cultures become corporate culture of the. Nevertheless, it often clashes with a culture of innovation.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default" w:ascii="Arial" w:hAnsi="Arial" w:eastAsia="宋体" w:cs="Arial"/>
          <w:b w:val="0"/>
          <w:bCs w:val="0"/>
          <w:color w:val="000000"/>
          <w:kern w:val="0"/>
          <w:sz w:val="24"/>
          <w:szCs w:val="24"/>
          <w:lang w:val="en-US" w:eastAsia="zh-CN" w:bidi="ar"/>
        </w:rPr>
        <w:t>Some conceptual deviations in time management have important effects on organizational management, for example on the processes and planning of work tasks. In Western culture, for example, time is considered a scarce resource. "Time is money," they say, and it must be used sensibly. Americans look to the present and the immediate future. This is evident in the short-term performance evaluations that typical North American organizations evaluate every six months or all employees for a year. On the other hand, the Japanese have a longer sense of time, which is reflected in their performance appraisals. Japanese workers usually took more than a decade to prove themselves. Other cultures have different views about time, that is, about the past. The Italians, for example, keep their tradition and try to preserve their history. Added to this are the linear time differences that accustom Americans to doing everything within a certain period of time, which then happens after one or the other. Italians and people in the Middle East, on the other hand, tend to do several things at the same time, which allows them to adjust their deadlines accordingly.</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bCs/>
          <w:color w:val="000000"/>
          <w:kern w:val="0"/>
          <w:sz w:val="24"/>
          <w:szCs w:val="24"/>
          <w:lang w:val="en-US" w:eastAsia="zh-CN" w:bidi="ar"/>
        </w:rPr>
      </w:pPr>
      <w:r>
        <w:rPr>
          <w:rFonts w:hint="eastAsia" w:ascii="Arial" w:hAnsi="Arial" w:eastAsia="宋体" w:cs="Arial"/>
          <w:b/>
          <w:bCs/>
          <w:color w:val="000000"/>
          <w:kern w:val="0"/>
          <w:sz w:val="24"/>
          <w:szCs w:val="24"/>
          <w:lang w:val="en-US" w:eastAsia="zh-CN" w:bidi="ar"/>
        </w:rPr>
        <w:t>Atkinson</w:t>
      </w:r>
      <w:r>
        <w:rPr>
          <w:rFonts w:hint="default" w:ascii="Arial" w:hAnsi="Arial" w:eastAsia="宋体" w:cs="Arial"/>
          <w:b/>
          <w:bCs/>
          <w:color w:val="000000"/>
          <w:kern w:val="0"/>
          <w:sz w:val="24"/>
          <w:szCs w:val="24"/>
          <w:lang w:val="en-US" w:eastAsia="zh-CN" w:bidi="ar"/>
        </w:rPr>
        <w:t>’</w:t>
      </w:r>
      <w:r>
        <w:rPr>
          <w:rFonts w:hint="eastAsia" w:ascii="Arial" w:hAnsi="Arial" w:eastAsia="宋体" w:cs="Arial"/>
          <w:b/>
          <w:bCs/>
          <w:color w:val="000000"/>
          <w:kern w:val="0"/>
          <w:sz w:val="24"/>
          <w:szCs w:val="24"/>
          <w:lang w:val="en-US" w:eastAsia="zh-CN" w:bidi="ar"/>
        </w:rPr>
        <w:t>s flexibility and soft HRM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Flexible human resource management mode is an effective way to improve the adaptability of human resources, including flexible organizational structure, flexible labor relationship, flexible working hour system, flexible salary strategy and so on. The establishment of flexible employee system and classified management of flexible employee system was proposed by Atkinson (1994).  He divided employees into core employees, peripheral employees and external employees according to their importance to the enterprise and the nature of their work. Change the employee system of the enterprise into the mode of classified management of core employee + peripheral employee + external employee.</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Core employees are employees with core technologies, knowledge and resources, including: Enterprise high-level managers, the core of professional and technical personnel, market management personnel, a line of main technical operations staff, etc., the core staff is difficult to obtain in the labor market is of great significance to the enterprise strategy implementation of the staff around staff refers to in the operation of the enterprise internal production line personnel and personnel engaged in production, this part of the staff, skills is the single, Job substitution is strong. External employees are those who belong to the outside of an enterprise, including lawyers, consultants, part-time employees and technical consultants. External employees are generally those with high quality and high knowledge and skills, who are temporarily employed by an enterprise for a certain project or event and have no definite labor relationship.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Classified management of employees can effectively help enterprises cope with personnel demand changes caused by market demand fluctuations.  When the market demand is strong, the number of employees is insufficient;  When market demand is insufficient, the staff is redundant. This is obviously not conducive to the development of the enterprise, because the labor market may not be able to quickly meet the temporary needs of the enterprise, and random dismissal of employees will also cause great psychological harm to employees, causing a large number of staff loss.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The purpose of implementing classified management of employees is to solve the problem of uncertain personnel demand, improve the flexibility of the number of employees, so as to effectively control labor costs and maintain the economic and effective operation of human resources.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The key point of implementing classified management of employees is to strengthen the cultivation and motivation of core employees and ensure the stability of core employees. Make key staff training plan and career development plan; Strengthen communication with key staff and make relevant salary incentive plan; Influence key employees with corporate culture and pay close attention to their ideological dynamics.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 xml:space="preserve">Implement labor outsourcing for employees in simple operation positions, and determine the required quantity according to the change of market demand.  To establish long-term and stable cooperative relationships with labor market, intermediary agencies and labor outsourcing units to ensure labor supply.  Establish a good working relationship with external staff to ensure effective utilization of external resources.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eastAsia"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When enterprises face the pressure of the number of labor, they should use short-term contracts, part-time jobs, internships and other methods to adjust, so as to ensure that the number of labor meets the needs of enterprises. Use a variety of methods to obtain ordinary labor in the labor market to adapt to the changing needs, to meet the requirements of flexible management of the number of employees.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b w:val="0"/>
          <w:bCs w:val="0"/>
          <w:color w:val="000000"/>
          <w:kern w:val="0"/>
          <w:sz w:val="24"/>
          <w:szCs w:val="24"/>
          <w:lang w:val="en-US" w:eastAsia="zh-CN" w:bidi="ar"/>
        </w:rPr>
      </w:pPr>
      <w:r>
        <w:rPr>
          <w:rFonts w:hint="eastAsia" w:ascii="Arial" w:hAnsi="Arial" w:eastAsia="宋体" w:cs="Arial"/>
          <w:b w:val="0"/>
          <w:bCs w:val="0"/>
          <w:color w:val="000000"/>
          <w:kern w:val="0"/>
          <w:sz w:val="24"/>
          <w:szCs w:val="24"/>
          <w:lang w:val="en-US" w:eastAsia="zh-CN" w:bidi="ar"/>
        </w:rPr>
        <w:t>Personnel management is an indispensable function of organizational success. Human resources management, such as personnel, work, and others, which and performance, negotiations and legislation is a human resources management, and, as the, conflict management, human resources, leadership, organizational culture, relationships was soft personnel management. Both hard personnel management and soft personnel management can be divided into basic functions. In today's knowledge-based economy, human capital depends crucial to the growth and success of an organization.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5.2 Appropriate methods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Case study approach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aims and objectives lend themselves to qualitative methods to investigate rather than prove a hypothesis. The focus on one company and time period lends to a case study approach. Consider the Yunnan investment group, which uses its size and efficiency to pursue the SOC in its own homeland. Among it, the research would briefly discuss the possible use of quantitative methods, such as a questionnaire issued to all employees of YEIG. In using qualitative, the research would discuss a range of possible methods such as interrogating corporate documents, management reports, emails, website statements and company reports. Offer detail on the data that will be used to compose the case study: Company documents and archival records; Observations; Interviews with managers and females who aspire to become managers; Communication with YEIG employees.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Permission</w:t>
      </w:r>
      <w:r>
        <w:rPr>
          <w:rFonts w:hint="eastAsia" w:ascii="Arial" w:hAnsi="Arial" w:cs="Arial"/>
          <w:b/>
          <w:bCs/>
          <w:sz w:val="24"/>
          <w:szCs w:val="24"/>
          <w:lang w:val="en-US" w:eastAsia="zh-CN"/>
        </w:rPr>
        <w:t xml:space="preserve"> </w:t>
      </w:r>
      <w:r>
        <w:rPr>
          <w:rFonts w:hint="eastAsia" w:ascii="Arial" w:hAnsi="Arial" w:cs="Arial"/>
          <w:b w:val="0"/>
          <w:bCs w:val="0"/>
          <w:sz w:val="24"/>
          <w:szCs w:val="24"/>
          <w:lang w:val="en-US" w:eastAsia="zh-CN"/>
        </w:rPr>
        <w:t>will be sought from YEIG who are reforming to improve their organisational culture. This researcher also is working as a customer manager at YEIG. And interviews will also be conducted with employees, of transferred managers from YEIG. And take these factors, the inherent bias, compromises of analysis, dangers of loss of objectivity and risk to the researcher or respondents into account.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Next, triangulation is used to collect data on the topic of female leadership in YEIG through various methods. This is a way to ensure the validity of research involving different types of samples and the way data are collected. However, the triangular break is not necessarily used to check data, but to capture different dimensions of a phenomenon, to give people a more comprehensive understanding of the phenomenon of interest. In this case, it is related to qualitative research methods, involving sources such as interviews, focus groups, and written documents, or using a combination of quantitative and qualitative methods.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Take role of culture, education, family background, role models, legislation or regulation, political system, culture, influence of foreign companies and consumers, recruitment, education, training, demographic factors, cultural issues, and managing internal and external teams to appreciate female managers and leaders into account .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Validity and reliability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In quantitative paradigms, study rigor is achieved by measuring validity and reliability. Category of validity includes content validity, construct validity and criterion validity. It stands for variable, test scores and correlations. About attributes of reliability, include homogeneity (internal consistency), stability and equivalence. In qualitative paradigms, reliability and validity are rooted in positivism. Neutrality or confirmability, consistency or reliability, applicability or transferability are the basic standards of quality. As a measure to improve the reliability of qualitative research, exploratory audit has a certain universality. As a structure for doing and documenting high quality qualitative research. In the realist paradigm, the triangulation of several data sources and the interpretation of multiple perceptions of these data sources are involved. Another paradigm of qualitative research is constructivism, which holds that knowledge is socially constructed and can be changed according to circumstances. Then q</w:t>
      </w:r>
      <w:r>
        <w:rPr>
          <w:rFonts w:hint="default" w:ascii="Arial" w:hAnsi="Arial" w:cs="Arial"/>
          <w:b w:val="0"/>
          <w:bCs w:val="0"/>
          <w:sz w:val="24"/>
          <w:szCs w:val="24"/>
          <w:lang w:val="en-US" w:eastAsia="zh-CN"/>
        </w:rPr>
        <w:t xml:space="preserve">uantitative paradigms are linked to qualitative research through validity and reliability.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Perhaps managers and employees who are still on the job can not provide fully responsible statements, it will threaten its validity and reliability. So inherent biases against women need to be taken into account and critically analysed.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Data</w:t>
      </w:r>
      <w:r>
        <w:rPr>
          <w:rFonts w:hint="eastAsia" w:ascii="Arial" w:hAnsi="Arial" w:eastAsia="宋体" w:cs="Arial"/>
          <w:b/>
          <w:bCs/>
          <w:color w:val="000000"/>
          <w:kern w:val="0"/>
          <w:sz w:val="24"/>
          <w:szCs w:val="24"/>
          <w:lang w:val="en-US" w:eastAsia="zh-CN" w:bidi="ar"/>
        </w:rPr>
        <w:t xml:space="preserve"> </w:t>
      </w:r>
      <w:r>
        <w:rPr>
          <w:rFonts w:hint="default" w:ascii="Arial" w:hAnsi="Arial" w:eastAsia="宋体" w:cs="Arial"/>
          <w:b/>
          <w:bCs/>
          <w:color w:val="000000"/>
          <w:kern w:val="0"/>
          <w:sz w:val="24"/>
          <w:szCs w:val="24"/>
          <w:lang w:val="en-US" w:eastAsia="zh-CN" w:bidi="ar"/>
        </w:rPr>
        <w:t>analysis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measurement of variables needs to take some factors as independent variables, such as culture, education, family background, political system, role models, influence of foreign companies and consumers. And take some factors as dependent variable, such as female social status in the new era, female way of thinking and emotions, leadership style and skills, work-life balance, policy and welfare, learning from other companies, training management system, corporate culture and strategic context. Then take flexible during COVID-19 as mediating variable. The data were collected for analysis of correlation and analysis of regression.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From this, people can get the relative influence on the contemporary management practice, and the different to the management role from females. People also can find that factors are natural or innate, the things are learned or trained behaviours. The implications for progress will depend on answers to these.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Critical evaluation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This is just one possible method of study, however using any method has standard positive and negative effects. Weakness is that it is difficult to generalise to other organisations or prove any hypothesis, and to prove the existence of women's leadership in the influence in the company's goals, it is difficult to through a single quantitative research method, because it may need to use grounded theory to do a lot of samples and statistical test data analysis. However, in which people can way as in this example the concrete application of some effective information. On the other hand, qualitative methods can add background and applied factors and variables to specific situations, but generalization is very difficult.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A case study is good for in depth analysis of a company or time period but maybe not good for generalisation to other sectors or time periods. And the </w:t>
      </w:r>
      <w:r>
        <w:rPr>
          <w:rFonts w:hint="default" w:ascii="Arial" w:hAnsi="Arial" w:cs="Arial"/>
          <w:b w:val="0"/>
          <w:bCs w:val="0"/>
          <w:sz w:val="24"/>
          <w:szCs w:val="24"/>
          <w:lang w:val="en-US" w:eastAsia="zh-CN"/>
        </w:rPr>
        <w:t>middle or junior managers may be difficult to define or not recognised. Therefore, need to provide a rationale for the selection of the interviewee sample. Derive this from theory and seek who is available and can comment sensibly on the experience during this time period.</w:t>
      </w:r>
      <w:r>
        <w:rPr>
          <w:rFonts w:hint="eastAsia" w:ascii="Arial" w:hAnsi="Arial" w:cs="Arial"/>
          <w:b w:val="0"/>
          <w:bCs w:val="0"/>
          <w:sz w:val="24"/>
          <w:szCs w:val="24"/>
          <w:lang w:val="en-US" w:eastAsia="zh-CN"/>
        </w:rPr>
        <w:t xml:space="preserve"> W</w:t>
      </w:r>
      <w:r>
        <w:rPr>
          <w:rFonts w:hint="default" w:ascii="Arial" w:hAnsi="Arial" w:cs="Arial"/>
          <w:b w:val="0"/>
          <w:bCs w:val="0"/>
          <w:sz w:val="24"/>
          <w:szCs w:val="24"/>
          <w:lang w:val="en-US" w:eastAsia="zh-CN"/>
        </w:rPr>
        <w:t>ho you talk to might be the ones who can give detailed informed feedback, but these may also be powerful and dangerous people to deal with.</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If not create a case study but simply use interview methods to collect information from Managers on their experience and reactions to the concept of female managers, personnel selection problem and research tends to be abstract or one-side may arise. And I have to rejected alternative methods because period to collect data, permissions to access data, difficulty of managing sensitive issues.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Research ethics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rPr>
      </w:pPr>
      <w:r>
        <w:rPr>
          <w:rFonts w:hint="eastAsia" w:ascii="Arial" w:hAnsi="Arial" w:cs="Arial"/>
          <w:b w:val="0"/>
          <w:bCs w:val="0"/>
          <w:sz w:val="24"/>
          <w:szCs w:val="24"/>
          <w:lang w:val="en-US" w:eastAsia="zh-CN"/>
        </w:rPr>
        <w:t>If those methods are adopted, researching a sensitive topic in YEIG organisation will lead to problems of access to data, right to publish and a risk to those who agree to be interviewed or fill in questionnaires. Perhaps the ethical issues could involve a sex or ethnicity factor. So there is a basic tool people might use for assessing ethical research risk. Risk assessment for project using focus groups to analyse recycling behaviour. Grading: Likelihood of occurrence. Score 1-5 (1-least likely...5 highly likely). Degree of harm if factor occurred. Score 1-5 (1-negligible harm...5 catastrophic harm).</w:t>
      </w:r>
    </w:p>
    <w:p>
      <w:pPr>
        <w:pStyle w:val="14"/>
        <w:widowControl w:val="0"/>
        <w:numPr>
          <w:ilvl w:val="0"/>
          <w:numId w:val="0"/>
        </w:numPr>
        <w:spacing w:after="0" w:line="240" w:lineRule="auto"/>
        <w:contextualSpacing/>
        <w:jc w:val="both"/>
        <w:rPr>
          <w:rFonts w:hint="default" w:ascii="Arial" w:hAnsi="Arial" w:cs="Arial"/>
          <w:b w:val="0"/>
          <w:bCs w:val="0"/>
          <w:sz w:val="24"/>
          <w:szCs w:val="24"/>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34"/>
        <w:gridCol w:w="4332"/>
        <w:gridCol w:w="1470"/>
        <w:gridCol w:w="1217"/>
        <w:gridCol w:w="116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b/>
                <w:bCs/>
                <w:sz w:val="24"/>
                <w:szCs w:val="24"/>
              </w:rPr>
            </w:pPr>
            <w:r>
              <w:rPr>
                <w:rFonts w:hint="default" w:ascii="Arial" w:hAnsi="Arial" w:cs="Arial"/>
                <w:b/>
                <w:bCs/>
                <w:sz w:val="24"/>
                <w:szCs w:val="24"/>
              </w:rPr>
              <w:t>Research Risk Evaluation</w:t>
            </w:r>
          </w:p>
        </w:tc>
        <w:tc>
          <w:tcPr>
            <w:tcW w:w="794" w:type="dxa"/>
          </w:tcPr>
          <w:p>
            <w:pPr>
              <w:spacing w:after="0" w:line="240" w:lineRule="auto"/>
              <w:jc w:val="both"/>
              <w:rPr>
                <w:rFonts w:hint="default" w:ascii="Arial" w:hAnsi="Arial" w:cs="Arial"/>
                <w:sz w:val="24"/>
                <w:szCs w:val="24"/>
              </w:rPr>
            </w:pPr>
            <w:r>
              <w:rPr>
                <w:rFonts w:hint="default" w:ascii="Arial" w:hAnsi="Arial" w:cs="Arial"/>
                <w:sz w:val="24"/>
                <w:szCs w:val="24"/>
              </w:rPr>
              <w:t>a.</w:t>
            </w:r>
          </w:p>
        </w:tc>
        <w:tc>
          <w:tcPr>
            <w:tcW w:w="1217" w:type="dxa"/>
          </w:tcPr>
          <w:p>
            <w:pPr>
              <w:spacing w:after="0" w:line="240" w:lineRule="auto"/>
              <w:jc w:val="both"/>
              <w:rPr>
                <w:rFonts w:hint="default" w:ascii="Arial" w:hAnsi="Arial" w:cs="Arial"/>
                <w:sz w:val="24"/>
                <w:szCs w:val="24"/>
              </w:rPr>
            </w:pPr>
            <w:r>
              <w:rPr>
                <w:rFonts w:hint="default" w:ascii="Arial" w:hAnsi="Arial" w:cs="Arial"/>
                <w:sz w:val="24"/>
                <w:szCs w:val="24"/>
              </w:rPr>
              <w:t>b.</w:t>
            </w:r>
          </w:p>
        </w:tc>
        <w:tc>
          <w:tcPr>
            <w:tcW w:w="1340" w:type="dxa"/>
          </w:tcPr>
          <w:p>
            <w:pPr>
              <w:spacing w:after="0" w:line="240" w:lineRule="auto"/>
              <w:jc w:val="both"/>
              <w:rPr>
                <w:rFonts w:hint="default" w:ascii="Arial" w:hAnsi="Arial" w:cs="Arial"/>
                <w:sz w:val="24"/>
                <w:szCs w:val="24"/>
              </w:rPr>
            </w:pPr>
            <w:r>
              <w:rPr>
                <w:rFonts w:hint="default" w:ascii="Arial" w:hAnsi="Arial" w:cs="Arial"/>
                <w:sz w:val="24"/>
                <w:szCs w:val="24"/>
              </w:rPr>
              <w: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Risk factor.</w:t>
            </w:r>
          </w:p>
        </w:tc>
        <w:tc>
          <w:tcPr>
            <w:tcW w:w="794" w:type="dxa"/>
          </w:tcPr>
          <w:p>
            <w:pPr>
              <w:spacing w:after="0" w:line="240" w:lineRule="auto"/>
              <w:jc w:val="both"/>
              <w:rPr>
                <w:rFonts w:hint="default" w:ascii="Arial" w:hAnsi="Arial" w:cs="Arial"/>
                <w:sz w:val="24"/>
                <w:szCs w:val="24"/>
              </w:rPr>
            </w:pPr>
            <w:r>
              <w:rPr>
                <w:rFonts w:hint="default" w:ascii="Arial" w:hAnsi="Arial" w:cs="Arial"/>
                <w:sz w:val="24"/>
                <w:szCs w:val="24"/>
              </w:rPr>
              <w:t>Likelihood of occurrence.</w:t>
            </w:r>
          </w:p>
        </w:tc>
        <w:tc>
          <w:tcPr>
            <w:tcW w:w="1217" w:type="dxa"/>
          </w:tcPr>
          <w:p>
            <w:pPr>
              <w:spacing w:after="0" w:line="240" w:lineRule="auto"/>
              <w:jc w:val="both"/>
              <w:rPr>
                <w:rFonts w:hint="default" w:ascii="Arial" w:hAnsi="Arial" w:cs="Arial"/>
                <w:sz w:val="24"/>
                <w:szCs w:val="24"/>
              </w:rPr>
            </w:pPr>
            <w:r>
              <w:rPr>
                <w:rFonts w:hint="default" w:ascii="Arial" w:hAnsi="Arial" w:cs="Arial"/>
                <w:sz w:val="24"/>
                <w:szCs w:val="24"/>
              </w:rPr>
              <w:t>Degree of harm if factor occurred.</w:t>
            </w:r>
          </w:p>
        </w:tc>
        <w:tc>
          <w:tcPr>
            <w:tcW w:w="1340" w:type="dxa"/>
          </w:tcPr>
          <w:p>
            <w:pPr>
              <w:spacing w:after="0" w:line="240" w:lineRule="auto"/>
              <w:jc w:val="both"/>
              <w:rPr>
                <w:rFonts w:hint="default" w:ascii="Arial" w:hAnsi="Arial" w:cs="Arial"/>
                <w:sz w:val="24"/>
                <w:szCs w:val="24"/>
              </w:rPr>
            </w:pPr>
            <w:r>
              <w:rPr>
                <w:rFonts w:hint="default" w:ascii="Arial" w:hAnsi="Arial" w:cs="Arial"/>
                <w:sz w:val="24"/>
                <w:szCs w:val="24"/>
              </w:rPr>
              <w:t>Total</w:t>
            </w:r>
          </w:p>
          <w:p>
            <w:pPr>
              <w:spacing w:after="0" w:line="240" w:lineRule="auto"/>
              <w:jc w:val="both"/>
              <w:rPr>
                <w:rFonts w:hint="default" w:ascii="Arial" w:hAnsi="Arial" w:cs="Arial"/>
                <w:sz w:val="24"/>
                <w:szCs w:val="24"/>
              </w:rPr>
            </w:pPr>
            <w:r>
              <w:rPr>
                <w:rFonts w:hint="default" w:ascii="Arial" w:hAnsi="Arial" w:cs="Arial"/>
                <w:sz w:val="24"/>
                <w:szCs w:val="24"/>
              </w:rPr>
              <w:t>a x b = 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 extreme emotional disagreement in discussion. Threatening behaviour to other focus group members.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Participants naming individuals in the discussion. In extreme cases some disclosures might be illegal. Focus group members would therefore be witnesses.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 xml:space="preserve">Participants lack honesty about behaviour. Lying in this case would be low risk. There is no plan to follow up and verify the truth of statements.  </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Participants confess to illegal behaviour. It might cover very antisocial behaviour which researcher might have to report, if proved.</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Insulting attitude to researcher by participants. Threatening behaviour to researcher.</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University reputation issues should its recycling policies be seen to be ineffective. Researcher’s report publication or participants “whistleblowing statements made during focus group discussions.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3</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pStyle w:val="14"/>
              <w:numPr>
                <w:ilvl w:val="0"/>
                <w:numId w:val="3"/>
              </w:num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Release of confidential participant data from researcher’s files. Anonymisation of transcripts, identities of participants and secure location of recordings, might be accessed with true identities by malicious agents.</w:t>
            </w:r>
          </w:p>
        </w:tc>
        <w:tc>
          <w:tcPr>
            <w:tcW w:w="794" w:type="dxa"/>
          </w:tcPr>
          <w:p>
            <w:pPr>
              <w:spacing w:after="0" w:line="240" w:lineRule="auto"/>
              <w:rPr>
                <w:rFonts w:hint="default" w:ascii="Arial" w:hAnsi="Arial" w:cs="Arial"/>
                <w:sz w:val="24"/>
                <w:szCs w:val="24"/>
              </w:rPr>
            </w:pPr>
            <w:r>
              <w:rPr>
                <w:rFonts w:hint="default" w:ascii="Arial" w:hAnsi="Arial" w:cs="Arial"/>
                <w:sz w:val="24"/>
                <w:szCs w:val="24"/>
              </w:rPr>
              <w:t>1</w:t>
            </w:r>
          </w:p>
        </w:tc>
        <w:tc>
          <w:tcPr>
            <w:tcW w:w="1217" w:type="dxa"/>
          </w:tcPr>
          <w:p>
            <w:pPr>
              <w:spacing w:after="0" w:line="240" w:lineRule="auto"/>
              <w:rPr>
                <w:rFonts w:hint="default" w:ascii="Arial" w:hAnsi="Arial" w:cs="Arial"/>
                <w:sz w:val="24"/>
                <w:szCs w:val="24"/>
              </w:rPr>
            </w:pPr>
            <w:r>
              <w:rPr>
                <w:rFonts w:hint="default" w:ascii="Arial" w:hAnsi="Arial" w:cs="Arial"/>
                <w:sz w:val="24"/>
                <w:szCs w:val="24"/>
              </w:rPr>
              <w:t>2</w:t>
            </w: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77" w:type="dxa"/>
          </w:tcPr>
          <w:p>
            <w:pPr>
              <w:spacing w:after="0" w:line="240" w:lineRule="auto"/>
              <w:rPr>
                <w:rFonts w:hint="default" w:ascii="Arial" w:hAnsi="Arial" w:cs="Arial"/>
                <w:sz w:val="24"/>
                <w:szCs w:val="24"/>
              </w:rPr>
            </w:pPr>
          </w:p>
        </w:tc>
        <w:tc>
          <w:tcPr>
            <w:tcW w:w="5288" w:type="dxa"/>
          </w:tcPr>
          <w:p>
            <w:pPr>
              <w:spacing w:after="0" w:line="240" w:lineRule="auto"/>
              <w:rPr>
                <w:rFonts w:hint="default" w:ascii="Arial" w:hAnsi="Arial" w:cs="Arial"/>
                <w:sz w:val="24"/>
                <w:szCs w:val="24"/>
              </w:rPr>
            </w:pPr>
            <w:r>
              <w:rPr>
                <w:rFonts w:hint="default" w:ascii="Arial" w:hAnsi="Arial" w:cs="Arial"/>
                <w:sz w:val="24"/>
                <w:szCs w:val="24"/>
              </w:rPr>
              <w:t>Total</w:t>
            </w:r>
          </w:p>
        </w:tc>
        <w:tc>
          <w:tcPr>
            <w:tcW w:w="794" w:type="dxa"/>
          </w:tcPr>
          <w:p>
            <w:pPr>
              <w:spacing w:after="0" w:line="240" w:lineRule="auto"/>
              <w:rPr>
                <w:rFonts w:hint="default" w:ascii="Arial" w:hAnsi="Arial" w:cs="Arial"/>
                <w:sz w:val="24"/>
                <w:szCs w:val="24"/>
              </w:rPr>
            </w:pPr>
          </w:p>
        </w:tc>
        <w:tc>
          <w:tcPr>
            <w:tcW w:w="1217" w:type="dxa"/>
          </w:tcPr>
          <w:p>
            <w:pPr>
              <w:spacing w:after="0" w:line="240" w:lineRule="auto"/>
              <w:rPr>
                <w:rFonts w:hint="default" w:ascii="Arial" w:hAnsi="Arial" w:cs="Arial"/>
                <w:sz w:val="24"/>
                <w:szCs w:val="24"/>
              </w:rPr>
            </w:pPr>
          </w:p>
        </w:tc>
        <w:tc>
          <w:tcPr>
            <w:tcW w:w="1340" w:type="dxa"/>
          </w:tcPr>
          <w:p>
            <w:pPr>
              <w:spacing w:after="0" w:line="240" w:lineRule="auto"/>
              <w:rPr>
                <w:rFonts w:hint="default" w:ascii="Arial" w:hAnsi="Arial" w:cs="Arial"/>
                <w:sz w:val="24"/>
                <w:szCs w:val="24"/>
              </w:rPr>
            </w:pPr>
            <w:r>
              <w:rPr>
                <w:rFonts w:hint="default" w:ascii="Arial" w:hAnsi="Arial" w:cs="Arial"/>
                <w:sz w:val="24"/>
                <w:szCs w:val="24"/>
              </w:rPr>
              <w:t>17</w:t>
            </w:r>
          </w:p>
        </w:tc>
      </w:tr>
    </w:tbl>
    <w:p>
      <w:pPr>
        <w:rPr>
          <w:rFonts w:hint="default" w:ascii="Arial" w:hAnsi="Arial" w:cs="Arial"/>
          <w:sz w:val="24"/>
          <w:szCs w:val="24"/>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0"/>
        <w:gridCol w:w="42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rPr>
                <w:rFonts w:hint="default" w:ascii="Arial" w:hAnsi="Arial" w:cs="Arial"/>
                <w:sz w:val="24"/>
                <w:szCs w:val="24"/>
              </w:rPr>
            </w:pPr>
            <w:r>
              <w:rPr>
                <w:rFonts w:hint="default" w:ascii="Arial" w:hAnsi="Arial" w:cs="Arial"/>
                <w:sz w:val="24"/>
                <w:szCs w:val="24"/>
              </w:rPr>
              <w:t>Highest possible risk total=</w:t>
            </w:r>
          </w:p>
          <w:p>
            <w:pPr>
              <w:spacing w:after="0" w:line="240" w:lineRule="auto"/>
              <w:rPr>
                <w:rFonts w:hint="default" w:ascii="Arial" w:hAnsi="Arial" w:cs="Arial"/>
                <w:sz w:val="24"/>
                <w:szCs w:val="24"/>
              </w:rPr>
            </w:pPr>
            <w:r>
              <w:rPr>
                <w:rFonts w:hint="default" w:ascii="Arial" w:hAnsi="Arial" w:cs="Arial"/>
                <w:sz w:val="24"/>
                <w:szCs w:val="24"/>
              </w:rPr>
              <w:t>Possible risk score for each factor (Column c in worst case 5 x 5) 25 x Number of factors (In this case 7) = 175</w:t>
            </w:r>
          </w:p>
        </w:tc>
        <w:tc>
          <w:tcPr>
            <w:tcW w:w="4508" w:type="dxa"/>
          </w:tcPr>
          <w:p>
            <w:pPr>
              <w:spacing w:after="0" w:line="240" w:lineRule="auto"/>
              <w:rPr>
                <w:rFonts w:hint="default" w:ascii="Arial" w:hAnsi="Arial" w:cs="Arial"/>
                <w:sz w:val="24"/>
                <w:szCs w:val="24"/>
              </w:rPr>
            </w:pPr>
            <w:r>
              <w:rPr>
                <w:rFonts w:hint="default" w:ascii="Arial" w:hAnsi="Arial" w:cs="Arial"/>
                <w:sz w:val="24"/>
                <w:szCs w:val="24"/>
              </w:rPr>
              <w:t>Actual score =17 (Column c above)/175 (The highest possible risk)</w:t>
            </w:r>
          </w:p>
        </w:tc>
      </w:tr>
    </w:tbl>
    <w:p>
      <w:pPr>
        <w:pStyle w:val="14"/>
        <w:widowControl w:val="0"/>
        <w:numPr>
          <w:ilvl w:val="0"/>
          <w:numId w:val="0"/>
        </w:numPr>
        <w:spacing w:after="0" w:line="240" w:lineRule="auto"/>
        <w:contextualSpacing/>
        <w:jc w:val="both"/>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rPr>
      </w:pPr>
      <w:r>
        <w:rPr>
          <w:rFonts w:hint="default" w:ascii="Arial" w:hAnsi="Arial" w:cs="Arial"/>
          <w:sz w:val="24"/>
          <w:szCs w:val="24"/>
        </w:rPr>
        <w:t xml:space="preserve">Therefore, this is very low risk only 17 from a possible worst scenario of 175, but at least </w:t>
      </w:r>
      <w:r>
        <w:rPr>
          <w:rFonts w:hint="eastAsia" w:ascii="Arial" w:hAnsi="Arial" w:cs="Arial"/>
          <w:sz w:val="24"/>
          <w:szCs w:val="24"/>
          <w:lang w:val="en-US" w:eastAsia="zh-CN"/>
        </w:rPr>
        <w:t>people</w:t>
      </w:r>
      <w:r>
        <w:rPr>
          <w:rFonts w:hint="default" w:ascii="Arial" w:hAnsi="Arial" w:cs="Arial"/>
          <w:sz w:val="24"/>
          <w:szCs w:val="24"/>
        </w:rPr>
        <w:t xml:space="preserve"> tried to anticipate problems. Then </w:t>
      </w:r>
      <w:r>
        <w:rPr>
          <w:rFonts w:hint="eastAsia" w:ascii="Arial" w:hAnsi="Arial" w:cs="Arial"/>
          <w:sz w:val="24"/>
          <w:szCs w:val="24"/>
          <w:lang w:val="en-US" w:eastAsia="zh-CN"/>
        </w:rPr>
        <w:t>people</w:t>
      </w:r>
      <w:r>
        <w:rPr>
          <w:rFonts w:hint="default" w:ascii="Arial" w:hAnsi="Arial" w:cs="Arial"/>
          <w:sz w:val="24"/>
          <w:szCs w:val="24"/>
        </w:rPr>
        <w:t xml:space="preserve"> need to analyze the reasons for planning to form focus groups, managing meetings, recording and storing data, and reducing risk factors. There is usually a risk factor after taking into account the various circumstances that may affect it. However, in order to avoid the ethics committee being too risky, it is necessary to read a lot of different studies on proposals, while intelligently identifying risks that people know can be managed.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In particular, those projects carried out in their own organisations must be carefully assessed for risk threats to effectiveness and reliability because people are "embedded" in organisations, so data collection and analysis can be compromised leading to bias. It also needs to assess the risk that people might get into trouble or be denied access to information if the boss thinks they will say bad things about the organization.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Timetable</w:t>
      </w:r>
    </w:p>
    <w:tbl>
      <w:tblPr>
        <w:tblStyle w:val="8"/>
        <w:tblW w:w="11340" w:type="dxa"/>
        <w:tblInd w:w="-140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745"/>
        <w:gridCol w:w="705"/>
        <w:gridCol w:w="735"/>
        <w:gridCol w:w="720"/>
        <w:gridCol w:w="645"/>
        <w:gridCol w:w="720"/>
        <w:gridCol w:w="675"/>
        <w:gridCol w:w="660"/>
        <w:gridCol w:w="750"/>
        <w:gridCol w:w="780"/>
        <w:gridCol w:w="690"/>
        <w:gridCol w:w="735"/>
        <w:gridCol w:w="7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Task</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Jan</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Feb</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Mar</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Apr</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May</w:t>
            </w: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Jun</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Jul</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 </w:t>
            </w: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Aug</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Sep</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Oct</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Nov</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w:t>
            </w: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fldChar w:fldCharType="begin"/>
            </w:r>
            <w:r>
              <w:rPr>
                <w:rFonts w:hint="eastAsia" w:ascii="Arial" w:hAnsi="Arial" w:cs="Arial"/>
                <w:b w:val="0"/>
                <w:bCs w:val="0"/>
                <w:sz w:val="24"/>
                <w:szCs w:val="24"/>
                <w:vertAlign w:val="baseline"/>
                <w:lang w:val="en-US" w:eastAsia="zh-CN"/>
              </w:rPr>
              <w:instrText xml:space="preserve"> HYPERLINK "javascript:;" </w:instrText>
            </w:r>
            <w:r>
              <w:rPr>
                <w:rFonts w:hint="eastAsia" w:ascii="Arial" w:hAnsi="Arial" w:cs="Arial"/>
                <w:b w:val="0"/>
                <w:bCs w:val="0"/>
                <w:sz w:val="24"/>
                <w:szCs w:val="24"/>
                <w:vertAlign w:val="baseline"/>
                <w:lang w:val="en-US" w:eastAsia="zh-CN"/>
              </w:rPr>
              <w:fldChar w:fldCharType="separate"/>
            </w:r>
            <w:r>
              <w:rPr>
                <w:rFonts w:hint="eastAsia" w:ascii="Arial" w:hAnsi="Arial" w:cs="Arial"/>
                <w:b w:val="0"/>
                <w:bCs w:val="0"/>
                <w:sz w:val="24"/>
                <w:szCs w:val="24"/>
                <w:vertAlign w:val="baseline"/>
                <w:lang w:val="en-US" w:eastAsia="zh-CN"/>
              </w:rPr>
              <w:t>Dec</w:t>
            </w:r>
            <w:r>
              <w:rPr>
                <w:rFonts w:hint="eastAsia" w:ascii="Arial" w:hAnsi="Arial" w:cs="Arial"/>
                <w:b w:val="0"/>
                <w:bCs w:val="0"/>
                <w:sz w:val="24"/>
                <w:szCs w:val="24"/>
                <w:vertAlign w:val="baseline"/>
                <w:lang w:val="en-US" w:eastAsia="zh-CN"/>
              </w:rPr>
              <w:fldChar w:fldCharType="end"/>
            </w:r>
            <w:r>
              <w:rPr>
                <w:rFonts w:hint="eastAsia" w:ascii="Arial" w:hAnsi="Arial" w:cs="Arial"/>
                <w:b w:val="0"/>
                <w:bCs w:val="0"/>
                <w:sz w:val="24"/>
                <w:szCs w:val="24"/>
                <w:vertAlign w:val="baseline"/>
                <w:lang w:val="en-US" w:eastAsia="zh-CN"/>
              </w:rPr>
              <w: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Select topic</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Confirm research questions</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Research proposal</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Questionnaire survey</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Data entry and analysis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Introduction and literature review</w:t>
            </w:r>
          </w:p>
        </w:tc>
        <w:tc>
          <w:tcPr>
            <w:tcW w:w="70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Methodology</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Findings and discussions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Conclusions and Recommendations</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Final format and indexing</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7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Print, bind submit</w:t>
            </w:r>
          </w:p>
        </w:tc>
        <w:tc>
          <w:tcPr>
            <w:tcW w:w="70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4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2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7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6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5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690"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35" w:type="dxa"/>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c>
          <w:tcPr>
            <w:tcW w:w="780" w:type="dxa"/>
            <w:shd w:val="clear" w:color="auto" w:fill="000000" w:themeFill="text1"/>
          </w:tcPr>
          <w:p>
            <w:pPr>
              <w:keepNext w:val="0"/>
              <w:keepLines w:val="0"/>
              <w:pageBreakBefore w:val="0"/>
              <w:widowControl w:val="0"/>
              <w:numPr>
                <w:ilvl w:val="0"/>
                <w:numId w:val="0"/>
              </w:numPr>
              <w:kinsoku/>
              <w:wordWrap/>
              <w:overflowPunct/>
              <w:topLinePunct w:val="0"/>
              <w:autoSpaceDE/>
              <w:autoSpaceDN/>
              <w:bidi w:val="0"/>
              <w:adjustRightInd/>
              <w:snapToGrid/>
              <w:spacing w:after="0" w:line="480" w:lineRule="auto"/>
              <w:textAlignment w:val="auto"/>
              <w:rPr>
                <w:rFonts w:hint="eastAsia" w:ascii="Arial" w:hAnsi="Arial" w:cs="Arial"/>
                <w:b w:val="0"/>
                <w:bCs w:val="0"/>
                <w:sz w:val="24"/>
                <w:szCs w:val="24"/>
                <w:vertAlign w:val="baseline"/>
                <w:lang w:val="en-US" w:eastAsia="zh-CN"/>
              </w:rPr>
            </w:pPr>
          </w:p>
        </w:tc>
      </w:tr>
    </w:tbl>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today's dramatically changing world, a capable leadership is needed that is able to face the great challenges of the future with confidence. By increasing the number of female executives and improving management diversity, a clear trend can be seen. Nevertheless, female leaders face even greater challenges when they need to find a balance between family and work, physical situation and work intensity, personal interests and responsibilities, time management, public evaluations and social practices. Based on relevant studies and insights, flexible leaders lead to an advantage in communication and innovation, which reduces the gender gap in the economy but takes longer to reach global level.</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People</w:t>
      </w:r>
      <w:r>
        <w:rPr>
          <w:rFonts w:hint="default" w:ascii="Arial" w:hAnsi="Arial" w:cs="Arial"/>
          <w:b w:val="0"/>
          <w:bCs w:val="0"/>
          <w:sz w:val="24"/>
          <w:szCs w:val="24"/>
          <w:lang w:val="en-US" w:eastAsia="zh-CN"/>
        </w:rPr>
        <w:t xml:space="preserve"> have to understand in the surface of things. For a long time, the social status of women has been influenced by culture and cognition. In addition, the career development of women is to some extent limited due to the different levels of education in the regions. The family background also determines whether women have the ambition to apply for management positions. Some political systems influence the way in which women are involved in governance. The selection and promotion of women's talents should therefore be carefully planned to ensure that the unique role of female leadership can be better exercised in the future. The control system may only be optimal if you refine yourself before you become part of the work. In my view, the modern socialist administration can have strong health prospects to promote female leadership.</w:t>
      </w:r>
    </w:p>
    <w:p>
      <w:pPr>
        <w:keepNext w:val="0"/>
        <w:keepLines w:val="0"/>
        <w:pageBreakBefore/>
        <w:widowControl w:val="0"/>
        <w:kinsoku/>
        <w:wordWrap/>
        <w:overflowPunct/>
        <w:topLinePunct w:val="0"/>
        <w:autoSpaceDE/>
        <w:autoSpaceDN/>
        <w:bidi w:val="0"/>
        <w:adjustRightInd/>
        <w:snapToGrid/>
        <w:spacing w:after="157" w:afterLines="50" w:line="480" w:lineRule="auto"/>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Reference List</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rPr>
        <w:fldChar w:fldCharType="begin"/>
      </w:r>
      <w:r>
        <w:rPr>
          <w:rStyle w:val="13"/>
          <w:rFonts w:hint="default" w:ascii="Arial" w:hAnsi="Arial" w:cs="Arial"/>
          <w:sz w:val="24"/>
          <w:szCs w:val="24"/>
          <w:shd w:val="clear" w:color="auto" w:fill="FFFFFF"/>
        </w:rPr>
        <w:instrText xml:space="preserve"> HYPERLINK "https://scholar.cnki.net/home/search?sw=6&amp;sw-input=AcevedoDuque %C3%81ngel" \t "https://schlr.cnki.net/zn/Detail/index/WWMERGEJLAST/_blank" </w:instrText>
      </w:r>
      <w:r>
        <w:rPr>
          <w:rStyle w:val="13"/>
          <w:rFonts w:hint="default" w:ascii="Arial" w:hAnsi="Arial" w:cs="Arial"/>
          <w:sz w:val="24"/>
          <w:szCs w:val="24"/>
          <w:shd w:val="clear" w:color="auto" w:fill="FFFFFF"/>
        </w:rPr>
        <w:fldChar w:fldCharType="separate"/>
      </w:r>
      <w:r>
        <w:rPr>
          <w:rStyle w:val="13"/>
          <w:rFonts w:hint="default" w:ascii="Arial" w:hAnsi="Arial" w:cs="Arial"/>
          <w:sz w:val="24"/>
          <w:szCs w:val="24"/>
          <w:shd w:val="clear" w:color="auto" w:fill="FFFFFF"/>
        </w:rPr>
        <w:t>AcevedoDuque</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rPr>
        <w:t xml:space="preserve"> Á</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rPr>
        <w:fldChar w:fldCharType="end"/>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GonzalezDiaz</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R</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Vargas</w:t>
      </w:r>
      <w:r>
        <w:rPr>
          <w:rStyle w:val="13"/>
          <w:rFonts w:hint="default" w:ascii="Arial" w:hAnsi="Arial" w:cs="Arial"/>
          <w:sz w:val="24"/>
          <w:szCs w:val="24"/>
          <w:shd w:val="clear" w:color="auto" w:fill="FFFFFF"/>
          <w:lang w:val="en-US" w:eastAsia="zh-CN"/>
        </w:rPr>
        <w:t>, E.C</w:t>
      </w:r>
      <w:r>
        <w:rPr>
          <w:rStyle w:val="13"/>
          <w:rFonts w:hint="default" w:ascii="Arial" w:hAnsi="Arial" w:cs="Arial"/>
          <w:sz w:val="24"/>
          <w:szCs w:val="24"/>
          <w:shd w:val="clear" w:color="auto" w:fill="FFFFFF"/>
          <w:lang w:val="en-GB"/>
        </w:rPr>
        <w:t>.,</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PazMarcano</w:t>
      </w:r>
      <w:r>
        <w:rPr>
          <w:rStyle w:val="13"/>
          <w:rFonts w:hint="default" w:ascii="Arial" w:hAnsi="Arial" w:cs="Arial"/>
          <w:sz w:val="24"/>
          <w:szCs w:val="24"/>
          <w:shd w:val="clear" w:color="auto" w:fill="FFFFFF"/>
          <w:lang w:val="en-US" w:eastAsia="zh-CN"/>
        </w:rPr>
        <w:t>, A.,</w:t>
      </w:r>
      <w:r>
        <w:rPr>
          <w:rStyle w:val="13"/>
          <w:rFonts w:hint="default" w:ascii="Arial" w:hAnsi="Arial" w:cs="Arial"/>
          <w:sz w:val="24"/>
          <w:szCs w:val="24"/>
          <w:shd w:val="clear" w:color="auto" w:fill="FFFFFF"/>
          <w:lang w:val="en-GB"/>
        </w:rPr>
        <w:t xml:space="preserve"> </w:t>
      </w:r>
      <w:r>
        <w:rPr>
          <w:rStyle w:val="13"/>
          <w:rFonts w:hint="default" w:ascii="Arial" w:hAnsi="Arial" w:cs="Arial"/>
          <w:sz w:val="24"/>
          <w:szCs w:val="24"/>
          <w:shd w:val="clear" w:color="auto" w:fill="FFFFFF"/>
        </w:rPr>
        <w:t>MullerPérez</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S</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SalazarSepúlveda</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G</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Caruso</w:t>
      </w:r>
      <w:r>
        <w:rPr>
          <w:rStyle w:val="13"/>
          <w:rFonts w:hint="default" w:ascii="Arial" w:hAnsi="Arial" w:cs="Arial"/>
          <w:sz w:val="24"/>
          <w:szCs w:val="24"/>
          <w:shd w:val="clear" w:color="auto" w:fill="FFFFFF"/>
          <w:lang w:val="en-US" w:eastAsia="zh-CN"/>
        </w:rPr>
        <w:t xml:space="preserve">, G. </w:t>
      </w:r>
      <w:r>
        <w:rPr>
          <w:rStyle w:val="13"/>
          <w:rFonts w:hint="default" w:ascii="Arial" w:hAnsi="Arial" w:cs="Arial"/>
          <w:sz w:val="24"/>
          <w:szCs w:val="24"/>
          <w:shd w:val="clear" w:color="auto" w:fill="FFFFFF"/>
          <w:lang w:val="en-GB"/>
        </w:rPr>
        <w:t xml:space="preserve">&amp; </w:t>
      </w:r>
      <w:r>
        <w:rPr>
          <w:rStyle w:val="13"/>
          <w:rFonts w:hint="default" w:ascii="Arial" w:hAnsi="Arial" w:cs="Arial"/>
          <w:sz w:val="24"/>
          <w:szCs w:val="24"/>
          <w:shd w:val="clear" w:color="auto" w:fill="FFFFFF"/>
        </w:rPr>
        <w:t>D</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rPr>
        <w:t>Adamo</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I. (2021) ‘</w:t>
      </w:r>
      <w:r>
        <w:rPr>
          <w:rFonts w:hint="default" w:ascii="Arial" w:hAnsi="Arial" w:cs="Arial"/>
          <w:sz w:val="24"/>
          <w:szCs w:val="24"/>
          <w:shd w:val="clear" w:color="auto" w:fill="FFFFFF"/>
        </w:rPr>
        <w:t>Resilience, Leadership and Female Entrepreneurship within the Context of SMEs: Evidence from Latin America</w:t>
      </w:r>
      <w:r>
        <w:rPr>
          <w:rStyle w:val="13"/>
          <w:rFonts w:hint="default" w:ascii="Arial" w:hAnsi="Arial" w:cs="Arial"/>
          <w:sz w:val="24"/>
          <w:szCs w:val="24"/>
          <w:shd w:val="clear" w:color="auto" w:fill="FFFFFF"/>
        </w:rPr>
        <w:t>’, </w:t>
      </w:r>
      <w:r>
        <w:rPr>
          <w:rStyle w:val="13"/>
          <w:rFonts w:hint="default" w:ascii="Arial" w:hAnsi="Arial" w:cs="Arial"/>
          <w:i/>
          <w:iCs/>
          <w:sz w:val="24"/>
          <w:szCs w:val="24"/>
          <w:shd w:val="clear" w:color="auto" w:fill="FFFFFF"/>
          <w:lang w:val="en-GB"/>
        </w:rPr>
        <w:t>Sustainability</w:t>
      </w:r>
      <w:r>
        <w:rPr>
          <w:rStyle w:val="13"/>
          <w:rFonts w:hint="default" w:ascii="Arial" w:hAnsi="Arial" w:cs="Arial"/>
          <w:sz w:val="24"/>
          <w:szCs w:val="24"/>
          <w:shd w:val="clear" w:color="auto" w:fill="FFFFFF"/>
          <w:lang w:val="en-GB"/>
        </w:rPr>
        <w:t xml:space="preserve">, 13 (15). </w:t>
      </w:r>
      <w:r>
        <w:rPr>
          <w:rStyle w:val="13"/>
          <w:rFonts w:hint="default" w:ascii="Arial" w:hAnsi="Arial" w:cs="Arial"/>
          <w:sz w:val="24"/>
          <w:szCs w:val="24"/>
          <w:shd w:val="clear" w:color="auto" w:fill="FFFFFF"/>
        </w:rPr>
        <w:t>pp. 8129-8129.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"https://schlr.cnki.net/Detail/doi/WWMERGEJLAST/SJMD494909D8DC88BD7196173E07E139AAC3"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10.3390/SU13158129</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Babour, R. S. (1998). ‘Mixing qualitative methods: Quality assurance or qualitative quagmire?’</w:t>
      </w:r>
      <w:r>
        <w:rPr>
          <w:rFonts w:hint="eastAsia" w:ascii="Arial" w:hAnsi="Arial" w:cs="Arial"/>
          <w:sz w:val="24"/>
          <w:szCs w:val="24"/>
          <w:shd w:val="clear" w:color="auto" w:fill="FFFFFF"/>
          <w:lang w:val="en-US" w:eastAsia="zh-CN"/>
        </w:rPr>
        <w:t>,</w:t>
      </w:r>
      <w:r>
        <w:rPr>
          <w:rFonts w:hint="default" w:ascii="Arial" w:hAnsi="Arial" w:cs="Arial"/>
          <w:sz w:val="24"/>
          <w:szCs w:val="24"/>
          <w:shd w:val="clear" w:color="auto" w:fill="FFFFFF"/>
          <w:lang w:val="en-US" w:eastAsia="zh-CN"/>
        </w:rPr>
        <w:t xml:space="preserve"> </w:t>
      </w:r>
      <w:r>
        <w:rPr>
          <w:rFonts w:hint="default" w:ascii="Arial" w:hAnsi="Arial" w:cs="Arial"/>
          <w:i/>
          <w:iCs/>
          <w:sz w:val="24"/>
          <w:szCs w:val="24"/>
          <w:shd w:val="clear" w:color="auto" w:fill="FFFFFF"/>
          <w:lang w:val="en-US" w:eastAsia="zh-CN"/>
        </w:rPr>
        <w:t>Qualitative Health Research</w:t>
      </w:r>
      <w:r>
        <w:rPr>
          <w:rFonts w:hint="default" w:ascii="Arial" w:hAnsi="Arial" w:cs="Arial"/>
          <w:sz w:val="24"/>
          <w:szCs w:val="24"/>
          <w:shd w:val="clear" w:color="auto" w:fill="FFFFFF"/>
          <w:lang w:val="en-US" w:eastAsia="zh-CN"/>
        </w:rPr>
        <w:t xml:space="preserve">, 8(3), 352-361.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Bogdan, R. C. &amp; Biklen, S. K. (1998). </w:t>
      </w:r>
      <w:r>
        <w:rPr>
          <w:rFonts w:hint="default" w:ascii="Arial" w:hAnsi="Arial" w:cs="Arial"/>
          <w:i/>
          <w:iCs/>
          <w:sz w:val="24"/>
          <w:szCs w:val="24"/>
          <w:shd w:val="clear" w:color="auto" w:fill="FFFFFF"/>
          <w:lang w:val="en-US" w:eastAsia="zh-CN"/>
        </w:rPr>
        <w:t>Qualitative research in education: An introduction to theory and methods</w:t>
      </w:r>
      <w:r>
        <w:rPr>
          <w:rFonts w:hint="default" w:ascii="Arial" w:hAnsi="Arial" w:cs="Arial"/>
          <w:sz w:val="24"/>
          <w:szCs w:val="24"/>
          <w:shd w:val="clear" w:color="auto" w:fill="FFFFFF"/>
          <w:lang w:val="en-US" w:eastAsia="zh-CN"/>
        </w:rPr>
        <w:t xml:space="preserve"> (3rd ed.). Needham Heights, MA: Allyn &amp; Bacon.</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t>Chen, S., Fang, H.C. &amp; Wu, B. (2018) ‘Female leadership in contemporary Chinese family firms</w:t>
      </w:r>
      <w:r>
        <w:rPr>
          <w:rStyle w:val="13"/>
          <w:rFonts w:hint="default" w:ascii="Arial" w:hAnsi="Arial" w:cs="Arial"/>
          <w:sz w:val="24"/>
          <w:szCs w:val="24"/>
          <w:shd w:val="clear" w:color="auto" w:fill="FFFFFF"/>
        </w:rPr>
        <w:t>’,</w:t>
      </w:r>
      <w:r>
        <w:rPr>
          <w:rFonts w:hint="default" w:ascii="Arial" w:hAnsi="Arial" w:eastAsia="宋体" w:cs="Arial"/>
          <w:i/>
          <w:iCs/>
          <w:color w:val="505050"/>
          <w:kern w:val="0"/>
          <w:sz w:val="24"/>
          <w:szCs w:val="24"/>
          <w:lang w:bidi="th-TH"/>
        </w:rPr>
        <w:t xml:space="preserve"> </w:t>
      </w:r>
      <w:r>
        <w:rPr>
          <w:rFonts w:hint="default" w:ascii="Arial" w:hAnsi="Arial" w:cs="Arial"/>
          <w:i/>
          <w:iCs/>
          <w:sz w:val="24"/>
          <w:szCs w:val="24"/>
          <w:shd w:val="clear" w:color="auto" w:fill="FFFFFF"/>
        </w:rPr>
        <w:t>Asia Pacific Journal of Management</w:t>
      </w:r>
      <w:r>
        <w:rPr>
          <w:rStyle w:val="13"/>
          <w:rFonts w:hint="default" w:ascii="Arial" w:hAnsi="Arial" w:cs="Arial"/>
          <w:sz w:val="24"/>
          <w:szCs w:val="24"/>
          <w:shd w:val="clear" w:color="auto" w:fill="FFFFFF"/>
          <w:lang w:val="en-GB"/>
        </w:rPr>
        <w:t xml:space="preserve">, 35 (1). </w:t>
      </w:r>
      <w:r>
        <w:rPr>
          <w:rStyle w:val="13"/>
          <w:rFonts w:hint="default" w:ascii="Arial" w:hAnsi="Arial" w:cs="Arial"/>
          <w:sz w:val="24"/>
          <w:szCs w:val="24"/>
          <w:shd w:val="clear" w:color="auto" w:fill="FFFFFF"/>
        </w:rPr>
        <w:t>pp. 181-211.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"https://dx.doi.org/10.1007/s10490-017-9515-2"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10.1007/s10490-017-9515-2</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Campbell, T. (1996). Technology, multimedia, and qualitative research in education.</w:t>
      </w:r>
      <w:r>
        <w:rPr>
          <w:rFonts w:hint="default" w:ascii="Arial" w:hAnsi="Arial" w:cs="Arial"/>
          <w:i/>
          <w:iCs/>
          <w:sz w:val="24"/>
          <w:szCs w:val="24"/>
          <w:shd w:val="clear" w:color="auto" w:fill="FFFFFF"/>
          <w:lang w:val="en-US" w:eastAsia="zh-CN"/>
        </w:rPr>
        <w:t xml:space="preserve"> Journal of Research on Computing in Education</w:t>
      </w:r>
      <w:r>
        <w:rPr>
          <w:rFonts w:hint="default" w:ascii="Arial" w:hAnsi="Arial" w:cs="Arial"/>
          <w:sz w:val="24"/>
          <w:szCs w:val="24"/>
          <w:shd w:val="clear" w:color="auto" w:fill="FFFFFF"/>
          <w:lang w:val="en-US" w:eastAsia="zh-CN"/>
        </w:rPr>
        <w:t xml:space="preserve">, 30(9), 122-133.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Charles, C. M. (1995). </w:t>
      </w:r>
      <w:r>
        <w:rPr>
          <w:rFonts w:hint="default" w:ascii="Arial" w:hAnsi="Arial" w:cs="Arial"/>
          <w:i/>
          <w:iCs/>
          <w:sz w:val="24"/>
          <w:szCs w:val="24"/>
          <w:shd w:val="clear" w:color="auto" w:fill="FFFFFF"/>
          <w:lang w:val="en-US" w:eastAsia="zh-CN"/>
        </w:rPr>
        <w:t>Introduction to educational research</w:t>
      </w:r>
      <w:r>
        <w:rPr>
          <w:rFonts w:hint="default" w:ascii="Arial" w:hAnsi="Arial" w:cs="Arial"/>
          <w:sz w:val="24"/>
          <w:szCs w:val="24"/>
          <w:shd w:val="clear" w:color="auto" w:fill="FFFFFF"/>
          <w:lang w:val="en-US" w:eastAsia="zh-CN"/>
        </w:rPr>
        <w:t xml:space="preserve"> (2nd ed.). San Diego, Longman.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Clont, J. G. (1992). </w:t>
      </w:r>
      <w:r>
        <w:rPr>
          <w:rFonts w:hint="default" w:ascii="Arial" w:hAnsi="Arial" w:cs="Arial"/>
          <w:i/>
          <w:iCs/>
          <w:sz w:val="24"/>
          <w:szCs w:val="24"/>
          <w:shd w:val="clear" w:color="auto" w:fill="FFFFFF"/>
          <w:lang w:val="en-US" w:eastAsia="zh-CN"/>
        </w:rPr>
        <w:t>The concept of reliability as it pertains to data from qualitative studies</w:t>
      </w:r>
      <w:r>
        <w:rPr>
          <w:rFonts w:hint="default" w:ascii="Arial" w:hAnsi="Arial" w:cs="Arial"/>
          <w:sz w:val="24"/>
          <w:szCs w:val="24"/>
          <w:shd w:val="clear" w:color="auto" w:fill="FFFFFF"/>
          <w:lang w:val="en-US" w:eastAsia="zh-CN"/>
        </w:rPr>
        <w:t>. Paper Presented at the annual meeting of the South West Educational Research Association. Houston, TX.</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Creswell, J. W. &amp; Miller, D. L. (2000). Determining validity in qualitative inquiry. </w:t>
      </w:r>
      <w:r>
        <w:rPr>
          <w:rFonts w:hint="default" w:ascii="Arial" w:hAnsi="Arial" w:cs="Arial"/>
          <w:i/>
          <w:iCs/>
          <w:sz w:val="24"/>
          <w:szCs w:val="24"/>
          <w:shd w:val="clear" w:color="auto" w:fill="FFFFFF"/>
          <w:lang w:val="en-US" w:eastAsia="zh-CN"/>
        </w:rPr>
        <w:t>Theory into Practice</w:t>
      </w:r>
      <w:r>
        <w:rPr>
          <w:rFonts w:hint="default" w:ascii="Arial" w:hAnsi="Arial" w:cs="Arial"/>
          <w:sz w:val="24"/>
          <w:szCs w:val="24"/>
          <w:shd w:val="clear" w:color="auto" w:fill="FFFFFF"/>
          <w:lang w:val="en-US" w:eastAsia="zh-CN"/>
        </w:rPr>
        <w:t xml:space="preserve">, 39(3), 124-131.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Crocker, L., &amp; Algina, J. (1986). </w:t>
      </w:r>
      <w:r>
        <w:rPr>
          <w:rFonts w:hint="default" w:ascii="Arial" w:hAnsi="Arial" w:cs="Arial"/>
          <w:i/>
          <w:iCs/>
          <w:sz w:val="24"/>
          <w:szCs w:val="24"/>
          <w:shd w:val="clear" w:color="auto" w:fill="FFFFFF"/>
          <w:lang w:val="en-US" w:eastAsia="zh-CN"/>
        </w:rPr>
        <w:t>Introduction to classical and modern test theory</w:t>
      </w:r>
      <w:r>
        <w:rPr>
          <w:rFonts w:hint="default" w:ascii="Arial" w:hAnsi="Arial" w:cs="Arial"/>
          <w:sz w:val="24"/>
          <w:szCs w:val="24"/>
          <w:shd w:val="clear" w:color="auto" w:fill="FFFFFF"/>
          <w:lang w:val="en-US" w:eastAsia="zh-CN"/>
        </w:rPr>
        <w:t xml:space="preserve">. Toronto: Holt, RineHart, and Winston, Inc.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Davies, D., &amp; Dodd, J. (2002). Qualitative research and the question of rigor. </w:t>
      </w:r>
      <w:r>
        <w:rPr>
          <w:rFonts w:hint="default" w:ascii="Arial" w:hAnsi="Arial" w:cs="Arial"/>
          <w:i/>
          <w:iCs/>
          <w:sz w:val="24"/>
          <w:szCs w:val="24"/>
          <w:shd w:val="clear" w:color="auto" w:fill="FFFFFF"/>
          <w:lang w:val="en-US" w:eastAsia="zh-CN"/>
        </w:rPr>
        <w:t>Qualitative Health research</w:t>
      </w:r>
      <w:r>
        <w:rPr>
          <w:rFonts w:hint="default" w:ascii="Arial" w:hAnsi="Arial" w:cs="Arial"/>
          <w:sz w:val="24"/>
          <w:szCs w:val="24"/>
          <w:shd w:val="clear" w:color="auto" w:fill="FFFFFF"/>
          <w:lang w:val="en-US" w:eastAsia="zh-CN"/>
        </w:rPr>
        <w:t xml:space="preserve">, 12(2), 279-289.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Denzin, N. K. (1978). </w:t>
      </w:r>
      <w:r>
        <w:rPr>
          <w:rFonts w:hint="default" w:ascii="Arial" w:hAnsi="Arial" w:cs="Arial"/>
          <w:i/>
          <w:iCs/>
          <w:sz w:val="24"/>
          <w:szCs w:val="24"/>
          <w:shd w:val="clear" w:color="auto" w:fill="FFFFFF"/>
          <w:lang w:val="en-US" w:eastAsia="zh-CN"/>
        </w:rPr>
        <w:t>The research act: A theoretical introduction to sociological methods.</w:t>
      </w:r>
      <w:r>
        <w:rPr>
          <w:rFonts w:hint="default" w:ascii="Arial" w:hAnsi="Arial" w:cs="Arial"/>
          <w:sz w:val="24"/>
          <w:szCs w:val="24"/>
          <w:shd w:val="clear" w:color="auto" w:fill="FFFFFF"/>
          <w:lang w:val="en-US" w:eastAsia="zh-CN"/>
        </w:rPr>
        <w:t xml:space="preserve">New York: McGraw-Hill.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Denzin, N. K., &amp; Lincoln, Y. S. Eds.). (1998). </w:t>
      </w:r>
      <w:r>
        <w:rPr>
          <w:rFonts w:hint="default" w:ascii="Arial" w:hAnsi="Arial" w:cs="Arial"/>
          <w:i/>
          <w:iCs/>
          <w:sz w:val="24"/>
          <w:szCs w:val="24"/>
          <w:shd w:val="clear" w:color="auto" w:fill="FFFFFF"/>
          <w:lang w:val="en-US" w:eastAsia="zh-CN"/>
        </w:rPr>
        <w:t>The landscape of qualitative research: Theories and issues</w:t>
      </w:r>
      <w:r>
        <w:rPr>
          <w:rFonts w:hint="default" w:ascii="Arial" w:hAnsi="Arial" w:cs="Arial"/>
          <w:sz w:val="24"/>
          <w:szCs w:val="24"/>
          <w:shd w:val="clear" w:color="auto" w:fill="FFFFFF"/>
          <w:lang w:val="en-US" w:eastAsia="zh-CN"/>
        </w:rPr>
        <w:t xml:space="preserve">. Thousand Oaks: Sage Publications.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Denzin, N. K., &amp; Lincoln, Y. S. (1998) (Eds). </w:t>
      </w:r>
      <w:r>
        <w:rPr>
          <w:rFonts w:hint="default" w:ascii="Arial" w:hAnsi="Arial" w:cs="Arial"/>
          <w:i/>
          <w:iCs/>
          <w:sz w:val="24"/>
          <w:szCs w:val="24"/>
          <w:shd w:val="clear" w:color="auto" w:fill="FFFFFF"/>
          <w:lang w:val="en-US" w:eastAsia="zh-CN"/>
        </w:rPr>
        <w:t xml:space="preserve">Collecting and interpreting qualitative materials. </w:t>
      </w:r>
      <w:r>
        <w:rPr>
          <w:rFonts w:hint="default" w:ascii="Arial" w:hAnsi="Arial" w:cs="Arial"/>
          <w:sz w:val="24"/>
          <w:szCs w:val="24"/>
          <w:shd w:val="clear" w:color="auto" w:fill="FFFFFF"/>
          <w:lang w:val="en-US" w:eastAsia="zh-CN"/>
        </w:rPr>
        <w:t xml:space="preserve">Thousand Oaks: Sage Publication.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Eisner, E. W. (1991). </w:t>
      </w:r>
      <w:r>
        <w:rPr>
          <w:rFonts w:hint="default" w:ascii="Arial" w:hAnsi="Arial" w:cs="Arial"/>
          <w:i/>
          <w:iCs/>
          <w:sz w:val="24"/>
          <w:szCs w:val="24"/>
          <w:shd w:val="clear" w:color="auto" w:fill="FFFFFF"/>
          <w:lang w:val="en-US" w:eastAsia="zh-CN"/>
        </w:rPr>
        <w:t>The enlightened eye: Qualitative inquiry and the enhancement of</w:t>
      </w:r>
      <w:r>
        <w:rPr>
          <w:rFonts w:hint="eastAsia" w:ascii="Arial" w:hAnsi="Arial" w:cs="Arial"/>
          <w:i/>
          <w:iCs/>
          <w:sz w:val="24"/>
          <w:szCs w:val="24"/>
          <w:shd w:val="clear" w:color="auto" w:fill="FFFFFF"/>
          <w:lang w:val="en-US" w:eastAsia="zh-CN"/>
        </w:rPr>
        <w:t xml:space="preserve"> </w:t>
      </w:r>
      <w:r>
        <w:rPr>
          <w:rFonts w:hint="default" w:ascii="Arial" w:hAnsi="Arial" w:cs="Arial"/>
          <w:i/>
          <w:iCs/>
          <w:sz w:val="24"/>
          <w:szCs w:val="24"/>
          <w:shd w:val="clear" w:color="auto" w:fill="FFFFFF"/>
          <w:lang w:val="en-US" w:eastAsia="zh-CN"/>
        </w:rPr>
        <w:t>educational practice</w:t>
      </w:r>
      <w:r>
        <w:rPr>
          <w:rFonts w:hint="default" w:ascii="Arial" w:hAnsi="Arial" w:cs="Arial"/>
          <w:sz w:val="24"/>
          <w:szCs w:val="24"/>
          <w:shd w:val="clear" w:color="auto" w:fill="FFFFFF"/>
          <w:lang w:val="en-US" w:eastAsia="zh-CN"/>
        </w:rPr>
        <w:t xml:space="preserve">. New York, NY: Macmillan Publishing Company.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Glesne, C., &amp; Peshkin, P. (1992). </w:t>
      </w:r>
      <w:r>
        <w:rPr>
          <w:rFonts w:hint="default" w:ascii="Arial" w:hAnsi="Arial" w:cs="Arial"/>
          <w:i/>
          <w:iCs/>
          <w:sz w:val="24"/>
          <w:szCs w:val="24"/>
          <w:shd w:val="clear" w:color="auto" w:fill="FFFFFF"/>
          <w:lang w:val="en-US" w:eastAsia="zh-CN"/>
        </w:rPr>
        <w:t>Becoming qualitative researches: An introduction.</w:t>
      </w:r>
      <w:r>
        <w:rPr>
          <w:rFonts w:hint="default" w:ascii="Arial" w:hAnsi="Arial" w:cs="Arial"/>
          <w:sz w:val="24"/>
          <w:szCs w:val="24"/>
          <w:shd w:val="clear" w:color="auto" w:fill="FFFFFF"/>
          <w:lang w:val="en-US" w:eastAsia="zh-CN"/>
        </w:rPr>
        <w:t xml:space="preserve"> New York, NY: Longman.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Healy, M., &amp; Perry, C. (2000). Comprehensive criteria to judge validity and reliability of qualitative research within the realism paradigm. </w:t>
      </w:r>
      <w:r>
        <w:rPr>
          <w:rFonts w:hint="default" w:ascii="Arial" w:hAnsi="Arial" w:cs="Arial"/>
          <w:i/>
          <w:iCs/>
          <w:sz w:val="24"/>
          <w:szCs w:val="24"/>
          <w:shd w:val="clear" w:color="auto" w:fill="FFFFFF"/>
          <w:lang w:val="en-US" w:eastAsia="zh-CN"/>
        </w:rPr>
        <w:t>Qualitative Market Research</w:t>
      </w:r>
      <w:r>
        <w:rPr>
          <w:rFonts w:hint="default" w:ascii="Arial" w:hAnsi="Arial" w:cs="Arial"/>
          <w:sz w:val="24"/>
          <w:szCs w:val="24"/>
          <w:shd w:val="clear" w:color="auto" w:fill="FFFFFF"/>
          <w:lang w:val="en-US" w:eastAsia="zh-CN"/>
        </w:rPr>
        <w:t xml:space="preserve">, 3(3), 118-126.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Hoepfl, M. C. (1997). Choosing qualitative research: A primer for technology education researchers. </w:t>
      </w:r>
      <w:r>
        <w:rPr>
          <w:rFonts w:hint="default" w:ascii="Arial" w:hAnsi="Arial" w:cs="Arial"/>
          <w:i/>
          <w:iCs/>
          <w:sz w:val="24"/>
          <w:szCs w:val="24"/>
          <w:shd w:val="clear" w:color="auto" w:fill="FFFFFF"/>
          <w:lang w:val="en-US" w:eastAsia="zh-CN"/>
        </w:rPr>
        <w:t>Journal of Technology Education</w:t>
      </w:r>
      <w:r>
        <w:rPr>
          <w:rFonts w:hint="default" w:ascii="Arial" w:hAnsi="Arial" w:cs="Arial"/>
          <w:sz w:val="24"/>
          <w:szCs w:val="24"/>
          <w:shd w:val="clear" w:color="auto" w:fill="FFFFFF"/>
          <w:lang w:val="en-US" w:eastAsia="zh-CN"/>
        </w:rPr>
        <w:t>, 9(1), 47-63. Retrieved February 25, 1998,</w:t>
      </w:r>
      <w:r>
        <w:rPr>
          <w:rFonts w:hint="eastAsia"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t xml:space="preserve">from http://scholar.lib.vt.edu/ejournals/JTE/v9n1/pdf/hoepfl.pdf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Hipps, J. A. (1993). </w:t>
      </w:r>
      <w:r>
        <w:rPr>
          <w:rFonts w:hint="default" w:ascii="Arial" w:hAnsi="Arial" w:cs="Arial"/>
          <w:i/>
          <w:iCs/>
          <w:sz w:val="24"/>
          <w:szCs w:val="24"/>
          <w:shd w:val="clear" w:color="auto" w:fill="FFFFFF"/>
          <w:lang w:val="en-US" w:eastAsia="zh-CN"/>
        </w:rPr>
        <w:t>Trustworthiness and authenticity: Alternate ways to judge authentic assessments</w:t>
      </w:r>
      <w:r>
        <w:rPr>
          <w:rFonts w:hint="default" w:ascii="Arial" w:hAnsi="Arial" w:cs="Arial"/>
          <w:sz w:val="24"/>
          <w:szCs w:val="24"/>
          <w:shd w:val="clear" w:color="auto" w:fill="FFFFFF"/>
          <w:lang w:val="en-US" w:eastAsia="zh-CN"/>
        </w:rPr>
        <w:t xml:space="preserve">. Paper presented at the annual meeting of the American Educational Research Association. Atlanta, GA.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Johnson, B. R. (1997). Examining the validity structure of qualitative research. </w:t>
      </w:r>
      <w:r>
        <w:rPr>
          <w:rFonts w:hint="default" w:ascii="Arial" w:hAnsi="Arial" w:cs="Arial"/>
          <w:i/>
          <w:iCs/>
          <w:sz w:val="24"/>
          <w:szCs w:val="24"/>
          <w:shd w:val="clear" w:color="auto" w:fill="FFFFFF"/>
          <w:lang w:val="en-US" w:eastAsia="zh-CN"/>
        </w:rPr>
        <w:t>Education</w:t>
      </w:r>
      <w:r>
        <w:rPr>
          <w:rFonts w:hint="default" w:ascii="Arial" w:hAnsi="Arial" w:cs="Arial"/>
          <w:sz w:val="24"/>
          <w:szCs w:val="24"/>
          <w:shd w:val="clear" w:color="auto" w:fill="FFFFFF"/>
          <w:lang w:val="en-US" w:eastAsia="zh-CN"/>
        </w:rPr>
        <w:t xml:space="preserve">, 118(3), 282-292.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Johnson, S. D. (1995, Spring). Will our research hold up under scrutiny? </w:t>
      </w:r>
      <w:r>
        <w:rPr>
          <w:rFonts w:hint="default" w:ascii="Arial" w:hAnsi="Arial" w:cs="Arial"/>
          <w:i/>
          <w:iCs/>
          <w:sz w:val="24"/>
          <w:szCs w:val="24"/>
          <w:shd w:val="clear" w:color="auto" w:fill="FFFFFF"/>
          <w:lang w:val="en-US" w:eastAsia="zh-CN"/>
        </w:rPr>
        <w:t>Journal of Industrial Teacher Education</w:t>
      </w:r>
      <w:r>
        <w:rPr>
          <w:rFonts w:hint="default" w:ascii="Arial" w:hAnsi="Arial" w:cs="Arial"/>
          <w:sz w:val="24"/>
          <w:szCs w:val="24"/>
          <w:shd w:val="clear" w:color="auto" w:fill="FFFFFF"/>
          <w:lang w:val="en-US" w:eastAsia="zh-CN"/>
        </w:rPr>
        <w:t xml:space="preserve">, 32(3), 3-6.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Joppe, M. (2000). </w:t>
      </w:r>
      <w:r>
        <w:rPr>
          <w:rFonts w:hint="default" w:ascii="Arial" w:hAnsi="Arial" w:cs="Arial"/>
          <w:i/>
          <w:iCs/>
          <w:sz w:val="24"/>
          <w:szCs w:val="24"/>
          <w:shd w:val="clear" w:color="auto" w:fill="FFFFFF"/>
          <w:lang w:val="en-US" w:eastAsia="zh-CN"/>
        </w:rPr>
        <w:t>The Research Process.</w:t>
      </w:r>
      <w:r>
        <w:rPr>
          <w:rFonts w:hint="default" w:ascii="Arial" w:hAnsi="Arial" w:cs="Arial"/>
          <w:sz w:val="24"/>
          <w:szCs w:val="24"/>
          <w:shd w:val="clear" w:color="auto" w:fill="FFFFFF"/>
          <w:lang w:val="en-US" w:eastAsia="zh-CN"/>
        </w:rPr>
        <w:t xml:space="preserve"> Retrieved February 25, 1998, from</w:t>
      </w:r>
      <w:r>
        <w:rPr>
          <w:rFonts w:hint="eastAsia"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t>http://www.ryerson.ca/~mjoppe/rp.htm</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Kirk, J., &amp; Miller, M. L. (1986). </w:t>
      </w:r>
      <w:r>
        <w:rPr>
          <w:rFonts w:hint="default" w:ascii="Arial" w:hAnsi="Arial" w:cs="Arial"/>
          <w:i/>
          <w:iCs/>
          <w:sz w:val="24"/>
          <w:szCs w:val="24"/>
          <w:shd w:val="clear" w:color="auto" w:fill="FFFFFF"/>
          <w:lang w:val="en-US" w:eastAsia="zh-CN"/>
        </w:rPr>
        <w:t xml:space="preserve">Reliability and validity in qualitative research. </w:t>
      </w:r>
      <w:r>
        <w:rPr>
          <w:rFonts w:hint="default" w:ascii="Arial" w:hAnsi="Arial" w:cs="Arial"/>
          <w:sz w:val="24"/>
          <w:szCs w:val="24"/>
          <w:shd w:val="clear" w:color="auto" w:fill="FFFFFF"/>
          <w:lang w:val="en-US" w:eastAsia="zh-CN"/>
        </w:rPr>
        <w:t xml:space="preserve">Beverly Hills: Sage Publications.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Lincoln, Y. S., &amp; Guba, E. G. (1985). </w:t>
      </w:r>
      <w:r>
        <w:rPr>
          <w:rFonts w:hint="default" w:ascii="Arial" w:hAnsi="Arial" w:cs="Arial"/>
          <w:i/>
          <w:iCs/>
          <w:sz w:val="24"/>
          <w:szCs w:val="24"/>
          <w:shd w:val="clear" w:color="auto" w:fill="FFFFFF"/>
          <w:lang w:val="en-US" w:eastAsia="zh-CN"/>
        </w:rPr>
        <w:t xml:space="preserve">Naturalistic inquiry. </w:t>
      </w:r>
      <w:r>
        <w:rPr>
          <w:rFonts w:hint="default" w:ascii="Arial" w:hAnsi="Arial" w:cs="Arial"/>
          <w:i w:val="0"/>
          <w:iCs w:val="0"/>
          <w:sz w:val="24"/>
          <w:szCs w:val="24"/>
          <w:shd w:val="clear" w:color="auto" w:fill="FFFFFF"/>
          <w:lang w:val="en-US" w:eastAsia="zh-CN"/>
        </w:rPr>
        <w:t>Beverly Hills,</w:t>
      </w:r>
      <w:r>
        <w:rPr>
          <w:rFonts w:hint="default" w:ascii="Arial" w:hAnsi="Arial" w:cs="Arial"/>
          <w:sz w:val="24"/>
          <w:szCs w:val="24"/>
          <w:shd w:val="clear" w:color="auto" w:fill="FFFFFF"/>
          <w:lang w:val="en-US" w:eastAsia="zh-CN"/>
        </w:rPr>
        <w:t xml:space="preserve"> CA: Sage.</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Style w:val="13"/>
          <w:rFonts w:hint="default" w:ascii="Arial" w:hAnsi="Arial" w:cs="Arial"/>
          <w:sz w:val="24"/>
          <w:szCs w:val="24"/>
          <w:shd w:val="clear" w:color="auto" w:fill="FFFFFF"/>
        </w:rPr>
      </w:pPr>
      <w:r>
        <w:rPr>
          <w:rStyle w:val="13"/>
          <w:rFonts w:hint="default" w:ascii="Arial" w:hAnsi="Arial" w:cs="Arial"/>
          <w:sz w:val="24"/>
          <w:szCs w:val="24"/>
          <w:shd w:val="clear" w:color="auto" w:fill="FFFFFF"/>
        </w:rPr>
        <w:t>Le Ha</w:t>
      </w:r>
      <w:r>
        <w:rPr>
          <w:rStyle w:val="13"/>
          <w:rFonts w:hint="default" w:ascii="Arial" w:hAnsi="Arial" w:cs="Arial"/>
          <w:sz w:val="24"/>
          <w:szCs w:val="24"/>
          <w:shd w:val="clear" w:color="auto" w:fill="FFFFFF"/>
          <w:lang w:val="en-GB"/>
        </w:rPr>
        <w:t>, N.T., Doan, T. &amp; Linh, T.K. (2020) ‘FACTORS AFFECTING WOMEN LEADERSHIP IN VIETNAM</w:t>
      </w:r>
      <w:r>
        <w:rPr>
          <w:rStyle w:val="13"/>
          <w:rFonts w:hint="default" w:ascii="Arial" w:hAnsi="Arial" w:cs="Arial"/>
          <w:sz w:val="24"/>
          <w:szCs w:val="24"/>
          <w:shd w:val="clear" w:color="auto" w:fill="FFFFFF"/>
        </w:rPr>
        <w:t>’, </w:t>
      </w:r>
      <w:r>
        <w:rPr>
          <w:rFonts w:hint="default" w:ascii="Arial" w:hAnsi="Arial" w:cs="Arial"/>
          <w:i/>
          <w:iCs/>
          <w:sz w:val="24"/>
          <w:szCs w:val="24"/>
          <w:shd w:val="clear" w:color="auto" w:fill="FFFFFF"/>
        </w:rPr>
        <w:t>International Journal of Information, Business and Management</w:t>
      </w:r>
      <w:r>
        <w:rPr>
          <w:rStyle w:val="13"/>
          <w:rFonts w:hint="default" w:ascii="Arial" w:hAnsi="Arial" w:cs="Arial"/>
          <w:sz w:val="24"/>
          <w:szCs w:val="24"/>
          <w:shd w:val="clear" w:color="auto" w:fill="FFFFFF"/>
          <w:lang w:val="en-GB"/>
        </w:rPr>
        <w:t xml:space="preserve">, 12 (4). </w:t>
      </w:r>
      <w:r>
        <w:rPr>
          <w:rStyle w:val="13"/>
          <w:rFonts w:hint="default" w:ascii="Arial" w:hAnsi="Arial" w:cs="Arial"/>
          <w:sz w:val="24"/>
          <w:szCs w:val="24"/>
          <w:shd w:val="clear" w:color="auto" w:fill="FFFFFF"/>
        </w:rPr>
        <w:t>ISSN:</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"https://www.google.com/search?q=issn%2076-9202"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2076-9202</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fldChar w:fldCharType="begin"/>
      </w:r>
      <w:r>
        <w:rPr>
          <w:rStyle w:val="13"/>
          <w:rFonts w:hint="default" w:ascii="Arial" w:hAnsi="Arial" w:cs="Arial"/>
          <w:sz w:val="24"/>
          <w:szCs w:val="24"/>
          <w:shd w:val="clear" w:color="auto" w:fill="FFFFFF"/>
          <w:lang w:val="en-GB"/>
        </w:rPr>
        <w:instrText xml:space="preserve"> HYPERLINK "https://scholar.cnki.net/home/search?sw=6&amp;sw-input=McGowan Abigail" \t "https://schlr.cnki.net/zn/Detail/index/STJDLAST/_blank" </w:instrText>
      </w:r>
      <w:r>
        <w:rPr>
          <w:rStyle w:val="13"/>
          <w:rFonts w:hint="default" w:ascii="Arial" w:hAnsi="Arial" w:cs="Arial"/>
          <w:sz w:val="24"/>
          <w:szCs w:val="24"/>
          <w:shd w:val="clear" w:color="auto" w:fill="FFFFFF"/>
          <w:lang w:val="en-GB"/>
        </w:rPr>
        <w:fldChar w:fldCharType="separate"/>
      </w:r>
      <w:r>
        <w:rPr>
          <w:rStyle w:val="13"/>
          <w:rFonts w:hint="default" w:ascii="Arial" w:hAnsi="Arial" w:cs="Arial"/>
          <w:sz w:val="24"/>
          <w:szCs w:val="24"/>
          <w:shd w:val="clear" w:color="auto" w:fill="FFFFFF"/>
          <w:lang w:val="en-GB"/>
        </w:rPr>
        <w:t>McGowan</w:t>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A</w:t>
      </w:r>
      <w:r>
        <w:rPr>
          <w:rStyle w:val="13"/>
          <w:rFonts w:hint="default" w:ascii="Arial" w:hAnsi="Arial" w:cs="Arial"/>
          <w:sz w:val="24"/>
          <w:szCs w:val="24"/>
          <w:shd w:val="clear" w:color="auto" w:fill="FFFFFF"/>
          <w:lang w:val="en-GB"/>
        </w:rPr>
        <w:fldChar w:fldCharType="end"/>
      </w:r>
      <w:r>
        <w:rPr>
          <w:rStyle w:val="13"/>
          <w:rFonts w:hint="default" w:ascii="Arial" w:hAnsi="Arial" w:cs="Arial"/>
          <w:sz w:val="24"/>
          <w:szCs w:val="24"/>
          <w:shd w:val="clear" w:color="auto" w:fill="FFFFFF"/>
          <w:lang w:val="en-US" w:eastAsia="zh-CN"/>
        </w:rPr>
        <w:t>.</w:t>
      </w:r>
      <w:r>
        <w:rPr>
          <w:rStyle w:val="13"/>
          <w:rFonts w:hint="default" w:ascii="Arial" w:hAnsi="Arial" w:cs="Arial"/>
          <w:sz w:val="24"/>
          <w:szCs w:val="24"/>
          <w:shd w:val="clear" w:color="auto" w:fill="FFFFFF"/>
          <w:lang w:val="en-GB"/>
        </w:rPr>
        <w:t xml:space="preserve"> (2021) ‘</w:t>
      </w:r>
      <w:r>
        <w:rPr>
          <w:rFonts w:hint="default" w:ascii="Arial" w:hAnsi="Arial" w:cs="Arial"/>
          <w:sz w:val="24"/>
          <w:szCs w:val="24"/>
          <w:shd w:val="clear" w:color="auto" w:fill="FFFFFF"/>
        </w:rPr>
        <w:t>Mothers and Godmothers of Crafts: Female Leadership and the Imagination of India as a Crafts Nation, 1947–67</w:t>
      </w:r>
      <w:r>
        <w:rPr>
          <w:rStyle w:val="13"/>
          <w:rFonts w:hint="default" w:ascii="Arial" w:hAnsi="Arial" w:cs="Arial"/>
          <w:sz w:val="24"/>
          <w:szCs w:val="24"/>
          <w:shd w:val="clear" w:color="auto" w:fill="FFFFFF"/>
        </w:rPr>
        <w:t>’, </w:t>
      </w:r>
      <w:r>
        <w:rPr>
          <w:rStyle w:val="13"/>
          <w:rFonts w:hint="default" w:ascii="Arial" w:hAnsi="Arial" w:cs="Arial"/>
          <w:i/>
          <w:iCs/>
          <w:sz w:val="24"/>
          <w:szCs w:val="24"/>
          <w:shd w:val="clear" w:color="auto" w:fill="FFFFFF"/>
          <w:lang w:val="en-GB"/>
        </w:rPr>
        <w:t>South Asia: Journal of South Asian Studies</w:t>
      </w:r>
      <w:r>
        <w:rPr>
          <w:rStyle w:val="13"/>
          <w:rFonts w:hint="default" w:ascii="Arial" w:hAnsi="Arial" w:cs="Arial"/>
          <w:sz w:val="24"/>
          <w:szCs w:val="24"/>
          <w:shd w:val="clear" w:color="auto" w:fill="FFFFFF"/>
          <w:lang w:val="en-GB"/>
        </w:rPr>
        <w:t xml:space="preserve">, 44 (2). </w:t>
      </w:r>
      <w:r>
        <w:rPr>
          <w:rStyle w:val="13"/>
          <w:rFonts w:hint="default" w:ascii="Arial" w:hAnsi="Arial" w:cs="Arial"/>
          <w:sz w:val="24"/>
          <w:szCs w:val="24"/>
          <w:shd w:val="clear" w:color="auto" w:fill="FFFFFF"/>
        </w:rPr>
        <w:t>pp. 282-297.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"https://schlr.cnki.net/Detail/urlLink/STJDLAST/STJDBB33DEFA7C191A98A57C49A820AFF656?linkUrl=https%3A%2F%2Fwww.tandfonline.com%2Fdoi%2Ffull%2F10.1080%2F00856401.2021.1876589&amp;product=STJD"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10.1080/00856401.2021.1876589</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20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Mathison, S. (1988). Why triangulate? </w:t>
      </w:r>
      <w:r>
        <w:rPr>
          <w:rFonts w:hint="default" w:ascii="Arial" w:hAnsi="Arial" w:cs="Arial"/>
          <w:i/>
          <w:iCs/>
          <w:sz w:val="24"/>
          <w:szCs w:val="24"/>
          <w:shd w:val="clear" w:color="auto" w:fill="FFFFFF"/>
          <w:lang w:val="en-US" w:eastAsia="zh-CN"/>
        </w:rPr>
        <w:t>Educational Researcher</w:t>
      </w:r>
      <w:r>
        <w:rPr>
          <w:rFonts w:hint="default" w:ascii="Arial" w:hAnsi="Arial" w:cs="Arial"/>
          <w:sz w:val="24"/>
          <w:szCs w:val="24"/>
          <w:shd w:val="clear" w:color="auto" w:fill="FFFFFF"/>
          <w:lang w:val="en-US" w:eastAsia="zh-CN"/>
        </w:rPr>
        <w:t xml:space="preserve">, 17(2), 13-17.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Maxwell, J. A. (1992). Understanding and validity in qualitative research. </w:t>
      </w:r>
      <w:r>
        <w:rPr>
          <w:rFonts w:hint="default" w:ascii="Arial" w:hAnsi="Arial" w:cs="Arial"/>
          <w:i/>
          <w:iCs/>
          <w:sz w:val="24"/>
          <w:szCs w:val="24"/>
          <w:shd w:val="clear" w:color="auto" w:fill="FFFFFF"/>
          <w:lang w:val="en-US" w:eastAsia="zh-CN"/>
        </w:rPr>
        <w:t>Harvard Educational Review</w:t>
      </w:r>
      <w:r>
        <w:rPr>
          <w:rFonts w:hint="default" w:ascii="Arial" w:hAnsi="Arial" w:cs="Arial"/>
          <w:sz w:val="24"/>
          <w:szCs w:val="24"/>
          <w:shd w:val="clear" w:color="auto" w:fill="FFFFFF"/>
          <w:lang w:val="en-US" w:eastAsia="zh-CN"/>
        </w:rPr>
        <w:t>, 62(3), 279-300</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Style w:val="13"/>
          <w:rFonts w:hint="default" w:ascii="Arial" w:hAnsi="Arial" w:cs="Arial"/>
          <w:sz w:val="24"/>
          <w:szCs w:val="24"/>
          <w:shd w:val="clear" w:color="auto" w:fill="FFFFFF"/>
          <w:lang w:val="en-GB"/>
        </w:rPr>
        <w:fldChar w:fldCharType="begin"/>
      </w:r>
      <w:r>
        <w:rPr>
          <w:rStyle w:val="13"/>
          <w:rFonts w:hint="default" w:ascii="Arial" w:hAnsi="Arial" w:cs="Arial"/>
          <w:sz w:val="24"/>
          <w:szCs w:val="24"/>
          <w:shd w:val="clear" w:color="auto" w:fill="FFFFFF"/>
          <w:lang w:val="en-GB"/>
        </w:rPr>
        <w:instrText xml:space="preserve"> HYPERLINK "https://direct.mit.edu/daed/article/149/1/236/27304/javascript:;" </w:instrText>
      </w:r>
      <w:r>
        <w:rPr>
          <w:rStyle w:val="13"/>
          <w:rFonts w:hint="default" w:ascii="Arial" w:hAnsi="Arial" w:cs="Arial"/>
          <w:sz w:val="24"/>
          <w:szCs w:val="24"/>
          <w:shd w:val="clear" w:color="auto" w:fill="FFFFFF"/>
          <w:lang w:val="en-GB"/>
        </w:rPr>
        <w:fldChar w:fldCharType="separate"/>
      </w:r>
      <w:r>
        <w:rPr>
          <w:rStyle w:val="13"/>
          <w:rFonts w:hint="default" w:ascii="Arial" w:hAnsi="Arial" w:cs="Arial"/>
          <w:sz w:val="24"/>
          <w:szCs w:val="24"/>
          <w:shd w:val="clear" w:color="auto" w:fill="FFFFFF"/>
          <w:lang w:val="en-GB"/>
        </w:rPr>
        <w:t>Nannerl</w:t>
      </w:r>
      <w:r>
        <w:rPr>
          <w:rStyle w:val="13"/>
          <w:rFonts w:hint="default" w:ascii="Arial" w:hAnsi="Arial" w:cs="Arial"/>
          <w:sz w:val="24"/>
          <w:szCs w:val="24"/>
          <w:shd w:val="clear" w:color="auto" w:fill="FFFFFF"/>
          <w:lang w:val="en-US" w:eastAsia="zh-CN"/>
        </w:rPr>
        <w:t xml:space="preserve">, </w:t>
      </w:r>
      <w:r>
        <w:rPr>
          <w:rStyle w:val="13"/>
          <w:rFonts w:hint="default" w:ascii="Arial" w:hAnsi="Arial" w:cs="Arial"/>
          <w:sz w:val="24"/>
          <w:szCs w:val="24"/>
          <w:shd w:val="clear" w:color="auto" w:fill="FFFFFF"/>
          <w:lang w:val="en-GB"/>
        </w:rPr>
        <w:t>O.K</w:t>
      </w:r>
      <w:r>
        <w:rPr>
          <w:rStyle w:val="13"/>
          <w:rFonts w:hint="default" w:ascii="Arial" w:hAnsi="Arial" w:cs="Arial"/>
          <w:sz w:val="24"/>
          <w:szCs w:val="24"/>
          <w:shd w:val="clear" w:color="auto" w:fill="FFFFFF"/>
          <w:lang w:val="en-GB"/>
        </w:rPr>
        <w:fldChar w:fldCharType="end"/>
      </w:r>
      <w:r>
        <w:rPr>
          <w:rStyle w:val="13"/>
          <w:rFonts w:hint="default" w:ascii="Arial" w:hAnsi="Arial" w:cs="Arial"/>
          <w:sz w:val="24"/>
          <w:szCs w:val="24"/>
          <w:shd w:val="clear" w:color="auto" w:fill="FFFFFF"/>
          <w:lang w:val="en-GB"/>
        </w:rPr>
        <w:t>. (2020) ‘Women, power &amp; leadership</w:t>
      </w:r>
      <w:r>
        <w:rPr>
          <w:rStyle w:val="13"/>
          <w:rFonts w:hint="default" w:ascii="Arial" w:hAnsi="Arial" w:cs="Arial"/>
          <w:sz w:val="24"/>
          <w:szCs w:val="24"/>
          <w:shd w:val="clear" w:color="auto" w:fill="FFFFFF"/>
        </w:rPr>
        <w:t xml:space="preserve">’, </w:t>
      </w:r>
      <w:r>
        <w:rPr>
          <w:rStyle w:val="13"/>
          <w:rFonts w:hint="default" w:ascii="Arial" w:hAnsi="Arial" w:cs="Arial"/>
          <w:i/>
          <w:iCs/>
          <w:sz w:val="24"/>
          <w:szCs w:val="24"/>
          <w:shd w:val="clear" w:color="auto" w:fill="FFFFFF"/>
          <w:lang w:val="en-GB"/>
        </w:rPr>
        <w:t>Daedalus</w:t>
      </w:r>
      <w:r>
        <w:rPr>
          <w:rStyle w:val="13"/>
          <w:rFonts w:hint="default" w:ascii="Arial" w:hAnsi="Arial" w:cs="Arial"/>
          <w:sz w:val="24"/>
          <w:szCs w:val="24"/>
          <w:shd w:val="clear" w:color="auto" w:fill="FFFFFF"/>
          <w:lang w:val="en-GB"/>
        </w:rPr>
        <w:t xml:space="preserve">, 149 (1). </w:t>
      </w:r>
      <w:r>
        <w:rPr>
          <w:rStyle w:val="13"/>
          <w:rFonts w:hint="default" w:ascii="Arial" w:hAnsi="Arial" w:cs="Arial"/>
          <w:sz w:val="24"/>
          <w:szCs w:val="24"/>
          <w:shd w:val="clear" w:color="auto" w:fill="FFFFFF"/>
        </w:rPr>
        <w:t>pp. 236-250. DOI:</w:t>
      </w:r>
      <w:r>
        <w:rPr>
          <w:rFonts w:hint="default" w:ascii="Arial" w:hAnsi="Arial" w:cs="Arial"/>
          <w:sz w:val="24"/>
          <w:szCs w:val="24"/>
          <w:shd w:val="clear" w:color="auto" w:fill="FFFFFF"/>
        </w:rPr>
        <w:t> </w:t>
      </w:r>
      <w:r>
        <w:rPr>
          <w:rFonts w:hint="default" w:ascii="Arial" w:hAnsi="Arial" w:cs="Arial"/>
          <w:sz w:val="24"/>
          <w:szCs w:val="24"/>
        </w:rPr>
        <w:fldChar w:fldCharType="begin"/>
      </w:r>
      <w:r>
        <w:rPr>
          <w:rFonts w:hint="default" w:ascii="Arial" w:hAnsi="Arial" w:cs="Arial"/>
          <w:sz w:val="24"/>
          <w:szCs w:val="24"/>
        </w:rPr>
        <w:instrText xml:space="preserve"> HYPERLINK "https://dx.doi.org/10.1162/DAED_a_01785" \t "_blank" </w:instrText>
      </w:r>
      <w:r>
        <w:rPr>
          <w:rFonts w:hint="default" w:ascii="Arial" w:hAnsi="Arial" w:cs="Arial"/>
          <w:sz w:val="24"/>
          <w:szCs w:val="24"/>
        </w:rPr>
        <w:fldChar w:fldCharType="separate"/>
      </w:r>
      <w:r>
        <w:rPr>
          <w:rStyle w:val="12"/>
          <w:rFonts w:hint="default" w:ascii="Arial" w:hAnsi="Arial" w:cs="Arial"/>
          <w:sz w:val="24"/>
          <w:szCs w:val="24"/>
          <w:shd w:val="clear" w:color="auto" w:fill="FFFFFF"/>
        </w:rPr>
        <w:t>10.1162/DAED_a_01785</w:t>
      </w:r>
      <w:r>
        <w:rPr>
          <w:rStyle w:val="12"/>
          <w:rFonts w:hint="default" w:ascii="Arial" w:hAnsi="Arial" w:cs="Arial"/>
          <w:sz w:val="24"/>
          <w:szCs w:val="24"/>
          <w:shd w:val="clear" w:color="auto" w:fill="FFFFFF"/>
        </w:rPr>
        <w:fldChar w:fldCharType="end"/>
      </w:r>
      <w:r>
        <w:rPr>
          <w:rFonts w:hint="default" w:ascii="Arial" w:hAnsi="Arial" w:cs="Arial"/>
          <w:sz w:val="24"/>
          <w:szCs w:val="24"/>
          <w:shd w:val="clear" w:color="auto" w:fill="FFFFFF"/>
          <w:lang w:val="en-US" w:eastAsia="zh-CN"/>
        </w:rPr>
        <w:t xml:space="preserve"> (Accessed: 19 August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Patton, M. Q. (2002). </w:t>
      </w:r>
      <w:r>
        <w:rPr>
          <w:rFonts w:hint="default" w:ascii="Arial" w:hAnsi="Arial" w:cs="Arial"/>
          <w:i/>
          <w:iCs/>
          <w:sz w:val="24"/>
          <w:szCs w:val="24"/>
          <w:shd w:val="clear" w:color="auto" w:fill="FFFFFF"/>
          <w:lang w:val="en-US" w:eastAsia="zh-CN"/>
        </w:rPr>
        <w:t>Qualitative evaluation and research methods</w:t>
      </w:r>
      <w:r>
        <w:rPr>
          <w:rFonts w:hint="default" w:ascii="Arial" w:hAnsi="Arial" w:cs="Arial"/>
          <w:sz w:val="24"/>
          <w:szCs w:val="24"/>
          <w:shd w:val="clear" w:color="auto" w:fill="FFFFFF"/>
          <w:lang w:val="en-US" w:eastAsia="zh-CN"/>
        </w:rPr>
        <w:t xml:space="preserve"> (3rd ed.). Thousand Oaks, CA: Sage Publications, Inc.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Seale, C. (1999). Quality in qualitative research. </w:t>
      </w:r>
      <w:r>
        <w:rPr>
          <w:rFonts w:hint="default" w:ascii="Arial" w:hAnsi="Arial" w:cs="Arial"/>
          <w:i/>
          <w:iCs/>
          <w:sz w:val="24"/>
          <w:szCs w:val="24"/>
          <w:shd w:val="clear" w:color="auto" w:fill="FFFFFF"/>
          <w:lang w:val="en-US" w:eastAsia="zh-CN"/>
        </w:rPr>
        <w:t>Qualitative Inquiry</w:t>
      </w:r>
      <w:r>
        <w:rPr>
          <w:rFonts w:hint="default" w:ascii="Arial" w:hAnsi="Arial" w:cs="Arial"/>
          <w:sz w:val="24"/>
          <w:szCs w:val="24"/>
          <w:shd w:val="clear" w:color="auto" w:fill="FFFFFF"/>
          <w:lang w:val="en-US" w:eastAsia="zh-CN"/>
        </w:rPr>
        <w:t xml:space="preserve">, 5(4), 465-478.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Stenbacka, C. (2001). Qualitative research requires quality concepts of its own. </w:t>
      </w:r>
      <w:r>
        <w:rPr>
          <w:rFonts w:hint="default" w:ascii="Arial" w:hAnsi="Arial" w:cs="Arial"/>
          <w:i/>
          <w:iCs/>
          <w:sz w:val="24"/>
          <w:szCs w:val="24"/>
          <w:shd w:val="clear" w:color="auto" w:fill="FFFFFF"/>
          <w:lang w:val="en-US" w:eastAsia="zh-CN"/>
        </w:rPr>
        <w:t>Management Decision</w:t>
      </w:r>
      <w:r>
        <w:rPr>
          <w:rFonts w:hint="default" w:ascii="Arial" w:hAnsi="Arial" w:cs="Arial"/>
          <w:sz w:val="24"/>
          <w:szCs w:val="24"/>
          <w:shd w:val="clear" w:color="auto" w:fill="FFFFFF"/>
          <w:lang w:val="en-US" w:eastAsia="zh-CN"/>
        </w:rPr>
        <w:t xml:space="preserve">, 39(7), 551-555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Strauss, A., &amp; Corbin, J. (1990). </w:t>
      </w:r>
      <w:r>
        <w:rPr>
          <w:rFonts w:hint="default" w:ascii="Arial" w:hAnsi="Arial" w:cs="Arial"/>
          <w:i/>
          <w:iCs/>
          <w:sz w:val="24"/>
          <w:szCs w:val="24"/>
          <w:shd w:val="clear" w:color="auto" w:fill="FFFFFF"/>
          <w:lang w:val="en-US" w:eastAsia="zh-CN"/>
        </w:rPr>
        <w:t>Basics of qualitative research: Grounded theory procedures</w:t>
      </w:r>
      <w:r>
        <w:rPr>
          <w:rFonts w:hint="eastAsia" w:ascii="Arial" w:hAnsi="Arial" w:cs="Arial"/>
          <w:i/>
          <w:iCs/>
          <w:sz w:val="24"/>
          <w:szCs w:val="24"/>
          <w:shd w:val="clear" w:color="auto" w:fill="FFFFFF"/>
          <w:lang w:val="en-US" w:eastAsia="zh-CN"/>
        </w:rPr>
        <w:t xml:space="preserve"> </w:t>
      </w:r>
      <w:r>
        <w:rPr>
          <w:rFonts w:hint="default" w:ascii="Arial" w:hAnsi="Arial" w:cs="Arial"/>
          <w:i/>
          <w:iCs/>
          <w:sz w:val="24"/>
          <w:szCs w:val="24"/>
          <w:shd w:val="clear" w:color="auto" w:fill="FFFFFF"/>
          <w:lang w:val="en-US" w:eastAsia="zh-CN"/>
        </w:rPr>
        <w:t>and techniques</w:t>
      </w:r>
      <w:r>
        <w:rPr>
          <w:rFonts w:hint="default" w:ascii="Arial" w:hAnsi="Arial" w:cs="Arial"/>
          <w:sz w:val="24"/>
          <w:szCs w:val="24"/>
          <w:shd w:val="clear" w:color="auto" w:fill="FFFFFF"/>
          <w:lang w:val="en-US" w:eastAsia="zh-CN"/>
        </w:rPr>
        <w:t xml:space="preserve">. Newbury Park, CA: Sage Publications, Inc. </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Wainer, H., &amp; Braun, H. I. (1988). </w:t>
      </w:r>
      <w:r>
        <w:rPr>
          <w:rFonts w:hint="default" w:ascii="Arial" w:hAnsi="Arial" w:cs="Arial"/>
          <w:i/>
          <w:iCs/>
          <w:sz w:val="24"/>
          <w:szCs w:val="24"/>
          <w:shd w:val="clear" w:color="auto" w:fill="FFFFFF"/>
          <w:lang w:val="en-US" w:eastAsia="zh-CN"/>
        </w:rPr>
        <w:t>Test validity.</w:t>
      </w:r>
      <w:r>
        <w:rPr>
          <w:rFonts w:hint="default" w:ascii="Arial" w:hAnsi="Arial" w:cs="Arial"/>
          <w:sz w:val="24"/>
          <w:szCs w:val="24"/>
          <w:shd w:val="clear" w:color="auto" w:fill="FFFFFF"/>
          <w:lang w:val="en-US" w:eastAsia="zh-CN"/>
        </w:rPr>
        <w:t xml:space="preserve"> Hilldale, NJ: Lawrence Earlbaum Associates.</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 xml:space="preserve">Winter, G. (2000). A comparative discussion of the notion of validity in qualitative and quantitative research. </w:t>
      </w:r>
      <w:r>
        <w:rPr>
          <w:rFonts w:hint="default" w:ascii="Arial" w:hAnsi="Arial" w:cs="Arial"/>
          <w:i/>
          <w:iCs/>
          <w:sz w:val="24"/>
          <w:szCs w:val="24"/>
          <w:shd w:val="clear" w:color="auto" w:fill="FFFFFF"/>
          <w:lang w:val="en-US" w:eastAsia="zh-CN"/>
        </w:rPr>
        <w:t>The Qualitative Report</w:t>
      </w:r>
      <w:r>
        <w:rPr>
          <w:rFonts w:hint="default" w:ascii="Arial" w:hAnsi="Arial" w:cs="Arial"/>
          <w:sz w:val="24"/>
          <w:szCs w:val="24"/>
          <w:shd w:val="clear" w:color="auto" w:fill="FFFFFF"/>
          <w:lang w:val="en-US" w:eastAsia="zh-CN"/>
        </w:rPr>
        <w:t>, 4(3&amp;4). Retrieved February 25, 1998, from http://www.nova.edu/ssss/QR/QR4-3/winter.html</w:t>
      </w:r>
    </w:p>
    <w:p>
      <w:pPr>
        <w:keepNext w:val="0"/>
        <w:keepLines w:val="0"/>
        <w:pageBreakBefore w:val="0"/>
        <w:widowControl w:val="0"/>
        <w:kinsoku/>
        <w:wordWrap/>
        <w:overflowPunct/>
        <w:topLinePunct w:val="0"/>
        <w:autoSpaceDE/>
        <w:autoSpaceDN/>
        <w:bidi w:val="0"/>
        <w:adjustRightInd/>
        <w:snapToGrid/>
        <w:spacing w:after="157" w:afterLines="50" w:line="480" w:lineRule="auto"/>
        <w:ind w:left="315" w:leftChars="150"/>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"https://hbr.org/search?term=avivah wittenberg-cox"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Wittenberg-Cox</w:t>
      </w:r>
      <w:r>
        <w:rPr>
          <w:rFonts w:hint="default" w:ascii="Arial" w:hAnsi="Arial" w:cs="Arial"/>
          <w:sz w:val="24"/>
          <w:szCs w:val="24"/>
          <w:shd w:val="clear" w:color="auto" w:fill="FFFFFF"/>
          <w:lang w:val="en-US" w:eastAsia="zh-CN"/>
        </w:rPr>
        <w:fldChar w:fldCharType="end"/>
      </w:r>
      <w:r>
        <w:rPr>
          <w:rFonts w:hint="eastAsia" w:ascii="Arial" w:hAnsi="Arial" w:cs="Arial"/>
          <w:sz w:val="24"/>
          <w:szCs w:val="24"/>
          <w:shd w:val="clear" w:color="auto" w:fill="FFFFFF"/>
          <w:lang w:val="en-US" w:eastAsia="zh-CN"/>
        </w:rPr>
        <w:t xml:space="preserve">, A. (2020) </w:t>
      </w:r>
      <w:r>
        <w:rPr>
          <w:rStyle w:val="13"/>
          <w:rFonts w:hint="default" w:ascii="Arial" w:hAnsi="Arial" w:cs="Arial"/>
          <w:sz w:val="24"/>
          <w:szCs w:val="24"/>
          <w:shd w:val="clear" w:color="auto" w:fill="FFFFFF"/>
          <w:lang w:val="en-GB"/>
        </w:rPr>
        <w:t>‘Will the Pandemic Reshape Notions of Female Leadership?</w:t>
      </w:r>
      <w:r>
        <w:rPr>
          <w:rStyle w:val="13"/>
          <w:rFonts w:hint="default" w:ascii="Arial" w:hAnsi="Arial" w:cs="Arial"/>
          <w:sz w:val="24"/>
          <w:szCs w:val="24"/>
          <w:shd w:val="clear" w:color="auto" w:fill="FFFFFF"/>
        </w:rPr>
        <w:t>’,</w:t>
      </w:r>
      <w:r>
        <w:rPr>
          <w:rStyle w:val="13"/>
          <w:rFonts w:hint="eastAsia" w:ascii="Arial" w:hAnsi="Arial" w:cs="Arial"/>
          <w:sz w:val="24"/>
          <w:szCs w:val="24"/>
          <w:shd w:val="clear" w:color="auto" w:fill="FFFFFF"/>
          <w:lang w:val="en-US" w:eastAsia="zh-CN"/>
        </w:rPr>
        <w:t xml:space="preserve"> </w:t>
      </w:r>
      <w:r>
        <w:rPr>
          <w:rStyle w:val="13"/>
          <w:rFonts w:hint="eastAsia" w:ascii="Arial" w:hAnsi="Arial" w:cs="Arial"/>
          <w:i/>
          <w:iCs/>
          <w:sz w:val="24"/>
          <w:szCs w:val="24"/>
          <w:shd w:val="clear" w:color="auto" w:fill="FFFFFF"/>
          <w:lang w:val="en-US" w:eastAsia="zh-CN"/>
        </w:rPr>
        <w:t xml:space="preserve">Harvard Business Review. </w:t>
      </w:r>
      <w:r>
        <w:rPr>
          <w:rStyle w:val="13"/>
          <w:rFonts w:hint="eastAsia" w:ascii="Arial" w:hAnsi="Arial" w:cs="Arial"/>
          <w:i w:val="0"/>
          <w:iCs w:val="0"/>
          <w:sz w:val="24"/>
          <w:szCs w:val="24"/>
          <w:shd w:val="clear" w:color="auto" w:fill="FFFFFF"/>
          <w:lang w:val="en-US" w:eastAsia="zh-CN"/>
        </w:rPr>
        <w:t xml:space="preserve">Available at: </w:t>
      </w:r>
      <w:r>
        <w:rPr>
          <w:rStyle w:val="12"/>
          <w:rFonts w:hint="default" w:ascii="Arial" w:hAnsi="Arial" w:cs="Arial"/>
          <w:sz w:val="24"/>
          <w:szCs w:val="24"/>
          <w:shd w:val="clear" w:color="auto" w:fill="FFFFFF"/>
        </w:rPr>
        <w:t>https://hbr.org/webinar/2020/10/will-the-pandemic-reshape-notions-of-female-leadership</w:t>
      </w:r>
      <w:r>
        <w:rPr>
          <w:rFonts w:hint="default" w:ascii="Arial" w:hAnsi="Arial" w:cs="Arial"/>
          <w:sz w:val="24"/>
          <w:szCs w:val="24"/>
          <w:shd w:val="clear" w:color="auto" w:fill="FFFFFF"/>
          <w:lang w:val="en-US" w:eastAsia="zh-CN"/>
        </w:rPr>
        <w:t xml:space="preserve"> (Accessed: </w:t>
      </w:r>
      <w:r>
        <w:rPr>
          <w:rFonts w:hint="eastAsia" w:ascii="Arial" w:hAnsi="Arial" w:cs="Arial"/>
          <w:sz w:val="24"/>
          <w:szCs w:val="24"/>
          <w:shd w:val="clear" w:color="auto" w:fill="FFFFFF"/>
          <w:lang w:val="en-US" w:eastAsia="zh-CN"/>
        </w:rPr>
        <w:t>7</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p>
      <w:pPr>
        <w:keepNext w:val="0"/>
        <w:keepLines w:val="0"/>
        <w:pageBreakBefore w:val="0"/>
        <w:widowControl w:val="0"/>
        <w:kinsoku/>
        <w:wordWrap/>
        <w:overflowPunct/>
        <w:topLinePunct w:val="0"/>
        <w:autoSpaceDE/>
        <w:autoSpaceDN/>
        <w:bidi w:val="0"/>
        <w:adjustRightInd/>
        <w:snapToGrid/>
        <w:spacing w:after="157" w:afterLines="50" w:line="480" w:lineRule="auto"/>
        <w:ind w:left="555" w:leftChars="150" w:hanging="240" w:hangingChars="100"/>
        <w:jc w:val="both"/>
        <w:textAlignment w:val="auto"/>
        <w:rPr>
          <w:rFonts w:hint="default" w:ascii="Arial" w:hAnsi="Arial" w:cs="Arial"/>
          <w:sz w:val="24"/>
          <w:szCs w:val="24"/>
          <w:shd w:val="clear" w:color="auto" w:fill="FFFFFF"/>
          <w:lang w:val="en-US" w:eastAsia="zh-CN"/>
        </w:rPr>
      </w:pPr>
      <w:r>
        <w:rPr>
          <w:rFonts w:hint="default" w:ascii="Arial" w:hAnsi="Arial" w:cs="Arial"/>
          <w:sz w:val="24"/>
          <w:szCs w:val="24"/>
          <w:shd w:val="clear" w:color="auto" w:fill="FFFFFF"/>
          <w:lang w:val="en-US" w:eastAsia="zh-CN"/>
        </w:rPr>
        <w:t>World Economic Forum</w:t>
      </w:r>
      <w:r>
        <w:rPr>
          <w:rFonts w:hint="eastAsia" w:ascii="Arial" w:hAnsi="Arial" w:cs="Arial"/>
          <w:sz w:val="24"/>
          <w:szCs w:val="24"/>
          <w:shd w:val="clear" w:color="auto" w:fill="FFFFFF"/>
          <w:lang w:val="en-US" w:eastAsia="zh-CN"/>
        </w:rPr>
        <w:t xml:space="preserve"> (2015).</w:t>
      </w:r>
      <w:r>
        <w:rPr>
          <w:rFonts w:hint="default" w:ascii="Arial" w:hAnsi="Arial" w:cs="Arial"/>
          <w:sz w:val="24"/>
          <w:szCs w:val="24"/>
          <w:shd w:val="clear" w:color="auto" w:fill="FFFFFF"/>
          <w:lang w:val="en-US" w:eastAsia="zh-CN"/>
        </w:rPr>
        <w:t xml:space="preserve"> ‘Gender Parity’</w:t>
      </w:r>
      <w:r>
        <w:rPr>
          <w:rFonts w:hint="eastAsia" w:ascii="Arial" w:hAnsi="Arial" w:cs="Arial"/>
          <w:sz w:val="24"/>
          <w:szCs w:val="24"/>
          <w:shd w:val="clear" w:color="auto" w:fill="FFFFFF"/>
          <w:lang w:val="en-US" w:eastAsia="zh-CN"/>
        </w:rPr>
        <w:t xml:space="preserve">. </w:t>
      </w:r>
      <w:r>
        <w:rPr>
          <w:rStyle w:val="13"/>
          <w:rFonts w:hint="eastAsia" w:ascii="Arial" w:hAnsi="Arial" w:cs="Arial"/>
          <w:i w:val="0"/>
          <w:iCs w:val="0"/>
          <w:sz w:val="24"/>
          <w:szCs w:val="24"/>
          <w:shd w:val="clear" w:color="auto" w:fill="FFFFFF"/>
          <w:lang w:val="en-US" w:eastAsia="zh-CN"/>
        </w:rPr>
        <w:t xml:space="preserve">Available at: </w:t>
      </w:r>
      <w:r>
        <w:rPr>
          <w:rStyle w:val="12"/>
          <w:rFonts w:hint="default" w:ascii="Arial" w:hAnsi="Arial" w:cs="Arial"/>
          <w:sz w:val="24"/>
          <w:szCs w:val="24"/>
          <w:shd w:val="clear" w:color="auto" w:fill="FFFFFF"/>
          <w:lang w:val="en-US" w:eastAsia="zh-CN"/>
        </w:rPr>
        <w:fldChar w:fldCharType="begin"/>
      </w:r>
      <w:r>
        <w:rPr>
          <w:rStyle w:val="12"/>
          <w:rFonts w:hint="default" w:ascii="Arial" w:hAnsi="Arial" w:cs="Arial"/>
          <w:sz w:val="24"/>
          <w:szCs w:val="24"/>
          <w:shd w:val="clear" w:color="auto" w:fill="FFFFFF"/>
          <w:lang w:val="en-US" w:eastAsia="zh-CN"/>
        </w:rPr>
        <w:instrText xml:space="preserve"> HYPERLINK "https://www.weforum.org/agenda/archive/gender-parity" \t "https://direct.mit.edu/daed/article/149/1/236/27304/_blank" </w:instrText>
      </w:r>
      <w:r>
        <w:rPr>
          <w:rStyle w:val="12"/>
          <w:rFonts w:hint="default" w:ascii="Arial" w:hAnsi="Arial" w:cs="Arial"/>
          <w:sz w:val="24"/>
          <w:szCs w:val="24"/>
          <w:shd w:val="clear" w:color="auto" w:fill="FFFFFF"/>
          <w:lang w:val="en-US" w:eastAsia="zh-CN"/>
        </w:rPr>
        <w:fldChar w:fldCharType="separate"/>
      </w:r>
      <w:r>
        <w:rPr>
          <w:rStyle w:val="12"/>
          <w:rFonts w:hint="default" w:ascii="Arial" w:hAnsi="Arial" w:cs="Arial"/>
          <w:sz w:val="24"/>
          <w:szCs w:val="24"/>
          <w:shd w:val="clear" w:color="auto" w:fill="FFFFFF"/>
          <w:lang w:val="en-US" w:eastAsia="zh-CN"/>
        </w:rPr>
        <w:t>https://www.weforum.org/agenda/archive/gender-parity</w:t>
      </w:r>
      <w:r>
        <w:rPr>
          <w:rStyle w:val="12"/>
          <w:rFonts w:hint="default" w:ascii="Arial" w:hAnsi="Arial" w:cs="Arial"/>
          <w:sz w:val="24"/>
          <w:szCs w:val="24"/>
          <w:shd w:val="clear" w:color="auto" w:fill="FFFFFF"/>
          <w:lang w:val="en-US" w:eastAsia="zh-CN"/>
        </w:rPr>
        <w:fldChar w:fldCharType="end"/>
      </w:r>
      <w:r>
        <w:rPr>
          <w:rFonts w:hint="eastAsia" w:ascii="Arial" w:hAnsi="Arial" w:cs="Arial"/>
          <w:b w:val="0"/>
          <w:bCs w:val="0"/>
          <w:sz w:val="24"/>
          <w:szCs w:val="24"/>
          <w:lang w:val="en-US" w:eastAsia="zh-CN"/>
        </w:rPr>
        <w:t xml:space="preserve"> </w:t>
      </w:r>
      <w:r>
        <w:rPr>
          <w:rFonts w:hint="default" w:ascii="Arial" w:hAnsi="Arial" w:cs="Arial"/>
          <w:sz w:val="24"/>
          <w:szCs w:val="24"/>
          <w:shd w:val="clear" w:color="auto" w:fill="FFFFFF"/>
          <w:lang w:val="en-US" w:eastAsia="zh-CN"/>
        </w:rPr>
        <w:t xml:space="preserve">(Accessed: </w:t>
      </w:r>
      <w:r>
        <w:rPr>
          <w:rFonts w:hint="eastAsia" w:ascii="Arial" w:hAnsi="Arial" w:cs="Arial"/>
          <w:sz w:val="24"/>
          <w:szCs w:val="24"/>
          <w:shd w:val="clear" w:color="auto" w:fill="FFFFFF"/>
          <w:lang w:val="en-US" w:eastAsia="zh-CN"/>
        </w:rPr>
        <w:t>1</w:t>
      </w:r>
      <w:r>
        <w:rPr>
          <w:rFonts w:hint="default" w:ascii="Arial" w:hAnsi="Arial" w:cs="Arial"/>
          <w:sz w:val="24"/>
          <w:szCs w:val="24"/>
          <w:shd w:val="clear" w:color="auto" w:fill="FFFFFF"/>
          <w:lang w:val="en-US" w:eastAsia="zh-CN"/>
        </w:rPr>
        <w:t xml:space="preserve"> </w:t>
      </w:r>
      <w:r>
        <w:rPr>
          <w:rFonts w:hint="default" w:ascii="Arial" w:hAnsi="Arial" w:cs="Arial"/>
          <w:sz w:val="24"/>
          <w:szCs w:val="24"/>
          <w:shd w:val="clear" w:color="auto" w:fill="FFFFFF"/>
          <w:lang w:val="en-US" w:eastAsia="zh-CN"/>
        </w:rPr>
        <w:fldChar w:fldCharType="begin"/>
      </w:r>
      <w:r>
        <w:rPr>
          <w:rFonts w:hint="default" w:ascii="Arial" w:hAnsi="Arial" w:cs="Arial"/>
          <w:sz w:val="24"/>
          <w:szCs w:val="24"/>
          <w:shd w:val="clear" w:color="auto" w:fill="FFFFFF"/>
          <w:lang w:val="en-US" w:eastAsia="zh-CN"/>
        </w:rPr>
        <w:instrText xml:space="preserve"> HYPERLINK "C:/Program%20Files%20(x86)/Youdao/Dict/8.9.9.0/resultui/html/index.html" \l "/javascript:;" </w:instrText>
      </w:r>
      <w:r>
        <w:rPr>
          <w:rFonts w:hint="default" w:ascii="Arial" w:hAnsi="Arial" w:cs="Arial"/>
          <w:sz w:val="24"/>
          <w:szCs w:val="24"/>
          <w:shd w:val="clear" w:color="auto" w:fill="FFFFFF"/>
          <w:lang w:val="en-US" w:eastAsia="zh-CN"/>
        </w:rPr>
        <w:fldChar w:fldCharType="separate"/>
      </w:r>
      <w:r>
        <w:rPr>
          <w:rFonts w:hint="default" w:ascii="Arial" w:hAnsi="Arial" w:cs="Arial"/>
          <w:sz w:val="24"/>
          <w:szCs w:val="24"/>
          <w:shd w:val="clear" w:color="auto" w:fill="FFFFFF"/>
          <w:lang w:val="en-US" w:eastAsia="zh-CN"/>
        </w:rPr>
        <w:t>September</w:t>
      </w:r>
      <w:r>
        <w:rPr>
          <w:rFonts w:hint="default" w:ascii="Arial" w:hAnsi="Arial" w:cs="Arial"/>
          <w:sz w:val="24"/>
          <w:szCs w:val="24"/>
          <w:shd w:val="clear" w:color="auto" w:fill="FFFFFF"/>
          <w:lang w:val="en-US" w:eastAsia="zh-CN"/>
        </w:rPr>
        <w:fldChar w:fldCharType="end"/>
      </w:r>
      <w:r>
        <w:rPr>
          <w:rFonts w:hint="default" w:ascii="Arial" w:hAnsi="Arial" w:cs="Arial"/>
          <w:sz w:val="24"/>
          <w:szCs w:val="24"/>
          <w:shd w:val="clear" w:color="auto" w:fill="FFFFFF"/>
          <w:lang w:val="en-US" w:eastAsia="zh-CN"/>
        </w:rPr>
        <w:t xml:space="preserve"> 2021).</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left"/>
      <w:rPr>
        <w:rFonts w:hint="default"/>
        <w:lang w:val="en-US" w:eastAsia="zh-CN"/>
      </w:rP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Xinyu Wang 2010660</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1CE88A"/>
    <w:multiLevelType w:val="multilevel"/>
    <w:tmpl w:val="121CE88A"/>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2AFE070C"/>
    <w:multiLevelType w:val="multilevel"/>
    <w:tmpl w:val="2AFE070C"/>
    <w:lvl w:ilvl="0" w:tentative="0">
      <w:start w:val="1"/>
      <w:numFmt w:val="decimal"/>
      <w:lvlText w:val="%1."/>
      <w:lvlJc w:val="left"/>
      <w:pPr>
        <w:ind w:left="36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4C2E231D"/>
    <w:multiLevelType w:val="multilevel"/>
    <w:tmpl w:val="4C2E231D"/>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B464C3"/>
    <w:rsid w:val="003A6B66"/>
    <w:rsid w:val="01973A63"/>
    <w:rsid w:val="02F72AEC"/>
    <w:rsid w:val="038D51FF"/>
    <w:rsid w:val="03A40E5D"/>
    <w:rsid w:val="03A810CE"/>
    <w:rsid w:val="03F84D6E"/>
    <w:rsid w:val="0431115A"/>
    <w:rsid w:val="046631AC"/>
    <w:rsid w:val="04705226"/>
    <w:rsid w:val="048D43D4"/>
    <w:rsid w:val="058368B9"/>
    <w:rsid w:val="069E33C3"/>
    <w:rsid w:val="079549A8"/>
    <w:rsid w:val="079E79DA"/>
    <w:rsid w:val="07E404E4"/>
    <w:rsid w:val="08B67B26"/>
    <w:rsid w:val="090946A7"/>
    <w:rsid w:val="096925A0"/>
    <w:rsid w:val="098175B4"/>
    <w:rsid w:val="0A781A74"/>
    <w:rsid w:val="0B30059D"/>
    <w:rsid w:val="0BF85B17"/>
    <w:rsid w:val="0C3428DB"/>
    <w:rsid w:val="0D4A53C7"/>
    <w:rsid w:val="0DC90E66"/>
    <w:rsid w:val="0E2E3135"/>
    <w:rsid w:val="0EA004DC"/>
    <w:rsid w:val="0F1A6AA2"/>
    <w:rsid w:val="0F425C30"/>
    <w:rsid w:val="0F6948DC"/>
    <w:rsid w:val="0F7328FB"/>
    <w:rsid w:val="10291C53"/>
    <w:rsid w:val="107318A8"/>
    <w:rsid w:val="110017F4"/>
    <w:rsid w:val="11ED6758"/>
    <w:rsid w:val="12541268"/>
    <w:rsid w:val="12F9219F"/>
    <w:rsid w:val="13255454"/>
    <w:rsid w:val="132C6C2A"/>
    <w:rsid w:val="13655850"/>
    <w:rsid w:val="145E5777"/>
    <w:rsid w:val="14AA708B"/>
    <w:rsid w:val="14AD5701"/>
    <w:rsid w:val="14CB2796"/>
    <w:rsid w:val="14FF6B3F"/>
    <w:rsid w:val="153B1E30"/>
    <w:rsid w:val="162A23A5"/>
    <w:rsid w:val="167A3EB9"/>
    <w:rsid w:val="168A5F8C"/>
    <w:rsid w:val="17B92875"/>
    <w:rsid w:val="19B96FB1"/>
    <w:rsid w:val="1A5D1977"/>
    <w:rsid w:val="1AA01F18"/>
    <w:rsid w:val="1B3E5305"/>
    <w:rsid w:val="1D240EC1"/>
    <w:rsid w:val="1EA76D2F"/>
    <w:rsid w:val="1EBF4057"/>
    <w:rsid w:val="1ED90FF9"/>
    <w:rsid w:val="1F026649"/>
    <w:rsid w:val="1F100A3D"/>
    <w:rsid w:val="1F7C464D"/>
    <w:rsid w:val="1F882FF2"/>
    <w:rsid w:val="220847C2"/>
    <w:rsid w:val="2249378E"/>
    <w:rsid w:val="227B5090"/>
    <w:rsid w:val="22A90669"/>
    <w:rsid w:val="22BA5BB9"/>
    <w:rsid w:val="23035B1D"/>
    <w:rsid w:val="23387CEC"/>
    <w:rsid w:val="23925F7C"/>
    <w:rsid w:val="24055DD8"/>
    <w:rsid w:val="24375A9D"/>
    <w:rsid w:val="24E81842"/>
    <w:rsid w:val="251940F1"/>
    <w:rsid w:val="25627870"/>
    <w:rsid w:val="25FC04CA"/>
    <w:rsid w:val="264E314F"/>
    <w:rsid w:val="26566DDE"/>
    <w:rsid w:val="2687265F"/>
    <w:rsid w:val="26A63077"/>
    <w:rsid w:val="270A06F8"/>
    <w:rsid w:val="27347CDB"/>
    <w:rsid w:val="276E0D2B"/>
    <w:rsid w:val="27BD4DCE"/>
    <w:rsid w:val="27E14F89"/>
    <w:rsid w:val="280478D6"/>
    <w:rsid w:val="28171C5F"/>
    <w:rsid w:val="281C2ACE"/>
    <w:rsid w:val="29257F1A"/>
    <w:rsid w:val="292C4748"/>
    <w:rsid w:val="2A271E6F"/>
    <w:rsid w:val="2A994305"/>
    <w:rsid w:val="2ADC5EA6"/>
    <w:rsid w:val="2BEB156D"/>
    <w:rsid w:val="2C85621E"/>
    <w:rsid w:val="2D5973CD"/>
    <w:rsid w:val="2D5D2A37"/>
    <w:rsid w:val="2D7B74F8"/>
    <w:rsid w:val="2DCA4501"/>
    <w:rsid w:val="2E0B4859"/>
    <w:rsid w:val="2E13617D"/>
    <w:rsid w:val="2E914A46"/>
    <w:rsid w:val="2EA735B4"/>
    <w:rsid w:val="31481D8B"/>
    <w:rsid w:val="31CA2FF8"/>
    <w:rsid w:val="32483130"/>
    <w:rsid w:val="33A74145"/>
    <w:rsid w:val="33B807F1"/>
    <w:rsid w:val="343B1440"/>
    <w:rsid w:val="344F46C1"/>
    <w:rsid w:val="34BC6421"/>
    <w:rsid w:val="34C5033C"/>
    <w:rsid w:val="34C778DA"/>
    <w:rsid w:val="36A1013A"/>
    <w:rsid w:val="36B67FED"/>
    <w:rsid w:val="36C26992"/>
    <w:rsid w:val="36EC22FD"/>
    <w:rsid w:val="36EC36FC"/>
    <w:rsid w:val="393B393D"/>
    <w:rsid w:val="39E91C0C"/>
    <w:rsid w:val="3BEE6060"/>
    <w:rsid w:val="3C8A1488"/>
    <w:rsid w:val="3DCB11A7"/>
    <w:rsid w:val="3E546521"/>
    <w:rsid w:val="3E866D9E"/>
    <w:rsid w:val="3E8F30B3"/>
    <w:rsid w:val="3F013146"/>
    <w:rsid w:val="3F3F5AE1"/>
    <w:rsid w:val="415B477C"/>
    <w:rsid w:val="428D254A"/>
    <w:rsid w:val="42D14530"/>
    <w:rsid w:val="42FB1C14"/>
    <w:rsid w:val="43AE50A8"/>
    <w:rsid w:val="43AF7AF7"/>
    <w:rsid w:val="43B377A8"/>
    <w:rsid w:val="43B543E2"/>
    <w:rsid w:val="43D642DB"/>
    <w:rsid w:val="43E614DC"/>
    <w:rsid w:val="44205342"/>
    <w:rsid w:val="451D7F53"/>
    <w:rsid w:val="453729D1"/>
    <w:rsid w:val="45FE550D"/>
    <w:rsid w:val="461D3BE5"/>
    <w:rsid w:val="465A165E"/>
    <w:rsid w:val="469C5C45"/>
    <w:rsid w:val="47F92F32"/>
    <w:rsid w:val="48096636"/>
    <w:rsid w:val="48873B58"/>
    <w:rsid w:val="4B925186"/>
    <w:rsid w:val="4B930927"/>
    <w:rsid w:val="4C45175F"/>
    <w:rsid w:val="4D4D7F90"/>
    <w:rsid w:val="4D4F201E"/>
    <w:rsid w:val="4D826C05"/>
    <w:rsid w:val="4E380E74"/>
    <w:rsid w:val="4EA85BCC"/>
    <w:rsid w:val="4EEC1BB5"/>
    <w:rsid w:val="4EF02B2D"/>
    <w:rsid w:val="4FE021DE"/>
    <w:rsid w:val="50AC586B"/>
    <w:rsid w:val="517A013D"/>
    <w:rsid w:val="52630BD1"/>
    <w:rsid w:val="52B464C3"/>
    <w:rsid w:val="53AF663A"/>
    <w:rsid w:val="53B83CC0"/>
    <w:rsid w:val="540B3362"/>
    <w:rsid w:val="544762D1"/>
    <w:rsid w:val="54AF700B"/>
    <w:rsid w:val="54E01E46"/>
    <w:rsid w:val="5530721C"/>
    <w:rsid w:val="56361EE1"/>
    <w:rsid w:val="5925160D"/>
    <w:rsid w:val="59BD06F7"/>
    <w:rsid w:val="59CD7278"/>
    <w:rsid w:val="59D30BCB"/>
    <w:rsid w:val="59E3084A"/>
    <w:rsid w:val="59EF5441"/>
    <w:rsid w:val="5A3E0221"/>
    <w:rsid w:val="5A47702B"/>
    <w:rsid w:val="5AD94715"/>
    <w:rsid w:val="5B1769FD"/>
    <w:rsid w:val="5C8B5811"/>
    <w:rsid w:val="5CB159EE"/>
    <w:rsid w:val="5CD07982"/>
    <w:rsid w:val="5D4A5F82"/>
    <w:rsid w:val="5E1E10F4"/>
    <w:rsid w:val="5E394EDC"/>
    <w:rsid w:val="5E7A5C21"/>
    <w:rsid w:val="5EC62313"/>
    <w:rsid w:val="5EFE725F"/>
    <w:rsid w:val="5F1D4B48"/>
    <w:rsid w:val="5F3947C1"/>
    <w:rsid w:val="5F421AF7"/>
    <w:rsid w:val="606506A1"/>
    <w:rsid w:val="60863BD5"/>
    <w:rsid w:val="6293355E"/>
    <w:rsid w:val="62B80BB6"/>
    <w:rsid w:val="632B4C18"/>
    <w:rsid w:val="63C93346"/>
    <w:rsid w:val="63F6306A"/>
    <w:rsid w:val="63F73744"/>
    <w:rsid w:val="64CA4AE0"/>
    <w:rsid w:val="651406E5"/>
    <w:rsid w:val="654A1AF7"/>
    <w:rsid w:val="65892C61"/>
    <w:rsid w:val="67140E65"/>
    <w:rsid w:val="682E182A"/>
    <w:rsid w:val="68F236DC"/>
    <w:rsid w:val="691E6AA5"/>
    <w:rsid w:val="69F148BD"/>
    <w:rsid w:val="6A841BD5"/>
    <w:rsid w:val="6A933644"/>
    <w:rsid w:val="6AE14931"/>
    <w:rsid w:val="6B5C6F13"/>
    <w:rsid w:val="6D035033"/>
    <w:rsid w:val="6E963C85"/>
    <w:rsid w:val="6EA43302"/>
    <w:rsid w:val="6ED13816"/>
    <w:rsid w:val="6F523EB6"/>
    <w:rsid w:val="70762F9A"/>
    <w:rsid w:val="7100019E"/>
    <w:rsid w:val="716817FE"/>
    <w:rsid w:val="719F4376"/>
    <w:rsid w:val="722F2426"/>
    <w:rsid w:val="74F91719"/>
    <w:rsid w:val="74FA3B0A"/>
    <w:rsid w:val="770C71DA"/>
    <w:rsid w:val="77D2670D"/>
    <w:rsid w:val="78022F20"/>
    <w:rsid w:val="78092157"/>
    <w:rsid w:val="787B1CD3"/>
    <w:rsid w:val="7891289A"/>
    <w:rsid w:val="78BF65D7"/>
    <w:rsid w:val="7985204B"/>
    <w:rsid w:val="7A8C47D8"/>
    <w:rsid w:val="7B1A0118"/>
    <w:rsid w:val="7B5B428C"/>
    <w:rsid w:val="7C355B92"/>
    <w:rsid w:val="7D184A91"/>
    <w:rsid w:val="7D836108"/>
    <w:rsid w:val="7EB86981"/>
    <w:rsid w:val="7EE71059"/>
    <w:rsid w:val="7F534272"/>
    <w:rsid w:val="7FE26A2E"/>
    <w:rsid w:val="7FE91E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rPr>
      <w:sz w:val="24"/>
    </w:rPr>
  </w:style>
  <w:style w:type="table" w:styleId="8">
    <w:name w:val="Table Grid"/>
    <w:basedOn w:val="7"/>
    <w:qFormat/>
    <w:uiPriority w:val="39"/>
    <w:pPr>
      <w:spacing w:after="0" w:line="240" w:lineRule="auto"/>
    </w:pPr>
    <w:rPr>
      <w:rFonts w:eastAsiaTheme="minorEastAsia"/>
      <w:lang w:eastAsia="zh-C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yperlink"/>
    <w:basedOn w:val="9"/>
    <w:unhideWhenUsed/>
    <w:qFormat/>
    <w:uiPriority w:val="99"/>
    <w:rPr>
      <w:color w:val="0563C1" w:themeColor="hyperlink"/>
      <w:u w:val="single"/>
      <w14:textFill>
        <w14:solidFill>
          <w14:schemeClr w14:val="hlink"/>
        </w14:solidFill>
      </w14:textFill>
    </w:rPr>
  </w:style>
  <w:style w:type="character" w:customStyle="1" w:styleId="13">
    <w:name w:val="normaltextrun"/>
    <w:basedOn w:val="9"/>
    <w:qFormat/>
    <w:uiPriority w:val="0"/>
  </w:style>
  <w:style w:type="paragraph" w:styleId="14">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2021-08-30T07:06:00Z</dcterms:created>
  <dc:creator>Administrator</dc:creator>
  <cp:lastModifiedBy>i'm creepy</cp:lastModifiedBy>
  <dcterms:modified xsi:type="dcterms:W3CDTF">2022-02-03T17:06:06Z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3CB8847D346C4C52BE08505037506B94</vt:lpwstr>
  </property>
</Properties>
</file>