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B9749" w14:textId="77777777" w:rsidR="00742C4C" w:rsidRDefault="00742C4C" w:rsidP="00742C4C">
      <w:pPr>
        <w:tabs>
          <w:tab w:val="left" w:pos="2295"/>
        </w:tabs>
        <w:rPr>
          <w:b/>
          <w:sz w:val="68"/>
          <w:szCs w:val="68"/>
        </w:rPr>
      </w:pPr>
      <w:r>
        <w:rPr>
          <w:b/>
          <w:sz w:val="68"/>
          <w:szCs w:val="68"/>
        </w:rPr>
        <w:tab/>
      </w:r>
    </w:p>
    <w:p w14:paraId="5382A6D4" w14:textId="77777777" w:rsidR="00742C4C" w:rsidRDefault="00742C4C" w:rsidP="00742C4C">
      <w:pPr>
        <w:jc w:val="center"/>
        <w:rPr>
          <w:b/>
          <w:bCs/>
          <w:sz w:val="40"/>
          <w:szCs w:val="30"/>
        </w:rPr>
      </w:pPr>
    </w:p>
    <w:p w14:paraId="23D534F8" w14:textId="77777777" w:rsidR="00742C4C" w:rsidRDefault="00742C4C" w:rsidP="00742C4C">
      <w:pPr>
        <w:tabs>
          <w:tab w:val="left" w:pos="2295"/>
        </w:tabs>
        <w:rPr>
          <w:b/>
          <w:sz w:val="68"/>
          <w:szCs w:val="68"/>
        </w:rPr>
      </w:pPr>
    </w:p>
    <w:p w14:paraId="3DBFF732" w14:textId="1E1AA30D" w:rsidR="00742C4C" w:rsidRPr="00742C4C" w:rsidRDefault="00742C4C" w:rsidP="00742C4C">
      <w:pPr>
        <w:tabs>
          <w:tab w:val="left" w:pos="2295"/>
        </w:tabs>
        <w:jc w:val="center"/>
        <w:rPr>
          <w:b/>
          <w:sz w:val="44"/>
          <w:szCs w:val="44"/>
        </w:rPr>
      </w:pPr>
      <w:r w:rsidRPr="00742C4C">
        <w:rPr>
          <w:b/>
          <w:sz w:val="44"/>
          <w:szCs w:val="44"/>
        </w:rPr>
        <w:t>Component 2: Coursework: Essay</w:t>
      </w:r>
    </w:p>
    <w:tbl>
      <w:tblPr>
        <w:tblStyle w:val="GridTable5Dark-Accent5"/>
        <w:tblpPr w:leftFromText="180" w:rightFromText="180" w:vertAnchor="text" w:horzAnchor="margin" w:tblpY="327"/>
        <w:tblW w:w="9226" w:type="dxa"/>
        <w:tblInd w:w="0" w:type="dxa"/>
        <w:tblLook w:val="04A0" w:firstRow="1" w:lastRow="0" w:firstColumn="1" w:lastColumn="0" w:noHBand="0" w:noVBand="1"/>
      </w:tblPr>
      <w:tblGrid>
        <w:gridCol w:w="4613"/>
        <w:gridCol w:w="4613"/>
      </w:tblGrid>
      <w:tr w:rsidR="00742C4C" w14:paraId="72439D7C" w14:textId="77777777" w:rsidTr="00742C4C">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FABF8F" w:themeFill="accent6" w:themeFillTint="99"/>
          </w:tcPr>
          <w:p w14:paraId="1C881A95" w14:textId="77777777" w:rsidR="00742C4C" w:rsidRPr="00DB736F" w:rsidRDefault="00742C4C" w:rsidP="00742C4C">
            <w:pPr>
              <w:rPr>
                <w:szCs w:val="24"/>
              </w:rPr>
            </w:pPr>
            <w:r>
              <w:rPr>
                <w:szCs w:val="24"/>
              </w:rPr>
              <w:t>Course Title</w:t>
            </w:r>
          </w:p>
        </w:tc>
        <w:tc>
          <w:tcPr>
            <w:tcW w:w="4613" w:type="dxa"/>
            <w:tcBorders>
              <w:left w:val="single" w:sz="4" w:space="0" w:color="FFFFFF" w:themeColor="background1"/>
              <w:bottom w:val="single" w:sz="4" w:space="0" w:color="FFFFFF" w:themeColor="background1"/>
            </w:tcBorders>
            <w:shd w:val="clear" w:color="auto" w:fill="FABF8F" w:themeFill="accent6" w:themeFillTint="99"/>
          </w:tcPr>
          <w:p w14:paraId="2C707BA1" w14:textId="77777777" w:rsidR="00742C4C" w:rsidRPr="009A2EBC" w:rsidRDefault="00742C4C" w:rsidP="00742C4C">
            <w:pPr>
              <w:cnfStyle w:val="100000000000" w:firstRow="1" w:lastRow="0" w:firstColumn="0" w:lastColumn="0" w:oddVBand="0" w:evenVBand="0" w:oddHBand="0" w:evenHBand="0" w:firstRowFirstColumn="0" w:firstRowLastColumn="0" w:lastRowFirstColumn="0" w:lastRowLastColumn="0"/>
            </w:pPr>
            <w:r>
              <w:t>Project management</w:t>
            </w:r>
          </w:p>
        </w:tc>
      </w:tr>
      <w:tr w:rsidR="00742C4C" w14:paraId="64EBAA34" w14:textId="77777777" w:rsidTr="00742C4C">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26FDA19F" w14:textId="77777777" w:rsidR="00742C4C" w:rsidRPr="00DB736F" w:rsidRDefault="00742C4C" w:rsidP="00742C4C">
            <w:pPr>
              <w:rPr>
                <w:b w:val="0"/>
                <w:bCs w:val="0"/>
                <w:szCs w:val="24"/>
              </w:rPr>
            </w:pPr>
            <w:r w:rsidRPr="00DB736F">
              <w:rPr>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6B2E291A" w14:textId="77777777" w:rsidR="00742C4C" w:rsidRDefault="00742C4C" w:rsidP="00742C4C">
            <w:pPr>
              <w:cnfStyle w:val="000000100000" w:firstRow="0" w:lastRow="0" w:firstColumn="0" w:lastColumn="0" w:oddVBand="0" w:evenVBand="0" w:oddHBand="1" w:evenHBand="0" w:firstRowFirstColumn="0" w:firstRowLastColumn="0" w:lastRowFirstColumn="0" w:lastRowLastColumn="0"/>
            </w:pPr>
            <w:r>
              <w:t>LCBB5005</w:t>
            </w:r>
          </w:p>
        </w:tc>
      </w:tr>
      <w:tr w:rsidR="00742C4C" w14:paraId="1C650CD4" w14:textId="77777777" w:rsidTr="00742C4C">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3FED6C20" w14:textId="77777777" w:rsidR="00742C4C" w:rsidRPr="00DB736F" w:rsidRDefault="00742C4C" w:rsidP="00742C4C">
            <w:pPr>
              <w:rPr>
                <w:b w:val="0"/>
                <w:bCs w:val="0"/>
                <w:szCs w:val="24"/>
              </w:rPr>
            </w:pPr>
            <w:r w:rsidRPr="00DB736F">
              <w:rPr>
                <w:b w:val="0"/>
                <w:bCs w:val="0"/>
                <w:szCs w:val="24"/>
              </w:rPr>
              <w:t>Tutor</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1259DC4C" w14:textId="77777777" w:rsidR="00742C4C" w:rsidRPr="00742C4C" w:rsidRDefault="00742C4C" w:rsidP="00742C4C">
            <w:pPr>
              <w:cnfStyle w:val="000000000000" w:firstRow="0" w:lastRow="0" w:firstColumn="0" w:lastColumn="0" w:oddVBand="0" w:evenVBand="0" w:oddHBand="0" w:evenHBand="0" w:firstRowFirstColumn="0" w:firstRowLastColumn="0" w:lastRowFirstColumn="0" w:lastRowLastColumn="0"/>
              <w:rPr>
                <w:szCs w:val="22"/>
              </w:rPr>
            </w:pPr>
            <w:r w:rsidRPr="00742C4C">
              <w:rPr>
                <w:rFonts w:cs="Segoe UI"/>
                <w:szCs w:val="22"/>
                <w:shd w:val="clear" w:color="auto" w:fill="F8F9FA"/>
              </w:rPr>
              <w:t>Sadeque Imam Shaikh</w:t>
            </w:r>
          </w:p>
        </w:tc>
      </w:tr>
      <w:tr w:rsidR="00742C4C" w14:paraId="0E723578" w14:textId="77777777" w:rsidTr="00742C4C">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6BA9E3D9" w14:textId="77777777" w:rsidR="00742C4C" w:rsidRPr="00DB736F" w:rsidRDefault="00742C4C" w:rsidP="00742C4C">
            <w:pPr>
              <w:rPr>
                <w:b w:val="0"/>
                <w:bCs w:val="0"/>
                <w:szCs w:val="24"/>
              </w:rPr>
            </w:pPr>
            <w:r w:rsidRPr="00DB736F">
              <w:rPr>
                <w:b w:val="0"/>
                <w:bCs w:val="0"/>
                <w:szCs w:val="24"/>
              </w:rPr>
              <w:t>Student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6F96FCEE" w14:textId="77777777" w:rsidR="00742C4C" w:rsidRDefault="00742C4C" w:rsidP="00742C4C">
            <w:pPr>
              <w:cnfStyle w:val="000000100000" w:firstRow="0" w:lastRow="0" w:firstColumn="0" w:lastColumn="0" w:oddVBand="0" w:evenVBand="0" w:oddHBand="1" w:evenHBand="0" w:firstRowFirstColumn="0" w:firstRowLastColumn="0" w:lastRowFirstColumn="0" w:lastRowLastColumn="0"/>
            </w:pPr>
            <w:r>
              <w:t>Diana Gabriela Bucataru</w:t>
            </w:r>
          </w:p>
        </w:tc>
      </w:tr>
      <w:tr w:rsidR="00742C4C" w14:paraId="18BC8392" w14:textId="77777777" w:rsidTr="00742C4C">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6DDE8" w:themeFill="accent5" w:themeFillTint="66"/>
            <w:hideMark/>
          </w:tcPr>
          <w:p w14:paraId="4E79EB93" w14:textId="77777777" w:rsidR="00742C4C" w:rsidRPr="00DB736F" w:rsidRDefault="00742C4C" w:rsidP="00742C4C">
            <w:pPr>
              <w:rPr>
                <w:b w:val="0"/>
                <w:bCs w:val="0"/>
                <w:szCs w:val="24"/>
              </w:rPr>
            </w:pPr>
            <w:r w:rsidRPr="00DB736F">
              <w:rPr>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64F3BF9" w14:textId="77777777" w:rsidR="00742C4C" w:rsidRDefault="00742C4C" w:rsidP="00742C4C">
            <w:pPr>
              <w:cnfStyle w:val="000000000000" w:firstRow="0" w:lastRow="0" w:firstColumn="0" w:lastColumn="0" w:oddVBand="0" w:evenVBand="0" w:oddHBand="0" w:evenHBand="0" w:firstRowFirstColumn="0" w:firstRowLastColumn="0" w:lastRowFirstColumn="0" w:lastRowLastColumn="0"/>
            </w:pPr>
            <w:r>
              <w:t>2122807</w:t>
            </w:r>
          </w:p>
        </w:tc>
      </w:tr>
    </w:tbl>
    <w:p w14:paraId="74D6FC0F" w14:textId="77777777" w:rsidR="00742C4C" w:rsidRDefault="00742C4C" w:rsidP="00742C4C">
      <w:pPr>
        <w:tabs>
          <w:tab w:val="left" w:pos="2295"/>
        </w:tabs>
        <w:rPr>
          <w:b/>
          <w:sz w:val="68"/>
          <w:szCs w:val="68"/>
        </w:rPr>
      </w:pPr>
    </w:p>
    <w:p w14:paraId="00000002" w14:textId="77777777" w:rsidR="007033FF" w:rsidRDefault="007033FF">
      <w:pPr>
        <w:jc w:val="center"/>
        <w:rPr>
          <w:b/>
          <w:sz w:val="68"/>
          <w:szCs w:val="68"/>
        </w:rPr>
      </w:pPr>
    </w:p>
    <w:p w14:paraId="00000003" w14:textId="77777777" w:rsidR="007033FF" w:rsidRDefault="007033FF">
      <w:pPr>
        <w:jc w:val="center"/>
        <w:rPr>
          <w:b/>
          <w:sz w:val="68"/>
          <w:szCs w:val="68"/>
        </w:rPr>
      </w:pPr>
    </w:p>
    <w:p w14:paraId="00000005" w14:textId="77777777" w:rsidR="007033FF" w:rsidRDefault="00000000">
      <w:r>
        <w:t xml:space="preserve">Assessment 1 was a thorough project management evaluation which conducted tech giant Google’s effort to develop their new headquarters in London, United Kingdom. This report analysed several aspects of the projects which are essential. These aspects include budget, scheduling, quality control and stakeholder management along with risk management. Based on that work from the previous analysis, this report will attempt to assess the narrative of the project as a whole with the consideration of long term impact of the project undertaken. The assessment will first try to provide a detailed narrative and justification on the stance that have taken throughout this essay on the project’s impacts and outcomes. As the stance is considered that this project will result in a net positive </w:t>
      </w:r>
      <w:r>
        <w:lastRenderedPageBreak/>
        <w:t xml:space="preserve">outcome for the UK economy and industry as a whole in many dimensions such as job creation, channel development, people recruitments and signalling effects for other organisations which comprises especially competitors to support the stance that have been taken. Although the project has to face some gargantuan challenges which include increased costing, as an organisation of Google’s calibre can mitigate these possible risks through a comprehensive planning and professional project management which are best in the business as they have access to a vast capital. The final part of the report will consist of lessons that can be learned from this project for such future large scale developments. The justification will highlight some major aspects of learning and development for project managers in case of such large scale project management operators. The recommendations will focus on sustainable development and with a long term orientation and fostering the long term culture that google develops as an organisation. The overall intention is to view the case study through perspectives of both project-specific and wider sectoral success. </w:t>
      </w:r>
    </w:p>
    <w:p w14:paraId="00000006" w14:textId="77777777" w:rsidR="007033FF" w:rsidRDefault="007033FF"/>
    <w:p w14:paraId="00000007" w14:textId="77777777" w:rsidR="007033FF" w:rsidRDefault="00000000">
      <w:r>
        <w:t xml:space="preserve">As stated in the introduction, the project can be viewed as a success due to a plethora of reasons. As Google is one of the largest organisations in the world with a huge product and service portfolio, they have access to a large amount of equity and capital which can be invested into the project with a long term orientation (Miric, 2023). This aspect along with the culture of Google, they are able to sustain any sort of unforeseen situation  with ease. This section will therefore cover the justification for the positive narrative that is undertaken throughout the essay. </w:t>
      </w:r>
    </w:p>
    <w:p w14:paraId="00000008" w14:textId="77777777" w:rsidR="007033FF" w:rsidRDefault="007033FF"/>
    <w:p w14:paraId="00000009" w14:textId="77777777" w:rsidR="007033FF" w:rsidRDefault="00000000">
      <w:r>
        <w:t xml:space="preserve">One of the most important impacts of the Google headquarters project is the substantial economic and employment benefits it will generate. In the analysis done in the previous assessment, the new project of building or establishment can hold a capacity of 4500 employees with full operational capability. Considering the huge number of employees being accommodated in this facility, this will create a large amount of demand for technical workforce around London and most importantly through the United Kingdom (Kelly, 2023). With Google’s brand value and global reputation this can create further interest in people aspiring to enter the future job market. This large number of employees in roles </w:t>
      </w:r>
      <w:r>
        <w:lastRenderedPageBreak/>
        <w:t xml:space="preserve">such as technical field of engineering, software development and corporate functions will increase the employability of Google in the United Kingdom. In addition to this, with the project undertaken, this can also create additional roles which are not directly connected to that of Google such as construction, service and facilities management as it can become a great ecosystem for the communities around. This environment can further ensure catalytic employment effects which can have a long term impact. In addition to job creation, there is another benefit which will directly impact the economy of England or the UK. Following the financial crisis of both the pandemic and Brexit the Bank of England with help from the government is trying to neutralise the dire situation through a series of monetary and fiscal policy (Frost, 2023). Most notably to reduce the situation of inflation, the high level of interest rate has slowed down the economy significantly as the cost of borrowing is high in the last two years (Reese, 2023). This aspect has been reflected in the job market with reduced employment by organisation of all industries. In the case of a global giant such that of Google entering the industry will increase employment opportunities and will attempt to attract and retain the best possible talents within the UK. The supporting jobs will also create a positive outcome in terms of consumer spending and personal expenditure. This can boost local businesses and stimulate broader economic activity within the United Kingdom. Specifically regarding the Knowledge Quarter area, the influx of a workforce of Google's calibre will significantly enhance the emerging cluster of technology and innovation firms in the vicinity (Al-Khalaf, 2023). The concentration of skilled technology workers employed at the new headquarters and nearby startups/scaleups can help cement the area as a global hub through synergies and spillover effects. By expanding their operations in London in such a way, Google can ensure their ongoing commitment to doing business for their prominent business such as the UK. </w:t>
      </w:r>
    </w:p>
    <w:p w14:paraId="0000000A" w14:textId="77777777" w:rsidR="007033FF" w:rsidRDefault="007033FF"/>
    <w:p w14:paraId="0000000B" w14:textId="77777777" w:rsidR="007033FF" w:rsidRDefault="00000000">
      <w:r>
        <w:t xml:space="preserve">The previous part of the essay discussed the tangible benefits of the expansion project such as employment and economic benefit for the area of London and the United Kingdom as a whole. This section will cover how it aligns well with Google’s long term strategic objectives. London is one of the largest cities in the world and a global hub for finance, technology and innovation. This allows London to be one of the largest talent </w:t>
      </w:r>
      <w:r>
        <w:lastRenderedPageBreak/>
        <w:t xml:space="preserve">hubs and partnership areas. As they will be placing themselves in such a major city through such a project, this can leverage this for gathering some major strategic advantages. The ecosystem mentioned in the previous part can play a great role in the strategic aim for google. As the project aims to sit at the heart of London which is a tech city and Knowledge quarter, this provides direct access to some of the key stakeholders such as the startup community, renowned academic institutions, and a diverse network of established tech firms. Such an environment can foster collaboration, idea development while keeping Google as an organisation informed through informal access to information. The possibility of accessing this ecosystem can help Google in several ways. Another strategic advantage of this is the expansion of Google’s footprint and operational ability within the continent. With this major commitment, this can help google not only from an operational perspective but also to comply with the European Customer based demands. This additional set stage for the recruitment and service of a more niche and specific client and enter into partnerships with European organisations (Haskel and Martin, 2023). As they have chosen London for this expansion according to the project in one of the top three global markets for tech and investment, the presence of Google will be amplified with great strength. It can create a major signalling effect in favour of Google within the continent and show their commitment into developing the future of technology alongside the UK innovations and goals. </w:t>
      </w:r>
    </w:p>
    <w:p w14:paraId="0000000C" w14:textId="77777777" w:rsidR="007033FF" w:rsidRDefault="007033FF"/>
    <w:p w14:paraId="0000000D" w14:textId="77777777" w:rsidR="007033FF" w:rsidRDefault="00000000">
      <w:r>
        <w:t xml:space="preserve">The signalling effect mentioned in the previous section is also present for the overall competitive scenario is applicable from an investment perspective for this project. This  significant investment of capital and resources will deliver tangible benefits to boost the competitiveness of the UK's domestic technology industry and economy. The scale of this project will send a strong signal to the competitors such as Microsoft, Apple etc about London being a major destination for innovation and tech industry. This effect will reflect as organisations will evaluate London as an attractive base and thus it will increase the confidence for the economic situation of the UK. This can have several follow-on impacts which will encourage wider flows of employment generation and thus boost foreign direct investment and R&amp;D expenditure for high growth sectors such as technology. This strengthens domestic capabilities across a variety of cutting-edge technology fields now </w:t>
      </w:r>
      <w:r>
        <w:lastRenderedPageBreak/>
        <w:t xml:space="preserve">and into the future as skills transfer between Google and the wider workforce (Ekh, 2023). The knowledge quarter area that has been discussed previously will ensure a collaboration between startups and scaleups with Google which can create linkage and ensure the sustainable growth and development of the technology industry within the United Kingdom. These competitiveness impacts help reinforce the UK's position at the forefront of the global digital transformation and growing technologies </w:t>
      </w:r>
    </w:p>
    <w:p w14:paraId="0000000E" w14:textId="77777777" w:rsidR="007033FF" w:rsidRDefault="007033FF"/>
    <w:p w14:paraId="0000000F" w14:textId="77777777" w:rsidR="007033FF" w:rsidRDefault="007033FF">
      <w:pPr>
        <w:pStyle w:val="Heading1"/>
      </w:pPr>
      <w:bookmarkStart w:id="0" w:name="_flfxqjv7x6dd" w:colFirst="0" w:colLast="0"/>
      <w:bookmarkEnd w:id="0"/>
    </w:p>
    <w:p w14:paraId="00000010" w14:textId="77777777" w:rsidR="007033FF" w:rsidRDefault="00000000">
      <w:r>
        <w:t xml:space="preserve">As the opportunities have been discussed, it can also be said that there are some major challenges that require major attention from Google. These challenges and risks arise from both investment and project management perspectives for the organisation. As there are many outside stakeholders involved in the overall project, the coordination requires utmost precision and careful planning to minimise the possible risks. </w:t>
      </w:r>
    </w:p>
    <w:p w14:paraId="00000011" w14:textId="77777777" w:rsidR="007033FF" w:rsidRDefault="007033FF"/>
    <w:p w14:paraId="00000012" w14:textId="77777777" w:rsidR="007033FF" w:rsidRDefault="00000000">
      <w:r>
        <w:t xml:space="preserve">Coordination of the project which is of major scale requires significant investment of capital, time and resources. All these combined, the oversight required for construction and management of the facility is enormous. In addition to that there are key aspects discussed in the first assessment such as stakeholder engagement, budgeting and resourcing. Ensuring alignment of such stakeholders requires detailed planning and thus essential to reduce distractions which can hamper the project’s progress (Cristóbal, 2017). Unforeseen delays are part of any project. In case of such large scale operations delays and cost overruns occur on large construction initiatives. As the economy of the UK is not ideal for conducting such a major scale of operations, contingency strategies and lengthy timeline exposes the projects to systematic risks. The final project management risk is communication. Considering the brand reputation and large equity of Google, the communication needs to be precise with nearby area residents and regulatory bodies. The project can hamper traffic and thus to manage this effective cultural communication is a key for managing stakeholder sentiment. </w:t>
      </w:r>
    </w:p>
    <w:p w14:paraId="00000013" w14:textId="77777777" w:rsidR="007033FF" w:rsidRDefault="007033FF"/>
    <w:p w14:paraId="00000014" w14:textId="77777777" w:rsidR="007033FF" w:rsidRDefault="007033FF"/>
    <w:p w14:paraId="00000015" w14:textId="77777777" w:rsidR="007033FF" w:rsidRDefault="00000000">
      <w:r>
        <w:lastRenderedPageBreak/>
        <w:t>Spillover effect is one of the major concerns for expansion projects such as this. Spillover effect can refer to a positive or negative economic, social or political impact which can occur across a location or region due to an event occurring (Van Der Werff and Steg, 2018). In case of ensuring a positive spillover for this project by Google, the most important role needs to be played by the government and the local agencies. Without a proper and proactive approach to promote the suppliers with linkages and supporting the local SMEs which can generate economic benefit needs to be ensured if not handled in the early stages through contracts and regulations implementation. Clustering advantages and robust skills exchange with the startup community may not be fully implemented without intentional and care facilitation (Kerzner, 2023). These clusters serve as organic phenomena which requires establishing and mentioning connections between parties in order to generate longer term benefits. Another aspect of this expansion is manning Google’s long term strategic interest in the region of the UK and London specifically. With the impact of Globalisation and with economic boom in regions such as South East Asia, the government of the UK risks slowing without appropriate economic initiatives through both monetary and fiscal policy. The area's growth hinges on Google's sustained presence out to 2030 and beyond. The area's growth hinges on Google's sustained presence out to 2030 and beyond. Therefore, proactive partnership between Google and UK authorities is essential for ensuring and sustaining local success.</w:t>
      </w:r>
    </w:p>
    <w:p w14:paraId="00000016" w14:textId="77777777" w:rsidR="007033FF" w:rsidRDefault="007033FF"/>
    <w:p w14:paraId="00000017" w14:textId="77777777" w:rsidR="007033FF" w:rsidRDefault="007033FF"/>
    <w:p w14:paraId="00000018" w14:textId="77777777" w:rsidR="007033FF" w:rsidRDefault="00000000">
      <w:r>
        <w:t xml:space="preserve">Running such a large operation allowed the project manager to get valuable insights. Much of their achievement may be attributed to the thorough research they had done before, which included studying other prominent colleges. Stakeholders' early and ongoing involvement also contributed to the process's streamlining. Even though careful planning was necessary, they were able to handle challenges when faced with unforeseen delays by being flexible. </w:t>
      </w:r>
    </w:p>
    <w:p w14:paraId="00000019" w14:textId="77777777" w:rsidR="007033FF" w:rsidRDefault="007033FF"/>
    <w:p w14:paraId="0000001A" w14:textId="77777777" w:rsidR="007033FF" w:rsidRDefault="00000000">
      <w:r>
        <w:t xml:space="preserve">Any project of this scale demands extensive planning and management to avoid a multitude of difficulties that might arise. Most of the issues that were impacting earlier projects were similar, according to the study conducted on earlier large technology </w:t>
      </w:r>
      <w:r>
        <w:lastRenderedPageBreak/>
        <w:t>campuses. Delays in construction, unforeseen costs, and challenges with partner coordination were all part of these issues. Thorough planning was obviously going to be crucial right from the start. Google learned from both successful and failed attempts by doing a thorough review of similar innovations. In order to come up with comprehensive backup plans, they investigated infrastructure, stakeholder difficulties, and sustainability considerations.  A rollout schedule with buffers was devised to accommodate uncertainties; it covers several years. A twenty percent contingency reserve was part of the meticulous preparation that prevented cost overruns. Throughout the implementation phase, robust governance procedures and regular progress reports were employed to keep all of the teams aligned. Covid-19 and other unexpected problems were still caused by the extended schedule, but thorough risk preparedness mitigated their impact. By adjusting deadlines when needed, Google demonstrated its flexibility. They argued that flexibility in the face of changing circumstances was more important than inflexibility. This focus on continuous evaluation is in line with knowledge acquired from other sources. Similar large technology campuses were able to overcome unforeseen challenges and achieve long-term success by using responsive management approaches, calibrating as they went, and troubleshooting as they went.  Google provided a model for how to handle complex projects with long-term economic impacts through its careful planning and monitoring of risks. They are showing great promise for the project's future success by prioritizing knowledge acquisition at every level.</w:t>
      </w:r>
    </w:p>
    <w:p w14:paraId="0000001B" w14:textId="77777777" w:rsidR="007033FF" w:rsidRDefault="00000000">
      <w:r>
        <w:t xml:space="preserve">The research concluded that in order to fully achieve economic potential through technology-driven growth, partnerships are crucial. Those innovation clusters that fostered active collaboration among anchor firms, startups, universities, and government agencies were among the most effective. The potential to employ a clustering method that intentionally fostered links was one of the opportunities that Google saw. As part of their project management approach, they incorporated strategies to optimize the spillover effects. Training programs were established to better equip local employees for occupations that need a high degree of knowledge. The esteemed educational institutions in the area will be the sites of collaborative research initiatives. Issues including accessibility and sustainability will be tackled by Google in collaboration with UCL, KCL, and Imperial. Concurrently enhancing capacities, these developments bolster London's </w:t>
      </w:r>
      <w:r>
        <w:lastRenderedPageBreak/>
        <w:t>reputation as a global center. Programs that encourage the development of suppliers and mentorship are helping to cultivate the growth of potential local technology SMEs. Google and neighboring businesses will set up specific collaborative spaces to promote idea exchange. Supporting local companies as they grow is a great approach to boost the area's economy and credibility in the long run. The construction of long-term advantages for the region relied on policies that deliberately used Google's investment through entrepreneurial initiatives, infrastructural investment, and talent acquisition schemes. Through deliberate prioritization of ties comparable to those that enable other top hubs to thrive, Google ensured that the consequences of their campus would not remain isolated. Instead, they ensured that their campus would make the most of its potential long-term impact on economic development by encouraging endogenous growth through cross-level cooperation.</w:t>
      </w:r>
    </w:p>
    <w:p w14:paraId="0000001C" w14:textId="77777777" w:rsidR="007033FF" w:rsidRDefault="007033FF"/>
    <w:p w14:paraId="0000001D" w14:textId="77777777" w:rsidR="007033FF" w:rsidRDefault="00000000">
      <w:r>
        <w:t xml:space="preserve">As it was seen from the analysis of assessment 1, the new project undertaken by Google in the area of London will require rigorous project management to address budgeting, scheduling, quality control and stakeholder concerns throughout construction. This assessment however, analysed the situation from a broader perspective and outside outlook. The long term orientation and strategic impacts are two of the core focuses of the area. Being a large organisation such as Google, they can definitely foster collaboration flexibility and expansion through this project. The project’s outcome can also benefit both Google and the economy of related areas and the UK as a whole. The following recommendations can be made based on the discussion. </w:t>
      </w:r>
    </w:p>
    <w:p w14:paraId="0000001E" w14:textId="77777777" w:rsidR="007033FF" w:rsidRDefault="007033FF"/>
    <w:p w14:paraId="0000001F" w14:textId="77777777" w:rsidR="007033FF" w:rsidRDefault="00000000">
      <w:pPr>
        <w:numPr>
          <w:ilvl w:val="0"/>
          <w:numId w:val="1"/>
        </w:numPr>
      </w:pPr>
      <w:r>
        <w:t xml:space="preserve">Conduct thorough comparative case study research on previous large-scale technology campus initiatives to learn from their successes and failures. </w:t>
      </w:r>
    </w:p>
    <w:p w14:paraId="00000020" w14:textId="77777777" w:rsidR="007033FF" w:rsidRDefault="00000000">
      <w:pPr>
        <w:numPr>
          <w:ilvl w:val="0"/>
          <w:numId w:val="1"/>
        </w:numPr>
      </w:pPr>
      <w:r>
        <w:t>To guarantee alignment throughout the project's planning and execution phases, it is vital to establish early and ongoing communication with key local stakeholders including community groups, government agencies, universities, and potential industrial partners.</w:t>
      </w:r>
    </w:p>
    <w:p w14:paraId="00000021" w14:textId="77777777" w:rsidR="007033FF" w:rsidRDefault="00000000">
      <w:pPr>
        <w:numPr>
          <w:ilvl w:val="0"/>
          <w:numId w:val="1"/>
        </w:numPr>
      </w:pPr>
      <w:r>
        <w:t xml:space="preserve">Economic development policies that deliberately take advantage of spillovers from anchor investments, supply chain alliances, training programs, and research and </w:t>
      </w:r>
      <w:r>
        <w:lastRenderedPageBreak/>
        <w:t>development collaborations are all good ways to proactively promote cluster growth.</w:t>
      </w:r>
    </w:p>
    <w:p w14:paraId="00000022" w14:textId="77777777" w:rsidR="007033FF" w:rsidRDefault="00000000">
      <w:pPr>
        <w:numPr>
          <w:ilvl w:val="0"/>
          <w:numId w:val="1"/>
        </w:numPr>
      </w:pPr>
      <w:r>
        <w:t>Long-term, sustainable growth of the region's innovation ecosystem may be achieved by concerted efforts to foster cooperation among the principal developer/anchor company, local startups, academic institutions, and government agencies.</w:t>
      </w:r>
    </w:p>
    <w:p w14:paraId="00000023" w14:textId="77777777" w:rsidR="007033FF" w:rsidRDefault="00000000">
      <w:pPr>
        <w:numPr>
          <w:ilvl w:val="0"/>
          <w:numId w:val="1"/>
        </w:numPr>
      </w:pPr>
      <w:r>
        <w:t>Over the course of the project's life span—which might be years—keep a close eye on project milestones, economic effects, issues, and stakeholder sentiment; adjust schedules, management styles, and partnership methods as needed.</w:t>
      </w:r>
    </w:p>
    <w:p w14:paraId="00000024" w14:textId="77777777" w:rsidR="007033FF" w:rsidRDefault="007033FF"/>
    <w:p w14:paraId="00000025" w14:textId="77777777" w:rsidR="007033FF" w:rsidRDefault="00000000">
      <w:pPr>
        <w:pStyle w:val="Heading1"/>
      </w:pPr>
      <w:bookmarkStart w:id="1" w:name="_hsjuj4c6srcc" w:colFirst="0" w:colLast="0"/>
      <w:bookmarkEnd w:id="1"/>
      <w:r>
        <w:br w:type="page"/>
      </w:r>
    </w:p>
    <w:p w14:paraId="00000026" w14:textId="77777777" w:rsidR="007033FF" w:rsidRDefault="00000000">
      <w:pPr>
        <w:pStyle w:val="Heading1"/>
      </w:pPr>
      <w:bookmarkStart w:id="2" w:name="_qk356p9xhg9f" w:colFirst="0" w:colLast="0"/>
      <w:bookmarkEnd w:id="2"/>
      <w:r>
        <w:lastRenderedPageBreak/>
        <w:t>References</w:t>
      </w:r>
    </w:p>
    <w:p w14:paraId="00000027" w14:textId="77777777" w:rsidR="007033FF" w:rsidRDefault="00000000">
      <w:pPr>
        <w:spacing w:after="240"/>
      </w:pPr>
      <w:r>
        <w:t xml:space="preserve">Al-Khalaf, L. (2023). Inside the Knowledge Quarter: an ideas factory for the UK. </w:t>
      </w:r>
      <w:r>
        <w:rPr>
          <w:i/>
        </w:rPr>
        <w:t>www.thetimes.co.uk</w:t>
      </w:r>
      <w:r>
        <w:t>. [online] 24 Dec. Available at: https://www.thetimes.co.uk/article/inside-the-knowledge-quarter-an-ideas-factory-for-the-uk-0bmc55w0v [Accessed 24 Dec. 2023].</w:t>
      </w:r>
    </w:p>
    <w:p w14:paraId="00000028" w14:textId="77777777" w:rsidR="007033FF" w:rsidRPr="00742C4C" w:rsidRDefault="00000000">
      <w:pPr>
        <w:spacing w:after="240"/>
        <w:rPr>
          <w:lang w:val="it-IT"/>
        </w:rPr>
      </w:pPr>
      <w:r>
        <w:t xml:space="preserve">Cristóbal, J.R.S. (2017). Complexity in Project Management. </w:t>
      </w:r>
      <w:r w:rsidRPr="00742C4C">
        <w:rPr>
          <w:i/>
          <w:lang w:val="it-IT"/>
        </w:rPr>
        <w:t>Procedia Computer Science</w:t>
      </w:r>
      <w:r w:rsidRPr="00742C4C">
        <w:rPr>
          <w:lang w:val="it-IT"/>
        </w:rPr>
        <w:t>, 121, pp.762–766. doi:https://doi.org/10.1016/j.procs.2017.11.098.</w:t>
      </w:r>
    </w:p>
    <w:p w14:paraId="00000029" w14:textId="77777777" w:rsidR="007033FF" w:rsidRDefault="00000000">
      <w:pPr>
        <w:spacing w:after="240"/>
      </w:pPr>
      <w:r>
        <w:t xml:space="preserve">Ekh, A. (2023). </w:t>
      </w:r>
      <w:r>
        <w:rPr>
          <w:i/>
        </w:rPr>
        <w:t>A Glimpse into Britain’s Booming Tech Sector | HackerNoon</w:t>
      </w:r>
      <w:r>
        <w:t>. [online] hackernoon.com. Available at: https://hackernoon.com/a-glimpse-into-britains-booming-tech-sector [Accessed 24 Dec. 2023].</w:t>
      </w:r>
    </w:p>
    <w:p w14:paraId="0000002A" w14:textId="77777777" w:rsidR="007033FF" w:rsidRDefault="00000000">
      <w:pPr>
        <w:spacing w:after="240"/>
      </w:pPr>
      <w:r>
        <w:t xml:space="preserve">Frost, G. (2023). </w:t>
      </w:r>
      <w:r>
        <w:rPr>
          <w:i/>
        </w:rPr>
        <w:t>What do UK interest rate rises mean for you?</w:t>
      </w:r>
      <w:r>
        <w:t xml:space="preserve"> [online] Times Money Mentor. Available at: https://www.thetimes.co.uk/money-mentor/income-budgeting/cost-of-living-crisis/interest-rates-rise-uk-news-means.</w:t>
      </w:r>
    </w:p>
    <w:p w14:paraId="0000002B" w14:textId="77777777" w:rsidR="007033FF" w:rsidRDefault="00000000">
      <w:pPr>
        <w:spacing w:after="240"/>
      </w:pPr>
      <w:r>
        <w:t xml:space="preserve">Haskel, J. and Martin, J. (2023). </w:t>
      </w:r>
      <w:r>
        <w:rPr>
          <w:i/>
        </w:rPr>
        <w:t>How has Brexit affected business investment in the UK?</w:t>
      </w:r>
      <w:r>
        <w:t xml:space="preserve"> [online] Economics Observatory. Available at: https://www.economicsobservatory.com/how-has-brexit-affected-business-investment-in-the-uk.</w:t>
      </w:r>
    </w:p>
    <w:p w14:paraId="0000002C" w14:textId="77777777" w:rsidR="007033FF" w:rsidRDefault="00000000">
      <w:pPr>
        <w:spacing w:after="240"/>
      </w:pPr>
      <w:r>
        <w:t xml:space="preserve">Kelly, P. (2023). AI having ‘positive impact’ on UK jobs but could increase regional inequalities, says report. </w:t>
      </w:r>
      <w:r>
        <w:rPr>
          <w:i/>
        </w:rPr>
        <w:t>The Guardian</w:t>
      </w:r>
      <w:r>
        <w:t>. [online] 20 Sep. Available at: https://www.theguardian.com/global-development/2023/sep/20/ai-having-positive-impact-on-uk-jobs-but-could-increase-regional-inequalities-says-report.</w:t>
      </w:r>
    </w:p>
    <w:p w14:paraId="0000002D" w14:textId="77777777" w:rsidR="007033FF" w:rsidRDefault="00000000">
      <w:pPr>
        <w:spacing w:after="240"/>
      </w:pPr>
      <w:r>
        <w:t xml:space="preserve">Kerzner, H. (2023). </w:t>
      </w:r>
      <w:r>
        <w:rPr>
          <w:i/>
        </w:rPr>
        <w:t>Understanding Project Management Complexity</w:t>
      </w:r>
      <w:r>
        <w:t>. [online] blog.iil.com. Available at: https://blog.iil.com/understanding-project-management-complexity/ [Accessed 24 Dec. 2023].</w:t>
      </w:r>
    </w:p>
    <w:p w14:paraId="0000002E" w14:textId="77777777" w:rsidR="007033FF" w:rsidRDefault="00000000">
      <w:pPr>
        <w:spacing w:after="240"/>
      </w:pPr>
      <w:r>
        <w:t xml:space="preserve">Miric, M. (2023). </w:t>
      </w:r>
      <w:r>
        <w:rPr>
          <w:i/>
        </w:rPr>
        <w:t>Strategy, Not Technology, Is the Key to Winning with GenAI</w:t>
      </w:r>
      <w:r>
        <w:t>. [online] Harvard Business Review. Available at: https://hbr.org/2023/12/strategy-not-technology-is-the-key-to-winning-with-genai [Accessed 24 Dec. 2023].</w:t>
      </w:r>
    </w:p>
    <w:p w14:paraId="0000002F" w14:textId="77777777" w:rsidR="007033FF" w:rsidRDefault="00000000">
      <w:pPr>
        <w:spacing w:after="240"/>
      </w:pPr>
      <w:r>
        <w:lastRenderedPageBreak/>
        <w:t xml:space="preserve">Reese, T. (2023). UK Economy Shrinks in Third Quarter, Raising Risk of Recession. </w:t>
      </w:r>
      <w:r>
        <w:rPr>
          <w:i/>
        </w:rPr>
        <w:t>Bloomberg.com</w:t>
      </w:r>
      <w:r>
        <w:t>. [online] 22 Dec. Available at: https://www.bloomberg.com/news/articles/2023-12-22/uk-economy-shrinks-in-third-quarter-raising-risk-of-recession [Accessed 24 Dec. 2023].</w:t>
      </w:r>
    </w:p>
    <w:p w14:paraId="00000030" w14:textId="77777777" w:rsidR="007033FF" w:rsidRDefault="00000000">
      <w:pPr>
        <w:spacing w:after="240"/>
      </w:pPr>
      <w:r>
        <w:t xml:space="preserve">Van Der Werff, E. and Steg, L. (2018). Spillover Benefits: Emphasizing Different Benefits of Environmental Behavior and Its Effects on Spillover. </w:t>
      </w:r>
      <w:r>
        <w:rPr>
          <w:i/>
        </w:rPr>
        <w:t>Frontiers in Psychology</w:t>
      </w:r>
      <w:r>
        <w:t>, 9. doi:https://doi.org/10.3389/fpsyg.2018.02347.</w:t>
      </w:r>
    </w:p>
    <w:p w14:paraId="00000031" w14:textId="77777777" w:rsidR="007033FF" w:rsidRDefault="007033FF"/>
    <w:p w14:paraId="00000032" w14:textId="77777777" w:rsidR="007033FF" w:rsidRDefault="007033FF"/>
    <w:p w14:paraId="00000033" w14:textId="77777777" w:rsidR="007033FF" w:rsidRDefault="007033FF"/>
    <w:p w14:paraId="00000034" w14:textId="77777777" w:rsidR="007033FF" w:rsidRDefault="007033FF"/>
    <w:p w14:paraId="00000035" w14:textId="77777777" w:rsidR="007033FF" w:rsidRDefault="007033FF"/>
    <w:p w14:paraId="00000036" w14:textId="77777777" w:rsidR="007033FF" w:rsidRDefault="007033FF"/>
    <w:p w14:paraId="00000037" w14:textId="77777777" w:rsidR="007033FF" w:rsidRDefault="007033FF"/>
    <w:p w14:paraId="00000038" w14:textId="77777777" w:rsidR="007033FF" w:rsidRDefault="007033FF"/>
    <w:p w14:paraId="00000039" w14:textId="77777777" w:rsidR="007033FF" w:rsidRDefault="007033FF"/>
    <w:p w14:paraId="0000003A" w14:textId="77777777" w:rsidR="007033FF" w:rsidRDefault="007033FF"/>
    <w:p w14:paraId="0000003B" w14:textId="77777777" w:rsidR="007033FF" w:rsidRDefault="007033FF"/>
    <w:p w14:paraId="0000003C" w14:textId="77777777" w:rsidR="007033FF" w:rsidRDefault="007033FF"/>
    <w:sectPr w:rsidR="007033FF">
      <w:footerReference w:type="default" r:id="rId7"/>
      <w:footerReference w:type="firs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E95F0" w14:textId="77777777" w:rsidR="008D1170" w:rsidRDefault="008D1170">
      <w:pPr>
        <w:spacing w:line="240" w:lineRule="auto"/>
      </w:pPr>
      <w:r>
        <w:separator/>
      </w:r>
    </w:p>
  </w:endnote>
  <w:endnote w:type="continuationSeparator" w:id="0">
    <w:p w14:paraId="7D60C115" w14:textId="77777777" w:rsidR="008D1170" w:rsidRDefault="008D11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0184FF18" w:rsidR="007033FF" w:rsidRDefault="00000000">
    <w:pPr>
      <w:jc w:val="right"/>
    </w:pPr>
    <w:r>
      <w:fldChar w:fldCharType="begin"/>
    </w:r>
    <w:r>
      <w:instrText>PAGE</w:instrText>
    </w:r>
    <w:r>
      <w:fldChar w:fldCharType="separate"/>
    </w:r>
    <w:r w:rsidR="00FD7AC1">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D" w14:textId="77777777" w:rsidR="007033FF" w:rsidRDefault="007033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D32BB" w14:textId="77777777" w:rsidR="008D1170" w:rsidRDefault="008D1170">
      <w:pPr>
        <w:spacing w:line="240" w:lineRule="auto"/>
      </w:pPr>
      <w:r>
        <w:separator/>
      </w:r>
    </w:p>
  </w:footnote>
  <w:footnote w:type="continuationSeparator" w:id="0">
    <w:p w14:paraId="0A819B2D" w14:textId="77777777" w:rsidR="008D1170" w:rsidRDefault="008D11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E41B7"/>
    <w:multiLevelType w:val="multilevel"/>
    <w:tmpl w:val="AB127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0823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3FF"/>
    <w:rsid w:val="00194D3A"/>
    <w:rsid w:val="0023443C"/>
    <w:rsid w:val="005B12FC"/>
    <w:rsid w:val="007033FF"/>
    <w:rsid w:val="00742C4C"/>
    <w:rsid w:val="008D1170"/>
    <w:rsid w:val="00DF35F3"/>
    <w:rsid w:val="00E857D1"/>
    <w:rsid w:val="00FD7AC1"/>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40E4F"/>
  <w15:docId w15:val="{DFE109D5-22D3-BB40-AFE8-277AB5073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GridTable5Dark-Accent5">
    <w:name w:val="Grid Table 5 Dark Accent 5"/>
    <w:basedOn w:val="TableNormal"/>
    <w:uiPriority w:val="50"/>
    <w:rsid w:val="00742C4C"/>
    <w:pPr>
      <w:spacing w:line="240" w:lineRule="auto"/>
      <w:jc w:val="left"/>
    </w:pPr>
    <w:rPr>
      <w:rFonts w:asciiTheme="minorHAnsi" w:eastAsiaTheme="minorHAnsi" w:hAnsiTheme="minorHAnsi" w:cstheme="minorBidi"/>
      <w:sz w:val="22"/>
      <w:szCs w:val="28"/>
      <w:lang w:eastAsia="en-US" w:bidi="bn-BD"/>
      <w14:ligatures w14:val="standardContextual"/>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Diana Bucataru</cp:lastModifiedBy>
  <cp:revision>2</cp:revision>
  <dcterms:created xsi:type="dcterms:W3CDTF">2024-01-01T13:47:00Z</dcterms:created>
  <dcterms:modified xsi:type="dcterms:W3CDTF">2024-01-02T22:55:00Z</dcterms:modified>
  <cp:category/>
</cp:coreProperties>
</file>