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D0F2E" w14:textId="77777777" w:rsidR="00E61476" w:rsidRPr="00E61476" w:rsidRDefault="00E61476" w:rsidP="00E61476">
      <w:pPr>
        <w:rPr>
          <w:bCs/>
        </w:rPr>
      </w:pPr>
      <w:r w:rsidRPr="00E61476">
        <w:rPr>
          <w:bCs/>
        </w:rPr>
        <w:t xml:space="preserve">IN THE HIGH COURT OF ENGLAND AND WALES </w:t>
      </w:r>
    </w:p>
    <w:p w14:paraId="22CC22CB" w14:textId="77777777" w:rsidR="00E61476" w:rsidRPr="00E61476" w:rsidRDefault="00E61476" w:rsidP="00E61476">
      <w:pPr>
        <w:rPr>
          <w:bCs/>
        </w:rPr>
      </w:pPr>
      <w:r w:rsidRPr="00E61476">
        <w:rPr>
          <w:bCs/>
        </w:rPr>
        <w:t>(CHANCERY DIVISION)</w:t>
      </w:r>
    </w:p>
    <w:p w14:paraId="0C5F7960" w14:textId="77777777" w:rsidR="00E61476" w:rsidRPr="00E61476" w:rsidRDefault="00E61476" w:rsidP="00E61476">
      <w:pPr>
        <w:rPr>
          <w:bCs/>
        </w:rPr>
      </w:pPr>
      <w:r w:rsidRPr="00E61476">
        <w:rPr>
          <w:bCs/>
        </w:rPr>
        <w:t>CLAIM NUMBER: 2024/840A3</w:t>
      </w:r>
    </w:p>
    <w:p w14:paraId="45C0111F" w14:textId="77777777" w:rsidR="00E61476" w:rsidRPr="00E61476" w:rsidRDefault="00E61476" w:rsidP="00E61476">
      <w:pPr>
        <w:rPr>
          <w:bCs/>
        </w:rPr>
      </w:pPr>
      <w:r w:rsidRPr="00E61476">
        <w:rPr>
          <w:bCs/>
        </w:rPr>
        <w:t>BETWEEN:</w:t>
      </w:r>
    </w:p>
    <w:tbl>
      <w:tblPr>
        <w:tblW w:w="9030" w:type="dxa"/>
        <w:tblLayout w:type="fixed"/>
        <w:tblLook w:val="04A0" w:firstRow="1" w:lastRow="0" w:firstColumn="1" w:lastColumn="0" w:noHBand="0" w:noVBand="1"/>
      </w:tblPr>
      <w:tblGrid>
        <w:gridCol w:w="1418"/>
        <w:gridCol w:w="6233"/>
        <w:gridCol w:w="1379"/>
      </w:tblGrid>
      <w:tr w:rsidR="00E61476" w:rsidRPr="00E61476" w14:paraId="5D555054" w14:textId="77777777">
        <w:trPr>
          <w:trHeight w:val="757"/>
        </w:trPr>
        <w:tc>
          <w:tcPr>
            <w:tcW w:w="1418" w:type="dxa"/>
          </w:tcPr>
          <w:p w14:paraId="745DA368" w14:textId="77777777" w:rsidR="00E61476" w:rsidRPr="00E61476" w:rsidRDefault="00E61476" w:rsidP="00E61476"/>
        </w:tc>
        <w:tc>
          <w:tcPr>
            <w:tcW w:w="6237" w:type="dxa"/>
            <w:hideMark/>
          </w:tcPr>
          <w:p w14:paraId="4752C21E" w14:textId="77777777" w:rsidR="00E61476" w:rsidRPr="00E61476" w:rsidRDefault="00E61476" w:rsidP="00E61476">
            <w:r w:rsidRPr="00E61476">
              <w:t>SARAH MORGAN</w:t>
            </w:r>
          </w:p>
        </w:tc>
        <w:tc>
          <w:tcPr>
            <w:tcW w:w="1380" w:type="dxa"/>
            <w:hideMark/>
          </w:tcPr>
          <w:p w14:paraId="4CEDE41F" w14:textId="77777777" w:rsidR="00E61476" w:rsidRPr="00E61476" w:rsidRDefault="00E61476" w:rsidP="00E61476">
            <w:pPr>
              <w:rPr>
                <w:u w:val="single"/>
              </w:rPr>
            </w:pPr>
            <w:r w:rsidRPr="00E61476">
              <w:rPr>
                <w:u w:val="single"/>
              </w:rPr>
              <w:t xml:space="preserve">Claimant </w:t>
            </w:r>
          </w:p>
        </w:tc>
      </w:tr>
      <w:tr w:rsidR="00E61476" w:rsidRPr="00E61476" w14:paraId="126D7C46" w14:textId="77777777">
        <w:trPr>
          <w:trHeight w:val="757"/>
        </w:trPr>
        <w:tc>
          <w:tcPr>
            <w:tcW w:w="1418" w:type="dxa"/>
          </w:tcPr>
          <w:p w14:paraId="2CF782E7" w14:textId="77777777" w:rsidR="00E61476" w:rsidRPr="00E61476" w:rsidRDefault="00E61476" w:rsidP="00E61476"/>
        </w:tc>
        <w:tc>
          <w:tcPr>
            <w:tcW w:w="6237" w:type="dxa"/>
            <w:hideMark/>
          </w:tcPr>
          <w:p w14:paraId="2E65B056" w14:textId="77777777" w:rsidR="00E61476" w:rsidRPr="00E61476" w:rsidRDefault="00E61476" w:rsidP="00E61476">
            <w:r w:rsidRPr="00E61476">
              <w:t>-and-</w:t>
            </w:r>
          </w:p>
        </w:tc>
        <w:tc>
          <w:tcPr>
            <w:tcW w:w="1380" w:type="dxa"/>
          </w:tcPr>
          <w:p w14:paraId="0E2A939C" w14:textId="77777777" w:rsidR="00E61476" w:rsidRPr="00E61476" w:rsidRDefault="00E61476" w:rsidP="00E61476"/>
        </w:tc>
      </w:tr>
      <w:tr w:rsidR="00E61476" w:rsidRPr="00E61476" w14:paraId="236EC142" w14:textId="77777777">
        <w:trPr>
          <w:trHeight w:val="757"/>
        </w:trPr>
        <w:tc>
          <w:tcPr>
            <w:tcW w:w="1418" w:type="dxa"/>
          </w:tcPr>
          <w:p w14:paraId="0D45508A" w14:textId="77777777" w:rsidR="00E61476" w:rsidRPr="00E61476" w:rsidRDefault="00E61476" w:rsidP="00E61476"/>
        </w:tc>
        <w:tc>
          <w:tcPr>
            <w:tcW w:w="6237" w:type="dxa"/>
            <w:hideMark/>
          </w:tcPr>
          <w:p w14:paraId="372F8012" w14:textId="77777777" w:rsidR="00E61476" w:rsidRPr="00E61476" w:rsidRDefault="00E61476" w:rsidP="00E61476">
            <w:r w:rsidRPr="00E61476">
              <w:t>JENNIFER WILLIAMS</w:t>
            </w:r>
          </w:p>
        </w:tc>
        <w:tc>
          <w:tcPr>
            <w:tcW w:w="1380" w:type="dxa"/>
            <w:hideMark/>
          </w:tcPr>
          <w:p w14:paraId="34510663" w14:textId="77777777" w:rsidR="00E61476" w:rsidRPr="00E61476" w:rsidRDefault="00E61476" w:rsidP="00E61476">
            <w:r w:rsidRPr="00E61476">
              <w:rPr>
                <w:u w:val="single"/>
              </w:rPr>
              <w:t>Defendant</w:t>
            </w:r>
          </w:p>
        </w:tc>
      </w:tr>
    </w:tbl>
    <w:p w14:paraId="6AF8CAC7" w14:textId="77777777" w:rsidR="00E61476" w:rsidRPr="00E61476" w:rsidRDefault="00E61476" w:rsidP="00E61476">
      <w:pPr>
        <w:rPr>
          <w:b/>
          <w:bCs/>
        </w:rPr>
      </w:pPr>
      <w:r w:rsidRPr="00E61476">
        <w:rPr>
          <w:b/>
          <w:bCs/>
        </w:rPr>
        <w:tab/>
      </w:r>
    </w:p>
    <w:p w14:paraId="65883145" w14:textId="77777777" w:rsidR="00E61476" w:rsidRPr="00E61476" w:rsidRDefault="00E61476" w:rsidP="00E61476">
      <w:pPr>
        <w:rPr>
          <w:b/>
          <w:bCs/>
        </w:rPr>
      </w:pPr>
    </w:p>
    <w:p w14:paraId="34D7235F" w14:textId="77777777" w:rsidR="00E61476" w:rsidRPr="00E61476" w:rsidRDefault="00E61476" w:rsidP="00E61476">
      <w:pPr>
        <w:rPr>
          <w:b/>
          <w:bCs/>
        </w:rPr>
      </w:pPr>
      <w:r w:rsidRPr="00E61476">
        <w:rPr>
          <w:b/>
          <w:bCs/>
        </w:rPr>
        <w:t>Skeleton argument on behalf of [Name and/or position in the case]</w:t>
      </w:r>
    </w:p>
    <w:p w14:paraId="3C74BE4A" w14:textId="77777777" w:rsidR="00E61476" w:rsidRPr="00E61476" w:rsidRDefault="00E61476" w:rsidP="00E61476">
      <w:pPr>
        <w:rPr>
          <w:b/>
          <w:bCs/>
        </w:rPr>
      </w:pPr>
    </w:p>
    <w:p w14:paraId="65B5015C" w14:textId="77777777" w:rsidR="00E61476" w:rsidRDefault="00E61476" w:rsidP="00E61476">
      <w:pPr>
        <w:rPr>
          <w:b/>
        </w:rPr>
      </w:pPr>
      <w:r w:rsidRPr="00E61476">
        <w:rPr>
          <w:b/>
        </w:rPr>
        <w:t>Introduction</w:t>
      </w:r>
    </w:p>
    <w:p w14:paraId="30552DBE" w14:textId="0265A301" w:rsidR="00D47FE4" w:rsidRPr="00D47FE4" w:rsidRDefault="00D47FE4" w:rsidP="00E61476">
      <w:pPr>
        <w:rPr>
          <w:bCs/>
        </w:rPr>
      </w:pPr>
      <w:r w:rsidRPr="00D47FE4">
        <w:rPr>
          <w:bCs/>
        </w:rPr>
        <w:t xml:space="preserve">The </w:t>
      </w:r>
      <w:r>
        <w:rPr>
          <w:bCs/>
        </w:rPr>
        <w:t xml:space="preserve">claimant lived with the defendant as long term partners for fifteen years. </w:t>
      </w:r>
      <w:r w:rsidR="00AA4359">
        <w:rPr>
          <w:bCs/>
        </w:rPr>
        <w:t>Upon separation, the defendant refused the claimant her equitable interest in the property. This is unconscionable. I seek to secure the claimant’s equitable interest in the home through the court’s enforcement of a constructive trust and proprietary estoppel to prevent my client from being denied her interest in the property despite her sacrifice and detriment</w:t>
      </w:r>
    </w:p>
    <w:p w14:paraId="2CD1C0E2" w14:textId="3F6B19EE" w:rsidR="00E61476" w:rsidRPr="00E61476" w:rsidRDefault="00E61476" w:rsidP="00E61476">
      <w:pPr>
        <w:rPr>
          <w:b/>
        </w:rPr>
      </w:pPr>
      <w:r w:rsidRPr="00E61476">
        <w:rPr>
          <w:b/>
        </w:rPr>
        <w:t>The issues</w:t>
      </w:r>
    </w:p>
    <w:p w14:paraId="0E493C04" w14:textId="77777777" w:rsidR="008078F0" w:rsidRDefault="008078F0" w:rsidP="008078F0">
      <w:pPr>
        <w:pStyle w:val="ListParagraph"/>
        <w:numPr>
          <w:ilvl w:val="0"/>
          <w:numId w:val="5"/>
        </w:numPr>
      </w:pPr>
      <w:r>
        <w:t>Ownership of property, and the extent of such are disputed between my client, Sarah Morgan, and her former partner, the defendant, Jennifer Williams. This dispute concerns the family home, ‘The Gatehouse’, Trinity, Swansea, SA52 8RF</w:t>
      </w:r>
    </w:p>
    <w:p w14:paraId="03767DE2" w14:textId="49A5A579" w:rsidR="008078F0" w:rsidRDefault="00353907" w:rsidP="008078F0">
      <w:pPr>
        <w:pStyle w:val="ListParagraph"/>
        <w:numPr>
          <w:ilvl w:val="0"/>
          <w:numId w:val="5"/>
        </w:numPr>
      </w:pPr>
      <w:r>
        <w:t>T</w:t>
      </w:r>
      <w:r w:rsidR="008078F0">
        <w:t>he existence of constructive trust granting her an equal share of the property due to a constructive trust.</w:t>
      </w:r>
    </w:p>
    <w:p w14:paraId="7628445D" w14:textId="3F256AAF" w:rsidR="008078F0" w:rsidRPr="00E61476" w:rsidRDefault="0088433A" w:rsidP="008078F0">
      <w:pPr>
        <w:pStyle w:val="ListParagraph"/>
        <w:numPr>
          <w:ilvl w:val="0"/>
          <w:numId w:val="5"/>
        </w:numPr>
      </w:pPr>
      <w:r>
        <w:t>B</w:t>
      </w:r>
      <w:r w:rsidR="008078F0">
        <w:t>eneficial interest</w:t>
      </w:r>
      <w:r>
        <w:t xml:space="preserve"> in the property</w:t>
      </w:r>
      <w:r w:rsidR="008078F0">
        <w:t xml:space="preserve"> through proprietary estoppel</w:t>
      </w:r>
    </w:p>
    <w:p w14:paraId="7EABD0AB" w14:textId="77777777" w:rsidR="00E61476" w:rsidRPr="00E61476" w:rsidRDefault="00E61476" w:rsidP="00E61476">
      <w:pPr>
        <w:rPr>
          <w:b/>
        </w:rPr>
      </w:pPr>
      <w:r w:rsidRPr="00E61476">
        <w:rPr>
          <w:b/>
        </w:rPr>
        <w:t>The facts</w:t>
      </w:r>
    </w:p>
    <w:p w14:paraId="56F223E4" w14:textId="5A08BE21" w:rsidR="008078F0" w:rsidRPr="008078F0" w:rsidRDefault="008078F0" w:rsidP="008078F0">
      <w:pPr>
        <w:pStyle w:val="ListParagraph"/>
        <w:numPr>
          <w:ilvl w:val="0"/>
          <w:numId w:val="2"/>
        </w:numPr>
        <w:rPr>
          <w:b/>
        </w:rPr>
      </w:pPr>
      <w:r>
        <w:rPr>
          <w:bCs/>
        </w:rPr>
        <w:t xml:space="preserve">This case arises out of the separation of the two parties, Sarah Morgan and Jennifer Williams </w:t>
      </w:r>
      <w:r w:rsidR="00054A51">
        <w:rPr>
          <w:bCs/>
        </w:rPr>
        <w:t xml:space="preserve">after a 15-year relationship that had borne two children </w:t>
      </w:r>
    </w:p>
    <w:p w14:paraId="617E2C9B" w14:textId="47B99699" w:rsidR="008078F0" w:rsidRDefault="00F74FCC" w:rsidP="008078F0">
      <w:pPr>
        <w:pStyle w:val="ListParagraph"/>
        <w:numPr>
          <w:ilvl w:val="0"/>
          <w:numId w:val="2"/>
        </w:numPr>
        <w:rPr>
          <w:bCs/>
        </w:rPr>
      </w:pPr>
      <w:r w:rsidRPr="00F74FCC">
        <w:rPr>
          <w:bCs/>
        </w:rPr>
        <w:t>The separation of the parties</w:t>
      </w:r>
      <w:r>
        <w:rPr>
          <w:bCs/>
        </w:rPr>
        <w:t xml:space="preserve"> has led to a dispute over the ownership of </w:t>
      </w:r>
      <w:r w:rsidR="00054A51">
        <w:rPr>
          <w:bCs/>
        </w:rPr>
        <w:t xml:space="preserve">the property in which they cohabitated. The home is owned in law solely by Jennifer Williams </w:t>
      </w:r>
    </w:p>
    <w:p w14:paraId="7E94A4E8" w14:textId="2B559038" w:rsidR="00054A51" w:rsidRDefault="00054A51" w:rsidP="008078F0">
      <w:pPr>
        <w:pStyle w:val="ListParagraph"/>
        <w:numPr>
          <w:ilvl w:val="0"/>
          <w:numId w:val="2"/>
        </w:numPr>
        <w:rPr>
          <w:bCs/>
        </w:rPr>
      </w:pPr>
      <w:r>
        <w:rPr>
          <w:bCs/>
        </w:rPr>
        <w:t xml:space="preserve">Sarah Morgan and Jennifer Williams lived jointly for 15 years, sharing everything wherever possible. </w:t>
      </w:r>
      <w:r w:rsidR="00DD7D6D">
        <w:rPr>
          <w:bCs/>
        </w:rPr>
        <w:t xml:space="preserve">Both parties have made personal and financial sacrifices to benefit the other over the course of their relationship </w:t>
      </w:r>
    </w:p>
    <w:p w14:paraId="3A74D322" w14:textId="4E8F0812" w:rsidR="00DD7D6D" w:rsidRDefault="00DD7D6D" w:rsidP="008078F0">
      <w:pPr>
        <w:pStyle w:val="ListParagraph"/>
        <w:numPr>
          <w:ilvl w:val="0"/>
          <w:numId w:val="2"/>
        </w:numPr>
        <w:rPr>
          <w:bCs/>
        </w:rPr>
      </w:pPr>
      <w:r>
        <w:rPr>
          <w:bCs/>
        </w:rPr>
        <w:t>After the birth of their youngest child, the parties drafted wills which would ensure that the entirety of their estates be passed on to the other in the event of one of their deaths</w:t>
      </w:r>
      <w:r w:rsidR="00AD27AD">
        <w:rPr>
          <w:bCs/>
        </w:rPr>
        <w:t>, or in the event of the death of both, their estates would be inherited by their children equally</w:t>
      </w:r>
      <w:r>
        <w:rPr>
          <w:bCs/>
        </w:rPr>
        <w:t xml:space="preserve">. </w:t>
      </w:r>
      <w:r w:rsidR="00AD27AD">
        <w:rPr>
          <w:bCs/>
        </w:rPr>
        <w:t xml:space="preserve">Both wills, however, contained a clause that would prevent the passing of one of </w:t>
      </w:r>
      <w:r w:rsidR="00AD27AD">
        <w:rPr>
          <w:bCs/>
        </w:rPr>
        <w:lastRenderedPageBreak/>
        <w:t xml:space="preserve">their estates to the other in the event of one of their deaths if they had already separated. </w:t>
      </w:r>
    </w:p>
    <w:p w14:paraId="2801EAEF" w14:textId="462A81BF" w:rsidR="00AD27AD" w:rsidRPr="00F74FCC" w:rsidRDefault="00AD27AD" w:rsidP="008078F0">
      <w:pPr>
        <w:pStyle w:val="ListParagraph"/>
        <w:numPr>
          <w:ilvl w:val="0"/>
          <w:numId w:val="2"/>
        </w:numPr>
        <w:rPr>
          <w:bCs/>
        </w:rPr>
      </w:pPr>
      <w:r>
        <w:rPr>
          <w:bCs/>
        </w:rPr>
        <w:t>Both parties were advised by a solicitor to create an express declaration of trust</w:t>
      </w:r>
      <w:r w:rsidR="00EC7E13">
        <w:rPr>
          <w:bCs/>
        </w:rPr>
        <w:t xml:space="preserve"> (Goodman v Gallant (1986))</w:t>
      </w:r>
      <w:r>
        <w:rPr>
          <w:bCs/>
        </w:rPr>
        <w:t xml:space="preserve">, however, did not create one. </w:t>
      </w:r>
    </w:p>
    <w:p w14:paraId="14BDF4D9" w14:textId="77777777" w:rsidR="00E61476" w:rsidRPr="00E61476" w:rsidRDefault="00E61476" w:rsidP="00E61476">
      <w:pPr>
        <w:rPr>
          <w:b/>
        </w:rPr>
      </w:pPr>
      <w:r w:rsidRPr="00E61476">
        <w:rPr>
          <w:b/>
        </w:rPr>
        <w:t xml:space="preserve">The law </w:t>
      </w:r>
    </w:p>
    <w:p w14:paraId="4F84F256" w14:textId="4C010332" w:rsidR="004D0597" w:rsidRDefault="004D0597" w:rsidP="00E61476">
      <w:pPr>
        <w:rPr>
          <w:iCs/>
        </w:rPr>
      </w:pPr>
      <w:r>
        <w:rPr>
          <w:iCs/>
        </w:rPr>
        <w:t xml:space="preserve">Law of Property Act 1925 </w:t>
      </w:r>
      <w:r w:rsidR="00A854B8">
        <w:rPr>
          <w:iCs/>
        </w:rPr>
        <w:t>s.53(1(c)), Goodman v Gallant (1986)</w:t>
      </w:r>
    </w:p>
    <w:p w14:paraId="066140BE" w14:textId="5A2A454F" w:rsidR="00A854B8" w:rsidRDefault="00A854B8" w:rsidP="00A854B8">
      <w:pPr>
        <w:pStyle w:val="ListParagraph"/>
        <w:numPr>
          <w:ilvl w:val="0"/>
          <w:numId w:val="7"/>
        </w:numPr>
        <w:rPr>
          <w:iCs/>
        </w:rPr>
      </w:pPr>
      <w:r>
        <w:rPr>
          <w:iCs/>
        </w:rPr>
        <w:t xml:space="preserve">Express trusts must be in writing </w:t>
      </w:r>
    </w:p>
    <w:p w14:paraId="09AD5668" w14:textId="12E193CE" w:rsidR="00A854B8" w:rsidRPr="002E4204" w:rsidRDefault="00A854B8" w:rsidP="00A854B8">
      <w:pPr>
        <w:pStyle w:val="ListParagraph"/>
        <w:numPr>
          <w:ilvl w:val="0"/>
          <w:numId w:val="7"/>
        </w:numPr>
        <w:rPr>
          <w:iCs/>
        </w:rPr>
      </w:pPr>
      <w:r>
        <w:rPr>
          <w:iCs/>
        </w:rPr>
        <w:t xml:space="preserve">This is not contested </w:t>
      </w:r>
    </w:p>
    <w:p w14:paraId="2E85A288" w14:textId="58EB6AD3" w:rsidR="00373F9A" w:rsidRDefault="00373F9A" w:rsidP="00373F9A">
      <w:pPr>
        <w:rPr>
          <w:iCs/>
        </w:rPr>
      </w:pPr>
      <w:r>
        <w:rPr>
          <w:iCs/>
        </w:rPr>
        <w:t xml:space="preserve">Morris v Morris (2008) </w:t>
      </w:r>
    </w:p>
    <w:p w14:paraId="1C5882F3" w14:textId="2A3DD4DC" w:rsidR="00373F9A" w:rsidRDefault="00373F9A" w:rsidP="00373F9A">
      <w:pPr>
        <w:pStyle w:val="ListParagraph"/>
        <w:numPr>
          <w:ilvl w:val="0"/>
          <w:numId w:val="9"/>
        </w:numPr>
        <w:rPr>
          <w:iCs/>
        </w:rPr>
      </w:pPr>
      <w:r>
        <w:rPr>
          <w:iCs/>
        </w:rPr>
        <w:t xml:space="preserve">Actions undertaken under the assumption of acquiring interest in a property may be evidence of constructive trust </w:t>
      </w:r>
    </w:p>
    <w:p w14:paraId="4296FA83" w14:textId="6D5AA43A" w:rsidR="00373F9A" w:rsidRDefault="00373F9A" w:rsidP="00373F9A">
      <w:pPr>
        <w:rPr>
          <w:iCs/>
        </w:rPr>
      </w:pPr>
      <w:r>
        <w:rPr>
          <w:iCs/>
        </w:rPr>
        <w:t>Jones v Kernott (2011)</w:t>
      </w:r>
    </w:p>
    <w:p w14:paraId="48C62D6C" w14:textId="0552706A" w:rsidR="00373F9A" w:rsidRDefault="00373F9A" w:rsidP="00373F9A">
      <w:pPr>
        <w:pStyle w:val="ListParagraph"/>
        <w:numPr>
          <w:ilvl w:val="0"/>
          <w:numId w:val="9"/>
        </w:numPr>
        <w:rPr>
          <w:iCs/>
        </w:rPr>
      </w:pPr>
      <w:r>
        <w:rPr>
          <w:iCs/>
        </w:rPr>
        <w:t>Presumption that a sole legal owner is also the sole owner in equity</w:t>
      </w:r>
    </w:p>
    <w:p w14:paraId="0EED1C5C" w14:textId="0E6C1BD1" w:rsidR="00D41C88" w:rsidRDefault="00D41C88" w:rsidP="00373F9A">
      <w:pPr>
        <w:pStyle w:val="ListParagraph"/>
        <w:numPr>
          <w:ilvl w:val="0"/>
          <w:numId w:val="9"/>
        </w:numPr>
        <w:rPr>
          <w:iCs/>
        </w:rPr>
      </w:pPr>
      <w:r>
        <w:rPr>
          <w:iCs/>
        </w:rPr>
        <w:t>This presumption is rebutted by Lloyds Bank v Rosset (1991) as well as obiter dicta via Stack v Dowden (2007)</w:t>
      </w:r>
    </w:p>
    <w:p w14:paraId="7EB1C36A" w14:textId="4C13FBDF" w:rsidR="00D41C88" w:rsidRDefault="00D41C88" w:rsidP="00D41C88">
      <w:pPr>
        <w:rPr>
          <w:iCs/>
        </w:rPr>
      </w:pPr>
      <w:r>
        <w:rPr>
          <w:iCs/>
        </w:rPr>
        <w:t>Stack v Dowden (2007)</w:t>
      </w:r>
    </w:p>
    <w:p w14:paraId="7A982AF3" w14:textId="7834E864" w:rsidR="002E4204" w:rsidRDefault="00D41C88" w:rsidP="002E4204">
      <w:pPr>
        <w:pStyle w:val="ListParagraph"/>
        <w:numPr>
          <w:ilvl w:val="0"/>
          <w:numId w:val="10"/>
        </w:numPr>
        <w:rPr>
          <w:iCs/>
        </w:rPr>
      </w:pPr>
      <w:r>
        <w:rPr>
          <w:iCs/>
        </w:rPr>
        <w:t>Family and relationship situation may be evidence of a constructive tr</w:t>
      </w:r>
      <w:r w:rsidR="002E4204">
        <w:rPr>
          <w:iCs/>
        </w:rPr>
        <w:t>ust</w:t>
      </w:r>
    </w:p>
    <w:p w14:paraId="7E27A21B" w14:textId="77DF0277" w:rsidR="002E4204" w:rsidRDefault="002E4204" w:rsidP="002E4204">
      <w:pPr>
        <w:rPr>
          <w:iCs/>
        </w:rPr>
      </w:pPr>
      <w:r>
        <w:rPr>
          <w:iCs/>
        </w:rPr>
        <w:t>Smith v Bottomley and Another (2013)</w:t>
      </w:r>
    </w:p>
    <w:p w14:paraId="46064F29" w14:textId="2C2ECE46" w:rsidR="002E4204" w:rsidRDefault="002E4204" w:rsidP="002E4204">
      <w:pPr>
        <w:pStyle w:val="ListParagraph"/>
        <w:numPr>
          <w:ilvl w:val="0"/>
          <w:numId w:val="10"/>
        </w:numPr>
        <w:rPr>
          <w:iCs/>
        </w:rPr>
      </w:pPr>
      <w:r>
        <w:rPr>
          <w:iCs/>
        </w:rPr>
        <w:t xml:space="preserve">Constructive trusts from a sole legal owner require the non-owning party </w:t>
      </w:r>
      <w:r w:rsidR="000445AF">
        <w:rPr>
          <w:iCs/>
        </w:rPr>
        <w:t>to act at their own detriment to later gain a benefit through trust</w:t>
      </w:r>
    </w:p>
    <w:p w14:paraId="3D855F1B" w14:textId="1B0B4155" w:rsidR="00804FDE" w:rsidRDefault="00804FDE" w:rsidP="00804FDE">
      <w:pPr>
        <w:rPr>
          <w:iCs/>
        </w:rPr>
      </w:pPr>
      <w:r>
        <w:rPr>
          <w:iCs/>
        </w:rPr>
        <w:t>James v Thomas (2007)</w:t>
      </w:r>
    </w:p>
    <w:p w14:paraId="45777A76" w14:textId="1A0D71F5" w:rsidR="00804FDE" w:rsidRDefault="00804FDE" w:rsidP="00804FDE">
      <w:pPr>
        <w:pStyle w:val="ListParagraph"/>
        <w:numPr>
          <w:ilvl w:val="0"/>
          <w:numId w:val="10"/>
        </w:numPr>
        <w:rPr>
          <w:iCs/>
        </w:rPr>
      </w:pPr>
      <w:r>
        <w:rPr>
          <w:iCs/>
        </w:rPr>
        <w:t xml:space="preserve">Actions motivated totally by affection are not considered detrimental </w:t>
      </w:r>
    </w:p>
    <w:p w14:paraId="02E8EE6D" w14:textId="42B856EA" w:rsidR="00804FDE" w:rsidRPr="00804FDE" w:rsidRDefault="00804FDE" w:rsidP="00804FDE">
      <w:pPr>
        <w:pStyle w:val="ListParagraph"/>
        <w:numPr>
          <w:ilvl w:val="0"/>
          <w:numId w:val="10"/>
        </w:numPr>
        <w:rPr>
          <w:iCs/>
        </w:rPr>
      </w:pPr>
      <w:r>
        <w:rPr>
          <w:iCs/>
        </w:rPr>
        <w:t xml:space="preserve">This is rebutted by the consultation with a solicitor as to co-ownership </w:t>
      </w:r>
    </w:p>
    <w:p w14:paraId="0EFB10DA" w14:textId="6761AD6A" w:rsidR="00D41C88" w:rsidRDefault="00EF6DC1" w:rsidP="00D41C88">
      <w:pPr>
        <w:rPr>
          <w:iCs/>
        </w:rPr>
      </w:pPr>
      <w:r>
        <w:rPr>
          <w:iCs/>
        </w:rPr>
        <w:t>Thorner v Major (2009)</w:t>
      </w:r>
    </w:p>
    <w:p w14:paraId="392BB32A" w14:textId="2131B2EB" w:rsidR="00EF6DC1" w:rsidRDefault="00EF6DC1" w:rsidP="00EF6DC1">
      <w:pPr>
        <w:pStyle w:val="ListParagraph"/>
        <w:numPr>
          <w:ilvl w:val="0"/>
          <w:numId w:val="11"/>
        </w:numPr>
        <w:rPr>
          <w:iCs/>
        </w:rPr>
      </w:pPr>
      <w:r>
        <w:rPr>
          <w:iCs/>
        </w:rPr>
        <w:t xml:space="preserve">If one party makes a representation that an another will receive interest in land, and the other party relies on it to their detriment, this is considered an assurance made under proprietary estoppel </w:t>
      </w:r>
    </w:p>
    <w:p w14:paraId="16E18638" w14:textId="55435114" w:rsidR="00953BA9" w:rsidRDefault="00953BA9" w:rsidP="00953BA9">
      <w:pPr>
        <w:rPr>
          <w:iCs/>
        </w:rPr>
      </w:pPr>
      <w:r>
        <w:rPr>
          <w:iCs/>
        </w:rPr>
        <w:t>Murphy v Rayner (2011)</w:t>
      </w:r>
    </w:p>
    <w:p w14:paraId="6AE2D4C1" w14:textId="0DC8CF46" w:rsidR="00953BA9" w:rsidRPr="00116C96" w:rsidRDefault="00953BA9" w:rsidP="00953BA9">
      <w:pPr>
        <w:pStyle w:val="ListParagraph"/>
        <w:numPr>
          <w:ilvl w:val="0"/>
          <w:numId w:val="11"/>
        </w:numPr>
        <w:rPr>
          <w:iCs/>
        </w:rPr>
      </w:pPr>
      <w:r>
        <w:rPr>
          <w:iCs/>
        </w:rPr>
        <w:t>A series of representations made over the course of a relationship is still an assurance under proprietary estoppel</w:t>
      </w:r>
    </w:p>
    <w:p w14:paraId="790B5253" w14:textId="6BD87A90" w:rsidR="00953BA9" w:rsidRDefault="00953BA9" w:rsidP="00953BA9">
      <w:pPr>
        <w:rPr>
          <w:iCs/>
        </w:rPr>
      </w:pPr>
      <w:r>
        <w:rPr>
          <w:iCs/>
        </w:rPr>
        <w:t>Wayling v Jones (1995)</w:t>
      </w:r>
    </w:p>
    <w:p w14:paraId="1922EC85" w14:textId="54357FE4" w:rsidR="00953BA9" w:rsidRDefault="00953BA9" w:rsidP="00953BA9">
      <w:pPr>
        <w:pStyle w:val="ListParagraph"/>
        <w:numPr>
          <w:ilvl w:val="0"/>
          <w:numId w:val="11"/>
        </w:numPr>
        <w:rPr>
          <w:iCs/>
        </w:rPr>
      </w:pPr>
      <w:r>
        <w:rPr>
          <w:iCs/>
        </w:rPr>
        <w:t>Structuring one’s life around assurances made is evidence of reliance under proprietary estoppel</w:t>
      </w:r>
    </w:p>
    <w:p w14:paraId="406EBC23" w14:textId="27D063A4" w:rsidR="008D60B7" w:rsidRDefault="00116C96" w:rsidP="00E61476">
      <w:pPr>
        <w:rPr>
          <w:iCs/>
        </w:rPr>
      </w:pPr>
      <w:r>
        <w:rPr>
          <w:iCs/>
        </w:rPr>
        <w:t>Suggitt v Suggitt (2012)</w:t>
      </w:r>
    </w:p>
    <w:p w14:paraId="798D889B" w14:textId="55AFB3F5" w:rsidR="00116C96" w:rsidRDefault="00116C96" w:rsidP="00116C96">
      <w:pPr>
        <w:pStyle w:val="ListParagraph"/>
        <w:numPr>
          <w:ilvl w:val="0"/>
          <w:numId w:val="11"/>
        </w:numPr>
        <w:rPr>
          <w:iCs/>
        </w:rPr>
      </w:pPr>
      <w:r>
        <w:rPr>
          <w:iCs/>
        </w:rPr>
        <w:t xml:space="preserve">Detriment in cohabitation requires action above what would generally be expected. </w:t>
      </w:r>
    </w:p>
    <w:p w14:paraId="659A2941" w14:textId="3B897BBA" w:rsidR="00116C96" w:rsidRDefault="00116C96" w:rsidP="00116C96">
      <w:pPr>
        <w:pStyle w:val="ListParagraph"/>
        <w:numPr>
          <w:ilvl w:val="0"/>
          <w:numId w:val="11"/>
        </w:numPr>
        <w:rPr>
          <w:iCs/>
        </w:rPr>
      </w:pPr>
      <w:r>
        <w:rPr>
          <w:iCs/>
        </w:rPr>
        <w:lastRenderedPageBreak/>
        <w:t>Rebutted by usage of total value of personal savings, as opposed to joint finances</w:t>
      </w:r>
    </w:p>
    <w:p w14:paraId="072CE0AF" w14:textId="4CCAF144" w:rsidR="00116C96" w:rsidRDefault="00116C96" w:rsidP="00116C96">
      <w:pPr>
        <w:rPr>
          <w:iCs/>
        </w:rPr>
      </w:pPr>
      <w:r>
        <w:rPr>
          <w:iCs/>
        </w:rPr>
        <w:t>Gillet v Holt (200</w:t>
      </w:r>
      <w:r w:rsidR="00AB0CB5">
        <w:rPr>
          <w:iCs/>
        </w:rPr>
        <w:t>0</w:t>
      </w:r>
      <w:r>
        <w:rPr>
          <w:iCs/>
        </w:rPr>
        <w:t>)</w:t>
      </w:r>
    </w:p>
    <w:p w14:paraId="3382C3C8" w14:textId="1CBFD072" w:rsidR="00116C96" w:rsidRDefault="00116C96" w:rsidP="00116C96">
      <w:pPr>
        <w:pStyle w:val="ListParagraph"/>
        <w:numPr>
          <w:ilvl w:val="0"/>
          <w:numId w:val="12"/>
        </w:numPr>
        <w:rPr>
          <w:iCs/>
        </w:rPr>
      </w:pPr>
      <w:r>
        <w:rPr>
          <w:iCs/>
        </w:rPr>
        <w:t xml:space="preserve">Allowing someone to act to their detriment with assurance, and then repealing assurance after the fact is considered unconscionable </w:t>
      </w:r>
    </w:p>
    <w:p w14:paraId="42F170EF" w14:textId="48601623" w:rsidR="00116C96" w:rsidRDefault="00116C96" w:rsidP="00116C96">
      <w:pPr>
        <w:rPr>
          <w:iCs/>
        </w:rPr>
      </w:pPr>
      <w:r>
        <w:rPr>
          <w:iCs/>
        </w:rPr>
        <w:t>Joyce v Epsom &amp; Ewell Borough Council (2012)</w:t>
      </w:r>
    </w:p>
    <w:p w14:paraId="4C9846E8" w14:textId="6B558F71" w:rsidR="00116C96" w:rsidRPr="00116C96" w:rsidRDefault="00116C96" w:rsidP="00116C96">
      <w:pPr>
        <w:pStyle w:val="ListParagraph"/>
        <w:numPr>
          <w:ilvl w:val="0"/>
          <w:numId w:val="12"/>
        </w:numPr>
        <w:rPr>
          <w:iCs/>
        </w:rPr>
      </w:pPr>
      <w:r>
        <w:rPr>
          <w:iCs/>
        </w:rPr>
        <w:t>A landowner need not know that the other relies upon their assurance to commit an unconscionable act</w:t>
      </w:r>
    </w:p>
    <w:p w14:paraId="6891CFA8" w14:textId="77777777" w:rsidR="00533EFD" w:rsidRDefault="00533EFD" w:rsidP="00E61476">
      <w:pPr>
        <w:rPr>
          <w:iCs/>
        </w:rPr>
      </w:pPr>
    </w:p>
    <w:p w14:paraId="2D7C2745" w14:textId="77777777" w:rsidR="00EC7E13" w:rsidRPr="00E61476" w:rsidRDefault="00EC7E13" w:rsidP="00E61476">
      <w:pPr>
        <w:rPr>
          <w:iCs/>
        </w:rPr>
      </w:pPr>
    </w:p>
    <w:p w14:paraId="271DB719" w14:textId="77777777" w:rsidR="00E61476" w:rsidRPr="00E61476" w:rsidRDefault="00E61476" w:rsidP="00E61476"/>
    <w:p w14:paraId="3A05EEE8" w14:textId="77777777" w:rsidR="00E61476" w:rsidRPr="00E61476" w:rsidRDefault="00E61476" w:rsidP="00E61476">
      <w:r w:rsidRPr="00E61476">
        <w:t>Suggested 200 words.</w:t>
      </w:r>
    </w:p>
    <w:p w14:paraId="10AB164C" w14:textId="77777777" w:rsidR="00E61476" w:rsidRPr="00E61476" w:rsidRDefault="00E61476" w:rsidP="00E61476">
      <w:pPr>
        <w:rPr>
          <w:b/>
        </w:rPr>
      </w:pPr>
      <w:r w:rsidRPr="00E61476">
        <w:rPr>
          <w:b/>
        </w:rPr>
        <w:t xml:space="preserve">Submissions </w:t>
      </w:r>
    </w:p>
    <w:p w14:paraId="0E831730" w14:textId="77777777" w:rsidR="00E61476" w:rsidRPr="00E61476" w:rsidRDefault="00E61476" w:rsidP="00E61476">
      <w:r w:rsidRPr="00E61476">
        <w:t xml:space="preserve">This is the part of your work that gains the most marks. In this section you present your client’s case against the law (this is </w:t>
      </w:r>
      <w:proofErr w:type="gramStart"/>
      <w:r w:rsidRPr="00E61476">
        <w:t>similar to</w:t>
      </w:r>
      <w:proofErr w:type="gramEnd"/>
      <w:r w:rsidRPr="00E61476">
        <w:t xml:space="preserve"> your application in IRAC). You should:</w:t>
      </w:r>
    </w:p>
    <w:p w14:paraId="561D3B0B" w14:textId="77777777" w:rsidR="00E61476" w:rsidRPr="00E61476" w:rsidRDefault="00E61476" w:rsidP="00E61476">
      <w:pPr>
        <w:rPr>
          <w:iCs/>
        </w:rPr>
      </w:pPr>
      <w:r w:rsidRPr="00E61476">
        <w:rPr>
          <w:iCs/>
        </w:rPr>
        <w:t>Tell the court how you have applied the law to the facts of your case.</w:t>
      </w:r>
    </w:p>
    <w:p w14:paraId="3A6EEE16" w14:textId="77777777" w:rsidR="00E61476" w:rsidRPr="00E61476" w:rsidRDefault="00E61476" w:rsidP="00E61476">
      <w:pPr>
        <w:rPr>
          <w:iCs/>
        </w:rPr>
      </w:pPr>
      <w:r w:rsidRPr="00E61476">
        <w:rPr>
          <w:iCs/>
        </w:rPr>
        <w:t>Strip your submissions back to the essential points and start with your strongest points first. Remove any weak points or put them last.</w:t>
      </w:r>
    </w:p>
    <w:p w14:paraId="4CB09AB5" w14:textId="77777777" w:rsidR="00E61476" w:rsidRPr="00E61476" w:rsidRDefault="00E61476" w:rsidP="00E61476">
      <w:pPr>
        <w:rPr>
          <w:iCs/>
        </w:rPr>
      </w:pPr>
      <w:r w:rsidRPr="00E61476">
        <w:rPr>
          <w:iCs/>
        </w:rPr>
        <w:t>Break your submissions down so that each submission is clear, focused and concise.</w:t>
      </w:r>
    </w:p>
    <w:p w14:paraId="2E2BEDFE" w14:textId="77777777" w:rsidR="00E61476" w:rsidRPr="00E61476" w:rsidRDefault="00E61476" w:rsidP="00E61476">
      <w:pPr>
        <w:rPr>
          <w:iCs/>
        </w:rPr>
      </w:pPr>
      <w:r w:rsidRPr="00E61476">
        <w:rPr>
          <w:iCs/>
        </w:rPr>
        <w:t>Make sure the order of your submissions makes sense. This usually means putting the points of your case first, then dealing with those of the other side.</w:t>
      </w:r>
    </w:p>
    <w:p w14:paraId="6655F3C0" w14:textId="77777777" w:rsidR="00E61476" w:rsidRDefault="00E61476" w:rsidP="00E61476">
      <w:r w:rsidRPr="00E61476">
        <w:t>Suggested 400 words.</w:t>
      </w:r>
    </w:p>
    <w:p w14:paraId="67EED050" w14:textId="77777777" w:rsidR="00116C96" w:rsidRDefault="00116C96" w:rsidP="00E61476"/>
    <w:p w14:paraId="3C7A15FE" w14:textId="32AA941B" w:rsidR="00A42BB4" w:rsidRDefault="00116C96" w:rsidP="00E61476">
      <w:r>
        <w:t xml:space="preserve">My client seeks to establish that a constructive trust exists between herself and her former partner, the defendant, Ms. Williams. </w:t>
      </w:r>
      <w:r w:rsidR="00D762D8">
        <w:t>The defendant owns the property as the sole legal owner,</w:t>
      </w:r>
      <w:r w:rsidR="00C67DEB">
        <w:t xml:space="preserve"> however this does not, due to the actions of my client, suggest Ms. Williams to be the sole owner in equity (Jones v Kernott (2011))</w:t>
      </w:r>
      <w:r w:rsidR="00BC680A">
        <w:t xml:space="preserve">. </w:t>
      </w:r>
    </w:p>
    <w:p w14:paraId="418849DC" w14:textId="4143A3CD" w:rsidR="00116C96" w:rsidRDefault="00BC680A" w:rsidP="00E61476">
      <w:r>
        <w:t xml:space="preserve">My client’s long-term relationship with the defendant shows a clear attitude of common interest that has run through the relationship in its entirety, including the sharing of funds, usage of the property and even raising two children together. Day to day finance was done through </w:t>
      </w:r>
      <w:r w:rsidR="00150061">
        <w:t>joint accounts</w:t>
      </w:r>
      <w:r w:rsidR="00A42BB4">
        <w:t xml:space="preserve"> paid into by both parties. The defendant had even previously stated that there was intent to share property 50/50 with my client. While this is disputed, the actions of both parties would suggest that they had operated as a complete partnership wherever possible, which should be considered in this matter (Stack v Dowden (2007))</w:t>
      </w:r>
      <w:r w:rsidR="00EF791F">
        <w:t xml:space="preserve">. </w:t>
      </w:r>
      <w:r w:rsidR="00AD3E24">
        <w:t>Additionally, my client, in 2014, as shown by the text exchange dated 4</w:t>
      </w:r>
      <w:r w:rsidR="00AD3E24" w:rsidRPr="00AD3E24">
        <w:rPr>
          <w:vertAlign w:val="superscript"/>
        </w:rPr>
        <w:t>th</w:t>
      </w:r>
      <w:r w:rsidR="00AD3E24">
        <w:t xml:space="preserve"> of August 2018 had referred back to a meeting with a solicitor, in which the parties were advised to create an express declaration of trust, shows my client’s concern and shock at that notion that she may not have any claim to the property. </w:t>
      </w:r>
    </w:p>
    <w:p w14:paraId="74F43BD8" w14:textId="61833081" w:rsidR="00EF791F" w:rsidRDefault="00EF791F" w:rsidP="00E61476">
      <w:r>
        <w:lastRenderedPageBreak/>
        <w:t xml:space="preserve">My client has also taken on significant personal detriment by remaining in the property. Necessary repairs and improvements enjoyed and approved by both parties had required that my client use her savings, which were described as significant by the defendant, in their totality </w:t>
      </w:r>
      <w:r>
        <w:rPr>
          <w:iCs/>
        </w:rPr>
        <w:t>Smith v Bottomley and Another (2013)</w:t>
      </w:r>
      <w:r>
        <w:t>. The defendant suggested that these savings of £60,000 held personally by the complainant could be used to purchase a new home, or provide her with new accommodation, however the usage of these funds would make this impossible.  My client has clearly stated that she would not have taken on these works if she did not believe she had some interest in the property. This is later substantiated by the text exchange dated 21</w:t>
      </w:r>
      <w:r w:rsidRPr="00EF791F">
        <w:rPr>
          <w:vertAlign w:val="superscript"/>
        </w:rPr>
        <w:t>st</w:t>
      </w:r>
      <w:r>
        <w:t xml:space="preserve"> of November 2018, in which my client, in reference to the repairs to the property </w:t>
      </w:r>
      <w:r w:rsidR="00BC366F">
        <w:t xml:space="preserve">states “Why wouldn’t I? It’s our home – mine as much as yours. So I’ll pay the builders”, which is in no way refuted by the defendant. </w:t>
      </w:r>
    </w:p>
    <w:p w14:paraId="0A74FBB9" w14:textId="77777777" w:rsidR="00E61476" w:rsidRDefault="00E61476" w:rsidP="00E61476">
      <w:pPr>
        <w:rPr>
          <w:b/>
        </w:rPr>
      </w:pPr>
      <w:r w:rsidRPr="00E61476">
        <w:rPr>
          <w:b/>
        </w:rPr>
        <w:t xml:space="preserve">Conclusions </w:t>
      </w:r>
    </w:p>
    <w:p w14:paraId="5DBE46CB" w14:textId="7476F254" w:rsidR="00BC366F" w:rsidRPr="00E61476" w:rsidRDefault="00BC366F" w:rsidP="00E61476">
      <w:pPr>
        <w:rPr>
          <w:bCs/>
        </w:rPr>
      </w:pPr>
      <w:r>
        <w:rPr>
          <w:bCs/>
        </w:rPr>
        <w:t>Concluding my first submission, it is clear that my client has</w:t>
      </w:r>
      <w:r w:rsidR="00515C06">
        <w:rPr>
          <w:bCs/>
        </w:rPr>
        <w:t xml:space="preserve"> not just</w:t>
      </w:r>
      <w:r>
        <w:rPr>
          <w:bCs/>
        </w:rPr>
        <w:t xml:space="preserve"> taken on a significant detriment </w:t>
      </w:r>
      <w:r w:rsidR="00AD3E24">
        <w:rPr>
          <w:bCs/>
        </w:rPr>
        <w:t>to herself by remaining within the property</w:t>
      </w:r>
      <w:r w:rsidR="00D15180">
        <w:rPr>
          <w:bCs/>
        </w:rPr>
        <w:t>, repair it and improve it</w:t>
      </w:r>
      <w:r w:rsidR="00AD3E24">
        <w:rPr>
          <w:bCs/>
        </w:rPr>
        <w:t xml:space="preserve">, </w:t>
      </w:r>
      <w:r w:rsidR="00515C06">
        <w:rPr>
          <w:bCs/>
        </w:rPr>
        <w:t>but has also shown a significant willingness to live in total equity with her partner at the time, shown both by her language</w:t>
      </w:r>
      <w:r w:rsidR="00D15180">
        <w:rPr>
          <w:bCs/>
        </w:rPr>
        <w:t xml:space="preserve"> and her behaviour. </w:t>
      </w:r>
    </w:p>
    <w:p w14:paraId="0FE5833F" w14:textId="77777777" w:rsidR="00D15180" w:rsidRDefault="00E61476" w:rsidP="00E61476">
      <w:pPr>
        <w:rPr>
          <w:b/>
        </w:rPr>
      </w:pPr>
      <w:r w:rsidRPr="00E61476">
        <w:rPr>
          <w:b/>
        </w:rPr>
        <w:t>Submissions</w:t>
      </w:r>
    </w:p>
    <w:p w14:paraId="75232D19" w14:textId="55C65D03" w:rsidR="00FC745E" w:rsidRDefault="00D15180" w:rsidP="00E61476">
      <w:pPr>
        <w:rPr>
          <w:bCs/>
        </w:rPr>
      </w:pPr>
      <w:r w:rsidRPr="00D15180">
        <w:rPr>
          <w:bCs/>
        </w:rPr>
        <w:t>For my second submission</w:t>
      </w:r>
      <w:r>
        <w:rPr>
          <w:bCs/>
        </w:rPr>
        <w:t xml:space="preserve">, my client should be entitled to proprietary estoppel as to her interest in the property. </w:t>
      </w:r>
    </w:p>
    <w:p w14:paraId="2F6E59EE" w14:textId="226996F9" w:rsidR="00610F83" w:rsidRDefault="00D15180" w:rsidP="00E61476">
      <w:pPr>
        <w:rPr>
          <w:bCs/>
        </w:rPr>
      </w:pPr>
      <w:r>
        <w:rPr>
          <w:bCs/>
        </w:rPr>
        <w:t xml:space="preserve">My client has clearly, for years, been operating under the notion that she would have interest in the property. This is substantiated not just by my client’s statements, in which the defendant had alluded to </w:t>
      </w:r>
      <w:proofErr w:type="gramStart"/>
      <w:r>
        <w:rPr>
          <w:bCs/>
        </w:rPr>
        <w:t>all of</w:t>
      </w:r>
      <w:proofErr w:type="gramEnd"/>
      <w:r>
        <w:rPr>
          <w:bCs/>
        </w:rPr>
        <w:t xml:space="preserve"> their property being shared “50/50”</w:t>
      </w:r>
      <w:r w:rsidR="00610F83">
        <w:rPr>
          <w:bCs/>
        </w:rPr>
        <w:t xml:space="preserve"> (</w:t>
      </w:r>
      <w:r>
        <w:rPr>
          <w:bCs/>
        </w:rPr>
        <w:t>, but also through the 2018 text exchange provi</w:t>
      </w:r>
      <w:r w:rsidR="00221A17">
        <w:rPr>
          <w:bCs/>
        </w:rPr>
        <w:t xml:space="preserve">ded. This makes clear that my client was assured of her equitable interest </w:t>
      </w:r>
      <w:r w:rsidR="00B45B3D">
        <w:rPr>
          <w:bCs/>
        </w:rPr>
        <w:t>i</w:t>
      </w:r>
      <w:r w:rsidR="00221A17">
        <w:rPr>
          <w:bCs/>
        </w:rPr>
        <w:t>n the property by misrepresentation by the defendant</w:t>
      </w:r>
      <w:r w:rsidR="00610F83">
        <w:rPr>
          <w:bCs/>
        </w:rPr>
        <w:t xml:space="preserve"> (Thorner v Major (2009))</w:t>
      </w:r>
    </w:p>
    <w:p w14:paraId="5127AE24" w14:textId="033A8A2D" w:rsidR="00D15180" w:rsidRDefault="00610F83" w:rsidP="00E61476">
      <w:pPr>
        <w:rPr>
          <w:bCs/>
        </w:rPr>
      </w:pPr>
      <w:r>
        <w:rPr>
          <w:bCs/>
        </w:rPr>
        <w:t xml:space="preserve">Following from this, my prior submission makes clear that my client has gone above and beyond what would be expected by any reasonable person cohabiting with a long-term partner (Murphy v Rayner (2011)). This has been done at a significant detriment to my client. </w:t>
      </w:r>
    </w:p>
    <w:p w14:paraId="0C5EE5DF" w14:textId="766A0BEC" w:rsidR="00610F83" w:rsidRPr="00D13325" w:rsidRDefault="00610F83" w:rsidP="00E61476">
      <w:pPr>
        <w:rPr>
          <w:iCs/>
        </w:rPr>
      </w:pPr>
      <w:r>
        <w:rPr>
          <w:bCs/>
        </w:rPr>
        <w:t>The complainant had also relied on the assurances made by the defendant, as shown by the complainant’s language and her usage of her own funds for the repairs and improvements, making her unable to find a new property in the event of separation</w:t>
      </w:r>
      <w:r w:rsidR="00D13325">
        <w:rPr>
          <w:bCs/>
        </w:rPr>
        <w:t>, effectively structuring her life around this assurance (</w:t>
      </w:r>
      <w:r w:rsidR="00D13325">
        <w:rPr>
          <w:iCs/>
        </w:rPr>
        <w:t>Wayling v Jones (1995)</w:t>
      </w:r>
      <w:r w:rsidR="00D13325">
        <w:rPr>
          <w:bCs/>
        </w:rPr>
        <w:t>). Additionally, the defendant need not be explicitly aware that my client has structured her life around this property, or that she had been living with the confidence that she had a legal interest in the property (</w:t>
      </w:r>
      <w:r w:rsidR="00D13325">
        <w:rPr>
          <w:iCs/>
        </w:rPr>
        <w:t>Joyce v Epsom &amp; Ewell Borough Council (2012))</w:t>
      </w:r>
      <w:r w:rsidR="00D13325">
        <w:rPr>
          <w:bCs/>
        </w:rPr>
        <w:t xml:space="preserve">. </w:t>
      </w:r>
    </w:p>
    <w:p w14:paraId="484F2B41" w14:textId="180EE66B" w:rsidR="00D13325" w:rsidRPr="00E61476" w:rsidRDefault="00D13325" w:rsidP="00E61476">
      <w:pPr>
        <w:rPr>
          <w:iCs/>
        </w:rPr>
      </w:pPr>
      <w:r>
        <w:rPr>
          <w:bCs/>
        </w:rPr>
        <w:t>Finally, it would be unconscionable to remove or disregard my client’s beneficial interest in the property due to her inability to find new accommodation without her savings (</w:t>
      </w:r>
      <w:r>
        <w:rPr>
          <w:iCs/>
        </w:rPr>
        <w:t>Gillet v Holt (2001))</w:t>
      </w:r>
      <w:r>
        <w:rPr>
          <w:bCs/>
        </w:rPr>
        <w:t xml:space="preserve">. </w:t>
      </w:r>
    </w:p>
    <w:p w14:paraId="2AF8D28C" w14:textId="77777777" w:rsidR="00E61476" w:rsidRPr="00E61476" w:rsidRDefault="00E61476" w:rsidP="00E61476">
      <w:r w:rsidRPr="00E61476">
        <w:t>Suggested 400 words</w:t>
      </w:r>
    </w:p>
    <w:p w14:paraId="26B21F73" w14:textId="77777777" w:rsidR="00E61476" w:rsidRPr="00E61476" w:rsidRDefault="00E61476" w:rsidP="00E61476">
      <w:pPr>
        <w:rPr>
          <w:b/>
        </w:rPr>
      </w:pPr>
      <w:r w:rsidRPr="00E61476">
        <w:rPr>
          <w:b/>
        </w:rPr>
        <w:t xml:space="preserve">Conclusions </w:t>
      </w:r>
    </w:p>
    <w:p w14:paraId="1BFBA1B8" w14:textId="77777777" w:rsidR="00D13325" w:rsidRDefault="00D13325" w:rsidP="00E61476">
      <w:r>
        <w:t xml:space="preserve">In conclusion to my second submission, it would be unconscionable to disregard my client’s interest in the property. She must be estopped to ensure her fair treatment given the kind of detriment she has placed herself at due to her reliance on the statements of the defendant </w:t>
      </w:r>
    </w:p>
    <w:p w14:paraId="1227CF21" w14:textId="4D10E3AF" w:rsidR="00E61476" w:rsidRDefault="00E61476" w:rsidP="00E61476">
      <w:pPr>
        <w:rPr>
          <w:b/>
        </w:rPr>
      </w:pPr>
      <w:r w:rsidRPr="00E61476">
        <w:rPr>
          <w:b/>
        </w:rPr>
        <w:lastRenderedPageBreak/>
        <w:t xml:space="preserve">Overall conclusions </w:t>
      </w:r>
    </w:p>
    <w:p w14:paraId="52252019" w14:textId="49D3C30A" w:rsidR="00D13325" w:rsidRPr="00E61476" w:rsidRDefault="00D13325" w:rsidP="00E61476">
      <w:pPr>
        <w:rPr>
          <w:bCs/>
        </w:rPr>
      </w:pPr>
      <w:r w:rsidRPr="00D13325">
        <w:rPr>
          <w:bCs/>
        </w:rPr>
        <w:t>My client</w:t>
      </w:r>
      <w:r>
        <w:rPr>
          <w:bCs/>
        </w:rPr>
        <w:t xml:space="preserve"> not only deserves to be recognised for her </w:t>
      </w:r>
      <w:r w:rsidR="0067472F">
        <w:rPr>
          <w:bCs/>
        </w:rPr>
        <w:t xml:space="preserve">financial </w:t>
      </w:r>
      <w:r>
        <w:rPr>
          <w:bCs/>
        </w:rPr>
        <w:t xml:space="preserve">contribution to the former relationship but also </w:t>
      </w:r>
      <w:r w:rsidR="0067472F">
        <w:rPr>
          <w:bCs/>
        </w:rPr>
        <w:t xml:space="preserve">directly to </w:t>
      </w:r>
      <w:r>
        <w:rPr>
          <w:bCs/>
        </w:rPr>
        <w:t xml:space="preserve">the property in which they lived. She has made significant sacrifice for the benefit of the property and the relationship. My client has a clear case to be made as to the existence of an implied constructive </w:t>
      </w:r>
      <w:proofErr w:type="gramStart"/>
      <w:r>
        <w:rPr>
          <w:bCs/>
        </w:rPr>
        <w:t>trust</w:t>
      </w:r>
      <w:r w:rsidR="002E746B">
        <w:rPr>
          <w:bCs/>
        </w:rPr>
        <w:t>, and</w:t>
      </w:r>
      <w:proofErr w:type="gramEnd"/>
      <w:r w:rsidR="002E746B">
        <w:rPr>
          <w:bCs/>
        </w:rPr>
        <w:t xml:space="preserve"> must be estopped </w:t>
      </w:r>
      <w:proofErr w:type="gramStart"/>
      <w:r w:rsidR="002E746B">
        <w:rPr>
          <w:bCs/>
        </w:rPr>
        <w:t>in order to</w:t>
      </w:r>
      <w:proofErr w:type="gramEnd"/>
      <w:r w:rsidR="002E746B">
        <w:rPr>
          <w:bCs/>
        </w:rPr>
        <w:t xml:space="preserve"> ensure her rights to this property, an</w:t>
      </w:r>
      <w:r w:rsidR="0067472F">
        <w:rPr>
          <w:bCs/>
        </w:rPr>
        <w:t>d</w:t>
      </w:r>
      <w:r w:rsidR="002E746B">
        <w:rPr>
          <w:bCs/>
        </w:rPr>
        <w:t xml:space="preserve"> interest in it are respected. </w:t>
      </w:r>
    </w:p>
    <w:p w14:paraId="353CF437" w14:textId="77777777" w:rsidR="00953D59" w:rsidRDefault="00953D59" w:rsidP="00E61476">
      <w:pPr>
        <w:rPr>
          <w:b/>
          <w:bCs/>
        </w:rPr>
      </w:pPr>
      <w:r>
        <w:rPr>
          <w:b/>
          <w:bCs/>
        </w:rPr>
        <w:t>Gabrial Harris</w:t>
      </w:r>
    </w:p>
    <w:p w14:paraId="76EEEC06" w14:textId="77777777" w:rsidR="00953D59" w:rsidRDefault="00953D59" w:rsidP="00E61476">
      <w:pPr>
        <w:rPr>
          <w:b/>
          <w:bCs/>
        </w:rPr>
      </w:pPr>
      <w:r>
        <w:rPr>
          <w:b/>
          <w:bCs/>
        </w:rPr>
        <w:t>Advocate</w:t>
      </w:r>
    </w:p>
    <w:p w14:paraId="4B46AF8E" w14:textId="77777777" w:rsidR="00953D59" w:rsidRDefault="00953D59" w:rsidP="00E61476">
      <w:pPr>
        <w:rPr>
          <w:b/>
          <w:bCs/>
        </w:rPr>
      </w:pPr>
      <w:r>
        <w:rPr>
          <w:b/>
          <w:bCs/>
        </w:rPr>
        <w:t>Trinity Law</w:t>
      </w:r>
    </w:p>
    <w:p w14:paraId="7FA51CB7" w14:textId="3F80CD09" w:rsidR="00E61476" w:rsidRPr="00E61476" w:rsidRDefault="002477D1" w:rsidP="00E61476">
      <w:pPr>
        <w:rPr>
          <w:b/>
          <w:bCs/>
        </w:rPr>
      </w:pPr>
      <w:r>
        <w:rPr>
          <w:b/>
          <w:bCs/>
        </w:rPr>
        <w:t>07/01/2026</w:t>
      </w:r>
    </w:p>
    <w:p w14:paraId="7C4BA57E" w14:textId="77777777" w:rsidR="00E61476" w:rsidRPr="00E61476" w:rsidRDefault="00E61476" w:rsidP="00E61476"/>
    <w:p w14:paraId="7D18CD47" w14:textId="77777777" w:rsidR="00E61476" w:rsidRPr="00E61476" w:rsidRDefault="00E61476" w:rsidP="00E61476"/>
    <w:p w14:paraId="5BC0EE59" w14:textId="77777777" w:rsidR="00953D59" w:rsidRDefault="00953D59" w:rsidP="00E61476"/>
    <w:p w14:paraId="644F077D" w14:textId="77777777" w:rsidR="00953D59" w:rsidRDefault="00953D59" w:rsidP="00E61476"/>
    <w:p w14:paraId="7C1E03CD" w14:textId="77777777" w:rsidR="00953D59" w:rsidRDefault="00953D59" w:rsidP="00E61476"/>
    <w:p w14:paraId="5108C70B" w14:textId="77777777" w:rsidR="00953D59" w:rsidRDefault="00953D59" w:rsidP="00E61476"/>
    <w:p w14:paraId="2BC0D268" w14:textId="77777777" w:rsidR="00953D59" w:rsidRDefault="00953D59" w:rsidP="00E61476"/>
    <w:p w14:paraId="0BC46F97" w14:textId="77777777" w:rsidR="00953D59" w:rsidRDefault="00953D59" w:rsidP="00E61476"/>
    <w:p w14:paraId="4A61505E" w14:textId="77777777" w:rsidR="00953D59" w:rsidRDefault="00953D59" w:rsidP="00E61476"/>
    <w:p w14:paraId="640126A8" w14:textId="77777777" w:rsidR="00953D59" w:rsidRDefault="00953D59" w:rsidP="00E61476"/>
    <w:p w14:paraId="5580D90D" w14:textId="77777777" w:rsidR="00953D59" w:rsidRDefault="00953D59" w:rsidP="00E61476"/>
    <w:p w14:paraId="4EE717EB" w14:textId="77777777" w:rsidR="00953D59" w:rsidRDefault="00953D59" w:rsidP="00E61476"/>
    <w:p w14:paraId="57BC36EF" w14:textId="77777777" w:rsidR="00953D59" w:rsidRDefault="00953D59" w:rsidP="00E61476"/>
    <w:p w14:paraId="56134F29" w14:textId="77777777" w:rsidR="00953D59" w:rsidRDefault="00953D59" w:rsidP="00E61476"/>
    <w:p w14:paraId="0CCBCD9D" w14:textId="77777777" w:rsidR="00953D59" w:rsidRDefault="00953D59" w:rsidP="00E61476"/>
    <w:p w14:paraId="50BAB24D" w14:textId="77777777" w:rsidR="00953D59" w:rsidRDefault="00953D59" w:rsidP="00E61476"/>
    <w:p w14:paraId="168BEF48" w14:textId="77777777" w:rsidR="00953D59" w:rsidRDefault="00953D59" w:rsidP="00E61476"/>
    <w:p w14:paraId="43E364A5" w14:textId="77777777" w:rsidR="00953D59" w:rsidRDefault="00953D59" w:rsidP="00E61476"/>
    <w:p w14:paraId="54A7C4D9" w14:textId="77777777" w:rsidR="00953D59" w:rsidRDefault="00953D59" w:rsidP="00E61476"/>
    <w:p w14:paraId="45506A2D" w14:textId="77777777" w:rsidR="00953D59" w:rsidRDefault="00953D59" w:rsidP="00E61476"/>
    <w:p w14:paraId="38220C64" w14:textId="77777777" w:rsidR="00953D59" w:rsidRDefault="00953D59" w:rsidP="00E61476"/>
    <w:p w14:paraId="3BA8DA0A" w14:textId="77777777" w:rsidR="00953D59" w:rsidRDefault="00953D59" w:rsidP="00E61476"/>
    <w:p w14:paraId="6FB6356A" w14:textId="0D42183F" w:rsidR="00E61476" w:rsidRPr="00953D59" w:rsidRDefault="00E61476" w:rsidP="00E61476">
      <w:r w:rsidRPr="00E61476">
        <w:rPr>
          <w:b/>
          <w:bCs/>
        </w:rPr>
        <w:lastRenderedPageBreak/>
        <w:t xml:space="preserve">Case </w:t>
      </w:r>
      <w:proofErr w:type="gramStart"/>
      <w:r w:rsidRPr="00E61476">
        <w:rPr>
          <w:b/>
          <w:bCs/>
        </w:rPr>
        <w:t>note</w:t>
      </w:r>
      <w:proofErr w:type="gramEnd"/>
    </w:p>
    <w:p w14:paraId="3C2C24D6" w14:textId="77777777" w:rsidR="00E61476" w:rsidRPr="00E61476" w:rsidRDefault="00E61476" w:rsidP="00E61476">
      <w:pPr>
        <w:rPr>
          <w:b/>
          <w:bCs/>
        </w:rPr>
      </w:pPr>
    </w:p>
    <w:p w14:paraId="53C9E8DF" w14:textId="1DB2B40D" w:rsidR="00E61476" w:rsidRDefault="00953D59" w:rsidP="00E61476">
      <w:pPr>
        <w:rPr>
          <w:b/>
          <w:bCs/>
        </w:rPr>
      </w:pPr>
      <w:r>
        <w:rPr>
          <w:b/>
          <w:bCs/>
        </w:rPr>
        <w:t>Yaxley v Gotts and Another (2000)</w:t>
      </w:r>
    </w:p>
    <w:p w14:paraId="12744520" w14:textId="28A9FD78" w:rsidR="00953D59" w:rsidRPr="00E61476" w:rsidRDefault="00953D59" w:rsidP="00E61476">
      <w:pPr>
        <w:rPr>
          <w:b/>
          <w:bCs/>
        </w:rPr>
      </w:pPr>
      <w:r>
        <w:rPr>
          <w:b/>
          <w:bCs/>
        </w:rPr>
        <w:t>1 All ER 711</w:t>
      </w:r>
    </w:p>
    <w:p w14:paraId="03F7A4FB" w14:textId="33852954" w:rsidR="00E61476" w:rsidRPr="00E61476" w:rsidRDefault="00E61476" w:rsidP="00E61476">
      <w:pPr>
        <w:rPr>
          <w:b/>
          <w:bCs/>
        </w:rPr>
      </w:pPr>
      <w:r w:rsidRPr="00E61476">
        <w:rPr>
          <w:b/>
          <w:bCs/>
        </w:rPr>
        <w:t>Court</w:t>
      </w:r>
      <w:r w:rsidR="00953D59">
        <w:rPr>
          <w:b/>
          <w:bCs/>
        </w:rPr>
        <w:t xml:space="preserve"> of Appeal</w:t>
      </w:r>
    </w:p>
    <w:p w14:paraId="45B82D26" w14:textId="2A8E7DCD" w:rsidR="00E61476" w:rsidRPr="00E61476" w:rsidRDefault="00E61476" w:rsidP="00E61476">
      <w:pPr>
        <w:rPr>
          <w:b/>
          <w:bCs/>
        </w:rPr>
      </w:pPr>
    </w:p>
    <w:p w14:paraId="45A8E77E" w14:textId="77777777" w:rsidR="00E61476" w:rsidRPr="00E61476" w:rsidRDefault="00E61476" w:rsidP="00E61476">
      <w:pPr>
        <w:rPr>
          <w:b/>
          <w:bCs/>
        </w:rPr>
      </w:pPr>
      <w:r w:rsidRPr="00E61476">
        <w:rPr>
          <w:b/>
          <w:bCs/>
        </w:rPr>
        <w:t>Parties</w:t>
      </w:r>
    </w:p>
    <w:p w14:paraId="526D829A" w14:textId="42C4BA9A" w:rsidR="00E61476" w:rsidRPr="00E61476" w:rsidRDefault="00316589" w:rsidP="00E61476">
      <w:r>
        <w:t>Keith Yaxley</w:t>
      </w:r>
      <w:r w:rsidR="00E61476" w:rsidRPr="00E61476">
        <w:t xml:space="preserve"> (Appellant) </w:t>
      </w:r>
    </w:p>
    <w:p w14:paraId="5D3B2618" w14:textId="0FF228A5" w:rsidR="00E61476" w:rsidRPr="00F31424" w:rsidRDefault="00316589" w:rsidP="00E61476">
      <w:r>
        <w:t>Alan Gotts</w:t>
      </w:r>
      <w:r w:rsidR="00E61476" w:rsidRPr="00E61476">
        <w:t xml:space="preserve"> (Respondent)</w:t>
      </w:r>
    </w:p>
    <w:p w14:paraId="4131426E" w14:textId="77777777" w:rsidR="00E61476" w:rsidRDefault="00E61476" w:rsidP="00E61476">
      <w:pPr>
        <w:rPr>
          <w:b/>
          <w:bCs/>
        </w:rPr>
      </w:pPr>
      <w:r w:rsidRPr="00E61476">
        <w:rPr>
          <w:b/>
          <w:bCs/>
        </w:rPr>
        <w:t>Procedural History</w:t>
      </w:r>
    </w:p>
    <w:p w14:paraId="39961191" w14:textId="1C707F51" w:rsidR="00316589" w:rsidRPr="00316589" w:rsidRDefault="00316589" w:rsidP="00E61476">
      <w:r>
        <w:t xml:space="preserve">This case originated in the County </w:t>
      </w:r>
      <w:proofErr w:type="gramStart"/>
      <w:r>
        <w:t>Court, but</w:t>
      </w:r>
      <w:proofErr w:type="gramEnd"/>
      <w:r>
        <w:t xml:space="preserve"> has been appealed to the Court of Appeal.</w:t>
      </w:r>
    </w:p>
    <w:p w14:paraId="68EE7D36" w14:textId="1419E28F" w:rsidR="00E61476" w:rsidRDefault="00E61476" w:rsidP="00E61476">
      <w:pPr>
        <w:rPr>
          <w:b/>
          <w:bCs/>
        </w:rPr>
      </w:pPr>
      <w:r w:rsidRPr="00E61476">
        <w:rPr>
          <w:b/>
          <w:bCs/>
        </w:rPr>
        <w:t>Material facts</w:t>
      </w:r>
    </w:p>
    <w:p w14:paraId="27F9D91A" w14:textId="2EFFE686" w:rsidR="00353907" w:rsidRPr="00353907" w:rsidRDefault="00353907" w:rsidP="00E61476">
      <w:r>
        <w:t>Parties previously cohabitated for 15 years. The defendant is the sole legal owner. The complainant claims an interest in the property. This is disputed by the defendant.</w:t>
      </w:r>
    </w:p>
    <w:p w14:paraId="412D2048" w14:textId="5729A812" w:rsidR="00E61476" w:rsidRDefault="00E61476" w:rsidP="00E61476">
      <w:pPr>
        <w:rPr>
          <w:b/>
          <w:bCs/>
        </w:rPr>
      </w:pPr>
      <w:r w:rsidRPr="00E61476">
        <w:rPr>
          <w:b/>
          <w:bCs/>
        </w:rPr>
        <w:t xml:space="preserve">Legal questions for the court </w:t>
      </w:r>
    </w:p>
    <w:p w14:paraId="4194E380" w14:textId="11D74D58" w:rsidR="00316589" w:rsidRDefault="00316589" w:rsidP="00316589">
      <w:pPr>
        <w:pStyle w:val="ListParagraph"/>
        <w:numPr>
          <w:ilvl w:val="0"/>
          <w:numId w:val="13"/>
        </w:numPr>
      </w:pPr>
      <w:r w:rsidRPr="00316589">
        <w:t>Whether an oral agreement that does not comply with section 2 of the Law of Property (miscellaneous provisions) Act 1989 was void or unenforceable</w:t>
      </w:r>
    </w:p>
    <w:p w14:paraId="5E3D3B74" w14:textId="4C0370A4" w:rsidR="00316589" w:rsidRDefault="00316589" w:rsidP="00316589">
      <w:pPr>
        <w:pStyle w:val="ListParagraph"/>
        <w:numPr>
          <w:ilvl w:val="0"/>
          <w:numId w:val="13"/>
        </w:numPr>
      </w:pPr>
      <w:r>
        <w:t xml:space="preserve">Whether </w:t>
      </w:r>
      <w:r w:rsidR="001907A1">
        <w:t xml:space="preserve">proprietary estoppel </w:t>
      </w:r>
      <w:r w:rsidR="00E724E6">
        <w:t>can enforce agreements made void by the prior mentioned Act</w:t>
      </w:r>
    </w:p>
    <w:p w14:paraId="33C404D9" w14:textId="11FF7FFB" w:rsidR="00E724E6" w:rsidRDefault="00E724E6" w:rsidP="00316589">
      <w:pPr>
        <w:pStyle w:val="ListParagraph"/>
        <w:numPr>
          <w:ilvl w:val="0"/>
          <w:numId w:val="13"/>
        </w:numPr>
      </w:pPr>
      <w:r>
        <w:t xml:space="preserve">Whether the saving provision in section 2(5) of the Act </w:t>
      </w:r>
      <w:r w:rsidR="0089629E">
        <w:t>preserves creation of constructive trusts where the oral agreement would not satisfy the Act</w:t>
      </w:r>
    </w:p>
    <w:p w14:paraId="7A5FACE5" w14:textId="6A515CFF" w:rsidR="0089629E" w:rsidRPr="00316589" w:rsidRDefault="0089629E" w:rsidP="00316589">
      <w:pPr>
        <w:pStyle w:val="ListParagraph"/>
        <w:numPr>
          <w:ilvl w:val="0"/>
          <w:numId w:val="13"/>
        </w:numPr>
      </w:pPr>
      <w:r>
        <w:t xml:space="preserve">The extent that public policy restricts equitable remedies in land </w:t>
      </w:r>
    </w:p>
    <w:p w14:paraId="48104E9E" w14:textId="77777777" w:rsidR="00E61476" w:rsidRPr="00E61476" w:rsidRDefault="00E61476" w:rsidP="00E61476">
      <w:pPr>
        <w:rPr>
          <w:b/>
          <w:bCs/>
        </w:rPr>
      </w:pPr>
      <w:r w:rsidRPr="00E61476">
        <w:rPr>
          <w:b/>
          <w:bCs/>
        </w:rPr>
        <w:t>Appellant arguments</w:t>
      </w:r>
    </w:p>
    <w:p w14:paraId="7C4882C3" w14:textId="1AD10990" w:rsidR="00F31424" w:rsidRDefault="00F31424" w:rsidP="00F31424">
      <w:pPr>
        <w:pStyle w:val="ListParagraph"/>
        <w:numPr>
          <w:ilvl w:val="0"/>
          <w:numId w:val="14"/>
        </w:numPr>
      </w:pPr>
      <w:r>
        <w:t>Prior agreements did not satisfy section 2 of the Act and are thus void</w:t>
      </w:r>
    </w:p>
    <w:p w14:paraId="55BDB998" w14:textId="2259E739" w:rsidR="00F31424" w:rsidRDefault="00F31424" w:rsidP="00F31424">
      <w:pPr>
        <w:pStyle w:val="ListParagraph"/>
        <w:numPr>
          <w:ilvl w:val="0"/>
          <w:numId w:val="14"/>
        </w:numPr>
      </w:pPr>
      <w:r>
        <w:t>Proprietary estoppel cannot be used to enforce a void agreement</w:t>
      </w:r>
    </w:p>
    <w:p w14:paraId="4CAD4463" w14:textId="0EEC07C1" w:rsidR="00F31424" w:rsidRDefault="00F31424" w:rsidP="00F31424">
      <w:pPr>
        <w:pStyle w:val="ListParagraph"/>
        <w:numPr>
          <w:ilvl w:val="0"/>
          <w:numId w:val="14"/>
        </w:numPr>
      </w:pPr>
      <w:r>
        <w:t>The only relief available to the plaintiff should be for work and management, not ownership</w:t>
      </w:r>
    </w:p>
    <w:p w14:paraId="17C7F548" w14:textId="6303E34F" w:rsidR="00F31424" w:rsidRDefault="00F31424" w:rsidP="00F31424">
      <w:pPr>
        <w:pStyle w:val="ListParagraph"/>
        <w:numPr>
          <w:ilvl w:val="0"/>
          <w:numId w:val="14"/>
        </w:numPr>
      </w:pPr>
      <w:r>
        <w:t>The section 2(5) saving clause does not affect contracts void under section 2 of the Act</w:t>
      </w:r>
    </w:p>
    <w:p w14:paraId="19AC4A7A" w14:textId="2FD57CFB" w:rsidR="00F31424" w:rsidRPr="00F31424" w:rsidRDefault="00F31424" w:rsidP="00F31424">
      <w:pPr>
        <w:pStyle w:val="ListParagraph"/>
        <w:numPr>
          <w:ilvl w:val="0"/>
          <w:numId w:val="14"/>
        </w:numPr>
      </w:pPr>
      <w:r>
        <w:t>Enforcing the contract would damage public policy decisions that uphold statutory requirements for written contracts</w:t>
      </w:r>
    </w:p>
    <w:p w14:paraId="078CF779" w14:textId="58597E20" w:rsidR="00E61476" w:rsidRPr="00E61476" w:rsidRDefault="00E61476" w:rsidP="00E61476">
      <w:pPr>
        <w:rPr>
          <w:b/>
          <w:bCs/>
        </w:rPr>
      </w:pPr>
      <w:r w:rsidRPr="00E61476">
        <w:rPr>
          <w:b/>
          <w:bCs/>
        </w:rPr>
        <w:t>Respondent’s arguments</w:t>
      </w:r>
    </w:p>
    <w:p w14:paraId="453CA492" w14:textId="5C26A3D6" w:rsidR="00E61476" w:rsidRDefault="00F31424" w:rsidP="00F31424">
      <w:pPr>
        <w:pStyle w:val="ListParagraph"/>
        <w:numPr>
          <w:ilvl w:val="0"/>
          <w:numId w:val="15"/>
        </w:numPr>
      </w:pPr>
      <w:r>
        <w:t>The case is based on proprietary estoppel, not enforcement of the contract to prevent unconscionable disregard of rights</w:t>
      </w:r>
    </w:p>
    <w:p w14:paraId="2605DD25" w14:textId="0A2016F3" w:rsidR="00F31424" w:rsidRDefault="00F31424" w:rsidP="00F31424">
      <w:pPr>
        <w:pStyle w:val="ListParagraph"/>
        <w:numPr>
          <w:ilvl w:val="0"/>
          <w:numId w:val="15"/>
        </w:numPr>
      </w:pPr>
      <w:r>
        <w:t xml:space="preserve">Section 2(5) </w:t>
      </w:r>
      <w:r w:rsidR="00277D31">
        <w:t>protects constructive trusts, allowing them to be applied</w:t>
      </w:r>
    </w:p>
    <w:p w14:paraId="5EC83AFC" w14:textId="663EF856" w:rsidR="00277D31" w:rsidRDefault="00277D31" w:rsidP="00F31424">
      <w:pPr>
        <w:pStyle w:val="ListParagraph"/>
        <w:numPr>
          <w:ilvl w:val="0"/>
          <w:numId w:val="15"/>
        </w:numPr>
      </w:pPr>
      <w:r>
        <w:t>County Court judgement already favours the existence of a constructive trust and estoppel</w:t>
      </w:r>
    </w:p>
    <w:p w14:paraId="146A007D" w14:textId="23A4E44E" w:rsidR="00277D31" w:rsidRDefault="00277D31" w:rsidP="00F31424">
      <w:pPr>
        <w:pStyle w:val="ListParagraph"/>
        <w:numPr>
          <w:ilvl w:val="0"/>
          <w:numId w:val="15"/>
        </w:numPr>
      </w:pPr>
      <w:r>
        <w:t xml:space="preserve">Public policy does nit exclude usage of equitable remedies </w:t>
      </w:r>
      <w:r w:rsidR="002E5359">
        <w:t>where someone has acted in their own detriment, despite a lack of compliance with statute</w:t>
      </w:r>
    </w:p>
    <w:p w14:paraId="6BA97D00" w14:textId="037EE7EF" w:rsidR="002E5359" w:rsidRPr="00E61476" w:rsidRDefault="002E5359" w:rsidP="00F31424">
      <w:pPr>
        <w:pStyle w:val="ListParagraph"/>
        <w:numPr>
          <w:ilvl w:val="0"/>
          <w:numId w:val="15"/>
        </w:numPr>
      </w:pPr>
      <w:r>
        <w:lastRenderedPageBreak/>
        <w:t xml:space="preserve">The plaintiff is entitled to a leasehold interest in equity </w:t>
      </w:r>
    </w:p>
    <w:p w14:paraId="42824C41" w14:textId="77777777" w:rsidR="00E61476" w:rsidRPr="00E61476" w:rsidRDefault="00E61476" w:rsidP="00E61476">
      <w:pPr>
        <w:rPr>
          <w:b/>
          <w:bCs/>
        </w:rPr>
      </w:pPr>
      <w:r w:rsidRPr="00E61476">
        <w:rPr>
          <w:b/>
          <w:bCs/>
        </w:rPr>
        <w:t>Decision of court</w:t>
      </w:r>
    </w:p>
    <w:p w14:paraId="5715C98C" w14:textId="79D02E30" w:rsidR="00E61476" w:rsidRPr="00E61476" w:rsidRDefault="00316589" w:rsidP="00E61476">
      <w:r>
        <w:t xml:space="preserve">The appeal was </w:t>
      </w:r>
      <w:r w:rsidR="002E5359">
        <w:t>dismissed with costs with costs</w:t>
      </w:r>
      <w:r>
        <w:t xml:space="preserve"> </w:t>
      </w:r>
    </w:p>
    <w:p w14:paraId="79E1F173" w14:textId="77777777" w:rsidR="00E61476" w:rsidRDefault="00E61476" w:rsidP="00E61476">
      <w:pPr>
        <w:rPr>
          <w:b/>
          <w:bCs/>
        </w:rPr>
      </w:pPr>
      <w:r w:rsidRPr="00E61476">
        <w:rPr>
          <w:b/>
          <w:bCs/>
        </w:rPr>
        <w:t>Rule of law</w:t>
      </w:r>
    </w:p>
    <w:p w14:paraId="161A93B5" w14:textId="14EE00F7" w:rsidR="002E5359" w:rsidRDefault="002E5359" w:rsidP="002E5359">
      <w:pPr>
        <w:pStyle w:val="ListParagraph"/>
        <w:numPr>
          <w:ilvl w:val="0"/>
          <w:numId w:val="16"/>
        </w:numPr>
      </w:pPr>
      <w:r w:rsidRPr="002E5359">
        <w:t>Section 2(</w:t>
      </w:r>
      <w:r>
        <w:t>5</w:t>
      </w:r>
      <w:r w:rsidRPr="002E5359">
        <w:t>) does not prevent, but in fact preserves the creation of equitable trusts</w:t>
      </w:r>
      <w:r>
        <w:t xml:space="preserve"> </w:t>
      </w:r>
      <w:r w:rsidR="005E3FA7">
        <w:t xml:space="preserve">and </w:t>
      </w:r>
      <w:r>
        <w:t>regardless of the formalities in section 2(1)</w:t>
      </w:r>
    </w:p>
    <w:p w14:paraId="3446E845" w14:textId="138DCB9E" w:rsidR="002E5359" w:rsidRDefault="002E5359" w:rsidP="002E5359">
      <w:pPr>
        <w:pStyle w:val="ListParagraph"/>
        <w:numPr>
          <w:ilvl w:val="0"/>
          <w:numId w:val="16"/>
        </w:numPr>
      </w:pPr>
      <w:r>
        <w:t>Section 2(5) to be interpreted in its broad, natural meaning as opposed t narrow approach</w:t>
      </w:r>
    </w:p>
    <w:p w14:paraId="5F5C5D91" w14:textId="248D62BB" w:rsidR="002E5359" w:rsidRPr="002E5359" w:rsidRDefault="00FE2D57" w:rsidP="002E5359">
      <w:pPr>
        <w:pStyle w:val="ListParagraph"/>
        <w:numPr>
          <w:ilvl w:val="0"/>
          <w:numId w:val="16"/>
        </w:numPr>
      </w:pPr>
      <w:r>
        <w:t xml:space="preserve">Proprietary estoppel cannot enforce void contracts under </w:t>
      </w:r>
      <w:r w:rsidR="00663A8B">
        <w:t>Section 2 of the Act</w:t>
      </w:r>
      <w:r>
        <w:t xml:space="preserve"> as a matter of public policy </w:t>
      </w:r>
    </w:p>
    <w:p w14:paraId="7BA20890" w14:textId="77777777" w:rsidR="00E61476" w:rsidRPr="00E61476" w:rsidRDefault="00E61476" w:rsidP="00E61476">
      <w:pPr>
        <w:rPr>
          <w:b/>
          <w:bCs/>
        </w:rPr>
      </w:pPr>
      <w:r w:rsidRPr="00E61476">
        <w:rPr>
          <w:b/>
          <w:bCs/>
        </w:rPr>
        <w:t>Reasoning</w:t>
      </w:r>
    </w:p>
    <w:p w14:paraId="4460D356" w14:textId="3E0F8B15" w:rsidR="00E61476" w:rsidRDefault="00E61476" w:rsidP="00204F34">
      <w:r w:rsidRPr="00E61476">
        <w:t xml:space="preserve">What reasons did the court give to support its decision on the question(s) of law. </w:t>
      </w:r>
    </w:p>
    <w:p w14:paraId="686D190D" w14:textId="54AA8287" w:rsidR="00204F34" w:rsidRDefault="00204F34" w:rsidP="00204F34">
      <w:pPr>
        <w:pStyle w:val="ListParagraph"/>
        <w:numPr>
          <w:ilvl w:val="0"/>
          <w:numId w:val="19"/>
        </w:numPr>
      </w:pPr>
      <w:r>
        <w:t>Proprietary estoppel cannot be used to enforce contracts due to public policy, but this must be balanced against the saving clause</w:t>
      </w:r>
    </w:p>
    <w:p w14:paraId="3C7A5DF1" w14:textId="5AFBE4B0" w:rsidR="00204F34" w:rsidRDefault="00204F34" w:rsidP="00204F34">
      <w:pPr>
        <w:pStyle w:val="ListParagraph"/>
        <w:numPr>
          <w:ilvl w:val="0"/>
          <w:numId w:val="19"/>
        </w:numPr>
      </w:pPr>
      <w:r>
        <w:t>Section 2(5) is g</w:t>
      </w:r>
      <w:r w:rsidR="00D47FE4">
        <w:t>i</w:t>
      </w:r>
      <w:r>
        <w:t xml:space="preserve">ven its natural interpretation </w:t>
      </w:r>
      <w:r w:rsidR="00D47FE4">
        <w:t>to allow for equitable interest to be brought in order to avoid unconscionability, even where a contract is void</w:t>
      </w:r>
    </w:p>
    <w:p w14:paraId="4DC3BF6C" w14:textId="3853E676" w:rsidR="00D47FE4" w:rsidRPr="00E61476" w:rsidRDefault="00D47FE4" w:rsidP="00204F34">
      <w:pPr>
        <w:pStyle w:val="ListParagraph"/>
        <w:numPr>
          <w:ilvl w:val="0"/>
          <w:numId w:val="19"/>
        </w:numPr>
      </w:pPr>
      <w:r>
        <w:t>The court emphasized that “equity acts on the conscience of the legal owner to prevent denial of beneficial interest in such circumstances”</w:t>
      </w:r>
    </w:p>
    <w:p w14:paraId="5DC8B0DC" w14:textId="77777777" w:rsidR="00E61476" w:rsidRPr="00E61476" w:rsidRDefault="00E61476" w:rsidP="00E61476"/>
    <w:p w14:paraId="7735D910" w14:textId="77777777" w:rsidR="00E61476" w:rsidRPr="00E61476" w:rsidRDefault="00E61476" w:rsidP="00E61476"/>
    <w:p w14:paraId="52251639" w14:textId="77777777" w:rsidR="00A50A58" w:rsidRDefault="00A50A58"/>
    <w:p w14:paraId="456C0A09" w14:textId="77777777" w:rsidR="00AA4359" w:rsidRDefault="00AA4359"/>
    <w:p w14:paraId="44B9B396" w14:textId="77777777" w:rsidR="00AA4359" w:rsidRDefault="00AA4359"/>
    <w:p w14:paraId="52B48E08" w14:textId="77777777" w:rsidR="00AA4359" w:rsidRDefault="00AA4359"/>
    <w:p w14:paraId="34350498" w14:textId="77777777" w:rsidR="00AA4359" w:rsidRDefault="00AA4359"/>
    <w:p w14:paraId="5C474B78" w14:textId="77777777" w:rsidR="00AA4359" w:rsidRDefault="00AA4359"/>
    <w:p w14:paraId="148CB4E5" w14:textId="77777777" w:rsidR="00AA4359" w:rsidRDefault="00AA4359"/>
    <w:p w14:paraId="478BDEA2" w14:textId="77777777" w:rsidR="00AA4359" w:rsidRDefault="00AA4359"/>
    <w:p w14:paraId="0E93A986" w14:textId="77777777" w:rsidR="00AA4359" w:rsidRDefault="00AA4359"/>
    <w:p w14:paraId="4EF65BB0" w14:textId="77777777" w:rsidR="00AA4359" w:rsidRDefault="00AA4359"/>
    <w:p w14:paraId="0F0FBC64" w14:textId="77777777" w:rsidR="00AA4359" w:rsidRDefault="00AA4359"/>
    <w:p w14:paraId="7EB9D1B5" w14:textId="77777777" w:rsidR="00953D59" w:rsidRDefault="00953D59"/>
    <w:p w14:paraId="0A9C8FD2" w14:textId="77777777" w:rsidR="00953D59" w:rsidRDefault="00953D59"/>
    <w:p w14:paraId="26DD16EF" w14:textId="77777777" w:rsidR="00953D59" w:rsidRDefault="00953D59"/>
    <w:p w14:paraId="48FB55BC" w14:textId="046A39FB" w:rsidR="00AA4359" w:rsidRDefault="00AA4359">
      <w:pPr>
        <w:rPr>
          <w:b/>
          <w:bCs/>
        </w:rPr>
      </w:pPr>
      <w:r w:rsidRPr="00953D59">
        <w:rPr>
          <w:b/>
          <w:bCs/>
        </w:rPr>
        <w:lastRenderedPageBreak/>
        <w:t xml:space="preserve">References </w:t>
      </w:r>
    </w:p>
    <w:p w14:paraId="47842BB5" w14:textId="77777777" w:rsidR="00E919F2" w:rsidRDefault="00E919F2" w:rsidP="00E919F2">
      <w:r>
        <w:t>Gillet v Holt (2000) 2 All ER 289</w:t>
      </w:r>
    </w:p>
    <w:p w14:paraId="6F16369F" w14:textId="77777777" w:rsidR="00E919F2" w:rsidRDefault="00E919F2" w:rsidP="00E919F2">
      <w:pPr>
        <w:rPr>
          <w:iCs/>
        </w:rPr>
      </w:pPr>
      <w:r>
        <w:rPr>
          <w:iCs/>
        </w:rPr>
        <w:t>Goodman v Gallant (1986) 1 All ER 311</w:t>
      </w:r>
    </w:p>
    <w:p w14:paraId="567DCA8C" w14:textId="77777777" w:rsidR="00E919F2" w:rsidRDefault="00E919F2" w:rsidP="00E919F2">
      <w:r>
        <w:t xml:space="preserve">James v Thomas (2007) EWCA Civ 1212 </w:t>
      </w:r>
    </w:p>
    <w:p w14:paraId="0B419C4F" w14:textId="76B0BA1A" w:rsidR="00E919F2" w:rsidRPr="00E919F2" w:rsidRDefault="00E919F2" w:rsidP="00E919F2">
      <w:pPr>
        <w:rPr>
          <w:iCs/>
        </w:rPr>
      </w:pPr>
      <w:r>
        <w:rPr>
          <w:iCs/>
        </w:rPr>
        <w:t>Jones v Kernott (2012) 1 All ER 1265</w:t>
      </w:r>
    </w:p>
    <w:p w14:paraId="5F588FB6" w14:textId="77777777" w:rsidR="00E919F2" w:rsidRDefault="00E919F2" w:rsidP="00E919F2">
      <w:pPr>
        <w:rPr>
          <w:iCs/>
        </w:rPr>
      </w:pPr>
      <w:r>
        <w:rPr>
          <w:iCs/>
        </w:rPr>
        <w:t>Joyce v Epsom &amp; Ewell Borough Council (2012) All ER (D) 336 (Oct)</w:t>
      </w:r>
    </w:p>
    <w:p w14:paraId="454E748D" w14:textId="77777777" w:rsidR="00E919F2" w:rsidRDefault="00E919F2" w:rsidP="00E919F2">
      <w:pPr>
        <w:rPr>
          <w:iCs/>
        </w:rPr>
      </w:pPr>
      <w:r>
        <w:rPr>
          <w:iCs/>
        </w:rPr>
        <w:t>Law of Property Act 1925, s.53(1(c))</w:t>
      </w:r>
    </w:p>
    <w:p w14:paraId="6DDA14CB" w14:textId="77777777" w:rsidR="00E919F2" w:rsidRDefault="00E919F2" w:rsidP="00E919F2">
      <w:pPr>
        <w:rPr>
          <w:iCs/>
        </w:rPr>
      </w:pPr>
      <w:r>
        <w:rPr>
          <w:iCs/>
        </w:rPr>
        <w:t>Law of Property (miscellaneous provisions) Act 1989, s.2</w:t>
      </w:r>
    </w:p>
    <w:p w14:paraId="625CAC33" w14:textId="77777777" w:rsidR="00E919F2" w:rsidRDefault="00E919F2" w:rsidP="00E919F2">
      <w:pPr>
        <w:rPr>
          <w:iCs/>
        </w:rPr>
      </w:pPr>
      <w:r>
        <w:rPr>
          <w:iCs/>
        </w:rPr>
        <w:t>Law of Property (miscellaneous provisions) Act 1989, s.2(1)</w:t>
      </w:r>
    </w:p>
    <w:p w14:paraId="36B7D40B" w14:textId="7A104B00" w:rsidR="00E919F2" w:rsidRDefault="00E919F2" w:rsidP="00E919F2">
      <w:pPr>
        <w:rPr>
          <w:iCs/>
        </w:rPr>
      </w:pPr>
      <w:r>
        <w:rPr>
          <w:iCs/>
        </w:rPr>
        <w:t>Law of Property (miscellaneous provisions) Act 1989, s.2(5)</w:t>
      </w:r>
    </w:p>
    <w:p w14:paraId="5C409543" w14:textId="77777777" w:rsidR="00E919F2" w:rsidRDefault="00E919F2" w:rsidP="00E919F2">
      <w:pPr>
        <w:rPr>
          <w:iCs/>
        </w:rPr>
      </w:pPr>
      <w:r>
        <w:rPr>
          <w:iCs/>
        </w:rPr>
        <w:t>Morris v Morris (2008) EWCA Civ 257</w:t>
      </w:r>
    </w:p>
    <w:p w14:paraId="2C8F73F6" w14:textId="0C9D6289" w:rsidR="00E919F2" w:rsidRPr="00E919F2" w:rsidRDefault="00E919F2" w:rsidP="00E919F2">
      <w:r>
        <w:t>Murphy v Rayner (2011) All ER (D) 125 (Jan)</w:t>
      </w:r>
    </w:p>
    <w:p w14:paraId="04ABA276" w14:textId="2B35F2E4" w:rsidR="00E919F2" w:rsidRPr="00E919F2" w:rsidRDefault="00E919F2">
      <w:pPr>
        <w:rPr>
          <w:iCs/>
        </w:rPr>
      </w:pPr>
      <w:r>
        <w:rPr>
          <w:iCs/>
        </w:rPr>
        <w:t>Smith v Bottomley and Another (2013) All ER (D) 376 (Jul)</w:t>
      </w:r>
    </w:p>
    <w:p w14:paraId="75EDBC4A" w14:textId="78C84513" w:rsidR="007216A1" w:rsidRDefault="007216A1" w:rsidP="00AA4359">
      <w:pPr>
        <w:rPr>
          <w:iCs/>
        </w:rPr>
      </w:pPr>
      <w:r>
        <w:rPr>
          <w:iCs/>
        </w:rPr>
        <w:t>Stack v Dowden (2007) 2 All ER 929</w:t>
      </w:r>
    </w:p>
    <w:p w14:paraId="1D52127D" w14:textId="2F4DF899" w:rsidR="00E919F2" w:rsidRPr="00E919F2" w:rsidRDefault="00E919F2" w:rsidP="00AA4359">
      <w:r>
        <w:t>Suggitt v Suggitt (2012) EWCA Civ 1140</w:t>
      </w:r>
    </w:p>
    <w:p w14:paraId="65961CA3" w14:textId="7AEBC033" w:rsidR="007216A1" w:rsidRDefault="007216A1">
      <w:r>
        <w:t>Thorner v Major (2009) 3 All ER 945</w:t>
      </w:r>
    </w:p>
    <w:p w14:paraId="308EEEA5" w14:textId="423B91A8" w:rsidR="007216A1" w:rsidRDefault="007216A1">
      <w:r>
        <w:t>Wayling v Jones</w:t>
      </w:r>
      <w:r w:rsidR="00AB0CB5">
        <w:t xml:space="preserve"> (1995) 2 FLR 1029</w:t>
      </w:r>
    </w:p>
    <w:p w14:paraId="291B6E3E" w14:textId="6C739D9C" w:rsidR="00953D59" w:rsidRDefault="00953D59" w:rsidP="00AB0CB5">
      <w:pPr>
        <w:rPr>
          <w:iCs/>
        </w:rPr>
      </w:pPr>
      <w:r>
        <w:rPr>
          <w:iCs/>
        </w:rPr>
        <w:t>Yaxley v Gotts (2000) 1 All ER 711</w:t>
      </w:r>
    </w:p>
    <w:p w14:paraId="4A39E5B6" w14:textId="77777777" w:rsidR="00AB0CB5" w:rsidRDefault="00AB0CB5"/>
    <w:sectPr w:rsidR="00AB0C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8F4D57"/>
    <w:multiLevelType w:val="hybridMultilevel"/>
    <w:tmpl w:val="F83A5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EB3C93"/>
    <w:multiLevelType w:val="hybridMultilevel"/>
    <w:tmpl w:val="8D22E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131180"/>
    <w:multiLevelType w:val="hybridMultilevel"/>
    <w:tmpl w:val="ED9AD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3B2962"/>
    <w:multiLevelType w:val="hybridMultilevel"/>
    <w:tmpl w:val="BDA01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A15662"/>
    <w:multiLevelType w:val="hybridMultilevel"/>
    <w:tmpl w:val="FC2CD18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7747E4"/>
    <w:multiLevelType w:val="hybridMultilevel"/>
    <w:tmpl w:val="1B444200"/>
    <w:lvl w:ilvl="0" w:tplc="08090019">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D120DB"/>
    <w:multiLevelType w:val="hybridMultilevel"/>
    <w:tmpl w:val="4058E7F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2115F1"/>
    <w:multiLevelType w:val="hybridMultilevel"/>
    <w:tmpl w:val="844A7BBA"/>
    <w:lvl w:ilvl="0" w:tplc="45A0A2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204495E"/>
    <w:multiLevelType w:val="hybridMultilevel"/>
    <w:tmpl w:val="8DA0AE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026230"/>
    <w:multiLevelType w:val="hybridMultilevel"/>
    <w:tmpl w:val="158C24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3F56DB"/>
    <w:multiLevelType w:val="hybridMultilevel"/>
    <w:tmpl w:val="CA8E5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1F44B6"/>
    <w:multiLevelType w:val="hybridMultilevel"/>
    <w:tmpl w:val="5F98B3AA"/>
    <w:lvl w:ilvl="0" w:tplc="08090011">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2" w15:restartNumberingAfterBreak="0">
    <w:nsid w:val="5A442F6D"/>
    <w:multiLevelType w:val="hybridMultilevel"/>
    <w:tmpl w:val="70CE0B8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092D38"/>
    <w:multiLevelType w:val="hybridMultilevel"/>
    <w:tmpl w:val="30744F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AA4175"/>
    <w:multiLevelType w:val="hybridMultilevel"/>
    <w:tmpl w:val="9372ED9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2E33D2"/>
    <w:multiLevelType w:val="hybridMultilevel"/>
    <w:tmpl w:val="60CA9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38699D"/>
    <w:multiLevelType w:val="hybridMultilevel"/>
    <w:tmpl w:val="1F1E27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A352736"/>
    <w:multiLevelType w:val="hybridMultilevel"/>
    <w:tmpl w:val="AC8617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5430756">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32944820">
    <w:abstractNumId w:val="5"/>
  </w:num>
  <w:num w:numId="3" w16cid:durableId="1147938744">
    <w:abstractNumId w:val="4"/>
  </w:num>
  <w:num w:numId="4" w16cid:durableId="728722426">
    <w:abstractNumId w:val="6"/>
  </w:num>
  <w:num w:numId="5" w16cid:durableId="1112482035">
    <w:abstractNumId w:val="14"/>
  </w:num>
  <w:num w:numId="6" w16cid:durableId="48892078">
    <w:abstractNumId w:val="11"/>
  </w:num>
  <w:num w:numId="7" w16cid:durableId="1510294400">
    <w:abstractNumId w:val="10"/>
  </w:num>
  <w:num w:numId="8" w16cid:durableId="1789008452">
    <w:abstractNumId w:val="15"/>
  </w:num>
  <w:num w:numId="9" w16cid:durableId="552042101">
    <w:abstractNumId w:val="2"/>
  </w:num>
  <w:num w:numId="10" w16cid:durableId="55861154">
    <w:abstractNumId w:val="0"/>
  </w:num>
  <w:num w:numId="11" w16cid:durableId="149489731">
    <w:abstractNumId w:val="1"/>
  </w:num>
  <w:num w:numId="12" w16cid:durableId="1197621125">
    <w:abstractNumId w:val="3"/>
  </w:num>
  <w:num w:numId="13" w16cid:durableId="1670861042">
    <w:abstractNumId w:val="16"/>
  </w:num>
  <w:num w:numId="14" w16cid:durableId="790369438">
    <w:abstractNumId w:val="13"/>
  </w:num>
  <w:num w:numId="15" w16cid:durableId="2140567853">
    <w:abstractNumId w:val="9"/>
  </w:num>
  <w:num w:numId="16" w16cid:durableId="1261719101">
    <w:abstractNumId w:val="8"/>
  </w:num>
  <w:num w:numId="17" w16cid:durableId="1389182982">
    <w:abstractNumId w:val="17"/>
  </w:num>
  <w:num w:numId="18" w16cid:durableId="339353889">
    <w:abstractNumId w:val="7"/>
  </w:num>
  <w:num w:numId="19" w16cid:durableId="122113939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476"/>
    <w:rsid w:val="000445AF"/>
    <w:rsid w:val="00054A51"/>
    <w:rsid w:val="00116C96"/>
    <w:rsid w:val="00150061"/>
    <w:rsid w:val="00181692"/>
    <w:rsid w:val="001907A1"/>
    <w:rsid w:val="00204F34"/>
    <w:rsid w:val="0021152F"/>
    <w:rsid w:val="00221A17"/>
    <w:rsid w:val="002477D1"/>
    <w:rsid w:val="00277D31"/>
    <w:rsid w:val="002E4204"/>
    <w:rsid w:val="002E5359"/>
    <w:rsid w:val="002E746B"/>
    <w:rsid w:val="002F0CD5"/>
    <w:rsid w:val="003074A1"/>
    <w:rsid w:val="003103E2"/>
    <w:rsid w:val="00316589"/>
    <w:rsid w:val="00353907"/>
    <w:rsid w:val="003627AF"/>
    <w:rsid w:val="003642F6"/>
    <w:rsid w:val="00373F9A"/>
    <w:rsid w:val="003773A0"/>
    <w:rsid w:val="004D0597"/>
    <w:rsid w:val="00515C06"/>
    <w:rsid w:val="00533EFD"/>
    <w:rsid w:val="005E3FA7"/>
    <w:rsid w:val="00610F83"/>
    <w:rsid w:val="00612995"/>
    <w:rsid w:val="00663A8B"/>
    <w:rsid w:val="0067472F"/>
    <w:rsid w:val="006D4435"/>
    <w:rsid w:val="0070384F"/>
    <w:rsid w:val="007216A1"/>
    <w:rsid w:val="00793678"/>
    <w:rsid w:val="007D31B8"/>
    <w:rsid w:val="00804FDE"/>
    <w:rsid w:val="008078F0"/>
    <w:rsid w:val="0088433A"/>
    <w:rsid w:val="0089629E"/>
    <w:rsid w:val="008D60B7"/>
    <w:rsid w:val="00910563"/>
    <w:rsid w:val="00953BA9"/>
    <w:rsid w:val="00953D59"/>
    <w:rsid w:val="00A42BB4"/>
    <w:rsid w:val="00A50A58"/>
    <w:rsid w:val="00A82EEE"/>
    <w:rsid w:val="00A854B8"/>
    <w:rsid w:val="00AA4359"/>
    <w:rsid w:val="00AB0CB5"/>
    <w:rsid w:val="00AD27AD"/>
    <w:rsid w:val="00AD3E24"/>
    <w:rsid w:val="00B45B3D"/>
    <w:rsid w:val="00BB277B"/>
    <w:rsid w:val="00BC366F"/>
    <w:rsid w:val="00BC680A"/>
    <w:rsid w:val="00C67DEB"/>
    <w:rsid w:val="00C71E21"/>
    <w:rsid w:val="00C85290"/>
    <w:rsid w:val="00CF2555"/>
    <w:rsid w:val="00D13325"/>
    <w:rsid w:val="00D15180"/>
    <w:rsid w:val="00D41C88"/>
    <w:rsid w:val="00D47FE4"/>
    <w:rsid w:val="00D762D8"/>
    <w:rsid w:val="00D964B3"/>
    <w:rsid w:val="00DD7D6D"/>
    <w:rsid w:val="00E533AC"/>
    <w:rsid w:val="00E550A1"/>
    <w:rsid w:val="00E61476"/>
    <w:rsid w:val="00E724E6"/>
    <w:rsid w:val="00E919F2"/>
    <w:rsid w:val="00E9647A"/>
    <w:rsid w:val="00EC7E13"/>
    <w:rsid w:val="00EF6DC1"/>
    <w:rsid w:val="00EF791F"/>
    <w:rsid w:val="00F31424"/>
    <w:rsid w:val="00F73190"/>
    <w:rsid w:val="00F74FCC"/>
    <w:rsid w:val="00F95A8C"/>
    <w:rsid w:val="00FC745E"/>
    <w:rsid w:val="00FE2D57"/>
    <w:rsid w:val="00FF5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DDAF3"/>
  <w15:chartTrackingRefBased/>
  <w15:docId w15:val="{19301205-F39D-4F2F-A12F-C7C9E6F2A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14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14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14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14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14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14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14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14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14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14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14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14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14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14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14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14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14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1476"/>
    <w:rPr>
      <w:rFonts w:eastAsiaTheme="majorEastAsia" w:cstheme="majorBidi"/>
      <w:color w:val="272727" w:themeColor="text1" w:themeTint="D8"/>
    </w:rPr>
  </w:style>
  <w:style w:type="paragraph" w:styleId="Title">
    <w:name w:val="Title"/>
    <w:basedOn w:val="Normal"/>
    <w:next w:val="Normal"/>
    <w:link w:val="TitleChar"/>
    <w:uiPriority w:val="10"/>
    <w:qFormat/>
    <w:rsid w:val="00E614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14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14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14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1476"/>
    <w:pPr>
      <w:spacing w:before="160"/>
      <w:jc w:val="center"/>
    </w:pPr>
    <w:rPr>
      <w:i/>
      <w:iCs/>
      <w:color w:val="404040" w:themeColor="text1" w:themeTint="BF"/>
    </w:rPr>
  </w:style>
  <w:style w:type="character" w:customStyle="1" w:styleId="QuoteChar">
    <w:name w:val="Quote Char"/>
    <w:basedOn w:val="DefaultParagraphFont"/>
    <w:link w:val="Quote"/>
    <w:uiPriority w:val="29"/>
    <w:rsid w:val="00E61476"/>
    <w:rPr>
      <w:i/>
      <w:iCs/>
      <w:color w:val="404040" w:themeColor="text1" w:themeTint="BF"/>
    </w:rPr>
  </w:style>
  <w:style w:type="paragraph" w:styleId="ListParagraph">
    <w:name w:val="List Paragraph"/>
    <w:basedOn w:val="Normal"/>
    <w:uiPriority w:val="34"/>
    <w:qFormat/>
    <w:rsid w:val="00E61476"/>
    <w:pPr>
      <w:ind w:left="720"/>
      <w:contextualSpacing/>
    </w:pPr>
  </w:style>
  <w:style w:type="character" w:styleId="IntenseEmphasis">
    <w:name w:val="Intense Emphasis"/>
    <w:basedOn w:val="DefaultParagraphFont"/>
    <w:uiPriority w:val="21"/>
    <w:qFormat/>
    <w:rsid w:val="00E61476"/>
    <w:rPr>
      <w:i/>
      <w:iCs/>
      <w:color w:val="0F4761" w:themeColor="accent1" w:themeShade="BF"/>
    </w:rPr>
  </w:style>
  <w:style w:type="paragraph" w:styleId="IntenseQuote">
    <w:name w:val="Intense Quote"/>
    <w:basedOn w:val="Normal"/>
    <w:next w:val="Normal"/>
    <w:link w:val="IntenseQuoteChar"/>
    <w:uiPriority w:val="30"/>
    <w:qFormat/>
    <w:rsid w:val="00E614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1476"/>
    <w:rPr>
      <w:i/>
      <w:iCs/>
      <w:color w:val="0F4761" w:themeColor="accent1" w:themeShade="BF"/>
    </w:rPr>
  </w:style>
  <w:style w:type="character" w:styleId="IntenseReference">
    <w:name w:val="Intense Reference"/>
    <w:basedOn w:val="DefaultParagraphFont"/>
    <w:uiPriority w:val="32"/>
    <w:qFormat/>
    <w:rsid w:val="00E61476"/>
    <w:rPr>
      <w:b/>
      <w:bCs/>
      <w:smallCaps/>
      <w:color w:val="0F4761" w:themeColor="accent1" w:themeShade="BF"/>
      <w:spacing w:val="5"/>
    </w:rPr>
  </w:style>
  <w:style w:type="character" w:styleId="Hyperlink">
    <w:name w:val="Hyperlink"/>
    <w:basedOn w:val="DefaultParagraphFont"/>
    <w:uiPriority w:val="99"/>
    <w:unhideWhenUsed/>
    <w:rsid w:val="00E61476"/>
    <w:rPr>
      <w:color w:val="467886" w:themeColor="hyperlink"/>
      <w:u w:val="single"/>
    </w:rPr>
  </w:style>
  <w:style w:type="character" w:styleId="UnresolvedMention">
    <w:name w:val="Unresolved Mention"/>
    <w:basedOn w:val="DefaultParagraphFont"/>
    <w:uiPriority w:val="99"/>
    <w:semiHidden/>
    <w:unhideWhenUsed/>
    <w:rsid w:val="00E61476"/>
    <w:rPr>
      <w:color w:val="605E5C"/>
      <w:shd w:val="clear" w:color="auto" w:fill="E1DFDD"/>
    </w:rPr>
  </w:style>
  <w:style w:type="character" w:styleId="FollowedHyperlink">
    <w:name w:val="FollowedHyperlink"/>
    <w:basedOn w:val="DefaultParagraphFont"/>
    <w:uiPriority w:val="99"/>
    <w:semiHidden/>
    <w:unhideWhenUsed/>
    <w:rsid w:val="008078F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1260</TotalTime>
  <Pages>8</Pages>
  <Words>2006</Words>
  <Characters>11435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Gabrial Harris</dc:creator>
  <cp:keywords/>
  <dc:description/>
  <cp:lastModifiedBy>Gabrial Harris</cp:lastModifiedBy>
  <cp:revision>3</cp:revision>
  <dcterms:created xsi:type="dcterms:W3CDTF">2026-01-07T19:29:00Z</dcterms:created>
  <dcterms:modified xsi:type="dcterms:W3CDTF">2026-01-09T07:44:00Z</dcterms:modified>
</cp:coreProperties>
</file>