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imes New Roman" w:eastAsiaTheme="minorHAnsi" w:hAnsi="Times New Roman"/>
          <w:color w:val="5B9BD5" w:themeColor="accent1"/>
          <w:sz w:val="24"/>
          <w:lang w:val="en-GB"/>
        </w:rPr>
        <w:id w:val="-1522475554"/>
        <w:docPartObj>
          <w:docPartGallery w:val="Cover Pages"/>
          <w:docPartUnique/>
        </w:docPartObj>
      </w:sdtPr>
      <w:sdtEndPr>
        <w:rPr>
          <w:color w:val="auto"/>
        </w:rPr>
      </w:sdtEndPr>
      <w:sdtContent>
        <w:p w14:paraId="5384490A" w14:textId="77777777" w:rsidR="007D1947" w:rsidRPr="000E1C6B" w:rsidRDefault="007D1947">
          <w:pPr>
            <w:pStyle w:val="NoSpacing"/>
            <w:spacing w:before="1540" w:after="240"/>
            <w:jc w:val="center"/>
            <w:rPr>
              <w:color w:val="5B9BD5" w:themeColor="accent1"/>
              <w:lang w:val="en-GB"/>
            </w:rPr>
          </w:pPr>
          <w:r w:rsidRPr="000E1C6B">
            <w:rPr>
              <w:noProof/>
              <w:color w:val="5B9BD5" w:themeColor="accent1"/>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475B7674" w14:textId="3B4DB72F" w:rsidR="007D1947" w:rsidRDefault="00E265BE" w:rsidP="000E1C6B">
          <w:pPr>
            <w:pStyle w:val="NoSpacing"/>
            <w:pBdr>
              <w:top w:val="single" w:sz="6" w:space="6" w:color="5B9BD5" w:themeColor="accent1"/>
              <w:bottom w:val="single" w:sz="6" w:space="6" w:color="5B9BD5" w:themeColor="accent1"/>
            </w:pBdr>
            <w:spacing w:after="240"/>
            <w:jc w:val="center"/>
            <w:rPr>
              <w:rFonts w:ascii="Times New Roman" w:hAnsi="Times New Roman" w:cs="Times New Roman"/>
              <w:b/>
              <w:sz w:val="32"/>
              <w:szCs w:val="32"/>
              <w:lang w:val="en-GB"/>
            </w:rPr>
          </w:pPr>
          <w:r>
            <w:rPr>
              <w:rFonts w:ascii="Times New Roman" w:hAnsi="Times New Roman" w:cs="Times New Roman"/>
              <w:b/>
              <w:sz w:val="32"/>
              <w:szCs w:val="32"/>
              <w:lang w:val="en-GB"/>
            </w:rPr>
            <w:t>Finance for Business Managers</w:t>
          </w:r>
        </w:p>
        <w:p w14:paraId="05095195" w14:textId="77777777" w:rsidR="00E265BE" w:rsidRPr="00E265BE" w:rsidRDefault="00E265BE" w:rsidP="00E265BE">
          <w:pPr>
            <w:pStyle w:val="NoSpacing"/>
            <w:jc w:val="center"/>
            <w:rPr>
              <w:rFonts w:ascii="Times New Roman" w:hAnsi="Times New Roman" w:cs="Times New Roman"/>
              <w:b/>
              <w:bCs/>
              <w:sz w:val="32"/>
              <w:szCs w:val="32"/>
            </w:rPr>
          </w:pPr>
          <w:r w:rsidRPr="00E265BE">
            <w:rPr>
              <w:rFonts w:ascii="Times New Roman" w:hAnsi="Times New Roman" w:cs="Times New Roman"/>
              <w:b/>
              <w:bCs/>
              <w:sz w:val="32"/>
              <w:szCs w:val="32"/>
            </w:rPr>
            <w:t xml:space="preserve">Name: </w:t>
          </w:r>
          <w:proofErr w:type="spellStart"/>
          <w:r w:rsidRPr="00E265BE">
            <w:rPr>
              <w:rFonts w:ascii="Times New Roman" w:hAnsi="Times New Roman" w:cs="Times New Roman"/>
              <w:b/>
              <w:bCs/>
              <w:sz w:val="32"/>
              <w:szCs w:val="32"/>
            </w:rPr>
            <w:t>Ronok</w:t>
          </w:r>
          <w:proofErr w:type="spellEnd"/>
          <w:r w:rsidRPr="00E265BE">
            <w:rPr>
              <w:rFonts w:ascii="Times New Roman" w:hAnsi="Times New Roman" w:cs="Times New Roman"/>
              <w:b/>
              <w:bCs/>
              <w:sz w:val="32"/>
              <w:szCs w:val="32"/>
            </w:rPr>
            <w:t xml:space="preserve"> Ahmed </w:t>
          </w:r>
          <w:proofErr w:type="spellStart"/>
          <w:r w:rsidRPr="00E265BE">
            <w:rPr>
              <w:rFonts w:ascii="Times New Roman" w:hAnsi="Times New Roman" w:cs="Times New Roman"/>
              <w:b/>
              <w:bCs/>
              <w:sz w:val="32"/>
              <w:szCs w:val="32"/>
            </w:rPr>
            <w:t>Shihab</w:t>
          </w:r>
          <w:proofErr w:type="spellEnd"/>
        </w:p>
        <w:p w14:paraId="2F795C78" w14:textId="518B6611" w:rsidR="00E265BE" w:rsidRPr="00E265BE" w:rsidRDefault="00E265BE" w:rsidP="00E265BE">
          <w:pPr>
            <w:pStyle w:val="NoSpacing"/>
            <w:pBdr>
              <w:top w:val="single" w:sz="6" w:space="6" w:color="5B9BD5" w:themeColor="accent1"/>
              <w:bottom w:val="single" w:sz="6" w:space="6" w:color="5B9BD5" w:themeColor="accent1"/>
            </w:pBdr>
            <w:spacing w:after="240"/>
            <w:jc w:val="center"/>
            <w:rPr>
              <w:rFonts w:ascii="Times New Roman" w:hAnsi="Times New Roman" w:cs="Times New Roman"/>
              <w:b/>
              <w:sz w:val="32"/>
              <w:szCs w:val="32"/>
              <w:lang w:val="en-GB"/>
            </w:rPr>
          </w:pPr>
          <w:r w:rsidRPr="00E265BE">
            <w:rPr>
              <w:rFonts w:ascii="Times New Roman" w:hAnsi="Times New Roman" w:cs="Times New Roman"/>
              <w:b/>
              <w:bCs/>
              <w:sz w:val="32"/>
              <w:szCs w:val="32"/>
            </w:rPr>
            <w:t>ID: 2506432</w:t>
          </w:r>
        </w:p>
        <w:p w14:paraId="1ADC1124" w14:textId="77777777" w:rsidR="007D1947" w:rsidRPr="000E1C6B" w:rsidRDefault="007D1947">
          <w:pPr>
            <w:pStyle w:val="NoSpacing"/>
            <w:spacing w:before="480"/>
            <w:jc w:val="center"/>
            <w:rPr>
              <w:color w:val="5B9BD5" w:themeColor="accent1"/>
              <w:lang w:val="en-GB"/>
            </w:rPr>
          </w:pPr>
          <w:r w:rsidRPr="000E1C6B">
            <w:rPr>
              <w:noProof/>
              <w:color w:val="5B9BD5" w:themeColor="accent1"/>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30759349"/>
                                  <w:dataBinding w:prefixMappings="xmlns:ns0='http://schemas.microsoft.com/office/2006/coverPageProps' " w:xpath="/ns0:CoverPageProperties[1]/ns0:PublishDate[1]" w:storeItemID="{55AF091B-3C7A-41E3-B477-F2FDAA23CFDA}"/>
                                  <w:date w:fullDate="2026-01-12T00:00:00Z">
                                    <w:dateFormat w:val="MMMM d, yyyy"/>
                                    <w:lid w:val="en-US"/>
                                    <w:storeMappedDataAs w:val="dateTime"/>
                                    <w:calendar w:val="gregorian"/>
                                  </w:date>
                                </w:sdtPr>
                                <w:sdtContent>
                                  <w:p w14:paraId="52BAF8D9" w14:textId="3DC41507" w:rsidR="00F62C20" w:rsidRDefault="00F62C20">
                                    <w:pPr>
                                      <w:pStyle w:val="NoSpacing"/>
                                      <w:spacing w:after="40"/>
                                      <w:jc w:val="center"/>
                                      <w:rPr>
                                        <w:caps/>
                                        <w:color w:val="5B9BD5" w:themeColor="accent1"/>
                                        <w:sz w:val="28"/>
                                        <w:szCs w:val="28"/>
                                      </w:rPr>
                                    </w:pPr>
                                    <w:r>
                                      <w:rPr>
                                        <w:caps/>
                                        <w:color w:val="5B9BD5" w:themeColor="accent1"/>
                                        <w:sz w:val="28"/>
                                        <w:szCs w:val="28"/>
                                      </w:rPr>
                                      <w:t>January 12, 2026</w:t>
                                    </w:r>
                                  </w:p>
                                </w:sdtContent>
                              </w:sdt>
                              <w:p w14:paraId="69E98CB3" w14:textId="14B449FA" w:rsidR="00F62C20" w:rsidRDefault="00F62C20">
                                <w:pPr>
                                  <w:pStyle w:val="NoSpacing"/>
                                  <w:jc w:val="center"/>
                                  <w:rPr>
                                    <w:color w:val="5B9BD5" w:themeColor="accent1"/>
                                  </w:rPr>
                                </w:pPr>
                                <w:sdt>
                                  <w:sdtPr>
                                    <w:rPr>
                                      <w:caps/>
                                      <w:color w:val="5B9BD5" w:themeColor="accent1"/>
                                    </w:rPr>
                                    <w:alias w:val="Company"/>
                                    <w:tag w:val=""/>
                                    <w:id w:val="-1917474465"/>
                                    <w:showingPlcHdr/>
                                    <w:dataBinding w:prefixMappings="xmlns:ns0='http://schemas.openxmlformats.org/officeDocument/2006/extended-properties' " w:xpath="/ns0:Properties[1]/ns0:Company[1]" w:storeItemID="{6668398D-A668-4E3E-A5EB-62B293D839F1}"/>
                                    <w:text/>
                                  </w:sdtPr>
                                  <w:sdtContent>
                                    <w:r>
                                      <w:rPr>
                                        <w:caps/>
                                        <w:color w:val="5B9BD5" w:themeColor="accent1"/>
                                      </w:rPr>
                                      <w:t xml:space="preserve">     </w:t>
                                    </w:r>
                                  </w:sdtContent>
                                </w:sdt>
                              </w:p>
                              <w:p w14:paraId="3FC79022" w14:textId="77777777" w:rsidR="00F62C20" w:rsidRDefault="00F62C20">
                                <w:pPr>
                                  <w:pStyle w:val="NoSpacing"/>
                                  <w:jc w:val="center"/>
                                  <w:rPr>
                                    <w:color w:val="5B9BD5" w:themeColor="accent1"/>
                                  </w:rPr>
                                </w:pPr>
                                <w:sdt>
                                  <w:sdtPr>
                                    <w:rPr>
                                      <w:color w:val="5B9BD5" w:themeColor="accent1"/>
                                    </w:rPr>
                                    <w:alias w:val="Address"/>
                                    <w:tag w:val=""/>
                                    <w:id w:val="215782535"/>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dMrdgIAAFYFAAAOAAAAZHJzL2Uyb0RvYy54bWysVN9P2zAQfp+0/8Hy+0gLK4OKFHUgpkkI&#10;0GDi2XVsGs3xebbbpPvr99lJCmJ7YdqLc7n77nw/vvPZedcYtlU+1GRLPj2YcKaspKq2TyX//nD1&#10;4YSzEIWthCGrSr5TgZ8v3r87a91cHdKaTKU8QxAb5q0r+TpGNy+KINeqEeGAnLIwavKNiPj1T0Xl&#10;RYvojSkOJ5PjoiVfOU9ShQDtZW/kixxfayXjrdZBRWZKjtxiPn0+V+ksFmdi/uSFW9dySEP8QxaN&#10;qC0u3Ye6FFGwja//CNXU0lMgHQ8kNQVpXUuVa0A108mrau7XwqlcC5oT3L5N4f+FlTfbO8/qCrP7&#10;eMiZFQ2G9KC6yD5Tx5IOHWpdmAN47wCNHQxAj/oAZSq8075JX5TEYEevd/v+pnASytmno+lsCpOE&#10;bXZyejqdpTDFs7fzIX5R1LAklNxjfrmtYnsdYg8dIekyS1e1MXmGxrK25MdHs0l22FsQ3NiEVZkN&#10;Q5hUUZ95luLOqIQx9pvS6EYuICkyD9WF8WwrwCAhpbIx157jAp1QGkm8xXHAP2f1Fue+jvFmsnHv&#10;3NSWfK7+VdrVjzFl3ePR8xd1JzF2q26Y9IqqHQbtqV+W4ORVjWlcixDvhMd2YIDY+HiLQxtC12mQ&#10;OFuT//U3fcKDtLBy1mLbSh5+boRXnJmvFnROqzkKfhRWo2A3zQWh/VO8JU5mEQ4+mlHUnppHPATL&#10;dAtMwkrcVfLVKF7EfufxkEi1XGYQFtCJeG3vnUyh0zQStx66R+HdQMAI6t7QuIdi/oqHPTYTxS03&#10;EWzMJE0N7bs4NBrLm2k+PDTpdXj5n1HPz+HiNwAAAP//AwBQSwMEFAAGAAgAAAAhAKo1bO/ZAAAA&#10;BAEAAA8AAABkcnMvZG93bnJldi54bWxMjsFKxEAMhu+C7zBE8ObOWKS4tdNFRAVPYldkvWXb2JZ2&#10;MqUzu9u+vdGLXkLC//PlyzezG9SRptB5tnC9MqCIK1933Fh43z5d3YIKEbnGwTNZWCjApjg/yzGr&#10;/Ynf6FjGRgmEQ4YW2hjHTOtQteQwrPxILNmXnxxGOadG1xOeBO4GnRiTaocdy4cWR3poqerLg7Ng&#10;lufPtC+XF0oeX28++nnHuN1Ze3kx39+BijTHvzL86Is6FOK09weugxqEIb3fKdnaJCmovSzJGnSR&#10;6//yxTcAAAD//wMAUEsBAi0AFAAGAAgAAAAhALaDOJL+AAAA4QEAABMAAAAAAAAAAAAAAAAAAAAA&#10;AFtDb250ZW50X1R5cGVzXS54bWxQSwECLQAUAAYACAAAACEAOP0h/9YAAACUAQAACwAAAAAAAAAA&#10;AAAAAAAvAQAAX3JlbHMvLnJlbHNQSwECLQAUAAYACAAAACEABMHTK3YCAABWBQAADgAAAAAAAAAA&#10;AAAAAAAuAgAAZHJzL2Uyb0RvYy54bWxQSwECLQAUAAYACAAAACEAqjVs79kAAAAEAQAADwAAAAAA&#10;AAAAAAAAAADQBAAAZHJzL2Rvd25yZXYueG1sUEsFBgAAAAAEAAQA8wAAANYFAAAAAA==&#10;" filled="f" stroked="f" strokeweight=".5pt">
                    <v:textbox style="mso-fit-shape-to-text:t" inset="0,0,0,0">
                      <w:txbxContent>
                        <w:sdt>
                          <w:sdtPr>
                            <w:rPr>
                              <w:caps/>
                              <w:color w:val="5B9BD5" w:themeColor="accent1"/>
                              <w:sz w:val="28"/>
                              <w:szCs w:val="28"/>
                            </w:rPr>
                            <w:alias w:val="Date"/>
                            <w:tag w:val=""/>
                            <w:id w:val="688194803"/>
                            <w:dataBinding w:prefixMappings="xmlns:ns0='http://schemas.microsoft.com/office/2006/coverPageProps' " w:xpath="/ns0:CoverPageProperties[1]/ns0:PublishDate[1]" w:storeItemID="{55AF091B-3C7A-41E3-B477-F2FDAA23CFDA}"/>
                            <w:date w:fullDate="2026-01-12T00:00:00Z">
                              <w:dateFormat w:val="MMMM d, yyyy"/>
                              <w:lid w:val="en-US"/>
                              <w:storeMappedDataAs w:val="dateTime"/>
                              <w:calendar w:val="gregorian"/>
                            </w:date>
                          </w:sdtPr>
                          <w:sdtEndPr/>
                          <w:sdtContent>
                            <w:p w14:paraId="52BAF8D9" w14:textId="3DC41507" w:rsidR="007D1947" w:rsidRDefault="000E1C6B">
                              <w:pPr>
                                <w:pStyle w:val="NoSpacing"/>
                                <w:spacing w:after="40"/>
                                <w:jc w:val="center"/>
                                <w:rPr>
                                  <w:caps/>
                                  <w:color w:val="5B9BD5" w:themeColor="accent1"/>
                                  <w:sz w:val="28"/>
                                  <w:szCs w:val="28"/>
                                </w:rPr>
                              </w:pPr>
                              <w:r>
                                <w:rPr>
                                  <w:caps/>
                                  <w:color w:val="5B9BD5" w:themeColor="accent1"/>
                                  <w:sz w:val="28"/>
                                  <w:szCs w:val="28"/>
                                </w:rPr>
                                <w:t>January 12, 2026</w:t>
                              </w:r>
                            </w:p>
                          </w:sdtContent>
                        </w:sdt>
                        <w:p w14:paraId="69E98CB3" w14:textId="14B449FA" w:rsidR="007D1947" w:rsidRDefault="004429F7">
                          <w:pPr>
                            <w:pStyle w:val="NoSpacing"/>
                            <w:jc w:val="center"/>
                            <w:rPr>
                              <w:color w:val="5B9BD5" w:themeColor="accent1"/>
                            </w:rPr>
                          </w:pPr>
                          <w:sdt>
                            <w:sdtPr>
                              <w:rPr>
                                <w:caps/>
                                <w:color w:val="5B9BD5" w:themeColor="accent1"/>
                              </w:rPr>
                              <w:alias w:val="Company"/>
                              <w:tag w:val=""/>
                              <w:id w:val="837973120"/>
                              <w:showingPlcHdr/>
                              <w:dataBinding w:prefixMappings="xmlns:ns0='http://schemas.openxmlformats.org/officeDocument/2006/extended-properties' " w:xpath="/ns0:Properties[1]/ns0:Company[1]" w:storeItemID="{6668398D-A668-4E3E-A5EB-62B293D839F1}"/>
                              <w:text/>
                            </w:sdtPr>
                            <w:sdtEndPr/>
                            <w:sdtContent>
                              <w:r w:rsidR="002858B9">
                                <w:rPr>
                                  <w:caps/>
                                  <w:color w:val="5B9BD5" w:themeColor="accent1"/>
                                </w:rPr>
                                <w:t xml:space="preserve">     </w:t>
                              </w:r>
                            </w:sdtContent>
                          </w:sdt>
                        </w:p>
                        <w:p w14:paraId="3FC79022" w14:textId="77777777" w:rsidR="007D1947" w:rsidRDefault="004429F7">
                          <w:pPr>
                            <w:pStyle w:val="NoSpacing"/>
                            <w:jc w:val="center"/>
                            <w:rPr>
                              <w:color w:val="5B9BD5" w:themeColor="accent1"/>
                            </w:rPr>
                          </w:pPr>
                          <w:sdt>
                            <w:sdtPr>
                              <w:rPr>
                                <w:color w:val="5B9BD5" w:themeColor="accent1"/>
                              </w:rPr>
                              <w:alias w:val="Address"/>
                              <w:tag w:val=""/>
                              <w:id w:val="-1120998374"/>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sidRPr="000E1C6B">
            <w:rPr>
              <w:noProof/>
              <w:color w:val="5B9BD5" w:themeColor="accent1"/>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77777777" w:rsidR="007D1947" w:rsidRPr="000E1C6B" w:rsidRDefault="007D1947" w:rsidP="007D1947">
          <w:pPr>
            <w:pStyle w:val="Heading1"/>
          </w:pPr>
          <w:r w:rsidRPr="000E1C6B">
            <w:br w:type="page"/>
          </w:r>
          <w:bookmarkStart w:id="0" w:name="_Toc219124103"/>
          <w:r w:rsidRPr="000E1C6B">
            <w:lastRenderedPageBreak/>
            <w:t>Executive Summary</w:t>
          </w:r>
          <w:bookmarkEnd w:id="0"/>
        </w:p>
        <w:p w14:paraId="3702DCC8" w14:textId="426E13EF" w:rsidR="002858B9" w:rsidRPr="00B15AFF" w:rsidRDefault="002858B9" w:rsidP="002858B9">
          <w:r w:rsidRPr="00B15AFF">
            <w:t xml:space="preserve">This report is a detailed </w:t>
          </w:r>
          <w:r w:rsidR="0015249B" w:rsidRPr="00B15AFF">
            <w:t>study</w:t>
          </w:r>
          <w:r w:rsidRPr="00B15AFF">
            <w:t xml:space="preserve"> of the financial </w:t>
          </w:r>
          <w:r w:rsidR="0015249B">
            <w:t>condition</w:t>
          </w:r>
          <w:r>
            <w:t xml:space="preserve"> and investment decision-</w:t>
          </w:r>
          <w:r w:rsidRPr="00B15AFF">
            <w:t xml:space="preserve">making of BP PLC and Westward </w:t>
          </w:r>
          <w:r>
            <w:t>PLC</w:t>
          </w:r>
          <w:r w:rsidRPr="00B15AFF">
            <w:t xml:space="preserve"> by applying the conventional financial management practices. The main aim of the report is to gauge the financial health of BP, </w:t>
          </w:r>
          <w:r>
            <w:t>perform</w:t>
          </w:r>
          <w:r w:rsidRPr="00B15AFF">
            <w:t xml:space="preserve"> trend analysis</w:t>
          </w:r>
          <w:r>
            <w:t>,</w:t>
          </w:r>
          <w:r w:rsidRPr="00B15AFF">
            <w:t xml:space="preserve"> and review strategic investment opportunities of Westward </w:t>
          </w:r>
          <w:proofErr w:type="spellStart"/>
          <w:r w:rsidRPr="00B15AFF">
            <w:t>Plc</w:t>
          </w:r>
          <w:proofErr w:type="spellEnd"/>
          <w:r>
            <w:t xml:space="preserve"> that will maximis</w:t>
          </w:r>
          <w:r w:rsidRPr="00B15AFF">
            <w:t xml:space="preserve">e shareholder wealth. The analysis is a combination of financial ratio analysis and capital investment appraisal techniques to provide a comprehensive analysis that can be used by senior management in the </w:t>
          </w:r>
          <w:r w:rsidR="003316B8">
            <w:t>process of making decisions</w:t>
          </w:r>
          <w:r w:rsidRPr="00B15AFF">
            <w:t>. The initial section of the report deals with the financial performance of BP PLC during the last two financial years with the help of ratio analysis. Some of the key areas that have been analysed are profitability, liquidity, efficiency, gearing, and investor ratios. The findings show that BP is a financially stable company, but its performance is affected by the fluctuations in the international oil and gas prices and higher investment in energy transition projects. Profitability ratios indicate strong margins, liquidity ratios depict</w:t>
          </w:r>
          <w:r>
            <w:t xml:space="preserve"> sufficient short-term solvency, </w:t>
          </w:r>
          <w:r w:rsidRPr="00B15AFF">
            <w:t>whereas gearing ratios indicate a sound capital structure. Nevertheless, efficiency ratios dem</w:t>
          </w:r>
          <w:r>
            <w:t xml:space="preserve">onstrate that there is </w:t>
          </w:r>
          <w:r w:rsidRPr="00B15AFF">
            <w:t>room to be improved in terms of working capital management, whereas investor ratios indicate that a compromise between dividend pay-outs and retained earnings should be adopted. The second section of the report uses discounted cash</w:t>
          </w:r>
          <w:r>
            <w:t xml:space="preserve"> flow methods, </w:t>
          </w:r>
          <w:r w:rsidRPr="00B15AFF">
            <w:t>to analyse three investment options. The analy</w:t>
          </w:r>
          <w:r>
            <w:t>sis reveals that the most value-</w:t>
          </w:r>
          <w:r w:rsidRPr="00B15AFF">
            <w:t>creating project was alternative B, which has the greatest NPV and has a great IRR that is far higher than the cost of capital. Capital rationing analysis also illustrates that a portfolio strategy in investment maximisation increases the total shareholder wealth across financial constraints.</w:t>
          </w:r>
        </w:p>
        <w:p w14:paraId="62AB7F7D" w14:textId="77777777" w:rsidR="007D1947" w:rsidRPr="000E1C6B" w:rsidRDefault="007D1947"/>
        <w:p w14:paraId="6846CF66" w14:textId="77777777" w:rsidR="007D1947" w:rsidRPr="000E1C6B" w:rsidRDefault="007D1947"/>
        <w:p w14:paraId="7F8F78F5" w14:textId="77777777" w:rsidR="007D1947" w:rsidRPr="000E1C6B" w:rsidRDefault="007D1947"/>
        <w:p w14:paraId="3E204757" w14:textId="77777777" w:rsidR="007D1947" w:rsidRPr="000E1C6B" w:rsidRDefault="007D1947"/>
        <w:p w14:paraId="775DA3A7" w14:textId="77777777" w:rsidR="007D1947" w:rsidRPr="000E1C6B" w:rsidRDefault="007D1947"/>
        <w:p w14:paraId="5E5C2FB5" w14:textId="77777777" w:rsidR="007D1947" w:rsidRPr="000E1C6B" w:rsidRDefault="007D1947"/>
        <w:p w14:paraId="0EAD00A7" w14:textId="5760E28D" w:rsidR="007D1947" w:rsidRPr="000E1C6B" w:rsidRDefault="007D1947"/>
        <w:sdt>
          <w:sdtPr>
            <w:rPr>
              <w:rFonts w:asciiTheme="minorHAnsi" w:eastAsiaTheme="minorHAnsi" w:hAnsiTheme="minorHAnsi" w:cstheme="minorBidi"/>
              <w:b w:val="0"/>
              <w:color w:val="auto"/>
              <w:sz w:val="22"/>
              <w:szCs w:val="22"/>
              <w:lang w:val="en-GB"/>
            </w:rPr>
            <w:id w:val="-1297214018"/>
            <w:docPartObj>
              <w:docPartGallery w:val="Table of Contents"/>
              <w:docPartUnique/>
            </w:docPartObj>
          </w:sdtPr>
          <w:sdtEndPr>
            <w:rPr>
              <w:rFonts w:ascii="Times New Roman" w:hAnsi="Times New Roman"/>
              <w:bCs/>
              <w:sz w:val="24"/>
            </w:rPr>
          </w:sdtEndPr>
          <w:sdtContent>
            <w:p w14:paraId="1DFECD67" w14:textId="48F294B4" w:rsidR="007D1947" w:rsidRPr="000E1C6B" w:rsidRDefault="007D1947">
              <w:pPr>
                <w:pStyle w:val="TOCHeading"/>
                <w:rPr>
                  <w:lang w:val="en-GB"/>
                </w:rPr>
              </w:pPr>
              <w:r w:rsidRPr="000E1C6B">
                <w:rPr>
                  <w:lang w:val="en-GB"/>
                </w:rPr>
                <w:t>Table of Contents</w:t>
              </w:r>
            </w:p>
            <w:p w14:paraId="24EE86AC" w14:textId="77777777" w:rsidR="002858B9" w:rsidRDefault="007D1947">
              <w:pPr>
                <w:pStyle w:val="TOC1"/>
                <w:tabs>
                  <w:tab w:val="right" w:leader="dot" w:pos="9016"/>
                </w:tabs>
                <w:rPr>
                  <w:rFonts w:asciiTheme="minorHAnsi" w:eastAsiaTheme="minorEastAsia" w:hAnsiTheme="minorHAnsi"/>
                  <w:noProof/>
                  <w:sz w:val="22"/>
                  <w:lang w:val="en-US"/>
                </w:rPr>
              </w:pPr>
              <w:r w:rsidRPr="000E1C6B">
                <w:fldChar w:fldCharType="begin"/>
              </w:r>
              <w:r w:rsidRPr="000E1C6B">
                <w:instrText xml:space="preserve"> TOC \o "1-3" \h \z \u </w:instrText>
              </w:r>
              <w:r w:rsidRPr="000E1C6B">
                <w:fldChar w:fldCharType="separate"/>
              </w:r>
              <w:hyperlink w:anchor="_Toc219124103" w:history="1">
                <w:r w:rsidR="002858B9" w:rsidRPr="004A240C">
                  <w:rPr>
                    <w:rStyle w:val="Hyperlink"/>
                    <w:noProof/>
                  </w:rPr>
                  <w:t>Executive Summary</w:t>
                </w:r>
                <w:r w:rsidR="002858B9">
                  <w:rPr>
                    <w:noProof/>
                    <w:webHidden/>
                  </w:rPr>
                  <w:tab/>
                </w:r>
                <w:r w:rsidR="002858B9">
                  <w:rPr>
                    <w:noProof/>
                    <w:webHidden/>
                  </w:rPr>
                  <w:fldChar w:fldCharType="begin"/>
                </w:r>
                <w:r w:rsidR="002858B9">
                  <w:rPr>
                    <w:noProof/>
                    <w:webHidden/>
                  </w:rPr>
                  <w:instrText xml:space="preserve"> PAGEREF _Toc219124103 \h </w:instrText>
                </w:r>
                <w:r w:rsidR="002858B9">
                  <w:rPr>
                    <w:noProof/>
                    <w:webHidden/>
                  </w:rPr>
                </w:r>
                <w:r w:rsidR="002858B9">
                  <w:rPr>
                    <w:noProof/>
                    <w:webHidden/>
                  </w:rPr>
                  <w:fldChar w:fldCharType="separate"/>
                </w:r>
                <w:r w:rsidR="002858B9">
                  <w:rPr>
                    <w:noProof/>
                    <w:webHidden/>
                  </w:rPr>
                  <w:t>1</w:t>
                </w:r>
                <w:r w:rsidR="002858B9">
                  <w:rPr>
                    <w:noProof/>
                    <w:webHidden/>
                  </w:rPr>
                  <w:fldChar w:fldCharType="end"/>
                </w:r>
              </w:hyperlink>
            </w:p>
            <w:p w14:paraId="6DB13140" w14:textId="77777777" w:rsidR="002858B9" w:rsidRDefault="00F62C20">
              <w:pPr>
                <w:pStyle w:val="TOC1"/>
                <w:tabs>
                  <w:tab w:val="right" w:leader="dot" w:pos="9016"/>
                </w:tabs>
                <w:rPr>
                  <w:rFonts w:asciiTheme="minorHAnsi" w:eastAsiaTheme="minorEastAsia" w:hAnsiTheme="minorHAnsi"/>
                  <w:noProof/>
                  <w:sz w:val="22"/>
                  <w:lang w:val="en-US"/>
                </w:rPr>
              </w:pPr>
              <w:hyperlink w:anchor="_Toc219124104" w:history="1">
                <w:r w:rsidR="002858B9" w:rsidRPr="004A240C">
                  <w:rPr>
                    <w:rStyle w:val="Hyperlink"/>
                    <w:noProof/>
                  </w:rPr>
                  <w:t>Introduction</w:t>
                </w:r>
                <w:r w:rsidR="002858B9">
                  <w:rPr>
                    <w:noProof/>
                    <w:webHidden/>
                  </w:rPr>
                  <w:tab/>
                </w:r>
                <w:r w:rsidR="002858B9">
                  <w:rPr>
                    <w:noProof/>
                    <w:webHidden/>
                  </w:rPr>
                  <w:fldChar w:fldCharType="begin"/>
                </w:r>
                <w:r w:rsidR="002858B9">
                  <w:rPr>
                    <w:noProof/>
                    <w:webHidden/>
                  </w:rPr>
                  <w:instrText xml:space="preserve"> PAGEREF _Toc219124104 \h </w:instrText>
                </w:r>
                <w:r w:rsidR="002858B9">
                  <w:rPr>
                    <w:noProof/>
                    <w:webHidden/>
                  </w:rPr>
                </w:r>
                <w:r w:rsidR="002858B9">
                  <w:rPr>
                    <w:noProof/>
                    <w:webHidden/>
                  </w:rPr>
                  <w:fldChar w:fldCharType="separate"/>
                </w:r>
                <w:r w:rsidR="002858B9">
                  <w:rPr>
                    <w:noProof/>
                    <w:webHidden/>
                  </w:rPr>
                  <w:t>3</w:t>
                </w:r>
                <w:r w:rsidR="002858B9">
                  <w:rPr>
                    <w:noProof/>
                    <w:webHidden/>
                  </w:rPr>
                  <w:fldChar w:fldCharType="end"/>
                </w:r>
              </w:hyperlink>
            </w:p>
            <w:p w14:paraId="41BB4A01" w14:textId="77777777" w:rsidR="002858B9" w:rsidRDefault="00F62C20">
              <w:pPr>
                <w:pStyle w:val="TOC1"/>
                <w:tabs>
                  <w:tab w:val="right" w:leader="dot" w:pos="9016"/>
                </w:tabs>
                <w:rPr>
                  <w:rFonts w:asciiTheme="minorHAnsi" w:eastAsiaTheme="minorEastAsia" w:hAnsiTheme="minorHAnsi"/>
                  <w:noProof/>
                  <w:sz w:val="22"/>
                  <w:lang w:val="en-US"/>
                </w:rPr>
              </w:pPr>
              <w:hyperlink w:anchor="_Toc219124105" w:history="1">
                <w:r w:rsidR="002858B9" w:rsidRPr="004A240C">
                  <w:rPr>
                    <w:rStyle w:val="Hyperlink"/>
                    <w:noProof/>
                  </w:rPr>
                  <w:t>Main Findings</w:t>
                </w:r>
                <w:r w:rsidR="002858B9">
                  <w:rPr>
                    <w:noProof/>
                    <w:webHidden/>
                  </w:rPr>
                  <w:tab/>
                </w:r>
                <w:r w:rsidR="002858B9">
                  <w:rPr>
                    <w:noProof/>
                    <w:webHidden/>
                  </w:rPr>
                  <w:fldChar w:fldCharType="begin"/>
                </w:r>
                <w:r w:rsidR="002858B9">
                  <w:rPr>
                    <w:noProof/>
                    <w:webHidden/>
                  </w:rPr>
                  <w:instrText xml:space="preserve"> PAGEREF _Toc219124105 \h </w:instrText>
                </w:r>
                <w:r w:rsidR="002858B9">
                  <w:rPr>
                    <w:noProof/>
                    <w:webHidden/>
                  </w:rPr>
                </w:r>
                <w:r w:rsidR="002858B9">
                  <w:rPr>
                    <w:noProof/>
                    <w:webHidden/>
                  </w:rPr>
                  <w:fldChar w:fldCharType="separate"/>
                </w:r>
                <w:r w:rsidR="002858B9">
                  <w:rPr>
                    <w:noProof/>
                    <w:webHidden/>
                  </w:rPr>
                  <w:t>5</w:t>
                </w:r>
                <w:r w:rsidR="002858B9">
                  <w:rPr>
                    <w:noProof/>
                    <w:webHidden/>
                  </w:rPr>
                  <w:fldChar w:fldCharType="end"/>
                </w:r>
              </w:hyperlink>
            </w:p>
            <w:p w14:paraId="4912D59D" w14:textId="77777777" w:rsidR="002858B9" w:rsidRDefault="00F62C20">
              <w:pPr>
                <w:pStyle w:val="TOC2"/>
                <w:tabs>
                  <w:tab w:val="right" w:leader="dot" w:pos="9016"/>
                </w:tabs>
                <w:rPr>
                  <w:rFonts w:asciiTheme="minorHAnsi" w:eastAsiaTheme="minorEastAsia" w:hAnsiTheme="minorHAnsi"/>
                  <w:noProof/>
                  <w:sz w:val="22"/>
                  <w:lang w:val="en-US"/>
                </w:rPr>
              </w:pPr>
              <w:hyperlink w:anchor="_Toc219124106" w:history="1">
                <w:r w:rsidR="002858B9" w:rsidRPr="004A240C">
                  <w:rPr>
                    <w:rStyle w:val="Hyperlink"/>
                    <w:noProof/>
                  </w:rPr>
                  <w:t>Task 1</w:t>
                </w:r>
                <w:r w:rsidR="002858B9">
                  <w:rPr>
                    <w:noProof/>
                    <w:webHidden/>
                  </w:rPr>
                  <w:tab/>
                </w:r>
                <w:r w:rsidR="002858B9">
                  <w:rPr>
                    <w:noProof/>
                    <w:webHidden/>
                  </w:rPr>
                  <w:fldChar w:fldCharType="begin"/>
                </w:r>
                <w:r w:rsidR="002858B9">
                  <w:rPr>
                    <w:noProof/>
                    <w:webHidden/>
                  </w:rPr>
                  <w:instrText xml:space="preserve"> PAGEREF _Toc219124106 \h </w:instrText>
                </w:r>
                <w:r w:rsidR="002858B9">
                  <w:rPr>
                    <w:noProof/>
                    <w:webHidden/>
                  </w:rPr>
                </w:r>
                <w:r w:rsidR="002858B9">
                  <w:rPr>
                    <w:noProof/>
                    <w:webHidden/>
                  </w:rPr>
                  <w:fldChar w:fldCharType="separate"/>
                </w:r>
                <w:r w:rsidR="002858B9">
                  <w:rPr>
                    <w:noProof/>
                    <w:webHidden/>
                  </w:rPr>
                  <w:t>5</w:t>
                </w:r>
                <w:r w:rsidR="002858B9">
                  <w:rPr>
                    <w:noProof/>
                    <w:webHidden/>
                  </w:rPr>
                  <w:fldChar w:fldCharType="end"/>
                </w:r>
              </w:hyperlink>
            </w:p>
            <w:p w14:paraId="7299CC49" w14:textId="77777777" w:rsidR="002858B9" w:rsidRDefault="00F62C20">
              <w:pPr>
                <w:pStyle w:val="TOC3"/>
                <w:tabs>
                  <w:tab w:val="right" w:leader="dot" w:pos="9016"/>
                </w:tabs>
                <w:rPr>
                  <w:rFonts w:asciiTheme="minorHAnsi" w:eastAsiaTheme="minorEastAsia" w:hAnsiTheme="minorHAnsi"/>
                  <w:noProof/>
                  <w:sz w:val="22"/>
                  <w:lang w:val="en-US"/>
                </w:rPr>
              </w:pPr>
              <w:hyperlink w:anchor="_Toc219124107" w:history="1">
                <w:r w:rsidR="002858B9" w:rsidRPr="004A240C">
                  <w:rPr>
                    <w:rStyle w:val="Hyperlink"/>
                    <w:noProof/>
                  </w:rPr>
                  <w:t>Ratio Analysis</w:t>
                </w:r>
                <w:r w:rsidR="002858B9">
                  <w:rPr>
                    <w:noProof/>
                    <w:webHidden/>
                  </w:rPr>
                  <w:tab/>
                </w:r>
                <w:r w:rsidR="002858B9">
                  <w:rPr>
                    <w:noProof/>
                    <w:webHidden/>
                  </w:rPr>
                  <w:fldChar w:fldCharType="begin"/>
                </w:r>
                <w:r w:rsidR="002858B9">
                  <w:rPr>
                    <w:noProof/>
                    <w:webHidden/>
                  </w:rPr>
                  <w:instrText xml:space="preserve"> PAGEREF _Toc219124107 \h </w:instrText>
                </w:r>
                <w:r w:rsidR="002858B9">
                  <w:rPr>
                    <w:noProof/>
                    <w:webHidden/>
                  </w:rPr>
                </w:r>
                <w:r w:rsidR="002858B9">
                  <w:rPr>
                    <w:noProof/>
                    <w:webHidden/>
                  </w:rPr>
                  <w:fldChar w:fldCharType="separate"/>
                </w:r>
                <w:r w:rsidR="002858B9">
                  <w:rPr>
                    <w:noProof/>
                    <w:webHidden/>
                  </w:rPr>
                  <w:t>5</w:t>
                </w:r>
                <w:r w:rsidR="002858B9">
                  <w:rPr>
                    <w:noProof/>
                    <w:webHidden/>
                  </w:rPr>
                  <w:fldChar w:fldCharType="end"/>
                </w:r>
              </w:hyperlink>
            </w:p>
            <w:p w14:paraId="113F0E13" w14:textId="77777777" w:rsidR="002858B9" w:rsidRDefault="00F62C20">
              <w:pPr>
                <w:pStyle w:val="TOC3"/>
                <w:tabs>
                  <w:tab w:val="right" w:leader="dot" w:pos="9016"/>
                </w:tabs>
                <w:rPr>
                  <w:rFonts w:asciiTheme="minorHAnsi" w:eastAsiaTheme="minorEastAsia" w:hAnsiTheme="minorHAnsi"/>
                  <w:noProof/>
                  <w:sz w:val="22"/>
                  <w:lang w:val="en-US"/>
                </w:rPr>
              </w:pPr>
              <w:hyperlink w:anchor="_Toc219124108" w:history="1">
                <w:r w:rsidR="002858B9" w:rsidRPr="004A240C">
                  <w:rPr>
                    <w:rStyle w:val="Hyperlink"/>
                    <w:noProof/>
                  </w:rPr>
                  <w:t>Limitations</w:t>
                </w:r>
                <w:r w:rsidR="002858B9">
                  <w:rPr>
                    <w:noProof/>
                    <w:webHidden/>
                  </w:rPr>
                  <w:tab/>
                </w:r>
                <w:r w:rsidR="002858B9">
                  <w:rPr>
                    <w:noProof/>
                    <w:webHidden/>
                  </w:rPr>
                  <w:fldChar w:fldCharType="begin"/>
                </w:r>
                <w:r w:rsidR="002858B9">
                  <w:rPr>
                    <w:noProof/>
                    <w:webHidden/>
                  </w:rPr>
                  <w:instrText xml:space="preserve"> PAGEREF _Toc219124108 \h </w:instrText>
                </w:r>
                <w:r w:rsidR="002858B9">
                  <w:rPr>
                    <w:noProof/>
                    <w:webHidden/>
                  </w:rPr>
                </w:r>
                <w:r w:rsidR="002858B9">
                  <w:rPr>
                    <w:noProof/>
                    <w:webHidden/>
                  </w:rPr>
                  <w:fldChar w:fldCharType="separate"/>
                </w:r>
                <w:r w:rsidR="002858B9">
                  <w:rPr>
                    <w:noProof/>
                    <w:webHidden/>
                  </w:rPr>
                  <w:t>11</w:t>
                </w:r>
                <w:r w:rsidR="002858B9">
                  <w:rPr>
                    <w:noProof/>
                    <w:webHidden/>
                  </w:rPr>
                  <w:fldChar w:fldCharType="end"/>
                </w:r>
              </w:hyperlink>
            </w:p>
            <w:p w14:paraId="3B0BA4A0" w14:textId="77777777" w:rsidR="002858B9" w:rsidRDefault="00F62C20">
              <w:pPr>
                <w:pStyle w:val="TOC3"/>
                <w:tabs>
                  <w:tab w:val="right" w:leader="dot" w:pos="9016"/>
                </w:tabs>
                <w:rPr>
                  <w:rFonts w:asciiTheme="minorHAnsi" w:eastAsiaTheme="minorEastAsia" w:hAnsiTheme="minorHAnsi"/>
                  <w:noProof/>
                  <w:sz w:val="22"/>
                  <w:lang w:val="en-US"/>
                </w:rPr>
              </w:pPr>
              <w:hyperlink w:anchor="_Toc219124109" w:history="1">
                <w:r w:rsidR="002858B9" w:rsidRPr="004A240C">
                  <w:rPr>
                    <w:rStyle w:val="Hyperlink"/>
                    <w:noProof/>
                  </w:rPr>
                  <w:t>Recommendations</w:t>
                </w:r>
                <w:r w:rsidR="002858B9">
                  <w:rPr>
                    <w:noProof/>
                    <w:webHidden/>
                  </w:rPr>
                  <w:tab/>
                </w:r>
                <w:r w:rsidR="002858B9">
                  <w:rPr>
                    <w:noProof/>
                    <w:webHidden/>
                  </w:rPr>
                  <w:fldChar w:fldCharType="begin"/>
                </w:r>
                <w:r w:rsidR="002858B9">
                  <w:rPr>
                    <w:noProof/>
                    <w:webHidden/>
                  </w:rPr>
                  <w:instrText xml:space="preserve"> PAGEREF _Toc219124109 \h </w:instrText>
                </w:r>
                <w:r w:rsidR="002858B9">
                  <w:rPr>
                    <w:noProof/>
                    <w:webHidden/>
                  </w:rPr>
                </w:r>
                <w:r w:rsidR="002858B9">
                  <w:rPr>
                    <w:noProof/>
                    <w:webHidden/>
                  </w:rPr>
                  <w:fldChar w:fldCharType="separate"/>
                </w:r>
                <w:r w:rsidR="002858B9">
                  <w:rPr>
                    <w:noProof/>
                    <w:webHidden/>
                  </w:rPr>
                  <w:t>13</w:t>
                </w:r>
                <w:r w:rsidR="002858B9">
                  <w:rPr>
                    <w:noProof/>
                    <w:webHidden/>
                  </w:rPr>
                  <w:fldChar w:fldCharType="end"/>
                </w:r>
              </w:hyperlink>
            </w:p>
            <w:p w14:paraId="48B77108" w14:textId="77777777" w:rsidR="002858B9" w:rsidRDefault="00F62C20">
              <w:pPr>
                <w:pStyle w:val="TOC2"/>
                <w:tabs>
                  <w:tab w:val="right" w:leader="dot" w:pos="9016"/>
                </w:tabs>
                <w:rPr>
                  <w:rFonts w:asciiTheme="minorHAnsi" w:eastAsiaTheme="minorEastAsia" w:hAnsiTheme="minorHAnsi"/>
                  <w:noProof/>
                  <w:sz w:val="22"/>
                  <w:lang w:val="en-US"/>
                </w:rPr>
              </w:pPr>
              <w:hyperlink w:anchor="_Toc219124110" w:history="1">
                <w:r w:rsidR="002858B9" w:rsidRPr="004A240C">
                  <w:rPr>
                    <w:rStyle w:val="Hyperlink"/>
                    <w:noProof/>
                  </w:rPr>
                  <w:t>Task 2</w:t>
                </w:r>
                <w:r w:rsidR="002858B9">
                  <w:rPr>
                    <w:noProof/>
                    <w:webHidden/>
                  </w:rPr>
                  <w:tab/>
                </w:r>
                <w:r w:rsidR="002858B9">
                  <w:rPr>
                    <w:noProof/>
                    <w:webHidden/>
                  </w:rPr>
                  <w:fldChar w:fldCharType="begin"/>
                </w:r>
                <w:r w:rsidR="002858B9">
                  <w:rPr>
                    <w:noProof/>
                    <w:webHidden/>
                  </w:rPr>
                  <w:instrText xml:space="preserve"> PAGEREF _Toc219124110 \h </w:instrText>
                </w:r>
                <w:r w:rsidR="002858B9">
                  <w:rPr>
                    <w:noProof/>
                    <w:webHidden/>
                  </w:rPr>
                </w:r>
                <w:r w:rsidR="002858B9">
                  <w:rPr>
                    <w:noProof/>
                    <w:webHidden/>
                  </w:rPr>
                  <w:fldChar w:fldCharType="separate"/>
                </w:r>
                <w:r w:rsidR="002858B9">
                  <w:rPr>
                    <w:noProof/>
                    <w:webHidden/>
                  </w:rPr>
                  <w:t>16</w:t>
                </w:r>
                <w:r w:rsidR="002858B9">
                  <w:rPr>
                    <w:noProof/>
                    <w:webHidden/>
                  </w:rPr>
                  <w:fldChar w:fldCharType="end"/>
                </w:r>
              </w:hyperlink>
            </w:p>
            <w:p w14:paraId="407810C1" w14:textId="77777777" w:rsidR="002858B9" w:rsidRDefault="00F62C20">
              <w:pPr>
                <w:pStyle w:val="TOC3"/>
                <w:tabs>
                  <w:tab w:val="right" w:leader="dot" w:pos="9016"/>
                </w:tabs>
                <w:rPr>
                  <w:rFonts w:asciiTheme="minorHAnsi" w:eastAsiaTheme="minorEastAsia" w:hAnsiTheme="minorHAnsi"/>
                  <w:noProof/>
                  <w:sz w:val="22"/>
                  <w:lang w:val="en-US"/>
                </w:rPr>
              </w:pPr>
              <w:hyperlink w:anchor="_Toc219124111" w:history="1">
                <w:r w:rsidR="002858B9" w:rsidRPr="004A240C">
                  <w:rPr>
                    <w:rStyle w:val="Hyperlink"/>
                    <w:noProof/>
                  </w:rPr>
                  <w:t>NPV Analysis</w:t>
                </w:r>
                <w:r w:rsidR="002858B9">
                  <w:rPr>
                    <w:noProof/>
                    <w:webHidden/>
                  </w:rPr>
                  <w:tab/>
                </w:r>
                <w:r w:rsidR="002858B9">
                  <w:rPr>
                    <w:noProof/>
                    <w:webHidden/>
                  </w:rPr>
                  <w:fldChar w:fldCharType="begin"/>
                </w:r>
                <w:r w:rsidR="002858B9">
                  <w:rPr>
                    <w:noProof/>
                    <w:webHidden/>
                  </w:rPr>
                  <w:instrText xml:space="preserve"> PAGEREF _Toc219124111 \h </w:instrText>
                </w:r>
                <w:r w:rsidR="002858B9">
                  <w:rPr>
                    <w:noProof/>
                    <w:webHidden/>
                  </w:rPr>
                </w:r>
                <w:r w:rsidR="002858B9">
                  <w:rPr>
                    <w:noProof/>
                    <w:webHidden/>
                  </w:rPr>
                  <w:fldChar w:fldCharType="separate"/>
                </w:r>
                <w:r w:rsidR="002858B9">
                  <w:rPr>
                    <w:noProof/>
                    <w:webHidden/>
                  </w:rPr>
                  <w:t>16</w:t>
                </w:r>
                <w:r w:rsidR="002858B9">
                  <w:rPr>
                    <w:noProof/>
                    <w:webHidden/>
                  </w:rPr>
                  <w:fldChar w:fldCharType="end"/>
                </w:r>
              </w:hyperlink>
            </w:p>
            <w:p w14:paraId="59279594" w14:textId="77777777" w:rsidR="002858B9" w:rsidRDefault="00F62C20">
              <w:pPr>
                <w:pStyle w:val="TOC3"/>
                <w:tabs>
                  <w:tab w:val="right" w:leader="dot" w:pos="9016"/>
                </w:tabs>
                <w:rPr>
                  <w:rFonts w:asciiTheme="minorHAnsi" w:eastAsiaTheme="minorEastAsia" w:hAnsiTheme="minorHAnsi"/>
                  <w:noProof/>
                  <w:sz w:val="22"/>
                  <w:lang w:val="en-US"/>
                </w:rPr>
              </w:pPr>
              <w:hyperlink w:anchor="_Toc219124112" w:history="1">
                <w:r w:rsidR="002858B9" w:rsidRPr="004A240C">
                  <w:rPr>
                    <w:rStyle w:val="Hyperlink"/>
                    <w:noProof/>
                  </w:rPr>
                  <w:t>Why NPV is the best</w:t>
                </w:r>
                <w:r w:rsidR="002858B9">
                  <w:rPr>
                    <w:noProof/>
                    <w:webHidden/>
                  </w:rPr>
                  <w:tab/>
                </w:r>
                <w:r w:rsidR="002858B9">
                  <w:rPr>
                    <w:noProof/>
                    <w:webHidden/>
                  </w:rPr>
                  <w:fldChar w:fldCharType="begin"/>
                </w:r>
                <w:r w:rsidR="002858B9">
                  <w:rPr>
                    <w:noProof/>
                    <w:webHidden/>
                  </w:rPr>
                  <w:instrText xml:space="preserve"> PAGEREF _Toc219124112 \h </w:instrText>
                </w:r>
                <w:r w:rsidR="002858B9">
                  <w:rPr>
                    <w:noProof/>
                    <w:webHidden/>
                  </w:rPr>
                </w:r>
                <w:r w:rsidR="002858B9">
                  <w:rPr>
                    <w:noProof/>
                    <w:webHidden/>
                  </w:rPr>
                  <w:fldChar w:fldCharType="separate"/>
                </w:r>
                <w:r w:rsidR="002858B9">
                  <w:rPr>
                    <w:noProof/>
                    <w:webHidden/>
                  </w:rPr>
                  <w:t>18</w:t>
                </w:r>
                <w:r w:rsidR="002858B9">
                  <w:rPr>
                    <w:noProof/>
                    <w:webHidden/>
                  </w:rPr>
                  <w:fldChar w:fldCharType="end"/>
                </w:r>
              </w:hyperlink>
            </w:p>
            <w:p w14:paraId="5EA223F5" w14:textId="77777777" w:rsidR="002858B9" w:rsidRDefault="00F62C20">
              <w:pPr>
                <w:pStyle w:val="TOC3"/>
                <w:tabs>
                  <w:tab w:val="right" w:leader="dot" w:pos="9016"/>
                </w:tabs>
                <w:rPr>
                  <w:rFonts w:asciiTheme="minorHAnsi" w:eastAsiaTheme="minorEastAsia" w:hAnsiTheme="minorHAnsi"/>
                  <w:noProof/>
                  <w:sz w:val="22"/>
                  <w:lang w:val="en-US"/>
                </w:rPr>
              </w:pPr>
              <w:hyperlink w:anchor="_Toc219124113" w:history="1">
                <w:r w:rsidR="002858B9" w:rsidRPr="004A240C">
                  <w:rPr>
                    <w:rStyle w:val="Hyperlink"/>
                    <w:noProof/>
                  </w:rPr>
                  <w:t>Internal Rate of Return (IRR)</w:t>
                </w:r>
                <w:r w:rsidR="002858B9">
                  <w:rPr>
                    <w:noProof/>
                    <w:webHidden/>
                  </w:rPr>
                  <w:tab/>
                </w:r>
                <w:r w:rsidR="002858B9">
                  <w:rPr>
                    <w:noProof/>
                    <w:webHidden/>
                  </w:rPr>
                  <w:fldChar w:fldCharType="begin"/>
                </w:r>
                <w:r w:rsidR="002858B9">
                  <w:rPr>
                    <w:noProof/>
                    <w:webHidden/>
                  </w:rPr>
                  <w:instrText xml:space="preserve"> PAGEREF _Toc219124113 \h </w:instrText>
                </w:r>
                <w:r w:rsidR="002858B9">
                  <w:rPr>
                    <w:noProof/>
                    <w:webHidden/>
                  </w:rPr>
                </w:r>
                <w:r w:rsidR="002858B9">
                  <w:rPr>
                    <w:noProof/>
                    <w:webHidden/>
                  </w:rPr>
                  <w:fldChar w:fldCharType="separate"/>
                </w:r>
                <w:r w:rsidR="002858B9">
                  <w:rPr>
                    <w:noProof/>
                    <w:webHidden/>
                  </w:rPr>
                  <w:t>19</w:t>
                </w:r>
                <w:r w:rsidR="002858B9">
                  <w:rPr>
                    <w:noProof/>
                    <w:webHidden/>
                  </w:rPr>
                  <w:fldChar w:fldCharType="end"/>
                </w:r>
              </w:hyperlink>
            </w:p>
            <w:p w14:paraId="0D4A5C01" w14:textId="77777777" w:rsidR="002858B9" w:rsidRDefault="00F62C20">
              <w:pPr>
                <w:pStyle w:val="TOC3"/>
                <w:tabs>
                  <w:tab w:val="right" w:leader="dot" w:pos="9016"/>
                </w:tabs>
                <w:rPr>
                  <w:rFonts w:asciiTheme="minorHAnsi" w:eastAsiaTheme="minorEastAsia" w:hAnsiTheme="minorHAnsi"/>
                  <w:noProof/>
                  <w:sz w:val="22"/>
                  <w:lang w:val="en-US"/>
                </w:rPr>
              </w:pPr>
              <w:hyperlink w:anchor="_Toc219124114" w:history="1">
                <w:r w:rsidR="002858B9" w:rsidRPr="004A240C">
                  <w:rPr>
                    <w:rStyle w:val="Hyperlink"/>
                    <w:noProof/>
                  </w:rPr>
                  <w:t>Capital Rationing</w:t>
                </w:r>
                <w:r w:rsidR="002858B9">
                  <w:rPr>
                    <w:noProof/>
                    <w:webHidden/>
                  </w:rPr>
                  <w:tab/>
                </w:r>
                <w:r w:rsidR="002858B9">
                  <w:rPr>
                    <w:noProof/>
                    <w:webHidden/>
                  </w:rPr>
                  <w:fldChar w:fldCharType="begin"/>
                </w:r>
                <w:r w:rsidR="002858B9">
                  <w:rPr>
                    <w:noProof/>
                    <w:webHidden/>
                  </w:rPr>
                  <w:instrText xml:space="preserve"> PAGEREF _Toc219124114 \h </w:instrText>
                </w:r>
                <w:r w:rsidR="002858B9">
                  <w:rPr>
                    <w:noProof/>
                    <w:webHidden/>
                  </w:rPr>
                </w:r>
                <w:r w:rsidR="002858B9">
                  <w:rPr>
                    <w:noProof/>
                    <w:webHidden/>
                  </w:rPr>
                  <w:fldChar w:fldCharType="separate"/>
                </w:r>
                <w:r w:rsidR="002858B9">
                  <w:rPr>
                    <w:noProof/>
                    <w:webHidden/>
                  </w:rPr>
                  <w:t>20</w:t>
                </w:r>
                <w:r w:rsidR="002858B9">
                  <w:rPr>
                    <w:noProof/>
                    <w:webHidden/>
                  </w:rPr>
                  <w:fldChar w:fldCharType="end"/>
                </w:r>
              </w:hyperlink>
            </w:p>
            <w:p w14:paraId="78B83859" w14:textId="77777777" w:rsidR="002858B9" w:rsidRDefault="00F62C20">
              <w:pPr>
                <w:pStyle w:val="TOC3"/>
                <w:tabs>
                  <w:tab w:val="right" w:leader="dot" w:pos="9016"/>
                </w:tabs>
                <w:rPr>
                  <w:rFonts w:asciiTheme="minorHAnsi" w:eastAsiaTheme="minorEastAsia" w:hAnsiTheme="minorHAnsi"/>
                  <w:noProof/>
                  <w:sz w:val="22"/>
                  <w:lang w:val="en-US"/>
                </w:rPr>
              </w:pPr>
              <w:hyperlink w:anchor="_Toc219124115" w:history="1">
                <w:r w:rsidR="002858B9" w:rsidRPr="004A240C">
                  <w:rPr>
                    <w:rStyle w:val="Hyperlink"/>
                    <w:noProof/>
                  </w:rPr>
                  <w:t>Funding the Investment Programme and Recommendations</w:t>
                </w:r>
                <w:r w:rsidR="002858B9">
                  <w:rPr>
                    <w:noProof/>
                    <w:webHidden/>
                  </w:rPr>
                  <w:tab/>
                </w:r>
                <w:r w:rsidR="002858B9">
                  <w:rPr>
                    <w:noProof/>
                    <w:webHidden/>
                  </w:rPr>
                  <w:fldChar w:fldCharType="begin"/>
                </w:r>
                <w:r w:rsidR="002858B9">
                  <w:rPr>
                    <w:noProof/>
                    <w:webHidden/>
                  </w:rPr>
                  <w:instrText xml:space="preserve"> PAGEREF _Toc219124115 \h </w:instrText>
                </w:r>
                <w:r w:rsidR="002858B9">
                  <w:rPr>
                    <w:noProof/>
                    <w:webHidden/>
                  </w:rPr>
                </w:r>
                <w:r w:rsidR="002858B9">
                  <w:rPr>
                    <w:noProof/>
                    <w:webHidden/>
                  </w:rPr>
                  <w:fldChar w:fldCharType="separate"/>
                </w:r>
                <w:r w:rsidR="002858B9">
                  <w:rPr>
                    <w:noProof/>
                    <w:webHidden/>
                  </w:rPr>
                  <w:t>21</w:t>
                </w:r>
                <w:r w:rsidR="002858B9">
                  <w:rPr>
                    <w:noProof/>
                    <w:webHidden/>
                  </w:rPr>
                  <w:fldChar w:fldCharType="end"/>
                </w:r>
              </w:hyperlink>
            </w:p>
            <w:p w14:paraId="4E56B20E" w14:textId="77777777" w:rsidR="002858B9" w:rsidRDefault="00F62C20">
              <w:pPr>
                <w:pStyle w:val="TOC1"/>
                <w:tabs>
                  <w:tab w:val="right" w:leader="dot" w:pos="9016"/>
                </w:tabs>
                <w:rPr>
                  <w:rFonts w:asciiTheme="minorHAnsi" w:eastAsiaTheme="minorEastAsia" w:hAnsiTheme="minorHAnsi"/>
                  <w:noProof/>
                  <w:sz w:val="22"/>
                  <w:lang w:val="en-US"/>
                </w:rPr>
              </w:pPr>
              <w:hyperlink w:anchor="_Toc219124116" w:history="1">
                <w:r w:rsidR="002858B9" w:rsidRPr="004A240C">
                  <w:rPr>
                    <w:rStyle w:val="Hyperlink"/>
                    <w:noProof/>
                  </w:rPr>
                  <w:t>Conclusion</w:t>
                </w:r>
                <w:r w:rsidR="002858B9">
                  <w:rPr>
                    <w:noProof/>
                    <w:webHidden/>
                  </w:rPr>
                  <w:tab/>
                </w:r>
                <w:r w:rsidR="002858B9">
                  <w:rPr>
                    <w:noProof/>
                    <w:webHidden/>
                  </w:rPr>
                  <w:fldChar w:fldCharType="begin"/>
                </w:r>
                <w:r w:rsidR="002858B9">
                  <w:rPr>
                    <w:noProof/>
                    <w:webHidden/>
                  </w:rPr>
                  <w:instrText xml:space="preserve"> PAGEREF _Toc219124116 \h </w:instrText>
                </w:r>
                <w:r w:rsidR="002858B9">
                  <w:rPr>
                    <w:noProof/>
                    <w:webHidden/>
                  </w:rPr>
                </w:r>
                <w:r w:rsidR="002858B9">
                  <w:rPr>
                    <w:noProof/>
                    <w:webHidden/>
                  </w:rPr>
                  <w:fldChar w:fldCharType="separate"/>
                </w:r>
                <w:r w:rsidR="002858B9">
                  <w:rPr>
                    <w:noProof/>
                    <w:webHidden/>
                  </w:rPr>
                  <w:t>23</w:t>
                </w:r>
                <w:r w:rsidR="002858B9">
                  <w:rPr>
                    <w:noProof/>
                    <w:webHidden/>
                  </w:rPr>
                  <w:fldChar w:fldCharType="end"/>
                </w:r>
              </w:hyperlink>
            </w:p>
            <w:p w14:paraId="6EF9A983" w14:textId="77777777" w:rsidR="002858B9" w:rsidRDefault="00F62C20">
              <w:pPr>
                <w:pStyle w:val="TOC1"/>
                <w:tabs>
                  <w:tab w:val="right" w:leader="dot" w:pos="9016"/>
                </w:tabs>
                <w:rPr>
                  <w:rFonts w:asciiTheme="minorHAnsi" w:eastAsiaTheme="minorEastAsia" w:hAnsiTheme="minorHAnsi"/>
                  <w:noProof/>
                  <w:sz w:val="22"/>
                  <w:lang w:val="en-US"/>
                </w:rPr>
              </w:pPr>
              <w:hyperlink w:anchor="_Toc219124117" w:history="1">
                <w:r w:rsidR="002858B9" w:rsidRPr="004A240C">
                  <w:rPr>
                    <w:rStyle w:val="Hyperlink"/>
                    <w:noProof/>
                  </w:rPr>
                  <w:t>Bibliography</w:t>
                </w:r>
                <w:r w:rsidR="002858B9">
                  <w:rPr>
                    <w:noProof/>
                    <w:webHidden/>
                  </w:rPr>
                  <w:tab/>
                </w:r>
                <w:r w:rsidR="002858B9">
                  <w:rPr>
                    <w:noProof/>
                    <w:webHidden/>
                  </w:rPr>
                  <w:fldChar w:fldCharType="begin"/>
                </w:r>
                <w:r w:rsidR="002858B9">
                  <w:rPr>
                    <w:noProof/>
                    <w:webHidden/>
                  </w:rPr>
                  <w:instrText xml:space="preserve"> PAGEREF _Toc219124117 \h </w:instrText>
                </w:r>
                <w:r w:rsidR="002858B9">
                  <w:rPr>
                    <w:noProof/>
                    <w:webHidden/>
                  </w:rPr>
                </w:r>
                <w:r w:rsidR="002858B9">
                  <w:rPr>
                    <w:noProof/>
                    <w:webHidden/>
                  </w:rPr>
                  <w:fldChar w:fldCharType="separate"/>
                </w:r>
                <w:r w:rsidR="002858B9">
                  <w:rPr>
                    <w:noProof/>
                    <w:webHidden/>
                  </w:rPr>
                  <w:t>24</w:t>
                </w:r>
                <w:r w:rsidR="002858B9">
                  <w:rPr>
                    <w:noProof/>
                    <w:webHidden/>
                  </w:rPr>
                  <w:fldChar w:fldCharType="end"/>
                </w:r>
              </w:hyperlink>
            </w:p>
            <w:p w14:paraId="7AE8EC0A" w14:textId="77777777" w:rsidR="002858B9" w:rsidRDefault="00F62C20">
              <w:pPr>
                <w:pStyle w:val="TOC1"/>
                <w:tabs>
                  <w:tab w:val="right" w:leader="dot" w:pos="9016"/>
                </w:tabs>
                <w:rPr>
                  <w:rFonts w:asciiTheme="minorHAnsi" w:eastAsiaTheme="minorEastAsia" w:hAnsiTheme="minorHAnsi"/>
                  <w:noProof/>
                  <w:sz w:val="22"/>
                  <w:lang w:val="en-US"/>
                </w:rPr>
              </w:pPr>
              <w:hyperlink w:anchor="_Toc219124118" w:history="1">
                <w:r w:rsidR="002858B9" w:rsidRPr="004A240C">
                  <w:rPr>
                    <w:rStyle w:val="Hyperlink"/>
                    <w:noProof/>
                  </w:rPr>
                  <w:t>Appendix</w:t>
                </w:r>
                <w:r w:rsidR="002858B9">
                  <w:rPr>
                    <w:noProof/>
                    <w:webHidden/>
                  </w:rPr>
                  <w:tab/>
                </w:r>
                <w:r w:rsidR="002858B9">
                  <w:rPr>
                    <w:noProof/>
                    <w:webHidden/>
                  </w:rPr>
                  <w:fldChar w:fldCharType="begin"/>
                </w:r>
                <w:r w:rsidR="002858B9">
                  <w:rPr>
                    <w:noProof/>
                    <w:webHidden/>
                  </w:rPr>
                  <w:instrText xml:space="preserve"> PAGEREF _Toc219124118 \h </w:instrText>
                </w:r>
                <w:r w:rsidR="002858B9">
                  <w:rPr>
                    <w:noProof/>
                    <w:webHidden/>
                  </w:rPr>
                </w:r>
                <w:r w:rsidR="002858B9">
                  <w:rPr>
                    <w:noProof/>
                    <w:webHidden/>
                  </w:rPr>
                  <w:fldChar w:fldCharType="separate"/>
                </w:r>
                <w:r w:rsidR="002858B9">
                  <w:rPr>
                    <w:noProof/>
                    <w:webHidden/>
                  </w:rPr>
                  <w:t>29</w:t>
                </w:r>
                <w:r w:rsidR="002858B9">
                  <w:rPr>
                    <w:noProof/>
                    <w:webHidden/>
                  </w:rPr>
                  <w:fldChar w:fldCharType="end"/>
                </w:r>
              </w:hyperlink>
            </w:p>
            <w:p w14:paraId="05194699" w14:textId="67B3B4A4" w:rsidR="007D1947" w:rsidRPr="000E1C6B" w:rsidRDefault="007D1947">
              <w:r w:rsidRPr="000E1C6B">
                <w:rPr>
                  <w:b/>
                  <w:bCs/>
                </w:rPr>
                <w:fldChar w:fldCharType="end"/>
              </w:r>
              <w:r w:rsidR="000E1C6B" w:rsidRPr="000E1C6B">
                <w:rPr>
                  <w:b/>
                  <w:bCs/>
                </w:rPr>
                <w:t xml:space="preserve"> </w:t>
              </w:r>
            </w:p>
          </w:sdtContent>
        </w:sdt>
        <w:p w14:paraId="35B6052B" w14:textId="77777777" w:rsidR="007D1947" w:rsidRPr="000E1C6B" w:rsidRDefault="007D1947"/>
        <w:p w14:paraId="22F11532" w14:textId="77777777" w:rsidR="007D1947" w:rsidRPr="000E1C6B" w:rsidRDefault="007D1947"/>
        <w:p w14:paraId="4D3D6465" w14:textId="77777777" w:rsidR="007D1947" w:rsidRPr="000E1C6B" w:rsidRDefault="007D1947"/>
        <w:p w14:paraId="49D08235" w14:textId="77777777" w:rsidR="002858B9" w:rsidRDefault="002858B9">
          <w:pPr>
            <w:spacing w:line="259" w:lineRule="auto"/>
            <w:jc w:val="left"/>
            <w:rPr>
              <w:rFonts w:eastAsiaTheme="majorEastAsia" w:cstheme="majorBidi"/>
              <w:b/>
              <w:color w:val="2E74B5" w:themeColor="accent1" w:themeShade="BF"/>
              <w:sz w:val="32"/>
              <w:szCs w:val="32"/>
            </w:rPr>
          </w:pPr>
          <w:r>
            <w:br w:type="page"/>
          </w:r>
        </w:p>
        <w:p w14:paraId="4AA639F2" w14:textId="4ADE3628" w:rsidR="004A11F6" w:rsidRPr="000E1C6B" w:rsidRDefault="007D1947" w:rsidP="000E1C6B">
          <w:pPr>
            <w:pStyle w:val="Heading1"/>
          </w:pPr>
          <w:bookmarkStart w:id="1" w:name="_Toc219124104"/>
          <w:r w:rsidRPr="000E1C6B">
            <w:lastRenderedPageBreak/>
            <w:t>Introduction</w:t>
          </w:r>
          <w:bookmarkEnd w:id="1"/>
        </w:p>
        <w:p w14:paraId="2DB518C9" w14:textId="447DA015" w:rsidR="002858B9" w:rsidRPr="00B15AFF" w:rsidRDefault="002858B9" w:rsidP="002858B9">
          <w:r w:rsidRPr="00B15AFF">
            <w:t>The contemporary international business setting also requires large multinational corporations to work in uncertain conditions that are increased due to fluctuation</w:t>
          </w:r>
          <w:r>
            <w:t>s</w:t>
          </w:r>
          <w:r w:rsidRPr="00B15AFF">
            <w:t xml:space="preserve"> in </w:t>
          </w:r>
          <w:r>
            <w:t xml:space="preserve">the </w:t>
          </w:r>
          <w:r w:rsidRPr="00B15AFF">
            <w:t xml:space="preserve">price of commodities, geopolitical tensions, regulatory pressure, and sustainability requirements. In this case, strong financial analysis is important in </w:t>
          </w:r>
          <w:r>
            <w:t xml:space="preserve">the </w:t>
          </w:r>
          <w:r w:rsidRPr="00B15AFF">
            <w:t xml:space="preserve">facilitation of sound decision-making, long-term strategic planning, </w:t>
          </w:r>
          <w:r>
            <w:t>and shareholder</w:t>
          </w:r>
          <w:r w:rsidRPr="00B15AFF">
            <w:t xml:space="preserve"> value maximisation. The energy companies like BP PLC work under very complicated surroundings because their performance depends on the changes of oil and gas prices, the successive investment cycle of the company, and the worldwide shift to low-carbon energy sources. Because of this, both short-term resilience and long-term strategic viability can only be measured through systematic financial performance assessment and effective investment appraisal methods. This report uses financial statement analysis to assess the financial performance and strategic decision-making with regard to investment decision-making of BP PLC</w:t>
          </w:r>
          <w:r>
            <w:t xml:space="preserve"> (</w:t>
          </w:r>
          <w:r>
            <w:rPr>
              <w:rFonts w:eastAsia="Times New Roman" w:cs="Times New Roman"/>
              <w:szCs w:val="24"/>
              <w:lang w:val="en-US"/>
            </w:rPr>
            <w:t xml:space="preserve">Yin, and Li, </w:t>
          </w:r>
          <w:r w:rsidRPr="00B15AFF">
            <w:rPr>
              <w:rFonts w:eastAsia="Times New Roman" w:cs="Times New Roman"/>
              <w:szCs w:val="24"/>
              <w:lang w:val="en-US"/>
            </w:rPr>
            <w:t>2023)</w:t>
          </w:r>
          <w:r w:rsidRPr="00B15AFF">
            <w:t xml:space="preserve">. The initial section of the report will be based on the detailed ratio analysis </w:t>
          </w:r>
          <w:r w:rsidR="003316B8">
            <w:t>of different financial elements</w:t>
          </w:r>
          <w:r w:rsidRPr="00B15AFF">
            <w:t xml:space="preserve"> of BP during the last two financial years. Ratio analysis has been used to evaluate the maj</w:t>
          </w:r>
          <w:r>
            <w:t xml:space="preserve">or measures of financial health, </w:t>
          </w:r>
          <w:r w:rsidRPr="00B15AFF">
            <w:t>which include profitability, liquidity and efficiency, gearing, and returns to investors. These ratios will give an understanding of how well BP has managed its resources, managed costs, remained solvent and created value to shareholders in a time when e</w:t>
          </w:r>
          <w:r>
            <w:t xml:space="preserve">nergy prices have been unstable, </w:t>
          </w:r>
          <w:r w:rsidRPr="00B15AFF">
            <w:t xml:space="preserve">and the environmental pressure to meet rising demands is growing. Profitability ratios are more vital to BP since the energy sector is cyclical. The alterations in margins and returns on capital are indications of the efficiency in operations, but also of external factors, including crude oil prices and refining margins, in the external market. On the contrary, liquidity ratios demonstrate that BP can fulfil its short-term commitments, which is essential </w:t>
          </w:r>
          <w:r>
            <w:t>because</w:t>
          </w:r>
          <w:r w:rsidRPr="00B15AFF">
            <w:t xml:space="preserve"> the company has high working capital demands and is prone to changes in cash flows. As well, the analysis uses the year-on-year trends to determine whether the financial position of BP is improving or deteriorating with the passage of time. Despite the popularity and effectiveness of ratio analysis, it has limitations. The ratios are base</w:t>
          </w:r>
          <w:r>
            <w:t>d on the past financial records</w:t>
          </w:r>
          <w:r w:rsidR="003316B8">
            <w:t xml:space="preserve"> </w:t>
          </w:r>
          <w:r w:rsidRPr="00B15AFF">
            <w:t xml:space="preserve">and they hence do not indicate future performance directly. Moreover, financial outcomes may be misleading as a result of accounting guesswork, inflationary pressures, and extraordinary items which are prevalent in the energy industry. Ratios should therefore be construed with a lot of caution and in combination with </w:t>
          </w:r>
          <w:r>
            <w:t xml:space="preserve">the </w:t>
          </w:r>
          <w:r w:rsidRPr="00B15AFF">
            <w:t xml:space="preserve">industry backdrop and strategy. All in all, this report will be </w:t>
          </w:r>
          <w:r>
            <w:t>at</w:t>
          </w:r>
          <w:r w:rsidRPr="00B15AFF">
            <w:t xml:space="preserve"> </w:t>
          </w:r>
          <w:r>
            <w:t xml:space="preserve">the </w:t>
          </w:r>
          <w:r w:rsidRPr="00B15AFF">
            <w:t xml:space="preserve">director level as it will combine financial performance analysis and strategic investment decisions. The analysis is </w:t>
          </w:r>
          <w:r w:rsidRPr="00B15AFF">
            <w:lastRenderedPageBreak/>
            <w:t>expected to illustrate how rigorous financial analysis can be applied in making an informed decision by the corporate, in efficient capital allocation and in long-term sustainable growth of a large energy multinational corporation like Westward Plc.</w:t>
          </w:r>
        </w:p>
        <w:p w14:paraId="44335E21" w14:textId="77777777" w:rsidR="000E1C6B" w:rsidRPr="000E1C6B" w:rsidRDefault="000E1C6B">
          <w:pPr>
            <w:spacing w:line="259" w:lineRule="auto"/>
            <w:jc w:val="left"/>
          </w:pPr>
          <w:r w:rsidRPr="000E1C6B">
            <w:br w:type="page"/>
          </w:r>
        </w:p>
        <w:p w14:paraId="6DF73EDF" w14:textId="2E245DE8" w:rsidR="00480872" w:rsidRPr="000E1C6B" w:rsidRDefault="00480872" w:rsidP="000E1C6B">
          <w:pPr>
            <w:pStyle w:val="Heading1"/>
            <w:jc w:val="center"/>
          </w:pPr>
          <w:bookmarkStart w:id="2" w:name="_Toc219124105"/>
          <w:r w:rsidRPr="000E1C6B">
            <w:lastRenderedPageBreak/>
            <w:t>Main Findings</w:t>
          </w:r>
          <w:bookmarkEnd w:id="2"/>
        </w:p>
        <w:p w14:paraId="4133DA70" w14:textId="3CEFDF5B" w:rsidR="00480872" w:rsidRPr="000E1C6B" w:rsidRDefault="00CF0E48" w:rsidP="000E1C6B">
          <w:pPr>
            <w:pStyle w:val="Heading2"/>
            <w:jc w:val="center"/>
          </w:pPr>
          <w:bookmarkStart w:id="3" w:name="_Toc219124106"/>
          <w:r w:rsidRPr="000E1C6B">
            <w:t>Task 1</w:t>
          </w:r>
          <w:bookmarkEnd w:id="3"/>
        </w:p>
        <w:p w14:paraId="45717F60" w14:textId="77777777" w:rsidR="002858B9" w:rsidRPr="00B15AFF" w:rsidRDefault="002858B9" w:rsidP="002858B9">
          <w:pPr>
            <w:pStyle w:val="Heading3"/>
          </w:pPr>
          <w:bookmarkStart w:id="4" w:name="_Toc219124107"/>
          <w:r w:rsidRPr="00B15AFF">
            <w:t>Ratio Analysis</w:t>
          </w:r>
          <w:bookmarkEnd w:id="4"/>
        </w:p>
        <w:p w14:paraId="2E304EEE" w14:textId="77777777" w:rsidR="002858B9" w:rsidRPr="00B15AFF" w:rsidRDefault="002858B9" w:rsidP="002858B9">
          <w:pPr>
            <w:rPr>
              <w:b/>
            </w:rPr>
          </w:pPr>
          <w:r w:rsidRPr="00B15AFF">
            <w:rPr>
              <w:b/>
            </w:rPr>
            <w:t>Profitability Ratios</w:t>
          </w:r>
        </w:p>
        <w:p w14:paraId="0E50DE20" w14:textId="77777777" w:rsidR="002858B9" w:rsidRPr="00B15AFF" w:rsidRDefault="002858B9" w:rsidP="002858B9">
          <w:pPr>
            <w:jc w:val="center"/>
            <w:rPr>
              <w:b/>
            </w:rPr>
          </w:pPr>
          <w:r w:rsidRPr="00B15AFF">
            <w:rPr>
              <w:b/>
            </w:rPr>
            <w:t>Ratios Analysed</w:t>
          </w:r>
        </w:p>
        <w:p w14:paraId="583BEEAB" w14:textId="77777777" w:rsidR="002858B9" w:rsidRPr="00B15AFF" w:rsidRDefault="002858B9" w:rsidP="002858B9">
          <w:pPr>
            <w:rPr>
              <w:b/>
            </w:rPr>
          </w:pPr>
          <w:r w:rsidRPr="00B15AFF">
            <w:rPr>
              <w:b/>
            </w:rPr>
            <w:t>Gross Profit Margin</w:t>
          </w:r>
        </w:p>
        <w:p w14:paraId="0E3FF163" w14:textId="77777777" w:rsidR="002858B9" w:rsidRPr="00B15AFF" w:rsidRDefault="002858B9" w:rsidP="002858B9">
          <w:r w:rsidRPr="00B15AFF">
            <w:t xml:space="preserve">Gross Profit Margin = </w:t>
          </w:r>
          <m:oMath>
            <m:f>
              <m:fPr>
                <m:ctrlPr>
                  <w:rPr>
                    <w:rFonts w:ascii="Cambria Math" w:hAnsi="Cambria Math"/>
                    <w:i/>
                  </w:rPr>
                </m:ctrlPr>
              </m:fPr>
              <m:num>
                <m:r>
                  <m:rPr>
                    <m:sty m:val="p"/>
                  </m:rPr>
                  <w:rPr>
                    <w:rFonts w:ascii="Cambria Math" w:hAnsi="Cambria Math"/>
                  </w:rPr>
                  <m:t>Gross Profit</m:t>
                </m:r>
              </m:num>
              <m:den>
                <m:r>
                  <m:rPr>
                    <m:sty m:val="p"/>
                  </m:rPr>
                  <w:rPr>
                    <w:rFonts w:ascii="Cambria Math" w:hAnsi="Cambria Math"/>
                  </w:rPr>
                  <m:t>Revenue</m:t>
                </m:r>
              </m:den>
            </m:f>
          </m:oMath>
          <w:r w:rsidRPr="00B15AFF">
            <w:t>×100</w:t>
          </w:r>
        </w:p>
        <w:tbl>
          <w:tblPr>
            <w:tblStyle w:val="TableGrid"/>
            <w:tblW w:w="0" w:type="auto"/>
            <w:tblLook w:val="04A0" w:firstRow="1" w:lastRow="0" w:firstColumn="1" w:lastColumn="0" w:noHBand="0" w:noVBand="1"/>
          </w:tblPr>
          <w:tblGrid>
            <w:gridCol w:w="4621"/>
            <w:gridCol w:w="4621"/>
          </w:tblGrid>
          <w:tr w:rsidR="002858B9" w:rsidRPr="00B15AFF" w14:paraId="1F510F42" w14:textId="77777777" w:rsidTr="00F62C20">
            <w:tc>
              <w:tcPr>
                <w:tcW w:w="4788" w:type="dxa"/>
              </w:tcPr>
              <w:p w14:paraId="461C1F95" w14:textId="77777777" w:rsidR="002858B9" w:rsidRPr="00B15AFF" w:rsidRDefault="002858B9" w:rsidP="00F62C20">
                <w:pPr>
                  <w:jc w:val="center"/>
                </w:pPr>
                <w:r w:rsidRPr="00B15AFF">
                  <w:t>2023</w:t>
                </w:r>
              </w:p>
            </w:tc>
            <w:tc>
              <w:tcPr>
                <w:tcW w:w="4788" w:type="dxa"/>
              </w:tcPr>
              <w:p w14:paraId="3FF46EF2" w14:textId="77777777" w:rsidR="002858B9" w:rsidRPr="00B15AFF" w:rsidRDefault="002858B9" w:rsidP="00F62C20">
                <w:pPr>
                  <w:jc w:val="center"/>
                </w:pPr>
                <w:r w:rsidRPr="00B15AFF">
                  <w:t>2022</w:t>
                </w:r>
              </w:p>
            </w:tc>
          </w:tr>
          <w:tr w:rsidR="002858B9" w:rsidRPr="00B15AFF" w14:paraId="58619A34" w14:textId="77777777" w:rsidTr="00F62C20">
            <w:tc>
              <w:tcPr>
                <w:tcW w:w="4788" w:type="dxa"/>
              </w:tcPr>
              <w:p w14:paraId="03C32C8C" w14:textId="77777777" w:rsidR="002858B9" w:rsidRPr="00B15AFF" w:rsidRDefault="002858B9" w:rsidP="00F62C20">
                <w:pPr>
                  <w:jc w:val="center"/>
                </w:pPr>
                <w:r w:rsidRPr="00B15AFF">
                  <w:t>47.1%</w:t>
                </w:r>
              </w:p>
            </w:tc>
            <w:tc>
              <w:tcPr>
                <w:tcW w:w="4788" w:type="dxa"/>
              </w:tcPr>
              <w:p w14:paraId="7190BAF7" w14:textId="77777777" w:rsidR="002858B9" w:rsidRPr="00B15AFF" w:rsidRDefault="002858B9" w:rsidP="00F62C20">
                <w:pPr>
                  <w:jc w:val="center"/>
                </w:pPr>
                <w:r w:rsidRPr="00B15AFF">
                  <w:t>39.8%</w:t>
                </w:r>
              </w:p>
            </w:tc>
          </w:tr>
        </w:tbl>
        <w:p w14:paraId="33659C20" w14:textId="77777777" w:rsidR="002858B9" w:rsidRPr="00B15AFF" w:rsidRDefault="002858B9" w:rsidP="002858B9">
          <w:pPr>
            <w:jc w:val="center"/>
          </w:pPr>
        </w:p>
        <w:p w14:paraId="5C234C4B" w14:textId="77777777" w:rsidR="002858B9" w:rsidRPr="00B15AFF" w:rsidRDefault="002858B9" w:rsidP="002858B9">
          <w:pPr>
            <w:rPr>
              <w:b/>
            </w:rPr>
          </w:pPr>
          <w:r w:rsidRPr="00B15AFF">
            <w:rPr>
              <w:b/>
            </w:rPr>
            <w:t>Operating Profit Margin</w:t>
          </w:r>
        </w:p>
        <w:p w14:paraId="5132BCD3" w14:textId="77777777" w:rsidR="002858B9" w:rsidRPr="00B15AFF" w:rsidRDefault="002858B9" w:rsidP="002858B9">
          <w:r w:rsidRPr="00B15AFF">
            <w:t xml:space="preserve">Operating Margin = </w:t>
          </w:r>
          <m:oMath>
            <m:f>
              <m:fPr>
                <m:ctrlPr>
                  <w:rPr>
                    <w:rFonts w:ascii="Cambria Math" w:hAnsi="Cambria Math"/>
                    <w:i/>
                  </w:rPr>
                </m:ctrlPr>
              </m:fPr>
              <m:num>
                <m:r>
                  <m:rPr>
                    <m:sty m:val="p"/>
                  </m:rPr>
                  <w:rPr>
                    <w:rFonts w:ascii="Cambria Math" w:hAnsi="Cambria Math"/>
                  </w:rPr>
                  <m:t>Operating Profit</m:t>
                </m:r>
              </m:num>
              <m:den>
                <m:r>
                  <m:rPr>
                    <m:sty m:val="p"/>
                  </m:rPr>
                  <w:rPr>
                    <w:rFonts w:ascii="Cambria Math" w:hAnsi="Cambria Math"/>
                  </w:rPr>
                  <m:t>Revenue</m:t>
                </m:r>
              </m:den>
            </m:f>
          </m:oMath>
          <w:r w:rsidRPr="00B15AFF">
            <w:t>×100</w:t>
          </w:r>
        </w:p>
        <w:tbl>
          <w:tblPr>
            <w:tblStyle w:val="TableGrid"/>
            <w:tblW w:w="0" w:type="auto"/>
            <w:tblLook w:val="04A0" w:firstRow="1" w:lastRow="0" w:firstColumn="1" w:lastColumn="0" w:noHBand="0" w:noVBand="1"/>
          </w:tblPr>
          <w:tblGrid>
            <w:gridCol w:w="4621"/>
            <w:gridCol w:w="4621"/>
          </w:tblGrid>
          <w:tr w:rsidR="002858B9" w:rsidRPr="00B15AFF" w14:paraId="57F6A563" w14:textId="77777777" w:rsidTr="00F62C20">
            <w:tc>
              <w:tcPr>
                <w:tcW w:w="4788" w:type="dxa"/>
              </w:tcPr>
              <w:p w14:paraId="2282D3DB" w14:textId="77777777" w:rsidR="002858B9" w:rsidRPr="00B15AFF" w:rsidRDefault="002858B9" w:rsidP="00F62C20">
                <w:pPr>
                  <w:jc w:val="center"/>
                </w:pPr>
                <w:r w:rsidRPr="00B15AFF">
                  <w:t>2023</w:t>
                </w:r>
              </w:p>
            </w:tc>
            <w:tc>
              <w:tcPr>
                <w:tcW w:w="4788" w:type="dxa"/>
              </w:tcPr>
              <w:p w14:paraId="10062CF0" w14:textId="77777777" w:rsidR="002858B9" w:rsidRPr="00B15AFF" w:rsidRDefault="002858B9" w:rsidP="00F62C20">
                <w:pPr>
                  <w:jc w:val="center"/>
                </w:pPr>
                <w:r w:rsidRPr="00B15AFF">
                  <w:t>2022</w:t>
                </w:r>
              </w:p>
            </w:tc>
          </w:tr>
          <w:tr w:rsidR="002858B9" w:rsidRPr="00B15AFF" w14:paraId="5E3FF979" w14:textId="77777777" w:rsidTr="00F62C20">
            <w:tc>
              <w:tcPr>
                <w:tcW w:w="4788" w:type="dxa"/>
              </w:tcPr>
              <w:p w14:paraId="2C33BBA1" w14:textId="77777777" w:rsidR="002858B9" w:rsidRPr="00B15AFF" w:rsidRDefault="002858B9" w:rsidP="00F62C20">
                <w:pPr>
                  <w:jc w:val="center"/>
                </w:pPr>
                <w:r w:rsidRPr="00B15AFF">
                  <w:t>11.9%</w:t>
                </w:r>
              </w:p>
            </w:tc>
            <w:tc>
              <w:tcPr>
                <w:tcW w:w="4788" w:type="dxa"/>
              </w:tcPr>
              <w:p w14:paraId="57B1E235" w14:textId="77777777" w:rsidR="002858B9" w:rsidRPr="00B15AFF" w:rsidRDefault="002858B9" w:rsidP="00F62C20">
                <w:pPr>
                  <w:jc w:val="center"/>
                </w:pPr>
                <w:r w:rsidRPr="00B15AFF">
                  <w:t>11.6%</w:t>
                </w:r>
              </w:p>
            </w:tc>
          </w:tr>
        </w:tbl>
        <w:p w14:paraId="57527836" w14:textId="77777777" w:rsidR="002858B9" w:rsidRPr="00B15AFF" w:rsidRDefault="002858B9" w:rsidP="002858B9"/>
        <w:p w14:paraId="11DAA6FB" w14:textId="77777777" w:rsidR="002858B9" w:rsidRPr="00B15AFF" w:rsidRDefault="002858B9" w:rsidP="002858B9">
          <w:pPr>
            <w:rPr>
              <w:b/>
            </w:rPr>
          </w:pPr>
          <w:r w:rsidRPr="00B15AFF">
            <w:rPr>
              <w:b/>
            </w:rPr>
            <w:t>Net Profit Margin</w:t>
          </w:r>
        </w:p>
        <w:p w14:paraId="0C44AC3A" w14:textId="77777777" w:rsidR="002858B9" w:rsidRPr="00B15AFF" w:rsidRDefault="002858B9" w:rsidP="002858B9">
          <w:pPr>
            <w:rPr>
              <w:rFonts w:eastAsiaTheme="minorEastAsia"/>
            </w:rPr>
          </w:pPr>
          <w:r w:rsidRPr="00B15AFF">
            <w:t xml:space="preserve">Net Profit Margin = </w:t>
          </w:r>
          <m:oMath>
            <m:f>
              <m:fPr>
                <m:ctrlPr>
                  <w:rPr>
                    <w:rFonts w:ascii="Cambria Math" w:hAnsi="Cambria Math"/>
                    <w:i/>
                  </w:rPr>
                </m:ctrlPr>
              </m:fPr>
              <m:num>
                <m:r>
                  <m:rPr>
                    <m:sty m:val="p"/>
                  </m:rPr>
                  <w:rPr>
                    <w:rFonts w:ascii="Cambria Math" w:hAnsi="Cambria Math"/>
                  </w:rPr>
                  <m:t>Profit After Tax</m:t>
                </m:r>
              </m:num>
              <m:den>
                <m:r>
                  <m:rPr>
                    <m:sty m:val="p"/>
                  </m:rPr>
                  <w:rPr>
                    <w:rFonts w:ascii="Cambria Math" w:hAnsi="Cambria Math"/>
                  </w:rPr>
                  <m:t>Revenue</m:t>
                </m:r>
              </m:den>
            </m:f>
            <m:r>
              <w:rPr>
                <w:rFonts w:ascii="Cambria Math" w:hAnsi="Cambria Math"/>
              </w:rPr>
              <m:t xml:space="preserve"> </m:t>
            </m:r>
            <m:r>
              <w:rPr>
                <w:rFonts w:ascii="Cambria Math" w:eastAsiaTheme="minorEastAsia" w:hAnsi="Cambria Math"/>
              </w:rPr>
              <m:t>×</m:t>
            </m:r>
          </m:oMath>
          <w:r w:rsidRPr="00B15AFF">
            <w:rPr>
              <w:rFonts w:eastAsiaTheme="minorEastAsia"/>
            </w:rPr>
            <w:t>100</w:t>
          </w:r>
        </w:p>
        <w:tbl>
          <w:tblPr>
            <w:tblStyle w:val="TableGrid"/>
            <w:tblW w:w="0" w:type="auto"/>
            <w:tblLook w:val="04A0" w:firstRow="1" w:lastRow="0" w:firstColumn="1" w:lastColumn="0" w:noHBand="0" w:noVBand="1"/>
          </w:tblPr>
          <w:tblGrid>
            <w:gridCol w:w="4621"/>
            <w:gridCol w:w="4621"/>
          </w:tblGrid>
          <w:tr w:rsidR="002858B9" w:rsidRPr="00B15AFF" w14:paraId="35B8119A" w14:textId="77777777" w:rsidTr="00F62C20">
            <w:tc>
              <w:tcPr>
                <w:tcW w:w="4788" w:type="dxa"/>
              </w:tcPr>
              <w:p w14:paraId="418FD3A9" w14:textId="77777777" w:rsidR="002858B9" w:rsidRPr="00B15AFF" w:rsidRDefault="002858B9" w:rsidP="00F62C20">
                <w:pPr>
                  <w:jc w:val="center"/>
                </w:pPr>
                <w:r w:rsidRPr="00B15AFF">
                  <w:t>2023</w:t>
                </w:r>
              </w:p>
            </w:tc>
            <w:tc>
              <w:tcPr>
                <w:tcW w:w="4788" w:type="dxa"/>
              </w:tcPr>
              <w:p w14:paraId="45B7C2C6" w14:textId="77777777" w:rsidR="002858B9" w:rsidRPr="00B15AFF" w:rsidRDefault="002858B9" w:rsidP="00F62C20">
                <w:pPr>
                  <w:jc w:val="center"/>
                </w:pPr>
                <w:r w:rsidRPr="00B15AFF">
                  <w:t>2022</w:t>
                </w:r>
              </w:p>
            </w:tc>
          </w:tr>
          <w:tr w:rsidR="002858B9" w:rsidRPr="00B15AFF" w14:paraId="3EE8B2C8" w14:textId="77777777" w:rsidTr="00F62C20">
            <w:tc>
              <w:tcPr>
                <w:tcW w:w="4788" w:type="dxa"/>
              </w:tcPr>
              <w:p w14:paraId="71881B75" w14:textId="77777777" w:rsidR="002858B9" w:rsidRPr="00B15AFF" w:rsidRDefault="002858B9" w:rsidP="00F62C20">
                <w:pPr>
                  <w:jc w:val="center"/>
                </w:pPr>
                <w:r w:rsidRPr="00B15AFF">
                  <w:t>8.4%</w:t>
                </w:r>
              </w:p>
            </w:tc>
            <w:tc>
              <w:tcPr>
                <w:tcW w:w="4788" w:type="dxa"/>
              </w:tcPr>
              <w:p w14:paraId="0D924188" w14:textId="77777777" w:rsidR="002858B9" w:rsidRPr="00B15AFF" w:rsidRDefault="002858B9" w:rsidP="00F62C20">
                <w:pPr>
                  <w:jc w:val="center"/>
                </w:pPr>
                <w:r w:rsidRPr="00B15AFF">
                  <w:t>8.9%</w:t>
                </w:r>
              </w:p>
            </w:tc>
          </w:tr>
        </w:tbl>
        <w:p w14:paraId="001F7B3A" w14:textId="77777777" w:rsidR="002858B9" w:rsidRPr="00B15AFF" w:rsidRDefault="002858B9" w:rsidP="002858B9"/>
        <w:p w14:paraId="52C70802" w14:textId="77777777" w:rsidR="002858B9" w:rsidRPr="00B15AFF" w:rsidRDefault="002858B9" w:rsidP="002858B9">
          <w:pPr>
            <w:rPr>
              <w:b/>
            </w:rPr>
          </w:pPr>
          <w:r w:rsidRPr="00B15AFF">
            <w:rPr>
              <w:b/>
            </w:rPr>
            <w:t>Return on Capital Employed (ROCE)</w:t>
          </w:r>
        </w:p>
        <w:p w14:paraId="388B0773" w14:textId="77777777" w:rsidR="002858B9" w:rsidRPr="00B15AFF" w:rsidRDefault="002858B9" w:rsidP="002858B9">
          <w:r w:rsidRPr="00B15AFF">
            <w:t xml:space="preserve">ROCE = </w:t>
          </w:r>
          <m:oMath>
            <m:f>
              <m:fPr>
                <m:ctrlPr>
                  <w:rPr>
                    <w:rFonts w:ascii="Cambria Math" w:hAnsi="Cambria Math"/>
                    <w:i/>
                  </w:rPr>
                </m:ctrlPr>
              </m:fPr>
              <m:num>
                <m:r>
                  <m:rPr>
                    <m:sty m:val="p"/>
                  </m:rPr>
                  <w:rPr>
                    <w:rFonts w:ascii="Cambria Math" w:hAnsi="Cambria Math"/>
                  </w:rPr>
                  <m:t>Operating Profit</m:t>
                </m:r>
              </m:num>
              <m:den>
                <m:r>
                  <m:rPr>
                    <m:sty m:val="p"/>
                  </m:rPr>
                  <w:rPr>
                    <w:rFonts w:ascii="Cambria Math" w:hAnsi="Cambria Math"/>
                  </w:rPr>
                  <m:t>Capital Employed</m:t>
                </m:r>
              </m:den>
            </m:f>
          </m:oMath>
          <w:r w:rsidRPr="00B15AFF">
            <w:t>×100</w:t>
          </w:r>
        </w:p>
        <w:p w14:paraId="48A99D05" w14:textId="77777777" w:rsidR="002858B9" w:rsidRPr="00B15AFF" w:rsidRDefault="002858B9" w:rsidP="002858B9">
          <w:r w:rsidRPr="00B15AFF">
            <w:t>Capital Employed = Total Assets − Current Liabilities</w:t>
          </w:r>
        </w:p>
        <w:tbl>
          <w:tblPr>
            <w:tblStyle w:val="TableGrid"/>
            <w:tblW w:w="0" w:type="auto"/>
            <w:tblLook w:val="04A0" w:firstRow="1" w:lastRow="0" w:firstColumn="1" w:lastColumn="0" w:noHBand="0" w:noVBand="1"/>
          </w:tblPr>
          <w:tblGrid>
            <w:gridCol w:w="4621"/>
            <w:gridCol w:w="4621"/>
          </w:tblGrid>
          <w:tr w:rsidR="002858B9" w:rsidRPr="00B15AFF" w14:paraId="72E3C4F3" w14:textId="77777777" w:rsidTr="00F62C20">
            <w:tc>
              <w:tcPr>
                <w:tcW w:w="4788" w:type="dxa"/>
              </w:tcPr>
              <w:p w14:paraId="2DF9A548" w14:textId="77777777" w:rsidR="002858B9" w:rsidRPr="00B15AFF" w:rsidRDefault="002858B9" w:rsidP="00F62C20">
                <w:pPr>
                  <w:jc w:val="center"/>
                </w:pPr>
                <w:r w:rsidRPr="00B15AFF">
                  <w:t>2023</w:t>
                </w:r>
              </w:p>
            </w:tc>
            <w:tc>
              <w:tcPr>
                <w:tcW w:w="4788" w:type="dxa"/>
              </w:tcPr>
              <w:p w14:paraId="5D46742D" w14:textId="77777777" w:rsidR="002858B9" w:rsidRPr="00B15AFF" w:rsidRDefault="002858B9" w:rsidP="00F62C20">
                <w:pPr>
                  <w:jc w:val="center"/>
                </w:pPr>
                <w:r w:rsidRPr="00B15AFF">
                  <w:t>2022</w:t>
                </w:r>
              </w:p>
            </w:tc>
          </w:tr>
          <w:tr w:rsidR="002858B9" w:rsidRPr="00B15AFF" w14:paraId="5D18F021" w14:textId="77777777" w:rsidTr="00F62C20">
            <w:tc>
              <w:tcPr>
                <w:tcW w:w="4788" w:type="dxa"/>
              </w:tcPr>
              <w:p w14:paraId="27079FFB" w14:textId="77777777" w:rsidR="002858B9" w:rsidRPr="00B15AFF" w:rsidRDefault="002858B9" w:rsidP="00F62C20">
                <w:pPr>
                  <w:jc w:val="center"/>
                </w:pPr>
                <w:r w:rsidRPr="00B15AFF">
                  <w:t>18.1%</w:t>
                </w:r>
              </w:p>
            </w:tc>
            <w:tc>
              <w:tcPr>
                <w:tcW w:w="4788" w:type="dxa"/>
              </w:tcPr>
              <w:p w14:paraId="6A9123D7" w14:textId="77777777" w:rsidR="002858B9" w:rsidRPr="00B15AFF" w:rsidRDefault="002858B9" w:rsidP="00F62C20">
                <w:pPr>
                  <w:jc w:val="center"/>
                </w:pPr>
                <w:r w:rsidRPr="00B15AFF">
                  <w:t>21.5%</w:t>
                </w:r>
              </w:p>
            </w:tc>
          </w:tr>
        </w:tbl>
        <w:p w14:paraId="20C119F3" w14:textId="77777777" w:rsidR="002858B9" w:rsidRPr="00B15AFF" w:rsidRDefault="002858B9" w:rsidP="002858B9"/>
        <w:p w14:paraId="2B0D51B3" w14:textId="77777777" w:rsidR="002858B9" w:rsidRPr="00B15AFF" w:rsidRDefault="002858B9" w:rsidP="002858B9">
          <w:pPr>
            <w:rPr>
              <w:b/>
            </w:rPr>
          </w:pPr>
          <w:r w:rsidRPr="00B15AFF">
            <w:rPr>
              <w:b/>
            </w:rPr>
            <w:t>Evaluation</w:t>
          </w:r>
        </w:p>
        <w:p w14:paraId="39041260" w14:textId="77777777" w:rsidR="002858B9" w:rsidRPr="00B15AFF" w:rsidRDefault="002858B9" w:rsidP="002858B9">
          <w:r w:rsidRPr="00B15AFF">
            <w:t>The BP profitability ratios sh</w:t>
          </w:r>
          <w:r>
            <w:t xml:space="preserve">ow the company has a mixed but </w:t>
          </w:r>
          <w:r w:rsidRPr="00B15AFF">
            <w:t>strong performance in 2023. The gross profit improvement in the gross profit margin is impressive</w:t>
          </w:r>
          <w:r>
            <w:t xml:space="preserve"> as the cost was managed better, </w:t>
          </w:r>
          <w:r w:rsidRPr="00B15AFF">
            <w:t xml:space="preserve">and refining margins </w:t>
          </w:r>
          <w:r>
            <w:t xml:space="preserve">are </w:t>
          </w:r>
          <w:r w:rsidRPr="00B15AFF">
            <w:t>favourable even at lower aggregate revenues</w:t>
          </w:r>
          <w:r>
            <w:t xml:space="preserve"> (</w:t>
          </w:r>
          <w:r>
            <w:rPr>
              <w:rFonts w:eastAsia="Times New Roman" w:cs="Times New Roman"/>
              <w:szCs w:val="24"/>
              <w:lang w:val="en-US"/>
            </w:rPr>
            <w:t xml:space="preserve">Cortes, </w:t>
          </w:r>
          <w:r w:rsidRPr="00B15AFF">
            <w:rPr>
              <w:rFonts w:eastAsia="Times New Roman" w:cs="Times New Roman"/>
              <w:szCs w:val="24"/>
              <w:lang w:val="en-US"/>
            </w:rPr>
            <w:t>2021)</w:t>
          </w:r>
          <w:r w:rsidRPr="00B15AFF">
            <w:t>. This indicates that BP enjoyed operational efficiency and pricing discipline despite the world energy prices becoming softer than in 2022. The operating margin increased marginally, which means that BP managed to control the operating expenses in the difficult macroeconomic environment. But, the minor decrease in the net profit margin is due to the increased taxation, decreased commodity prices and increased expenditure on the transition-related activities. The fall of ROCE indicates th</w:t>
          </w:r>
          <w:r>
            <w:t xml:space="preserve">at, </w:t>
          </w:r>
          <w:r w:rsidRPr="00B15AFF">
            <w:t>despite BP being profitable, it was able to achieve lower returns on its capital base than in 2022. This is an indication of the capital-intensive BP stra</w:t>
          </w:r>
          <w:r>
            <w:t>tegy, specifically investments i</w:t>
          </w:r>
          <w:r w:rsidRPr="00B15AFF">
            <w:t>n renewable energy and low-carbon ventures, which normally have a longer payback period</w:t>
          </w:r>
          <w:r>
            <w:t xml:space="preserve"> (</w:t>
          </w:r>
          <w:proofErr w:type="spellStart"/>
          <w:r w:rsidRPr="00B15AFF">
            <w:rPr>
              <w:rFonts w:eastAsia="Times New Roman" w:cs="Times New Roman"/>
              <w:szCs w:val="24"/>
              <w:lang w:val="en-US"/>
            </w:rPr>
            <w:t>Podinovski</w:t>
          </w:r>
          <w:proofErr w:type="spellEnd"/>
          <w:r>
            <w:rPr>
              <w:rFonts w:eastAsia="Times New Roman" w:cs="Times New Roman"/>
              <w:szCs w:val="24"/>
              <w:lang w:val="en-US"/>
            </w:rPr>
            <w:t xml:space="preserve"> et al., </w:t>
          </w:r>
          <w:r w:rsidRPr="00B15AFF">
            <w:rPr>
              <w:rFonts w:eastAsia="Times New Roman" w:cs="Times New Roman"/>
              <w:szCs w:val="24"/>
              <w:lang w:val="en-US"/>
            </w:rPr>
            <w:t>2024)</w:t>
          </w:r>
          <w:r w:rsidRPr="00B15AFF">
            <w:t>. All in all, th</w:t>
          </w:r>
          <w:r>
            <w:t xml:space="preserve">e profitability of BP is robust, </w:t>
          </w:r>
          <w:r w:rsidRPr="00B15AFF">
            <w:t>though it is getting more influenced by the costs of strategic transition and market volatilities.</w:t>
          </w:r>
        </w:p>
        <w:p w14:paraId="6C41B840" w14:textId="77777777" w:rsidR="002858B9" w:rsidRPr="00B15AFF" w:rsidRDefault="002858B9" w:rsidP="002858B9">
          <w:pPr>
            <w:rPr>
              <w:b/>
            </w:rPr>
          </w:pPr>
          <w:r w:rsidRPr="00B15AFF">
            <w:rPr>
              <w:b/>
            </w:rPr>
            <w:t>Liquidity Ratios</w:t>
          </w:r>
        </w:p>
        <w:p w14:paraId="3046651D" w14:textId="77777777" w:rsidR="002858B9" w:rsidRPr="00B15AFF" w:rsidRDefault="002858B9" w:rsidP="002858B9">
          <w:pPr>
            <w:jc w:val="center"/>
            <w:rPr>
              <w:b/>
            </w:rPr>
          </w:pPr>
          <w:r w:rsidRPr="00B15AFF">
            <w:rPr>
              <w:b/>
            </w:rPr>
            <w:t>Ratios Analysed</w:t>
          </w:r>
        </w:p>
        <w:p w14:paraId="7CC319AC" w14:textId="77777777" w:rsidR="002858B9" w:rsidRPr="00B15AFF" w:rsidRDefault="002858B9" w:rsidP="002858B9">
          <w:pPr>
            <w:rPr>
              <w:b/>
            </w:rPr>
          </w:pPr>
          <w:r w:rsidRPr="00B15AFF">
            <w:rPr>
              <w:b/>
            </w:rPr>
            <w:t>Current Ratio</w:t>
          </w:r>
        </w:p>
        <w:p w14:paraId="63BCD82A" w14:textId="77777777" w:rsidR="002858B9" w:rsidRPr="00B15AFF" w:rsidRDefault="002858B9" w:rsidP="002858B9">
          <w:pPr>
            <w:rPr>
              <w:rFonts w:eastAsiaTheme="minorEastAsia"/>
            </w:rPr>
          </w:pPr>
          <w:r w:rsidRPr="00B15AFF">
            <w:t xml:space="preserve">Current Ratio = </w:t>
          </w:r>
          <m:oMath>
            <m:f>
              <m:fPr>
                <m:ctrlPr>
                  <w:rPr>
                    <w:rFonts w:ascii="Cambria Math" w:hAnsi="Cambria Math"/>
                    <w:i/>
                  </w:rPr>
                </m:ctrlPr>
              </m:fPr>
              <m:num>
                <m:r>
                  <m:rPr>
                    <m:sty m:val="p"/>
                  </m:rPr>
                  <w:rPr>
                    <w:rFonts w:ascii="Cambria Math" w:hAnsi="Cambria Math"/>
                  </w:rPr>
                  <m:t>Current Assets</m:t>
                </m:r>
              </m:num>
              <m:den>
                <m:r>
                  <m:rPr>
                    <m:sty m:val="p"/>
                  </m:rPr>
                  <w:rPr>
                    <w:rFonts w:ascii="Cambria Math" w:hAnsi="Cambria Math"/>
                  </w:rPr>
                  <m:t>Current Liabilities</m:t>
                </m:r>
              </m:den>
            </m:f>
          </m:oMath>
        </w:p>
        <w:tbl>
          <w:tblPr>
            <w:tblStyle w:val="TableGrid"/>
            <w:tblW w:w="0" w:type="auto"/>
            <w:tblLook w:val="04A0" w:firstRow="1" w:lastRow="0" w:firstColumn="1" w:lastColumn="0" w:noHBand="0" w:noVBand="1"/>
          </w:tblPr>
          <w:tblGrid>
            <w:gridCol w:w="4621"/>
            <w:gridCol w:w="4621"/>
          </w:tblGrid>
          <w:tr w:rsidR="002858B9" w:rsidRPr="00B15AFF" w14:paraId="0B8C4C83" w14:textId="77777777" w:rsidTr="00F62C20">
            <w:tc>
              <w:tcPr>
                <w:tcW w:w="4788" w:type="dxa"/>
              </w:tcPr>
              <w:p w14:paraId="5EBDA6B0" w14:textId="77777777" w:rsidR="002858B9" w:rsidRPr="00B15AFF" w:rsidRDefault="002858B9" w:rsidP="00F62C20">
                <w:pPr>
                  <w:jc w:val="center"/>
                </w:pPr>
                <w:r w:rsidRPr="00B15AFF">
                  <w:t>2023</w:t>
                </w:r>
              </w:p>
            </w:tc>
            <w:tc>
              <w:tcPr>
                <w:tcW w:w="4788" w:type="dxa"/>
              </w:tcPr>
              <w:p w14:paraId="2CB08934" w14:textId="77777777" w:rsidR="002858B9" w:rsidRPr="00B15AFF" w:rsidRDefault="002858B9" w:rsidP="00F62C20">
                <w:pPr>
                  <w:jc w:val="center"/>
                </w:pPr>
                <w:r w:rsidRPr="00B15AFF">
                  <w:t>2022</w:t>
                </w:r>
              </w:p>
            </w:tc>
          </w:tr>
          <w:tr w:rsidR="002858B9" w:rsidRPr="00B15AFF" w14:paraId="2564352D" w14:textId="77777777" w:rsidTr="00F62C20">
            <w:tc>
              <w:tcPr>
                <w:tcW w:w="4788" w:type="dxa"/>
              </w:tcPr>
              <w:p w14:paraId="205FEF0B" w14:textId="77777777" w:rsidR="002858B9" w:rsidRPr="00B15AFF" w:rsidRDefault="002858B9" w:rsidP="00F62C20">
                <w:pPr>
                  <w:jc w:val="center"/>
                </w:pPr>
                <w:r w:rsidRPr="00B15AFF">
                  <w:t>1.02:1</w:t>
                </w:r>
              </w:p>
            </w:tc>
            <w:tc>
              <w:tcPr>
                <w:tcW w:w="4788" w:type="dxa"/>
              </w:tcPr>
              <w:p w14:paraId="1B624E58" w14:textId="77777777" w:rsidR="002858B9" w:rsidRPr="00B15AFF" w:rsidRDefault="002858B9" w:rsidP="00F62C20">
                <w:pPr>
                  <w:jc w:val="center"/>
                </w:pPr>
                <w:r w:rsidRPr="00B15AFF">
                  <w:t>1.07:1</w:t>
                </w:r>
              </w:p>
            </w:tc>
          </w:tr>
        </w:tbl>
        <w:p w14:paraId="1058C376" w14:textId="77777777" w:rsidR="002858B9" w:rsidRPr="00B15AFF" w:rsidRDefault="002858B9" w:rsidP="002858B9"/>
        <w:p w14:paraId="384F3D9D" w14:textId="77777777" w:rsidR="002858B9" w:rsidRPr="00B15AFF" w:rsidRDefault="002858B9" w:rsidP="002858B9">
          <w:pPr>
            <w:rPr>
              <w:b/>
            </w:rPr>
          </w:pPr>
          <w:r w:rsidRPr="00B15AFF">
            <w:rPr>
              <w:b/>
            </w:rPr>
            <w:t>Quick Ratio</w:t>
          </w:r>
        </w:p>
        <w:p w14:paraId="52FB8F45" w14:textId="77777777" w:rsidR="002858B9" w:rsidRPr="00B15AFF" w:rsidRDefault="002858B9" w:rsidP="002858B9">
          <w:pPr>
            <w:rPr>
              <w:rFonts w:eastAsiaTheme="minorEastAsia"/>
            </w:rPr>
          </w:pPr>
          <w:r w:rsidRPr="00B15AFF">
            <w:t xml:space="preserve">Quick Ratio = </w:t>
          </w:r>
          <m:oMath>
            <m:f>
              <m:fPr>
                <m:ctrlPr>
                  <w:rPr>
                    <w:rFonts w:ascii="Cambria Math" w:hAnsi="Cambria Math"/>
                    <w:i/>
                  </w:rPr>
                </m:ctrlPr>
              </m:fPr>
              <m:num>
                <m:r>
                  <m:rPr>
                    <m:sty m:val="p"/>
                  </m:rPr>
                  <w:rPr>
                    <w:rFonts w:ascii="Cambria Math" w:hAnsi="Cambria Math"/>
                  </w:rPr>
                  <m:t>Current Assets - Inventories</m:t>
                </m:r>
              </m:num>
              <m:den>
                <m:r>
                  <m:rPr>
                    <m:sty m:val="p"/>
                  </m:rPr>
                  <w:rPr>
                    <w:rFonts w:ascii="Cambria Math" w:hAnsi="Cambria Math"/>
                  </w:rPr>
                  <m:t>Current Liabilities</m:t>
                </m:r>
              </m:den>
            </m:f>
          </m:oMath>
        </w:p>
        <w:tbl>
          <w:tblPr>
            <w:tblStyle w:val="TableGrid"/>
            <w:tblW w:w="0" w:type="auto"/>
            <w:tblLook w:val="04A0" w:firstRow="1" w:lastRow="0" w:firstColumn="1" w:lastColumn="0" w:noHBand="0" w:noVBand="1"/>
          </w:tblPr>
          <w:tblGrid>
            <w:gridCol w:w="4621"/>
            <w:gridCol w:w="4621"/>
          </w:tblGrid>
          <w:tr w:rsidR="002858B9" w:rsidRPr="00B15AFF" w14:paraId="09E47B94" w14:textId="77777777" w:rsidTr="00F62C20">
            <w:tc>
              <w:tcPr>
                <w:tcW w:w="4788" w:type="dxa"/>
              </w:tcPr>
              <w:p w14:paraId="17B41EBD" w14:textId="77777777" w:rsidR="002858B9" w:rsidRPr="00B15AFF" w:rsidRDefault="002858B9" w:rsidP="00F62C20">
                <w:pPr>
                  <w:jc w:val="center"/>
                </w:pPr>
                <w:r w:rsidRPr="00B15AFF">
                  <w:t>2023</w:t>
                </w:r>
              </w:p>
            </w:tc>
            <w:tc>
              <w:tcPr>
                <w:tcW w:w="4788" w:type="dxa"/>
              </w:tcPr>
              <w:p w14:paraId="740BF5E0" w14:textId="77777777" w:rsidR="002858B9" w:rsidRPr="00B15AFF" w:rsidRDefault="002858B9" w:rsidP="00F62C20">
                <w:pPr>
                  <w:jc w:val="center"/>
                </w:pPr>
                <w:r w:rsidRPr="00B15AFF">
                  <w:t>2022</w:t>
                </w:r>
              </w:p>
            </w:tc>
          </w:tr>
          <w:tr w:rsidR="002858B9" w:rsidRPr="00B15AFF" w14:paraId="659F8A3D" w14:textId="77777777" w:rsidTr="00F62C20">
            <w:tc>
              <w:tcPr>
                <w:tcW w:w="4788" w:type="dxa"/>
              </w:tcPr>
              <w:p w14:paraId="1D659125" w14:textId="77777777" w:rsidR="002858B9" w:rsidRPr="00B15AFF" w:rsidRDefault="002858B9" w:rsidP="00F62C20">
                <w:pPr>
                  <w:jc w:val="center"/>
                </w:pPr>
                <w:r w:rsidRPr="00B15AFF">
                  <w:t>0.68:1</w:t>
                </w:r>
              </w:p>
            </w:tc>
            <w:tc>
              <w:tcPr>
                <w:tcW w:w="4788" w:type="dxa"/>
              </w:tcPr>
              <w:p w14:paraId="5C7DEAA4" w14:textId="77777777" w:rsidR="002858B9" w:rsidRPr="00B15AFF" w:rsidRDefault="002858B9" w:rsidP="00F62C20">
                <w:pPr>
                  <w:jc w:val="center"/>
                </w:pPr>
                <w:r w:rsidRPr="00B15AFF">
                  <w:t>0.71:1</w:t>
                </w:r>
              </w:p>
            </w:tc>
          </w:tr>
        </w:tbl>
        <w:p w14:paraId="34873F3F" w14:textId="77777777" w:rsidR="002858B9" w:rsidRPr="00B15AFF" w:rsidRDefault="002858B9" w:rsidP="002858B9"/>
        <w:p w14:paraId="43921BBE" w14:textId="77777777" w:rsidR="002858B9" w:rsidRPr="00B15AFF" w:rsidRDefault="002858B9" w:rsidP="002858B9">
          <w:pPr>
            <w:rPr>
              <w:b/>
            </w:rPr>
          </w:pPr>
          <w:r w:rsidRPr="00B15AFF">
            <w:rPr>
              <w:b/>
            </w:rPr>
            <w:lastRenderedPageBreak/>
            <w:t>Evaluation</w:t>
          </w:r>
        </w:p>
        <w:p w14:paraId="573F2947" w14:textId="77777777" w:rsidR="002858B9" w:rsidRPr="00B15AFF" w:rsidRDefault="002858B9" w:rsidP="002858B9">
          <w:r w:rsidRPr="00B15AFF">
            <w:t xml:space="preserve">The liquidity position of BP is </w:t>
          </w:r>
          <w:r>
            <w:t>in</w:t>
          </w:r>
          <w:r w:rsidRPr="00B15AFF">
            <w:t xml:space="preserve"> a fairly stable position with a slight decrease in 2023. The current ratio decreased slightly to 1.02 and not to 1.07, which shows that BP has retained adequate current assets to take care of its current liabil</w:t>
          </w:r>
          <w:r>
            <w:t>ities. In the case of a capital-</w:t>
          </w:r>
          <w:r w:rsidRPr="00B15AFF">
            <w:t>intensive energy company, the current ratio should be near 1 since BP has good operating cash flows and availability of capital markets</w:t>
          </w:r>
          <w:r>
            <w:t xml:space="preserve"> (</w:t>
          </w:r>
          <w:r>
            <w:rPr>
              <w:rFonts w:eastAsia="Times New Roman" w:cs="Times New Roman"/>
              <w:szCs w:val="24"/>
              <w:lang w:val="en-US"/>
            </w:rPr>
            <w:t xml:space="preserve">Wang et al., </w:t>
          </w:r>
          <w:r w:rsidRPr="00B15AFF">
            <w:rPr>
              <w:rFonts w:eastAsia="Times New Roman" w:cs="Times New Roman"/>
              <w:szCs w:val="24"/>
              <w:lang w:val="en-US"/>
            </w:rPr>
            <w:t>2024)</w:t>
          </w:r>
          <w:r w:rsidRPr="00B15AFF">
            <w:t>. The quick rati</w:t>
          </w:r>
          <w:r>
            <w:t xml:space="preserve">o had also decreased marginally, </w:t>
          </w:r>
          <w:r w:rsidRPr="00B15AFF">
            <w:t xml:space="preserve">as it indicated a drop in liquid assets since they were with the current liabilities. This implies that BP uses inventory and streams of cash to a certain extent to settle immediate liabilities. This liquidity structure is not risky in nature because of the size of the activities that BP carries out and the availability of cash due to the </w:t>
          </w:r>
          <w:proofErr w:type="spellStart"/>
          <w:r>
            <w:t>on</w:t>
          </w:r>
          <w:r w:rsidRPr="00B15AFF">
            <w:t>going</w:t>
          </w:r>
          <w:proofErr w:type="spellEnd"/>
          <w:r w:rsidRPr="00B15AFF">
            <w:t xml:space="preserve"> oil and gas operations. But lower liquidity buffers can put BP under temporary circumstances when prices of commodities go down in the short term or unexpected operational shifts happen</w:t>
          </w:r>
          <w:r>
            <w:t xml:space="preserve"> (</w:t>
          </w:r>
          <w:r>
            <w:rPr>
              <w:rFonts w:eastAsia="Times New Roman" w:cs="Times New Roman"/>
              <w:szCs w:val="24"/>
              <w:lang w:val="en-US"/>
            </w:rPr>
            <w:t>Medina-</w:t>
          </w:r>
          <w:proofErr w:type="spellStart"/>
          <w:r>
            <w:rPr>
              <w:rFonts w:eastAsia="Times New Roman" w:cs="Times New Roman"/>
              <w:szCs w:val="24"/>
              <w:lang w:val="en-US"/>
            </w:rPr>
            <w:t>Albaladejo</w:t>
          </w:r>
          <w:proofErr w:type="spellEnd"/>
          <w:r>
            <w:rPr>
              <w:rFonts w:eastAsia="Times New Roman" w:cs="Times New Roman"/>
              <w:szCs w:val="24"/>
              <w:lang w:val="en-US"/>
            </w:rPr>
            <w:t xml:space="preserve">, </w:t>
          </w:r>
          <w:r w:rsidRPr="00B15AFF">
            <w:rPr>
              <w:rFonts w:eastAsia="Times New Roman" w:cs="Times New Roman"/>
              <w:szCs w:val="24"/>
              <w:lang w:val="en-US"/>
            </w:rPr>
            <w:t>2025)</w:t>
          </w:r>
          <w:r w:rsidRPr="00B15AFF">
            <w:t xml:space="preserve">. With BP continuing to invest intensively in energy transition initiatives, the liquidity levels will be essential in financing the obligations without taking a greater burden on short-term financial pressure. In general, </w:t>
          </w:r>
          <w:r>
            <w:t xml:space="preserve">the liquidity of BP is not weak, </w:t>
          </w:r>
          <w:r w:rsidRPr="00B15AFF">
            <w:t>but close working capital management will be necessary to maintain the fi</w:t>
          </w:r>
          <w:r>
            <w:t>nancial flexibility in the ever-more-</w:t>
          </w:r>
          <w:r w:rsidRPr="00B15AFF">
            <w:t>unpredictable global energy market.</w:t>
          </w:r>
        </w:p>
        <w:p w14:paraId="2D1F8028" w14:textId="77777777" w:rsidR="002858B9" w:rsidRPr="00B15AFF" w:rsidRDefault="002858B9" w:rsidP="002858B9">
          <w:pPr>
            <w:rPr>
              <w:b/>
            </w:rPr>
          </w:pPr>
          <w:r w:rsidRPr="00B15AFF">
            <w:rPr>
              <w:b/>
            </w:rPr>
            <w:t>Efficiency Ratios</w:t>
          </w:r>
        </w:p>
        <w:p w14:paraId="2C843F92" w14:textId="77777777" w:rsidR="002858B9" w:rsidRPr="00B15AFF" w:rsidRDefault="002858B9" w:rsidP="002858B9">
          <w:pPr>
            <w:jc w:val="center"/>
            <w:rPr>
              <w:b/>
            </w:rPr>
          </w:pPr>
          <w:r w:rsidRPr="00B15AFF">
            <w:rPr>
              <w:b/>
            </w:rPr>
            <w:t>Ratios Analysed</w:t>
          </w:r>
        </w:p>
        <w:p w14:paraId="4958361E" w14:textId="77777777" w:rsidR="002858B9" w:rsidRPr="00B15AFF" w:rsidRDefault="002858B9" w:rsidP="002858B9">
          <w:pPr>
            <w:rPr>
              <w:b/>
            </w:rPr>
          </w:pPr>
          <w:r w:rsidRPr="00B15AFF">
            <w:rPr>
              <w:b/>
            </w:rPr>
            <w:t>Inventory Days</w:t>
          </w:r>
        </w:p>
        <w:p w14:paraId="582106EC" w14:textId="77777777" w:rsidR="002858B9" w:rsidRPr="00B15AFF" w:rsidRDefault="002858B9" w:rsidP="002858B9">
          <w:r w:rsidRPr="00B15AFF">
            <w:t xml:space="preserve">Inventory Days = </w:t>
          </w:r>
          <m:oMath>
            <m:f>
              <m:fPr>
                <m:ctrlPr>
                  <w:rPr>
                    <w:rFonts w:ascii="Cambria Math" w:hAnsi="Cambria Math"/>
                    <w:i/>
                  </w:rPr>
                </m:ctrlPr>
              </m:fPr>
              <m:num>
                <m:r>
                  <w:rPr>
                    <w:rFonts w:ascii="Cambria Math" w:hAnsi="Cambria Math"/>
                  </w:rPr>
                  <m:t>Inventory</m:t>
                </m:r>
              </m:num>
              <m:den>
                <m:r>
                  <w:rPr>
                    <w:rFonts w:ascii="Cambria Math" w:hAnsi="Cambria Math"/>
                  </w:rPr>
                  <m:t>Cost of Sales</m:t>
                </m:r>
              </m:den>
            </m:f>
          </m:oMath>
          <w:r w:rsidRPr="00B15AFF">
            <w:t>×365</w:t>
          </w:r>
        </w:p>
        <w:tbl>
          <w:tblPr>
            <w:tblStyle w:val="TableGrid"/>
            <w:tblW w:w="0" w:type="auto"/>
            <w:tblLook w:val="04A0" w:firstRow="1" w:lastRow="0" w:firstColumn="1" w:lastColumn="0" w:noHBand="0" w:noVBand="1"/>
          </w:tblPr>
          <w:tblGrid>
            <w:gridCol w:w="4621"/>
            <w:gridCol w:w="4621"/>
          </w:tblGrid>
          <w:tr w:rsidR="002858B9" w:rsidRPr="00B15AFF" w14:paraId="51C06117" w14:textId="77777777" w:rsidTr="00F62C20">
            <w:tc>
              <w:tcPr>
                <w:tcW w:w="4788" w:type="dxa"/>
              </w:tcPr>
              <w:p w14:paraId="06136667" w14:textId="77777777" w:rsidR="002858B9" w:rsidRPr="00B15AFF" w:rsidRDefault="002858B9" w:rsidP="00F62C20">
                <w:pPr>
                  <w:jc w:val="center"/>
                </w:pPr>
                <w:r w:rsidRPr="00B15AFF">
                  <w:t>2023</w:t>
                </w:r>
              </w:p>
            </w:tc>
            <w:tc>
              <w:tcPr>
                <w:tcW w:w="4788" w:type="dxa"/>
              </w:tcPr>
              <w:p w14:paraId="314C28A7" w14:textId="77777777" w:rsidR="002858B9" w:rsidRPr="00B15AFF" w:rsidRDefault="002858B9" w:rsidP="00F62C20">
                <w:pPr>
                  <w:jc w:val="center"/>
                </w:pPr>
                <w:r w:rsidRPr="00B15AFF">
                  <w:t>2022</w:t>
                </w:r>
              </w:p>
            </w:tc>
          </w:tr>
          <w:tr w:rsidR="002858B9" w:rsidRPr="00B15AFF" w14:paraId="3537D211" w14:textId="77777777" w:rsidTr="00F62C20">
            <w:tc>
              <w:tcPr>
                <w:tcW w:w="4788" w:type="dxa"/>
              </w:tcPr>
              <w:p w14:paraId="5C5981B3" w14:textId="77777777" w:rsidR="002858B9" w:rsidRPr="00B15AFF" w:rsidRDefault="002858B9" w:rsidP="00F62C20">
                <w:pPr>
                  <w:jc w:val="center"/>
                </w:pPr>
                <w:r w:rsidRPr="00B15AFF">
                  <w:t>102 days</w:t>
                </w:r>
              </w:p>
            </w:tc>
            <w:tc>
              <w:tcPr>
                <w:tcW w:w="4788" w:type="dxa"/>
              </w:tcPr>
              <w:p w14:paraId="70D1A1C4" w14:textId="77777777" w:rsidR="002858B9" w:rsidRPr="00B15AFF" w:rsidRDefault="002858B9" w:rsidP="00F62C20">
                <w:pPr>
                  <w:jc w:val="center"/>
                </w:pPr>
                <w:r w:rsidRPr="00B15AFF">
                  <w:t>88 days</w:t>
                </w:r>
              </w:p>
            </w:tc>
          </w:tr>
        </w:tbl>
        <w:p w14:paraId="3982A560" w14:textId="77777777" w:rsidR="002858B9" w:rsidRPr="00B15AFF" w:rsidRDefault="002858B9" w:rsidP="002858B9"/>
        <w:p w14:paraId="640F2D7D" w14:textId="77777777" w:rsidR="002858B9" w:rsidRPr="00B15AFF" w:rsidRDefault="002858B9" w:rsidP="002858B9">
          <w:pPr>
            <w:rPr>
              <w:b/>
            </w:rPr>
          </w:pPr>
          <w:r w:rsidRPr="00B15AFF">
            <w:rPr>
              <w:b/>
            </w:rPr>
            <w:t>Receivables Days</w:t>
          </w:r>
        </w:p>
        <w:p w14:paraId="3550F78B" w14:textId="77777777" w:rsidR="002858B9" w:rsidRPr="00B15AFF" w:rsidRDefault="002858B9" w:rsidP="002858B9">
          <w:r w:rsidRPr="00B15AFF">
            <w:t xml:space="preserve">Receivables Days = </w:t>
          </w:r>
          <m:oMath>
            <m:f>
              <m:fPr>
                <m:ctrlPr>
                  <w:rPr>
                    <w:rFonts w:ascii="Cambria Math" w:hAnsi="Cambria Math"/>
                    <w:i/>
                  </w:rPr>
                </m:ctrlPr>
              </m:fPr>
              <m:num>
                <m:r>
                  <w:rPr>
                    <w:rFonts w:ascii="Cambria Math" w:hAnsi="Cambria Math"/>
                  </w:rPr>
                  <m:t>Trade Receivable</m:t>
                </m:r>
              </m:num>
              <m:den>
                <m:r>
                  <w:rPr>
                    <w:rFonts w:ascii="Cambria Math" w:hAnsi="Cambria Math"/>
                  </w:rPr>
                  <m:t>Revenue</m:t>
                </m:r>
              </m:den>
            </m:f>
          </m:oMath>
          <w:r w:rsidRPr="00B15AFF">
            <w:t>×365</w:t>
          </w:r>
          <w:r w:rsidRPr="00B15AFF">
            <w:tab/>
            <w:t>​</w:t>
          </w:r>
        </w:p>
        <w:tbl>
          <w:tblPr>
            <w:tblStyle w:val="TableGrid"/>
            <w:tblW w:w="0" w:type="auto"/>
            <w:tblLook w:val="04A0" w:firstRow="1" w:lastRow="0" w:firstColumn="1" w:lastColumn="0" w:noHBand="0" w:noVBand="1"/>
          </w:tblPr>
          <w:tblGrid>
            <w:gridCol w:w="4621"/>
            <w:gridCol w:w="4621"/>
          </w:tblGrid>
          <w:tr w:rsidR="002858B9" w:rsidRPr="00B15AFF" w14:paraId="129ABC12" w14:textId="77777777" w:rsidTr="00F62C20">
            <w:tc>
              <w:tcPr>
                <w:tcW w:w="4788" w:type="dxa"/>
              </w:tcPr>
              <w:p w14:paraId="7E354EE2" w14:textId="77777777" w:rsidR="002858B9" w:rsidRPr="00B15AFF" w:rsidRDefault="002858B9" w:rsidP="00F62C20">
                <w:pPr>
                  <w:jc w:val="center"/>
                </w:pPr>
                <w:r w:rsidRPr="00B15AFF">
                  <w:t>2023</w:t>
                </w:r>
              </w:p>
            </w:tc>
            <w:tc>
              <w:tcPr>
                <w:tcW w:w="4788" w:type="dxa"/>
              </w:tcPr>
              <w:p w14:paraId="5E202791" w14:textId="77777777" w:rsidR="002858B9" w:rsidRPr="00B15AFF" w:rsidRDefault="002858B9" w:rsidP="00F62C20">
                <w:pPr>
                  <w:jc w:val="center"/>
                </w:pPr>
                <w:r w:rsidRPr="00B15AFF">
                  <w:t>2022</w:t>
                </w:r>
              </w:p>
            </w:tc>
          </w:tr>
          <w:tr w:rsidR="002858B9" w:rsidRPr="00B15AFF" w14:paraId="0AE7AFDB" w14:textId="77777777" w:rsidTr="00F62C20">
            <w:tc>
              <w:tcPr>
                <w:tcW w:w="4788" w:type="dxa"/>
              </w:tcPr>
              <w:p w14:paraId="552DC293" w14:textId="77777777" w:rsidR="002858B9" w:rsidRPr="00B15AFF" w:rsidRDefault="002858B9" w:rsidP="00F62C20">
                <w:pPr>
                  <w:jc w:val="center"/>
                </w:pPr>
                <w:r w:rsidRPr="00B15AFF">
                  <w:t>79 days</w:t>
                </w:r>
              </w:p>
            </w:tc>
            <w:tc>
              <w:tcPr>
                <w:tcW w:w="4788" w:type="dxa"/>
              </w:tcPr>
              <w:p w14:paraId="578E588B" w14:textId="77777777" w:rsidR="002858B9" w:rsidRPr="00B15AFF" w:rsidRDefault="002858B9" w:rsidP="00F62C20">
                <w:pPr>
                  <w:jc w:val="center"/>
                </w:pPr>
                <w:r w:rsidRPr="00B15AFF">
                  <w:t>68 days</w:t>
                </w:r>
              </w:p>
            </w:tc>
          </w:tr>
        </w:tbl>
        <w:p w14:paraId="7552127D" w14:textId="77777777" w:rsidR="002858B9" w:rsidRPr="00B15AFF" w:rsidRDefault="002858B9" w:rsidP="002858B9"/>
        <w:p w14:paraId="689C2C82" w14:textId="77777777" w:rsidR="002858B9" w:rsidRPr="00B15AFF" w:rsidRDefault="002858B9" w:rsidP="002858B9">
          <w:pPr>
            <w:rPr>
              <w:b/>
            </w:rPr>
          </w:pPr>
          <w:r w:rsidRPr="00B15AFF">
            <w:rPr>
              <w:b/>
            </w:rPr>
            <w:lastRenderedPageBreak/>
            <w:t>Payables Days</w:t>
          </w:r>
        </w:p>
        <w:p w14:paraId="4A647508" w14:textId="77777777" w:rsidR="002858B9" w:rsidRPr="00B15AFF" w:rsidRDefault="002858B9" w:rsidP="002858B9">
          <w:r w:rsidRPr="00B15AFF">
            <w:t xml:space="preserve">Payables Days = </w:t>
          </w:r>
          <m:oMath>
            <m:f>
              <m:fPr>
                <m:ctrlPr>
                  <w:rPr>
                    <w:rFonts w:ascii="Cambria Math" w:hAnsi="Cambria Math"/>
                    <w:i/>
                  </w:rPr>
                </m:ctrlPr>
              </m:fPr>
              <m:num>
                <m:r>
                  <m:rPr>
                    <m:sty m:val="p"/>
                  </m:rPr>
                  <w:rPr>
                    <w:rFonts w:ascii="Cambria Math" w:hAnsi="Cambria Math"/>
                  </w:rPr>
                  <m:t>Trade Payables</m:t>
                </m:r>
              </m:num>
              <m:den>
                <m:r>
                  <m:rPr>
                    <m:sty m:val="p"/>
                  </m:rPr>
                  <w:rPr>
                    <w:rFonts w:ascii="Cambria Math" w:hAnsi="Cambria Math"/>
                  </w:rPr>
                  <m:t>Costs of Sales</m:t>
                </m:r>
              </m:den>
            </m:f>
          </m:oMath>
          <w:r w:rsidRPr="00B15AFF">
            <w:t>×365</w:t>
          </w:r>
        </w:p>
        <w:tbl>
          <w:tblPr>
            <w:tblStyle w:val="TableGrid"/>
            <w:tblW w:w="0" w:type="auto"/>
            <w:tblLook w:val="04A0" w:firstRow="1" w:lastRow="0" w:firstColumn="1" w:lastColumn="0" w:noHBand="0" w:noVBand="1"/>
          </w:tblPr>
          <w:tblGrid>
            <w:gridCol w:w="4621"/>
            <w:gridCol w:w="4621"/>
          </w:tblGrid>
          <w:tr w:rsidR="002858B9" w:rsidRPr="00B15AFF" w14:paraId="75917A42" w14:textId="77777777" w:rsidTr="00F62C20">
            <w:tc>
              <w:tcPr>
                <w:tcW w:w="4788" w:type="dxa"/>
              </w:tcPr>
              <w:p w14:paraId="0AEA8CC6" w14:textId="77777777" w:rsidR="002858B9" w:rsidRPr="00B15AFF" w:rsidRDefault="002858B9" w:rsidP="00F62C20">
                <w:pPr>
                  <w:jc w:val="center"/>
                </w:pPr>
                <w:r w:rsidRPr="00B15AFF">
                  <w:t>2023</w:t>
                </w:r>
              </w:p>
            </w:tc>
            <w:tc>
              <w:tcPr>
                <w:tcW w:w="4788" w:type="dxa"/>
              </w:tcPr>
              <w:p w14:paraId="63274BBD" w14:textId="77777777" w:rsidR="002858B9" w:rsidRPr="00B15AFF" w:rsidRDefault="002858B9" w:rsidP="00F62C20">
                <w:pPr>
                  <w:jc w:val="center"/>
                </w:pPr>
                <w:r w:rsidRPr="00B15AFF">
                  <w:t>2022</w:t>
                </w:r>
              </w:p>
            </w:tc>
          </w:tr>
          <w:tr w:rsidR="002858B9" w:rsidRPr="00B15AFF" w14:paraId="623CECEA" w14:textId="77777777" w:rsidTr="00F62C20">
            <w:tc>
              <w:tcPr>
                <w:tcW w:w="4788" w:type="dxa"/>
              </w:tcPr>
              <w:p w14:paraId="690C25B1" w14:textId="77777777" w:rsidR="002858B9" w:rsidRPr="00B15AFF" w:rsidRDefault="002858B9" w:rsidP="00F62C20">
                <w:pPr>
                  <w:jc w:val="center"/>
                </w:pPr>
                <w:r w:rsidRPr="00B15AFF">
                  <w:t>142 days</w:t>
                </w:r>
              </w:p>
            </w:tc>
            <w:tc>
              <w:tcPr>
                <w:tcW w:w="4788" w:type="dxa"/>
              </w:tcPr>
              <w:p w14:paraId="120EF0EA" w14:textId="77777777" w:rsidR="002858B9" w:rsidRPr="00B15AFF" w:rsidRDefault="002858B9" w:rsidP="00F62C20">
                <w:pPr>
                  <w:jc w:val="center"/>
                </w:pPr>
                <w:r w:rsidRPr="00B15AFF">
                  <w:t>120 days</w:t>
                </w:r>
              </w:p>
            </w:tc>
          </w:tr>
        </w:tbl>
        <w:p w14:paraId="4AEC4747" w14:textId="77777777" w:rsidR="002858B9" w:rsidRPr="00B15AFF" w:rsidRDefault="002858B9" w:rsidP="002858B9">
          <w:pPr>
            <w:rPr>
              <w:b/>
            </w:rPr>
          </w:pPr>
        </w:p>
        <w:p w14:paraId="65773D8A" w14:textId="77777777" w:rsidR="002858B9" w:rsidRPr="00B15AFF" w:rsidRDefault="002858B9" w:rsidP="002858B9">
          <w:pPr>
            <w:rPr>
              <w:b/>
            </w:rPr>
          </w:pPr>
          <w:r w:rsidRPr="00B15AFF">
            <w:rPr>
              <w:b/>
            </w:rPr>
            <w:t>Evaluation</w:t>
          </w:r>
        </w:p>
        <w:p w14:paraId="2A80D3AA" w14:textId="621081BE" w:rsidR="002858B9" w:rsidRPr="00B73881" w:rsidRDefault="002858B9" w:rsidP="002858B9">
          <w:pPr>
            <w:rPr>
              <w:rFonts w:eastAsia="Times New Roman" w:cs="Times New Roman"/>
              <w:szCs w:val="24"/>
              <w:lang w:val="en-US"/>
            </w:rPr>
          </w:pPr>
          <w:r w:rsidRPr="00B15AFF">
            <w:t xml:space="preserve">The efficiency ratios show that the efficiency of the working capital of BP is worse in 2023 than it was in 2022. The </w:t>
          </w:r>
          <w:r>
            <w:t>number</w:t>
          </w:r>
          <w:r w:rsidRPr="00B15AFF">
            <w:t xml:space="preserve"> of inventory days </w:t>
          </w:r>
          <w:r>
            <w:t xml:space="preserve">has improved tremendously, </w:t>
          </w:r>
          <w:r w:rsidRPr="00B15AFF">
            <w:t xml:space="preserve">indicating that BP took longer to sell </w:t>
          </w:r>
          <w:r>
            <w:t>its</w:t>
          </w:r>
          <w:r w:rsidRPr="00B15AFF">
            <w:t xml:space="preserve"> stocks. This can be an indication of poor demand factors, transportation difficulties, or excess storage of refined products due to fluctuating energy cost</w:t>
          </w:r>
          <w:r>
            <w:t>s (</w:t>
          </w:r>
          <w:proofErr w:type="spellStart"/>
          <w:r w:rsidRPr="00B73881">
            <w:rPr>
              <w:rFonts w:eastAsia="Times New Roman" w:cs="Times New Roman"/>
              <w:szCs w:val="24"/>
              <w:lang w:val="en-US"/>
            </w:rPr>
            <w:t>Jan</w:t>
          </w:r>
          <w:r>
            <w:rPr>
              <w:rFonts w:eastAsia="Times New Roman" w:cs="Times New Roman"/>
              <w:szCs w:val="24"/>
              <w:lang w:val="en-US"/>
            </w:rPr>
            <w:t>atyan</w:t>
          </w:r>
          <w:proofErr w:type="spellEnd"/>
          <w:r>
            <w:rPr>
              <w:rFonts w:eastAsia="Times New Roman" w:cs="Times New Roman"/>
              <w:szCs w:val="24"/>
              <w:lang w:val="en-US"/>
            </w:rPr>
            <w:t xml:space="preserve">, and </w:t>
          </w:r>
          <w:proofErr w:type="spellStart"/>
          <w:r>
            <w:rPr>
              <w:rFonts w:eastAsia="Times New Roman" w:cs="Times New Roman"/>
              <w:szCs w:val="24"/>
              <w:lang w:val="en-US"/>
            </w:rPr>
            <w:t>Shahin</w:t>
          </w:r>
          <w:proofErr w:type="spellEnd"/>
          <w:r>
            <w:rPr>
              <w:rFonts w:eastAsia="Times New Roman" w:cs="Times New Roman"/>
              <w:szCs w:val="24"/>
              <w:lang w:val="en-US"/>
            </w:rPr>
            <w:t>, 2021)</w:t>
          </w:r>
          <w:r w:rsidRPr="00B15AFF">
            <w:t>. An oil and gas company may suffer as greater inventory levels may eleva</w:t>
          </w:r>
          <w:r>
            <w:t xml:space="preserve">te holding costs and price risk, </w:t>
          </w:r>
          <w:r w:rsidRPr="00B15AFF">
            <w:t>leading to a decrease in the cash flow. Th</w:t>
          </w:r>
          <w:r>
            <w:t xml:space="preserve">e days outstanding also went up, </w:t>
          </w:r>
          <w:r w:rsidRPr="00B15AFF">
            <w:t xml:space="preserve">and this is a sign of slower customer collection. This may be attributed to the relaxed credit conditions </w:t>
          </w:r>
          <w:r>
            <w:t>that are being offered to large-</w:t>
          </w:r>
          <w:r w:rsidRPr="00B15AFF">
            <w:t>scale industrial clients or late invoices that are caused by economic unpredictability internationally. On the contrary, BP prolonged its payables significantly. Although this helps short-term cash flow, i.e. retention of the cash, over-delays in the payment by suppliers can cause tension in suppliers’ relationships and conflict with the ethical sourcing responsibility</w:t>
          </w:r>
          <w:r>
            <w:t xml:space="preserve"> (</w:t>
          </w:r>
          <w:r>
            <w:rPr>
              <w:rFonts w:eastAsia="Times New Roman" w:cs="Times New Roman"/>
              <w:szCs w:val="24"/>
              <w:lang w:val="en-US"/>
            </w:rPr>
            <w:t>Sacks et al., 2</w:t>
          </w:r>
          <w:r w:rsidRPr="00B73881">
            <w:rPr>
              <w:rFonts w:eastAsia="Times New Roman" w:cs="Times New Roman"/>
              <w:szCs w:val="24"/>
              <w:lang w:val="en-US"/>
            </w:rPr>
            <w:t>022)</w:t>
          </w:r>
          <w:r w:rsidRPr="00B15AFF">
            <w:t xml:space="preserve">. In general, the efficiency ratios show that BP has been using the supplier credit at a greater proportion to compensate </w:t>
          </w:r>
          <w:r>
            <w:t xml:space="preserve">for </w:t>
          </w:r>
          <w:r w:rsidRPr="00B15AFF">
            <w:t xml:space="preserve">the slow inventory and receivables turnover. Although this helps the liquidity </w:t>
          </w:r>
          <w:r w:rsidR="003316B8">
            <w:t>for short span of time</w:t>
          </w:r>
          <w:r w:rsidRPr="00B15AFF">
            <w:t xml:space="preserve">, inefficiencies that are not </w:t>
          </w:r>
          <w:r>
            <w:t>addressed</w:t>
          </w:r>
          <w:r w:rsidRPr="00B15AFF">
            <w:t xml:space="preserve"> </w:t>
          </w:r>
          <w:r w:rsidR="003316B8">
            <w:t>for a longer period</w:t>
          </w:r>
          <w:r w:rsidRPr="00B15AFF">
            <w:t xml:space="preserve"> may strain the cash flows and flexibility of the operations.</w:t>
          </w:r>
        </w:p>
        <w:p w14:paraId="2B44F641" w14:textId="77777777" w:rsidR="002858B9" w:rsidRPr="00B15AFF" w:rsidRDefault="002858B9" w:rsidP="002858B9">
          <w:pPr>
            <w:rPr>
              <w:b/>
            </w:rPr>
          </w:pPr>
          <w:r w:rsidRPr="00B15AFF">
            <w:rPr>
              <w:b/>
            </w:rPr>
            <w:t>Gearing Ratios</w:t>
          </w:r>
        </w:p>
        <w:p w14:paraId="0FA7D8C2" w14:textId="77777777" w:rsidR="002858B9" w:rsidRPr="00B15AFF" w:rsidRDefault="002858B9" w:rsidP="002858B9">
          <w:pPr>
            <w:jc w:val="center"/>
            <w:rPr>
              <w:b/>
            </w:rPr>
          </w:pPr>
          <w:r w:rsidRPr="00B15AFF">
            <w:rPr>
              <w:b/>
            </w:rPr>
            <w:t>Ratios Analysed</w:t>
          </w:r>
        </w:p>
        <w:p w14:paraId="35334658" w14:textId="77777777" w:rsidR="002858B9" w:rsidRPr="00B15AFF" w:rsidRDefault="002858B9" w:rsidP="002858B9">
          <w:r w:rsidRPr="00B15AFF">
            <w:t>Debt-to-Equity Ratio</w:t>
          </w:r>
        </w:p>
        <w:p w14:paraId="0B1E7CD5" w14:textId="77777777" w:rsidR="002858B9" w:rsidRPr="00B15AFF" w:rsidRDefault="002858B9" w:rsidP="002858B9">
          <w:r w:rsidRPr="00B15AFF">
            <w:t>Interest Cover Ratio</w:t>
          </w:r>
        </w:p>
        <w:p w14:paraId="2BA7A935" w14:textId="77777777" w:rsidR="002858B9" w:rsidRPr="00B15AFF" w:rsidRDefault="002858B9" w:rsidP="002858B9">
          <w:pPr>
            <w:rPr>
              <w:b/>
            </w:rPr>
          </w:pPr>
          <w:r w:rsidRPr="00B15AFF">
            <w:rPr>
              <w:b/>
            </w:rPr>
            <w:t>Debt-to-Equity Ratio</w:t>
          </w:r>
        </w:p>
        <w:p w14:paraId="5A132813" w14:textId="77777777" w:rsidR="002858B9" w:rsidRPr="00B15AFF" w:rsidRDefault="002858B9" w:rsidP="002858B9">
          <w:r w:rsidRPr="00B15AFF">
            <w:t xml:space="preserve">Debt-to-Equity = </w:t>
          </w:r>
          <m:oMath>
            <m:f>
              <m:fPr>
                <m:ctrlPr>
                  <w:rPr>
                    <w:rFonts w:ascii="Cambria Math" w:hAnsi="Cambria Math"/>
                    <w:i/>
                  </w:rPr>
                </m:ctrlPr>
              </m:fPr>
              <m:num>
                <m:r>
                  <w:rPr>
                    <w:rFonts w:ascii="Cambria Math" w:hAnsi="Cambria Math"/>
                  </w:rPr>
                  <m:t>Total Debt</m:t>
                </m:r>
              </m:num>
              <m:den>
                <m:r>
                  <w:rPr>
                    <w:rFonts w:ascii="Cambria Math" w:hAnsi="Cambria Math"/>
                  </w:rPr>
                  <m:t>Shareholde</m:t>
                </m:r>
                <m:sSup>
                  <m:sSupPr>
                    <m:ctrlPr>
                      <w:rPr>
                        <w:rFonts w:ascii="Cambria Math" w:hAnsi="Cambria Math"/>
                        <w:i/>
                      </w:rPr>
                    </m:ctrlPr>
                  </m:sSupPr>
                  <m:e>
                    <m:r>
                      <w:rPr>
                        <w:rFonts w:ascii="Cambria Math" w:hAnsi="Cambria Math"/>
                      </w:rPr>
                      <m:t>r</m:t>
                    </m:r>
                  </m:e>
                  <m:sup>
                    <m:r>
                      <w:rPr>
                        <w:rFonts w:ascii="Cambria Math" w:hAnsi="Cambria Math"/>
                      </w:rPr>
                      <m:t>'</m:t>
                    </m:r>
                  </m:sup>
                </m:sSup>
                <m:r>
                  <w:rPr>
                    <w:rFonts w:ascii="Cambria Math" w:hAnsi="Cambria Math"/>
                  </w:rPr>
                  <m:t>sEquity</m:t>
                </m:r>
              </m:den>
            </m:f>
          </m:oMath>
          <w:r w:rsidRPr="00B15AFF">
            <w:tab/>
            <w:t>​</w:t>
          </w:r>
        </w:p>
        <w:tbl>
          <w:tblPr>
            <w:tblStyle w:val="TableGrid"/>
            <w:tblW w:w="0" w:type="auto"/>
            <w:tblLook w:val="04A0" w:firstRow="1" w:lastRow="0" w:firstColumn="1" w:lastColumn="0" w:noHBand="0" w:noVBand="1"/>
          </w:tblPr>
          <w:tblGrid>
            <w:gridCol w:w="4621"/>
            <w:gridCol w:w="4621"/>
          </w:tblGrid>
          <w:tr w:rsidR="002858B9" w:rsidRPr="00B15AFF" w14:paraId="7902665F" w14:textId="77777777" w:rsidTr="00F62C20">
            <w:tc>
              <w:tcPr>
                <w:tcW w:w="4788" w:type="dxa"/>
              </w:tcPr>
              <w:p w14:paraId="2BF5483B" w14:textId="77777777" w:rsidR="002858B9" w:rsidRPr="00B15AFF" w:rsidRDefault="002858B9" w:rsidP="00F62C20">
                <w:pPr>
                  <w:jc w:val="center"/>
                </w:pPr>
                <w:r w:rsidRPr="00B15AFF">
                  <w:lastRenderedPageBreak/>
                  <w:t>2023</w:t>
                </w:r>
              </w:p>
            </w:tc>
            <w:tc>
              <w:tcPr>
                <w:tcW w:w="4788" w:type="dxa"/>
              </w:tcPr>
              <w:p w14:paraId="7BE0C56A" w14:textId="77777777" w:rsidR="002858B9" w:rsidRPr="00B15AFF" w:rsidRDefault="002858B9" w:rsidP="00F62C20">
                <w:pPr>
                  <w:jc w:val="center"/>
                </w:pPr>
                <w:r w:rsidRPr="00B15AFF">
                  <w:t>2022</w:t>
                </w:r>
              </w:p>
            </w:tc>
          </w:tr>
          <w:tr w:rsidR="002858B9" w:rsidRPr="00B15AFF" w14:paraId="27DB33E7" w14:textId="77777777" w:rsidTr="00F62C20">
            <w:tc>
              <w:tcPr>
                <w:tcW w:w="4788" w:type="dxa"/>
              </w:tcPr>
              <w:p w14:paraId="6C1E35E2" w14:textId="77777777" w:rsidR="002858B9" w:rsidRPr="00B15AFF" w:rsidRDefault="002858B9" w:rsidP="00F62C20">
                <w:pPr>
                  <w:jc w:val="center"/>
                </w:pPr>
                <w:r w:rsidRPr="00B15AFF">
                  <w:t>0.74</w:t>
                </w:r>
              </w:p>
            </w:tc>
            <w:tc>
              <w:tcPr>
                <w:tcW w:w="4788" w:type="dxa"/>
              </w:tcPr>
              <w:p w14:paraId="5E06042E" w14:textId="77777777" w:rsidR="002858B9" w:rsidRPr="00B15AFF" w:rsidRDefault="002858B9" w:rsidP="00F62C20">
                <w:pPr>
                  <w:jc w:val="center"/>
                </w:pPr>
                <w:r w:rsidRPr="00B15AFF">
                  <w:t>0.85</w:t>
                </w:r>
              </w:p>
            </w:tc>
          </w:tr>
        </w:tbl>
        <w:p w14:paraId="1F62DA92" w14:textId="77777777" w:rsidR="002858B9" w:rsidRPr="00B15AFF" w:rsidRDefault="002858B9" w:rsidP="002858B9"/>
        <w:p w14:paraId="2E67C89D" w14:textId="77777777" w:rsidR="002858B9" w:rsidRPr="00B15AFF" w:rsidRDefault="002858B9" w:rsidP="002858B9">
          <w:pPr>
            <w:rPr>
              <w:b/>
            </w:rPr>
          </w:pPr>
          <w:r w:rsidRPr="00B15AFF">
            <w:rPr>
              <w:b/>
            </w:rPr>
            <w:t>Interest Cover Ratio</w:t>
          </w:r>
        </w:p>
        <w:p w14:paraId="5E880401" w14:textId="77777777" w:rsidR="002858B9" w:rsidRPr="00B15AFF" w:rsidRDefault="002858B9" w:rsidP="002858B9">
          <w:r w:rsidRPr="00B15AFF">
            <w:t xml:space="preserve">Interest Cover = </w:t>
          </w:r>
          <m:oMath>
            <m:f>
              <m:fPr>
                <m:ctrlPr>
                  <w:rPr>
                    <w:rFonts w:ascii="Cambria Math" w:hAnsi="Cambria Math"/>
                    <w:i/>
                  </w:rPr>
                </m:ctrlPr>
              </m:fPr>
              <m:num>
                <m:r>
                  <w:rPr>
                    <w:rFonts w:ascii="Cambria Math" w:hAnsi="Cambria Math"/>
                  </w:rPr>
                  <m:t>Operating Profit</m:t>
                </m:r>
              </m:num>
              <m:den>
                <m:r>
                  <w:rPr>
                    <w:rFonts w:ascii="Cambria Math" w:hAnsi="Cambria Math"/>
                  </w:rPr>
                  <m:t>Finance Costs</m:t>
                </m:r>
              </m:den>
            </m:f>
          </m:oMath>
          <w:r w:rsidRPr="00B15AFF">
            <w:tab/>
            <w:t>​</w:t>
          </w:r>
        </w:p>
        <w:tbl>
          <w:tblPr>
            <w:tblStyle w:val="TableGrid"/>
            <w:tblW w:w="0" w:type="auto"/>
            <w:tblLook w:val="04A0" w:firstRow="1" w:lastRow="0" w:firstColumn="1" w:lastColumn="0" w:noHBand="0" w:noVBand="1"/>
          </w:tblPr>
          <w:tblGrid>
            <w:gridCol w:w="4621"/>
            <w:gridCol w:w="4621"/>
          </w:tblGrid>
          <w:tr w:rsidR="002858B9" w:rsidRPr="00B15AFF" w14:paraId="70040ACB" w14:textId="77777777" w:rsidTr="00F62C20">
            <w:tc>
              <w:tcPr>
                <w:tcW w:w="4788" w:type="dxa"/>
              </w:tcPr>
              <w:p w14:paraId="230E7375" w14:textId="77777777" w:rsidR="002858B9" w:rsidRPr="00B15AFF" w:rsidRDefault="002858B9" w:rsidP="00F62C20">
                <w:pPr>
                  <w:jc w:val="center"/>
                </w:pPr>
                <w:r w:rsidRPr="00B15AFF">
                  <w:t>2023</w:t>
                </w:r>
              </w:p>
            </w:tc>
            <w:tc>
              <w:tcPr>
                <w:tcW w:w="4788" w:type="dxa"/>
              </w:tcPr>
              <w:p w14:paraId="7C7001DA" w14:textId="77777777" w:rsidR="002858B9" w:rsidRPr="00B15AFF" w:rsidRDefault="002858B9" w:rsidP="00F62C20">
                <w:pPr>
                  <w:jc w:val="center"/>
                </w:pPr>
                <w:r w:rsidRPr="00B15AFF">
                  <w:t>2022</w:t>
                </w:r>
              </w:p>
            </w:tc>
          </w:tr>
          <w:tr w:rsidR="002858B9" w:rsidRPr="00B15AFF" w14:paraId="38B665D8" w14:textId="77777777" w:rsidTr="00F62C20">
            <w:tc>
              <w:tcPr>
                <w:tcW w:w="4788" w:type="dxa"/>
              </w:tcPr>
              <w:p w14:paraId="661EFEA9" w14:textId="77777777" w:rsidR="002858B9" w:rsidRPr="00B15AFF" w:rsidRDefault="002858B9" w:rsidP="00F62C20">
                <w:pPr>
                  <w:jc w:val="center"/>
                </w:pPr>
                <w:r w:rsidRPr="00B15AFF">
                  <w:t>6.25 times</w:t>
                </w:r>
              </w:p>
            </w:tc>
            <w:tc>
              <w:tcPr>
                <w:tcW w:w="4788" w:type="dxa"/>
              </w:tcPr>
              <w:p w14:paraId="4E1C8F68" w14:textId="77777777" w:rsidR="002858B9" w:rsidRPr="00B15AFF" w:rsidRDefault="002858B9" w:rsidP="00F62C20">
                <w:pPr>
                  <w:jc w:val="center"/>
                </w:pPr>
                <w:r w:rsidRPr="00B15AFF">
                  <w:t>7.18 times</w:t>
                </w:r>
              </w:p>
            </w:tc>
          </w:tr>
        </w:tbl>
        <w:p w14:paraId="486DD9DF" w14:textId="77777777" w:rsidR="002858B9" w:rsidRPr="00B15AFF" w:rsidRDefault="002858B9" w:rsidP="002858B9"/>
        <w:p w14:paraId="394C2803" w14:textId="77777777" w:rsidR="002858B9" w:rsidRPr="00B15AFF" w:rsidRDefault="002858B9" w:rsidP="002858B9">
          <w:pPr>
            <w:rPr>
              <w:b/>
            </w:rPr>
          </w:pPr>
          <w:r w:rsidRPr="00B15AFF">
            <w:rPr>
              <w:b/>
            </w:rPr>
            <w:t>Evaluation</w:t>
          </w:r>
        </w:p>
        <w:p w14:paraId="39A7D96D" w14:textId="0DE76FEC" w:rsidR="002858B9" w:rsidRPr="00B73881" w:rsidRDefault="002858B9" w:rsidP="002858B9">
          <w:pPr>
            <w:rPr>
              <w:rFonts w:eastAsia="Times New Roman" w:cs="Times New Roman"/>
              <w:szCs w:val="24"/>
              <w:lang w:val="en-US"/>
            </w:rPr>
          </w:pPr>
          <w:r w:rsidRPr="00B15AFF">
            <w:t>The gearing position of BP has also been positive in 2023, as the debt-to-equity ratio has dec</w:t>
          </w:r>
          <w:r>
            <w:t>lined. It means BP minimis</w:t>
          </w:r>
          <w:r w:rsidRPr="00B15AFF">
            <w:t>ed the use of debt financing in comparison to equity, which enhanc</w:t>
          </w:r>
          <w:r>
            <w:t>ed its balance sheet and minimis</w:t>
          </w:r>
          <w:r w:rsidRPr="00B15AFF">
            <w:t xml:space="preserve">ed the risk on a long-term basis. This is more so in a market where there is </w:t>
          </w:r>
          <w:proofErr w:type="gramStart"/>
          <w:r w:rsidRPr="00B15AFF">
            <w:t xml:space="preserve">an </w:t>
          </w:r>
          <w:r>
            <w:t>i</w:t>
          </w:r>
          <w:proofErr w:type="gramEnd"/>
          <w:r w:rsidRPr="00B15AFF">
            <w:t xml:space="preserve"> in the global interest rates, where the high leverage may cause a great impact </w:t>
          </w:r>
          <w:r>
            <w:t>on</w:t>
          </w:r>
          <w:r w:rsidRPr="00B15AFF">
            <w:t xml:space="preserve"> the finance cost</w:t>
          </w:r>
          <w:r>
            <w:t xml:space="preserve"> </w:t>
          </w:r>
          <w:r>
            <w:rPr>
              <w:rFonts w:eastAsia="Times New Roman" w:cs="Times New Roman"/>
              <w:szCs w:val="24"/>
              <w:lang w:val="en-US"/>
            </w:rPr>
            <w:t>(</w:t>
          </w:r>
          <w:proofErr w:type="spellStart"/>
          <w:r w:rsidRPr="00B73881">
            <w:rPr>
              <w:rFonts w:eastAsia="Times New Roman" w:cs="Times New Roman"/>
              <w:szCs w:val="24"/>
              <w:lang w:val="en-US"/>
            </w:rPr>
            <w:t>Marj</w:t>
          </w:r>
          <w:r>
            <w:rPr>
              <w:rFonts w:eastAsia="Times New Roman" w:cs="Times New Roman"/>
              <w:szCs w:val="24"/>
              <w:lang w:val="en-US"/>
            </w:rPr>
            <w:t>ohan</w:t>
          </w:r>
          <w:proofErr w:type="spellEnd"/>
          <w:r>
            <w:rPr>
              <w:rFonts w:eastAsia="Times New Roman" w:cs="Times New Roman"/>
              <w:szCs w:val="24"/>
              <w:lang w:val="en-US"/>
            </w:rPr>
            <w:t xml:space="preserve">, and </w:t>
          </w:r>
          <w:proofErr w:type="spellStart"/>
          <w:r>
            <w:rPr>
              <w:rFonts w:eastAsia="Times New Roman" w:cs="Times New Roman"/>
              <w:szCs w:val="24"/>
              <w:lang w:val="en-US"/>
            </w:rPr>
            <w:t>Supratikta</w:t>
          </w:r>
          <w:proofErr w:type="spellEnd"/>
          <w:r>
            <w:rPr>
              <w:rFonts w:eastAsia="Times New Roman" w:cs="Times New Roman"/>
              <w:szCs w:val="24"/>
              <w:lang w:val="en-US"/>
            </w:rPr>
            <w:t>, 2025)</w:t>
          </w:r>
          <w:r w:rsidRPr="00B15AFF">
            <w:t>. Nevertheless, the interest cover ratio decreased marginally, which indicates low operating profits in comparison to th</w:t>
          </w:r>
          <w:r>
            <w:t xml:space="preserve">e interest. The interest cover, </w:t>
          </w:r>
          <w:r w:rsidRPr="00B15AFF">
            <w:t>despite being well above the critical levels</w:t>
          </w:r>
          <w:r>
            <w:t>,</w:t>
          </w:r>
          <w:r w:rsidRPr="00B15AFF">
            <w:t xml:space="preserve"> indicat</w:t>
          </w:r>
          <w:r>
            <w:t xml:space="preserve">es </w:t>
          </w:r>
          <w:r w:rsidRPr="00B15AFF">
            <w:t>less margin of safety than it was in 2022. This is in accordance with decreased commodity prices and augmented transition-related spending. Generally, the gearing profile is not excessive</w:t>
          </w:r>
          <w:r>
            <w:t>,</w:t>
          </w:r>
          <w:r w:rsidRPr="00B15AFF">
            <w:t xml:space="preserve"> and it is suitable in </w:t>
          </w:r>
          <w:r>
            <w:t xml:space="preserve">the </w:t>
          </w:r>
          <w:r w:rsidRPr="00B15AFF">
            <w:t>case of a capital-intensive energy firm like BP</w:t>
          </w:r>
          <w:r>
            <w:t xml:space="preserve"> (</w:t>
          </w:r>
          <w:proofErr w:type="spellStart"/>
          <w:r>
            <w:rPr>
              <w:rFonts w:eastAsia="Times New Roman" w:cs="Times New Roman"/>
              <w:szCs w:val="24"/>
              <w:lang w:val="en-US"/>
            </w:rPr>
            <w:t>Tsiouni</w:t>
          </w:r>
          <w:proofErr w:type="spellEnd"/>
          <w:r>
            <w:rPr>
              <w:rFonts w:eastAsia="Times New Roman" w:cs="Times New Roman"/>
              <w:szCs w:val="24"/>
              <w:lang w:val="en-US"/>
            </w:rPr>
            <w:t xml:space="preserve"> et al., </w:t>
          </w:r>
          <w:r w:rsidRPr="00B73881">
            <w:rPr>
              <w:rFonts w:eastAsia="Times New Roman" w:cs="Times New Roman"/>
              <w:szCs w:val="24"/>
              <w:lang w:val="en-US"/>
            </w:rPr>
            <w:t>2023)</w:t>
          </w:r>
          <w:r w:rsidRPr="00B15AFF">
            <w:t>. The lower leverage increases the financial strength and gives the flexibility to finance future investments</w:t>
          </w:r>
          <w:r w:rsidR="00F62C20">
            <w:t xml:space="preserve"> in different potential sectors</w:t>
          </w:r>
          <w:r w:rsidRPr="00B15AFF">
            <w:t xml:space="preserve">. Management should, however, make sure that </w:t>
          </w:r>
          <w:r>
            <w:t xml:space="preserve">declining </w:t>
          </w:r>
          <w:r w:rsidRPr="00B15AFF">
            <w:t>operating profits that are declining should not reduce the ability to service debt in the long run.</w:t>
          </w:r>
        </w:p>
        <w:p w14:paraId="774CF85F" w14:textId="77777777" w:rsidR="002858B9" w:rsidRPr="00B15AFF" w:rsidRDefault="002858B9" w:rsidP="002858B9">
          <w:pPr>
            <w:rPr>
              <w:b/>
            </w:rPr>
          </w:pPr>
          <w:r w:rsidRPr="00B15AFF">
            <w:rPr>
              <w:b/>
            </w:rPr>
            <w:t>Investor Ratios</w:t>
          </w:r>
        </w:p>
        <w:p w14:paraId="5EE1432E" w14:textId="77777777" w:rsidR="002858B9" w:rsidRPr="00B15AFF" w:rsidRDefault="002858B9" w:rsidP="002858B9">
          <w:pPr>
            <w:jc w:val="center"/>
            <w:rPr>
              <w:b/>
            </w:rPr>
          </w:pPr>
          <w:r w:rsidRPr="00B15AFF">
            <w:rPr>
              <w:b/>
            </w:rPr>
            <w:t>Ratios Analysed</w:t>
          </w:r>
        </w:p>
        <w:p w14:paraId="4E07A3F6" w14:textId="77777777" w:rsidR="002858B9" w:rsidRPr="00B15AFF" w:rsidRDefault="002858B9" w:rsidP="002858B9">
          <w:pPr>
            <w:rPr>
              <w:b/>
            </w:rPr>
          </w:pPr>
          <w:r w:rsidRPr="00B15AFF">
            <w:rPr>
              <w:b/>
            </w:rPr>
            <w:t>Earnings per Share (EPS)</w:t>
          </w:r>
        </w:p>
        <w:p w14:paraId="1629EDFC" w14:textId="77777777" w:rsidR="002858B9" w:rsidRPr="00B15AFF" w:rsidRDefault="002858B9" w:rsidP="002858B9"/>
        <w:p w14:paraId="619B9950" w14:textId="77777777" w:rsidR="002858B9" w:rsidRPr="00B15AFF" w:rsidRDefault="002858B9" w:rsidP="002858B9">
          <w:r w:rsidRPr="00B15AFF">
            <w:t xml:space="preserve">EPS = </w:t>
          </w:r>
          <m:oMath>
            <m:f>
              <m:fPr>
                <m:ctrlPr>
                  <w:rPr>
                    <w:rFonts w:ascii="Cambria Math" w:hAnsi="Cambria Math"/>
                    <w:i/>
                  </w:rPr>
                </m:ctrlPr>
              </m:fPr>
              <m:num>
                <m:r>
                  <w:rPr>
                    <w:rFonts w:ascii="Cambria Math" w:hAnsi="Cambria Math"/>
                  </w:rPr>
                  <m:t>Profit After Tax</m:t>
                </m:r>
              </m:num>
              <m:den>
                <m:r>
                  <w:rPr>
                    <w:rFonts w:ascii="Cambria Math" w:hAnsi="Cambria Math"/>
                  </w:rPr>
                  <m:t>Number of Ordinary Shares</m:t>
                </m:r>
              </m:den>
            </m:f>
          </m:oMath>
          <w:r w:rsidRPr="00B15AFF">
            <w:tab/>
            <w:t>​</w:t>
          </w:r>
        </w:p>
        <w:tbl>
          <w:tblPr>
            <w:tblStyle w:val="TableGrid"/>
            <w:tblW w:w="0" w:type="auto"/>
            <w:tblLook w:val="04A0" w:firstRow="1" w:lastRow="0" w:firstColumn="1" w:lastColumn="0" w:noHBand="0" w:noVBand="1"/>
          </w:tblPr>
          <w:tblGrid>
            <w:gridCol w:w="4621"/>
            <w:gridCol w:w="4621"/>
          </w:tblGrid>
          <w:tr w:rsidR="002858B9" w:rsidRPr="00B15AFF" w14:paraId="5CA494DC" w14:textId="77777777" w:rsidTr="00F62C20">
            <w:tc>
              <w:tcPr>
                <w:tcW w:w="4788" w:type="dxa"/>
              </w:tcPr>
              <w:p w14:paraId="295577D1" w14:textId="77777777" w:rsidR="002858B9" w:rsidRPr="00B15AFF" w:rsidRDefault="002858B9" w:rsidP="00F62C20">
                <w:pPr>
                  <w:jc w:val="center"/>
                </w:pPr>
                <w:r w:rsidRPr="00B15AFF">
                  <w:lastRenderedPageBreak/>
                  <w:t>2023</w:t>
                </w:r>
              </w:p>
            </w:tc>
            <w:tc>
              <w:tcPr>
                <w:tcW w:w="4788" w:type="dxa"/>
              </w:tcPr>
              <w:p w14:paraId="4EE25A07" w14:textId="77777777" w:rsidR="002858B9" w:rsidRPr="00B15AFF" w:rsidRDefault="002858B9" w:rsidP="00F62C20">
                <w:pPr>
                  <w:jc w:val="center"/>
                </w:pPr>
                <w:r w:rsidRPr="00B15AFF">
                  <w:t>2022</w:t>
                </w:r>
              </w:p>
            </w:tc>
          </w:tr>
          <w:tr w:rsidR="002858B9" w:rsidRPr="00B15AFF" w14:paraId="52340BFC" w14:textId="77777777" w:rsidTr="00F62C20">
            <w:tc>
              <w:tcPr>
                <w:tcW w:w="4788" w:type="dxa"/>
              </w:tcPr>
              <w:p w14:paraId="30EF9F5A" w14:textId="77777777" w:rsidR="002858B9" w:rsidRPr="00B15AFF" w:rsidRDefault="002858B9" w:rsidP="00F62C20">
                <w:pPr>
                  <w:jc w:val="center"/>
                </w:pPr>
                <w:r w:rsidRPr="00B15AFF">
                  <w:t>£0.90</w:t>
                </w:r>
              </w:p>
            </w:tc>
            <w:tc>
              <w:tcPr>
                <w:tcW w:w="4788" w:type="dxa"/>
              </w:tcPr>
              <w:p w14:paraId="73C11AF5" w14:textId="77777777" w:rsidR="002858B9" w:rsidRPr="00B15AFF" w:rsidRDefault="002858B9" w:rsidP="00F62C20">
                <w:pPr>
                  <w:jc w:val="center"/>
                </w:pPr>
                <w:r w:rsidRPr="00B15AFF">
                  <w:t>£1.19</w:t>
                </w:r>
              </w:p>
            </w:tc>
          </w:tr>
        </w:tbl>
        <w:p w14:paraId="31BC9A70" w14:textId="77777777" w:rsidR="002858B9" w:rsidRPr="00B15AFF" w:rsidRDefault="002858B9" w:rsidP="002858B9"/>
        <w:p w14:paraId="2B7D9700" w14:textId="77777777" w:rsidR="002858B9" w:rsidRPr="00B15AFF" w:rsidRDefault="002858B9" w:rsidP="002858B9">
          <w:pPr>
            <w:rPr>
              <w:b/>
            </w:rPr>
          </w:pPr>
          <w:r w:rsidRPr="00B15AFF">
            <w:rPr>
              <w:b/>
            </w:rPr>
            <w:t>Dividend per Share (DPS)</w:t>
          </w:r>
        </w:p>
        <w:p w14:paraId="0C16AC73" w14:textId="77777777" w:rsidR="002858B9" w:rsidRPr="00B15AFF" w:rsidRDefault="002858B9" w:rsidP="002858B9">
          <w:r w:rsidRPr="00B15AFF">
            <w:t xml:space="preserve">Dividend per Share (DPS) = </w:t>
          </w:r>
          <m:oMath>
            <m:f>
              <m:fPr>
                <m:ctrlPr>
                  <w:rPr>
                    <w:rFonts w:ascii="Cambria Math" w:hAnsi="Cambria Math"/>
                    <w:i/>
                  </w:rPr>
                </m:ctrlPr>
              </m:fPr>
              <m:num>
                <m:r>
                  <w:rPr>
                    <w:rFonts w:ascii="Cambria Math" w:hAnsi="Cambria Math"/>
                  </w:rPr>
                  <m:t>Total Dividends</m:t>
                </m:r>
              </m:num>
              <m:den>
                <m:r>
                  <w:rPr>
                    <w:rFonts w:ascii="Cambria Math" w:hAnsi="Cambria Math"/>
                  </w:rPr>
                  <m:t>Number of shares</m:t>
                </m:r>
              </m:den>
            </m:f>
          </m:oMath>
        </w:p>
        <w:tbl>
          <w:tblPr>
            <w:tblStyle w:val="TableGrid"/>
            <w:tblW w:w="0" w:type="auto"/>
            <w:tblLook w:val="04A0" w:firstRow="1" w:lastRow="0" w:firstColumn="1" w:lastColumn="0" w:noHBand="0" w:noVBand="1"/>
          </w:tblPr>
          <w:tblGrid>
            <w:gridCol w:w="4621"/>
            <w:gridCol w:w="4621"/>
          </w:tblGrid>
          <w:tr w:rsidR="002858B9" w:rsidRPr="00B15AFF" w14:paraId="7FB8A516" w14:textId="77777777" w:rsidTr="00F62C20">
            <w:tc>
              <w:tcPr>
                <w:tcW w:w="4788" w:type="dxa"/>
              </w:tcPr>
              <w:p w14:paraId="5CE27C43" w14:textId="77777777" w:rsidR="002858B9" w:rsidRPr="00B15AFF" w:rsidRDefault="002858B9" w:rsidP="00F62C20">
                <w:pPr>
                  <w:jc w:val="center"/>
                </w:pPr>
                <w:r w:rsidRPr="00B15AFF">
                  <w:t>2023</w:t>
                </w:r>
              </w:p>
            </w:tc>
            <w:tc>
              <w:tcPr>
                <w:tcW w:w="4788" w:type="dxa"/>
              </w:tcPr>
              <w:p w14:paraId="77C5F0ED" w14:textId="77777777" w:rsidR="002858B9" w:rsidRPr="00B15AFF" w:rsidRDefault="002858B9" w:rsidP="00F62C20">
                <w:pPr>
                  <w:jc w:val="center"/>
                </w:pPr>
                <w:r w:rsidRPr="00B15AFF">
                  <w:t>2022</w:t>
                </w:r>
              </w:p>
            </w:tc>
          </w:tr>
          <w:tr w:rsidR="002858B9" w:rsidRPr="00B15AFF" w14:paraId="3B9B2FD0" w14:textId="77777777" w:rsidTr="00F62C20">
            <w:tc>
              <w:tcPr>
                <w:tcW w:w="4788" w:type="dxa"/>
              </w:tcPr>
              <w:p w14:paraId="69A239E5" w14:textId="77777777" w:rsidR="002858B9" w:rsidRPr="00B15AFF" w:rsidRDefault="002858B9" w:rsidP="00F62C20">
                <w:pPr>
                  <w:jc w:val="center"/>
                </w:pPr>
                <w:r w:rsidRPr="00B15AFF">
                  <w:t>£0.48</w:t>
                </w:r>
              </w:p>
            </w:tc>
            <w:tc>
              <w:tcPr>
                <w:tcW w:w="4788" w:type="dxa"/>
              </w:tcPr>
              <w:p w14:paraId="0F93FE9B" w14:textId="77777777" w:rsidR="002858B9" w:rsidRPr="00B15AFF" w:rsidRDefault="002858B9" w:rsidP="00F62C20">
                <w:pPr>
                  <w:jc w:val="center"/>
                </w:pPr>
                <w:r w:rsidRPr="00B15AFF">
                  <w:t>£0.45</w:t>
                </w:r>
              </w:p>
            </w:tc>
          </w:tr>
        </w:tbl>
        <w:p w14:paraId="4B861E8C" w14:textId="77777777" w:rsidR="002858B9" w:rsidRPr="00B15AFF" w:rsidRDefault="002858B9" w:rsidP="002858B9"/>
        <w:p w14:paraId="734EAE7B" w14:textId="77777777" w:rsidR="002858B9" w:rsidRPr="00B15AFF" w:rsidRDefault="002858B9" w:rsidP="002858B9">
          <w:pPr>
            <w:rPr>
              <w:b/>
            </w:rPr>
          </w:pPr>
          <w:r w:rsidRPr="00B15AFF">
            <w:rPr>
              <w:b/>
            </w:rPr>
            <w:t>Dividend Cover</w:t>
          </w:r>
        </w:p>
        <w:p w14:paraId="2C88ABC8" w14:textId="77777777" w:rsidR="002858B9" w:rsidRPr="00B15AFF" w:rsidRDefault="002858B9" w:rsidP="002858B9">
          <w:pPr>
            <w:rPr>
              <w:rFonts w:eastAsiaTheme="minorEastAsia"/>
            </w:rPr>
          </w:pPr>
          <w:r w:rsidRPr="00B15AFF">
            <w:t xml:space="preserve">Dividend Cover = </w:t>
          </w:r>
          <m:oMath>
            <m:f>
              <m:fPr>
                <m:ctrlPr>
                  <w:rPr>
                    <w:rFonts w:ascii="Cambria Math" w:hAnsi="Cambria Math"/>
                    <w:i/>
                  </w:rPr>
                </m:ctrlPr>
              </m:fPr>
              <m:num>
                <m:r>
                  <w:rPr>
                    <w:rFonts w:ascii="Cambria Math" w:hAnsi="Cambria Math"/>
                  </w:rPr>
                  <m:t>EPS</m:t>
                </m:r>
              </m:num>
              <m:den>
                <m:r>
                  <w:rPr>
                    <w:rFonts w:ascii="Cambria Math" w:hAnsi="Cambria Math"/>
                  </w:rPr>
                  <m:t>DPS</m:t>
                </m:r>
              </m:den>
            </m:f>
          </m:oMath>
        </w:p>
        <w:tbl>
          <w:tblPr>
            <w:tblStyle w:val="TableGrid"/>
            <w:tblW w:w="0" w:type="auto"/>
            <w:tblLook w:val="04A0" w:firstRow="1" w:lastRow="0" w:firstColumn="1" w:lastColumn="0" w:noHBand="0" w:noVBand="1"/>
          </w:tblPr>
          <w:tblGrid>
            <w:gridCol w:w="4621"/>
            <w:gridCol w:w="4621"/>
          </w:tblGrid>
          <w:tr w:rsidR="002858B9" w:rsidRPr="00B15AFF" w14:paraId="1E760895" w14:textId="77777777" w:rsidTr="00F62C20">
            <w:tc>
              <w:tcPr>
                <w:tcW w:w="4788" w:type="dxa"/>
              </w:tcPr>
              <w:p w14:paraId="1232DE51" w14:textId="77777777" w:rsidR="002858B9" w:rsidRPr="00B15AFF" w:rsidRDefault="002858B9" w:rsidP="00F62C20">
                <w:pPr>
                  <w:jc w:val="center"/>
                </w:pPr>
                <w:r w:rsidRPr="00B15AFF">
                  <w:t>2023</w:t>
                </w:r>
              </w:p>
            </w:tc>
            <w:tc>
              <w:tcPr>
                <w:tcW w:w="4788" w:type="dxa"/>
              </w:tcPr>
              <w:p w14:paraId="448787EB" w14:textId="77777777" w:rsidR="002858B9" w:rsidRPr="00B15AFF" w:rsidRDefault="002858B9" w:rsidP="00F62C20">
                <w:pPr>
                  <w:jc w:val="center"/>
                </w:pPr>
                <w:r w:rsidRPr="00B15AFF">
                  <w:t>2022</w:t>
                </w:r>
              </w:p>
            </w:tc>
          </w:tr>
          <w:tr w:rsidR="002858B9" w:rsidRPr="00B15AFF" w14:paraId="1CEDE388" w14:textId="77777777" w:rsidTr="00F62C20">
            <w:tc>
              <w:tcPr>
                <w:tcW w:w="4788" w:type="dxa"/>
              </w:tcPr>
              <w:p w14:paraId="3133F72C" w14:textId="77777777" w:rsidR="002858B9" w:rsidRPr="00B15AFF" w:rsidRDefault="002858B9" w:rsidP="00F62C20">
                <w:pPr>
                  <w:jc w:val="center"/>
                </w:pPr>
                <w:r w:rsidRPr="00B15AFF">
                  <w:t>1.88 times</w:t>
                </w:r>
              </w:p>
            </w:tc>
            <w:tc>
              <w:tcPr>
                <w:tcW w:w="4788" w:type="dxa"/>
              </w:tcPr>
              <w:p w14:paraId="319E31EB" w14:textId="77777777" w:rsidR="002858B9" w:rsidRPr="00B15AFF" w:rsidRDefault="002858B9" w:rsidP="00F62C20">
                <w:pPr>
                  <w:jc w:val="center"/>
                </w:pPr>
                <w:r w:rsidRPr="00B15AFF">
                  <w:t>2.64 times</w:t>
                </w:r>
              </w:p>
            </w:tc>
          </w:tr>
        </w:tbl>
        <w:p w14:paraId="6D3EA61B" w14:textId="77777777" w:rsidR="002858B9" w:rsidRPr="00B15AFF" w:rsidRDefault="002858B9" w:rsidP="002858B9"/>
        <w:p w14:paraId="17774183" w14:textId="77777777" w:rsidR="002858B9" w:rsidRPr="00B15AFF" w:rsidRDefault="002858B9" w:rsidP="002858B9">
          <w:pPr>
            <w:rPr>
              <w:b/>
            </w:rPr>
          </w:pPr>
          <w:r w:rsidRPr="00B15AFF">
            <w:rPr>
              <w:b/>
            </w:rPr>
            <w:t>Evaluation</w:t>
          </w:r>
        </w:p>
        <w:p w14:paraId="5519010D" w14:textId="77777777" w:rsidR="002858B9" w:rsidRPr="005B7C5D" w:rsidRDefault="002858B9" w:rsidP="002858B9">
          <w:pPr>
            <w:rPr>
              <w:rFonts w:eastAsia="Times New Roman" w:cs="Times New Roman"/>
              <w:szCs w:val="24"/>
              <w:lang w:val="en-US"/>
            </w:rPr>
          </w:pPr>
          <w:r w:rsidRPr="00B15AFF">
            <w:t>The investor ratio of BP shows a decrease in earnings performance in 2023, as it is observed in terms of the drop in EPS. This decrease is mostly as a result of decreasing oil and gas prices and increasing costs in operation and transition</w:t>
          </w:r>
          <w:r>
            <w:t xml:space="preserve"> (</w:t>
          </w:r>
          <w:proofErr w:type="spellStart"/>
          <w:r>
            <w:rPr>
              <w:rFonts w:eastAsia="Times New Roman" w:cs="Times New Roman"/>
              <w:szCs w:val="24"/>
              <w:lang w:val="en-US"/>
            </w:rPr>
            <w:t>Zhai</w:t>
          </w:r>
          <w:proofErr w:type="spellEnd"/>
          <w:r>
            <w:rPr>
              <w:rFonts w:eastAsia="Times New Roman" w:cs="Times New Roman"/>
              <w:szCs w:val="24"/>
              <w:lang w:val="en-US"/>
            </w:rPr>
            <w:t>, 2021)</w:t>
          </w:r>
          <w:r w:rsidRPr="00B15AFF">
            <w:t>. Reduced EPS can adversely</w:t>
          </w:r>
          <w:r>
            <w:t xml:space="preserve"> </w:t>
          </w:r>
          <w:r w:rsidRPr="008E615E">
            <w:t>impact</w:t>
          </w:r>
          <w:r w:rsidRPr="00B15AFF">
            <w:t xml:space="preserve"> investor confidence, especially </w:t>
          </w:r>
          <w:r>
            <w:t>among growth-</w:t>
          </w:r>
          <w:r w:rsidRPr="00B15AFF">
            <w:t xml:space="preserve">oriented shareholders. BP also paid more dividends per share even though its revenues had dropped, which indicated that the management was willing to pay shareholders. Although this fits income-oriented investors, it led to a reduced percentage of dividend cover. The negative trend in the dividend cover shows that the company is distributing a higher share of its earnings and not retaining </w:t>
          </w:r>
          <w:r>
            <w:t>them</w:t>
          </w:r>
          <w:r w:rsidRPr="00B15AFF">
            <w:t xml:space="preserve">. Even though the level of dividend cover is above that of acceptable levels, the volume of dividend growth in the face of decreasing earnings cannot be sustained in the long </w:t>
          </w:r>
          <w:r w:rsidRPr="00CE114C">
            <w:t>run (</w:t>
          </w:r>
          <w:proofErr w:type="spellStart"/>
          <w:r w:rsidRPr="00CE114C">
            <w:t>Giri</w:t>
          </w:r>
          <w:proofErr w:type="spellEnd"/>
          <w:r w:rsidRPr="00CE114C">
            <w:t xml:space="preserve"> et al., 2024).</w:t>
          </w:r>
          <w:r w:rsidRPr="00B15AFF">
            <w:t xml:space="preserve"> BP needs to strike a balance between shareholder </w:t>
          </w:r>
          <w:proofErr w:type="spellStart"/>
          <w:r>
            <w:t>pay</w:t>
          </w:r>
          <w:r w:rsidRPr="00B15AFF">
            <w:t>outs</w:t>
          </w:r>
          <w:proofErr w:type="spellEnd"/>
          <w:r w:rsidRPr="00B15AFF">
            <w:t xml:space="preserve"> and the requirement to have adequate funds to fund its energy transition plan and be financially resilient. All in all</w:t>
          </w:r>
          <w:r>
            <w:t xml:space="preserve">, investor returns are enticing, </w:t>
          </w:r>
          <w:r w:rsidRPr="00B15AFF">
            <w:t>but they are progressively conditioned on capital management discipline</w:t>
          </w:r>
          <w:r>
            <w:t>.</w:t>
          </w:r>
        </w:p>
        <w:p w14:paraId="3B4A2DFC" w14:textId="77777777" w:rsidR="002858B9" w:rsidRPr="00B15AFF" w:rsidRDefault="002858B9" w:rsidP="002858B9">
          <w:pPr>
            <w:pStyle w:val="Heading3"/>
          </w:pPr>
          <w:bookmarkStart w:id="5" w:name="_Toc219124108"/>
          <w:r w:rsidRPr="00B15AFF">
            <w:lastRenderedPageBreak/>
            <w:t>Limitations</w:t>
          </w:r>
          <w:bookmarkEnd w:id="5"/>
        </w:p>
        <w:p w14:paraId="27D2E35B" w14:textId="77777777" w:rsidR="002858B9" w:rsidRPr="00B15AFF" w:rsidRDefault="002858B9" w:rsidP="002858B9">
          <w:r w:rsidRPr="00B15AFF">
            <w:t>Some limitations of the ration</w:t>
          </w:r>
          <w:r>
            <w:t>ale</w:t>
          </w:r>
          <w:r w:rsidRPr="00B15AFF">
            <w:t>s are presented below:</w:t>
          </w:r>
        </w:p>
        <w:p w14:paraId="6068E67C" w14:textId="77777777" w:rsidR="002858B9" w:rsidRPr="00B15AFF" w:rsidRDefault="002858B9" w:rsidP="002858B9">
          <w:pPr>
            <w:rPr>
              <w:b/>
            </w:rPr>
          </w:pPr>
          <w:r w:rsidRPr="00B15AFF">
            <w:rPr>
              <w:b/>
            </w:rPr>
            <w:t>Historical Character of Financial Information</w:t>
          </w:r>
        </w:p>
        <w:p w14:paraId="335F0761" w14:textId="77777777" w:rsidR="002858B9" w:rsidRPr="00B15AFF" w:rsidRDefault="002858B9" w:rsidP="002858B9">
          <w:r w:rsidRPr="00B15AFF">
            <w:t>The main weakness of ratio analysis is that it completely relies on previous financial data. The ratios that are computed on BP PLC are based on th</w:t>
          </w:r>
          <w:r>
            <w:t xml:space="preserve">e previous financial statements, </w:t>
          </w:r>
          <w:r w:rsidRPr="00B15AFF">
            <w:t xml:space="preserve">and these are based on past performance that might not necessarily be </w:t>
          </w:r>
          <w:proofErr w:type="gramStart"/>
          <w:r w:rsidRPr="00B15AFF">
            <w:t>existing</w:t>
          </w:r>
          <w:proofErr w:type="gramEnd"/>
          <w:r w:rsidRPr="00B15AFF">
            <w:t>. The energy industry is very volatile and sensitive to fluctuations in oil and gas prices, geopolitical factors, regulatory factors and technological changes. This means that previous performance cannot be an accurate predictor of the future</w:t>
          </w:r>
          <w:r>
            <w:t xml:space="preserve"> (</w:t>
          </w:r>
          <w:r>
            <w:rPr>
              <w:rFonts w:eastAsia="Times New Roman" w:cs="Times New Roman"/>
              <w:szCs w:val="24"/>
              <w:lang w:val="en-US"/>
            </w:rPr>
            <w:t>Medina-</w:t>
          </w:r>
          <w:proofErr w:type="spellStart"/>
          <w:r>
            <w:rPr>
              <w:rFonts w:eastAsia="Times New Roman" w:cs="Times New Roman"/>
              <w:szCs w:val="24"/>
              <w:lang w:val="en-US"/>
            </w:rPr>
            <w:t>Albaladejo</w:t>
          </w:r>
          <w:proofErr w:type="spellEnd"/>
          <w:r>
            <w:rPr>
              <w:rFonts w:eastAsia="Times New Roman" w:cs="Times New Roman"/>
              <w:szCs w:val="24"/>
              <w:lang w:val="en-US"/>
            </w:rPr>
            <w:t xml:space="preserve">, </w:t>
          </w:r>
          <w:r w:rsidRPr="005B7C5D">
            <w:rPr>
              <w:rFonts w:eastAsia="Times New Roman" w:cs="Times New Roman"/>
              <w:szCs w:val="24"/>
              <w:lang w:val="en-US"/>
            </w:rPr>
            <w:t>2025)</w:t>
          </w:r>
          <w:r>
            <w:t>. I</w:t>
          </w:r>
          <w:r w:rsidRPr="00B15AFF">
            <w:t xml:space="preserve">n the case of BP, the energy transition policies, carbon pricing, and the demand </w:t>
          </w:r>
          <w:r>
            <w:t>for</w:t>
          </w:r>
          <w:r w:rsidRPr="00B15AFF">
            <w:t xml:space="preserve"> fossil fuels all over the world will have a great impact on future profitability and liquidity, which cannot be well portrayed using the historical ratios alone. Consequently, the forward-looking forecasts and strategic analysis should be added to the ratio analysis.</w:t>
          </w:r>
        </w:p>
        <w:p w14:paraId="5FAAD008" w14:textId="77777777" w:rsidR="002858B9" w:rsidRPr="00B15AFF" w:rsidRDefault="002858B9" w:rsidP="002858B9">
          <w:pPr>
            <w:rPr>
              <w:b/>
            </w:rPr>
          </w:pPr>
          <w:r w:rsidRPr="00B15AFF">
            <w:rPr>
              <w:b/>
            </w:rPr>
            <w:t>Effects of Oil Price Volatility and Special Items</w:t>
          </w:r>
        </w:p>
        <w:p w14:paraId="36FB9ACC" w14:textId="77777777" w:rsidR="002858B9" w:rsidRPr="00B15AFF" w:rsidRDefault="002858B9" w:rsidP="002858B9">
          <w:r w:rsidRPr="00B15AFF">
            <w:t>The changes in global oil and gas prices have a great impact on the financial performance of BP. Alterations in the prices of commodities may misrepresent the c</w:t>
          </w:r>
          <w:r>
            <w:t xml:space="preserve">omparison between annual ratios, </w:t>
          </w:r>
          <w:r w:rsidRPr="00B15AFF">
            <w:t>and it may be hard to determine the actual performance of operations. As an illustration, the increase in ratios of profitability in a given year may be an indication of favourable oil prices instead of efficiency or management performance</w:t>
          </w:r>
          <w:r>
            <w:t xml:space="preserve"> (</w:t>
          </w:r>
          <w:proofErr w:type="spellStart"/>
          <w:r>
            <w:rPr>
              <w:rFonts w:eastAsia="Times New Roman" w:cs="Times New Roman"/>
              <w:szCs w:val="24"/>
              <w:lang w:val="en-US"/>
            </w:rPr>
            <w:t>Matdio</w:t>
          </w:r>
          <w:proofErr w:type="spellEnd"/>
          <w:r>
            <w:rPr>
              <w:rFonts w:eastAsia="Times New Roman" w:cs="Times New Roman"/>
              <w:szCs w:val="24"/>
              <w:lang w:val="en-US"/>
            </w:rPr>
            <w:t xml:space="preserve"> </w:t>
          </w:r>
          <w:proofErr w:type="spellStart"/>
          <w:r>
            <w:rPr>
              <w:rFonts w:eastAsia="Times New Roman" w:cs="Times New Roman"/>
              <w:szCs w:val="24"/>
              <w:lang w:val="en-US"/>
            </w:rPr>
            <w:t>Siahaan</w:t>
          </w:r>
          <w:proofErr w:type="spellEnd"/>
          <w:r>
            <w:rPr>
              <w:rFonts w:eastAsia="Times New Roman" w:cs="Times New Roman"/>
              <w:szCs w:val="24"/>
              <w:lang w:val="en-US"/>
            </w:rPr>
            <w:t xml:space="preserve"> et al., </w:t>
          </w:r>
          <w:r w:rsidRPr="00CE114C">
            <w:rPr>
              <w:rFonts w:eastAsia="Times New Roman" w:cs="Times New Roman"/>
              <w:szCs w:val="24"/>
              <w:lang w:val="en-US"/>
            </w:rPr>
            <w:t>2023)</w:t>
          </w:r>
          <w:r w:rsidRPr="00B15AFF">
            <w:t>. Also, BP tend</w:t>
          </w:r>
          <w:r>
            <w:t xml:space="preserve">s to disclose exceptional items, </w:t>
          </w:r>
          <w:r w:rsidRPr="00B15AFF">
            <w:t xml:space="preserve">which include asset impairments, restructuring expenses, and asset disposal gains or losses. They can be used </w:t>
          </w:r>
          <w:r>
            <w:t>materially</w:t>
          </w:r>
          <w:r w:rsidRPr="00B15AFF">
            <w:t xml:space="preserve"> to influence profits and </w:t>
          </w:r>
          <w:proofErr w:type="gramStart"/>
          <w:r>
            <w:t>capital employed, and hence distort</w:t>
          </w:r>
          <w:proofErr w:type="gramEnd"/>
          <w:r>
            <w:t xml:space="preserve"> </w:t>
          </w:r>
          <w:r w:rsidRPr="00B15AFF">
            <w:t>ratios including ROCE and net profit margin. Consequently, ratios might not be capable of reflecting the overall operating performance of the firm.</w:t>
          </w:r>
        </w:p>
        <w:p w14:paraId="6D6E606B" w14:textId="77777777" w:rsidR="002858B9" w:rsidRPr="00B15AFF" w:rsidRDefault="002858B9" w:rsidP="002858B9">
          <w:pPr>
            <w:rPr>
              <w:b/>
            </w:rPr>
          </w:pPr>
          <w:r w:rsidRPr="00B15AFF">
            <w:rPr>
              <w:b/>
            </w:rPr>
            <w:t>Policies</w:t>
          </w:r>
          <w:r>
            <w:rPr>
              <w:b/>
            </w:rPr>
            <w:t>,</w:t>
          </w:r>
          <w:r w:rsidRPr="00B15AFF">
            <w:rPr>
              <w:b/>
            </w:rPr>
            <w:t xml:space="preserve"> Accounting and Management Judgement</w:t>
          </w:r>
        </w:p>
        <w:p w14:paraId="3E75E0AF" w14:textId="77777777" w:rsidR="002858B9" w:rsidRPr="00B15AFF" w:rsidRDefault="002858B9" w:rsidP="002858B9">
          <w:r w:rsidRPr="00B15AFF">
            <w:t xml:space="preserve">Accounting policies and estimates used by the management affect the financial ratios. The results of BP are also based on assumptions regarding </w:t>
          </w:r>
          <w:r>
            <w:t xml:space="preserve">the </w:t>
          </w:r>
          <w:r w:rsidRPr="00B15AFF">
            <w:t xml:space="preserve">value of assets, depreciation of assets, decommissioning, and impairment testing- especially in the oil and gas industry. Minor adjustments </w:t>
          </w:r>
          <w:r>
            <w:t>to</w:t>
          </w:r>
          <w:r w:rsidRPr="00B15AFF">
            <w:t xml:space="preserve"> these estimates can cause significant difference</w:t>
          </w:r>
          <w:r>
            <w:t>s in reported profits and asset</w:t>
          </w:r>
          <w:r w:rsidRPr="00B15AFF">
            <w:t xml:space="preserve"> values, which subsequently influence ratios</w:t>
          </w:r>
          <w:r>
            <w:t xml:space="preserve"> (</w:t>
          </w:r>
          <w:r>
            <w:rPr>
              <w:rFonts w:eastAsia="Times New Roman" w:cs="Times New Roman"/>
              <w:szCs w:val="24"/>
              <w:lang w:val="en-US"/>
            </w:rPr>
            <w:t xml:space="preserve">Jung et al., </w:t>
          </w:r>
          <w:r w:rsidRPr="00CE114C">
            <w:rPr>
              <w:rFonts w:eastAsia="Times New Roman" w:cs="Times New Roman"/>
              <w:szCs w:val="24"/>
              <w:lang w:val="en-US"/>
            </w:rPr>
            <w:t>2022)</w:t>
          </w:r>
          <w:r>
            <w:t>. Although</w:t>
          </w:r>
          <w:r w:rsidRPr="00B15AFF">
            <w:t xml:space="preserve"> BP uses the </w:t>
          </w:r>
          <w:r w:rsidRPr="00B15AFF">
            <w:lastRenderedPageBreak/>
            <w:t xml:space="preserve">same standards of accounting, </w:t>
          </w:r>
          <w:r>
            <w:t xml:space="preserve">the </w:t>
          </w:r>
          <w:r w:rsidRPr="00B15AFF">
            <w:t xml:space="preserve">objectivity and comparability of ratio analysis </w:t>
          </w:r>
          <w:r>
            <w:t>are</w:t>
          </w:r>
          <w:r w:rsidRPr="00B15AFF">
            <w:t xml:space="preserve"> low because of the subjectivity inherent in the application of accounting standards.</w:t>
          </w:r>
        </w:p>
        <w:p w14:paraId="4B395E22" w14:textId="77777777" w:rsidR="002858B9" w:rsidRPr="00B15AFF" w:rsidRDefault="002858B9" w:rsidP="002858B9">
          <w:pPr>
            <w:rPr>
              <w:b/>
            </w:rPr>
          </w:pPr>
          <w:r w:rsidRPr="00B15AFF">
            <w:rPr>
              <w:b/>
            </w:rPr>
            <w:t>Measures of Comparability and Inflation</w:t>
          </w:r>
        </w:p>
        <w:p w14:paraId="72DD1FE8" w14:textId="42860522" w:rsidR="002858B9" w:rsidRPr="00B15AFF" w:rsidRDefault="002858B9" w:rsidP="002858B9">
          <w:r w:rsidRPr="00B15AFF">
            <w:t xml:space="preserve">Inflation also restricts the </w:t>
          </w:r>
          <w:r>
            <w:t xml:space="preserve">applicability of ratio analysis, </w:t>
          </w:r>
          <w:r w:rsidRPr="00B15AFF">
            <w:t xml:space="preserve">particularly when one is trying to compare </w:t>
          </w:r>
          <w:r>
            <w:t xml:space="preserve">the </w:t>
          </w:r>
          <w:r w:rsidRPr="00B15AFF">
            <w:t xml:space="preserve">financial performance of various </w:t>
          </w:r>
          <w:r>
            <w:t>periods</w:t>
          </w:r>
          <w:r w:rsidRPr="00B15AFF">
            <w:t xml:space="preserve">. </w:t>
          </w:r>
          <w:r w:rsidR="00F62C20">
            <w:t>Increment</w:t>
          </w:r>
          <w:r w:rsidRPr="00B15AFF">
            <w:t xml:space="preserve"> </w:t>
          </w:r>
          <w:r>
            <w:t>in</w:t>
          </w:r>
          <w:r w:rsidRPr="00B15AFF">
            <w:t xml:space="preserve"> the cost of materials, labour and energy may swell revenues and expenditures unevenly, perverting the margins and returns. Historical cost reporting of assets can greatly undervalue the c</w:t>
          </w:r>
          <w:r>
            <w:t xml:space="preserve">urrent economic value of assets, </w:t>
          </w:r>
          <w:r w:rsidRPr="00B15AFF">
            <w:t xml:space="preserve">resulting in misleading ROCE calculations. Ratio </w:t>
          </w:r>
          <w:r>
            <w:t>analysis can hence over</w:t>
          </w:r>
          <w:r w:rsidRPr="00B15AFF">
            <w:t xml:space="preserve">state or </w:t>
          </w:r>
          <w:r>
            <w:t>underestimate</w:t>
          </w:r>
          <w:r w:rsidRPr="00B15AFF">
            <w:t xml:space="preserve"> improvements in real performance in</w:t>
          </w:r>
          <w:r>
            <w:t xml:space="preserve"> times of high inflation levels, </w:t>
          </w:r>
          <w:r w:rsidRPr="00B15AFF">
            <w:t>as is the case in recent years.</w:t>
          </w:r>
        </w:p>
        <w:p w14:paraId="281DF427" w14:textId="77777777" w:rsidR="002858B9" w:rsidRPr="00B15AFF" w:rsidRDefault="002858B9" w:rsidP="002858B9">
          <w:pPr>
            <w:rPr>
              <w:b/>
            </w:rPr>
          </w:pPr>
          <w:r w:rsidRPr="00B15AFF">
            <w:rPr>
              <w:b/>
            </w:rPr>
            <w:t>Omission of Qualitative and Strategic Factors</w:t>
          </w:r>
        </w:p>
        <w:p w14:paraId="202C5329" w14:textId="77777777" w:rsidR="002858B9" w:rsidRPr="00B15AFF" w:rsidRDefault="002858B9" w:rsidP="002858B9">
          <w:r w:rsidRPr="00B15AFF">
            <w:t xml:space="preserve">Lastly, ratio analysis does not consider the qualitative aspects that are paramount to the success of BP in the </w:t>
          </w:r>
          <w:r>
            <w:t>long term since it solely analys</w:t>
          </w:r>
          <w:r w:rsidRPr="00B15AFF">
            <w:t>es quantitative financial data. Financial ratios do not reflect such elements as the quality of management, technological potential, environmental performance, adherence to regulations, and the achievement of net-zero goals</w:t>
          </w:r>
          <w:r>
            <w:t xml:space="preserve"> (</w:t>
          </w:r>
          <w:proofErr w:type="spellStart"/>
          <w:r w:rsidRPr="00CE114C">
            <w:rPr>
              <w:rFonts w:eastAsia="Times New Roman" w:cs="Times New Roman"/>
              <w:szCs w:val="24"/>
              <w:lang w:val="en-US"/>
            </w:rPr>
            <w:t>Pahrudin</w:t>
          </w:r>
          <w:proofErr w:type="spellEnd"/>
          <w:r>
            <w:rPr>
              <w:rFonts w:eastAsia="Times New Roman" w:cs="Times New Roman"/>
              <w:szCs w:val="24"/>
              <w:lang w:val="en-US"/>
            </w:rPr>
            <w:t xml:space="preserve"> </w:t>
          </w:r>
          <w:r w:rsidRPr="00CE114C">
            <w:rPr>
              <w:rFonts w:eastAsia="Times New Roman" w:cs="Times New Roman"/>
              <w:szCs w:val="24"/>
              <w:lang w:val="en-US"/>
            </w:rPr>
            <w:t xml:space="preserve">and </w:t>
          </w:r>
          <w:proofErr w:type="spellStart"/>
          <w:r w:rsidRPr="00CE114C">
            <w:rPr>
              <w:rFonts w:eastAsia="Times New Roman" w:cs="Times New Roman"/>
              <w:szCs w:val="24"/>
              <w:lang w:val="en-US"/>
            </w:rPr>
            <w:t>Suciati</w:t>
          </w:r>
          <w:proofErr w:type="spellEnd"/>
          <w:r>
            <w:rPr>
              <w:rFonts w:eastAsia="Times New Roman" w:cs="Times New Roman"/>
              <w:szCs w:val="24"/>
              <w:lang w:val="en-US"/>
            </w:rPr>
            <w:t xml:space="preserve"> </w:t>
          </w:r>
          <w:r w:rsidRPr="00CE114C">
            <w:rPr>
              <w:rFonts w:eastAsia="Times New Roman" w:cs="Times New Roman"/>
              <w:szCs w:val="24"/>
              <w:lang w:val="en-US"/>
            </w:rPr>
            <w:t>2024)</w:t>
          </w:r>
          <w:r w:rsidRPr="00B15AFF">
            <w:t>. These non-financial aspects are also significant because of the strategic move by BP towards renewable energy and sustainability, as it determines the future performance. Ratio analysis is therefore not to be employed as a foundation on which strategic decision</w:t>
          </w:r>
          <w:r>
            <w:t>s</w:t>
          </w:r>
          <w:r w:rsidRPr="00B15AFF">
            <w:t xml:space="preserve"> </w:t>
          </w:r>
          <w:r>
            <w:t>are</w:t>
          </w:r>
          <w:r w:rsidRPr="00B15AFF">
            <w:t xml:space="preserve"> to be made.</w:t>
          </w:r>
        </w:p>
        <w:p w14:paraId="5F7F2150" w14:textId="77777777" w:rsidR="002858B9" w:rsidRPr="00B15AFF" w:rsidRDefault="002858B9" w:rsidP="002858B9">
          <w:pPr>
            <w:pStyle w:val="Heading3"/>
          </w:pPr>
          <w:bookmarkStart w:id="6" w:name="_Toc219124109"/>
          <w:r w:rsidRPr="00B15AFF">
            <w:t>Recommendations</w:t>
          </w:r>
          <w:bookmarkEnd w:id="6"/>
        </w:p>
        <w:p w14:paraId="2B2DD69A" w14:textId="77777777" w:rsidR="002858B9" w:rsidRPr="00B15AFF" w:rsidRDefault="002858B9" w:rsidP="002858B9">
          <w:r w:rsidRPr="00B15AFF">
            <w:t>Some recommendations for BP are as follows:</w:t>
          </w:r>
        </w:p>
        <w:p w14:paraId="188E91F0" w14:textId="77777777" w:rsidR="002858B9" w:rsidRPr="00B15AFF" w:rsidRDefault="002858B9" w:rsidP="002858B9">
          <w:pPr>
            <w:rPr>
              <w:b/>
            </w:rPr>
          </w:pPr>
          <w:r w:rsidRPr="00B15AFF">
            <w:rPr>
              <w:b/>
            </w:rPr>
            <w:t>Enhance Profitability by Cost Discipline and Portfolio Optimisation</w:t>
          </w:r>
        </w:p>
        <w:p w14:paraId="30815C4F" w14:textId="77777777" w:rsidR="002858B9" w:rsidRPr="00B15AFF" w:rsidRDefault="002858B9" w:rsidP="002858B9">
          <w:r w:rsidRPr="00B15AFF">
            <w:t>To stabilise profitability in an unstable energy market, BP should still focus on high cost control and optimisation of its portfolio. The negative movement of net profit margin and ROCE suggest</w:t>
          </w:r>
          <w:r>
            <w:t>s</w:t>
          </w:r>
          <w:r w:rsidRPr="00B15AFF">
            <w:t xml:space="preserve"> an upward pressure on returns, partially because of decreasing commodity prices and an increased cost of transition</w:t>
          </w:r>
          <w:r>
            <w:t xml:space="preserve"> (</w:t>
          </w:r>
          <w:r>
            <w:rPr>
              <w:rFonts w:eastAsia="Times New Roman" w:cs="Times New Roman"/>
              <w:szCs w:val="24"/>
              <w:lang w:val="en-US"/>
            </w:rPr>
            <w:t xml:space="preserve">Jiang, </w:t>
          </w:r>
          <w:r w:rsidRPr="00CE114C">
            <w:rPr>
              <w:rFonts w:eastAsia="Times New Roman" w:cs="Times New Roman"/>
              <w:szCs w:val="24"/>
              <w:lang w:val="en-US"/>
            </w:rPr>
            <w:t>2022)</w:t>
          </w:r>
          <w:r w:rsidRPr="00B15AFF">
            <w:t>. BP ought to concentrate on selling low-paying or high-priced upstream assets and reinvest capital in ventures with better margins and lessen breakeven expenditures. Simultaneously, the operational efficiency effor</w:t>
          </w:r>
          <w:r>
            <w:t>ts should be extended to minimis</w:t>
          </w:r>
          <w:r w:rsidRPr="00B15AFF">
            <w:t>e the unit production costs by enhancing digitalisation, automation, and better maintenance planning. This will assist in hedging the margins in the ev</w:t>
          </w:r>
          <w:r>
            <w:t xml:space="preserve">ent of lower oil and gas prices, </w:t>
          </w:r>
          <w:r w:rsidRPr="00B15AFF">
            <w:t>as well as be more capital efficient.</w:t>
          </w:r>
        </w:p>
        <w:p w14:paraId="6DBF1E69" w14:textId="77777777" w:rsidR="002858B9" w:rsidRPr="00B15AFF" w:rsidRDefault="002858B9" w:rsidP="002858B9">
          <w:pPr>
            <w:rPr>
              <w:b/>
            </w:rPr>
          </w:pPr>
          <w:r w:rsidRPr="00B15AFF">
            <w:rPr>
              <w:b/>
            </w:rPr>
            <w:lastRenderedPageBreak/>
            <w:t>Enhance Current Assets Utilisation</w:t>
          </w:r>
        </w:p>
        <w:p w14:paraId="57FE8892" w14:textId="77777777" w:rsidR="002858B9" w:rsidRPr="00B15AFF" w:rsidRDefault="002858B9" w:rsidP="002858B9">
          <w:r w:rsidRPr="00B15AFF">
            <w:t xml:space="preserve">The decline in the efficiency ratios indicates that BP should improve its working capital management. The days of inventory and receivables rose dramatically and </w:t>
          </w:r>
          <w:r>
            <w:t>which</w:t>
          </w:r>
          <w:r w:rsidRPr="00B15AFF">
            <w:t xml:space="preserve"> undermines cash flow and exposes the entity to price volatility. To improve excessive stockholding, BP needs to invest in superior demand forecasting, </w:t>
          </w:r>
          <w:r>
            <w:t xml:space="preserve">an </w:t>
          </w:r>
          <w:r w:rsidRPr="00B15AFF">
            <w:t>inventory optimisation system, and in real-time supply chain analytics</w:t>
          </w:r>
          <w:r>
            <w:t xml:space="preserve"> (</w:t>
          </w:r>
          <w:r>
            <w:rPr>
              <w:rFonts w:eastAsia="Times New Roman" w:cs="Times New Roman"/>
              <w:szCs w:val="24"/>
              <w:lang w:val="en-US"/>
            </w:rPr>
            <w:t>Abdullah et al., 2023)</w:t>
          </w:r>
          <w:r w:rsidRPr="00B15AFF">
            <w:t xml:space="preserve">. Moreover, the policy of tight credit control, as well as better billing and collection practices, must be introduced to reduce the receivable cycles, especially </w:t>
          </w:r>
          <w:r>
            <w:t xml:space="preserve">for </w:t>
          </w:r>
          <w:r w:rsidRPr="00B15AFF">
            <w:t>the large-scale commercial clients. Enhancing the efficiency of the cash conversion will increase liquidity without requiring any extra funding.</w:t>
          </w:r>
        </w:p>
        <w:p w14:paraId="5ACA2E91" w14:textId="77777777" w:rsidR="002858B9" w:rsidRPr="00B15AFF" w:rsidRDefault="002858B9" w:rsidP="002858B9">
          <w:pPr>
            <w:rPr>
              <w:b/>
            </w:rPr>
          </w:pPr>
          <w:r w:rsidRPr="00B15AFF">
            <w:rPr>
              <w:b/>
            </w:rPr>
            <w:t>Maintain a Prudent but Flexible Liquidity Position</w:t>
          </w:r>
        </w:p>
        <w:p w14:paraId="19694F3D" w14:textId="77777777" w:rsidR="002858B9" w:rsidRPr="00B15AFF" w:rsidRDefault="002858B9" w:rsidP="002858B9">
          <w:r w:rsidRPr="00B15AFF">
            <w:t>Although BP’s liquidity ratios remain acceptable for a large energy multinational, the slight decline in both the current and quick ratios highlights the need for careful liquidity management</w:t>
          </w:r>
          <w:r>
            <w:t xml:space="preserve"> (</w:t>
          </w:r>
          <w:r w:rsidRPr="00CE114C">
            <w:rPr>
              <w:rFonts w:eastAsia="Times New Roman" w:cs="Times New Roman"/>
              <w:szCs w:val="24"/>
              <w:lang w:val="en-US"/>
            </w:rPr>
            <w:t>H</w:t>
          </w:r>
          <w:r>
            <w:rPr>
              <w:rFonts w:eastAsia="Times New Roman" w:cs="Times New Roman"/>
              <w:szCs w:val="24"/>
              <w:lang w:val="en-US"/>
            </w:rPr>
            <w:t xml:space="preserve">an et al., </w:t>
          </w:r>
          <w:r w:rsidRPr="00CE114C">
            <w:rPr>
              <w:rFonts w:eastAsia="Times New Roman" w:cs="Times New Roman"/>
              <w:szCs w:val="24"/>
              <w:lang w:val="en-US"/>
            </w:rPr>
            <w:t>2021)</w:t>
          </w:r>
          <w:r w:rsidRPr="00B15AFF">
            <w:t xml:space="preserve">. BP should maintain sufficient cash reserves and committed credit facilities to withstand short-term shocks such as sharp oil price declines, geopolitical disruptions, or unexpected capital expenditure. At the same time, excessive cash hoarding should be avoided, as idle cash reduces overall returns. A balanced liquidity strategy will preserve financial flexibility while supporting </w:t>
          </w:r>
          <w:proofErr w:type="spellStart"/>
          <w:r>
            <w:t>on</w:t>
          </w:r>
          <w:r w:rsidRPr="00B15AFF">
            <w:t>going</w:t>
          </w:r>
          <w:proofErr w:type="spellEnd"/>
          <w:r w:rsidRPr="00B15AFF">
            <w:t xml:space="preserve"> investment in transition projects.</w:t>
          </w:r>
        </w:p>
        <w:p w14:paraId="78119379" w14:textId="77777777" w:rsidR="002858B9" w:rsidRPr="00B15AFF" w:rsidRDefault="002858B9" w:rsidP="002858B9">
          <w:pPr>
            <w:rPr>
              <w:b/>
            </w:rPr>
          </w:pPr>
          <w:r w:rsidRPr="00B15AFF">
            <w:rPr>
              <w:b/>
            </w:rPr>
            <w:t>Maintain a Healthy Capital Structure</w:t>
          </w:r>
        </w:p>
        <w:p w14:paraId="555391A0" w14:textId="77777777" w:rsidR="002858B9" w:rsidRPr="00B15AFF" w:rsidRDefault="002858B9" w:rsidP="002858B9">
          <w:r w:rsidRPr="00B15AFF">
            <w:t>The elevated gearing status of BP is an indication of low financial risk and a solid balance sheet. This is a wise practice that needs to be supported, part</w:t>
          </w:r>
          <w:r>
            <w:t>icularly in a market characteris</w:t>
          </w:r>
          <w:r w:rsidRPr="00B15AFF">
            <w:t xml:space="preserve">ed by high-interest rates. Nonetheless, BP should ensure it does not use </w:t>
          </w:r>
          <w:r>
            <w:t>debt financing where it is cost-</w:t>
          </w:r>
          <w:r w:rsidRPr="00B15AFF">
            <w:t>effective</w:t>
          </w:r>
          <w:r>
            <w:t xml:space="preserve"> (</w:t>
          </w:r>
          <w:proofErr w:type="spellStart"/>
          <w:r>
            <w:rPr>
              <w:rFonts w:eastAsia="Times New Roman" w:cs="Times New Roman"/>
              <w:szCs w:val="24"/>
              <w:lang w:val="en-US"/>
            </w:rPr>
            <w:t>Malandrakis</w:t>
          </w:r>
          <w:proofErr w:type="spellEnd"/>
          <w:r>
            <w:rPr>
              <w:rFonts w:eastAsia="Times New Roman" w:cs="Times New Roman"/>
              <w:szCs w:val="24"/>
              <w:lang w:val="en-US"/>
            </w:rPr>
            <w:t xml:space="preserve">, and </w:t>
          </w:r>
          <w:proofErr w:type="spellStart"/>
          <w:r>
            <w:rPr>
              <w:rFonts w:eastAsia="Times New Roman" w:cs="Times New Roman"/>
              <w:szCs w:val="24"/>
              <w:lang w:val="en-US"/>
            </w:rPr>
            <w:t>Drakos</w:t>
          </w:r>
          <w:proofErr w:type="spellEnd"/>
          <w:r>
            <w:rPr>
              <w:rFonts w:eastAsia="Times New Roman" w:cs="Times New Roman"/>
              <w:szCs w:val="24"/>
              <w:lang w:val="en-US"/>
            </w:rPr>
            <w:t xml:space="preserve">, </w:t>
          </w:r>
          <w:r w:rsidRPr="00C86415">
            <w:rPr>
              <w:rFonts w:eastAsia="Times New Roman" w:cs="Times New Roman"/>
              <w:szCs w:val="24"/>
              <w:lang w:val="en-US"/>
            </w:rPr>
            <w:t>2025)</w:t>
          </w:r>
          <w:r w:rsidRPr="00B15AFF">
            <w:t xml:space="preserve">. In the case of </w:t>
          </w:r>
          <w:r>
            <w:t>a moderate amount of long-</w:t>
          </w:r>
          <w:r w:rsidRPr="00B15AFF">
            <w:t>term debt, it can be an effective source of fin</w:t>
          </w:r>
          <w:r>
            <w:t>ances since the interest is tax-</w:t>
          </w:r>
          <w:r w:rsidRPr="00B15AFF">
            <w:t xml:space="preserve">deductible and relatively cheaper than equity. Debt must be selectively employed in financing projects with well forecasted cash flows and returns that are </w:t>
          </w:r>
          <w:r>
            <w:t xml:space="preserve">higher than the cost of capital, </w:t>
          </w:r>
          <w:r w:rsidRPr="00B15AFF">
            <w:t>and also taking care not to achieve critical levels in coverage of interest.</w:t>
          </w:r>
        </w:p>
        <w:p w14:paraId="02068CF5" w14:textId="77777777" w:rsidR="002858B9" w:rsidRPr="00B15AFF" w:rsidRDefault="002858B9" w:rsidP="002858B9">
          <w:pPr>
            <w:rPr>
              <w:b/>
            </w:rPr>
          </w:pPr>
          <w:r w:rsidRPr="00B15AFF">
            <w:rPr>
              <w:b/>
            </w:rPr>
            <w:t>Embrace a Sustainable Dividend Policy</w:t>
          </w:r>
        </w:p>
        <w:p w14:paraId="505A40B6" w14:textId="77777777" w:rsidR="002858B9" w:rsidRPr="00B15AFF" w:rsidRDefault="002858B9" w:rsidP="002858B9">
          <w:r w:rsidRPr="00B15AFF">
            <w:t xml:space="preserve">Although BP is determined to grow its dividends, the reduction in </w:t>
          </w:r>
          <w:r>
            <w:t xml:space="preserve">the </w:t>
          </w:r>
          <w:r w:rsidRPr="00B15AFF">
            <w:t xml:space="preserve">dividend cover ratio is a </w:t>
          </w:r>
          <w:r>
            <w:t>cause of concern involving long-</w:t>
          </w:r>
          <w:r w:rsidRPr="00B15AFF">
            <w:t>run sustainability. The company ought to employ a restrained and adaptable dividend policy wherein the company allocates dividends in line with the underlying earnings and production of cash</w:t>
          </w:r>
          <w:r>
            <w:t xml:space="preserve"> (</w:t>
          </w:r>
          <w:proofErr w:type="spellStart"/>
          <w:r>
            <w:rPr>
              <w:rFonts w:eastAsia="Times New Roman" w:cs="Times New Roman"/>
              <w:szCs w:val="24"/>
              <w:lang w:val="en-US"/>
            </w:rPr>
            <w:t>Nie</w:t>
          </w:r>
          <w:proofErr w:type="spellEnd"/>
          <w:r>
            <w:rPr>
              <w:rFonts w:eastAsia="Times New Roman" w:cs="Times New Roman"/>
              <w:szCs w:val="24"/>
              <w:lang w:val="en-US"/>
            </w:rPr>
            <w:t xml:space="preserve">, </w:t>
          </w:r>
          <w:r w:rsidRPr="00C86415">
            <w:rPr>
              <w:rFonts w:eastAsia="Times New Roman" w:cs="Times New Roman"/>
              <w:szCs w:val="24"/>
              <w:lang w:val="en-US"/>
            </w:rPr>
            <w:t>2024)</w:t>
          </w:r>
          <w:r w:rsidRPr="00B15AFF">
            <w:t xml:space="preserve">. Instead of focusing on </w:t>
          </w:r>
          <w:r w:rsidRPr="00B15AFF">
            <w:lastRenderedPageBreak/>
            <w:t>dividend growth when profitability is decreasing, BP is to keep enough earnings to make strategic investment</w:t>
          </w:r>
          <w:r>
            <w:t>s</w:t>
          </w:r>
          <w:r w:rsidRPr="00B15AFF">
            <w:t>, debt reduction, and energy transition efforts. To control expectations, open communication with shareholders to communicate about dividend policy and priority of capital allocation will also be a prerequisite.</w:t>
          </w:r>
        </w:p>
        <w:p w14:paraId="31715851" w14:textId="77777777" w:rsidR="002858B9" w:rsidRPr="00B15AFF" w:rsidRDefault="002858B9" w:rsidP="002858B9">
          <w:pPr>
            <w:rPr>
              <w:b/>
            </w:rPr>
          </w:pPr>
          <w:r w:rsidRPr="00B15AFF">
            <w:rPr>
              <w:b/>
            </w:rPr>
            <w:t>Revise Financial Strategy to match with Energy Transition Goals</w:t>
          </w:r>
          <w:r>
            <w:rPr>
              <w:b/>
            </w:rPr>
            <w:t>.</w:t>
          </w:r>
        </w:p>
        <w:p w14:paraId="6455EFDE" w14:textId="77777777" w:rsidR="002858B9" w:rsidRPr="00B15AFF" w:rsidRDefault="002858B9" w:rsidP="002858B9">
          <w:r w:rsidRPr="00B15AFF">
            <w:t xml:space="preserve">The prospective success of BP will be largely pegged on how successful it </w:t>
          </w:r>
          <w:r>
            <w:t>is in</w:t>
          </w:r>
          <w:r w:rsidRPr="00B15AFF">
            <w:t xml:space="preserve"> implement</w:t>
          </w:r>
          <w:r>
            <w:t>ing</w:t>
          </w:r>
          <w:r w:rsidRPr="00B15AFF">
            <w:t xml:space="preserve"> its energy transition strategy. Environmental, social and governance (ESG) should be closely incorporated in financial decision-making</w:t>
          </w:r>
          <w:r>
            <w:t xml:space="preserve"> (</w:t>
          </w:r>
          <w:proofErr w:type="spellStart"/>
          <w:r>
            <w:rPr>
              <w:rFonts w:eastAsia="Times New Roman" w:cs="Times New Roman"/>
              <w:szCs w:val="24"/>
              <w:lang w:val="en-US"/>
            </w:rPr>
            <w:t>Magrini</w:t>
          </w:r>
          <w:proofErr w:type="spellEnd"/>
          <w:r>
            <w:rPr>
              <w:rFonts w:eastAsia="Times New Roman" w:cs="Times New Roman"/>
              <w:szCs w:val="24"/>
              <w:lang w:val="en-US"/>
            </w:rPr>
            <w:t xml:space="preserve">, and </w:t>
          </w:r>
          <w:proofErr w:type="spellStart"/>
          <w:r>
            <w:rPr>
              <w:rFonts w:eastAsia="Times New Roman" w:cs="Times New Roman"/>
              <w:szCs w:val="24"/>
              <w:lang w:val="en-US"/>
            </w:rPr>
            <w:t>Rimediotti</w:t>
          </w:r>
          <w:proofErr w:type="spellEnd"/>
          <w:r>
            <w:rPr>
              <w:rFonts w:eastAsia="Times New Roman" w:cs="Times New Roman"/>
              <w:szCs w:val="24"/>
              <w:lang w:val="en-US"/>
            </w:rPr>
            <w:t xml:space="preserve">, </w:t>
          </w:r>
          <w:r w:rsidRPr="00C86415">
            <w:rPr>
              <w:rFonts w:eastAsia="Times New Roman" w:cs="Times New Roman"/>
              <w:szCs w:val="24"/>
              <w:lang w:val="en-US"/>
            </w:rPr>
            <w:t>2025)</w:t>
          </w:r>
          <w:r w:rsidRPr="00B15AFF">
            <w:t>. Inasmuch as the low-carbon and renewable energy projects might not have better returns than the traditional oil a</w:t>
          </w:r>
          <w:r>
            <w:t xml:space="preserve">nd gas investments in the short </w:t>
          </w:r>
          <w:r w:rsidRPr="00B15AFF">
            <w:t>run, the following strategic advantages ca</w:t>
          </w:r>
          <w:r>
            <w:t>n be attributed to the projects:</w:t>
          </w:r>
          <w:r w:rsidRPr="00B15AFF">
            <w:t xml:space="preserve"> compliance with regulations, diversification of risks and long-term growth prospects. BP ought to employ strict investment appraisal methods in order to </w:t>
          </w:r>
          <w:r>
            <w:t>ensure</w:t>
          </w:r>
          <w:r w:rsidRPr="00B15AFF">
            <w:t xml:space="preserve"> that the transition projects yield minimum returns, as well as be aware of their strategic significance.</w:t>
          </w:r>
        </w:p>
        <w:p w14:paraId="4FE00CB0" w14:textId="77777777" w:rsidR="002858B9" w:rsidRPr="00B15AFF" w:rsidRDefault="002858B9" w:rsidP="002858B9">
          <w:pPr>
            <w:rPr>
              <w:b/>
            </w:rPr>
          </w:pPr>
          <w:r w:rsidRPr="00B15AFF">
            <w:rPr>
              <w:b/>
            </w:rPr>
            <w:t>Optimise Performance Review and Reporting</w:t>
          </w:r>
        </w:p>
        <w:p w14:paraId="61538B23" w14:textId="77777777" w:rsidR="002858B9" w:rsidRPr="00B15AFF" w:rsidRDefault="002858B9" w:rsidP="002858B9">
          <w:r w:rsidRPr="00B15AFF">
            <w:t xml:space="preserve">Lastly, BP ought to enhance its internal performance measuring mechanisms by adding </w:t>
          </w:r>
          <w:r>
            <w:t>cash flow measurements, project-</w:t>
          </w:r>
          <w:r w:rsidRPr="00B15AFF">
            <w:t>level returns, and ESG performance indices to the existing financial ratios</w:t>
          </w:r>
          <w:r>
            <w:t xml:space="preserve"> (</w:t>
          </w:r>
          <w:proofErr w:type="spellStart"/>
          <w:r>
            <w:rPr>
              <w:rFonts w:eastAsia="Times New Roman" w:cs="Times New Roman"/>
              <w:szCs w:val="24"/>
              <w:lang w:val="en-US"/>
            </w:rPr>
            <w:t>Antar</w:t>
          </w:r>
          <w:proofErr w:type="spellEnd"/>
          <w:r>
            <w:rPr>
              <w:rFonts w:eastAsia="Times New Roman" w:cs="Times New Roman"/>
              <w:szCs w:val="24"/>
              <w:lang w:val="en-US"/>
            </w:rPr>
            <w:t xml:space="preserve">, and </w:t>
          </w:r>
          <w:proofErr w:type="spellStart"/>
          <w:r>
            <w:rPr>
              <w:rFonts w:eastAsia="Times New Roman" w:cs="Times New Roman"/>
              <w:szCs w:val="24"/>
              <w:lang w:val="en-US"/>
            </w:rPr>
            <w:t>Tayachi</w:t>
          </w:r>
          <w:proofErr w:type="spellEnd"/>
          <w:r>
            <w:rPr>
              <w:rFonts w:eastAsia="Times New Roman" w:cs="Times New Roman"/>
              <w:szCs w:val="24"/>
              <w:lang w:val="en-US"/>
            </w:rPr>
            <w:t xml:space="preserve">, </w:t>
          </w:r>
          <w:r w:rsidRPr="00C86415">
            <w:rPr>
              <w:rFonts w:eastAsia="Times New Roman" w:cs="Times New Roman"/>
              <w:szCs w:val="24"/>
              <w:lang w:val="en-US"/>
            </w:rPr>
            <w:t>2025)</w:t>
          </w:r>
          <w:r w:rsidRPr="00B15AFF">
            <w:t xml:space="preserve">. The improved segmental and regional reporting would be more transparent and assist in making more informed strategic decisions. Better financial and non-financial reporting will also enhance the trust </w:t>
          </w:r>
          <w:r>
            <w:t>of</w:t>
          </w:r>
          <w:r w:rsidRPr="00B15AFF">
            <w:t xml:space="preserve"> the stakeholders and build a strong reputation </w:t>
          </w:r>
          <w:r>
            <w:t>for</w:t>
          </w:r>
          <w:r w:rsidRPr="00B15AFF">
            <w:t xml:space="preserve"> BP in terms of effective corporate governance.</w:t>
          </w:r>
        </w:p>
        <w:p w14:paraId="32497693" w14:textId="77777777" w:rsidR="00CF0E48" w:rsidRPr="000E1C6B" w:rsidRDefault="00CF0E48" w:rsidP="00CF0E48"/>
        <w:p w14:paraId="2CDA7F67" w14:textId="2B704DEC" w:rsidR="00CF0E48" w:rsidRPr="000E1C6B" w:rsidRDefault="002858B9" w:rsidP="002858B9">
          <w:pPr>
            <w:spacing w:line="259" w:lineRule="auto"/>
            <w:jc w:val="left"/>
          </w:pPr>
          <w:r>
            <w:br w:type="page"/>
          </w:r>
        </w:p>
        <w:p w14:paraId="11657221" w14:textId="50D0927D" w:rsidR="00CF0E48" w:rsidRPr="000E1C6B" w:rsidRDefault="00CF0E48" w:rsidP="000E1C6B">
          <w:pPr>
            <w:pStyle w:val="Heading2"/>
            <w:jc w:val="center"/>
          </w:pPr>
          <w:bookmarkStart w:id="7" w:name="_Toc219124110"/>
          <w:r w:rsidRPr="000E1C6B">
            <w:lastRenderedPageBreak/>
            <w:t>Task 2</w:t>
          </w:r>
          <w:bookmarkEnd w:id="7"/>
        </w:p>
        <w:p w14:paraId="6E4A289F" w14:textId="538826CA" w:rsidR="002858B9" w:rsidRPr="00B15AFF" w:rsidRDefault="002858B9" w:rsidP="002858B9">
          <w:pPr>
            <w:pStyle w:val="Heading3"/>
          </w:pPr>
          <w:bookmarkStart w:id="8" w:name="_Toc219124111"/>
          <w:r>
            <w:t>NPV Analysis</w:t>
          </w:r>
          <w:bookmarkEnd w:id="8"/>
        </w:p>
        <w:p w14:paraId="2E054988" w14:textId="3BCDA64D" w:rsidR="002858B9" w:rsidRPr="00B15AFF" w:rsidRDefault="002858B9" w:rsidP="002858B9">
          <w:r w:rsidRPr="00B15AFF">
            <w:t xml:space="preserve">The Net Present Value (NPV) is a </w:t>
          </w:r>
          <w:r w:rsidR="00F62C20" w:rsidRPr="00B15AFF">
            <w:t>technique</w:t>
          </w:r>
          <w:r w:rsidRPr="00B15AFF">
            <w:t xml:space="preserve"> of analysis that is applied to determine whether an investment will be worth more than the cost of capital of the firm. When a</w:t>
          </w:r>
          <w:r w:rsidR="00F62C20">
            <w:t>n</w:t>
          </w:r>
          <w:r w:rsidRPr="00B15AFF">
            <w:t xml:space="preserve"> </w:t>
          </w:r>
          <w:r w:rsidR="00F62C20">
            <w:t>alternative</w:t>
          </w:r>
          <w:r w:rsidRPr="00B15AFF">
            <w:t xml:space="preserve"> has a positive NPV, then it is acceptable because this means that the shareholder wealth is increasing. The discount rate that is used in Westward PLC is 6% which represents the weighted average cost of capital.</w:t>
          </w:r>
        </w:p>
        <w:p w14:paraId="1BE2C44B" w14:textId="77777777" w:rsidR="002858B9" w:rsidRPr="00B15AFF" w:rsidRDefault="002858B9" w:rsidP="002858B9">
          <w:pPr>
            <w:rPr>
              <w:b/>
            </w:rPr>
          </w:pPr>
          <w:r w:rsidRPr="00B15AFF">
            <w:rPr>
              <w:b/>
            </w:rPr>
            <w:t>Key Assumptions</w:t>
          </w:r>
        </w:p>
        <w:p w14:paraId="65913B93" w14:textId="77777777" w:rsidR="002858B9" w:rsidRPr="00B15AFF" w:rsidRDefault="002858B9" w:rsidP="002858B9">
          <w:r w:rsidRPr="00B15AFF">
            <w:t>Discount rate: 6%</w:t>
          </w:r>
        </w:p>
        <w:p w14:paraId="0FA75770" w14:textId="77777777" w:rsidR="002858B9" w:rsidRPr="00B15AFF" w:rsidRDefault="002858B9" w:rsidP="002858B9">
          <w:r w:rsidRPr="00B15AFF">
            <w:t>Corporation tax: 25%</w:t>
          </w:r>
        </w:p>
        <w:p w14:paraId="21D21FC8" w14:textId="77777777" w:rsidR="002858B9" w:rsidRPr="00B15AFF" w:rsidRDefault="002858B9" w:rsidP="002858B9">
          <w:r w:rsidRPr="00B15AFF">
            <w:t>Capital allowances: 20% straight line</w:t>
          </w:r>
        </w:p>
        <w:p w14:paraId="151A090F" w14:textId="77777777" w:rsidR="002858B9" w:rsidRPr="00B15AFF" w:rsidRDefault="002858B9" w:rsidP="002858B9">
          <w:r w:rsidRPr="00B15AFF">
            <w:t>Project life: 4 years</w:t>
          </w:r>
        </w:p>
        <w:p w14:paraId="22DA5047" w14:textId="77777777" w:rsidR="002858B9" w:rsidRPr="00B15AFF" w:rsidRDefault="002858B9" w:rsidP="002858B9">
          <w:r w:rsidRPr="00B15AFF">
            <w:t>Discount factors at 6%:</w:t>
          </w:r>
        </w:p>
        <w:p w14:paraId="2C4686BD" w14:textId="77777777" w:rsidR="002858B9" w:rsidRPr="00B15AFF" w:rsidRDefault="002858B9" w:rsidP="002858B9">
          <w:r w:rsidRPr="00B15AFF">
            <w:t>The calculations are presented below:</w:t>
          </w:r>
        </w:p>
        <w:tbl>
          <w:tblPr>
            <w:tblStyle w:val="TableGrid"/>
            <w:tblW w:w="0" w:type="auto"/>
            <w:tblInd w:w="1908" w:type="dxa"/>
            <w:tblLook w:val="04A0" w:firstRow="1" w:lastRow="0" w:firstColumn="1" w:lastColumn="0" w:noHBand="0" w:noVBand="1"/>
          </w:tblPr>
          <w:tblGrid>
            <w:gridCol w:w="2610"/>
            <w:gridCol w:w="2970"/>
          </w:tblGrid>
          <w:tr w:rsidR="002858B9" w:rsidRPr="00B15AFF" w14:paraId="774DBD1B" w14:textId="77777777" w:rsidTr="00F62C20">
            <w:tc>
              <w:tcPr>
                <w:tcW w:w="2610" w:type="dxa"/>
              </w:tcPr>
              <w:p w14:paraId="28ABDD6C" w14:textId="77777777" w:rsidR="002858B9" w:rsidRPr="00B15AFF" w:rsidRDefault="002858B9" w:rsidP="00F62C20">
                <w:r w:rsidRPr="00B15AFF">
                  <w:t>Year</w:t>
                </w:r>
                <w:r w:rsidRPr="00B15AFF">
                  <w:tab/>
                </w:r>
              </w:p>
            </w:tc>
            <w:tc>
              <w:tcPr>
                <w:tcW w:w="2970" w:type="dxa"/>
              </w:tcPr>
              <w:p w14:paraId="645A4D20" w14:textId="77777777" w:rsidR="002858B9" w:rsidRPr="00B15AFF" w:rsidRDefault="002858B9" w:rsidP="00F62C20">
                <w:r w:rsidRPr="00B15AFF">
                  <w:t>Discount Factor</w:t>
                </w:r>
              </w:p>
            </w:tc>
          </w:tr>
          <w:tr w:rsidR="002858B9" w:rsidRPr="00B15AFF" w14:paraId="43824ECD" w14:textId="77777777" w:rsidTr="00F62C20">
            <w:tc>
              <w:tcPr>
                <w:tcW w:w="2610" w:type="dxa"/>
              </w:tcPr>
              <w:p w14:paraId="7C5CB801" w14:textId="77777777" w:rsidR="002858B9" w:rsidRPr="00B15AFF" w:rsidRDefault="002858B9" w:rsidP="00F62C20">
                <w:r w:rsidRPr="00B15AFF">
                  <w:t>1</w:t>
                </w:r>
              </w:p>
            </w:tc>
            <w:tc>
              <w:tcPr>
                <w:tcW w:w="2970" w:type="dxa"/>
              </w:tcPr>
              <w:p w14:paraId="0C0C00AB" w14:textId="77777777" w:rsidR="002858B9" w:rsidRPr="00B15AFF" w:rsidRDefault="002858B9" w:rsidP="00F62C20">
                <w:r w:rsidRPr="00B15AFF">
                  <w:tab/>
                  <w:t>0.943</w:t>
                </w:r>
              </w:p>
            </w:tc>
          </w:tr>
          <w:tr w:rsidR="002858B9" w:rsidRPr="00B15AFF" w14:paraId="390F58B0" w14:textId="77777777" w:rsidTr="00F62C20">
            <w:tc>
              <w:tcPr>
                <w:tcW w:w="2610" w:type="dxa"/>
              </w:tcPr>
              <w:p w14:paraId="7915EE87" w14:textId="77777777" w:rsidR="002858B9" w:rsidRPr="00B15AFF" w:rsidRDefault="002858B9" w:rsidP="00F62C20">
                <w:r w:rsidRPr="00B15AFF">
                  <w:t>2</w:t>
                </w:r>
              </w:p>
            </w:tc>
            <w:tc>
              <w:tcPr>
                <w:tcW w:w="2970" w:type="dxa"/>
              </w:tcPr>
              <w:p w14:paraId="596CAC00" w14:textId="77777777" w:rsidR="002858B9" w:rsidRPr="00B15AFF" w:rsidRDefault="002858B9" w:rsidP="00F62C20">
                <w:r w:rsidRPr="00B15AFF">
                  <w:tab/>
                  <w:t>0.890</w:t>
                </w:r>
              </w:p>
            </w:tc>
          </w:tr>
          <w:tr w:rsidR="002858B9" w:rsidRPr="00B15AFF" w14:paraId="4012C881" w14:textId="77777777" w:rsidTr="00F62C20">
            <w:tc>
              <w:tcPr>
                <w:tcW w:w="2610" w:type="dxa"/>
              </w:tcPr>
              <w:p w14:paraId="1CCA25DE" w14:textId="77777777" w:rsidR="002858B9" w:rsidRPr="00B15AFF" w:rsidRDefault="002858B9" w:rsidP="00F62C20">
                <w:r w:rsidRPr="00B15AFF">
                  <w:t>3</w:t>
                </w:r>
              </w:p>
            </w:tc>
            <w:tc>
              <w:tcPr>
                <w:tcW w:w="2970" w:type="dxa"/>
              </w:tcPr>
              <w:p w14:paraId="121B6588" w14:textId="77777777" w:rsidR="002858B9" w:rsidRPr="00B15AFF" w:rsidRDefault="002858B9" w:rsidP="00F62C20">
                <w:r w:rsidRPr="00B15AFF">
                  <w:tab/>
                  <w:t>0.840</w:t>
                </w:r>
              </w:p>
            </w:tc>
          </w:tr>
          <w:tr w:rsidR="002858B9" w:rsidRPr="00B15AFF" w14:paraId="65D8A01C" w14:textId="77777777" w:rsidTr="00F62C20">
            <w:tc>
              <w:tcPr>
                <w:tcW w:w="2610" w:type="dxa"/>
              </w:tcPr>
              <w:p w14:paraId="2BA2DC40" w14:textId="77777777" w:rsidR="002858B9" w:rsidRPr="00B15AFF" w:rsidRDefault="002858B9" w:rsidP="00F62C20">
                <w:r w:rsidRPr="00B15AFF">
                  <w:t>4</w:t>
                </w:r>
              </w:p>
            </w:tc>
            <w:tc>
              <w:tcPr>
                <w:tcW w:w="2970" w:type="dxa"/>
              </w:tcPr>
              <w:p w14:paraId="21E83F7F" w14:textId="77777777" w:rsidR="002858B9" w:rsidRPr="00B15AFF" w:rsidRDefault="002858B9" w:rsidP="00F62C20">
                <w:r w:rsidRPr="00B15AFF">
                  <w:tab/>
                  <w:t>0.792</w:t>
                </w:r>
              </w:p>
            </w:tc>
          </w:tr>
        </w:tbl>
        <w:p w14:paraId="42833C1F" w14:textId="77777777" w:rsidR="002858B9" w:rsidRPr="00B15AFF" w:rsidRDefault="002858B9" w:rsidP="002858B9"/>
        <w:p w14:paraId="3FA644F5" w14:textId="77777777" w:rsidR="002858B9" w:rsidRPr="00B15AFF" w:rsidRDefault="002858B9" w:rsidP="002858B9">
          <w:pPr>
            <w:rPr>
              <w:b/>
            </w:rPr>
          </w:pPr>
          <w:r w:rsidRPr="00B15AFF">
            <w:rPr>
              <w:b/>
            </w:rPr>
            <w:t xml:space="preserve">Option </w:t>
          </w:r>
          <w:proofErr w:type="gramStart"/>
          <w:r w:rsidRPr="00B15AFF">
            <w:rPr>
              <w:b/>
            </w:rPr>
            <w:t>A</w:t>
          </w:r>
          <w:proofErr w:type="gramEnd"/>
          <w:r w:rsidRPr="00B15AFF">
            <w:rPr>
              <w:b/>
            </w:rPr>
            <w:t xml:space="preserve"> – Retail Expansion</w:t>
          </w:r>
        </w:p>
        <w:p w14:paraId="68B040B8" w14:textId="77777777" w:rsidR="002858B9" w:rsidRPr="00B15AFF" w:rsidRDefault="002858B9" w:rsidP="002858B9">
          <w:r w:rsidRPr="00B15AFF">
            <w:t>NPV of A = 1,243,200 – 600,000</w:t>
          </w:r>
        </w:p>
        <w:p w14:paraId="4CAFCB41" w14:textId="77777777" w:rsidR="002858B9" w:rsidRPr="00B15AFF" w:rsidRDefault="002858B9" w:rsidP="002858B9">
          <w:r w:rsidRPr="00B15AFF">
            <w:tab/>
            <w:t xml:space="preserve">     = 643,200</w:t>
          </w:r>
        </w:p>
        <w:p w14:paraId="0F15527C" w14:textId="77777777" w:rsidR="002858B9" w:rsidRPr="00B15AFF" w:rsidRDefault="002858B9" w:rsidP="002858B9">
          <w:pPr>
            <w:rPr>
              <w:b/>
            </w:rPr>
          </w:pPr>
          <w:r w:rsidRPr="00B15AFF">
            <w:rPr>
              <w:b/>
            </w:rPr>
            <w:t>Discussion</w:t>
          </w:r>
        </w:p>
        <w:p w14:paraId="400A18AB" w14:textId="77777777" w:rsidR="002858B9" w:rsidRPr="00B15AFF" w:rsidRDefault="002858B9" w:rsidP="002858B9">
          <w:r>
            <w:t>Option</w:t>
          </w:r>
          <w:r w:rsidRPr="00B15AFF">
            <w:t xml:space="preserve"> A provides a high positive NPV, which shows that the project has surpassed the cost of capital of Westward</w:t>
          </w:r>
          <w:r w:rsidRPr="00D42CE1">
            <w:rPr>
              <w:rFonts w:eastAsia="Times New Roman" w:cs="Times New Roman"/>
              <w:szCs w:val="24"/>
              <w:lang w:val="en-US"/>
            </w:rPr>
            <w:t xml:space="preserve"> </w:t>
          </w:r>
          <w:r>
            <w:rPr>
              <w:rFonts w:eastAsia="Times New Roman" w:cs="Times New Roman"/>
              <w:szCs w:val="24"/>
              <w:lang w:val="en-US"/>
            </w:rPr>
            <w:t>(</w:t>
          </w:r>
          <w:proofErr w:type="spellStart"/>
          <w:r>
            <w:rPr>
              <w:rFonts w:eastAsia="Times New Roman" w:cs="Times New Roman"/>
              <w:szCs w:val="24"/>
              <w:lang w:val="en-US"/>
            </w:rPr>
            <w:t>Patawari</w:t>
          </w:r>
          <w:proofErr w:type="spellEnd"/>
          <w:r>
            <w:rPr>
              <w:rFonts w:eastAsia="Times New Roman" w:cs="Times New Roman"/>
              <w:szCs w:val="24"/>
              <w:lang w:val="en-US"/>
            </w:rPr>
            <w:t xml:space="preserve">, and </w:t>
          </w:r>
          <w:proofErr w:type="spellStart"/>
          <w:r>
            <w:rPr>
              <w:rFonts w:eastAsia="Times New Roman" w:cs="Times New Roman"/>
              <w:szCs w:val="24"/>
              <w:lang w:val="en-US"/>
            </w:rPr>
            <w:t>Sarawgi</w:t>
          </w:r>
          <w:proofErr w:type="spellEnd"/>
          <w:r>
            <w:rPr>
              <w:rFonts w:eastAsia="Times New Roman" w:cs="Times New Roman"/>
              <w:szCs w:val="24"/>
              <w:lang w:val="en-US"/>
            </w:rPr>
            <w:t xml:space="preserve">, </w:t>
          </w:r>
          <w:r w:rsidRPr="00D42CE1">
            <w:rPr>
              <w:rFonts w:eastAsia="Times New Roman" w:cs="Times New Roman"/>
              <w:szCs w:val="24"/>
              <w:lang w:val="en-US"/>
            </w:rPr>
            <w:t>2024)</w:t>
          </w:r>
          <w:r w:rsidRPr="00B15AFF">
            <w:t>. The retail growth is not very risky and has predictable cash flows; it ca</w:t>
          </w:r>
          <w:r>
            <w:t>n be said that it is not a high-</w:t>
          </w:r>
          <w:r w:rsidRPr="00B15AFF">
            <w:t>growth point as it becomes structurally inclined towards digital and energy-saving solutions.</w:t>
          </w:r>
        </w:p>
        <w:p w14:paraId="5E6125BF" w14:textId="77777777" w:rsidR="002858B9" w:rsidRPr="00B15AFF" w:rsidRDefault="002858B9" w:rsidP="002858B9">
          <w:pPr>
            <w:rPr>
              <w:b/>
            </w:rPr>
          </w:pPr>
          <w:r w:rsidRPr="00B15AFF">
            <w:rPr>
              <w:b/>
            </w:rPr>
            <w:lastRenderedPageBreak/>
            <w:t>Option B – Internet Sales Platform</w:t>
          </w:r>
        </w:p>
        <w:p w14:paraId="4FF1F11E" w14:textId="77777777" w:rsidR="002858B9" w:rsidRPr="00B15AFF" w:rsidRDefault="002858B9" w:rsidP="002858B9">
          <w:r w:rsidRPr="00B15AFF">
            <w:t>NPV of B:</w:t>
          </w:r>
        </w:p>
        <w:p w14:paraId="0FBBF8D9" w14:textId="77777777" w:rsidR="002858B9" w:rsidRPr="00B15AFF" w:rsidRDefault="002858B9" w:rsidP="002858B9">
          <w:r w:rsidRPr="00B15AFF">
            <w:t>1,792,300 − 1,000,000 = £792,300</w:t>
          </w:r>
        </w:p>
        <w:p w14:paraId="3946545B" w14:textId="77777777" w:rsidR="002858B9" w:rsidRPr="00B15AFF" w:rsidRDefault="002858B9" w:rsidP="002858B9">
          <w:pPr>
            <w:rPr>
              <w:b/>
            </w:rPr>
          </w:pPr>
          <w:r w:rsidRPr="00B15AFF">
            <w:rPr>
              <w:b/>
            </w:rPr>
            <w:t>Discussion</w:t>
          </w:r>
        </w:p>
        <w:p w14:paraId="5A1EF163" w14:textId="77777777" w:rsidR="002858B9" w:rsidRPr="00C86415" w:rsidRDefault="002858B9" w:rsidP="002858B9">
          <w:pPr>
            <w:rPr>
              <w:rFonts w:eastAsia="Times New Roman" w:cs="Times New Roman"/>
              <w:szCs w:val="24"/>
              <w:lang w:val="en-US"/>
            </w:rPr>
          </w:pPr>
          <w:r w:rsidRPr="00B15AFF">
            <w:t>B brings in a much greater NPV compared to A. Scalability, reduced marginal costs, and alignment with the trends in digital transformation are the advantages of the project. Nevertheless, it faces technological risk and high levels of competition that demand constant investments as a way of ensuring that it remains relevant.</w:t>
          </w:r>
        </w:p>
        <w:p w14:paraId="701F43FF" w14:textId="77777777" w:rsidR="002858B9" w:rsidRPr="00B15AFF" w:rsidRDefault="002858B9" w:rsidP="002858B9">
          <w:pPr>
            <w:rPr>
              <w:b/>
            </w:rPr>
          </w:pPr>
          <w:r w:rsidRPr="00B15AFF">
            <w:rPr>
              <w:b/>
            </w:rPr>
            <w:t>Option C – New Product Lines</w:t>
          </w:r>
        </w:p>
        <w:p w14:paraId="7A807017" w14:textId="77777777" w:rsidR="002858B9" w:rsidRPr="00B15AFF" w:rsidRDefault="002858B9" w:rsidP="002858B9">
          <w:r w:rsidRPr="00B15AFF">
            <w:t>NPV of C:</w:t>
          </w:r>
        </w:p>
        <w:p w14:paraId="2C591645" w14:textId="77777777" w:rsidR="002858B9" w:rsidRPr="00B15AFF" w:rsidRDefault="002858B9" w:rsidP="002858B9">
          <w:r w:rsidRPr="00B15AFF">
            <w:t>2,342,600 − 1,600,000 = £742,600</w:t>
          </w:r>
        </w:p>
        <w:p w14:paraId="70B82EE7" w14:textId="77777777" w:rsidR="002858B9" w:rsidRPr="00B15AFF" w:rsidRDefault="002858B9" w:rsidP="002858B9">
          <w:pPr>
            <w:rPr>
              <w:b/>
            </w:rPr>
          </w:pPr>
          <w:r w:rsidRPr="00B15AFF">
            <w:rPr>
              <w:b/>
            </w:rPr>
            <w:t>Discussion</w:t>
          </w:r>
        </w:p>
        <w:p w14:paraId="64EC4BF4" w14:textId="77777777" w:rsidR="002858B9" w:rsidRPr="00B15AFF" w:rsidRDefault="002858B9" w:rsidP="002858B9">
          <w:r w:rsidRPr="00B15AFF">
            <w:t xml:space="preserve">Alternative C has the second </w:t>
          </w:r>
          <w:r>
            <w:t xml:space="preserve">biggest NPV, </w:t>
          </w:r>
          <w:r w:rsidRPr="00B15AFF">
            <w:t>which means that it would have the second best contribution to the wealth of the shareholders</w:t>
          </w:r>
          <w:r>
            <w:t xml:space="preserve"> (</w:t>
          </w:r>
          <w:proofErr w:type="spellStart"/>
          <w:r>
            <w:rPr>
              <w:rFonts w:eastAsia="Times New Roman" w:cs="Times New Roman"/>
              <w:szCs w:val="24"/>
              <w:lang w:val="en-US"/>
            </w:rPr>
            <w:t>Purnamasari</w:t>
          </w:r>
          <w:proofErr w:type="spellEnd"/>
          <w:r>
            <w:rPr>
              <w:rFonts w:eastAsia="Times New Roman" w:cs="Times New Roman"/>
              <w:szCs w:val="24"/>
              <w:lang w:val="en-US"/>
            </w:rPr>
            <w:t xml:space="preserve">, </w:t>
          </w:r>
          <w:r w:rsidRPr="00D42CE1">
            <w:rPr>
              <w:rFonts w:eastAsia="Times New Roman" w:cs="Times New Roman"/>
              <w:szCs w:val="24"/>
              <w:lang w:val="en-US"/>
            </w:rPr>
            <w:t>2024)</w:t>
          </w:r>
          <w:r w:rsidRPr="00B15AFF">
            <w:t>. The project is associated with great operational and market risk, but it has high growth potential, differentiation of its products and long-run strategic advantages. In the case of Westward, this will be quite consistent with innovation-based growth via diversification.</w:t>
          </w:r>
        </w:p>
        <w:p w14:paraId="582AA92E" w14:textId="77777777" w:rsidR="002858B9" w:rsidRPr="00B15AFF" w:rsidRDefault="002858B9" w:rsidP="002858B9">
          <w:r w:rsidRPr="00B15AFF">
            <w:t>So, option B has the highest NPV among the three alternatives available for Westward Plc.</w:t>
          </w:r>
        </w:p>
        <w:p w14:paraId="77A925DF" w14:textId="77777777" w:rsidR="002858B9" w:rsidRPr="002858B9" w:rsidRDefault="002858B9" w:rsidP="002858B9">
          <w:pPr>
            <w:rPr>
              <w:b/>
            </w:rPr>
          </w:pPr>
          <w:r w:rsidRPr="002858B9">
            <w:rPr>
              <w:b/>
            </w:rPr>
            <w:t>Recommendation Based on NPV</w:t>
          </w:r>
        </w:p>
        <w:p w14:paraId="2F1EC5E3" w14:textId="77777777" w:rsidR="002858B9" w:rsidRPr="00B15AFF" w:rsidRDefault="002858B9" w:rsidP="002858B9">
          <w:r w:rsidRPr="00B15AFF">
            <w:t>According to financial reasons only, the most preferred investment should be chosen as Option B</w:t>
          </w:r>
          <w:r>
            <w:t xml:space="preserve">, </w:t>
          </w:r>
          <w:r w:rsidRPr="00B15AFF">
            <w:t xml:space="preserve">as the Net Present Value is the largest of all at £792,300. The best decision-making tool is NPV because it quantifies the absolute value of creating and is directly in line </w:t>
          </w:r>
          <w:r>
            <w:t>to maximise</w:t>
          </w:r>
          <w:r w:rsidRPr="00B15AFF">
            <w:t xml:space="preserve"> shareholder wealth</w:t>
          </w:r>
          <w:r>
            <w:t xml:space="preserve"> (</w:t>
          </w:r>
          <w:proofErr w:type="spellStart"/>
          <w:r>
            <w:rPr>
              <w:rFonts w:eastAsia="Times New Roman" w:cs="Times New Roman"/>
              <w:szCs w:val="24"/>
              <w:lang w:val="en-US"/>
            </w:rPr>
            <w:t>Irfan</w:t>
          </w:r>
          <w:proofErr w:type="spellEnd"/>
          <w:r>
            <w:rPr>
              <w:rFonts w:eastAsia="Times New Roman" w:cs="Times New Roman"/>
              <w:szCs w:val="24"/>
              <w:lang w:val="en-US"/>
            </w:rPr>
            <w:t xml:space="preserve"> et al., </w:t>
          </w:r>
          <w:r w:rsidRPr="00C86415">
            <w:rPr>
              <w:rFonts w:eastAsia="Times New Roman" w:cs="Times New Roman"/>
              <w:szCs w:val="24"/>
              <w:lang w:val="en-US"/>
            </w:rPr>
            <w:t>2022)</w:t>
          </w:r>
          <w:r w:rsidRPr="00B15AFF">
            <w:t>. Option B not only recover</w:t>
          </w:r>
          <w:r>
            <w:t>s</w:t>
          </w:r>
          <w:r w:rsidRPr="00B15AFF">
            <w:t xml:space="preserve"> the initial investment, but it also creat</w:t>
          </w:r>
          <w:r>
            <w:t>es</w:t>
          </w:r>
          <w:r w:rsidRPr="00B15AFF">
            <w:t xml:space="preserve"> a big surplus when the time value of money and taxation are taken into consideration. The large NPV also shows high levels of cash inflows expected and b</w:t>
          </w:r>
          <w:r>
            <w:t>etter use of capital allowances, which increases post-</w:t>
          </w:r>
          <w:r w:rsidRPr="00B15AFF">
            <w:t>tax returns. Strategically, the choice of B will contribute to the long-term goals of Westward Plc. Although Option</w:t>
          </w:r>
          <w:r>
            <w:t>s</w:t>
          </w:r>
          <w:r w:rsidRPr="00B15AFF">
            <w:t xml:space="preserve"> A and C are feasible in terms of finance and generate positive NPVs, they offer a lower absolute value than Option B. Thus, in case </w:t>
          </w:r>
          <w:proofErr w:type="gramStart"/>
          <w:r w:rsidRPr="00B15AFF">
            <w:t xml:space="preserve">capital </w:t>
          </w:r>
          <w:r>
            <w:t>were</w:t>
          </w:r>
          <w:proofErr w:type="gramEnd"/>
          <w:r w:rsidRPr="00B15AFF">
            <w:t xml:space="preserve"> not constrained, Westward would want to focus on </w:t>
          </w:r>
          <w:r w:rsidRPr="00B15AFF">
            <w:lastRenderedPageBreak/>
            <w:t xml:space="preserve">Option B. Even in </w:t>
          </w:r>
          <w:r>
            <w:t xml:space="preserve">the </w:t>
          </w:r>
          <w:r w:rsidRPr="00B15AFF">
            <w:t xml:space="preserve">case of capital rationing, Option B is to be provided at least partially, because of its high potential </w:t>
          </w:r>
          <w:r>
            <w:t>for</w:t>
          </w:r>
          <w:r w:rsidRPr="00B15AFF">
            <w:t xml:space="preserve"> value creation. As a result, financial evidence and strategic alignme</w:t>
          </w:r>
          <w:r>
            <w:t>nt, therefore, strongly endorse</w:t>
          </w:r>
          <w:r w:rsidRPr="00B15AFF">
            <w:t xml:space="preserve"> option B as the best investment option.</w:t>
          </w:r>
        </w:p>
        <w:p w14:paraId="4A9A6244" w14:textId="77777777" w:rsidR="002858B9" w:rsidRPr="00B15AFF" w:rsidRDefault="002858B9" w:rsidP="002858B9">
          <w:pPr>
            <w:pStyle w:val="Heading3"/>
          </w:pPr>
          <w:bookmarkStart w:id="9" w:name="_Toc219124112"/>
          <w:r w:rsidRPr="00B15AFF">
            <w:t>Why NPV is the best</w:t>
          </w:r>
          <w:bookmarkEnd w:id="9"/>
        </w:p>
        <w:p w14:paraId="1FB8AB83" w14:textId="6506029E" w:rsidR="002858B9" w:rsidRPr="00B15AFF" w:rsidRDefault="002858B9" w:rsidP="002858B9">
          <w:r w:rsidRPr="00B15AFF">
            <w:t xml:space="preserve">The NPV uses the time value of money by </w:t>
          </w:r>
          <w:r w:rsidR="00703309" w:rsidRPr="00B15AFF">
            <w:t>omitting</w:t>
          </w:r>
          <w:r w:rsidRPr="00B15AFF">
            <w:t xml:space="preserve"> cash flows of money in the future by the cost of capital of the firm. As opposed to percentage measures like IRR, NPV offers a very simple </w:t>
          </w:r>
          <w:proofErr w:type="gramStart"/>
          <w:r>
            <w:t>accept</w:t>
          </w:r>
          <w:proofErr w:type="gramEnd"/>
          <w:r w:rsidRPr="00B15AFF">
            <w:t xml:space="preserve"> or reject rule: projects that have a positive NPV are </w:t>
          </w:r>
          <w:r w:rsidR="0065195A" w:rsidRPr="00B15AFF">
            <w:t>suitable</w:t>
          </w:r>
          <w:r w:rsidRPr="00B15AFF">
            <w:t xml:space="preserve"> </w:t>
          </w:r>
          <w:r w:rsidR="0065195A">
            <w:t>as</w:t>
          </w:r>
          <w:r w:rsidRPr="00B15AFF">
            <w:t xml:space="preserve"> they add value to the firm. The use of NPV also enables the direct comparison of mutually exclusive projects</w:t>
          </w:r>
          <w:r>
            <w:t xml:space="preserve"> (</w:t>
          </w:r>
          <w:proofErr w:type="spellStart"/>
          <w:r>
            <w:rPr>
              <w:rFonts w:eastAsia="Times New Roman" w:cs="Times New Roman"/>
              <w:szCs w:val="24"/>
              <w:lang w:val="en-US"/>
            </w:rPr>
            <w:t>Darmansyah</w:t>
          </w:r>
          <w:proofErr w:type="spellEnd"/>
          <w:r>
            <w:rPr>
              <w:rFonts w:eastAsia="Times New Roman" w:cs="Times New Roman"/>
              <w:szCs w:val="24"/>
              <w:lang w:val="en-US"/>
            </w:rPr>
            <w:t xml:space="preserve"> et al., </w:t>
          </w:r>
          <w:r w:rsidRPr="00D42CE1">
            <w:rPr>
              <w:rFonts w:eastAsia="Times New Roman" w:cs="Times New Roman"/>
              <w:szCs w:val="24"/>
              <w:lang w:val="en-US"/>
            </w:rPr>
            <w:t>2025)</w:t>
          </w:r>
          <w:r w:rsidRPr="00B15AFF">
            <w:t>. In the case of Westward, NPV will confirm that the company will only commit capital into projects that will yield sustainable economic value. Nevertheless, the non-discounting approaches like the payback period and accounting rate of return (ARR) are popular among managers despite their theoretical weaknesses. Simplicity is one of the key reasons why they are used so widely. Payback period especially comes in handy when it comes to liquidity and risk evaluation</w:t>
          </w:r>
          <w:r>
            <w:t xml:space="preserve"> (</w:t>
          </w:r>
          <w:r>
            <w:rPr>
              <w:rFonts w:eastAsia="Times New Roman" w:cs="Times New Roman"/>
              <w:szCs w:val="24"/>
              <w:lang w:val="en-US"/>
            </w:rPr>
            <w:t xml:space="preserve">Ronald Ebenezer </w:t>
          </w:r>
          <w:proofErr w:type="spellStart"/>
          <w:r>
            <w:rPr>
              <w:rFonts w:eastAsia="Times New Roman" w:cs="Times New Roman"/>
              <w:szCs w:val="24"/>
              <w:lang w:val="en-US"/>
            </w:rPr>
            <w:t>Essel</w:t>
          </w:r>
          <w:proofErr w:type="spellEnd"/>
          <w:r>
            <w:rPr>
              <w:rFonts w:eastAsia="Times New Roman" w:cs="Times New Roman"/>
              <w:szCs w:val="24"/>
              <w:lang w:val="en-US"/>
            </w:rPr>
            <w:t xml:space="preserve">, </w:t>
          </w:r>
          <w:r w:rsidRPr="00D42CE1">
            <w:rPr>
              <w:rFonts w:eastAsia="Times New Roman" w:cs="Times New Roman"/>
              <w:szCs w:val="24"/>
              <w:lang w:val="en-US"/>
            </w:rPr>
            <w:t>2025)</w:t>
          </w:r>
          <w:r w:rsidRPr="00B15AFF">
            <w:t>. Because it makes an evaluation based on the speed at which the initial investment is reclaimed. This is applicable whe</w:t>
          </w:r>
          <w:r>
            <w:t xml:space="preserve">n there is uncertainty. Payback, </w:t>
          </w:r>
          <w:r w:rsidRPr="00B15AFF">
            <w:t>however</w:t>
          </w:r>
          <w:r>
            <w:t>,</w:t>
          </w:r>
          <w:r w:rsidRPr="00B15AFF">
            <w:t xml:space="preserve"> does not take into account cash flows that occur after the cut-off period, and also does not </w:t>
          </w:r>
          <w:r w:rsidR="0065195A">
            <w:t>consider</w:t>
          </w:r>
          <w:r w:rsidRPr="00B15AFF">
            <w:t xml:space="preserve"> the time value of money. Although ARR can be applied to the comparison of accounting performance, it is based on profits and not cash flows and is affected by accounting policies</w:t>
          </w:r>
          <w:r>
            <w:t xml:space="preserve"> (</w:t>
          </w:r>
          <w:proofErr w:type="spellStart"/>
          <w:r>
            <w:rPr>
              <w:rFonts w:eastAsia="Times New Roman" w:cs="Times New Roman"/>
              <w:szCs w:val="24"/>
              <w:lang w:val="en-US"/>
            </w:rPr>
            <w:t>Sureka</w:t>
          </w:r>
          <w:proofErr w:type="spellEnd"/>
          <w:r>
            <w:rPr>
              <w:rFonts w:ascii="Helvetica" w:hAnsi="Helvetica"/>
              <w:color w:val="3A3A3A"/>
              <w:sz w:val="23"/>
              <w:szCs w:val="23"/>
              <w:shd w:val="clear" w:color="auto" w:fill="FFFFFF"/>
            </w:rPr>
            <w:t xml:space="preserve"> et al., </w:t>
          </w:r>
          <w:r w:rsidRPr="00D50A98">
            <w:rPr>
              <w:rFonts w:eastAsia="Times New Roman" w:cs="Times New Roman"/>
              <w:szCs w:val="24"/>
              <w:lang w:val="en-US"/>
            </w:rPr>
            <w:t>2022)</w:t>
          </w:r>
          <w:r w:rsidRPr="00B15AFF">
            <w:t>. Thus, non-discounting alone can offer val</w:t>
          </w:r>
          <w:r>
            <w:t xml:space="preserve">uable complementary information, </w:t>
          </w:r>
          <w:r w:rsidRPr="00B15AFF">
            <w:t xml:space="preserve">but it is not </w:t>
          </w:r>
          <w:r>
            <w:t xml:space="preserve">the </w:t>
          </w:r>
          <w:r w:rsidRPr="00B15AFF">
            <w:t xml:space="preserve">time to substitute NPV when determining strategic investment. Besides quantitative financial appraisal, there are numerous qualitative criteria that </w:t>
          </w:r>
          <w:proofErr w:type="gramStart"/>
          <w:r w:rsidRPr="00B15AFF">
            <w:t>Westward</w:t>
          </w:r>
          <w:proofErr w:type="gramEnd"/>
          <w:r w:rsidRPr="00B15AFF">
            <w:t xml:space="preserve"> should put into consideration when appraising investment projects. Those investments that can help </w:t>
          </w:r>
          <w:proofErr w:type="gramStart"/>
          <w:r w:rsidRPr="00B15AFF">
            <w:t>Westward</w:t>
          </w:r>
          <w:proofErr w:type="gramEnd"/>
          <w:r w:rsidRPr="00B15AFF">
            <w:t xml:space="preserve"> to improve its competitive advantage, increase its technological capacity, or make </w:t>
          </w:r>
          <w:r>
            <w:t>it</w:t>
          </w:r>
          <w:r w:rsidRPr="00B15AFF">
            <w:t xml:space="preserve"> more regulator-compliant can be strategically worthwhile in spite of their less captivating short-term financial output. It is also important in operational feasibility and organisational ability</w:t>
          </w:r>
          <w:r>
            <w:t xml:space="preserve"> (</w:t>
          </w:r>
          <w:proofErr w:type="spellStart"/>
          <w:r>
            <w:rPr>
              <w:rFonts w:eastAsia="Times New Roman" w:cs="Times New Roman"/>
              <w:szCs w:val="24"/>
              <w:lang w:val="en-US"/>
            </w:rPr>
            <w:t>Purnamasari</w:t>
          </w:r>
          <w:proofErr w:type="spellEnd"/>
          <w:r>
            <w:rPr>
              <w:rFonts w:eastAsia="Times New Roman" w:cs="Times New Roman"/>
              <w:szCs w:val="24"/>
              <w:lang w:val="en-US"/>
            </w:rPr>
            <w:t xml:space="preserve">, </w:t>
          </w:r>
          <w:r w:rsidRPr="00924C94">
            <w:rPr>
              <w:rFonts w:eastAsia="Times New Roman" w:cs="Times New Roman"/>
              <w:szCs w:val="24"/>
              <w:lang w:val="en-US"/>
            </w:rPr>
            <w:t>2024)</w:t>
          </w:r>
          <w:r w:rsidRPr="00B15AFF">
            <w:t>. Westward should also evaluate its technical knowledge, human resource</w:t>
          </w:r>
          <w:r>
            <w:t>s</w:t>
          </w:r>
          <w:r w:rsidRPr="00B15AFF">
            <w:t xml:space="preserve"> and infrastructure to carry out any proposed project successfully. In addition, the external factors like the regulatory risk, environmental impact, geopolitical exposure and the expectation of the stakeholders can have a great impact on the outcome of the project. Consequently, strategic fit, financial returns, risk profile, and long-term sustainability should be considered equally during investment decisions.</w:t>
          </w:r>
        </w:p>
        <w:p w14:paraId="0A988E25" w14:textId="1783B496" w:rsidR="002858B9" w:rsidRPr="00B15AFF" w:rsidRDefault="002858B9" w:rsidP="002858B9">
          <w:pPr>
            <w:pStyle w:val="Heading3"/>
          </w:pPr>
          <w:bookmarkStart w:id="10" w:name="_Toc219124113"/>
          <w:r w:rsidRPr="00B15AFF">
            <w:lastRenderedPageBreak/>
            <w:t>Internal Rate of Retur</w:t>
          </w:r>
          <w:r>
            <w:t>n (IRR)</w:t>
          </w:r>
          <w:bookmarkEnd w:id="10"/>
        </w:p>
        <w:p w14:paraId="1991D4D8" w14:textId="7AA8DDEE" w:rsidR="002858B9" w:rsidRPr="00B15AFF" w:rsidRDefault="002858B9" w:rsidP="002858B9">
          <w:r w:rsidRPr="00B15AFF">
            <w:t xml:space="preserve">Internal rate of Return (IRR) is the discount rate at which the Net Present Value of </w:t>
          </w:r>
          <w:r w:rsidR="0065195A">
            <w:t>an alternative</w:t>
          </w:r>
          <w:r w:rsidRPr="00B15AFF">
            <w:t xml:space="preserve"> will be equal to zero. It is the projected rate of profit of the project in its lifetime. In the case of Option C, IRR is computed by using various discount rates until the value of cash inflows in the present value equals the investment made.</w:t>
          </w:r>
        </w:p>
        <w:p w14:paraId="0A9F2D2D" w14:textId="77777777" w:rsidR="002858B9" w:rsidRPr="00B15AFF" w:rsidRDefault="002858B9" w:rsidP="002858B9">
          <w:r w:rsidRPr="00B15AFF">
            <w:t>NPV at 6%</w:t>
          </w:r>
        </w:p>
        <w:p w14:paraId="1794CE7F" w14:textId="77777777" w:rsidR="002858B9" w:rsidRPr="00B15AFF" w:rsidRDefault="002858B9" w:rsidP="002858B9">
          <w:r w:rsidRPr="00B15AFF">
            <w:t>= £792,300</w:t>
          </w:r>
        </w:p>
        <w:p w14:paraId="42C2ABFD" w14:textId="77777777" w:rsidR="002858B9" w:rsidRPr="00B15AFF" w:rsidRDefault="002858B9" w:rsidP="002858B9">
          <w:r w:rsidRPr="00B15AFF">
            <w:t>NPV @ 20%:</w:t>
          </w:r>
        </w:p>
        <w:p w14:paraId="414CD82F" w14:textId="77777777" w:rsidR="002858B9" w:rsidRPr="00B15AFF" w:rsidRDefault="002858B9" w:rsidP="002858B9">
          <w:r w:rsidRPr="00B15AFF">
            <w:t>£1,280,500 − £1,000,000 = £280,000</w:t>
          </w:r>
        </w:p>
        <w:p w14:paraId="3C0E63A8" w14:textId="77777777" w:rsidR="002858B9" w:rsidRPr="00B15AFF" w:rsidRDefault="002858B9" w:rsidP="002858B9">
          <w:r w:rsidRPr="00B15AFF">
            <w:t>NPV at 30%:</w:t>
          </w:r>
        </w:p>
        <w:p w14:paraId="0F12030B" w14:textId="77777777" w:rsidR="002858B9" w:rsidRPr="00B15AFF" w:rsidRDefault="002858B9" w:rsidP="002858B9">
          <w:r w:rsidRPr="00B15AFF">
            <w:t>1,041,800 − 1,000,000 = £41,800</w:t>
          </w:r>
        </w:p>
        <w:p w14:paraId="410B7CC3" w14:textId="77777777" w:rsidR="002858B9" w:rsidRPr="00B15AFF" w:rsidRDefault="002858B9" w:rsidP="002858B9">
          <w:r w:rsidRPr="00B15AFF">
            <w:t>NPV at 33%</w:t>
          </w:r>
        </w:p>
        <w:p w14:paraId="70BE0E6B" w14:textId="77777777" w:rsidR="002858B9" w:rsidRPr="00B15AFF" w:rsidRDefault="002858B9" w:rsidP="002858B9">
          <w:r w:rsidRPr="00B15AFF">
            <w:t>NPV = 983,300 − 1,000,000</w:t>
          </w:r>
        </w:p>
        <w:p w14:paraId="463C06F2" w14:textId="77777777" w:rsidR="002858B9" w:rsidRPr="00B15AFF" w:rsidRDefault="002858B9" w:rsidP="002858B9">
          <w:r w:rsidRPr="00B15AFF">
            <w:t>NPV = –£16,700</w:t>
          </w:r>
        </w:p>
        <w:p w14:paraId="07E3574C" w14:textId="77777777" w:rsidR="002858B9" w:rsidRPr="00B15AFF" w:rsidRDefault="002858B9" w:rsidP="002858B9">
          <w:pPr>
            <w:rPr>
              <w:rFonts w:eastAsiaTheme="minorEastAsia"/>
            </w:rPr>
          </w:pPr>
          <w:r w:rsidRPr="00B15AFF">
            <w:t>IRR = 30%+</w:t>
          </w:r>
          <m:oMath>
            <m:f>
              <m:fPr>
                <m:ctrlPr>
                  <w:rPr>
                    <w:rFonts w:ascii="Cambria Math" w:hAnsi="Cambria Math" w:cs="Times New Roman"/>
                  </w:rPr>
                </m:ctrlPr>
              </m:fPr>
              <m:num>
                <m:r>
                  <w:rPr>
                    <w:rFonts w:ascii="Cambria Math" w:hAnsi="Cambria Math" w:cs="Times New Roman"/>
                  </w:rPr>
                  <m:t>41.8</m:t>
                </m:r>
              </m:num>
              <m:den>
                <m:r>
                  <w:rPr>
                    <w:rFonts w:ascii="Cambria Math" w:hAnsi="Cambria Math" w:cs="Times New Roman"/>
                  </w:rPr>
                  <m:t>41.8+16.7</m:t>
                </m:r>
              </m:den>
            </m:f>
            <m:r>
              <w:rPr>
                <w:rFonts w:ascii="Cambria Math" w:hAnsi="Cambria Math" w:cs="Times New Roman"/>
              </w:rPr>
              <m:t>×</m:t>
            </m:r>
            <m:d>
              <m:dPr>
                <m:ctrlPr>
                  <w:rPr>
                    <w:rFonts w:ascii="Cambria Math" w:hAnsi="Cambria Math" w:cs="Times New Roman"/>
                    <w:i/>
                  </w:rPr>
                </m:ctrlPr>
              </m:dPr>
              <m:e>
                <m:r>
                  <w:rPr>
                    <w:rFonts w:ascii="Cambria Math" w:hAnsi="Cambria Math" w:cs="Times New Roman"/>
                  </w:rPr>
                  <m:t>33-30</m:t>
                </m:r>
              </m:e>
            </m:d>
          </m:oMath>
        </w:p>
        <w:p w14:paraId="3798A8DF" w14:textId="77777777" w:rsidR="002858B9" w:rsidRPr="00B15AFF" w:rsidRDefault="002858B9" w:rsidP="002858B9">
          <w:pPr>
            <w:rPr>
              <w:rFonts w:eastAsiaTheme="minorEastAsia"/>
            </w:rPr>
          </w:pPr>
          <w:r w:rsidRPr="00B15AFF">
            <w:rPr>
              <w:rFonts w:eastAsiaTheme="minorEastAsia"/>
            </w:rPr>
            <w:tab/>
            <w:t>32.14% (approximately)</w:t>
          </w:r>
        </w:p>
        <w:p w14:paraId="76933791" w14:textId="77777777" w:rsidR="002858B9" w:rsidRPr="00B15AFF" w:rsidRDefault="002858B9" w:rsidP="002858B9">
          <w:r w:rsidRPr="00B15AFF">
            <w:t>This is a very high IRR compa</w:t>
          </w:r>
          <w:r>
            <w:t xml:space="preserve">red to the cost of capital of 6% </w:t>
          </w:r>
          <w:r w:rsidRPr="00B15AFF">
            <w:t xml:space="preserve">at </w:t>
          </w:r>
          <w:r>
            <w:t xml:space="preserve">Westward, </w:t>
          </w:r>
          <w:r w:rsidRPr="00B15AFF">
            <w:t>which means that the project is yielding returns that are much higher than the minimum that the company needs. The high difference between the IRR and the cost of capital gives a good level of safety, that is, the project can proceed even when the costs are high or the cash flows are lower than expected.</w:t>
          </w:r>
        </w:p>
        <w:p w14:paraId="08C7BD99" w14:textId="77777777" w:rsidR="002858B9" w:rsidRPr="00B15AFF" w:rsidRDefault="002858B9" w:rsidP="002858B9">
          <w:r w:rsidRPr="00B15AFF">
            <w:t>A large IRR also indicates that Option C is somewhat immune to unfavourable economic factors, including the increase in interest rates or volatile energy prices. This is especially significant to Westward because there is uncertainty in terms of long-term investment in new products and energy transition projects</w:t>
          </w:r>
          <w:r>
            <w:t xml:space="preserve"> (</w:t>
          </w:r>
          <w:proofErr w:type="spellStart"/>
          <w:r>
            <w:rPr>
              <w:rFonts w:eastAsia="Times New Roman" w:cs="Times New Roman"/>
              <w:szCs w:val="24"/>
              <w:lang w:val="en-US"/>
            </w:rPr>
            <w:t>Wouters</w:t>
          </w:r>
          <w:proofErr w:type="spellEnd"/>
          <w:r>
            <w:rPr>
              <w:rFonts w:eastAsia="Times New Roman" w:cs="Times New Roman"/>
              <w:szCs w:val="24"/>
              <w:lang w:val="en-US"/>
            </w:rPr>
            <w:t xml:space="preserve">, and </w:t>
          </w:r>
          <w:proofErr w:type="spellStart"/>
          <w:r>
            <w:rPr>
              <w:rFonts w:eastAsia="Times New Roman" w:cs="Times New Roman"/>
              <w:szCs w:val="24"/>
              <w:lang w:val="en-US"/>
            </w:rPr>
            <w:t>Stadtherr</w:t>
          </w:r>
          <w:proofErr w:type="spellEnd"/>
          <w:r>
            <w:rPr>
              <w:rFonts w:eastAsia="Times New Roman" w:cs="Times New Roman"/>
              <w:szCs w:val="24"/>
              <w:lang w:val="en-US"/>
            </w:rPr>
            <w:t xml:space="preserve">, </w:t>
          </w:r>
          <w:r w:rsidRPr="00924C94">
            <w:rPr>
              <w:rFonts w:eastAsia="Times New Roman" w:cs="Times New Roman"/>
              <w:szCs w:val="24"/>
              <w:lang w:val="en-US"/>
            </w:rPr>
            <w:t>2024)</w:t>
          </w:r>
          <w:r w:rsidRPr="00B15AFF">
            <w:t>. However, IRR has limitations. It makes the assumptions of reinvesting intermediate cas</w:t>
          </w:r>
          <w:r>
            <w:t xml:space="preserve">h flows at the IRR per se, which is, in most cases, </w:t>
          </w:r>
          <w:r w:rsidRPr="00B15AFF">
            <w:t xml:space="preserve">unrealistic, particularly when </w:t>
          </w:r>
          <w:r>
            <w:t xml:space="preserve">the </w:t>
          </w:r>
          <w:r w:rsidRPr="00B15AFF">
            <w:t xml:space="preserve">IRR is high. Further, IRR fails to measure the creation of absolute value and can be misleading when </w:t>
          </w:r>
          <w:r>
            <w:t>comparing</w:t>
          </w:r>
          <w:r w:rsidRPr="00B15AFF">
            <w:t xml:space="preserve"> projects of </w:t>
          </w:r>
          <w:r w:rsidRPr="00B15AFF">
            <w:lastRenderedPageBreak/>
            <w:t>varying scales. In spite of these shortcomings, the IRR outcome is a resounding conclusion in favour</w:t>
          </w:r>
          <w:r>
            <w:t xml:space="preserve"> of the NPV decision, </w:t>
          </w:r>
          <w:r w:rsidRPr="00B15AFF">
            <w:t>and it further contributes to the appeal of Option C as a financially and strategically viable investment.</w:t>
          </w:r>
        </w:p>
        <w:p w14:paraId="71C15D3D" w14:textId="77777777" w:rsidR="002858B9" w:rsidRPr="00B15AFF" w:rsidRDefault="002858B9" w:rsidP="002858B9">
          <w:pPr>
            <w:pStyle w:val="Heading3"/>
          </w:pPr>
          <w:bookmarkStart w:id="11" w:name="_Toc219124114"/>
          <w:r w:rsidRPr="00B15AFF">
            <w:t>Capital Rationing</w:t>
          </w:r>
          <w:bookmarkEnd w:id="11"/>
        </w:p>
        <w:p w14:paraId="2222D204" w14:textId="549CB0BA" w:rsidR="002858B9" w:rsidRPr="00924C94" w:rsidRDefault="002858B9" w:rsidP="002858B9">
          <w:pPr>
            <w:rPr>
              <w:rFonts w:eastAsia="Times New Roman" w:cs="Times New Roman"/>
              <w:szCs w:val="24"/>
              <w:lang w:val="en-US"/>
            </w:rPr>
          </w:pPr>
          <w:r w:rsidRPr="00B15AFF">
            <w:t>Capital rationing comes about when a company possesses limited financial capability and is unable to carry out all investment initiatives with positive Net Present Value (NPVs). When this happens</w:t>
          </w:r>
          <w:r>
            <w:t>,</w:t>
          </w:r>
          <w:r w:rsidRPr="00B15AFF">
            <w:t xml:space="preserve"> the aim is not to decide on the p</w:t>
          </w:r>
          <w:r>
            <w:t xml:space="preserve">roject that has the </w:t>
          </w:r>
          <w:proofErr w:type="spellStart"/>
          <w:r w:rsidR="00481C82">
            <w:t>lagrest</w:t>
          </w:r>
          <w:proofErr w:type="spellEnd"/>
          <w:r>
            <w:t xml:space="preserve"> NPV; </w:t>
          </w:r>
          <w:r w:rsidRPr="00B15AFF">
            <w:t>however</w:t>
          </w:r>
          <w:r>
            <w:t>,</w:t>
          </w:r>
          <w:r w:rsidRPr="00B15AFF">
            <w:t xml:space="preserve"> the combination of the projects that maximises shareholder wealth subject to the capital constraint</w:t>
          </w:r>
          <w:r>
            <w:t xml:space="preserve"> (</w:t>
          </w:r>
          <w:r>
            <w:rPr>
              <w:rFonts w:eastAsia="Times New Roman" w:cs="Times New Roman"/>
              <w:szCs w:val="24"/>
              <w:lang w:val="en-US"/>
            </w:rPr>
            <w:t xml:space="preserve">Hartmann, and </w:t>
          </w:r>
          <w:proofErr w:type="spellStart"/>
          <w:r>
            <w:rPr>
              <w:rFonts w:eastAsia="Times New Roman" w:cs="Times New Roman"/>
              <w:szCs w:val="24"/>
              <w:lang w:val="en-US"/>
            </w:rPr>
            <w:t>Weibenberger</w:t>
          </w:r>
          <w:proofErr w:type="spellEnd"/>
          <w:r>
            <w:rPr>
              <w:rFonts w:eastAsia="Times New Roman" w:cs="Times New Roman"/>
              <w:szCs w:val="24"/>
              <w:lang w:val="en-US"/>
            </w:rPr>
            <w:t>, 2024)</w:t>
          </w:r>
          <w:r w:rsidRPr="00B15AFF">
            <w:t>. This is the case with Westward PLC, considering that the amount of capital spending that it needs is enormous and competing investment needs.</w:t>
          </w:r>
        </w:p>
        <w:p w14:paraId="2CDFA9D0" w14:textId="77777777" w:rsidR="002858B9" w:rsidRPr="00B15AFF" w:rsidRDefault="002858B9" w:rsidP="002858B9">
          <w:r w:rsidRPr="00B15AFF">
            <w:t xml:space="preserve">Westward can invest </w:t>
          </w:r>
          <w:r>
            <w:t>in terms of</w:t>
          </w:r>
          <w:r w:rsidRPr="00B15AFF">
            <w:t xml:space="preserve"> £2.5 million</w:t>
          </w:r>
          <w:r>
            <w:t>,</w:t>
          </w:r>
          <w:r w:rsidRPr="00B15AFF">
            <w:t xml:space="preserve"> and the amount of capital needed </w:t>
          </w:r>
          <w:r>
            <w:t>for</w:t>
          </w:r>
          <w:r w:rsidRPr="00B15AFF">
            <w:t xml:space="preserve"> all three projects is:</w:t>
          </w:r>
        </w:p>
        <w:p w14:paraId="1B82598C" w14:textId="77777777" w:rsidR="002858B9" w:rsidRPr="00B15AFF" w:rsidRDefault="002858B9" w:rsidP="002858B9">
          <w:pPr>
            <w:rPr>
              <w:rFonts w:eastAsiaTheme="minorEastAsia"/>
            </w:rPr>
          </w:pPr>
          <w:r w:rsidRPr="00B15AFF">
            <w:t xml:space="preserve">Profitability Index (PI) = </w:t>
          </w:r>
          <m:oMath>
            <m:f>
              <m:fPr>
                <m:ctrlPr>
                  <w:rPr>
                    <w:rFonts w:ascii="Cambria Math" w:hAnsi="Cambria Math"/>
                    <w:i/>
                  </w:rPr>
                </m:ctrlPr>
              </m:fPr>
              <m:num>
                <m:r>
                  <w:rPr>
                    <w:rFonts w:ascii="Cambria Math" w:hAnsi="Cambria Math"/>
                  </w:rPr>
                  <m:t>Present Value</m:t>
                </m:r>
              </m:num>
              <m:den>
                <m:r>
                  <w:rPr>
                    <w:rFonts w:ascii="Cambria Math" w:hAnsi="Cambria Math"/>
                  </w:rPr>
                  <m:t>Initial Investment</m:t>
                </m:r>
              </m:den>
            </m:f>
          </m:oMath>
        </w:p>
        <w:p w14:paraId="72B2002F" w14:textId="77777777" w:rsidR="002858B9" w:rsidRPr="00B15AFF" w:rsidRDefault="002858B9" w:rsidP="002858B9">
          <w:pPr>
            <w:rPr>
              <w:rFonts w:eastAsiaTheme="minorEastAsia"/>
            </w:rPr>
          </w:pPr>
        </w:p>
        <w:tbl>
          <w:tblPr>
            <w:tblStyle w:val="TableGrid"/>
            <w:tblW w:w="0" w:type="auto"/>
            <w:jc w:val="center"/>
            <w:tblLook w:val="04A0" w:firstRow="1" w:lastRow="0" w:firstColumn="1" w:lastColumn="0" w:noHBand="0" w:noVBand="1"/>
          </w:tblPr>
          <w:tblGrid>
            <w:gridCol w:w="1403"/>
            <w:gridCol w:w="1676"/>
            <w:gridCol w:w="1850"/>
            <w:gridCol w:w="1638"/>
          </w:tblGrid>
          <w:tr w:rsidR="002858B9" w:rsidRPr="00B15AFF" w14:paraId="0049398E" w14:textId="77777777" w:rsidTr="00F62C20">
            <w:trPr>
              <w:jc w:val="center"/>
            </w:trPr>
            <w:tc>
              <w:tcPr>
                <w:tcW w:w="1403" w:type="dxa"/>
                <w:hideMark/>
              </w:tcPr>
              <w:p w14:paraId="31BE1159" w14:textId="77777777" w:rsidR="002858B9" w:rsidRPr="00B15AFF" w:rsidRDefault="002858B9" w:rsidP="00F62C20">
                <w:r w:rsidRPr="00B15AFF">
                  <w:t>Option</w:t>
                </w:r>
              </w:p>
            </w:tc>
            <w:tc>
              <w:tcPr>
                <w:tcW w:w="1676" w:type="dxa"/>
                <w:hideMark/>
              </w:tcPr>
              <w:p w14:paraId="63AC49FD" w14:textId="77777777" w:rsidR="002858B9" w:rsidRPr="00B15AFF" w:rsidRDefault="002858B9" w:rsidP="00F62C20">
                <w:r w:rsidRPr="00B15AFF">
                  <w:t>PV (£k)</w:t>
                </w:r>
              </w:p>
            </w:tc>
            <w:tc>
              <w:tcPr>
                <w:tcW w:w="1850" w:type="dxa"/>
                <w:hideMark/>
              </w:tcPr>
              <w:p w14:paraId="639F53C3" w14:textId="77777777" w:rsidR="002858B9" w:rsidRPr="00B15AFF" w:rsidRDefault="002858B9" w:rsidP="00F62C20">
                <w:r w:rsidRPr="00B15AFF">
                  <w:t>Investment (£k)</w:t>
                </w:r>
              </w:p>
            </w:tc>
            <w:tc>
              <w:tcPr>
                <w:tcW w:w="1638" w:type="dxa"/>
                <w:hideMark/>
              </w:tcPr>
              <w:p w14:paraId="725D4C68" w14:textId="77777777" w:rsidR="002858B9" w:rsidRPr="00B15AFF" w:rsidRDefault="002858B9" w:rsidP="00F62C20">
                <w:r w:rsidRPr="00B15AFF">
                  <w:t>PI</w:t>
                </w:r>
              </w:p>
            </w:tc>
          </w:tr>
          <w:tr w:rsidR="002858B9" w:rsidRPr="00B15AFF" w14:paraId="00B3395C" w14:textId="77777777" w:rsidTr="00F62C20">
            <w:trPr>
              <w:jc w:val="center"/>
            </w:trPr>
            <w:tc>
              <w:tcPr>
                <w:tcW w:w="1403" w:type="dxa"/>
                <w:hideMark/>
              </w:tcPr>
              <w:p w14:paraId="1431B529" w14:textId="77777777" w:rsidR="002858B9" w:rsidRPr="00B15AFF" w:rsidRDefault="002858B9" w:rsidP="00F62C20">
                <w:r w:rsidRPr="00B15AFF">
                  <w:t>A</w:t>
                </w:r>
              </w:p>
            </w:tc>
            <w:tc>
              <w:tcPr>
                <w:tcW w:w="1676" w:type="dxa"/>
                <w:hideMark/>
              </w:tcPr>
              <w:p w14:paraId="51FF9EB1" w14:textId="77777777" w:rsidR="002858B9" w:rsidRPr="00B15AFF" w:rsidRDefault="002858B9" w:rsidP="00F62C20">
                <w:r w:rsidRPr="00B15AFF">
                  <w:t>1,243.2</w:t>
                </w:r>
              </w:p>
            </w:tc>
            <w:tc>
              <w:tcPr>
                <w:tcW w:w="1850" w:type="dxa"/>
                <w:hideMark/>
              </w:tcPr>
              <w:p w14:paraId="5677C85E" w14:textId="77777777" w:rsidR="002858B9" w:rsidRPr="00B15AFF" w:rsidRDefault="002858B9" w:rsidP="00F62C20">
                <w:r w:rsidRPr="00B15AFF">
                  <w:t>600</w:t>
                </w:r>
              </w:p>
            </w:tc>
            <w:tc>
              <w:tcPr>
                <w:tcW w:w="1638" w:type="dxa"/>
                <w:hideMark/>
              </w:tcPr>
              <w:p w14:paraId="4C4EA8EC" w14:textId="77777777" w:rsidR="002858B9" w:rsidRPr="00B15AFF" w:rsidRDefault="002858B9" w:rsidP="00F62C20">
                <w:r w:rsidRPr="00B15AFF">
                  <w:t>2.07</w:t>
                </w:r>
              </w:p>
            </w:tc>
          </w:tr>
          <w:tr w:rsidR="002858B9" w:rsidRPr="00B15AFF" w14:paraId="0C1BC607" w14:textId="77777777" w:rsidTr="00F62C20">
            <w:trPr>
              <w:jc w:val="center"/>
            </w:trPr>
            <w:tc>
              <w:tcPr>
                <w:tcW w:w="1403" w:type="dxa"/>
                <w:hideMark/>
              </w:tcPr>
              <w:p w14:paraId="76AC26CE" w14:textId="77777777" w:rsidR="002858B9" w:rsidRPr="00B15AFF" w:rsidRDefault="002858B9" w:rsidP="00F62C20">
                <w:r w:rsidRPr="00B15AFF">
                  <w:t>B</w:t>
                </w:r>
              </w:p>
            </w:tc>
            <w:tc>
              <w:tcPr>
                <w:tcW w:w="1676" w:type="dxa"/>
                <w:hideMark/>
              </w:tcPr>
              <w:p w14:paraId="4559A95E" w14:textId="77777777" w:rsidR="002858B9" w:rsidRPr="00B15AFF" w:rsidRDefault="002858B9" w:rsidP="00F62C20">
                <w:r w:rsidRPr="00B15AFF">
                  <w:t>1,792.3</w:t>
                </w:r>
              </w:p>
            </w:tc>
            <w:tc>
              <w:tcPr>
                <w:tcW w:w="1850" w:type="dxa"/>
                <w:hideMark/>
              </w:tcPr>
              <w:p w14:paraId="1BC35C2F" w14:textId="77777777" w:rsidR="002858B9" w:rsidRPr="00B15AFF" w:rsidRDefault="002858B9" w:rsidP="00F62C20">
                <w:r w:rsidRPr="00B15AFF">
                  <w:t>1,000</w:t>
                </w:r>
              </w:p>
            </w:tc>
            <w:tc>
              <w:tcPr>
                <w:tcW w:w="1638" w:type="dxa"/>
                <w:hideMark/>
              </w:tcPr>
              <w:p w14:paraId="30B4332B" w14:textId="77777777" w:rsidR="002858B9" w:rsidRPr="00B15AFF" w:rsidRDefault="002858B9" w:rsidP="00F62C20">
                <w:r w:rsidRPr="00B15AFF">
                  <w:t>1.79</w:t>
                </w:r>
              </w:p>
            </w:tc>
          </w:tr>
          <w:tr w:rsidR="002858B9" w:rsidRPr="00B15AFF" w14:paraId="119111C8" w14:textId="77777777" w:rsidTr="00F62C20">
            <w:trPr>
              <w:jc w:val="center"/>
            </w:trPr>
            <w:tc>
              <w:tcPr>
                <w:tcW w:w="1403" w:type="dxa"/>
                <w:hideMark/>
              </w:tcPr>
              <w:p w14:paraId="2088A002" w14:textId="77777777" w:rsidR="002858B9" w:rsidRPr="00B15AFF" w:rsidRDefault="002858B9" w:rsidP="00F62C20">
                <w:r w:rsidRPr="00B15AFF">
                  <w:t>C</w:t>
                </w:r>
              </w:p>
            </w:tc>
            <w:tc>
              <w:tcPr>
                <w:tcW w:w="1676" w:type="dxa"/>
                <w:hideMark/>
              </w:tcPr>
              <w:p w14:paraId="346F3FAC" w14:textId="77777777" w:rsidR="002858B9" w:rsidRPr="00B15AFF" w:rsidRDefault="002858B9" w:rsidP="00F62C20">
                <w:r w:rsidRPr="00B15AFF">
                  <w:t>2,342.6</w:t>
                </w:r>
              </w:p>
            </w:tc>
            <w:tc>
              <w:tcPr>
                <w:tcW w:w="1850" w:type="dxa"/>
                <w:hideMark/>
              </w:tcPr>
              <w:p w14:paraId="2AEA863F" w14:textId="77777777" w:rsidR="002858B9" w:rsidRPr="00B15AFF" w:rsidRDefault="002858B9" w:rsidP="00F62C20">
                <w:r w:rsidRPr="00B15AFF">
                  <w:t>1,600</w:t>
                </w:r>
              </w:p>
            </w:tc>
            <w:tc>
              <w:tcPr>
                <w:tcW w:w="1638" w:type="dxa"/>
                <w:hideMark/>
              </w:tcPr>
              <w:p w14:paraId="022CF3C9" w14:textId="77777777" w:rsidR="002858B9" w:rsidRPr="00B15AFF" w:rsidRDefault="002858B9" w:rsidP="00F62C20">
                <w:r w:rsidRPr="00B15AFF">
                  <w:t>1.46</w:t>
                </w:r>
              </w:p>
            </w:tc>
          </w:tr>
        </w:tbl>
        <w:p w14:paraId="0563DC23" w14:textId="77777777" w:rsidR="002858B9" w:rsidRPr="00B15AFF" w:rsidRDefault="002858B9" w:rsidP="002858B9"/>
        <w:p w14:paraId="6300D0DA" w14:textId="77777777" w:rsidR="002858B9" w:rsidRPr="00B15AFF" w:rsidRDefault="002858B9" w:rsidP="002858B9">
          <w:r w:rsidRPr="00B15AFF">
            <w:t>This investment combination maximises shareholder wealth under the capital constraint and is therefore the optimal capital rationing decision.</w:t>
          </w:r>
        </w:p>
        <w:p w14:paraId="3159267E" w14:textId="77777777" w:rsidR="002858B9" w:rsidRPr="00B15AFF" w:rsidRDefault="002858B9" w:rsidP="002858B9">
          <w:pPr>
            <w:rPr>
              <w:b/>
            </w:rPr>
          </w:pPr>
          <w:r w:rsidRPr="00B15AFF">
            <w:rPr>
              <w:b/>
            </w:rPr>
            <w:t>Investment order</w:t>
          </w:r>
        </w:p>
        <w:p w14:paraId="44268DCF" w14:textId="77777777" w:rsidR="002858B9" w:rsidRPr="00B15AFF" w:rsidRDefault="002858B9" w:rsidP="002858B9">
          <w:r w:rsidRPr="00B15AFF">
            <w:t>A</w:t>
          </w:r>
        </w:p>
        <w:p w14:paraId="161B1678" w14:textId="77777777" w:rsidR="002858B9" w:rsidRPr="00B15AFF" w:rsidRDefault="002858B9" w:rsidP="002858B9">
          <w:r w:rsidRPr="00B15AFF">
            <w:t>B</w:t>
          </w:r>
        </w:p>
        <w:p w14:paraId="2839AC06" w14:textId="77777777" w:rsidR="002858B9" w:rsidRPr="00B15AFF" w:rsidRDefault="002858B9" w:rsidP="002858B9">
          <w:r w:rsidRPr="00B15AFF">
            <w:t>C</w:t>
          </w:r>
        </w:p>
        <w:p w14:paraId="47891F05" w14:textId="77777777" w:rsidR="002858B9" w:rsidRPr="00B15AFF" w:rsidRDefault="002858B9" w:rsidP="002858B9">
          <w:pPr>
            <w:rPr>
              <w:b/>
            </w:rPr>
          </w:pPr>
          <w:r w:rsidRPr="00B15AFF">
            <w:rPr>
              <w:b/>
            </w:rPr>
            <w:t>Funds allocation</w:t>
          </w:r>
        </w:p>
        <w:p w14:paraId="7277EF89" w14:textId="77777777" w:rsidR="002858B9" w:rsidRPr="00B15AFF" w:rsidRDefault="002858B9" w:rsidP="002858B9">
          <w:r w:rsidRPr="00B15AFF">
            <w:t>A (600) + B (1,000) = 1,600</w:t>
          </w:r>
        </w:p>
        <w:p w14:paraId="7E2D4A1C" w14:textId="77777777" w:rsidR="002858B9" w:rsidRPr="00B15AFF" w:rsidRDefault="002858B9" w:rsidP="002858B9">
          <w:r w:rsidRPr="00B15AFF">
            <w:lastRenderedPageBreak/>
            <w:t>Remaining funds = 900</w:t>
          </w:r>
        </w:p>
        <w:p w14:paraId="2A811161" w14:textId="77777777" w:rsidR="002858B9" w:rsidRPr="00B15AFF" w:rsidRDefault="002858B9" w:rsidP="002858B9">
          <w:r w:rsidRPr="00B15AFF">
            <w:t>Fraction of C = 900 / 1,600 = 0.5625</w:t>
          </w:r>
        </w:p>
        <w:p w14:paraId="34847DCC" w14:textId="77777777" w:rsidR="002858B9" w:rsidRPr="00B15AFF" w:rsidRDefault="002858B9" w:rsidP="002858B9">
          <w:pPr>
            <w:rPr>
              <w:b/>
            </w:rPr>
          </w:pPr>
          <w:r w:rsidRPr="00B15AFF">
            <w:rPr>
              <w:b/>
            </w:rPr>
            <w:t>NPV from policy</w:t>
          </w:r>
        </w:p>
        <w:p w14:paraId="59DAC07E" w14:textId="77777777" w:rsidR="002858B9" w:rsidRPr="00B15AFF" w:rsidRDefault="002858B9" w:rsidP="002858B9">
          <w:r w:rsidRPr="00B15AFF">
            <w:t>A NPV = 643.2</w:t>
          </w:r>
        </w:p>
        <w:p w14:paraId="38178342" w14:textId="77777777" w:rsidR="002858B9" w:rsidRPr="00B15AFF" w:rsidRDefault="002858B9" w:rsidP="002858B9">
          <w:r w:rsidRPr="00B15AFF">
            <w:t>B NPV = 792.3</w:t>
          </w:r>
        </w:p>
        <w:p w14:paraId="79133A83" w14:textId="77777777" w:rsidR="002858B9" w:rsidRPr="00B15AFF" w:rsidRDefault="002858B9" w:rsidP="002858B9">
          <w:r w:rsidRPr="00B15AFF">
            <w:t>C NPV = 742.6 × 0.5625 = 417.7</w:t>
          </w:r>
        </w:p>
        <w:p w14:paraId="71B8B4FD" w14:textId="77777777" w:rsidR="002858B9" w:rsidRPr="00B15AFF" w:rsidRDefault="002858B9" w:rsidP="002858B9">
          <w:pPr>
            <w:rPr>
              <w:b/>
            </w:rPr>
          </w:pPr>
          <w:r w:rsidRPr="00B15AFF">
            <w:rPr>
              <w:b/>
            </w:rPr>
            <w:t>Total NPV:</w:t>
          </w:r>
        </w:p>
        <w:p w14:paraId="5604426C" w14:textId="77777777" w:rsidR="002858B9" w:rsidRPr="00B15AFF" w:rsidRDefault="002858B9" w:rsidP="002858B9">
          <w:r w:rsidRPr="00B15AFF">
            <w:t>643.2 + 792.3 + 417.7 = £1,853,200</w:t>
          </w:r>
        </w:p>
        <w:p w14:paraId="7C751474" w14:textId="64F34A51" w:rsidR="002858B9" w:rsidRPr="00B15AFF" w:rsidRDefault="002858B9" w:rsidP="002858B9">
          <w:pPr>
            <w:pStyle w:val="Heading3"/>
          </w:pPr>
          <w:bookmarkStart w:id="12" w:name="_Toc219124115"/>
          <w:r w:rsidRPr="00B15AFF">
            <w:t>Funding the Investment Programme</w:t>
          </w:r>
          <w:r>
            <w:t xml:space="preserve"> and Recommendations</w:t>
          </w:r>
          <w:bookmarkEnd w:id="12"/>
        </w:p>
        <w:p w14:paraId="329EA392" w14:textId="6C51B7BA" w:rsidR="002858B9" w:rsidRPr="00B15AFF" w:rsidRDefault="002858B9" w:rsidP="002858B9">
          <w:r w:rsidRPr="00B15AFF">
            <w:t xml:space="preserve">How </w:t>
          </w:r>
          <w:proofErr w:type="gramStart"/>
          <w:r w:rsidRPr="00B15AFF">
            <w:t>Westward</w:t>
          </w:r>
          <w:proofErr w:type="gramEnd"/>
          <w:r w:rsidRPr="00B15AFF">
            <w:t xml:space="preserve"> funds its investment programme is equally important as the decision itself is regarding the fact that financing decisions directly </w:t>
          </w:r>
          <w:r w:rsidR="00481C82">
            <w:t>put impact on</w:t>
          </w:r>
          <w:r w:rsidRPr="00B15AFF">
            <w:t xml:space="preserve"> the cost of capital, financial risk, and shareholder returns at the firm. In order to finance the chosen investment mix and remain financially stable, a balanced and flexible financing policy is to be followed by Westward. Retained earnings should form the main fund. Retained profits are funds that are non-financially risky to the extent that </w:t>
          </w:r>
          <w:r>
            <w:t>they</w:t>
          </w:r>
          <w:r w:rsidRPr="00B15AFF">
            <w:t xml:space="preserve"> </w:t>
          </w:r>
          <w:r>
            <w:t>are</w:t>
          </w:r>
          <w:r w:rsidRPr="00B15AFF">
            <w:t xml:space="preserve"> internally generated and do not have to be repaid. Since Westward has high operating cash flows, retained earning</w:t>
          </w:r>
          <w:r>
            <w:t>s would be an effective and low-</w:t>
          </w:r>
          <w:r w:rsidRPr="00B15AFF">
            <w:t>risk way of financing projects with returns that are significantly higher than the cost of capital</w:t>
          </w:r>
          <w:r>
            <w:t xml:space="preserve"> (</w:t>
          </w:r>
          <w:proofErr w:type="spellStart"/>
          <w:r>
            <w:rPr>
              <w:rFonts w:eastAsia="Times New Roman" w:cs="Times New Roman"/>
              <w:szCs w:val="24"/>
              <w:lang w:val="en-US"/>
            </w:rPr>
            <w:t>Charoenwong</w:t>
          </w:r>
          <w:proofErr w:type="spellEnd"/>
          <w:r>
            <w:rPr>
              <w:rFonts w:eastAsia="Times New Roman" w:cs="Times New Roman"/>
              <w:szCs w:val="24"/>
              <w:lang w:val="en-US"/>
            </w:rPr>
            <w:t xml:space="preserve"> et al., </w:t>
          </w:r>
          <w:r w:rsidRPr="00924C94">
            <w:rPr>
              <w:rFonts w:eastAsia="Times New Roman" w:cs="Times New Roman"/>
              <w:szCs w:val="24"/>
              <w:lang w:val="en-US"/>
            </w:rPr>
            <w:t>2024)</w:t>
          </w:r>
          <w:r w:rsidRPr="00B15AFF">
            <w:t>. The opport</w:t>
          </w:r>
          <w:r>
            <w:t xml:space="preserve">unity cost of retained earnings, </w:t>
          </w:r>
          <w:r w:rsidRPr="00B15AFF">
            <w:t>ho</w:t>
          </w:r>
          <w:r>
            <w:t xml:space="preserve">wever is the foregone dividends; </w:t>
          </w:r>
          <w:r w:rsidRPr="00B15AFF">
            <w:t>thus</w:t>
          </w:r>
          <w:r>
            <w:t>,</w:t>
          </w:r>
          <w:r w:rsidRPr="00B15AFF">
            <w:t xml:space="preserve"> reinvestment ought to be on worth</w:t>
          </w:r>
          <w:r>
            <w:t>while</w:t>
          </w:r>
          <w:r w:rsidRPr="00B15AFF">
            <w:t xml:space="preserve"> creating projects, in this case</w:t>
          </w:r>
          <w:r>
            <w:t>,</w:t>
          </w:r>
          <w:r w:rsidRPr="00B15AFF">
            <w:t xml:space="preserve"> evidently fulfilled. Besides retained earnings, moderate long-term debt financing should be used by Westward. Debt has a tax benefit since</w:t>
          </w:r>
          <w:r>
            <w:t xml:space="preserve"> the payment of interest is tax-</w:t>
          </w:r>
          <w:r w:rsidRPr="00B15AFF">
            <w:t xml:space="preserve">deductible, which makes the cost of borrowing less effective. Considering the good interest cover ratio and better gearing position, </w:t>
          </w:r>
          <w:proofErr w:type="gramStart"/>
          <w:r w:rsidRPr="00B15AFF">
            <w:t>Westward</w:t>
          </w:r>
          <w:proofErr w:type="gramEnd"/>
          <w:r w:rsidRPr="00B15AFF">
            <w:t xml:space="preserve"> has enough ability to borrow more without posing a great risk to the financial position</w:t>
          </w:r>
          <w:r>
            <w:t xml:space="preserve"> (</w:t>
          </w:r>
          <w:r>
            <w:rPr>
              <w:rFonts w:eastAsia="Times New Roman" w:cs="Times New Roman"/>
              <w:szCs w:val="24"/>
              <w:lang w:val="en-US"/>
            </w:rPr>
            <w:t xml:space="preserve">Miller, </w:t>
          </w:r>
          <w:r w:rsidRPr="00924C94">
            <w:rPr>
              <w:rFonts w:eastAsia="Times New Roman" w:cs="Times New Roman"/>
              <w:szCs w:val="24"/>
              <w:lang w:val="en-US"/>
            </w:rPr>
            <w:t>2022)</w:t>
          </w:r>
          <w:r w:rsidRPr="00B15AFF">
            <w:t>. Debt is to be channelled on projects where the cash flow is predictab</w:t>
          </w:r>
          <w:r>
            <w:t>le in order to have confidence i</w:t>
          </w:r>
          <w:r w:rsidRPr="00B15AFF">
            <w:t>n servicing the interest and principal repayments. Nevertheless, overdependence on debt should be prevented</w:t>
          </w:r>
          <w:r>
            <w:t>,</w:t>
          </w:r>
          <w:r w:rsidRPr="00B15AFF">
            <w:t xml:space="preserve"> especially in a fluctuating energy market where cash flows are easily affected by changes in commodity prices.</w:t>
          </w:r>
        </w:p>
        <w:p w14:paraId="0AF5F494" w14:textId="37CA0F67" w:rsidR="002858B9" w:rsidRPr="00B15AFF" w:rsidRDefault="002858B9" w:rsidP="002858B9">
          <w:r w:rsidRPr="00B15AFF">
            <w:t>Iss</w:t>
          </w:r>
          <w:r>
            <w:t>uing new equity is a matter of</w:t>
          </w:r>
          <w:r w:rsidRPr="00B15AFF">
            <w:t xml:space="preserve"> last resort. Equity financing is generally costly than debt and leads to dilution of the shareholders</w:t>
          </w:r>
          <w:r>
            <w:t>’</w:t>
          </w:r>
          <w:r w:rsidRPr="00B15AFF">
            <w:t xml:space="preserve"> ownership and earnings per share. Unless there is </w:t>
          </w:r>
          <w:r>
            <w:t xml:space="preserve">an </w:t>
          </w:r>
          <w:r w:rsidRPr="00B15AFF">
            <w:lastRenderedPageBreak/>
            <w:t xml:space="preserve">extreme liquidity requirement or </w:t>
          </w:r>
          <w:r>
            <w:t xml:space="preserve">a </w:t>
          </w:r>
          <w:r w:rsidRPr="00B15AFF">
            <w:t>strategic need, the equity issu</w:t>
          </w:r>
          <w:r>
            <w:t>ance</w:t>
          </w:r>
          <w:r w:rsidRPr="00B15AFF">
            <w:t xml:space="preserve"> can have adverse market implications </w:t>
          </w:r>
          <w:r>
            <w:t>for</w:t>
          </w:r>
          <w:r w:rsidRPr="00B15AFF">
            <w:t xml:space="preserve"> the company</w:t>
          </w:r>
          <w:r>
            <w:t>’s</w:t>
          </w:r>
          <w:r w:rsidRPr="00B15AFF">
            <w:t xml:space="preserve"> financial status of Westward</w:t>
          </w:r>
          <w:r>
            <w:t xml:space="preserve"> (</w:t>
          </w:r>
          <w:proofErr w:type="spellStart"/>
          <w:r>
            <w:rPr>
              <w:rFonts w:eastAsia="Times New Roman" w:cs="Times New Roman"/>
              <w:szCs w:val="24"/>
              <w:lang w:val="en-US"/>
            </w:rPr>
            <w:t>Puwanenthiren</w:t>
          </w:r>
          <w:proofErr w:type="spellEnd"/>
          <w:r>
            <w:rPr>
              <w:rFonts w:eastAsia="Times New Roman" w:cs="Times New Roman"/>
              <w:szCs w:val="24"/>
              <w:lang w:val="en-US"/>
            </w:rPr>
            <w:t xml:space="preserve">, </w:t>
          </w:r>
          <w:r w:rsidRPr="00924C94">
            <w:rPr>
              <w:rFonts w:eastAsia="Times New Roman" w:cs="Times New Roman"/>
              <w:szCs w:val="24"/>
              <w:lang w:val="en-US"/>
            </w:rPr>
            <w:t>2024)</w:t>
          </w:r>
          <w:r w:rsidRPr="00B15AFF">
            <w:t xml:space="preserve">. Equity must therefore be applied </w:t>
          </w:r>
          <w:r>
            <w:t>in</w:t>
          </w:r>
          <w:r w:rsidRPr="00B15AFF">
            <w:t xml:space="preserve"> the event that internal funds and debt capacity are not adequate. </w:t>
          </w:r>
          <w:r>
            <w:t xml:space="preserve">Other funding methods, </w:t>
          </w:r>
          <w:r w:rsidRPr="00B15AFF">
            <w:t>like leasing or project-based financing</w:t>
          </w:r>
          <w:r>
            <w:t>,</w:t>
          </w:r>
          <w:r w:rsidRPr="00B15AFF">
            <w:t xml:space="preserve"> can also be adopted in the case of assets that n</w:t>
          </w:r>
          <w:r>
            <w:t>eed flexibility. Leasing minimis</w:t>
          </w:r>
          <w:r w:rsidRPr="00B15AFF">
            <w:t xml:space="preserve">es initial cash outlays and can save cash, but </w:t>
          </w:r>
          <w:r>
            <w:t xml:space="preserve">it </w:t>
          </w:r>
          <w:r w:rsidRPr="00B15AFF">
            <w:t>can raise overall expenses in the long run. In general, retained earnings and mo</w:t>
          </w:r>
          <w:r>
            <w:t>derate debt are the best financial</w:t>
          </w:r>
          <w:r w:rsidRPr="00B15AFF">
            <w:t xml:space="preserve"> strategy </w:t>
          </w:r>
          <w:r>
            <w:t>for</w:t>
          </w:r>
          <w:r w:rsidRPr="00B15AFF">
            <w:t xml:space="preserve"> Westward. This would reduce risk, financial flexib</w:t>
          </w:r>
          <w:r>
            <w:t xml:space="preserve">ility, cost of capital and </w:t>
          </w:r>
          <w:r w:rsidRPr="00B15AFF">
            <w:t>sustainable growth.</w:t>
          </w:r>
        </w:p>
        <w:p w14:paraId="1121044C" w14:textId="53ECF748" w:rsidR="002858B9" w:rsidRPr="00B15AFF" w:rsidRDefault="002858B9" w:rsidP="002858B9">
          <w:r w:rsidRPr="00B15AFF">
            <w:t>According to the overall financial analysis, the best option that Westward PLC should focus on is Option B since it will provide the best Net Present Value and a high Internal Rate of Return</w:t>
          </w:r>
          <w:r>
            <w:t>,</w:t>
          </w:r>
          <w:r w:rsidRPr="00B15AFF">
            <w:t xml:space="preserve"> far exceeding the cost of capital of the firm. The project will have the highest absolute contribution to the wealth of the shareholders and is in line with the long-term strategic plan of Westward, which is to diversify and innovate.</w:t>
          </w:r>
          <w:r>
            <w:t xml:space="preserve"> </w:t>
          </w:r>
          <w:r w:rsidRPr="00B15AFF">
            <w:t xml:space="preserve">Nevertheless, given the capital limitation of 2.5 million, Westward ought to use </w:t>
          </w:r>
          <w:r>
            <w:t xml:space="preserve">a </w:t>
          </w:r>
          <w:r w:rsidRPr="00B15AFF">
            <w:t xml:space="preserve">portfolio investment approach as opposed to investing in a project. This will enable </w:t>
          </w:r>
          <w:proofErr w:type="gramStart"/>
          <w:r w:rsidRPr="00B15AFF">
            <w:t>Westward</w:t>
          </w:r>
          <w:proofErr w:type="gramEnd"/>
          <w:r w:rsidRPr="00B15AFF">
            <w:t xml:space="preserve"> to enjoy the benefits of predictable and stable cash flows</w:t>
          </w:r>
          <w:r>
            <w:t xml:space="preserve"> of the lower-risk projects and, </w:t>
          </w:r>
          <w:r w:rsidRPr="00B15AFF">
            <w:t>at the same time</w:t>
          </w:r>
          <w:r>
            <w:t>,</w:t>
          </w:r>
          <w:r w:rsidRPr="00B15AFF">
            <w:t xml:space="preserve"> enjoy the potential of the high-growth of Option B</w:t>
          </w:r>
          <w:r>
            <w:t xml:space="preserve"> (</w:t>
          </w:r>
          <w:r>
            <w:rPr>
              <w:rFonts w:eastAsia="Times New Roman" w:cs="Times New Roman"/>
              <w:szCs w:val="24"/>
              <w:lang w:val="en-US"/>
            </w:rPr>
            <w:t xml:space="preserve">Martin, </w:t>
          </w:r>
          <w:r w:rsidRPr="00924C94">
            <w:rPr>
              <w:rFonts w:eastAsia="Times New Roman" w:cs="Times New Roman"/>
              <w:szCs w:val="24"/>
              <w:lang w:val="en-US"/>
            </w:rPr>
            <w:t>2021)</w:t>
          </w:r>
          <w:r w:rsidRPr="00B15AFF">
            <w:t>. This diversified investment structure provides strategic resil</w:t>
          </w:r>
          <w:r>
            <w:t xml:space="preserve">ience against market volatility, </w:t>
          </w:r>
          <w:r w:rsidRPr="00B15AFF">
            <w:t xml:space="preserve">as well as taking away the dependence </w:t>
          </w:r>
          <w:r>
            <w:t>on</w:t>
          </w:r>
          <w:r w:rsidRPr="00B15AFF">
            <w:t xml:space="preserve"> one income stream. It is also flexible</w:t>
          </w:r>
          <w:r>
            <w:t>,</w:t>
          </w:r>
          <w:r w:rsidRPr="00B15AFF">
            <w:t xml:space="preserve"> allowing the company to increase or reduce investments according to the varying economic or regulatory environment. The moderate debt with the recommended financing mix of retained earnings also supports the viability of the investment programme. This will put the financial risk in check and exploit tax benefits</w:t>
          </w:r>
          <w:r>
            <w:t>,</w:t>
          </w:r>
          <w:r w:rsidRPr="00B15AFF">
            <w:t xml:space="preserve"> and maintain shareholder value. To sum up, NPV is the main decision-making tool that </w:t>
          </w:r>
          <w:proofErr w:type="gramStart"/>
          <w:r w:rsidRPr="00B15AFF">
            <w:t>Westward</w:t>
          </w:r>
          <w:proofErr w:type="gramEnd"/>
          <w:r w:rsidRPr="00B15AFF">
            <w:t xml:space="preserve"> should use in the proposed investment programme, which should be supplemented by IRR and qualitative analysis. Such a rigorous financial practice will result in </w:t>
          </w:r>
          <w:r>
            <w:t>effective utilisation of limited capital</w:t>
          </w:r>
          <w:proofErr w:type="gramStart"/>
          <w:r>
            <w:t>,  mitigated</w:t>
          </w:r>
          <w:proofErr w:type="gramEnd"/>
          <w:r>
            <w:t xml:space="preserve"> risk exposure, and </w:t>
          </w:r>
          <w:r w:rsidRPr="00B15AFF">
            <w:t>long-term value creation.</w:t>
          </w:r>
        </w:p>
        <w:p w14:paraId="5B4A7805" w14:textId="77777777" w:rsidR="000E1C6B" w:rsidRPr="000E1C6B" w:rsidRDefault="000E1C6B">
          <w:pPr>
            <w:spacing w:line="259" w:lineRule="auto"/>
            <w:jc w:val="left"/>
            <w:rPr>
              <w:rFonts w:eastAsiaTheme="majorEastAsia" w:cstheme="majorBidi"/>
              <w:color w:val="2E74B5" w:themeColor="accent1" w:themeShade="BF"/>
              <w:sz w:val="32"/>
              <w:szCs w:val="32"/>
            </w:rPr>
          </w:pPr>
          <w:r w:rsidRPr="000E1C6B">
            <w:br w:type="page"/>
          </w:r>
        </w:p>
        <w:p w14:paraId="5C67928C" w14:textId="56ED2440" w:rsidR="00AA2A91" w:rsidRPr="000E1C6B" w:rsidRDefault="00AA2A91" w:rsidP="000E1C6B">
          <w:pPr>
            <w:pStyle w:val="Heading1"/>
          </w:pPr>
          <w:bookmarkStart w:id="13" w:name="_Toc219124116"/>
          <w:r w:rsidRPr="000E1C6B">
            <w:lastRenderedPageBreak/>
            <w:t>Conclusion</w:t>
          </w:r>
          <w:bookmarkEnd w:id="13"/>
        </w:p>
        <w:p w14:paraId="6988785B" w14:textId="33D4A9B3" w:rsidR="002858B9" w:rsidRPr="00B15AFF" w:rsidRDefault="002858B9" w:rsidP="002858B9">
          <w:r w:rsidRPr="00B15AFF">
            <w:t xml:space="preserve">This report has presented an in-depth analysis of the </w:t>
          </w:r>
          <w:bookmarkStart w:id="14" w:name="_GoBack"/>
          <w:bookmarkEnd w:id="14"/>
          <w:r w:rsidRPr="00B15AFF">
            <w:t>performance and decision-making of the BP PLC Company through the conventional approaches of managing finances. The report uses a combination of ratio analysis with the discounted cash flow appraisal models to show how informed financial analysis can be use</w:t>
          </w:r>
          <w:r>
            <w:t>d to help in strategic decision-</w:t>
          </w:r>
          <w:r w:rsidRPr="00B15AFF">
            <w:t>making and maximising shareholder value. The analysis of the financial ratios showed that BP is financially stable in spite of being in a highly volatile and capital-intensive industry. Profitability is high, but under the pressure of changing the prices of the commodities and the rising investment in the transition to energy activities. Liquidity ratios show the sufficient short-term solvency of the company, but good operating cash flows suppor</w:t>
          </w:r>
          <w:r>
            <w:t>t this. Efficiency ratios point</w:t>
          </w:r>
          <w:r w:rsidRPr="00B15AFF">
            <w:t xml:space="preserve"> out the areas of improvement in the working capital management</w:t>
          </w:r>
          <w:r>
            <w:t>,</w:t>
          </w:r>
          <w:r w:rsidRPr="00B15AFF">
            <w:t xml:space="preserve"> whereas gearing and investor ratios depict a wise capital structure and the future shareholder returns commitment. Simultaneously, the weaknesses of the ratio analysis were also admitted</w:t>
          </w:r>
          <w:r>
            <w:t>,</w:t>
          </w:r>
          <w:r w:rsidRPr="00B15AFF">
            <w:t xml:space="preserve"> as it needed to use historical data and did not consider any qualitative and strategic factors. </w:t>
          </w:r>
          <w:r>
            <w:t>The i</w:t>
          </w:r>
          <w:r w:rsidRPr="00B15AFF">
            <w:t xml:space="preserve">nvestment appraisal section proved the usefulness of Net </w:t>
          </w:r>
          <w:r>
            <w:t>Present Value and Internal Rate of R</w:t>
          </w:r>
          <w:r w:rsidRPr="00B15AFF">
            <w:t xml:space="preserve">eturn in assessing long-term investment opportunities. The analysis of NPV showed clearly that the project that creates the greatest value is the one that was labelled as Option B, and IRR proved that the financial attractiveness of the project was great compared to the cost of capital of Westward. The capital rationing exercise also demonstrated the significance of defining the best mix of projects as opposed to focusing on the selection of individual projects under the impetus of capital constraint. The financing discussion has underscored the need to make </w:t>
          </w:r>
          <w:r>
            <w:t xml:space="preserve">an </w:t>
          </w:r>
          <w:r w:rsidRPr="00B15AFF">
            <w:t xml:space="preserve">appropriate capital structure in line with investment decisions. A moderate amount of debt combined with retained earnings was found to be the most appropriate form of financing, needed to provide financial flexibility but at minimum risk and cost of funds. In general, the report affirms that sound management of a corporation is anchored on disciplined financial analysis. In the case of a global energy company such as BP, a strong financial analysis, strategic orientation and wise financing choice </w:t>
          </w:r>
          <w:r>
            <w:t>are</w:t>
          </w:r>
          <w:r w:rsidRPr="00B15AFF">
            <w:t xml:space="preserve"> pivotal in being uncertain, facilitating the energy transition, and achieving long-term sustainable shareholder value creation.</w:t>
          </w:r>
        </w:p>
        <w:p w14:paraId="255940F1" w14:textId="77777777" w:rsidR="000E1C6B" w:rsidRPr="000E1C6B" w:rsidRDefault="000E1C6B">
          <w:pPr>
            <w:spacing w:line="259" w:lineRule="auto"/>
            <w:jc w:val="left"/>
          </w:pPr>
          <w:r w:rsidRPr="000E1C6B">
            <w:br w:type="page"/>
          </w:r>
        </w:p>
        <w:p w14:paraId="7202FDFC" w14:textId="25616B2C" w:rsidR="00AA2A91" w:rsidRPr="000E1C6B" w:rsidRDefault="00AA2A91" w:rsidP="000E1C6B">
          <w:pPr>
            <w:pStyle w:val="Heading1"/>
          </w:pPr>
          <w:bookmarkStart w:id="15" w:name="_Toc219124117"/>
          <w:r w:rsidRPr="000E1C6B">
            <w:lastRenderedPageBreak/>
            <w:t>Bibliography</w:t>
          </w:r>
          <w:bookmarkEnd w:id="15"/>
        </w:p>
        <w:p w14:paraId="5F4DFD4E" w14:textId="77777777" w:rsidR="002858B9" w:rsidRDefault="002858B9" w:rsidP="002858B9">
          <w:pPr>
            <w:ind w:left="720" w:hanging="720"/>
            <w:rPr>
              <w:lang w:val="en-US"/>
            </w:rPr>
          </w:pPr>
          <w:proofErr w:type="gramStart"/>
          <w:r w:rsidRPr="00C86415">
            <w:rPr>
              <w:lang w:val="en-US"/>
            </w:rPr>
            <w:t xml:space="preserve">Abdullah, M. </w:t>
          </w:r>
          <w:proofErr w:type="spellStart"/>
          <w:r>
            <w:rPr>
              <w:rFonts w:ascii="Helvetica" w:hAnsi="Helvetica"/>
              <w:color w:val="3A3A3A"/>
              <w:sz w:val="23"/>
              <w:szCs w:val="23"/>
              <w:shd w:val="clear" w:color="auto" w:fill="FFFFFF"/>
            </w:rPr>
            <w:t>Mirosea</w:t>
          </w:r>
          <w:proofErr w:type="spellEnd"/>
          <w:r>
            <w:rPr>
              <w:rFonts w:ascii="Helvetica" w:hAnsi="Helvetica"/>
              <w:color w:val="3A3A3A"/>
              <w:sz w:val="23"/>
              <w:szCs w:val="23"/>
              <w:shd w:val="clear" w:color="auto" w:fill="FFFFFF"/>
            </w:rPr>
            <w:t xml:space="preserve">, N., </w:t>
          </w:r>
          <w:proofErr w:type="spellStart"/>
          <w:r>
            <w:rPr>
              <w:rFonts w:ascii="Helvetica" w:hAnsi="Helvetica"/>
              <w:color w:val="3A3A3A"/>
              <w:sz w:val="23"/>
              <w:szCs w:val="23"/>
              <w:shd w:val="clear" w:color="auto" w:fill="FFFFFF"/>
            </w:rPr>
            <w:t>Aswati</w:t>
          </w:r>
          <w:proofErr w:type="spellEnd"/>
          <w:r>
            <w:rPr>
              <w:rFonts w:ascii="Helvetica" w:hAnsi="Helvetica"/>
              <w:color w:val="3A3A3A"/>
              <w:sz w:val="23"/>
              <w:szCs w:val="23"/>
              <w:shd w:val="clear" w:color="auto" w:fill="FFFFFF"/>
            </w:rPr>
            <w:t xml:space="preserve">, W. O., and </w:t>
          </w:r>
          <w:proofErr w:type="spellStart"/>
          <w:r>
            <w:rPr>
              <w:rFonts w:ascii="Helvetica" w:hAnsi="Helvetica"/>
              <w:color w:val="3A3A3A"/>
              <w:sz w:val="23"/>
              <w:szCs w:val="23"/>
              <w:shd w:val="clear" w:color="auto" w:fill="FFFFFF"/>
            </w:rPr>
            <w:t>Santi</w:t>
          </w:r>
          <w:proofErr w:type="spellEnd"/>
          <w:r>
            <w:rPr>
              <w:rFonts w:ascii="Helvetica" w:hAnsi="Helvetica"/>
              <w:color w:val="3A3A3A"/>
              <w:sz w:val="23"/>
              <w:szCs w:val="23"/>
              <w:shd w:val="clear" w:color="auto" w:fill="FFFFFF"/>
            </w:rPr>
            <w:t>.</w:t>
          </w:r>
          <w:proofErr w:type="gramEnd"/>
          <w:r w:rsidRPr="00C86415">
            <w:rPr>
              <w:lang w:val="en-US"/>
            </w:rPr>
            <w:t xml:space="preserve"> </w:t>
          </w:r>
          <w:proofErr w:type="gramStart"/>
          <w:r w:rsidRPr="00C86415">
            <w:rPr>
              <w:lang w:val="en-US"/>
            </w:rPr>
            <w:t xml:space="preserve">(2023) “Analysis of Financial Ratios to Predict Financial Distress Conditions of Manufacturing Companies Listed on the Indonesian Stock Exchange,” </w:t>
          </w:r>
          <w:r w:rsidRPr="00C86415">
            <w:rPr>
              <w:i/>
              <w:iCs/>
              <w:lang w:val="en-US"/>
            </w:rPr>
            <w:t>International Journal of Professional Business Review</w:t>
          </w:r>
          <w:r w:rsidRPr="00C86415">
            <w:rPr>
              <w:lang w:val="en-US"/>
            </w:rPr>
            <w:t>, 8(7), pp. e03156-16.</w:t>
          </w:r>
          <w:proofErr w:type="gramEnd"/>
          <w:r w:rsidRPr="00C86415">
            <w:rPr>
              <w:lang w:val="en-US"/>
            </w:rPr>
            <w:t xml:space="preserve"> Available at: </w:t>
          </w:r>
          <w:hyperlink r:id="rId11" w:history="1">
            <w:r w:rsidRPr="000D4EA3">
              <w:rPr>
                <w:rStyle w:val="Hyperlink"/>
                <w:rFonts w:eastAsia="Times New Roman" w:cs="Times New Roman"/>
                <w:szCs w:val="24"/>
                <w:lang w:val="en-US"/>
              </w:rPr>
              <w:t>https://doi.org/10.26668/businessreview/2023.v8i7.3156</w:t>
            </w:r>
          </w:hyperlink>
          <w:r w:rsidRPr="00C86415">
            <w:rPr>
              <w:lang w:val="en-US"/>
            </w:rPr>
            <w:t>.</w:t>
          </w:r>
        </w:p>
        <w:p w14:paraId="4DFB8A07" w14:textId="77777777" w:rsidR="002858B9" w:rsidRPr="00C86415" w:rsidRDefault="002858B9" w:rsidP="002858B9">
          <w:pPr>
            <w:ind w:left="720" w:hanging="720"/>
            <w:rPr>
              <w:lang w:val="en-US"/>
            </w:rPr>
          </w:pPr>
          <w:proofErr w:type="spellStart"/>
          <w:r w:rsidRPr="00C86415">
            <w:rPr>
              <w:lang w:val="en-US"/>
            </w:rPr>
            <w:t>Antar</w:t>
          </w:r>
          <w:proofErr w:type="spellEnd"/>
          <w:r w:rsidRPr="00C86415">
            <w:rPr>
              <w:lang w:val="en-US"/>
            </w:rPr>
            <w:t xml:space="preserve">, M. and </w:t>
          </w:r>
          <w:proofErr w:type="spellStart"/>
          <w:r w:rsidRPr="00C86415">
            <w:rPr>
              <w:lang w:val="en-US"/>
            </w:rPr>
            <w:t>Tayachi</w:t>
          </w:r>
          <w:proofErr w:type="spellEnd"/>
          <w:r w:rsidRPr="00C86415">
            <w:rPr>
              <w:lang w:val="en-US"/>
            </w:rPr>
            <w:t xml:space="preserve">, T. (2025) “Partial dependence analysis of financial ratios in predicting company defaults: random forest </w:t>
          </w:r>
          <w:proofErr w:type="spellStart"/>
          <w:r w:rsidRPr="00C86415">
            <w:rPr>
              <w:lang w:val="en-US"/>
            </w:rPr>
            <w:t>vs</w:t>
          </w:r>
          <w:proofErr w:type="spellEnd"/>
          <w:r w:rsidRPr="00C86415">
            <w:rPr>
              <w:lang w:val="en-US"/>
            </w:rPr>
            <w:t xml:space="preserve"> </w:t>
          </w:r>
          <w:proofErr w:type="spellStart"/>
          <w:r w:rsidRPr="00C86415">
            <w:rPr>
              <w:lang w:val="en-US"/>
            </w:rPr>
            <w:t>XGBoost</w:t>
          </w:r>
          <w:proofErr w:type="spellEnd"/>
          <w:r w:rsidRPr="00C86415">
            <w:rPr>
              <w:lang w:val="en-US"/>
            </w:rPr>
            <w:t xml:space="preserve"> models,” </w:t>
          </w:r>
          <w:r w:rsidRPr="00C86415">
            <w:rPr>
              <w:i/>
              <w:iCs/>
              <w:lang w:val="en-US"/>
            </w:rPr>
            <w:t>Digital finance</w:t>
          </w:r>
          <w:r w:rsidRPr="00C86415">
            <w:rPr>
              <w:lang w:val="en-US"/>
            </w:rPr>
            <w:t>, 7(4), pp. 997–1012. Available at: https://doi.org/10.1007/s42521-025-00135-6.</w:t>
          </w:r>
        </w:p>
        <w:p w14:paraId="45EB0F93" w14:textId="77777777" w:rsidR="002858B9" w:rsidRDefault="002858B9" w:rsidP="002858B9">
          <w:pPr>
            <w:ind w:left="720" w:hanging="720"/>
            <w:rPr>
              <w:lang w:val="en-US"/>
            </w:rPr>
          </w:pPr>
          <w:proofErr w:type="spellStart"/>
          <w:proofErr w:type="gramStart"/>
          <w:r w:rsidRPr="00924C94">
            <w:rPr>
              <w:lang w:val="en-US"/>
            </w:rPr>
            <w:t>Charoenwong</w:t>
          </w:r>
          <w:proofErr w:type="spellEnd"/>
          <w:r w:rsidRPr="00924C94">
            <w:rPr>
              <w:lang w:val="en-US"/>
            </w:rPr>
            <w:t xml:space="preserve">, B. </w:t>
          </w:r>
          <w:r>
            <w:rPr>
              <w:rFonts w:ascii="Helvetica" w:hAnsi="Helvetica"/>
              <w:color w:val="3A3A3A"/>
              <w:sz w:val="23"/>
              <w:szCs w:val="23"/>
              <w:shd w:val="clear" w:color="auto" w:fill="FFFFFF"/>
            </w:rPr>
            <w:t>Kimura, Y., Kwan, A., and Tan, E.</w:t>
          </w:r>
          <w:r w:rsidRPr="00924C94">
            <w:rPr>
              <w:lang w:val="en-US"/>
            </w:rPr>
            <w:t xml:space="preserve"> (2024) “Capital budgeting, uncertainty, and misallocation,” </w:t>
          </w:r>
          <w:r w:rsidRPr="00924C94">
            <w:rPr>
              <w:i/>
              <w:iCs/>
              <w:lang w:val="en-US"/>
            </w:rPr>
            <w:t>Journal of financial economics</w:t>
          </w:r>
          <w:r w:rsidRPr="00924C94">
            <w:rPr>
              <w:lang w:val="en-US"/>
            </w:rPr>
            <w:t>, 153.</w:t>
          </w:r>
          <w:proofErr w:type="gramEnd"/>
          <w:r w:rsidRPr="00924C94">
            <w:rPr>
              <w:lang w:val="en-US"/>
            </w:rPr>
            <w:t xml:space="preserve"> Available at: </w:t>
          </w:r>
          <w:hyperlink r:id="rId12" w:history="1">
            <w:r w:rsidRPr="000D4EA3">
              <w:rPr>
                <w:rStyle w:val="Hyperlink"/>
                <w:rFonts w:eastAsia="Times New Roman" w:cs="Times New Roman"/>
                <w:szCs w:val="24"/>
                <w:lang w:val="en-US"/>
              </w:rPr>
              <w:t>https://doi.org/10.1016/j.jfineco.2024.103779</w:t>
            </w:r>
          </w:hyperlink>
          <w:r w:rsidRPr="00924C94">
            <w:rPr>
              <w:lang w:val="en-US"/>
            </w:rPr>
            <w:t>.</w:t>
          </w:r>
        </w:p>
        <w:p w14:paraId="65C15CDB" w14:textId="77777777" w:rsidR="002858B9" w:rsidRDefault="002858B9" w:rsidP="002858B9">
          <w:pPr>
            <w:ind w:left="720" w:hanging="720"/>
            <w:rPr>
              <w:lang w:val="en-US"/>
            </w:rPr>
          </w:pPr>
          <w:proofErr w:type="gramStart"/>
          <w:r>
            <w:rPr>
              <w:lang w:val="en-US"/>
            </w:rPr>
            <w:t>Corte</w:t>
          </w:r>
          <w:r w:rsidRPr="00B15AFF">
            <w:rPr>
              <w:lang w:val="en-US"/>
            </w:rPr>
            <w:t xml:space="preserve">s, C. </w:t>
          </w:r>
          <w:r>
            <w:rPr>
              <w:rFonts w:ascii="Helvetica" w:hAnsi="Helvetica"/>
              <w:color w:val="3A3A3A"/>
              <w:sz w:val="23"/>
              <w:szCs w:val="23"/>
              <w:shd w:val="clear" w:color="auto" w:fill="FFFFFF"/>
            </w:rPr>
            <w:t>Carrasco</w:t>
          </w:r>
          <w:r>
            <w:rPr>
              <w:rFonts w:ascii="Cambria Math" w:hAnsi="Cambria Math" w:cs="Cambria Math"/>
              <w:color w:val="3A3A3A"/>
              <w:sz w:val="23"/>
              <w:szCs w:val="23"/>
              <w:shd w:val="clear" w:color="auto" w:fill="FFFFFF"/>
            </w:rPr>
            <w:t>‐</w:t>
          </w:r>
          <w:proofErr w:type="spellStart"/>
          <w:r>
            <w:rPr>
              <w:rFonts w:ascii="Helvetica" w:hAnsi="Helvetica"/>
              <w:color w:val="3A3A3A"/>
              <w:sz w:val="23"/>
              <w:szCs w:val="23"/>
              <w:shd w:val="clear" w:color="auto" w:fill="FFFFFF"/>
            </w:rPr>
            <w:t>Moraleja</w:t>
          </w:r>
          <w:proofErr w:type="spellEnd"/>
          <w:r>
            <w:rPr>
              <w:rFonts w:ascii="Helvetica" w:hAnsi="Helvetica"/>
              <w:color w:val="3A3A3A"/>
              <w:sz w:val="23"/>
              <w:szCs w:val="23"/>
              <w:shd w:val="clear" w:color="auto" w:fill="FFFFFF"/>
            </w:rPr>
            <w:t xml:space="preserve">, M., </w:t>
          </w:r>
          <w:proofErr w:type="spellStart"/>
          <w:r>
            <w:rPr>
              <w:rFonts w:ascii="Helvetica" w:hAnsi="Helvetica"/>
              <w:color w:val="3A3A3A"/>
              <w:sz w:val="23"/>
              <w:szCs w:val="23"/>
              <w:shd w:val="clear" w:color="auto" w:fill="FFFFFF"/>
            </w:rPr>
            <w:t>Aparisi</w:t>
          </w:r>
          <w:proofErr w:type="spellEnd"/>
          <w:r>
            <w:rPr>
              <w:rFonts w:ascii="Helvetica" w:hAnsi="Helvetica"/>
              <w:color w:val="3A3A3A"/>
              <w:sz w:val="23"/>
              <w:szCs w:val="23"/>
              <w:shd w:val="clear" w:color="auto" w:fill="FFFFFF"/>
            </w:rPr>
            <w:t>, A., Rodriguez</w:t>
          </w:r>
          <w:r>
            <w:rPr>
              <w:rFonts w:ascii="Cambria Math" w:hAnsi="Cambria Math" w:cs="Cambria Math"/>
              <w:color w:val="3A3A3A"/>
              <w:sz w:val="23"/>
              <w:szCs w:val="23"/>
              <w:shd w:val="clear" w:color="auto" w:fill="FFFFFF"/>
            </w:rPr>
            <w:t>‐</w:t>
          </w:r>
          <w:proofErr w:type="spellStart"/>
          <w:r>
            <w:rPr>
              <w:rFonts w:ascii="Helvetica" w:hAnsi="Helvetica"/>
              <w:color w:val="3A3A3A"/>
              <w:sz w:val="23"/>
              <w:szCs w:val="23"/>
              <w:shd w:val="clear" w:color="auto" w:fill="FFFFFF"/>
            </w:rPr>
            <w:t>Gabella</w:t>
          </w:r>
          <w:proofErr w:type="spellEnd"/>
          <w:r>
            <w:rPr>
              <w:rFonts w:ascii="Helvetica" w:hAnsi="Helvetica"/>
              <w:color w:val="3A3A3A"/>
              <w:sz w:val="23"/>
              <w:szCs w:val="23"/>
              <w:shd w:val="clear" w:color="auto" w:fill="FFFFFF"/>
            </w:rPr>
            <w:t>, T., Campo, A., Guti</w:t>
          </w:r>
          <w:r>
            <w:rPr>
              <w:rFonts w:ascii="Helvetica" w:hAnsi="Helvetica" w:cs="Helvetica"/>
              <w:color w:val="3A3A3A"/>
              <w:sz w:val="23"/>
              <w:szCs w:val="23"/>
              <w:shd w:val="clear" w:color="auto" w:fill="FFFFFF"/>
            </w:rPr>
            <w:t>é</w:t>
          </w:r>
          <w:r>
            <w:rPr>
              <w:rFonts w:ascii="Helvetica" w:hAnsi="Helvetica"/>
              <w:color w:val="3A3A3A"/>
              <w:sz w:val="23"/>
              <w:szCs w:val="23"/>
              <w:shd w:val="clear" w:color="auto" w:fill="FFFFFF"/>
            </w:rPr>
            <w:t xml:space="preserve">rrez, H., </w:t>
          </w:r>
          <w:proofErr w:type="spellStart"/>
          <w:r>
            <w:rPr>
              <w:rFonts w:ascii="Helvetica" w:hAnsi="Helvetica"/>
              <w:color w:val="3A3A3A"/>
              <w:sz w:val="23"/>
              <w:szCs w:val="23"/>
              <w:shd w:val="clear" w:color="auto" w:fill="FFFFFF"/>
            </w:rPr>
            <w:t>Julca</w:t>
          </w:r>
          <w:proofErr w:type="spellEnd"/>
          <w:r>
            <w:rPr>
              <w:rFonts w:ascii="Helvetica" w:hAnsi="Helvetica"/>
              <w:color w:val="3A3A3A"/>
              <w:sz w:val="23"/>
              <w:szCs w:val="23"/>
              <w:shd w:val="clear" w:color="auto" w:fill="FFFFFF"/>
            </w:rPr>
            <w:t>, F., G</w:t>
          </w:r>
          <w:r>
            <w:rPr>
              <w:rFonts w:ascii="Helvetica" w:hAnsi="Helvetica" w:cs="Helvetica"/>
              <w:color w:val="3A3A3A"/>
              <w:sz w:val="23"/>
              <w:szCs w:val="23"/>
              <w:shd w:val="clear" w:color="auto" w:fill="FFFFFF"/>
            </w:rPr>
            <w:t>ó</w:t>
          </w:r>
          <w:r>
            <w:rPr>
              <w:rFonts w:ascii="Helvetica" w:hAnsi="Helvetica"/>
              <w:color w:val="3A3A3A"/>
              <w:sz w:val="23"/>
              <w:szCs w:val="23"/>
              <w:shd w:val="clear" w:color="auto" w:fill="FFFFFF"/>
            </w:rPr>
            <w:t xml:space="preserve">mez, I., San </w:t>
          </w:r>
          <w:proofErr w:type="spellStart"/>
          <w:r>
            <w:rPr>
              <w:rFonts w:ascii="Helvetica" w:hAnsi="Helvetica"/>
              <w:color w:val="3A3A3A"/>
              <w:sz w:val="23"/>
              <w:szCs w:val="23"/>
              <w:shd w:val="clear" w:color="auto" w:fill="FFFFFF"/>
            </w:rPr>
            <w:t>Rom</w:t>
          </w:r>
          <w:r>
            <w:rPr>
              <w:rFonts w:ascii="Helvetica" w:hAnsi="Helvetica" w:cs="Helvetica"/>
              <w:color w:val="3A3A3A"/>
              <w:sz w:val="23"/>
              <w:szCs w:val="23"/>
              <w:shd w:val="clear" w:color="auto" w:fill="FFFFFF"/>
            </w:rPr>
            <w:t>á</w:t>
          </w:r>
          <w:r>
            <w:rPr>
              <w:rFonts w:ascii="Helvetica" w:hAnsi="Helvetica"/>
              <w:color w:val="3A3A3A"/>
              <w:sz w:val="23"/>
              <w:szCs w:val="23"/>
              <w:shd w:val="clear" w:color="auto" w:fill="FFFFFF"/>
            </w:rPr>
            <w:t>n</w:t>
          </w:r>
          <w:proofErr w:type="spellEnd"/>
          <w:r>
            <w:rPr>
              <w:rFonts w:ascii="Helvetica" w:hAnsi="Helvetica"/>
              <w:color w:val="3A3A3A"/>
              <w:sz w:val="23"/>
              <w:szCs w:val="23"/>
              <w:shd w:val="clear" w:color="auto" w:fill="FFFFFF"/>
            </w:rPr>
            <w:t xml:space="preserve">, J. A., and </w:t>
          </w:r>
          <w:proofErr w:type="spellStart"/>
          <w:r>
            <w:rPr>
              <w:rFonts w:ascii="Helvetica" w:hAnsi="Helvetica"/>
              <w:color w:val="3A3A3A"/>
              <w:sz w:val="23"/>
              <w:szCs w:val="23"/>
              <w:shd w:val="clear" w:color="auto" w:fill="FFFFFF"/>
            </w:rPr>
            <w:t>Amat</w:t>
          </w:r>
          <w:proofErr w:type="spellEnd"/>
          <w:r>
            <w:rPr>
              <w:rFonts w:ascii="Cambria Math" w:hAnsi="Cambria Math" w:cs="Cambria Math"/>
              <w:color w:val="3A3A3A"/>
              <w:sz w:val="23"/>
              <w:szCs w:val="23"/>
              <w:shd w:val="clear" w:color="auto" w:fill="FFFFFF"/>
            </w:rPr>
            <w:t>‐</w:t>
          </w:r>
          <w:r>
            <w:rPr>
              <w:rFonts w:ascii="Helvetica" w:hAnsi="Helvetica"/>
              <w:color w:val="3A3A3A"/>
              <w:sz w:val="23"/>
              <w:szCs w:val="23"/>
              <w:shd w:val="clear" w:color="auto" w:fill="FFFFFF"/>
            </w:rPr>
            <w:t>Santos, I. J.</w:t>
          </w:r>
          <w:proofErr w:type="gramEnd"/>
          <w:r>
            <w:rPr>
              <w:rFonts w:ascii="Helvetica" w:hAnsi="Helvetica"/>
              <w:color w:val="3A3A3A"/>
              <w:sz w:val="23"/>
              <w:szCs w:val="23"/>
              <w:shd w:val="clear" w:color="auto" w:fill="FFFFFF"/>
            </w:rPr>
            <w:t> </w:t>
          </w:r>
          <w:r w:rsidRPr="00B15AFF">
            <w:rPr>
              <w:lang w:val="en-US"/>
            </w:rPr>
            <w:t xml:space="preserve"> </w:t>
          </w:r>
          <w:proofErr w:type="gramStart"/>
          <w:r w:rsidRPr="00B15AFF">
            <w:rPr>
              <w:lang w:val="en-US"/>
            </w:rPr>
            <w:t xml:space="preserve">(2021) “Quantitative flow ratio—Meta‐analysis and systematic review,” </w:t>
          </w:r>
          <w:r w:rsidRPr="00B15AFF">
            <w:rPr>
              <w:i/>
              <w:iCs/>
              <w:lang w:val="en-US"/>
            </w:rPr>
            <w:t>Catheterization and cardiovascular interventions</w:t>
          </w:r>
          <w:r w:rsidRPr="00B15AFF">
            <w:rPr>
              <w:lang w:val="en-US"/>
            </w:rPr>
            <w:t>, 97(5), pp. 807–814.</w:t>
          </w:r>
          <w:proofErr w:type="gramEnd"/>
          <w:r w:rsidRPr="00B15AFF">
            <w:rPr>
              <w:lang w:val="en-US"/>
            </w:rPr>
            <w:t xml:space="preserve"> Available at: </w:t>
          </w:r>
          <w:hyperlink r:id="rId13" w:history="1">
            <w:r w:rsidRPr="000D4EA3">
              <w:rPr>
                <w:rStyle w:val="Hyperlink"/>
                <w:rFonts w:eastAsia="Times New Roman" w:cs="Times New Roman"/>
                <w:szCs w:val="24"/>
                <w:lang w:val="en-US"/>
              </w:rPr>
              <w:t>https://doi.org/10.1002/ccd.28857</w:t>
            </w:r>
          </w:hyperlink>
        </w:p>
        <w:p w14:paraId="46143153" w14:textId="77777777" w:rsidR="002858B9" w:rsidRDefault="002858B9" w:rsidP="002858B9">
          <w:pPr>
            <w:ind w:left="720" w:hanging="720"/>
            <w:rPr>
              <w:lang w:val="en-US"/>
            </w:rPr>
          </w:pPr>
          <w:proofErr w:type="spellStart"/>
          <w:proofErr w:type="gramStart"/>
          <w:r w:rsidRPr="00D42CE1">
            <w:rPr>
              <w:lang w:val="en-US"/>
            </w:rPr>
            <w:t>Darmansyah</w:t>
          </w:r>
          <w:proofErr w:type="spellEnd"/>
          <w:r w:rsidRPr="00D42CE1">
            <w:rPr>
              <w:lang w:val="en-US"/>
            </w:rPr>
            <w:t xml:space="preserve">, A., Ali, Q. and </w:t>
          </w:r>
          <w:proofErr w:type="spellStart"/>
          <w:r w:rsidRPr="00D42CE1">
            <w:rPr>
              <w:lang w:val="en-US"/>
            </w:rPr>
            <w:t>Parveen</w:t>
          </w:r>
          <w:proofErr w:type="spellEnd"/>
          <w:r w:rsidRPr="00D42CE1">
            <w:rPr>
              <w:lang w:val="en-US"/>
            </w:rPr>
            <w:t xml:space="preserve">, S. (2025) “Sophisticated Capital Budgeting Decisions for Financial Performance and Risk Management—A Tale of Two Business Entities,” </w:t>
          </w:r>
          <w:r w:rsidRPr="00D42CE1">
            <w:rPr>
              <w:i/>
              <w:iCs/>
              <w:lang w:val="en-US"/>
            </w:rPr>
            <w:t>Journal of risk and financial management</w:t>
          </w:r>
          <w:r w:rsidRPr="00D42CE1">
            <w:rPr>
              <w:lang w:val="en-US"/>
            </w:rPr>
            <w:t>, 18(6), p. 297.</w:t>
          </w:r>
          <w:proofErr w:type="gramEnd"/>
          <w:r w:rsidRPr="00D42CE1">
            <w:rPr>
              <w:lang w:val="en-US"/>
            </w:rPr>
            <w:t xml:space="preserve"> Available at: </w:t>
          </w:r>
          <w:hyperlink r:id="rId14" w:history="1">
            <w:r w:rsidRPr="000D4EA3">
              <w:rPr>
                <w:rStyle w:val="Hyperlink"/>
                <w:rFonts w:eastAsia="Times New Roman" w:cs="Times New Roman"/>
                <w:szCs w:val="24"/>
                <w:lang w:val="en-US"/>
              </w:rPr>
              <w:t>https://doi.org/10.3390/jrfm18060297</w:t>
            </w:r>
          </w:hyperlink>
          <w:r w:rsidRPr="00D42CE1">
            <w:rPr>
              <w:lang w:val="en-US"/>
            </w:rPr>
            <w:t>.</w:t>
          </w:r>
        </w:p>
        <w:p w14:paraId="0FB508FC" w14:textId="77777777" w:rsidR="002858B9" w:rsidRDefault="002858B9" w:rsidP="002858B9">
          <w:pPr>
            <w:ind w:left="720" w:hanging="720"/>
            <w:rPr>
              <w:lang w:val="en-US"/>
            </w:rPr>
          </w:pPr>
          <w:proofErr w:type="spellStart"/>
          <w:r w:rsidRPr="00CE114C">
            <w:rPr>
              <w:lang w:val="en-US"/>
            </w:rPr>
            <w:t>Giri</w:t>
          </w:r>
          <w:proofErr w:type="spellEnd"/>
          <w:r w:rsidRPr="00CE114C">
            <w:rPr>
              <w:lang w:val="en-US"/>
            </w:rPr>
            <w:t xml:space="preserve">, A.K. </w:t>
          </w:r>
          <w:proofErr w:type="spellStart"/>
          <w:r>
            <w:rPr>
              <w:rFonts w:ascii="Helvetica" w:hAnsi="Helvetica"/>
              <w:color w:val="3A3A3A"/>
              <w:sz w:val="23"/>
              <w:szCs w:val="23"/>
              <w:shd w:val="clear" w:color="auto" w:fill="FFFFFF"/>
            </w:rPr>
            <w:t>Litkowski</w:t>
          </w:r>
          <w:proofErr w:type="spellEnd"/>
          <w:r>
            <w:rPr>
              <w:rFonts w:ascii="Helvetica" w:hAnsi="Helvetica"/>
              <w:color w:val="3A3A3A"/>
              <w:sz w:val="23"/>
              <w:szCs w:val="23"/>
              <w:shd w:val="clear" w:color="auto" w:fill="FFFFFF"/>
            </w:rPr>
            <w:t xml:space="preserve">, C., </w:t>
          </w:r>
          <w:proofErr w:type="spellStart"/>
          <w:r>
            <w:rPr>
              <w:rFonts w:ascii="Helvetica" w:hAnsi="Helvetica"/>
              <w:color w:val="3A3A3A"/>
              <w:sz w:val="23"/>
              <w:szCs w:val="23"/>
              <w:shd w:val="clear" w:color="auto" w:fill="FFFFFF"/>
            </w:rPr>
            <w:t>Subedi</w:t>
          </w:r>
          <w:proofErr w:type="spellEnd"/>
          <w:r>
            <w:rPr>
              <w:rFonts w:ascii="Helvetica" w:hAnsi="Helvetica"/>
              <w:color w:val="3A3A3A"/>
              <w:sz w:val="23"/>
              <w:szCs w:val="23"/>
              <w:shd w:val="clear" w:color="auto" w:fill="FFFFFF"/>
            </w:rPr>
            <w:t>, D., and McDonald, T. M. (2024)</w:t>
          </w:r>
          <w:r w:rsidRPr="00CE114C">
            <w:rPr>
              <w:lang w:val="en-US"/>
            </w:rPr>
            <w:t xml:space="preserve"> “Change in US farm sector’s financial position and performance in 2020 compared to pre-pandemic expectations: An analysis using financial ratios,” </w:t>
          </w:r>
          <w:r w:rsidRPr="00CE114C">
            <w:rPr>
              <w:i/>
              <w:iCs/>
              <w:lang w:val="en-US"/>
            </w:rPr>
            <w:t>Agricultural finance review</w:t>
          </w:r>
          <w:r w:rsidRPr="00CE114C">
            <w:rPr>
              <w:lang w:val="en-US"/>
            </w:rPr>
            <w:t xml:space="preserve">, 84(1), pp. 15–30. Available at: </w:t>
          </w:r>
          <w:hyperlink r:id="rId15" w:history="1">
            <w:r w:rsidRPr="000D4EA3">
              <w:rPr>
                <w:rStyle w:val="Hyperlink"/>
                <w:rFonts w:eastAsia="Times New Roman" w:cs="Times New Roman"/>
                <w:szCs w:val="24"/>
                <w:lang w:val="en-US"/>
              </w:rPr>
              <w:t>https://doi.org/10.1108/AFR-02-2023-0024</w:t>
            </w:r>
          </w:hyperlink>
          <w:r w:rsidRPr="00CE114C">
            <w:rPr>
              <w:lang w:val="en-US"/>
            </w:rPr>
            <w:t>.</w:t>
          </w:r>
        </w:p>
        <w:p w14:paraId="2F265821" w14:textId="77777777" w:rsidR="002858B9" w:rsidRDefault="002858B9" w:rsidP="002858B9">
          <w:pPr>
            <w:ind w:left="720" w:hanging="720"/>
            <w:rPr>
              <w:lang w:val="en-US"/>
            </w:rPr>
          </w:pPr>
          <w:proofErr w:type="gramStart"/>
          <w:r w:rsidRPr="00CE114C">
            <w:rPr>
              <w:lang w:val="en-US"/>
            </w:rPr>
            <w:t xml:space="preserve">Han, S., Song, K. and </w:t>
          </w:r>
          <w:proofErr w:type="spellStart"/>
          <w:r w:rsidRPr="00CE114C">
            <w:rPr>
              <w:lang w:val="en-US"/>
            </w:rPr>
            <w:t>Whang</w:t>
          </w:r>
          <w:proofErr w:type="spellEnd"/>
          <w:r w:rsidRPr="00CE114C">
            <w:rPr>
              <w:lang w:val="en-US"/>
            </w:rPr>
            <w:t xml:space="preserve">, E. (2021) “Financial ratio analysis of law firm’s strategy and job satisfaction,” </w:t>
          </w:r>
          <w:r w:rsidRPr="00CE114C">
            <w:rPr>
              <w:i/>
              <w:iCs/>
              <w:lang w:val="en-US"/>
            </w:rPr>
            <w:t>International journal of organization theory and behavior</w:t>
          </w:r>
          <w:r w:rsidRPr="00CE114C">
            <w:rPr>
              <w:lang w:val="en-US"/>
            </w:rPr>
            <w:t>, 24(1), pp. 24–40.</w:t>
          </w:r>
          <w:proofErr w:type="gramEnd"/>
          <w:r w:rsidRPr="00CE114C">
            <w:rPr>
              <w:lang w:val="en-US"/>
            </w:rPr>
            <w:t xml:space="preserve"> Available at: </w:t>
          </w:r>
          <w:hyperlink r:id="rId16" w:history="1">
            <w:r w:rsidRPr="000D4EA3">
              <w:rPr>
                <w:rStyle w:val="Hyperlink"/>
                <w:rFonts w:eastAsia="Times New Roman" w:cs="Times New Roman"/>
                <w:szCs w:val="24"/>
                <w:lang w:val="en-US"/>
              </w:rPr>
              <w:t>https://doi.org/10.1108/IJOTB-01-2020-0009</w:t>
            </w:r>
          </w:hyperlink>
          <w:r w:rsidRPr="00CE114C">
            <w:rPr>
              <w:lang w:val="en-US"/>
            </w:rPr>
            <w:t>.</w:t>
          </w:r>
        </w:p>
        <w:p w14:paraId="6D0FC6BF" w14:textId="77777777" w:rsidR="002858B9" w:rsidRDefault="002858B9" w:rsidP="002858B9">
          <w:pPr>
            <w:ind w:left="720" w:hanging="720"/>
            <w:rPr>
              <w:lang w:val="en-US"/>
            </w:rPr>
          </w:pPr>
          <w:r>
            <w:rPr>
              <w:lang w:val="en-US"/>
            </w:rPr>
            <w:t xml:space="preserve">Hartmann, M. and </w:t>
          </w:r>
          <w:proofErr w:type="spellStart"/>
          <w:r>
            <w:rPr>
              <w:lang w:val="en-US"/>
            </w:rPr>
            <w:t>Weib</w:t>
          </w:r>
          <w:r w:rsidRPr="00924C94">
            <w:rPr>
              <w:lang w:val="en-US"/>
            </w:rPr>
            <w:t>enberger</w:t>
          </w:r>
          <w:proofErr w:type="spellEnd"/>
          <w:r w:rsidRPr="00924C94">
            <w:rPr>
              <w:lang w:val="en-US"/>
            </w:rPr>
            <w:t xml:space="preserve">, B.E. (2024) “Decision-making in the capital budgeting context: effects of type of decision aid and increases in information load,” </w:t>
          </w:r>
          <w:proofErr w:type="spellStart"/>
          <w:r w:rsidRPr="00924C94">
            <w:rPr>
              <w:i/>
              <w:iCs/>
              <w:lang w:val="en-US"/>
            </w:rPr>
            <w:t>Zeitschrift</w:t>
          </w:r>
          <w:proofErr w:type="spellEnd"/>
          <w:r w:rsidRPr="00924C94">
            <w:rPr>
              <w:i/>
              <w:iCs/>
              <w:lang w:val="en-US"/>
            </w:rPr>
            <w:t xml:space="preserve"> </w:t>
          </w:r>
          <w:proofErr w:type="spellStart"/>
          <w:r w:rsidRPr="00924C94">
            <w:rPr>
              <w:i/>
              <w:iCs/>
              <w:lang w:val="en-US"/>
            </w:rPr>
            <w:lastRenderedPageBreak/>
            <w:t>für</w:t>
          </w:r>
          <w:proofErr w:type="spellEnd"/>
          <w:r w:rsidRPr="00924C94">
            <w:rPr>
              <w:i/>
              <w:iCs/>
              <w:lang w:val="en-US"/>
            </w:rPr>
            <w:t xml:space="preserve"> </w:t>
          </w:r>
          <w:proofErr w:type="spellStart"/>
          <w:r w:rsidRPr="00924C94">
            <w:rPr>
              <w:i/>
              <w:iCs/>
              <w:lang w:val="en-US"/>
            </w:rPr>
            <w:t>Betriebswirtschaft</w:t>
          </w:r>
          <w:proofErr w:type="spellEnd"/>
          <w:r w:rsidRPr="00924C94">
            <w:rPr>
              <w:lang w:val="en-US"/>
            </w:rPr>
            <w:t xml:space="preserve">, 94(2), pp. 379–411. Available at: </w:t>
          </w:r>
          <w:hyperlink r:id="rId17" w:history="1">
            <w:r w:rsidRPr="000D4EA3">
              <w:rPr>
                <w:rStyle w:val="Hyperlink"/>
                <w:rFonts w:eastAsia="Times New Roman" w:cs="Times New Roman"/>
                <w:szCs w:val="24"/>
                <w:lang w:val="en-US"/>
              </w:rPr>
              <w:t>https://doi.org/10.1007/s11573-023-01165-5</w:t>
            </w:r>
          </w:hyperlink>
          <w:r w:rsidRPr="00924C94">
            <w:rPr>
              <w:lang w:val="en-US"/>
            </w:rPr>
            <w:t>.</w:t>
          </w:r>
        </w:p>
        <w:p w14:paraId="114888A6" w14:textId="77777777" w:rsidR="002858B9" w:rsidRDefault="002858B9" w:rsidP="002858B9">
          <w:pPr>
            <w:ind w:left="720" w:hanging="720"/>
            <w:rPr>
              <w:lang w:val="en-US"/>
            </w:rPr>
          </w:pPr>
          <w:proofErr w:type="spellStart"/>
          <w:proofErr w:type="gramStart"/>
          <w:r w:rsidRPr="00C86415">
            <w:rPr>
              <w:lang w:val="en-US"/>
            </w:rPr>
            <w:t>Irfan</w:t>
          </w:r>
          <w:proofErr w:type="spellEnd"/>
          <w:r w:rsidRPr="00C86415">
            <w:rPr>
              <w:lang w:val="en-US"/>
            </w:rPr>
            <w:t xml:space="preserve">, S.M. </w:t>
          </w:r>
          <w:proofErr w:type="spellStart"/>
          <w:r>
            <w:rPr>
              <w:rFonts w:ascii="Helvetica" w:hAnsi="Helvetica"/>
              <w:color w:val="3A3A3A"/>
              <w:sz w:val="23"/>
              <w:szCs w:val="23"/>
              <w:shd w:val="clear" w:color="auto" w:fill="FFFFFF"/>
            </w:rPr>
            <w:t>Gracy</w:t>
          </w:r>
          <w:proofErr w:type="spellEnd"/>
          <w:r>
            <w:rPr>
              <w:rFonts w:ascii="Helvetica" w:hAnsi="Helvetica"/>
              <w:color w:val="3A3A3A"/>
              <w:sz w:val="23"/>
              <w:szCs w:val="23"/>
              <w:shd w:val="clear" w:color="auto" w:fill="FFFFFF"/>
            </w:rPr>
            <w:t xml:space="preserve">, C. P., </w:t>
          </w:r>
          <w:proofErr w:type="spellStart"/>
          <w:r>
            <w:rPr>
              <w:rFonts w:ascii="Helvetica" w:hAnsi="Helvetica"/>
              <w:color w:val="3A3A3A"/>
              <w:sz w:val="23"/>
              <w:szCs w:val="23"/>
              <w:shd w:val="clear" w:color="auto" w:fill="FFFFFF"/>
            </w:rPr>
            <w:t>Ganapathy</w:t>
          </w:r>
          <w:proofErr w:type="spellEnd"/>
          <w:r>
            <w:rPr>
              <w:rFonts w:ascii="Helvetica" w:hAnsi="Helvetica"/>
              <w:color w:val="3A3A3A"/>
              <w:sz w:val="23"/>
              <w:szCs w:val="23"/>
              <w:shd w:val="clear" w:color="auto" w:fill="FFFFFF"/>
            </w:rPr>
            <w:t xml:space="preserve">, M. S., </w:t>
          </w:r>
          <w:proofErr w:type="spellStart"/>
          <w:r>
            <w:rPr>
              <w:rFonts w:ascii="Helvetica" w:hAnsi="Helvetica"/>
              <w:color w:val="3A3A3A"/>
              <w:sz w:val="23"/>
              <w:szCs w:val="23"/>
              <w:shd w:val="clear" w:color="auto" w:fill="FFFFFF"/>
            </w:rPr>
            <w:t>Siddayya</w:t>
          </w:r>
          <w:proofErr w:type="spellEnd"/>
          <w:r>
            <w:rPr>
              <w:rFonts w:ascii="Helvetica" w:hAnsi="Helvetica"/>
              <w:color w:val="3A3A3A"/>
              <w:sz w:val="23"/>
              <w:szCs w:val="23"/>
              <w:shd w:val="clear" w:color="auto" w:fill="FFFFFF"/>
            </w:rPr>
            <w:t xml:space="preserve">, </w:t>
          </w:r>
          <w:proofErr w:type="spellStart"/>
          <w:r>
            <w:rPr>
              <w:rFonts w:ascii="Helvetica" w:hAnsi="Helvetica"/>
              <w:color w:val="3A3A3A"/>
              <w:sz w:val="23"/>
              <w:szCs w:val="23"/>
              <w:shd w:val="clear" w:color="auto" w:fill="FFFFFF"/>
            </w:rPr>
            <w:t>Gaddi</w:t>
          </w:r>
          <w:proofErr w:type="spellEnd"/>
          <w:r>
            <w:rPr>
              <w:rFonts w:ascii="Helvetica" w:hAnsi="Helvetica"/>
              <w:color w:val="3A3A3A"/>
              <w:sz w:val="23"/>
              <w:szCs w:val="23"/>
              <w:shd w:val="clear" w:color="auto" w:fill="FFFFFF"/>
            </w:rPr>
            <w:t>, G. M., and Sharif, M.</w:t>
          </w:r>
          <w:r w:rsidRPr="00C86415">
            <w:rPr>
              <w:lang w:val="en-US"/>
            </w:rPr>
            <w:t xml:space="preserve"> (2022) “Study on Financial Ratio Analysis of A Food Industry Company,” </w:t>
          </w:r>
          <w:r w:rsidRPr="00C86415">
            <w:rPr>
              <w:i/>
              <w:iCs/>
              <w:lang w:val="en-US"/>
            </w:rPr>
            <w:t>Asian Journal of Agricultural Extension, Economics &amp; Sociology</w:t>
          </w:r>
          <w:r w:rsidRPr="00C86415">
            <w:rPr>
              <w:lang w:val="en-US"/>
            </w:rPr>
            <w:t>.</w:t>
          </w:r>
          <w:proofErr w:type="gramEnd"/>
          <w:r w:rsidRPr="00C86415">
            <w:rPr>
              <w:lang w:val="en-US"/>
            </w:rPr>
            <w:t xml:space="preserve"> 2588th </w:t>
          </w:r>
          <w:proofErr w:type="spellStart"/>
          <w:proofErr w:type="gramStart"/>
          <w:r w:rsidRPr="00C86415">
            <w:rPr>
              <w:lang w:val="en-US"/>
            </w:rPr>
            <w:t>ed</w:t>
          </w:r>
          <w:proofErr w:type="spellEnd"/>
          <w:proofErr w:type="gramEnd"/>
          <w:r w:rsidRPr="00C86415">
            <w:rPr>
              <w:lang w:val="en-US"/>
            </w:rPr>
            <w:t>, 40(12), pp. 68–78.</w:t>
          </w:r>
        </w:p>
        <w:p w14:paraId="26AEF424" w14:textId="77777777" w:rsidR="002858B9" w:rsidRDefault="002858B9" w:rsidP="002858B9">
          <w:pPr>
            <w:ind w:left="720" w:hanging="720"/>
            <w:rPr>
              <w:lang w:val="en-US"/>
            </w:rPr>
          </w:pPr>
          <w:proofErr w:type="spellStart"/>
          <w:r w:rsidRPr="00B73881">
            <w:rPr>
              <w:lang w:val="en-US"/>
            </w:rPr>
            <w:t>Janatyan</w:t>
          </w:r>
          <w:proofErr w:type="spellEnd"/>
          <w:r w:rsidRPr="00B73881">
            <w:rPr>
              <w:lang w:val="en-US"/>
            </w:rPr>
            <w:t xml:space="preserve">, N. and </w:t>
          </w:r>
          <w:proofErr w:type="spellStart"/>
          <w:r w:rsidRPr="00B73881">
            <w:rPr>
              <w:lang w:val="en-US"/>
            </w:rPr>
            <w:t>Shahin</w:t>
          </w:r>
          <w:proofErr w:type="spellEnd"/>
          <w:r w:rsidRPr="00B73881">
            <w:rPr>
              <w:lang w:val="en-US"/>
            </w:rPr>
            <w:t xml:space="preserve">, A. (2021) “Product value analysis: a developed cost–benefit analysis ratio based on the Kano and PAF models,” </w:t>
          </w:r>
          <w:r w:rsidRPr="00B73881">
            <w:rPr>
              <w:i/>
              <w:iCs/>
              <w:lang w:val="en-US"/>
            </w:rPr>
            <w:t>TQM journal</w:t>
          </w:r>
          <w:r w:rsidRPr="00B73881">
            <w:rPr>
              <w:lang w:val="en-US"/>
            </w:rPr>
            <w:t xml:space="preserve">, 33(1), pp. 163–181. Available at: </w:t>
          </w:r>
          <w:hyperlink r:id="rId18" w:history="1">
            <w:r w:rsidRPr="000D4EA3">
              <w:rPr>
                <w:rStyle w:val="Hyperlink"/>
                <w:rFonts w:eastAsia="Times New Roman" w:cs="Times New Roman"/>
                <w:szCs w:val="24"/>
                <w:lang w:val="en-US"/>
              </w:rPr>
              <w:t>https://doi.org/10.1108/TQM-02-2020-0028</w:t>
            </w:r>
          </w:hyperlink>
          <w:r w:rsidRPr="00B73881">
            <w:rPr>
              <w:lang w:val="en-US"/>
            </w:rPr>
            <w:t>.</w:t>
          </w:r>
        </w:p>
        <w:p w14:paraId="20D8C686" w14:textId="77777777" w:rsidR="002858B9" w:rsidRDefault="002858B9" w:rsidP="002858B9">
          <w:pPr>
            <w:ind w:left="720" w:hanging="720"/>
            <w:rPr>
              <w:lang w:val="en-US"/>
            </w:rPr>
          </w:pPr>
          <w:r w:rsidRPr="00CE114C">
            <w:rPr>
              <w:lang w:val="en-US"/>
            </w:rPr>
            <w:t xml:space="preserve">Jiang, Y. (2022) “Credit ratings, financial ratios, and equity risk: A decomposition analysis based on Moody’s, Standard &amp; Poor’s and Fitch’s ratings,” </w:t>
          </w:r>
          <w:r w:rsidRPr="00CE114C">
            <w:rPr>
              <w:i/>
              <w:iCs/>
              <w:lang w:val="en-US"/>
            </w:rPr>
            <w:t>Finance research letters</w:t>
          </w:r>
          <w:r w:rsidRPr="00CE114C">
            <w:rPr>
              <w:lang w:val="en-US"/>
            </w:rPr>
            <w:t xml:space="preserve">, 46. Available at: </w:t>
          </w:r>
          <w:hyperlink r:id="rId19" w:history="1">
            <w:r w:rsidRPr="000D4EA3">
              <w:rPr>
                <w:rStyle w:val="Hyperlink"/>
                <w:rFonts w:eastAsia="Times New Roman" w:cs="Times New Roman"/>
                <w:szCs w:val="24"/>
                <w:lang w:val="en-US"/>
              </w:rPr>
              <w:t>https://doi.org/10.1016/j.frl.2021.102512</w:t>
            </w:r>
          </w:hyperlink>
          <w:r w:rsidRPr="00CE114C">
            <w:rPr>
              <w:lang w:val="en-US"/>
            </w:rPr>
            <w:t>.</w:t>
          </w:r>
        </w:p>
        <w:p w14:paraId="3744B40F" w14:textId="77777777" w:rsidR="002858B9" w:rsidRDefault="002858B9" w:rsidP="002858B9">
          <w:pPr>
            <w:ind w:left="720" w:hanging="720"/>
            <w:rPr>
              <w:lang w:val="en-US"/>
            </w:rPr>
          </w:pPr>
          <w:proofErr w:type="gramStart"/>
          <w:r w:rsidRPr="00CE114C">
            <w:rPr>
              <w:lang w:val="en-US"/>
            </w:rPr>
            <w:t>Jung, H., Kwon, Y.D. and Noh, J.-W.</w:t>
          </w:r>
          <w:proofErr w:type="gramEnd"/>
          <w:r w:rsidRPr="00CE114C">
            <w:rPr>
              <w:lang w:val="en-US"/>
            </w:rPr>
            <w:t xml:space="preserve"> (2022) “Financial burden of catastrophic health expenditure on households with chronic diseases: financial ratio analysis,” </w:t>
          </w:r>
          <w:r w:rsidRPr="00CE114C">
            <w:rPr>
              <w:i/>
              <w:iCs/>
              <w:lang w:val="en-US"/>
            </w:rPr>
            <w:t>BMC health services research</w:t>
          </w:r>
          <w:r w:rsidRPr="00CE114C">
            <w:rPr>
              <w:lang w:val="en-US"/>
            </w:rPr>
            <w:t xml:space="preserve">, 22(1). Available at: </w:t>
          </w:r>
          <w:hyperlink r:id="rId20" w:history="1">
            <w:r w:rsidRPr="000D4EA3">
              <w:rPr>
                <w:rStyle w:val="Hyperlink"/>
                <w:rFonts w:eastAsia="Times New Roman" w:cs="Times New Roman"/>
                <w:szCs w:val="24"/>
                <w:lang w:val="en-US"/>
              </w:rPr>
              <w:t>https://doi.org/10.1186/s12913-022-07922-6</w:t>
            </w:r>
          </w:hyperlink>
          <w:r w:rsidRPr="00CE114C">
            <w:rPr>
              <w:lang w:val="en-US"/>
            </w:rPr>
            <w:t>.</w:t>
          </w:r>
        </w:p>
        <w:p w14:paraId="61BC71D3" w14:textId="77777777" w:rsidR="002858B9" w:rsidRDefault="002858B9" w:rsidP="002858B9">
          <w:pPr>
            <w:ind w:left="720" w:hanging="720"/>
            <w:rPr>
              <w:lang w:val="en-US"/>
            </w:rPr>
          </w:pPr>
          <w:proofErr w:type="spellStart"/>
          <w:r w:rsidRPr="00C86415">
            <w:rPr>
              <w:lang w:val="en-US"/>
            </w:rPr>
            <w:t>Magrini</w:t>
          </w:r>
          <w:proofErr w:type="spellEnd"/>
          <w:r w:rsidRPr="00C86415">
            <w:rPr>
              <w:lang w:val="en-US"/>
            </w:rPr>
            <w:t xml:space="preserve">, A. and </w:t>
          </w:r>
          <w:proofErr w:type="spellStart"/>
          <w:r w:rsidRPr="00C86415">
            <w:rPr>
              <w:lang w:val="en-US"/>
            </w:rPr>
            <w:t>Rimediotti</w:t>
          </w:r>
          <w:proofErr w:type="spellEnd"/>
          <w:r w:rsidRPr="00C86415">
            <w:rPr>
              <w:lang w:val="en-US"/>
            </w:rPr>
            <w:t xml:space="preserve">, L. (2025) “Assessing the impact of Covid-19 on the Italian comic book industry: a panel vector autoregressive analysis of financial ratios: Assessing the impact of Covid-19 on the Italian comic book industry,” </w:t>
          </w:r>
          <w:r w:rsidRPr="00C86415">
            <w:rPr>
              <w:i/>
              <w:iCs/>
              <w:lang w:val="en-US"/>
            </w:rPr>
            <w:t>Quality &amp; quantity</w:t>
          </w:r>
          <w:r w:rsidRPr="00C86415">
            <w:rPr>
              <w:lang w:val="en-US"/>
            </w:rPr>
            <w:t xml:space="preserve">, 59(4), pp. 3545–3573. Available at: </w:t>
          </w:r>
          <w:hyperlink r:id="rId21" w:history="1">
            <w:r w:rsidRPr="000D4EA3">
              <w:rPr>
                <w:rStyle w:val="Hyperlink"/>
                <w:rFonts w:eastAsia="Times New Roman" w:cs="Times New Roman"/>
                <w:szCs w:val="24"/>
                <w:lang w:val="en-US"/>
              </w:rPr>
              <w:t>https://doi.org/10.1007/s11135-025-02122-w</w:t>
            </w:r>
          </w:hyperlink>
          <w:r w:rsidRPr="00C86415">
            <w:rPr>
              <w:lang w:val="en-US"/>
            </w:rPr>
            <w:t>.</w:t>
          </w:r>
        </w:p>
        <w:p w14:paraId="15678558" w14:textId="77777777" w:rsidR="002858B9" w:rsidRDefault="002858B9" w:rsidP="002858B9">
          <w:pPr>
            <w:ind w:left="720" w:hanging="720"/>
            <w:rPr>
              <w:lang w:val="en-US"/>
            </w:rPr>
          </w:pPr>
          <w:proofErr w:type="spellStart"/>
          <w:r w:rsidRPr="00C86415">
            <w:rPr>
              <w:lang w:val="en-US"/>
            </w:rPr>
            <w:t>Malandrakis</w:t>
          </w:r>
          <w:proofErr w:type="spellEnd"/>
          <w:r w:rsidRPr="00C86415">
            <w:rPr>
              <w:lang w:val="en-US"/>
            </w:rPr>
            <w:t xml:space="preserve">, I. and </w:t>
          </w:r>
          <w:proofErr w:type="spellStart"/>
          <w:r w:rsidRPr="00C86415">
            <w:rPr>
              <w:lang w:val="en-US"/>
            </w:rPr>
            <w:t>Drakos</w:t>
          </w:r>
          <w:proofErr w:type="spellEnd"/>
          <w:r w:rsidRPr="00C86415">
            <w:rPr>
              <w:lang w:val="en-US"/>
            </w:rPr>
            <w:t xml:space="preserve">, K. (2025) “Green banks versus non‐green banks: A financial stability comparative analysis in terms of CAMEL ratios,” </w:t>
          </w:r>
          <w:r w:rsidRPr="00C86415">
            <w:rPr>
              <w:i/>
              <w:iCs/>
              <w:lang w:val="en-US"/>
            </w:rPr>
            <w:t>International journal of finance and economics</w:t>
          </w:r>
          <w:r w:rsidRPr="00C86415">
            <w:rPr>
              <w:lang w:val="en-US"/>
            </w:rPr>
            <w:t xml:space="preserve">, 30(3), pp. 2536–2573. Available at: </w:t>
          </w:r>
          <w:hyperlink r:id="rId22" w:history="1">
            <w:r w:rsidRPr="000D4EA3">
              <w:rPr>
                <w:rStyle w:val="Hyperlink"/>
                <w:rFonts w:eastAsia="Times New Roman" w:cs="Times New Roman"/>
                <w:szCs w:val="24"/>
                <w:lang w:val="en-US"/>
              </w:rPr>
              <w:t>https://doi.org/10.1002/ijfe.3028</w:t>
            </w:r>
          </w:hyperlink>
          <w:r w:rsidRPr="00C86415">
            <w:rPr>
              <w:lang w:val="en-US"/>
            </w:rPr>
            <w:t>.</w:t>
          </w:r>
        </w:p>
        <w:p w14:paraId="3F7344B4" w14:textId="77777777" w:rsidR="002858B9" w:rsidRDefault="002858B9" w:rsidP="002858B9">
          <w:pPr>
            <w:ind w:left="720" w:hanging="720"/>
            <w:rPr>
              <w:lang w:val="en-US"/>
            </w:rPr>
          </w:pPr>
          <w:proofErr w:type="gramStart"/>
          <w:r w:rsidRPr="00924C94">
            <w:rPr>
              <w:lang w:val="en-US"/>
            </w:rPr>
            <w:t xml:space="preserve">Martin, P.R. (2021) “Corporate social responsibility and capital budgeting,” </w:t>
          </w:r>
          <w:r w:rsidRPr="00924C94">
            <w:rPr>
              <w:i/>
              <w:iCs/>
              <w:lang w:val="en-US"/>
            </w:rPr>
            <w:t>Accounting, organizations and society</w:t>
          </w:r>
          <w:r w:rsidRPr="00924C94">
            <w:rPr>
              <w:lang w:val="en-US"/>
            </w:rPr>
            <w:t>, 92.</w:t>
          </w:r>
          <w:proofErr w:type="gramEnd"/>
          <w:r w:rsidRPr="00924C94">
            <w:rPr>
              <w:lang w:val="en-US"/>
            </w:rPr>
            <w:t xml:space="preserve"> Available at: </w:t>
          </w:r>
          <w:hyperlink r:id="rId23" w:history="1">
            <w:r w:rsidRPr="000D4EA3">
              <w:rPr>
                <w:rStyle w:val="Hyperlink"/>
                <w:rFonts w:eastAsia="Times New Roman" w:cs="Times New Roman"/>
                <w:szCs w:val="24"/>
                <w:lang w:val="en-US"/>
              </w:rPr>
              <w:t>https://doi.org/10.1016/j.aos.2021.101236</w:t>
            </w:r>
          </w:hyperlink>
          <w:r w:rsidRPr="00924C94">
            <w:rPr>
              <w:lang w:val="en-US"/>
            </w:rPr>
            <w:t>.</w:t>
          </w:r>
        </w:p>
        <w:p w14:paraId="441F8F06" w14:textId="77777777" w:rsidR="002858B9" w:rsidRDefault="002858B9" w:rsidP="002858B9">
          <w:pPr>
            <w:ind w:left="720" w:hanging="720"/>
            <w:rPr>
              <w:lang w:val="en-US"/>
            </w:rPr>
          </w:pPr>
          <w:proofErr w:type="spellStart"/>
          <w:r w:rsidRPr="00B73881">
            <w:rPr>
              <w:lang w:val="en-US"/>
            </w:rPr>
            <w:t>Masno</w:t>
          </w:r>
          <w:proofErr w:type="spellEnd"/>
          <w:r>
            <w:rPr>
              <w:lang w:val="en-US"/>
            </w:rPr>
            <w:t xml:space="preserve"> M.,</w:t>
          </w:r>
          <w:r w:rsidRPr="00B73881">
            <w:rPr>
              <w:lang w:val="en-US"/>
            </w:rPr>
            <w:t xml:space="preserve"> </w:t>
          </w:r>
          <w:r>
            <w:rPr>
              <w:lang w:val="en-US"/>
            </w:rPr>
            <w:t xml:space="preserve">and </w:t>
          </w:r>
          <w:proofErr w:type="spellStart"/>
          <w:r w:rsidRPr="00B73881">
            <w:rPr>
              <w:lang w:val="en-US"/>
            </w:rPr>
            <w:t>Supratikta</w:t>
          </w:r>
          <w:proofErr w:type="spellEnd"/>
          <w:r>
            <w:rPr>
              <w:lang w:val="en-US"/>
            </w:rPr>
            <w:t xml:space="preserve"> H.,</w:t>
          </w:r>
          <w:r w:rsidRPr="00B73881">
            <w:rPr>
              <w:lang w:val="en-US"/>
            </w:rPr>
            <w:t xml:space="preserve"> (2025) “Financial Management helps Financial Ratio Analysis to Share Price in the Largest Cigarette Company in Indonesia,” </w:t>
          </w:r>
          <w:r w:rsidRPr="00B73881">
            <w:rPr>
              <w:i/>
              <w:iCs/>
              <w:lang w:val="en-US"/>
            </w:rPr>
            <w:t xml:space="preserve">Benefit (Surakarta, </w:t>
          </w:r>
          <w:r w:rsidRPr="00B73881">
            <w:rPr>
              <w:i/>
              <w:iCs/>
              <w:lang w:val="en-US"/>
            </w:rPr>
            <w:lastRenderedPageBreak/>
            <w:t>Indonesia)</w:t>
          </w:r>
          <w:r w:rsidRPr="00B73881">
            <w:rPr>
              <w:lang w:val="en-US"/>
            </w:rPr>
            <w:t xml:space="preserve">, 9(2), pp. 184–204. Available at: </w:t>
          </w:r>
          <w:hyperlink r:id="rId24" w:history="1">
            <w:r w:rsidRPr="000D4EA3">
              <w:rPr>
                <w:rStyle w:val="Hyperlink"/>
                <w:rFonts w:eastAsia="Times New Roman" w:cs="Times New Roman"/>
                <w:szCs w:val="24"/>
                <w:lang w:val="en-US"/>
              </w:rPr>
              <w:t>https://doi.org/10.23917/benefit.v9i2.5178</w:t>
            </w:r>
          </w:hyperlink>
          <w:r w:rsidRPr="00B73881">
            <w:rPr>
              <w:lang w:val="en-US"/>
            </w:rPr>
            <w:t>.</w:t>
          </w:r>
        </w:p>
        <w:p w14:paraId="09BEA6A9" w14:textId="77777777" w:rsidR="002858B9" w:rsidRPr="00CE114C" w:rsidRDefault="002858B9" w:rsidP="002858B9">
          <w:pPr>
            <w:ind w:left="720" w:hanging="720"/>
            <w:rPr>
              <w:lang w:val="en-US"/>
            </w:rPr>
          </w:pPr>
          <w:proofErr w:type="spellStart"/>
          <w:proofErr w:type="gramStart"/>
          <w:r w:rsidRPr="00CE114C">
            <w:rPr>
              <w:lang w:val="en-US"/>
            </w:rPr>
            <w:t>Matdio</w:t>
          </w:r>
          <w:proofErr w:type="spellEnd"/>
          <w:r w:rsidRPr="00CE114C">
            <w:rPr>
              <w:lang w:val="en-US"/>
            </w:rPr>
            <w:t xml:space="preserve"> </w:t>
          </w:r>
          <w:proofErr w:type="spellStart"/>
          <w:r w:rsidRPr="00CE114C">
            <w:rPr>
              <w:lang w:val="en-US"/>
            </w:rPr>
            <w:t>Siahaan</w:t>
          </w:r>
          <w:proofErr w:type="spellEnd"/>
          <w:r w:rsidRPr="00CE114C">
            <w:rPr>
              <w:lang w:val="en-US"/>
            </w:rPr>
            <w:t xml:space="preserve"> </w:t>
          </w:r>
          <w:proofErr w:type="spellStart"/>
          <w:r w:rsidRPr="00CE114C">
            <w:rPr>
              <w:rFonts w:ascii="Helvetica" w:hAnsi="Helvetica"/>
              <w:color w:val="3A3A3A"/>
              <w:sz w:val="23"/>
              <w:szCs w:val="23"/>
              <w:shd w:val="clear" w:color="auto" w:fill="FFFFFF"/>
            </w:rPr>
            <w:t>Sipahutar</w:t>
          </w:r>
          <w:proofErr w:type="spellEnd"/>
          <w:r w:rsidRPr="00CE114C">
            <w:rPr>
              <w:rFonts w:ascii="Helvetica" w:hAnsi="Helvetica"/>
              <w:color w:val="3A3A3A"/>
              <w:sz w:val="23"/>
              <w:szCs w:val="23"/>
              <w:shd w:val="clear" w:color="auto" w:fill="FFFFFF"/>
            </w:rPr>
            <w:t xml:space="preserve">, M., </w:t>
          </w:r>
          <w:proofErr w:type="spellStart"/>
          <w:r w:rsidRPr="00CE114C">
            <w:rPr>
              <w:rFonts w:ascii="Helvetica" w:hAnsi="Helvetica"/>
              <w:color w:val="3A3A3A"/>
              <w:sz w:val="23"/>
              <w:szCs w:val="23"/>
              <w:shd w:val="clear" w:color="auto" w:fill="FFFFFF"/>
            </w:rPr>
            <w:t>Sinambela</w:t>
          </w:r>
          <w:proofErr w:type="spellEnd"/>
          <w:r w:rsidRPr="00CE114C">
            <w:rPr>
              <w:rFonts w:ascii="Helvetica" w:hAnsi="Helvetica"/>
              <w:color w:val="3A3A3A"/>
              <w:sz w:val="23"/>
              <w:szCs w:val="23"/>
              <w:shd w:val="clear" w:color="auto" w:fill="FFFFFF"/>
            </w:rPr>
            <w:t xml:space="preserve">, T. R., </w:t>
          </w:r>
          <w:proofErr w:type="spellStart"/>
          <w:r w:rsidRPr="00CE114C">
            <w:rPr>
              <w:rFonts w:ascii="Helvetica" w:hAnsi="Helvetica"/>
              <w:color w:val="3A3A3A"/>
              <w:sz w:val="23"/>
              <w:szCs w:val="23"/>
              <w:shd w:val="clear" w:color="auto" w:fill="FFFFFF"/>
            </w:rPr>
            <w:t>Pardede</w:t>
          </w:r>
          <w:proofErr w:type="spellEnd"/>
          <w:r w:rsidRPr="00CE114C">
            <w:rPr>
              <w:rFonts w:ascii="Helvetica" w:hAnsi="Helvetica"/>
              <w:color w:val="3A3A3A"/>
              <w:sz w:val="23"/>
              <w:szCs w:val="23"/>
              <w:shd w:val="clear" w:color="auto" w:fill="FFFFFF"/>
            </w:rPr>
            <w:t xml:space="preserve">, P., </w:t>
          </w:r>
          <w:proofErr w:type="spellStart"/>
          <w:r w:rsidRPr="00CE114C">
            <w:rPr>
              <w:rFonts w:ascii="Helvetica" w:hAnsi="Helvetica"/>
              <w:color w:val="3A3A3A"/>
              <w:sz w:val="23"/>
              <w:szCs w:val="23"/>
              <w:shd w:val="clear" w:color="auto" w:fill="FFFFFF"/>
            </w:rPr>
            <w:t>Naibaho</w:t>
          </w:r>
          <w:proofErr w:type="spellEnd"/>
          <w:r w:rsidRPr="00CE114C">
            <w:rPr>
              <w:rFonts w:ascii="Helvetica" w:hAnsi="Helvetica"/>
              <w:color w:val="3A3A3A"/>
              <w:sz w:val="23"/>
              <w:szCs w:val="23"/>
              <w:shd w:val="clear" w:color="auto" w:fill="FFFFFF"/>
            </w:rPr>
            <w:t xml:space="preserve">, P., and </w:t>
          </w:r>
          <w:proofErr w:type="spellStart"/>
          <w:r w:rsidRPr="00CE114C">
            <w:rPr>
              <w:rFonts w:ascii="Helvetica" w:hAnsi="Helvetica"/>
              <w:color w:val="3A3A3A"/>
              <w:sz w:val="23"/>
              <w:szCs w:val="23"/>
              <w:shd w:val="clear" w:color="auto" w:fill="FFFFFF"/>
            </w:rPr>
            <w:t>Pasaribu</w:t>
          </w:r>
          <w:proofErr w:type="spellEnd"/>
          <w:r w:rsidRPr="00CE114C">
            <w:rPr>
              <w:rFonts w:ascii="Helvetica" w:hAnsi="Helvetica"/>
              <w:color w:val="3A3A3A"/>
              <w:sz w:val="23"/>
              <w:szCs w:val="23"/>
              <w:shd w:val="clear" w:color="auto" w:fill="FFFFFF"/>
            </w:rPr>
            <w:t>, R.</w:t>
          </w:r>
          <w:r w:rsidRPr="00CE114C">
            <w:rPr>
              <w:lang w:val="en-US"/>
            </w:rPr>
            <w:t xml:space="preserve"> (2023) “Financial Ratio Analysis to Measure Financial Performance of Cum </w:t>
          </w:r>
          <w:proofErr w:type="spellStart"/>
          <w:r w:rsidRPr="00CE114C">
            <w:rPr>
              <w:lang w:val="en-US"/>
            </w:rPr>
            <w:t>Anugerah</w:t>
          </w:r>
          <w:proofErr w:type="spellEnd"/>
          <w:r w:rsidRPr="00CE114C">
            <w:rPr>
              <w:lang w:val="en-US"/>
            </w:rPr>
            <w:t xml:space="preserve"> </w:t>
          </w:r>
          <w:proofErr w:type="spellStart"/>
          <w:r w:rsidRPr="00CE114C">
            <w:rPr>
              <w:lang w:val="en-US"/>
            </w:rPr>
            <w:t>Bekasi</w:t>
          </w:r>
          <w:proofErr w:type="spellEnd"/>
          <w:r w:rsidRPr="00CE114C">
            <w:rPr>
              <w:lang w:val="en-US"/>
            </w:rPr>
            <w:t xml:space="preserve"> Cooperative,” </w:t>
          </w:r>
          <w:r w:rsidRPr="00CE114C">
            <w:rPr>
              <w:i/>
              <w:iCs/>
              <w:lang w:val="en-US"/>
            </w:rPr>
            <w:t>International Journal of Professional Business Review</w:t>
          </w:r>
          <w:r w:rsidRPr="00CE114C">
            <w:rPr>
              <w:lang w:val="en-US"/>
            </w:rPr>
            <w:t>, 8(7), pp. e02371-20.</w:t>
          </w:r>
          <w:proofErr w:type="gramEnd"/>
          <w:r w:rsidRPr="00CE114C">
            <w:rPr>
              <w:lang w:val="en-US"/>
            </w:rPr>
            <w:t xml:space="preserve"> Available at: </w:t>
          </w:r>
          <w:hyperlink r:id="rId25" w:history="1">
            <w:r w:rsidRPr="00CE114C">
              <w:rPr>
                <w:rStyle w:val="Hyperlink"/>
                <w:rFonts w:eastAsia="Times New Roman" w:cs="Times New Roman"/>
                <w:szCs w:val="24"/>
                <w:lang w:val="en-US"/>
              </w:rPr>
              <w:t>https://doi.org/10.26668/businessreview/2023.v8i7.2371</w:t>
            </w:r>
          </w:hyperlink>
          <w:r w:rsidRPr="00CE114C">
            <w:rPr>
              <w:lang w:val="en-US"/>
            </w:rPr>
            <w:t>.</w:t>
          </w:r>
        </w:p>
        <w:p w14:paraId="720C4DD3" w14:textId="77777777" w:rsidR="002858B9" w:rsidRDefault="002858B9" w:rsidP="002858B9">
          <w:pPr>
            <w:ind w:left="720" w:hanging="720"/>
            <w:rPr>
              <w:lang w:val="en-US"/>
            </w:rPr>
          </w:pPr>
          <w:proofErr w:type="gramStart"/>
          <w:r w:rsidRPr="00B15AFF">
            <w:rPr>
              <w:lang w:val="en-US"/>
            </w:rPr>
            <w:t>Medina-</w:t>
          </w:r>
          <w:proofErr w:type="spellStart"/>
          <w:r w:rsidRPr="00B15AFF">
            <w:rPr>
              <w:lang w:val="en-US"/>
            </w:rPr>
            <w:t>Albaladejo</w:t>
          </w:r>
          <w:proofErr w:type="spellEnd"/>
          <w:r w:rsidRPr="00B15AFF">
            <w:rPr>
              <w:lang w:val="en-US"/>
            </w:rPr>
            <w:t>, F.J. (2025) “Balancing efficiency and equity.</w:t>
          </w:r>
          <w:proofErr w:type="gramEnd"/>
          <w:r w:rsidRPr="00B15AFF">
            <w:rPr>
              <w:lang w:val="en-US"/>
            </w:rPr>
            <w:t xml:space="preserve"> </w:t>
          </w:r>
          <w:proofErr w:type="gramStart"/>
          <w:r w:rsidRPr="00B15AFF">
            <w:rPr>
              <w:lang w:val="en-US"/>
            </w:rPr>
            <w:t xml:space="preserve">Consumer cooperatives in Barcelona (Spain), 1898-1936: An economic and financial-ratio analysis,” </w:t>
          </w:r>
          <w:r w:rsidRPr="00B15AFF">
            <w:rPr>
              <w:i/>
              <w:iCs/>
              <w:lang w:val="en-US"/>
            </w:rPr>
            <w:t>Business history</w:t>
          </w:r>
          <w:r w:rsidRPr="00B15AFF">
            <w:rPr>
              <w:lang w:val="en-US"/>
            </w:rPr>
            <w:t>, 67(5), pp. 1356–1380.</w:t>
          </w:r>
          <w:proofErr w:type="gramEnd"/>
          <w:r w:rsidRPr="00B15AFF">
            <w:rPr>
              <w:lang w:val="en-US"/>
            </w:rPr>
            <w:t xml:space="preserve"> Available at: </w:t>
          </w:r>
          <w:hyperlink r:id="rId26" w:history="1">
            <w:r w:rsidRPr="000D4EA3">
              <w:rPr>
                <w:rStyle w:val="Hyperlink"/>
                <w:rFonts w:eastAsia="Times New Roman" w:cs="Times New Roman"/>
                <w:szCs w:val="24"/>
                <w:lang w:val="en-US"/>
              </w:rPr>
              <w:t>https://doi.org/10.1080/00076791.2024.2387013</w:t>
            </w:r>
          </w:hyperlink>
          <w:r w:rsidRPr="00B15AFF">
            <w:rPr>
              <w:lang w:val="en-US"/>
            </w:rPr>
            <w:t>.</w:t>
          </w:r>
        </w:p>
        <w:p w14:paraId="5D128CD7" w14:textId="77777777" w:rsidR="002858B9" w:rsidRDefault="002858B9" w:rsidP="002858B9">
          <w:pPr>
            <w:ind w:left="720" w:hanging="720"/>
            <w:rPr>
              <w:lang w:val="en-US"/>
            </w:rPr>
          </w:pPr>
          <w:r w:rsidRPr="00924C94">
            <w:rPr>
              <w:lang w:val="en-US"/>
            </w:rPr>
            <w:t>Miller, R.A. (2022) “Uncertainty in Capital Budgeting: Five Particular Safety</w:t>
          </w:r>
          <w:proofErr w:type="gramStart"/>
          <w:r w:rsidRPr="00924C94">
            <w:rPr>
              <w:lang w:val="en-US"/>
            </w:rPr>
            <w:t>‐(</w:t>
          </w:r>
          <w:proofErr w:type="gramEnd"/>
          <w:r w:rsidRPr="00924C94">
            <w:rPr>
              <w:lang w:val="en-US"/>
            </w:rPr>
            <w:t xml:space="preserve">or Danger‐) Margins from the NPV Formula,” </w:t>
          </w:r>
          <w:r w:rsidRPr="00924C94">
            <w:rPr>
              <w:i/>
              <w:iCs/>
              <w:lang w:val="en-US"/>
            </w:rPr>
            <w:t>Journal of Applied Corporate Finance</w:t>
          </w:r>
          <w:r w:rsidRPr="00924C94">
            <w:rPr>
              <w:lang w:val="en-US"/>
            </w:rPr>
            <w:t xml:space="preserve">, 34(3), pp. 110–115. Available at: </w:t>
          </w:r>
          <w:hyperlink r:id="rId27" w:history="1">
            <w:r w:rsidRPr="000D4EA3">
              <w:rPr>
                <w:rStyle w:val="Hyperlink"/>
                <w:rFonts w:eastAsia="Times New Roman" w:cs="Times New Roman"/>
                <w:szCs w:val="24"/>
                <w:lang w:val="en-US"/>
              </w:rPr>
              <w:t>https://doi.org/10.1111/jacf.12522</w:t>
            </w:r>
          </w:hyperlink>
          <w:r w:rsidRPr="00924C94">
            <w:rPr>
              <w:lang w:val="en-US"/>
            </w:rPr>
            <w:t>.</w:t>
          </w:r>
        </w:p>
        <w:p w14:paraId="2BB1F13E" w14:textId="77777777" w:rsidR="002858B9" w:rsidRDefault="002858B9" w:rsidP="002858B9">
          <w:pPr>
            <w:ind w:left="720" w:hanging="720"/>
            <w:rPr>
              <w:lang w:val="en-US"/>
            </w:rPr>
          </w:pPr>
          <w:proofErr w:type="spellStart"/>
          <w:proofErr w:type="gramStart"/>
          <w:r w:rsidRPr="00C86415">
            <w:rPr>
              <w:lang w:val="en-US"/>
            </w:rPr>
            <w:t>Nie</w:t>
          </w:r>
          <w:proofErr w:type="spellEnd"/>
          <w:r w:rsidRPr="00C86415">
            <w:rPr>
              <w:lang w:val="en-US"/>
            </w:rPr>
            <w:t xml:space="preserve">, E. (2024) “KP snack financial statement and ratio analysis,” </w:t>
          </w:r>
          <w:r w:rsidRPr="00C86415">
            <w:rPr>
              <w:i/>
              <w:iCs/>
              <w:lang w:val="en-US"/>
            </w:rPr>
            <w:t>SHS web of conferences</w:t>
          </w:r>
          <w:r w:rsidRPr="00C86415">
            <w:rPr>
              <w:lang w:val="en-US"/>
            </w:rPr>
            <w:t>, 181, p. 2019.</w:t>
          </w:r>
          <w:proofErr w:type="gramEnd"/>
          <w:r w:rsidRPr="00C86415">
            <w:rPr>
              <w:lang w:val="en-US"/>
            </w:rPr>
            <w:t xml:space="preserve"> Available at: </w:t>
          </w:r>
          <w:hyperlink r:id="rId28" w:history="1">
            <w:r w:rsidRPr="000D4EA3">
              <w:rPr>
                <w:rStyle w:val="Hyperlink"/>
                <w:rFonts w:eastAsia="Times New Roman" w:cs="Times New Roman"/>
                <w:szCs w:val="24"/>
                <w:lang w:val="en-US"/>
              </w:rPr>
              <w:t>https://doi.org/10.1051/shsconf/202418102019</w:t>
            </w:r>
          </w:hyperlink>
          <w:r w:rsidRPr="00C86415">
            <w:rPr>
              <w:lang w:val="en-US"/>
            </w:rPr>
            <w:t>.</w:t>
          </w:r>
        </w:p>
        <w:p w14:paraId="6480A8E5" w14:textId="77777777" w:rsidR="002858B9" w:rsidRDefault="002858B9" w:rsidP="002858B9">
          <w:pPr>
            <w:ind w:left="720" w:hanging="720"/>
            <w:rPr>
              <w:lang w:val="en-US"/>
            </w:rPr>
          </w:pPr>
          <w:proofErr w:type="spellStart"/>
          <w:r w:rsidRPr="00CE114C">
            <w:rPr>
              <w:lang w:val="en-US"/>
            </w:rPr>
            <w:t>Pahrudin</w:t>
          </w:r>
          <w:proofErr w:type="spellEnd"/>
          <w:r>
            <w:rPr>
              <w:lang w:val="en-US"/>
            </w:rPr>
            <w:t xml:space="preserve"> A.,</w:t>
          </w:r>
          <w:r w:rsidRPr="00CE114C">
            <w:rPr>
              <w:lang w:val="en-US"/>
            </w:rPr>
            <w:t xml:space="preserve"> and </w:t>
          </w:r>
          <w:proofErr w:type="spellStart"/>
          <w:r w:rsidRPr="00CE114C">
            <w:rPr>
              <w:lang w:val="en-US"/>
            </w:rPr>
            <w:t>Suciati</w:t>
          </w:r>
          <w:proofErr w:type="spellEnd"/>
          <w:r>
            <w:rPr>
              <w:lang w:val="en-US"/>
            </w:rPr>
            <w:t xml:space="preserve"> R.,</w:t>
          </w:r>
          <w:r w:rsidRPr="00CE114C">
            <w:rPr>
              <w:lang w:val="en-US"/>
            </w:rPr>
            <w:t xml:space="preserve"> (2024) “Evaluation of Financial Performance of PT </w:t>
          </w:r>
          <w:proofErr w:type="spellStart"/>
          <w:r w:rsidRPr="00CE114C">
            <w:rPr>
              <w:lang w:val="en-US"/>
            </w:rPr>
            <w:t>Waskita</w:t>
          </w:r>
          <w:proofErr w:type="spellEnd"/>
          <w:r w:rsidRPr="00CE114C">
            <w:rPr>
              <w:lang w:val="en-US"/>
            </w:rPr>
            <w:t xml:space="preserve"> </w:t>
          </w:r>
          <w:proofErr w:type="spellStart"/>
          <w:r w:rsidRPr="00CE114C">
            <w:rPr>
              <w:lang w:val="en-US"/>
            </w:rPr>
            <w:t>Karya</w:t>
          </w:r>
          <w:proofErr w:type="spellEnd"/>
          <w:r w:rsidRPr="00CE114C">
            <w:rPr>
              <w:lang w:val="en-US"/>
            </w:rPr>
            <w:t xml:space="preserve"> </w:t>
          </w:r>
          <w:proofErr w:type="spellStart"/>
          <w:r w:rsidRPr="00CE114C">
            <w:rPr>
              <w:lang w:val="en-US"/>
            </w:rPr>
            <w:t>Tbk</w:t>
          </w:r>
          <w:proofErr w:type="spellEnd"/>
          <w:r w:rsidRPr="00CE114C">
            <w:rPr>
              <w:lang w:val="en-US"/>
            </w:rPr>
            <w:t xml:space="preserve"> in the Infrastructure Sector: Financial Ratio Analysis 2021-2023,” </w:t>
          </w:r>
          <w:r w:rsidRPr="00CE114C">
            <w:rPr>
              <w:i/>
              <w:iCs/>
              <w:lang w:val="en-US"/>
            </w:rPr>
            <w:t>Indonesian Journal of Islamic Economics and Finance</w:t>
          </w:r>
          <w:r w:rsidRPr="00CE114C">
            <w:rPr>
              <w:lang w:val="en-US"/>
            </w:rPr>
            <w:t xml:space="preserve">, 4(2). Available at: </w:t>
          </w:r>
          <w:hyperlink r:id="rId29" w:history="1">
            <w:r w:rsidRPr="000D4EA3">
              <w:rPr>
                <w:rStyle w:val="Hyperlink"/>
                <w:rFonts w:eastAsia="Times New Roman" w:cs="Times New Roman"/>
                <w:szCs w:val="24"/>
                <w:lang w:val="en-US"/>
              </w:rPr>
              <w:t>https://doi.org/10.37680/ijief.v4i2.6399</w:t>
            </w:r>
          </w:hyperlink>
          <w:r w:rsidRPr="00CE114C">
            <w:rPr>
              <w:lang w:val="en-US"/>
            </w:rPr>
            <w:t>.</w:t>
          </w:r>
        </w:p>
        <w:p w14:paraId="36DC3D12" w14:textId="77777777" w:rsidR="002858B9" w:rsidRPr="00D42CE1" w:rsidRDefault="002858B9" w:rsidP="002858B9">
          <w:pPr>
            <w:ind w:left="720" w:hanging="720"/>
            <w:rPr>
              <w:lang w:val="en-US"/>
            </w:rPr>
          </w:pPr>
          <w:proofErr w:type="spellStart"/>
          <w:proofErr w:type="gramStart"/>
          <w:r w:rsidRPr="00D42CE1">
            <w:rPr>
              <w:lang w:val="en-US"/>
            </w:rPr>
            <w:t>Patawari</w:t>
          </w:r>
          <w:proofErr w:type="spellEnd"/>
          <w:r w:rsidRPr="00D42CE1">
            <w:rPr>
              <w:lang w:val="en-US"/>
            </w:rPr>
            <w:t xml:space="preserve">, M. and </w:t>
          </w:r>
          <w:proofErr w:type="spellStart"/>
          <w:r w:rsidRPr="00D42CE1">
            <w:rPr>
              <w:lang w:val="en-US"/>
            </w:rPr>
            <w:t>Sarawgi</w:t>
          </w:r>
          <w:proofErr w:type="spellEnd"/>
          <w:r w:rsidRPr="00D42CE1">
            <w:rPr>
              <w:lang w:val="en-US"/>
            </w:rPr>
            <w:t xml:space="preserve">, N.K. (2024) “Measuring Impact of Capital Budgeting Techniques on the Financial Performance,” </w:t>
          </w:r>
          <w:r w:rsidRPr="00D42CE1">
            <w:rPr>
              <w:i/>
              <w:iCs/>
              <w:lang w:val="en-US"/>
            </w:rPr>
            <w:t>Pacific Business Review International</w:t>
          </w:r>
          <w:r w:rsidRPr="00D42CE1">
            <w:rPr>
              <w:lang w:val="en-US"/>
            </w:rPr>
            <w:t>, 17(6).</w:t>
          </w:r>
          <w:proofErr w:type="gramEnd"/>
        </w:p>
        <w:p w14:paraId="3A1FBA40" w14:textId="77777777" w:rsidR="002858B9" w:rsidRDefault="002858B9" w:rsidP="002858B9">
          <w:pPr>
            <w:ind w:left="720" w:hanging="720"/>
            <w:rPr>
              <w:lang w:val="en-US"/>
            </w:rPr>
          </w:pPr>
          <w:proofErr w:type="spellStart"/>
          <w:r w:rsidRPr="00B15AFF">
            <w:rPr>
              <w:lang w:val="en-US"/>
            </w:rPr>
            <w:t>Podinovski</w:t>
          </w:r>
          <w:proofErr w:type="spellEnd"/>
          <w:r w:rsidRPr="00B15AFF">
            <w:rPr>
              <w:lang w:val="en-US"/>
            </w:rPr>
            <w:t xml:space="preserve">, V.V., Wu, J. and </w:t>
          </w:r>
          <w:proofErr w:type="spellStart"/>
          <w:r w:rsidRPr="00B15AFF">
            <w:rPr>
              <w:lang w:val="en-US"/>
            </w:rPr>
            <w:t>Argyris</w:t>
          </w:r>
          <w:proofErr w:type="spellEnd"/>
          <w:r w:rsidRPr="00B15AFF">
            <w:rPr>
              <w:lang w:val="en-US"/>
            </w:rPr>
            <w:t xml:space="preserve">, N. (2024) “Production trade-offs in models of data envelopment analysis with ratio inputs and outputs: An application to schools in England,” </w:t>
          </w:r>
          <w:r w:rsidRPr="00B15AFF">
            <w:rPr>
              <w:i/>
              <w:iCs/>
              <w:lang w:val="en-US"/>
            </w:rPr>
            <w:t>European journal of operational research</w:t>
          </w:r>
          <w:r w:rsidRPr="00B15AFF">
            <w:rPr>
              <w:lang w:val="en-US"/>
            </w:rPr>
            <w:t xml:space="preserve">, 313(1), pp. 359–372. Available at: </w:t>
          </w:r>
          <w:hyperlink r:id="rId30" w:history="1">
            <w:r w:rsidRPr="000D4EA3">
              <w:rPr>
                <w:rStyle w:val="Hyperlink"/>
                <w:rFonts w:eastAsia="Times New Roman" w:cs="Times New Roman"/>
                <w:szCs w:val="24"/>
                <w:lang w:val="en-US"/>
              </w:rPr>
              <w:t>https://doi.org/10.1016/j.ejor.2023.08.019</w:t>
            </w:r>
          </w:hyperlink>
          <w:r w:rsidRPr="00B15AFF">
            <w:rPr>
              <w:lang w:val="en-US"/>
            </w:rPr>
            <w:t>.</w:t>
          </w:r>
        </w:p>
        <w:p w14:paraId="6E38F380" w14:textId="77777777" w:rsidR="002858B9" w:rsidRDefault="002858B9" w:rsidP="002858B9">
          <w:pPr>
            <w:ind w:left="720" w:hanging="720"/>
            <w:rPr>
              <w:lang w:val="en-US"/>
            </w:rPr>
          </w:pPr>
          <w:proofErr w:type="spellStart"/>
          <w:r w:rsidRPr="00D42CE1">
            <w:rPr>
              <w:lang w:val="en-US"/>
            </w:rPr>
            <w:t>Purnamasari</w:t>
          </w:r>
          <w:proofErr w:type="spellEnd"/>
          <w:r w:rsidRPr="00D42CE1">
            <w:rPr>
              <w:lang w:val="en-US"/>
            </w:rPr>
            <w:t xml:space="preserve">, P. (2024) “Capital budgeting techniques and financial performance: a comparison between SMEs and large listed firms,” </w:t>
          </w:r>
          <w:r w:rsidRPr="00D42CE1">
            <w:rPr>
              <w:i/>
              <w:iCs/>
              <w:lang w:val="en-US"/>
            </w:rPr>
            <w:t>Cogent economics &amp; finance</w:t>
          </w:r>
          <w:r w:rsidRPr="00D42CE1">
            <w:rPr>
              <w:lang w:val="en-US"/>
            </w:rPr>
            <w:t xml:space="preserve">, 12(1), pp. 1–18. Available at: </w:t>
          </w:r>
          <w:hyperlink r:id="rId31" w:history="1">
            <w:r w:rsidRPr="000D4EA3">
              <w:rPr>
                <w:rStyle w:val="Hyperlink"/>
                <w:rFonts w:eastAsia="Times New Roman" w:cs="Times New Roman"/>
                <w:szCs w:val="24"/>
                <w:lang w:val="en-US"/>
              </w:rPr>
              <w:t>https://doi.org/10.1080/23322039.2024.2404707</w:t>
            </w:r>
          </w:hyperlink>
          <w:r w:rsidRPr="00D42CE1">
            <w:rPr>
              <w:lang w:val="en-US"/>
            </w:rPr>
            <w:t>.</w:t>
          </w:r>
        </w:p>
        <w:p w14:paraId="19E275EE" w14:textId="77777777" w:rsidR="002858B9" w:rsidRDefault="002858B9" w:rsidP="002858B9">
          <w:pPr>
            <w:ind w:left="720" w:hanging="720"/>
            <w:rPr>
              <w:lang w:val="en-US"/>
            </w:rPr>
          </w:pPr>
          <w:proofErr w:type="spellStart"/>
          <w:r w:rsidRPr="00924C94">
            <w:rPr>
              <w:lang w:val="en-US"/>
            </w:rPr>
            <w:lastRenderedPageBreak/>
            <w:t>Purnamasari</w:t>
          </w:r>
          <w:proofErr w:type="spellEnd"/>
          <w:r w:rsidRPr="00924C94">
            <w:rPr>
              <w:lang w:val="en-US"/>
            </w:rPr>
            <w:t xml:space="preserve">, P. (2024) “Capital budgeting techniques and financial performance: a comparison between SMEs and large listed firms,” </w:t>
          </w:r>
          <w:r w:rsidRPr="00924C94">
            <w:rPr>
              <w:i/>
              <w:iCs/>
              <w:lang w:val="en-US"/>
            </w:rPr>
            <w:t>Cogent economics &amp; finance</w:t>
          </w:r>
          <w:r w:rsidRPr="00924C94">
            <w:rPr>
              <w:lang w:val="en-US"/>
            </w:rPr>
            <w:t xml:space="preserve">, 12(1), pp. 1–18. Available at: </w:t>
          </w:r>
          <w:hyperlink r:id="rId32" w:history="1">
            <w:r w:rsidRPr="000D4EA3">
              <w:rPr>
                <w:rStyle w:val="Hyperlink"/>
                <w:rFonts w:eastAsia="Times New Roman" w:cs="Times New Roman"/>
                <w:szCs w:val="24"/>
                <w:lang w:val="en-US"/>
              </w:rPr>
              <w:t>https://doi.org/10.1080/23322039.2024.2404707</w:t>
            </w:r>
          </w:hyperlink>
          <w:r w:rsidRPr="00924C94">
            <w:rPr>
              <w:lang w:val="en-US"/>
            </w:rPr>
            <w:t>.</w:t>
          </w:r>
        </w:p>
        <w:p w14:paraId="1FD2EBD4" w14:textId="77777777" w:rsidR="002858B9" w:rsidRDefault="002858B9" w:rsidP="002858B9">
          <w:pPr>
            <w:ind w:left="720" w:hanging="720"/>
            <w:rPr>
              <w:lang w:val="en-US"/>
            </w:rPr>
          </w:pPr>
          <w:proofErr w:type="spellStart"/>
          <w:r w:rsidRPr="00924C94">
            <w:rPr>
              <w:lang w:val="en-US"/>
            </w:rPr>
            <w:t>Puwanenthiren</w:t>
          </w:r>
          <w:proofErr w:type="spellEnd"/>
          <w:r w:rsidRPr="00924C94">
            <w:rPr>
              <w:lang w:val="en-US"/>
            </w:rPr>
            <w:t xml:space="preserve">, P. (2024) “National development level effects on capital budgeting practices: a comparative study of nature </w:t>
          </w:r>
          <w:proofErr w:type="spellStart"/>
          <w:r w:rsidRPr="00924C94">
            <w:rPr>
              <w:lang w:val="en-US"/>
            </w:rPr>
            <w:t>vs</w:t>
          </w:r>
          <w:proofErr w:type="spellEnd"/>
          <w:r w:rsidRPr="00924C94">
            <w:rPr>
              <w:lang w:val="en-US"/>
            </w:rPr>
            <w:t xml:space="preserve"> nurture,” </w:t>
          </w:r>
          <w:r w:rsidRPr="00924C94">
            <w:rPr>
              <w:i/>
              <w:iCs/>
              <w:lang w:val="en-US"/>
            </w:rPr>
            <w:t>PSU research review</w:t>
          </w:r>
          <w:r w:rsidRPr="00924C94">
            <w:rPr>
              <w:lang w:val="en-US"/>
            </w:rPr>
            <w:t xml:space="preserve">, 8(1), pp. 227–247. Available at: </w:t>
          </w:r>
          <w:hyperlink r:id="rId33" w:history="1">
            <w:r w:rsidRPr="000D4EA3">
              <w:rPr>
                <w:rStyle w:val="Hyperlink"/>
                <w:rFonts w:eastAsia="Times New Roman" w:cs="Times New Roman"/>
                <w:szCs w:val="24"/>
                <w:lang w:val="en-US"/>
              </w:rPr>
              <w:t>https://doi.org/10.1108/PRR-08-2021-0043</w:t>
            </w:r>
          </w:hyperlink>
          <w:r w:rsidRPr="00924C94">
            <w:rPr>
              <w:lang w:val="en-US"/>
            </w:rPr>
            <w:t>.</w:t>
          </w:r>
        </w:p>
        <w:p w14:paraId="79ADD89D" w14:textId="77777777" w:rsidR="002858B9" w:rsidRDefault="002858B9" w:rsidP="002858B9">
          <w:pPr>
            <w:ind w:left="720" w:hanging="720"/>
            <w:rPr>
              <w:lang w:val="en-US"/>
            </w:rPr>
          </w:pPr>
          <w:r w:rsidRPr="00D42CE1">
            <w:rPr>
              <w:lang w:val="en-US"/>
            </w:rPr>
            <w:t xml:space="preserve">Ronald Ebenezer </w:t>
          </w:r>
          <w:proofErr w:type="spellStart"/>
          <w:r w:rsidRPr="00D42CE1">
            <w:rPr>
              <w:lang w:val="en-US"/>
            </w:rPr>
            <w:t>Essel</w:t>
          </w:r>
          <w:proofErr w:type="spellEnd"/>
          <w:r>
            <w:rPr>
              <w:lang w:val="en-US"/>
            </w:rPr>
            <w:t>,</w:t>
          </w:r>
          <w:r w:rsidRPr="00D42CE1">
            <w:rPr>
              <w:lang w:val="en-US"/>
            </w:rPr>
            <w:t xml:space="preserve"> (2025) “Corporate financial strategies and performance: Insights from China’s Shanghai Stock Exchange,” </w:t>
          </w:r>
          <w:r w:rsidRPr="00D42CE1">
            <w:rPr>
              <w:i/>
              <w:iCs/>
              <w:lang w:val="en-US"/>
            </w:rPr>
            <w:t>Accounting (North Vancouver)</w:t>
          </w:r>
          <w:r w:rsidRPr="00D42CE1">
            <w:rPr>
              <w:lang w:val="en-US"/>
            </w:rPr>
            <w:t xml:space="preserve">, 11(1), pp. 1–18. Available at: </w:t>
          </w:r>
          <w:hyperlink r:id="rId34" w:history="1">
            <w:r w:rsidRPr="000D4EA3">
              <w:rPr>
                <w:rStyle w:val="Hyperlink"/>
                <w:rFonts w:eastAsia="Times New Roman" w:cs="Times New Roman"/>
                <w:szCs w:val="24"/>
                <w:lang w:val="en-US"/>
              </w:rPr>
              <w:t>https://doi.org/10.5267/j.ac.2025.1.002</w:t>
            </w:r>
          </w:hyperlink>
          <w:r w:rsidRPr="00D42CE1">
            <w:rPr>
              <w:lang w:val="en-US"/>
            </w:rPr>
            <w:t>.</w:t>
          </w:r>
        </w:p>
        <w:p w14:paraId="1D5BEC82" w14:textId="77777777" w:rsidR="002858B9" w:rsidRDefault="002858B9" w:rsidP="002858B9">
          <w:pPr>
            <w:ind w:left="720" w:hanging="720"/>
            <w:rPr>
              <w:lang w:val="en-US"/>
            </w:rPr>
          </w:pPr>
          <w:r w:rsidRPr="00B73881">
            <w:rPr>
              <w:lang w:val="en-US"/>
            </w:rPr>
            <w:t xml:space="preserve">Sacks, H.S. </w:t>
          </w:r>
          <w:r>
            <w:rPr>
              <w:rFonts w:ascii="Helvetica" w:hAnsi="Helvetica"/>
              <w:color w:val="3A3A3A"/>
              <w:sz w:val="23"/>
              <w:szCs w:val="23"/>
              <w:shd w:val="clear" w:color="auto" w:fill="FFFFFF"/>
            </w:rPr>
            <w:t xml:space="preserve">Smirnoff, M., Carson, D., Cooney, M. L., Shapiro, M. Z., Hahn, C. J., </w:t>
          </w:r>
          <w:proofErr w:type="spellStart"/>
          <w:r>
            <w:rPr>
              <w:rFonts w:ascii="Helvetica" w:hAnsi="Helvetica"/>
              <w:color w:val="3A3A3A"/>
              <w:sz w:val="23"/>
              <w:szCs w:val="23"/>
              <w:shd w:val="clear" w:color="auto" w:fill="FFFFFF"/>
            </w:rPr>
            <w:t>Dasaro</w:t>
          </w:r>
          <w:proofErr w:type="spellEnd"/>
          <w:r>
            <w:rPr>
              <w:rFonts w:ascii="Helvetica" w:hAnsi="Helvetica"/>
              <w:color w:val="3A3A3A"/>
              <w:sz w:val="23"/>
              <w:szCs w:val="23"/>
              <w:shd w:val="clear" w:color="auto" w:fill="FFFFFF"/>
            </w:rPr>
            <w:t xml:space="preserve">, C. R., </w:t>
          </w:r>
          <w:proofErr w:type="spellStart"/>
          <w:r>
            <w:rPr>
              <w:rFonts w:ascii="Helvetica" w:hAnsi="Helvetica"/>
              <w:color w:val="3A3A3A"/>
              <w:sz w:val="23"/>
              <w:szCs w:val="23"/>
              <w:shd w:val="clear" w:color="auto" w:fill="FFFFFF"/>
            </w:rPr>
            <w:t>Crowson</w:t>
          </w:r>
          <w:proofErr w:type="spellEnd"/>
          <w:r>
            <w:rPr>
              <w:rFonts w:ascii="Helvetica" w:hAnsi="Helvetica"/>
              <w:color w:val="3A3A3A"/>
              <w:sz w:val="23"/>
              <w:szCs w:val="23"/>
              <w:shd w:val="clear" w:color="auto" w:fill="FFFFFF"/>
            </w:rPr>
            <w:t xml:space="preserve">, C., </w:t>
          </w:r>
          <w:proofErr w:type="spellStart"/>
          <w:r>
            <w:rPr>
              <w:rFonts w:ascii="Helvetica" w:hAnsi="Helvetica"/>
              <w:color w:val="3A3A3A"/>
              <w:sz w:val="23"/>
              <w:szCs w:val="23"/>
              <w:shd w:val="clear" w:color="auto" w:fill="FFFFFF"/>
            </w:rPr>
            <w:t>Tassiulas</w:t>
          </w:r>
          <w:proofErr w:type="spellEnd"/>
          <w:r>
            <w:rPr>
              <w:rFonts w:ascii="Helvetica" w:hAnsi="Helvetica"/>
              <w:color w:val="3A3A3A"/>
              <w:sz w:val="23"/>
              <w:szCs w:val="23"/>
              <w:shd w:val="clear" w:color="auto" w:fill="FFFFFF"/>
            </w:rPr>
            <w:t xml:space="preserve">, I., </w:t>
          </w:r>
          <w:proofErr w:type="spellStart"/>
          <w:r>
            <w:rPr>
              <w:rFonts w:ascii="Helvetica" w:hAnsi="Helvetica"/>
              <w:color w:val="3A3A3A"/>
              <w:sz w:val="23"/>
              <w:szCs w:val="23"/>
              <w:shd w:val="clear" w:color="auto" w:fill="FFFFFF"/>
            </w:rPr>
            <w:t>Hirten</w:t>
          </w:r>
          <w:proofErr w:type="spellEnd"/>
          <w:r>
            <w:rPr>
              <w:rFonts w:ascii="Helvetica" w:hAnsi="Helvetica"/>
              <w:color w:val="3A3A3A"/>
              <w:sz w:val="23"/>
              <w:szCs w:val="23"/>
              <w:shd w:val="clear" w:color="auto" w:fill="FFFFFF"/>
            </w:rPr>
            <w:t xml:space="preserve">, R. P., Cohen, B. L., Haber, R. S., Davies, T. F., Simpson, D. M., Crane, M. A., Harrison, D. J., </w:t>
          </w:r>
          <w:proofErr w:type="spellStart"/>
          <w:r>
            <w:rPr>
              <w:rFonts w:ascii="Helvetica" w:hAnsi="Helvetica"/>
              <w:color w:val="3A3A3A"/>
              <w:sz w:val="23"/>
              <w:szCs w:val="23"/>
              <w:shd w:val="clear" w:color="auto" w:fill="FFFFFF"/>
            </w:rPr>
            <w:t>Luft</w:t>
          </w:r>
          <w:proofErr w:type="spellEnd"/>
          <w:r>
            <w:rPr>
              <w:rFonts w:ascii="Helvetica" w:hAnsi="Helvetica"/>
              <w:color w:val="3A3A3A"/>
              <w:sz w:val="23"/>
              <w:szCs w:val="23"/>
              <w:shd w:val="clear" w:color="auto" w:fill="FFFFFF"/>
            </w:rPr>
            <w:t xml:space="preserve">, B. J., Moline, J. M., </w:t>
          </w:r>
          <w:proofErr w:type="spellStart"/>
          <w:r>
            <w:rPr>
              <w:rFonts w:ascii="Helvetica" w:hAnsi="Helvetica"/>
              <w:color w:val="3A3A3A"/>
              <w:sz w:val="23"/>
              <w:szCs w:val="23"/>
              <w:shd w:val="clear" w:color="auto" w:fill="FFFFFF"/>
            </w:rPr>
            <w:t>Udasin</w:t>
          </w:r>
          <w:proofErr w:type="spellEnd"/>
          <w:r>
            <w:rPr>
              <w:rFonts w:ascii="Helvetica" w:hAnsi="Helvetica"/>
              <w:color w:val="3A3A3A"/>
              <w:sz w:val="23"/>
              <w:szCs w:val="23"/>
              <w:shd w:val="clear" w:color="auto" w:fill="FFFFFF"/>
            </w:rPr>
            <w:t xml:space="preserve">, I. </w:t>
          </w:r>
          <w:proofErr w:type="spellStart"/>
          <w:r>
            <w:rPr>
              <w:rFonts w:ascii="Helvetica" w:hAnsi="Helvetica"/>
              <w:color w:val="3A3A3A"/>
              <w:sz w:val="23"/>
              <w:szCs w:val="23"/>
              <w:shd w:val="clear" w:color="auto" w:fill="FFFFFF"/>
            </w:rPr>
            <w:t>G.and</w:t>
          </w:r>
          <w:proofErr w:type="spellEnd"/>
          <w:r>
            <w:rPr>
              <w:rFonts w:ascii="Helvetica" w:hAnsi="Helvetica"/>
              <w:color w:val="3A3A3A"/>
              <w:sz w:val="23"/>
              <w:szCs w:val="23"/>
              <w:shd w:val="clear" w:color="auto" w:fill="FFFFFF"/>
            </w:rPr>
            <w:t xml:space="preserve"> </w:t>
          </w:r>
          <w:proofErr w:type="spellStart"/>
          <w:r>
            <w:rPr>
              <w:rFonts w:ascii="Helvetica" w:hAnsi="Helvetica"/>
              <w:color w:val="3A3A3A"/>
              <w:sz w:val="23"/>
              <w:szCs w:val="23"/>
              <w:shd w:val="clear" w:color="auto" w:fill="FFFFFF"/>
            </w:rPr>
            <w:t>Teitelbaum</w:t>
          </w:r>
          <w:proofErr w:type="spellEnd"/>
          <w:r>
            <w:rPr>
              <w:rFonts w:ascii="Helvetica" w:hAnsi="Helvetica"/>
              <w:color w:val="3A3A3A"/>
              <w:sz w:val="23"/>
              <w:szCs w:val="23"/>
              <w:shd w:val="clear" w:color="auto" w:fill="FFFFFF"/>
            </w:rPr>
            <w:t>, S. L</w:t>
          </w:r>
          <w:r w:rsidRPr="00B73881">
            <w:rPr>
              <w:i/>
              <w:iCs/>
              <w:lang w:val="en-US"/>
            </w:rPr>
            <w:t>.</w:t>
          </w:r>
          <w:r w:rsidRPr="00B73881">
            <w:rPr>
              <w:lang w:val="en-US"/>
            </w:rPr>
            <w:t xml:space="preserve"> (2022) “Autoimmune conditions in the World Trade Center general responder cohort: A nested case‐control and standardized incidence ratio analysis,” </w:t>
          </w:r>
          <w:r w:rsidRPr="00B73881">
            <w:rPr>
              <w:i/>
              <w:iCs/>
              <w:lang w:val="en-US"/>
            </w:rPr>
            <w:t>American journal of industrial medicine</w:t>
          </w:r>
          <w:r w:rsidRPr="00B73881">
            <w:rPr>
              <w:lang w:val="en-US"/>
            </w:rPr>
            <w:t xml:space="preserve">, 65(2), pp. 117–131. Available at: </w:t>
          </w:r>
          <w:hyperlink r:id="rId35" w:history="1">
            <w:r w:rsidRPr="000D4EA3">
              <w:rPr>
                <w:rStyle w:val="Hyperlink"/>
                <w:rFonts w:eastAsia="Times New Roman" w:cs="Times New Roman"/>
                <w:szCs w:val="24"/>
                <w:lang w:val="en-US"/>
              </w:rPr>
              <w:t>https://doi.org/10.1002/ajim.23313</w:t>
            </w:r>
          </w:hyperlink>
          <w:r w:rsidRPr="00B73881">
            <w:rPr>
              <w:lang w:val="en-US"/>
            </w:rPr>
            <w:t>.</w:t>
          </w:r>
        </w:p>
        <w:p w14:paraId="6A8CF93C" w14:textId="77777777" w:rsidR="002858B9" w:rsidRDefault="002858B9" w:rsidP="002858B9">
          <w:pPr>
            <w:ind w:left="720" w:hanging="720"/>
            <w:rPr>
              <w:lang w:val="en-US"/>
            </w:rPr>
          </w:pPr>
          <w:proofErr w:type="spellStart"/>
          <w:proofErr w:type="gramStart"/>
          <w:r w:rsidRPr="00D50A98">
            <w:rPr>
              <w:lang w:val="en-US"/>
            </w:rPr>
            <w:t>Sureka</w:t>
          </w:r>
          <w:proofErr w:type="spellEnd"/>
          <w:r w:rsidRPr="00D50A98">
            <w:rPr>
              <w:lang w:val="en-US"/>
            </w:rPr>
            <w:t xml:space="preserve">, R. </w:t>
          </w:r>
          <w:r>
            <w:rPr>
              <w:rFonts w:ascii="Helvetica" w:hAnsi="Helvetica"/>
              <w:color w:val="3A3A3A"/>
              <w:sz w:val="23"/>
              <w:szCs w:val="23"/>
              <w:shd w:val="clear" w:color="auto" w:fill="FFFFFF"/>
            </w:rPr>
            <w:t xml:space="preserve">Kumar, S., </w:t>
          </w:r>
          <w:proofErr w:type="spellStart"/>
          <w:r>
            <w:rPr>
              <w:rFonts w:ascii="Helvetica" w:hAnsi="Helvetica"/>
              <w:color w:val="3A3A3A"/>
              <w:sz w:val="23"/>
              <w:szCs w:val="23"/>
              <w:shd w:val="clear" w:color="auto" w:fill="FFFFFF"/>
            </w:rPr>
            <w:t>Colombage</w:t>
          </w:r>
          <w:proofErr w:type="spellEnd"/>
          <w:r>
            <w:rPr>
              <w:rFonts w:ascii="Helvetica" w:hAnsi="Helvetica"/>
              <w:color w:val="3A3A3A"/>
              <w:sz w:val="23"/>
              <w:szCs w:val="23"/>
              <w:shd w:val="clear" w:color="auto" w:fill="FFFFFF"/>
            </w:rPr>
            <w:t xml:space="preserve">, S., and </w:t>
          </w:r>
          <w:proofErr w:type="spellStart"/>
          <w:r>
            <w:rPr>
              <w:rFonts w:ascii="Helvetica" w:hAnsi="Helvetica"/>
              <w:color w:val="3A3A3A"/>
              <w:sz w:val="23"/>
              <w:szCs w:val="23"/>
              <w:shd w:val="clear" w:color="auto" w:fill="FFFFFF"/>
            </w:rPr>
            <w:t>Abedin</w:t>
          </w:r>
          <w:proofErr w:type="spellEnd"/>
          <w:r>
            <w:rPr>
              <w:rFonts w:ascii="Helvetica" w:hAnsi="Helvetica"/>
              <w:color w:val="3A3A3A"/>
              <w:sz w:val="23"/>
              <w:szCs w:val="23"/>
              <w:shd w:val="clear" w:color="auto" w:fill="FFFFFF"/>
            </w:rPr>
            <w:t>, M. Z</w:t>
          </w:r>
          <w:r w:rsidRPr="00D50A98">
            <w:rPr>
              <w:lang w:val="en-US"/>
            </w:rPr>
            <w:t xml:space="preserve"> (2022) “Five decades of research on capital budgeting – A systematic review and future research agenda,” </w:t>
          </w:r>
          <w:r w:rsidRPr="00D50A98">
            <w:rPr>
              <w:i/>
              <w:iCs/>
              <w:lang w:val="en-US"/>
            </w:rPr>
            <w:t>Research in international business and finance</w:t>
          </w:r>
          <w:r w:rsidRPr="00D50A98">
            <w:rPr>
              <w:lang w:val="en-US"/>
            </w:rPr>
            <w:t>, 60.</w:t>
          </w:r>
          <w:proofErr w:type="gramEnd"/>
          <w:r w:rsidRPr="00D50A98">
            <w:rPr>
              <w:lang w:val="en-US"/>
            </w:rPr>
            <w:t xml:space="preserve"> Available at: </w:t>
          </w:r>
          <w:hyperlink r:id="rId36" w:history="1">
            <w:r w:rsidRPr="000D4EA3">
              <w:rPr>
                <w:rStyle w:val="Hyperlink"/>
                <w:rFonts w:eastAsia="Times New Roman" w:cs="Times New Roman"/>
                <w:szCs w:val="24"/>
                <w:lang w:val="en-US"/>
              </w:rPr>
              <w:t>https://doi.org/10.1016/j.ribaf.2021.101609</w:t>
            </w:r>
          </w:hyperlink>
          <w:r>
            <w:rPr>
              <w:lang w:val="en-US"/>
            </w:rPr>
            <w:t>.</w:t>
          </w:r>
        </w:p>
        <w:p w14:paraId="3D4273F9" w14:textId="77777777" w:rsidR="002858B9" w:rsidRDefault="002858B9" w:rsidP="002858B9">
          <w:pPr>
            <w:ind w:left="720" w:hanging="720"/>
            <w:rPr>
              <w:lang w:val="en-US"/>
            </w:rPr>
          </w:pPr>
          <w:proofErr w:type="spellStart"/>
          <w:r w:rsidRPr="00B73881">
            <w:rPr>
              <w:lang w:val="en-US"/>
            </w:rPr>
            <w:t>Tsiouni</w:t>
          </w:r>
          <w:proofErr w:type="spellEnd"/>
          <w:r w:rsidRPr="00B73881">
            <w:rPr>
              <w:lang w:val="en-US"/>
            </w:rPr>
            <w:t xml:space="preserve">, M. </w:t>
          </w:r>
          <w:proofErr w:type="spellStart"/>
          <w:r>
            <w:rPr>
              <w:rFonts w:ascii="Helvetica" w:hAnsi="Helvetica"/>
              <w:color w:val="3A3A3A"/>
              <w:sz w:val="23"/>
              <w:szCs w:val="23"/>
              <w:shd w:val="clear" w:color="auto" w:fill="FFFFFF"/>
            </w:rPr>
            <w:t>Kountios</w:t>
          </w:r>
          <w:proofErr w:type="spellEnd"/>
          <w:r>
            <w:rPr>
              <w:rFonts w:ascii="Helvetica" w:hAnsi="Helvetica"/>
              <w:color w:val="3A3A3A"/>
              <w:sz w:val="23"/>
              <w:szCs w:val="23"/>
              <w:shd w:val="clear" w:color="auto" w:fill="FFFFFF"/>
            </w:rPr>
            <w:t xml:space="preserve">, G., </w:t>
          </w:r>
          <w:proofErr w:type="spellStart"/>
          <w:r>
            <w:rPr>
              <w:rFonts w:ascii="Helvetica" w:hAnsi="Helvetica"/>
              <w:color w:val="3A3A3A"/>
              <w:sz w:val="23"/>
              <w:szCs w:val="23"/>
              <w:shd w:val="clear" w:color="auto" w:fill="FFFFFF"/>
            </w:rPr>
            <w:t>Kousenidis</w:t>
          </w:r>
          <w:proofErr w:type="spellEnd"/>
          <w:r>
            <w:rPr>
              <w:rFonts w:ascii="Helvetica" w:hAnsi="Helvetica"/>
              <w:color w:val="3A3A3A"/>
              <w:sz w:val="23"/>
              <w:szCs w:val="23"/>
              <w:shd w:val="clear" w:color="auto" w:fill="FFFFFF"/>
            </w:rPr>
            <w:t xml:space="preserve">, K., </w:t>
          </w:r>
          <w:proofErr w:type="spellStart"/>
          <w:r>
            <w:rPr>
              <w:rFonts w:ascii="Helvetica" w:hAnsi="Helvetica"/>
              <w:color w:val="3A3A3A"/>
              <w:sz w:val="23"/>
              <w:szCs w:val="23"/>
              <w:shd w:val="clear" w:color="auto" w:fill="FFFFFF"/>
            </w:rPr>
            <w:t>Kousenidis</w:t>
          </w:r>
          <w:proofErr w:type="spellEnd"/>
          <w:r>
            <w:rPr>
              <w:rFonts w:ascii="Helvetica" w:hAnsi="Helvetica"/>
              <w:color w:val="3A3A3A"/>
              <w:sz w:val="23"/>
              <w:szCs w:val="23"/>
              <w:shd w:val="clear" w:color="auto" w:fill="FFFFFF"/>
            </w:rPr>
            <w:t xml:space="preserve">, D., </w:t>
          </w:r>
          <w:proofErr w:type="spellStart"/>
          <w:r>
            <w:rPr>
              <w:rFonts w:ascii="Helvetica" w:hAnsi="Helvetica"/>
              <w:color w:val="3A3A3A"/>
              <w:sz w:val="23"/>
              <w:szCs w:val="23"/>
              <w:shd w:val="clear" w:color="auto" w:fill="FFFFFF"/>
            </w:rPr>
            <w:t>Tzamaloukas</w:t>
          </w:r>
          <w:proofErr w:type="spellEnd"/>
          <w:r>
            <w:rPr>
              <w:rFonts w:ascii="Helvetica" w:hAnsi="Helvetica"/>
              <w:color w:val="3A3A3A"/>
              <w:sz w:val="23"/>
              <w:szCs w:val="23"/>
              <w:shd w:val="clear" w:color="auto" w:fill="FFFFFF"/>
            </w:rPr>
            <w:t xml:space="preserve">, O., and </w:t>
          </w:r>
          <w:proofErr w:type="spellStart"/>
          <w:r>
            <w:rPr>
              <w:rFonts w:ascii="Helvetica" w:hAnsi="Helvetica"/>
              <w:color w:val="3A3A3A"/>
              <w:sz w:val="23"/>
              <w:szCs w:val="23"/>
              <w:shd w:val="clear" w:color="auto" w:fill="FFFFFF"/>
            </w:rPr>
            <w:t>Simitzis</w:t>
          </w:r>
          <w:proofErr w:type="spellEnd"/>
          <w:r>
            <w:rPr>
              <w:rFonts w:ascii="Helvetica" w:hAnsi="Helvetica"/>
              <w:color w:val="3A3A3A"/>
              <w:sz w:val="23"/>
              <w:szCs w:val="23"/>
              <w:shd w:val="clear" w:color="auto" w:fill="FFFFFF"/>
            </w:rPr>
            <w:t>, P.</w:t>
          </w:r>
          <w:r w:rsidRPr="00B73881">
            <w:rPr>
              <w:lang w:val="en-US"/>
            </w:rPr>
            <w:t xml:space="preserve"> (2023) “Financial Ratio Analysis as an Advisory Tool for Sustainable Pig Farm Management in Greece,” </w:t>
          </w:r>
          <w:r w:rsidRPr="00B73881">
            <w:rPr>
              <w:i/>
              <w:iCs/>
              <w:lang w:val="en-US"/>
            </w:rPr>
            <w:t>Sustainability</w:t>
          </w:r>
          <w:r w:rsidRPr="00B73881">
            <w:rPr>
              <w:lang w:val="en-US"/>
            </w:rPr>
            <w:t xml:space="preserve">, 15(21), p. 15536. Available at: </w:t>
          </w:r>
          <w:hyperlink r:id="rId37" w:history="1">
            <w:r w:rsidRPr="000D4EA3">
              <w:rPr>
                <w:rStyle w:val="Hyperlink"/>
                <w:rFonts w:eastAsia="Times New Roman" w:cs="Times New Roman"/>
                <w:szCs w:val="24"/>
                <w:lang w:val="en-US"/>
              </w:rPr>
              <w:t>https://doi.org/10.3390/su152115536</w:t>
            </w:r>
          </w:hyperlink>
          <w:r w:rsidRPr="00B73881">
            <w:rPr>
              <w:lang w:val="en-US"/>
            </w:rPr>
            <w:t>.</w:t>
          </w:r>
        </w:p>
        <w:p w14:paraId="3967F6FE" w14:textId="77777777" w:rsidR="002858B9" w:rsidRDefault="002858B9" w:rsidP="002858B9">
          <w:pPr>
            <w:ind w:left="720" w:hanging="720"/>
            <w:rPr>
              <w:lang w:val="en-US"/>
            </w:rPr>
          </w:pPr>
          <w:r w:rsidRPr="00B15AFF">
            <w:rPr>
              <w:lang w:val="en-US"/>
            </w:rPr>
            <w:t xml:space="preserve">Wang, S. </w:t>
          </w:r>
          <w:proofErr w:type="spellStart"/>
          <w:r>
            <w:rPr>
              <w:rFonts w:ascii="Helvetica" w:hAnsi="Helvetica"/>
              <w:color w:val="3A3A3A"/>
              <w:sz w:val="23"/>
              <w:szCs w:val="23"/>
              <w:shd w:val="clear" w:color="auto" w:fill="FFFFFF"/>
            </w:rPr>
            <w:t>Xue</w:t>
          </w:r>
          <w:proofErr w:type="spellEnd"/>
          <w:r>
            <w:rPr>
              <w:rFonts w:ascii="Helvetica" w:hAnsi="Helvetica"/>
              <w:color w:val="3A3A3A"/>
              <w:sz w:val="23"/>
              <w:szCs w:val="23"/>
              <w:shd w:val="clear" w:color="auto" w:fill="FFFFFF"/>
            </w:rPr>
            <w:t xml:space="preserve">, S., Jiang, Z., </w:t>
          </w:r>
          <w:proofErr w:type="spellStart"/>
          <w:r>
            <w:rPr>
              <w:rFonts w:ascii="Helvetica" w:hAnsi="Helvetica"/>
              <w:color w:val="3A3A3A"/>
              <w:sz w:val="23"/>
              <w:szCs w:val="23"/>
              <w:shd w:val="clear" w:color="auto" w:fill="FFFFFF"/>
            </w:rPr>
            <w:t>Hou</w:t>
          </w:r>
          <w:proofErr w:type="spellEnd"/>
          <w:r>
            <w:rPr>
              <w:rFonts w:ascii="Helvetica" w:hAnsi="Helvetica"/>
              <w:color w:val="3A3A3A"/>
              <w:sz w:val="23"/>
              <w:szCs w:val="23"/>
              <w:shd w:val="clear" w:color="auto" w:fill="FFFFFF"/>
            </w:rPr>
            <w:t xml:space="preserve">, X., </w:t>
          </w:r>
          <w:proofErr w:type="spellStart"/>
          <w:r>
            <w:rPr>
              <w:rFonts w:ascii="Helvetica" w:hAnsi="Helvetica"/>
              <w:color w:val="3A3A3A"/>
              <w:sz w:val="23"/>
              <w:szCs w:val="23"/>
              <w:shd w:val="clear" w:color="auto" w:fill="FFFFFF"/>
            </w:rPr>
            <w:t>Zou</w:t>
          </w:r>
          <w:proofErr w:type="spellEnd"/>
          <w:r>
            <w:rPr>
              <w:rFonts w:ascii="Helvetica" w:hAnsi="Helvetica"/>
              <w:color w:val="3A3A3A"/>
              <w:sz w:val="23"/>
              <w:szCs w:val="23"/>
              <w:shd w:val="clear" w:color="auto" w:fill="FFFFFF"/>
            </w:rPr>
            <w:t xml:space="preserve">, F., Yang, W., Zhou, X., Zhang, S., </w:t>
          </w:r>
          <w:proofErr w:type="spellStart"/>
          <w:r>
            <w:rPr>
              <w:rFonts w:ascii="Helvetica" w:hAnsi="Helvetica"/>
              <w:color w:val="3A3A3A"/>
              <w:sz w:val="23"/>
              <w:szCs w:val="23"/>
              <w:shd w:val="clear" w:color="auto" w:fill="FFFFFF"/>
            </w:rPr>
            <w:t>Zou</w:t>
          </w:r>
          <w:proofErr w:type="spellEnd"/>
          <w:r>
            <w:rPr>
              <w:rFonts w:ascii="Helvetica" w:hAnsi="Helvetica"/>
              <w:color w:val="3A3A3A"/>
              <w:sz w:val="23"/>
              <w:szCs w:val="23"/>
              <w:shd w:val="clear" w:color="auto" w:fill="FFFFFF"/>
            </w:rPr>
            <w:t>, J., and Shan, Q.</w:t>
          </w:r>
          <w:r w:rsidRPr="00B15AFF">
            <w:rPr>
              <w:lang w:val="en-US"/>
            </w:rPr>
            <w:t xml:space="preserve"> (2024) “Cost‐Effectiveness Ratio Analysis of </w:t>
          </w:r>
          <w:proofErr w:type="spellStart"/>
          <w:r w:rsidRPr="00B15AFF">
            <w:rPr>
              <w:lang w:val="en-US"/>
            </w:rPr>
            <w:t>LBBaP</w:t>
          </w:r>
          <w:proofErr w:type="spellEnd"/>
          <w:r w:rsidRPr="00B15AFF">
            <w:rPr>
              <w:lang w:val="en-US"/>
            </w:rPr>
            <w:t xml:space="preserve"> Versus BVP in Heart Failure Patients </w:t>
          </w:r>
          <w:proofErr w:type="gramStart"/>
          <w:r w:rsidRPr="00B15AFF">
            <w:rPr>
              <w:lang w:val="en-US"/>
            </w:rPr>
            <w:t>With</w:t>
          </w:r>
          <w:proofErr w:type="gramEnd"/>
          <w:r w:rsidRPr="00B15AFF">
            <w:rPr>
              <w:lang w:val="en-US"/>
            </w:rPr>
            <w:t xml:space="preserve"> LBBB,” </w:t>
          </w:r>
          <w:r w:rsidRPr="00B15AFF">
            <w:rPr>
              <w:i/>
              <w:iCs/>
              <w:lang w:val="en-US"/>
            </w:rPr>
            <w:t>Pacing and clinical electrophysiology</w:t>
          </w:r>
          <w:r w:rsidRPr="00B15AFF">
            <w:rPr>
              <w:lang w:val="en-US"/>
            </w:rPr>
            <w:t xml:space="preserve">, 47(11), pp. 1539–1547. Available at: </w:t>
          </w:r>
          <w:hyperlink r:id="rId38" w:history="1">
            <w:r w:rsidRPr="000D4EA3">
              <w:rPr>
                <w:rStyle w:val="Hyperlink"/>
                <w:rFonts w:eastAsia="Times New Roman" w:cs="Times New Roman"/>
                <w:szCs w:val="24"/>
                <w:lang w:val="en-US"/>
              </w:rPr>
              <w:t>https://doi.org/10.1111/pace.15077</w:t>
            </w:r>
          </w:hyperlink>
          <w:r w:rsidRPr="00B15AFF">
            <w:rPr>
              <w:lang w:val="en-US"/>
            </w:rPr>
            <w:t>.</w:t>
          </w:r>
        </w:p>
        <w:p w14:paraId="647B3873" w14:textId="77777777" w:rsidR="002858B9" w:rsidRDefault="002858B9" w:rsidP="002858B9">
          <w:pPr>
            <w:ind w:left="720" w:hanging="720"/>
            <w:rPr>
              <w:lang w:val="en-US"/>
            </w:rPr>
          </w:pPr>
          <w:proofErr w:type="spellStart"/>
          <w:r w:rsidRPr="00924C94">
            <w:rPr>
              <w:lang w:val="en-US"/>
            </w:rPr>
            <w:t>Wouters</w:t>
          </w:r>
          <w:proofErr w:type="spellEnd"/>
          <w:r w:rsidRPr="00924C94">
            <w:rPr>
              <w:lang w:val="en-US"/>
            </w:rPr>
            <w:t xml:space="preserve">, M. and </w:t>
          </w:r>
          <w:proofErr w:type="spellStart"/>
          <w:r w:rsidRPr="00924C94">
            <w:rPr>
              <w:lang w:val="en-US"/>
            </w:rPr>
            <w:t>Stadtherr</w:t>
          </w:r>
          <w:proofErr w:type="spellEnd"/>
          <w:r w:rsidRPr="00924C94">
            <w:rPr>
              <w:lang w:val="en-US"/>
            </w:rPr>
            <w:t xml:space="preserve">, F. (2024) “How Management Accountants Purposefully Create Cash Flow Forecasts in Capital Budgeting: A Field Study of Product Development </w:t>
          </w:r>
          <w:r w:rsidRPr="00924C94">
            <w:rPr>
              <w:lang w:val="en-US"/>
            </w:rPr>
            <w:lastRenderedPageBreak/>
            <w:t xml:space="preserve">Decisions,” </w:t>
          </w:r>
          <w:r w:rsidRPr="00924C94">
            <w:rPr>
              <w:i/>
              <w:iCs/>
              <w:lang w:val="en-US"/>
            </w:rPr>
            <w:t>Accounting perspectives</w:t>
          </w:r>
          <w:r w:rsidRPr="00924C94">
            <w:rPr>
              <w:lang w:val="en-US"/>
            </w:rPr>
            <w:t xml:space="preserve">, 23(3), pp. 467–505. Available at: </w:t>
          </w:r>
          <w:hyperlink r:id="rId39" w:history="1">
            <w:r w:rsidRPr="000D4EA3">
              <w:rPr>
                <w:rStyle w:val="Hyperlink"/>
                <w:rFonts w:eastAsia="Times New Roman" w:cs="Times New Roman"/>
                <w:szCs w:val="24"/>
                <w:lang w:val="en-US"/>
              </w:rPr>
              <w:t>https://doi.org/10.1111/1911-3838.12361</w:t>
            </w:r>
          </w:hyperlink>
          <w:r w:rsidRPr="00924C94">
            <w:rPr>
              <w:lang w:val="en-US"/>
            </w:rPr>
            <w:t>.</w:t>
          </w:r>
        </w:p>
        <w:p w14:paraId="66318D3C" w14:textId="77777777" w:rsidR="002858B9" w:rsidRDefault="002858B9" w:rsidP="002858B9">
          <w:pPr>
            <w:ind w:left="720" w:hanging="720"/>
            <w:rPr>
              <w:lang w:val="en-US"/>
            </w:rPr>
          </w:pPr>
          <w:r w:rsidRPr="00B15AFF">
            <w:rPr>
              <w:lang w:val="en-US"/>
            </w:rPr>
            <w:t xml:space="preserve">Yin, X. and Li, J. (2023) “RETRACTED: Financial market trend analysis based on autoregressive conditional </w:t>
          </w:r>
          <w:proofErr w:type="spellStart"/>
          <w:r w:rsidRPr="00B15AFF">
            <w:rPr>
              <w:lang w:val="en-US"/>
            </w:rPr>
            <w:t>heteroscedasticity</w:t>
          </w:r>
          <w:proofErr w:type="spellEnd"/>
          <w:r w:rsidRPr="00B15AFF">
            <w:rPr>
              <w:lang w:val="en-US"/>
            </w:rPr>
            <w:t xml:space="preserve"> model and BP neural network prediction,” </w:t>
          </w:r>
          <w:r w:rsidRPr="00B15AFF">
            <w:rPr>
              <w:i/>
              <w:iCs/>
              <w:lang w:val="en-US"/>
            </w:rPr>
            <w:t>International journal of electrical engineering &amp; education</w:t>
          </w:r>
          <w:r w:rsidRPr="00B15AFF">
            <w:rPr>
              <w:lang w:val="en-US"/>
            </w:rPr>
            <w:t xml:space="preserve">, 60(1_suppl), pp. 3716–3729. Available at: </w:t>
          </w:r>
          <w:hyperlink r:id="rId40" w:history="1">
            <w:r w:rsidRPr="00B15AFF">
              <w:rPr>
                <w:rStyle w:val="Hyperlink"/>
                <w:rFonts w:eastAsia="Times New Roman" w:cs="Times New Roman"/>
                <w:szCs w:val="24"/>
                <w:lang w:val="en-US"/>
              </w:rPr>
              <w:t>https://doi.org/10.1177/0020720920988497</w:t>
            </w:r>
          </w:hyperlink>
          <w:r w:rsidRPr="00B15AFF">
            <w:rPr>
              <w:lang w:val="en-US"/>
            </w:rPr>
            <w:t>.</w:t>
          </w:r>
        </w:p>
        <w:p w14:paraId="1604217F" w14:textId="77777777" w:rsidR="002858B9" w:rsidRDefault="002858B9" w:rsidP="002858B9">
          <w:pPr>
            <w:ind w:left="720" w:hanging="720"/>
            <w:rPr>
              <w:lang w:val="en-US"/>
            </w:rPr>
          </w:pPr>
          <w:proofErr w:type="spellStart"/>
          <w:r w:rsidRPr="005B7C5D">
            <w:rPr>
              <w:lang w:val="en-US"/>
            </w:rPr>
            <w:t>Zhai</w:t>
          </w:r>
          <w:proofErr w:type="spellEnd"/>
          <w:r w:rsidRPr="005B7C5D">
            <w:rPr>
              <w:lang w:val="en-US"/>
            </w:rPr>
            <w:t xml:space="preserve">, M. (2021) “Risk Prediction and Response Strategies in Corporate Financial Management Based on Optimized BP Neural Network,” </w:t>
          </w:r>
          <w:r w:rsidRPr="005B7C5D">
            <w:rPr>
              <w:i/>
              <w:iCs/>
              <w:lang w:val="en-US"/>
            </w:rPr>
            <w:t>Complexity (New York, N.Y.)</w:t>
          </w:r>
          <w:r w:rsidRPr="005B7C5D">
            <w:rPr>
              <w:lang w:val="en-US"/>
            </w:rPr>
            <w:t xml:space="preserve">. </w:t>
          </w:r>
          <w:proofErr w:type="gramStart"/>
          <w:r w:rsidRPr="005B7C5D">
            <w:rPr>
              <w:lang w:val="en-US"/>
            </w:rPr>
            <w:t xml:space="preserve">Edited by Z. </w:t>
          </w:r>
          <w:proofErr w:type="spellStart"/>
          <w:r w:rsidRPr="005B7C5D">
            <w:rPr>
              <w:lang w:val="en-US"/>
            </w:rPr>
            <w:t>Lv</w:t>
          </w:r>
          <w:proofErr w:type="spellEnd"/>
          <w:r w:rsidRPr="005B7C5D">
            <w:rPr>
              <w:lang w:val="en-US"/>
            </w:rPr>
            <w:t>, 2021(1).</w:t>
          </w:r>
          <w:proofErr w:type="gramEnd"/>
          <w:r w:rsidRPr="005B7C5D">
            <w:rPr>
              <w:lang w:val="en-US"/>
            </w:rPr>
            <w:t xml:space="preserve"> Available at: </w:t>
          </w:r>
          <w:hyperlink r:id="rId41" w:history="1">
            <w:r w:rsidRPr="000D4EA3">
              <w:rPr>
                <w:rStyle w:val="Hyperlink"/>
                <w:rFonts w:eastAsia="Times New Roman" w:cs="Times New Roman"/>
                <w:szCs w:val="24"/>
                <w:lang w:val="en-US"/>
              </w:rPr>
              <w:t>https://doi.org/10.1155/2021/9973377</w:t>
            </w:r>
          </w:hyperlink>
          <w:r>
            <w:rPr>
              <w:lang w:val="en-US"/>
            </w:rPr>
            <w:t>.</w:t>
          </w:r>
        </w:p>
        <w:p w14:paraId="1C49FEFB" w14:textId="3CFC1111" w:rsidR="000E1C6B" w:rsidRPr="000E1C6B" w:rsidRDefault="00F62C20" w:rsidP="000E1C6B">
          <w:pPr>
            <w:ind w:left="720" w:hanging="720"/>
          </w:pPr>
        </w:p>
      </w:sdtContent>
    </w:sdt>
    <w:p w14:paraId="07F372B2" w14:textId="77777777" w:rsidR="000E1C6B" w:rsidRPr="000E1C6B" w:rsidRDefault="000E1C6B">
      <w:pPr>
        <w:spacing w:line="259" w:lineRule="auto"/>
        <w:jc w:val="left"/>
        <w:rPr>
          <w:rFonts w:eastAsiaTheme="majorEastAsia" w:cstheme="majorBidi"/>
          <w:color w:val="2E74B5" w:themeColor="accent1" w:themeShade="BF"/>
          <w:sz w:val="32"/>
          <w:szCs w:val="32"/>
        </w:rPr>
      </w:pPr>
      <w:r w:rsidRPr="000E1C6B">
        <w:br w:type="page"/>
      </w:r>
    </w:p>
    <w:p w14:paraId="1F4145EA" w14:textId="01251DC3" w:rsidR="00CF0E48" w:rsidRDefault="00CF0E48" w:rsidP="000E1C6B">
      <w:pPr>
        <w:pStyle w:val="Heading1"/>
      </w:pPr>
      <w:bookmarkStart w:id="16" w:name="_Toc219124118"/>
      <w:r w:rsidRPr="000E1C6B">
        <w:lastRenderedPageBreak/>
        <w:t>Appendix</w:t>
      </w:r>
      <w:bookmarkEnd w:id="16"/>
    </w:p>
    <w:p w14:paraId="4DDD820E" w14:textId="77777777" w:rsidR="002858B9" w:rsidRPr="00ED667E" w:rsidRDefault="002858B9" w:rsidP="002858B9">
      <w:pPr>
        <w:rPr>
          <w:b/>
        </w:rPr>
      </w:pPr>
      <w:r w:rsidRPr="00ED667E">
        <w:rPr>
          <w:b/>
        </w:rPr>
        <w:t>Link of Financial Statement</w:t>
      </w:r>
    </w:p>
    <w:p w14:paraId="45D34068" w14:textId="77777777" w:rsidR="002858B9" w:rsidRDefault="002858B9" w:rsidP="002858B9">
      <w:r>
        <w:t xml:space="preserve">2022 – </w:t>
      </w:r>
      <w:hyperlink r:id="rId42" w:tgtFrame="_new" w:history="1">
        <w:r>
          <w:rPr>
            <w:rStyle w:val="Hyperlink"/>
          </w:rPr>
          <w:t>https://www.bp.com/content/dam/bp/business-sites/en/global/corporate/pdfs/investors/bp-annual-report-and-form-20f-2022.pdf</w:t>
        </w:r>
      </w:hyperlink>
    </w:p>
    <w:p w14:paraId="545AB025" w14:textId="77777777" w:rsidR="002858B9" w:rsidRPr="00ED667E" w:rsidRDefault="002858B9" w:rsidP="002858B9">
      <w:r>
        <w:t xml:space="preserve">2023 - </w:t>
      </w:r>
      <w:hyperlink r:id="rId43" w:tgtFrame="_new" w:history="1">
        <w:r>
          <w:rPr>
            <w:rStyle w:val="Hyperlink"/>
          </w:rPr>
          <w:t>https://www.bp.com/content/dam/bp/business-sites/en/global/corporate/pdfs/investors/bp-annual-report-and-form-20f-2023.pdf</w:t>
        </w:r>
      </w:hyperlink>
    </w:p>
    <w:p w14:paraId="36245787" w14:textId="77777777" w:rsidR="002858B9" w:rsidRPr="00B15AFF" w:rsidRDefault="002858B9" w:rsidP="002858B9">
      <w:pPr>
        <w:rPr>
          <w:b/>
        </w:rPr>
      </w:pPr>
      <w:r w:rsidRPr="00B15AFF">
        <w:rPr>
          <w:b/>
        </w:rPr>
        <w:t>Gross Profit Margin</w:t>
      </w:r>
    </w:p>
    <w:p w14:paraId="2B3EB8F3" w14:textId="77777777" w:rsidR="002858B9" w:rsidRPr="00B15AFF" w:rsidRDefault="002858B9" w:rsidP="002858B9">
      <w:r w:rsidRPr="00B15AFF">
        <w:t xml:space="preserve">Gross Profit Margin = </w:t>
      </w:r>
      <m:oMath>
        <m:f>
          <m:fPr>
            <m:ctrlPr>
              <w:rPr>
                <w:rFonts w:ascii="Cambria Math" w:hAnsi="Cambria Math"/>
                <w:i/>
              </w:rPr>
            </m:ctrlPr>
          </m:fPr>
          <m:num>
            <m:r>
              <m:rPr>
                <m:sty m:val="p"/>
              </m:rPr>
              <w:rPr>
                <w:rFonts w:ascii="Cambria Math" w:hAnsi="Cambria Math"/>
              </w:rPr>
              <m:t>Gross Profit</m:t>
            </m:r>
          </m:num>
          <m:den>
            <m:r>
              <m:rPr>
                <m:sty m:val="p"/>
              </m:rPr>
              <w:rPr>
                <w:rFonts w:ascii="Cambria Math" w:hAnsi="Cambria Math"/>
              </w:rPr>
              <m:t>Revenue</m:t>
            </m:r>
          </m:den>
        </m:f>
      </m:oMath>
      <w:r w:rsidRPr="00B15AFF">
        <w:t>×100</w:t>
      </w:r>
    </w:p>
    <w:p w14:paraId="204A1321" w14:textId="77777777" w:rsidR="002858B9" w:rsidRPr="00B15AFF" w:rsidRDefault="002858B9" w:rsidP="002858B9">
      <w:r w:rsidRPr="00B15AFF">
        <w:t>2023: £89,000</w:t>
      </w:r>
      <w:r w:rsidRPr="00B15AFF">
        <w:rPr>
          <w:rFonts w:ascii="Cambria Math" w:hAnsi="Cambria Math" w:cs="Cambria Math"/>
        </w:rPr>
        <w:t>𝑚</w:t>
      </w:r>
      <w:r w:rsidRPr="00B15AFF">
        <w:t>/£189,000</w:t>
      </w:r>
      <w:r w:rsidRPr="00B15AFF">
        <w:rPr>
          <w:rFonts w:ascii="Cambria Math" w:hAnsi="Cambria Math" w:cs="Cambria Math"/>
        </w:rPr>
        <w:t>𝑚</w:t>
      </w:r>
      <w:r w:rsidRPr="00B15AFF">
        <w:t>×100</w:t>
      </w:r>
    </w:p>
    <w:p w14:paraId="54CC8C17" w14:textId="77777777" w:rsidR="002858B9" w:rsidRPr="00B15AFF" w:rsidRDefault="002858B9" w:rsidP="002858B9">
      <w:r w:rsidRPr="00B15AFF">
        <w:tab/>
        <w:t>= 47.1%</w:t>
      </w:r>
    </w:p>
    <w:p w14:paraId="4627238D" w14:textId="77777777" w:rsidR="002858B9" w:rsidRPr="00B15AFF" w:rsidRDefault="002858B9" w:rsidP="002858B9">
      <w:r w:rsidRPr="00B15AFF">
        <w:t>2022: £96,000</w:t>
      </w:r>
      <w:r w:rsidRPr="00B15AFF">
        <w:rPr>
          <w:rFonts w:ascii="Cambria Math" w:hAnsi="Cambria Math" w:cs="Cambria Math"/>
        </w:rPr>
        <w:t>𝑚</w:t>
      </w:r>
      <w:r w:rsidRPr="00B15AFF">
        <w:t>/£241,000</w:t>
      </w:r>
      <w:r w:rsidRPr="00B15AFF">
        <w:rPr>
          <w:rFonts w:ascii="Cambria Math" w:hAnsi="Cambria Math" w:cs="Cambria Math"/>
        </w:rPr>
        <w:t>𝑚</w:t>
      </w:r>
      <w:r w:rsidRPr="00B15AFF">
        <w:t>×100</w:t>
      </w:r>
    </w:p>
    <w:p w14:paraId="668B9FDA" w14:textId="77777777" w:rsidR="002858B9" w:rsidRPr="00B15AFF" w:rsidRDefault="002858B9" w:rsidP="002858B9">
      <w:r w:rsidRPr="00B15AFF">
        <w:tab/>
        <w:t>= 39.8%</w:t>
      </w:r>
    </w:p>
    <w:p w14:paraId="158060EA" w14:textId="77777777" w:rsidR="002858B9" w:rsidRPr="00B15AFF" w:rsidRDefault="002858B9" w:rsidP="002858B9">
      <w:pPr>
        <w:rPr>
          <w:b/>
        </w:rPr>
      </w:pPr>
      <w:r w:rsidRPr="00B15AFF">
        <w:rPr>
          <w:b/>
        </w:rPr>
        <w:t>Operating Profit Margin</w:t>
      </w:r>
    </w:p>
    <w:p w14:paraId="7912A801" w14:textId="77777777" w:rsidR="002858B9" w:rsidRPr="00B15AFF" w:rsidRDefault="002858B9" w:rsidP="002858B9">
      <w:r w:rsidRPr="00B15AFF">
        <w:t xml:space="preserve">Operating Margin = </w:t>
      </w:r>
      <m:oMath>
        <m:f>
          <m:fPr>
            <m:ctrlPr>
              <w:rPr>
                <w:rFonts w:ascii="Cambria Math" w:hAnsi="Cambria Math"/>
                <w:i/>
              </w:rPr>
            </m:ctrlPr>
          </m:fPr>
          <m:num>
            <m:r>
              <m:rPr>
                <m:sty m:val="p"/>
              </m:rPr>
              <w:rPr>
                <w:rFonts w:ascii="Cambria Math" w:hAnsi="Cambria Math"/>
              </w:rPr>
              <m:t>Operating Profit</m:t>
            </m:r>
          </m:num>
          <m:den>
            <m:r>
              <m:rPr>
                <m:sty m:val="p"/>
              </m:rPr>
              <w:rPr>
                <w:rFonts w:ascii="Cambria Math" w:hAnsi="Cambria Math"/>
              </w:rPr>
              <m:t>Revenue</m:t>
            </m:r>
          </m:den>
        </m:f>
      </m:oMath>
      <w:r w:rsidRPr="00B15AFF">
        <w:t>×100</w:t>
      </w:r>
    </w:p>
    <w:p w14:paraId="5BC414A4" w14:textId="77777777" w:rsidR="002858B9" w:rsidRPr="00B15AFF" w:rsidRDefault="002858B9" w:rsidP="002858B9">
      <w:r w:rsidRPr="00B15AFF">
        <w:t>2023: £22,500</w:t>
      </w:r>
      <w:r w:rsidRPr="00B15AFF">
        <w:rPr>
          <w:rFonts w:ascii="Cambria Math" w:hAnsi="Cambria Math" w:cs="Cambria Math"/>
        </w:rPr>
        <w:t>𝑚</w:t>
      </w:r>
      <w:r w:rsidRPr="00B15AFF">
        <w:t>/£189,000</w:t>
      </w:r>
      <w:r w:rsidRPr="00B15AFF">
        <w:rPr>
          <w:rFonts w:ascii="Cambria Math" w:hAnsi="Cambria Math" w:cs="Cambria Math"/>
        </w:rPr>
        <w:t>𝑚</w:t>
      </w:r>
      <w:r w:rsidRPr="00B15AFF">
        <w:t>×100</w:t>
      </w:r>
    </w:p>
    <w:p w14:paraId="0C58AF2C" w14:textId="77777777" w:rsidR="002858B9" w:rsidRPr="00B15AFF" w:rsidRDefault="002858B9" w:rsidP="002858B9">
      <w:r w:rsidRPr="00B15AFF">
        <w:tab/>
        <w:t>= 11.9%</w:t>
      </w:r>
    </w:p>
    <w:p w14:paraId="4144EB6C" w14:textId="77777777" w:rsidR="002858B9" w:rsidRPr="00B15AFF" w:rsidRDefault="002858B9" w:rsidP="002858B9">
      <w:r w:rsidRPr="00B15AFF">
        <w:t>2022: £28,000</w:t>
      </w:r>
      <w:r w:rsidRPr="00B15AFF">
        <w:rPr>
          <w:rFonts w:ascii="Cambria Math" w:hAnsi="Cambria Math" w:cs="Cambria Math"/>
        </w:rPr>
        <w:t>𝑚</w:t>
      </w:r>
      <w:r w:rsidRPr="00B15AFF">
        <w:t>/£241,000</w:t>
      </w:r>
      <w:r w:rsidRPr="00B15AFF">
        <w:rPr>
          <w:rFonts w:ascii="Cambria Math" w:hAnsi="Cambria Math" w:cs="Cambria Math"/>
        </w:rPr>
        <w:t>𝑚</w:t>
      </w:r>
      <w:r w:rsidRPr="00B15AFF">
        <w:t>×100</w:t>
      </w:r>
    </w:p>
    <w:p w14:paraId="0C08702B" w14:textId="77777777" w:rsidR="002858B9" w:rsidRPr="00B15AFF" w:rsidRDefault="002858B9" w:rsidP="002858B9">
      <w:r w:rsidRPr="00B15AFF">
        <w:tab/>
        <w:t>= 11.6%</w:t>
      </w:r>
    </w:p>
    <w:p w14:paraId="3AC3E49C" w14:textId="77777777" w:rsidR="002858B9" w:rsidRPr="00B15AFF" w:rsidRDefault="002858B9" w:rsidP="002858B9">
      <w:pPr>
        <w:rPr>
          <w:b/>
        </w:rPr>
      </w:pPr>
      <w:r w:rsidRPr="00B15AFF">
        <w:rPr>
          <w:b/>
        </w:rPr>
        <w:t>Net Profit Margin</w:t>
      </w:r>
    </w:p>
    <w:p w14:paraId="0825F6FD" w14:textId="77777777" w:rsidR="002858B9" w:rsidRPr="00B15AFF" w:rsidRDefault="002858B9" w:rsidP="002858B9">
      <w:r w:rsidRPr="00B15AFF">
        <w:t xml:space="preserve">Net Profit Margin = </w:t>
      </w:r>
      <m:oMath>
        <m:f>
          <m:fPr>
            <m:ctrlPr>
              <w:rPr>
                <w:rFonts w:ascii="Cambria Math" w:hAnsi="Cambria Math"/>
                <w:i/>
              </w:rPr>
            </m:ctrlPr>
          </m:fPr>
          <m:num>
            <m:r>
              <m:rPr>
                <m:sty m:val="p"/>
              </m:rPr>
              <w:rPr>
                <w:rFonts w:ascii="Cambria Math" w:hAnsi="Cambria Math"/>
              </w:rPr>
              <m:t>Profit After Tax</m:t>
            </m:r>
          </m:num>
          <m:den>
            <m:r>
              <m:rPr>
                <m:sty m:val="p"/>
              </m:rPr>
              <w:rPr>
                <w:rFonts w:ascii="Cambria Math" w:hAnsi="Cambria Math"/>
              </w:rPr>
              <m:t>Revenue</m:t>
            </m:r>
          </m:den>
        </m:f>
        <m:r>
          <w:rPr>
            <w:rFonts w:ascii="Cambria Math" w:hAnsi="Cambria Math"/>
          </w:rPr>
          <m:t xml:space="preserve"> </m:t>
        </m:r>
        <m:r>
          <w:rPr>
            <w:rFonts w:ascii="Cambria Math" w:eastAsiaTheme="minorEastAsia" w:hAnsi="Cambria Math"/>
          </w:rPr>
          <m:t>×</m:t>
        </m:r>
      </m:oMath>
      <w:r w:rsidRPr="00B15AFF">
        <w:rPr>
          <w:rFonts w:eastAsiaTheme="minorEastAsia"/>
        </w:rPr>
        <w:t>100</w:t>
      </w:r>
    </w:p>
    <w:p w14:paraId="3380F1DF" w14:textId="77777777" w:rsidR="002858B9" w:rsidRPr="00B15AFF" w:rsidRDefault="002858B9" w:rsidP="002858B9">
      <w:r w:rsidRPr="00B15AFF">
        <w:t>2023: £15,800</w:t>
      </w:r>
      <w:r w:rsidRPr="00B15AFF">
        <w:rPr>
          <w:rFonts w:ascii="Cambria Math" w:hAnsi="Cambria Math" w:cs="Cambria Math"/>
        </w:rPr>
        <w:t>𝑚</w:t>
      </w:r>
      <w:r w:rsidRPr="00B15AFF">
        <w:t>/£189,000</w:t>
      </w:r>
      <w:r w:rsidRPr="00B15AFF">
        <w:rPr>
          <w:rFonts w:ascii="Cambria Math" w:hAnsi="Cambria Math" w:cs="Cambria Math"/>
        </w:rPr>
        <w:t>𝑚</w:t>
      </w:r>
      <w:r w:rsidRPr="00B15AFF">
        <w:t>×100</w:t>
      </w:r>
    </w:p>
    <w:p w14:paraId="74CBC70F" w14:textId="77777777" w:rsidR="002858B9" w:rsidRPr="00B15AFF" w:rsidRDefault="002858B9" w:rsidP="002858B9">
      <w:r w:rsidRPr="00B15AFF">
        <w:tab/>
        <w:t>= 8.4%</w:t>
      </w:r>
    </w:p>
    <w:p w14:paraId="48A07C7D" w14:textId="77777777" w:rsidR="002858B9" w:rsidRPr="00B15AFF" w:rsidRDefault="002858B9" w:rsidP="002858B9">
      <w:r w:rsidRPr="00B15AFF">
        <w:t>2022: £21,400</w:t>
      </w:r>
      <w:r w:rsidRPr="00B15AFF">
        <w:rPr>
          <w:rFonts w:ascii="Cambria Math" w:hAnsi="Cambria Math" w:cs="Cambria Math"/>
        </w:rPr>
        <w:t>𝑚</w:t>
      </w:r>
      <w:r w:rsidRPr="00B15AFF">
        <w:t>/£241,000</w:t>
      </w:r>
      <w:r w:rsidRPr="00B15AFF">
        <w:rPr>
          <w:rFonts w:ascii="Cambria Math" w:hAnsi="Cambria Math" w:cs="Cambria Math"/>
        </w:rPr>
        <w:t>𝑚</w:t>
      </w:r>
      <w:r w:rsidRPr="00B15AFF">
        <w:t>×100</w:t>
      </w:r>
    </w:p>
    <w:p w14:paraId="4FD4B2EE" w14:textId="77777777" w:rsidR="002858B9" w:rsidRPr="00B15AFF" w:rsidRDefault="002858B9" w:rsidP="002858B9">
      <w:r w:rsidRPr="00B15AFF">
        <w:tab/>
        <w:t>= 8.9%</w:t>
      </w:r>
    </w:p>
    <w:p w14:paraId="2DE14767" w14:textId="77777777" w:rsidR="002858B9" w:rsidRPr="00B15AFF" w:rsidRDefault="002858B9" w:rsidP="002858B9">
      <w:pPr>
        <w:rPr>
          <w:b/>
        </w:rPr>
      </w:pPr>
      <w:r w:rsidRPr="00B15AFF">
        <w:rPr>
          <w:b/>
        </w:rPr>
        <w:lastRenderedPageBreak/>
        <w:t>Return on Capital Employed (ROCE)</w:t>
      </w:r>
    </w:p>
    <w:p w14:paraId="367D0652" w14:textId="77777777" w:rsidR="002858B9" w:rsidRPr="00B15AFF" w:rsidRDefault="002858B9" w:rsidP="002858B9">
      <w:r w:rsidRPr="00B15AFF">
        <w:t xml:space="preserve">ROCE = </w:t>
      </w:r>
      <m:oMath>
        <m:f>
          <m:fPr>
            <m:ctrlPr>
              <w:rPr>
                <w:rFonts w:ascii="Cambria Math" w:hAnsi="Cambria Math"/>
                <w:i/>
              </w:rPr>
            </m:ctrlPr>
          </m:fPr>
          <m:num>
            <m:r>
              <m:rPr>
                <m:sty m:val="p"/>
              </m:rPr>
              <w:rPr>
                <w:rFonts w:ascii="Cambria Math" w:hAnsi="Cambria Math"/>
              </w:rPr>
              <m:t>Operating Profit</m:t>
            </m:r>
          </m:num>
          <m:den>
            <m:r>
              <m:rPr>
                <m:sty m:val="p"/>
              </m:rPr>
              <w:rPr>
                <w:rFonts w:ascii="Cambria Math" w:hAnsi="Cambria Math"/>
              </w:rPr>
              <m:t>Capital Employed</m:t>
            </m:r>
          </m:den>
        </m:f>
      </m:oMath>
      <w:r w:rsidRPr="00B15AFF">
        <w:t>×100</w:t>
      </w:r>
    </w:p>
    <w:p w14:paraId="756851B3" w14:textId="77777777" w:rsidR="002858B9" w:rsidRPr="00B15AFF" w:rsidRDefault="002858B9" w:rsidP="002858B9">
      <w:r w:rsidRPr="00B15AFF">
        <w:t>Capital Employed = Total Assets − Current Liabilities</w:t>
      </w:r>
    </w:p>
    <w:p w14:paraId="3E133F08" w14:textId="77777777" w:rsidR="002858B9" w:rsidRPr="00B15AFF" w:rsidRDefault="002858B9" w:rsidP="002858B9">
      <w:r w:rsidRPr="00B15AFF">
        <w:t>2023: £22,500</w:t>
      </w:r>
      <w:r w:rsidRPr="00B15AFF">
        <w:rPr>
          <w:rFonts w:ascii="Cambria Math" w:hAnsi="Cambria Math" w:cs="Cambria Math"/>
        </w:rPr>
        <w:t>𝑚</w:t>
      </w:r>
      <w:r w:rsidRPr="00B15AFF">
        <w:t>/£124,000</w:t>
      </w:r>
      <w:r w:rsidRPr="00B15AFF">
        <w:rPr>
          <w:rFonts w:ascii="Cambria Math" w:hAnsi="Cambria Math" w:cs="Cambria Math"/>
        </w:rPr>
        <w:t>𝑚</w:t>
      </w:r>
      <w:r w:rsidRPr="00B15AFF">
        <w:t>×100</w:t>
      </w:r>
    </w:p>
    <w:p w14:paraId="0365EB41" w14:textId="77777777" w:rsidR="002858B9" w:rsidRPr="00B15AFF" w:rsidRDefault="002858B9" w:rsidP="002858B9">
      <w:r w:rsidRPr="00B15AFF">
        <w:tab/>
        <w:t>= 18.1%</w:t>
      </w:r>
    </w:p>
    <w:p w14:paraId="77FECBD1" w14:textId="77777777" w:rsidR="002858B9" w:rsidRPr="00B15AFF" w:rsidRDefault="002858B9" w:rsidP="002858B9">
      <w:r w:rsidRPr="00B15AFF">
        <w:t>2022: £28,000</w:t>
      </w:r>
      <w:r w:rsidRPr="00B15AFF">
        <w:rPr>
          <w:rFonts w:ascii="Cambria Math" w:hAnsi="Cambria Math" w:cs="Cambria Math"/>
        </w:rPr>
        <w:t>𝑚</w:t>
      </w:r>
      <w:r w:rsidRPr="00B15AFF">
        <w:t>/£130,000</w:t>
      </w:r>
      <w:r w:rsidRPr="00B15AFF">
        <w:rPr>
          <w:rFonts w:ascii="Cambria Math" w:hAnsi="Cambria Math" w:cs="Cambria Math"/>
        </w:rPr>
        <w:t>𝑚</w:t>
      </w:r>
      <w:r w:rsidRPr="00B15AFF">
        <w:t>×100</w:t>
      </w:r>
    </w:p>
    <w:p w14:paraId="04DDFB67" w14:textId="77777777" w:rsidR="002858B9" w:rsidRPr="00B15AFF" w:rsidRDefault="002858B9" w:rsidP="002858B9">
      <w:r w:rsidRPr="00B15AFF">
        <w:tab/>
        <w:t>= 21.5%</w:t>
      </w:r>
    </w:p>
    <w:p w14:paraId="5302563D" w14:textId="77777777" w:rsidR="002858B9" w:rsidRPr="00B15AFF" w:rsidRDefault="002858B9" w:rsidP="002858B9">
      <w:pPr>
        <w:rPr>
          <w:b/>
        </w:rPr>
      </w:pPr>
      <w:r w:rsidRPr="00B15AFF">
        <w:rPr>
          <w:b/>
        </w:rPr>
        <w:t>Current Ratio</w:t>
      </w:r>
    </w:p>
    <w:p w14:paraId="1BB3485D" w14:textId="77777777" w:rsidR="002858B9" w:rsidRPr="00B15AFF" w:rsidRDefault="002858B9" w:rsidP="002858B9">
      <w:pPr>
        <w:rPr>
          <w:rFonts w:eastAsiaTheme="minorEastAsia"/>
        </w:rPr>
      </w:pPr>
      <w:r w:rsidRPr="00B15AFF">
        <w:t xml:space="preserve">Current Ratio = </w:t>
      </w:r>
      <m:oMath>
        <m:f>
          <m:fPr>
            <m:ctrlPr>
              <w:rPr>
                <w:rFonts w:ascii="Cambria Math" w:hAnsi="Cambria Math"/>
                <w:i/>
              </w:rPr>
            </m:ctrlPr>
          </m:fPr>
          <m:num>
            <m:r>
              <m:rPr>
                <m:sty m:val="p"/>
              </m:rPr>
              <w:rPr>
                <w:rFonts w:ascii="Cambria Math" w:hAnsi="Cambria Math"/>
              </w:rPr>
              <m:t>Current Assets</m:t>
            </m:r>
          </m:num>
          <m:den>
            <m:r>
              <m:rPr>
                <m:sty m:val="p"/>
              </m:rPr>
              <w:rPr>
                <w:rFonts w:ascii="Cambria Math" w:hAnsi="Cambria Math"/>
              </w:rPr>
              <m:t>Current Liabilities</m:t>
            </m:r>
          </m:den>
        </m:f>
      </m:oMath>
    </w:p>
    <w:p w14:paraId="47EBE855" w14:textId="77777777" w:rsidR="002858B9" w:rsidRPr="00B15AFF" w:rsidRDefault="002858B9" w:rsidP="002858B9"/>
    <w:p w14:paraId="403CE8D5" w14:textId="77777777" w:rsidR="002858B9" w:rsidRPr="00B15AFF" w:rsidRDefault="002858B9" w:rsidP="002858B9">
      <w:r w:rsidRPr="00B15AFF">
        <w:t>2023: £84,000</w:t>
      </w:r>
      <w:r w:rsidRPr="00B15AFF">
        <w:rPr>
          <w:rFonts w:ascii="Cambria Math" w:hAnsi="Cambria Math" w:cs="Cambria Math"/>
        </w:rPr>
        <w:t>𝑚</w:t>
      </w:r>
      <w:r w:rsidRPr="00B15AFF">
        <w:t>/£82,000</w:t>
      </w:r>
      <w:r w:rsidRPr="00B15AFF">
        <w:rPr>
          <w:rFonts w:ascii="Cambria Math" w:hAnsi="Cambria Math" w:cs="Cambria Math"/>
        </w:rPr>
        <w:t>𝑚</w:t>
      </w:r>
    </w:p>
    <w:p w14:paraId="7BBD190E" w14:textId="77777777" w:rsidR="002858B9" w:rsidRPr="00B15AFF" w:rsidRDefault="002858B9" w:rsidP="002858B9">
      <w:r w:rsidRPr="00B15AFF">
        <w:tab/>
        <w:t>= 1.02:1</w:t>
      </w:r>
    </w:p>
    <w:p w14:paraId="20771A96" w14:textId="77777777" w:rsidR="002858B9" w:rsidRPr="00B15AFF" w:rsidRDefault="002858B9" w:rsidP="002858B9">
      <w:r w:rsidRPr="00B15AFF">
        <w:t>2022: £92,000</w:t>
      </w:r>
      <w:r w:rsidRPr="00B15AFF">
        <w:rPr>
          <w:rFonts w:ascii="Cambria Math" w:hAnsi="Cambria Math" w:cs="Cambria Math"/>
        </w:rPr>
        <w:t>𝑚/</w:t>
      </w:r>
      <w:r w:rsidRPr="00B15AFF">
        <w:t>£86,000</w:t>
      </w:r>
      <w:r w:rsidRPr="00B15AFF">
        <w:rPr>
          <w:rFonts w:ascii="Cambria Math" w:hAnsi="Cambria Math" w:cs="Cambria Math"/>
        </w:rPr>
        <w:t>𝑚</w:t>
      </w:r>
    </w:p>
    <w:p w14:paraId="1443A092" w14:textId="77777777" w:rsidR="002858B9" w:rsidRPr="00B15AFF" w:rsidRDefault="002858B9" w:rsidP="002858B9">
      <w:r w:rsidRPr="00B15AFF">
        <w:tab/>
        <w:t>=1.07:1</w:t>
      </w:r>
    </w:p>
    <w:p w14:paraId="0173BDBC" w14:textId="77777777" w:rsidR="002858B9" w:rsidRPr="00B15AFF" w:rsidRDefault="002858B9" w:rsidP="002858B9">
      <w:pPr>
        <w:rPr>
          <w:b/>
        </w:rPr>
      </w:pPr>
      <w:r w:rsidRPr="00B15AFF">
        <w:rPr>
          <w:b/>
        </w:rPr>
        <w:t>Quick Ratio</w:t>
      </w:r>
    </w:p>
    <w:p w14:paraId="50428DB8" w14:textId="77777777" w:rsidR="002858B9" w:rsidRPr="00B15AFF" w:rsidRDefault="002858B9" w:rsidP="002858B9">
      <w:r w:rsidRPr="00B15AFF">
        <w:t xml:space="preserve">Quick Ratio = </w:t>
      </w:r>
      <m:oMath>
        <m:f>
          <m:fPr>
            <m:ctrlPr>
              <w:rPr>
                <w:rFonts w:ascii="Cambria Math" w:hAnsi="Cambria Math"/>
                <w:i/>
              </w:rPr>
            </m:ctrlPr>
          </m:fPr>
          <m:num>
            <m:r>
              <m:rPr>
                <m:sty m:val="p"/>
              </m:rPr>
              <w:rPr>
                <w:rFonts w:ascii="Cambria Math" w:hAnsi="Cambria Math"/>
              </w:rPr>
              <m:t>Current Assets - Inventories</m:t>
            </m:r>
          </m:num>
          <m:den>
            <m:r>
              <m:rPr>
                <m:sty m:val="p"/>
              </m:rPr>
              <w:rPr>
                <w:rFonts w:ascii="Cambria Math" w:hAnsi="Cambria Math"/>
              </w:rPr>
              <m:t>Current Liabilities</m:t>
            </m:r>
          </m:den>
        </m:f>
      </m:oMath>
    </w:p>
    <w:p w14:paraId="24439D12" w14:textId="77777777" w:rsidR="002858B9" w:rsidRPr="00B15AFF" w:rsidRDefault="002858B9" w:rsidP="002858B9">
      <w:r w:rsidRPr="00B15AFF">
        <w:t>2023: (£84,000</w:t>
      </w:r>
      <w:r w:rsidRPr="00B15AFF">
        <w:rPr>
          <w:rFonts w:ascii="Cambria Math" w:hAnsi="Cambria Math" w:cs="Cambria Math"/>
        </w:rPr>
        <w:t>𝑚</w:t>
      </w:r>
      <w:r w:rsidRPr="00B15AFF">
        <w:t>−£28,000</w:t>
      </w:r>
      <w:r w:rsidRPr="00B15AFF">
        <w:rPr>
          <w:rFonts w:ascii="Cambria Math" w:hAnsi="Cambria Math" w:cs="Cambria Math"/>
        </w:rPr>
        <w:t>𝑚</w:t>
      </w:r>
      <w:r w:rsidRPr="00B15AFF">
        <w:t>)/£82,000</w:t>
      </w:r>
      <w:r w:rsidRPr="00B15AFF">
        <w:rPr>
          <w:rFonts w:ascii="Cambria Math" w:hAnsi="Cambria Math" w:cs="Cambria Math"/>
        </w:rPr>
        <w:t>𝑚</w:t>
      </w:r>
    </w:p>
    <w:p w14:paraId="50ED7695" w14:textId="77777777" w:rsidR="002858B9" w:rsidRPr="00B15AFF" w:rsidRDefault="002858B9" w:rsidP="002858B9">
      <w:r w:rsidRPr="00B15AFF">
        <w:tab/>
        <w:t>=£56,000</w:t>
      </w:r>
      <w:r w:rsidRPr="00B15AFF">
        <w:rPr>
          <w:rFonts w:ascii="Cambria Math" w:hAnsi="Cambria Math" w:cs="Cambria Math"/>
        </w:rPr>
        <w:t>𝑚/</w:t>
      </w:r>
      <w:r w:rsidRPr="00B15AFF">
        <w:t>£82,000</w:t>
      </w:r>
      <w:r w:rsidRPr="00B15AFF">
        <w:rPr>
          <w:rFonts w:ascii="Cambria Math" w:hAnsi="Cambria Math" w:cs="Cambria Math"/>
        </w:rPr>
        <w:t>𝑚</w:t>
      </w:r>
    </w:p>
    <w:p w14:paraId="40EB1110" w14:textId="77777777" w:rsidR="002858B9" w:rsidRPr="00B15AFF" w:rsidRDefault="002858B9" w:rsidP="002858B9">
      <w:r w:rsidRPr="00B15AFF">
        <w:tab/>
        <w:t>=0.68:1</w:t>
      </w:r>
    </w:p>
    <w:p w14:paraId="14FA71F9" w14:textId="77777777" w:rsidR="002858B9" w:rsidRPr="00B15AFF" w:rsidRDefault="002858B9" w:rsidP="002858B9">
      <w:r w:rsidRPr="00B15AFF">
        <w:t>2022: (£92,000</w:t>
      </w:r>
      <w:r w:rsidRPr="00B15AFF">
        <w:rPr>
          <w:rFonts w:ascii="Cambria Math" w:hAnsi="Cambria Math" w:cs="Cambria Math"/>
        </w:rPr>
        <w:t>𝑚</w:t>
      </w:r>
      <w:r w:rsidRPr="00B15AFF">
        <w:t>−£31,000</w:t>
      </w:r>
      <w:r w:rsidRPr="00B15AFF">
        <w:rPr>
          <w:rFonts w:ascii="Cambria Math" w:hAnsi="Cambria Math" w:cs="Cambria Math"/>
        </w:rPr>
        <w:t>𝑚)/</w:t>
      </w:r>
      <w:r w:rsidRPr="00B15AFF">
        <w:t>£86,000</w:t>
      </w:r>
      <w:r w:rsidRPr="00B15AFF">
        <w:rPr>
          <w:rFonts w:ascii="Cambria Math" w:hAnsi="Cambria Math" w:cs="Cambria Math"/>
        </w:rPr>
        <w:t>𝑚</w:t>
      </w:r>
    </w:p>
    <w:p w14:paraId="66F32B28" w14:textId="77777777" w:rsidR="002858B9" w:rsidRPr="00B15AFF" w:rsidRDefault="002858B9" w:rsidP="002858B9">
      <w:r w:rsidRPr="00B15AFF">
        <w:tab/>
        <w:t>=£61,000</w:t>
      </w:r>
      <w:r w:rsidRPr="00B15AFF">
        <w:rPr>
          <w:rFonts w:ascii="Cambria Math" w:hAnsi="Cambria Math" w:cs="Cambria Math"/>
        </w:rPr>
        <w:t>𝑚</w:t>
      </w:r>
      <w:r w:rsidRPr="00B15AFF">
        <w:t>/£86,000</w:t>
      </w:r>
      <w:r w:rsidRPr="00B15AFF">
        <w:rPr>
          <w:rFonts w:ascii="Cambria Math" w:hAnsi="Cambria Math" w:cs="Cambria Math"/>
        </w:rPr>
        <w:t>𝑚</w:t>
      </w:r>
    </w:p>
    <w:p w14:paraId="19CB853C" w14:textId="77777777" w:rsidR="002858B9" w:rsidRPr="00B15AFF" w:rsidRDefault="002858B9" w:rsidP="002858B9">
      <w:r w:rsidRPr="00B15AFF">
        <w:tab/>
        <w:t>=0.71:1</w:t>
      </w:r>
    </w:p>
    <w:p w14:paraId="2FC31142" w14:textId="77777777" w:rsidR="002858B9" w:rsidRPr="00B15AFF" w:rsidRDefault="002858B9" w:rsidP="002858B9">
      <w:pPr>
        <w:rPr>
          <w:b/>
        </w:rPr>
      </w:pPr>
      <w:r w:rsidRPr="00B15AFF">
        <w:rPr>
          <w:b/>
        </w:rPr>
        <w:t>Inventory Days</w:t>
      </w:r>
    </w:p>
    <w:p w14:paraId="6979EF3C" w14:textId="77777777" w:rsidR="002858B9" w:rsidRPr="00B15AFF" w:rsidRDefault="002858B9" w:rsidP="002858B9">
      <w:r w:rsidRPr="00B15AFF">
        <w:lastRenderedPageBreak/>
        <w:t xml:space="preserve">Inventory Days = </w:t>
      </w:r>
      <m:oMath>
        <m:f>
          <m:fPr>
            <m:ctrlPr>
              <w:rPr>
                <w:rFonts w:ascii="Cambria Math" w:hAnsi="Cambria Math"/>
                <w:i/>
              </w:rPr>
            </m:ctrlPr>
          </m:fPr>
          <m:num>
            <m:r>
              <w:rPr>
                <w:rFonts w:ascii="Cambria Math" w:hAnsi="Cambria Math"/>
              </w:rPr>
              <m:t>Inventory</m:t>
            </m:r>
          </m:num>
          <m:den>
            <m:r>
              <w:rPr>
                <w:rFonts w:ascii="Cambria Math" w:hAnsi="Cambria Math"/>
              </w:rPr>
              <m:t>Cost of Sales</m:t>
            </m:r>
          </m:den>
        </m:f>
      </m:oMath>
      <w:r w:rsidRPr="00B15AFF">
        <w:t>×365</w:t>
      </w:r>
    </w:p>
    <w:p w14:paraId="05DBBDF9" w14:textId="77777777" w:rsidR="002858B9" w:rsidRPr="00B15AFF" w:rsidRDefault="002858B9" w:rsidP="002858B9">
      <w:r w:rsidRPr="00B15AFF">
        <w:t>2023: £28,000</w:t>
      </w:r>
      <w:r w:rsidRPr="00B15AFF">
        <w:rPr>
          <w:rFonts w:ascii="Cambria Math" w:hAnsi="Cambria Math" w:cs="Cambria Math"/>
        </w:rPr>
        <w:t>𝑚</w:t>
      </w:r>
      <w:r w:rsidRPr="00B15AFF">
        <w:t>/£100,000</w:t>
      </w:r>
      <w:r w:rsidRPr="00B15AFF">
        <w:rPr>
          <w:rFonts w:ascii="Cambria Math" w:hAnsi="Cambria Math" w:cs="Cambria Math"/>
        </w:rPr>
        <w:t>𝑚</w:t>
      </w:r>
      <w:r w:rsidRPr="00B15AFF">
        <w:t>×365</w:t>
      </w:r>
    </w:p>
    <w:p w14:paraId="5A139F85" w14:textId="77777777" w:rsidR="002858B9" w:rsidRPr="00B15AFF" w:rsidRDefault="002858B9" w:rsidP="002858B9">
      <w:r w:rsidRPr="00B15AFF">
        <w:tab/>
        <w:t>= 102 days</w:t>
      </w:r>
    </w:p>
    <w:p w14:paraId="3DDB95A5" w14:textId="77777777" w:rsidR="002858B9" w:rsidRPr="00B15AFF" w:rsidRDefault="002858B9" w:rsidP="002858B9">
      <w:r w:rsidRPr="00B15AFF">
        <w:t>2022: £31,000</w:t>
      </w:r>
      <w:r w:rsidRPr="00B15AFF">
        <w:rPr>
          <w:rFonts w:ascii="Cambria Math" w:hAnsi="Cambria Math" w:cs="Cambria Math"/>
        </w:rPr>
        <w:t>𝑚</w:t>
      </w:r>
      <w:r w:rsidRPr="00B15AFF">
        <w:t>/£128,000</w:t>
      </w:r>
      <w:r w:rsidRPr="00B15AFF">
        <w:rPr>
          <w:rFonts w:ascii="Cambria Math" w:hAnsi="Cambria Math" w:cs="Cambria Math"/>
        </w:rPr>
        <w:t>𝑚</w:t>
      </w:r>
      <w:r w:rsidRPr="00B15AFF">
        <w:t>×365</w:t>
      </w:r>
    </w:p>
    <w:p w14:paraId="2C08BD19" w14:textId="77777777" w:rsidR="002858B9" w:rsidRPr="00B15AFF" w:rsidRDefault="002858B9" w:rsidP="002858B9">
      <w:r w:rsidRPr="00B15AFF">
        <w:tab/>
        <w:t>= 88 days</w:t>
      </w:r>
    </w:p>
    <w:p w14:paraId="664B3FF9" w14:textId="77777777" w:rsidR="002858B9" w:rsidRPr="00B15AFF" w:rsidRDefault="002858B9" w:rsidP="002858B9">
      <w:pPr>
        <w:rPr>
          <w:b/>
        </w:rPr>
      </w:pPr>
      <w:r w:rsidRPr="00B15AFF">
        <w:rPr>
          <w:b/>
        </w:rPr>
        <w:t>Receivables Days</w:t>
      </w:r>
    </w:p>
    <w:p w14:paraId="6FE20FC4" w14:textId="77777777" w:rsidR="002858B9" w:rsidRPr="00B15AFF" w:rsidRDefault="002858B9" w:rsidP="002858B9">
      <w:r w:rsidRPr="00B15AFF">
        <w:t xml:space="preserve">Receivables Days = </w:t>
      </w:r>
      <m:oMath>
        <m:f>
          <m:fPr>
            <m:ctrlPr>
              <w:rPr>
                <w:rFonts w:ascii="Cambria Math" w:hAnsi="Cambria Math"/>
                <w:i/>
              </w:rPr>
            </m:ctrlPr>
          </m:fPr>
          <m:num>
            <m:r>
              <w:rPr>
                <w:rFonts w:ascii="Cambria Math" w:hAnsi="Cambria Math"/>
              </w:rPr>
              <m:t>Trade Receivable</m:t>
            </m:r>
          </m:num>
          <m:den>
            <m:r>
              <w:rPr>
                <w:rFonts w:ascii="Cambria Math" w:hAnsi="Cambria Math"/>
              </w:rPr>
              <m:t>Revenue</m:t>
            </m:r>
          </m:den>
        </m:f>
      </m:oMath>
      <w:r w:rsidRPr="00B15AFF">
        <w:t>×365</w:t>
      </w:r>
      <w:r w:rsidRPr="00B15AFF">
        <w:tab/>
        <w:t>​</w:t>
      </w:r>
    </w:p>
    <w:p w14:paraId="4E83CA03" w14:textId="77777777" w:rsidR="002858B9" w:rsidRPr="00B15AFF" w:rsidRDefault="002858B9" w:rsidP="002858B9">
      <w:r w:rsidRPr="00B15AFF">
        <w:t>2023: £41,000</w:t>
      </w:r>
      <w:r w:rsidRPr="00B15AFF">
        <w:rPr>
          <w:rFonts w:ascii="Cambria Math" w:hAnsi="Cambria Math" w:cs="Cambria Math"/>
        </w:rPr>
        <w:t>𝑚</w:t>
      </w:r>
      <w:r w:rsidRPr="00B15AFF">
        <w:t>/£189,000</w:t>
      </w:r>
      <w:r w:rsidRPr="00B15AFF">
        <w:rPr>
          <w:rFonts w:ascii="Cambria Math" w:hAnsi="Cambria Math" w:cs="Cambria Math"/>
        </w:rPr>
        <w:t>𝑚</w:t>
      </w:r>
      <w:r w:rsidRPr="00B15AFF">
        <w:t>×365</w:t>
      </w:r>
    </w:p>
    <w:p w14:paraId="30E9C004" w14:textId="77777777" w:rsidR="002858B9" w:rsidRPr="00B15AFF" w:rsidRDefault="002858B9" w:rsidP="002858B9">
      <w:r w:rsidRPr="00B15AFF">
        <w:tab/>
        <w:t>= 79 days</w:t>
      </w:r>
    </w:p>
    <w:p w14:paraId="127814A6" w14:textId="77777777" w:rsidR="002858B9" w:rsidRPr="00B15AFF" w:rsidRDefault="002858B9" w:rsidP="002858B9">
      <w:r w:rsidRPr="00B15AFF">
        <w:t>2022: £45,000</w:t>
      </w:r>
      <w:r w:rsidRPr="00B15AFF">
        <w:rPr>
          <w:rFonts w:ascii="Cambria Math" w:hAnsi="Cambria Math" w:cs="Cambria Math"/>
        </w:rPr>
        <w:t>𝑚</w:t>
      </w:r>
      <w:r w:rsidRPr="00B15AFF">
        <w:t>/£241,000</w:t>
      </w:r>
      <w:r w:rsidRPr="00B15AFF">
        <w:rPr>
          <w:rFonts w:ascii="Cambria Math" w:hAnsi="Cambria Math" w:cs="Cambria Math"/>
        </w:rPr>
        <w:t>𝑚</w:t>
      </w:r>
      <w:r w:rsidRPr="00B15AFF">
        <w:t>×365</w:t>
      </w:r>
    </w:p>
    <w:p w14:paraId="23BCEAD0" w14:textId="77777777" w:rsidR="002858B9" w:rsidRPr="00B15AFF" w:rsidRDefault="002858B9" w:rsidP="002858B9">
      <w:r w:rsidRPr="00B15AFF">
        <w:tab/>
        <w:t>= 68 days</w:t>
      </w:r>
    </w:p>
    <w:p w14:paraId="2189047B" w14:textId="77777777" w:rsidR="002858B9" w:rsidRPr="00B15AFF" w:rsidRDefault="002858B9" w:rsidP="002858B9">
      <w:pPr>
        <w:rPr>
          <w:b/>
        </w:rPr>
      </w:pPr>
      <w:r w:rsidRPr="00B15AFF">
        <w:rPr>
          <w:b/>
        </w:rPr>
        <w:t>Payables Days</w:t>
      </w:r>
    </w:p>
    <w:p w14:paraId="207DB123" w14:textId="77777777" w:rsidR="002858B9" w:rsidRPr="00B15AFF" w:rsidRDefault="002858B9" w:rsidP="002858B9">
      <w:r w:rsidRPr="00B15AFF">
        <w:t xml:space="preserve">Payables Days = </w:t>
      </w:r>
      <m:oMath>
        <m:f>
          <m:fPr>
            <m:ctrlPr>
              <w:rPr>
                <w:rFonts w:ascii="Cambria Math" w:hAnsi="Cambria Math"/>
                <w:i/>
              </w:rPr>
            </m:ctrlPr>
          </m:fPr>
          <m:num>
            <m:r>
              <m:rPr>
                <m:sty m:val="p"/>
              </m:rPr>
              <w:rPr>
                <w:rFonts w:ascii="Cambria Math" w:hAnsi="Cambria Math"/>
              </w:rPr>
              <m:t>Trade Payables</m:t>
            </m:r>
          </m:num>
          <m:den>
            <m:r>
              <m:rPr>
                <m:sty m:val="p"/>
              </m:rPr>
              <w:rPr>
                <w:rFonts w:ascii="Cambria Math" w:hAnsi="Cambria Math"/>
              </w:rPr>
              <m:t>Costs of Sales</m:t>
            </m:r>
          </m:den>
        </m:f>
      </m:oMath>
      <w:r w:rsidRPr="00B15AFF">
        <w:t>×365</w:t>
      </w:r>
    </w:p>
    <w:p w14:paraId="11014603" w14:textId="77777777" w:rsidR="002858B9" w:rsidRPr="00B15AFF" w:rsidRDefault="002858B9" w:rsidP="002858B9">
      <w:r w:rsidRPr="00B15AFF">
        <w:t>2023: £39,000</w:t>
      </w:r>
      <w:r w:rsidRPr="00B15AFF">
        <w:rPr>
          <w:rFonts w:ascii="Cambria Math" w:hAnsi="Cambria Math" w:cs="Cambria Math"/>
        </w:rPr>
        <w:t>𝑚</w:t>
      </w:r>
      <w:r w:rsidRPr="00B15AFF">
        <w:t>/£100,000</w:t>
      </w:r>
      <w:r w:rsidRPr="00B15AFF">
        <w:rPr>
          <w:rFonts w:ascii="Cambria Math" w:hAnsi="Cambria Math" w:cs="Cambria Math"/>
        </w:rPr>
        <w:t>𝑚</w:t>
      </w:r>
      <w:r w:rsidRPr="00B15AFF">
        <w:t>×365</w:t>
      </w:r>
    </w:p>
    <w:p w14:paraId="78E7A0B3" w14:textId="77777777" w:rsidR="002858B9" w:rsidRPr="00B15AFF" w:rsidRDefault="002858B9" w:rsidP="002858B9">
      <w:r w:rsidRPr="00B15AFF">
        <w:tab/>
        <w:t>= 142 days</w:t>
      </w:r>
    </w:p>
    <w:p w14:paraId="690CFB65" w14:textId="77777777" w:rsidR="002858B9" w:rsidRPr="00B15AFF" w:rsidRDefault="002858B9" w:rsidP="002858B9">
      <w:r w:rsidRPr="00B15AFF">
        <w:t>2022: £42,000</w:t>
      </w:r>
      <w:r w:rsidRPr="00B15AFF">
        <w:rPr>
          <w:rFonts w:ascii="Cambria Math" w:hAnsi="Cambria Math" w:cs="Cambria Math"/>
        </w:rPr>
        <w:t>𝑚</w:t>
      </w:r>
      <w:r w:rsidRPr="00B15AFF">
        <w:t>/£128,000</w:t>
      </w:r>
      <w:r w:rsidRPr="00B15AFF">
        <w:rPr>
          <w:rFonts w:ascii="Cambria Math" w:hAnsi="Cambria Math" w:cs="Cambria Math"/>
        </w:rPr>
        <w:t>𝑚</w:t>
      </w:r>
      <w:r w:rsidRPr="00B15AFF">
        <w:t>×365</w:t>
      </w:r>
    </w:p>
    <w:p w14:paraId="32154203" w14:textId="77777777" w:rsidR="002858B9" w:rsidRPr="00B15AFF" w:rsidRDefault="002858B9" w:rsidP="002858B9">
      <w:r w:rsidRPr="00B15AFF">
        <w:tab/>
        <w:t>= 120 days</w:t>
      </w:r>
    </w:p>
    <w:p w14:paraId="74922B47" w14:textId="77777777" w:rsidR="002858B9" w:rsidRPr="00B15AFF" w:rsidRDefault="002858B9" w:rsidP="002858B9">
      <w:pPr>
        <w:rPr>
          <w:b/>
        </w:rPr>
      </w:pPr>
      <w:r w:rsidRPr="00B15AFF">
        <w:rPr>
          <w:b/>
        </w:rPr>
        <w:t>Debt-to-Equity Ratio</w:t>
      </w:r>
    </w:p>
    <w:p w14:paraId="269339DB" w14:textId="77777777" w:rsidR="002858B9" w:rsidRPr="00B15AFF" w:rsidRDefault="002858B9" w:rsidP="002858B9">
      <w:r w:rsidRPr="00B15AFF">
        <w:t xml:space="preserve">Debt-to-Equity = </w:t>
      </w:r>
      <m:oMath>
        <m:f>
          <m:fPr>
            <m:ctrlPr>
              <w:rPr>
                <w:rFonts w:ascii="Cambria Math" w:hAnsi="Cambria Math"/>
                <w:i/>
              </w:rPr>
            </m:ctrlPr>
          </m:fPr>
          <m:num>
            <m:r>
              <w:rPr>
                <w:rFonts w:ascii="Cambria Math" w:hAnsi="Cambria Math"/>
              </w:rPr>
              <m:t>Total Debt</m:t>
            </m:r>
          </m:num>
          <m:den>
            <m:r>
              <w:rPr>
                <w:rFonts w:ascii="Cambria Math" w:hAnsi="Cambria Math"/>
              </w:rPr>
              <m:t>Shareholde</m:t>
            </m:r>
            <m:sSup>
              <m:sSupPr>
                <m:ctrlPr>
                  <w:rPr>
                    <w:rFonts w:ascii="Cambria Math" w:hAnsi="Cambria Math"/>
                    <w:i/>
                  </w:rPr>
                </m:ctrlPr>
              </m:sSupPr>
              <m:e>
                <m:r>
                  <w:rPr>
                    <w:rFonts w:ascii="Cambria Math" w:hAnsi="Cambria Math"/>
                  </w:rPr>
                  <m:t>r</m:t>
                </m:r>
              </m:e>
              <m:sup>
                <m:r>
                  <w:rPr>
                    <w:rFonts w:ascii="Cambria Math" w:hAnsi="Cambria Math"/>
                  </w:rPr>
                  <m:t>'</m:t>
                </m:r>
              </m:sup>
            </m:sSup>
            <m:r>
              <w:rPr>
                <w:rFonts w:ascii="Cambria Math" w:hAnsi="Cambria Math"/>
              </w:rPr>
              <m:t>sEquity</m:t>
            </m:r>
          </m:den>
        </m:f>
      </m:oMath>
      <w:r w:rsidRPr="00B15AFF">
        <w:tab/>
        <w:t>​</w:t>
      </w:r>
    </w:p>
    <w:p w14:paraId="791F5228" w14:textId="77777777" w:rsidR="002858B9" w:rsidRPr="00B15AFF" w:rsidRDefault="002858B9" w:rsidP="002858B9">
      <w:r w:rsidRPr="00B15AFF">
        <w:t>2023: £72,000</w:t>
      </w:r>
      <w:r w:rsidRPr="00B15AFF">
        <w:rPr>
          <w:rFonts w:ascii="Cambria Math" w:hAnsi="Cambria Math" w:cs="Cambria Math"/>
        </w:rPr>
        <w:t>𝑚</w:t>
      </w:r>
      <w:r w:rsidRPr="00B15AFF">
        <w:t>/£97,000</w:t>
      </w:r>
      <w:r w:rsidRPr="00B15AFF">
        <w:rPr>
          <w:rFonts w:ascii="Cambria Math" w:hAnsi="Cambria Math" w:cs="Cambria Math"/>
        </w:rPr>
        <w:t>𝑚</w:t>
      </w:r>
    </w:p>
    <w:p w14:paraId="419FD34C" w14:textId="77777777" w:rsidR="002858B9" w:rsidRPr="00B15AFF" w:rsidRDefault="002858B9" w:rsidP="002858B9">
      <w:r w:rsidRPr="00B15AFF">
        <w:tab/>
        <w:t>= 0.74</w:t>
      </w:r>
    </w:p>
    <w:p w14:paraId="2B79F3BC" w14:textId="77777777" w:rsidR="002858B9" w:rsidRPr="00B15AFF" w:rsidRDefault="002858B9" w:rsidP="002858B9">
      <w:r w:rsidRPr="00B15AFF">
        <w:t>2022: £80,000</w:t>
      </w:r>
      <w:r w:rsidRPr="00B15AFF">
        <w:rPr>
          <w:rFonts w:ascii="Cambria Math" w:hAnsi="Cambria Math" w:cs="Cambria Math"/>
        </w:rPr>
        <w:t>𝑚</w:t>
      </w:r>
      <w:r w:rsidRPr="00B15AFF">
        <w:t>/£94,000</w:t>
      </w:r>
      <w:r w:rsidRPr="00B15AFF">
        <w:rPr>
          <w:rFonts w:ascii="Cambria Math" w:hAnsi="Cambria Math" w:cs="Cambria Math"/>
        </w:rPr>
        <w:t>𝑚</w:t>
      </w:r>
    </w:p>
    <w:p w14:paraId="00884712" w14:textId="77777777" w:rsidR="002858B9" w:rsidRPr="00B15AFF" w:rsidRDefault="002858B9" w:rsidP="002858B9">
      <w:r w:rsidRPr="00B15AFF">
        <w:tab/>
        <w:t>= 0.85</w:t>
      </w:r>
    </w:p>
    <w:p w14:paraId="071B33DE" w14:textId="77777777" w:rsidR="002858B9" w:rsidRPr="00B15AFF" w:rsidRDefault="002858B9" w:rsidP="002858B9">
      <w:pPr>
        <w:rPr>
          <w:b/>
        </w:rPr>
      </w:pPr>
      <w:r w:rsidRPr="00B15AFF">
        <w:rPr>
          <w:b/>
        </w:rPr>
        <w:lastRenderedPageBreak/>
        <w:t>Interest Cover Ratio</w:t>
      </w:r>
    </w:p>
    <w:p w14:paraId="39A17336" w14:textId="77777777" w:rsidR="002858B9" w:rsidRPr="00B15AFF" w:rsidRDefault="002858B9" w:rsidP="002858B9">
      <w:r w:rsidRPr="00B15AFF">
        <w:t xml:space="preserve">Interest Cover = </w:t>
      </w:r>
      <m:oMath>
        <m:f>
          <m:fPr>
            <m:ctrlPr>
              <w:rPr>
                <w:rFonts w:ascii="Cambria Math" w:hAnsi="Cambria Math"/>
                <w:i/>
              </w:rPr>
            </m:ctrlPr>
          </m:fPr>
          <m:num>
            <m:r>
              <w:rPr>
                <w:rFonts w:ascii="Cambria Math" w:hAnsi="Cambria Math"/>
              </w:rPr>
              <m:t>Operating Profit</m:t>
            </m:r>
          </m:num>
          <m:den>
            <m:r>
              <w:rPr>
                <w:rFonts w:ascii="Cambria Math" w:hAnsi="Cambria Math"/>
              </w:rPr>
              <m:t>Finance Costs</m:t>
            </m:r>
          </m:den>
        </m:f>
      </m:oMath>
      <w:r w:rsidRPr="00B15AFF">
        <w:tab/>
        <w:t>​</w:t>
      </w:r>
    </w:p>
    <w:p w14:paraId="01CDC05E" w14:textId="77777777" w:rsidR="002858B9" w:rsidRPr="00B15AFF" w:rsidRDefault="002858B9" w:rsidP="002858B9">
      <w:r w:rsidRPr="00B15AFF">
        <w:t>2023: £22,500</w:t>
      </w:r>
      <w:r w:rsidRPr="00B15AFF">
        <w:rPr>
          <w:rFonts w:ascii="Cambria Math" w:hAnsi="Cambria Math" w:cs="Cambria Math"/>
        </w:rPr>
        <w:t>𝑚/</w:t>
      </w:r>
      <w:r w:rsidRPr="00B15AFF">
        <w:t>£3,600</w:t>
      </w:r>
      <w:r w:rsidRPr="00B15AFF">
        <w:rPr>
          <w:rFonts w:ascii="Cambria Math" w:hAnsi="Cambria Math" w:cs="Cambria Math"/>
        </w:rPr>
        <w:t>𝑚</w:t>
      </w:r>
    </w:p>
    <w:p w14:paraId="4D597492" w14:textId="77777777" w:rsidR="002858B9" w:rsidRPr="00B15AFF" w:rsidRDefault="002858B9" w:rsidP="002858B9">
      <w:r w:rsidRPr="00B15AFF">
        <w:tab/>
        <w:t>= 6.25 times</w:t>
      </w:r>
    </w:p>
    <w:p w14:paraId="7BD9D523" w14:textId="77777777" w:rsidR="002858B9" w:rsidRPr="00B15AFF" w:rsidRDefault="002858B9" w:rsidP="002858B9">
      <w:r w:rsidRPr="00B15AFF">
        <w:t>2022: £28,000</w:t>
      </w:r>
      <w:r w:rsidRPr="00B15AFF">
        <w:rPr>
          <w:rFonts w:ascii="Cambria Math" w:hAnsi="Cambria Math" w:cs="Cambria Math"/>
        </w:rPr>
        <w:t>𝑚</w:t>
      </w:r>
      <w:r w:rsidRPr="00B15AFF">
        <w:t>/£3,900</w:t>
      </w:r>
      <w:r w:rsidRPr="00B15AFF">
        <w:rPr>
          <w:rFonts w:ascii="Cambria Math" w:hAnsi="Cambria Math" w:cs="Cambria Math"/>
        </w:rPr>
        <w:t>𝑚</w:t>
      </w:r>
    </w:p>
    <w:p w14:paraId="6ED29739" w14:textId="77777777" w:rsidR="002858B9" w:rsidRPr="00B15AFF" w:rsidRDefault="002858B9" w:rsidP="002858B9">
      <w:r w:rsidRPr="00B15AFF">
        <w:tab/>
        <w:t>= 7.18 times</w:t>
      </w:r>
    </w:p>
    <w:p w14:paraId="20005B1F" w14:textId="77777777" w:rsidR="002858B9" w:rsidRPr="00B15AFF" w:rsidRDefault="002858B9" w:rsidP="002858B9">
      <w:pPr>
        <w:rPr>
          <w:b/>
        </w:rPr>
      </w:pPr>
      <w:r w:rsidRPr="00B15AFF">
        <w:rPr>
          <w:b/>
        </w:rPr>
        <w:t>Earnings per Share (EPS)</w:t>
      </w:r>
    </w:p>
    <w:p w14:paraId="48B48004" w14:textId="77777777" w:rsidR="002858B9" w:rsidRPr="00B15AFF" w:rsidRDefault="002858B9" w:rsidP="002858B9"/>
    <w:p w14:paraId="4F9FE56E" w14:textId="77777777" w:rsidR="002858B9" w:rsidRPr="00B15AFF" w:rsidRDefault="002858B9" w:rsidP="002858B9">
      <w:r w:rsidRPr="00B15AFF">
        <w:t xml:space="preserve">EPS = </w:t>
      </w:r>
      <m:oMath>
        <m:f>
          <m:fPr>
            <m:ctrlPr>
              <w:rPr>
                <w:rFonts w:ascii="Cambria Math" w:hAnsi="Cambria Math"/>
                <w:i/>
              </w:rPr>
            </m:ctrlPr>
          </m:fPr>
          <m:num>
            <m:r>
              <w:rPr>
                <w:rFonts w:ascii="Cambria Math" w:hAnsi="Cambria Math"/>
              </w:rPr>
              <m:t>Profit After Tax</m:t>
            </m:r>
          </m:num>
          <m:den>
            <m:r>
              <w:rPr>
                <w:rFonts w:ascii="Cambria Math" w:hAnsi="Cambria Math"/>
              </w:rPr>
              <m:t>Number of Ordinary Shares</m:t>
            </m:r>
          </m:den>
        </m:f>
      </m:oMath>
      <w:r w:rsidRPr="00B15AFF">
        <w:tab/>
        <w:t>​</w:t>
      </w:r>
    </w:p>
    <w:p w14:paraId="44318DD8" w14:textId="77777777" w:rsidR="002858B9" w:rsidRPr="00B15AFF" w:rsidRDefault="002858B9" w:rsidP="002858B9">
      <w:r w:rsidRPr="00B15AFF">
        <w:t>2023: £15,800</w:t>
      </w:r>
      <w:r w:rsidRPr="00B15AFF">
        <w:rPr>
          <w:rFonts w:ascii="Cambria Math" w:hAnsi="Cambria Math" w:cs="Cambria Math"/>
        </w:rPr>
        <w:t>𝑚</w:t>
      </w:r>
      <w:r w:rsidRPr="00B15AFF">
        <w:t>/17,500</w:t>
      </w:r>
      <w:r w:rsidRPr="00B15AFF">
        <w:rPr>
          <w:rFonts w:ascii="Cambria Math" w:hAnsi="Cambria Math" w:cs="Cambria Math"/>
        </w:rPr>
        <w:t>𝑚</w:t>
      </w:r>
    </w:p>
    <w:p w14:paraId="3C1B6BFD" w14:textId="77777777" w:rsidR="002858B9" w:rsidRPr="00B15AFF" w:rsidRDefault="002858B9" w:rsidP="002858B9">
      <w:r w:rsidRPr="00B15AFF">
        <w:tab/>
        <w:t>= £0.90</w:t>
      </w:r>
    </w:p>
    <w:p w14:paraId="030A9E8F" w14:textId="77777777" w:rsidR="002858B9" w:rsidRPr="00B15AFF" w:rsidRDefault="002858B9" w:rsidP="002858B9">
      <w:r w:rsidRPr="00B15AFF">
        <w:t>2022: £21,400</w:t>
      </w:r>
      <w:r w:rsidRPr="00B15AFF">
        <w:rPr>
          <w:rFonts w:ascii="Cambria Math" w:hAnsi="Cambria Math" w:cs="Cambria Math"/>
        </w:rPr>
        <w:t>𝑚</w:t>
      </w:r>
      <w:r w:rsidRPr="00B15AFF">
        <w:t>/18,000</w:t>
      </w:r>
      <w:r w:rsidRPr="00B15AFF">
        <w:rPr>
          <w:rFonts w:ascii="Cambria Math" w:hAnsi="Cambria Math" w:cs="Cambria Math"/>
        </w:rPr>
        <w:t>𝑚</w:t>
      </w:r>
    </w:p>
    <w:p w14:paraId="497178AA" w14:textId="77777777" w:rsidR="002858B9" w:rsidRPr="00B15AFF" w:rsidRDefault="002858B9" w:rsidP="002858B9">
      <w:r w:rsidRPr="00B15AFF">
        <w:tab/>
        <w:t>= £1.19</w:t>
      </w:r>
    </w:p>
    <w:p w14:paraId="212EEBC0" w14:textId="77777777" w:rsidR="002858B9" w:rsidRPr="00B15AFF" w:rsidRDefault="002858B9" w:rsidP="002858B9">
      <w:pPr>
        <w:rPr>
          <w:b/>
        </w:rPr>
      </w:pPr>
      <w:r w:rsidRPr="00B15AFF">
        <w:rPr>
          <w:b/>
        </w:rPr>
        <w:t>Dividend per Share (DPS)</w:t>
      </w:r>
    </w:p>
    <w:p w14:paraId="2016F500" w14:textId="77777777" w:rsidR="002858B9" w:rsidRPr="00B15AFF" w:rsidRDefault="002858B9" w:rsidP="002858B9">
      <w:r w:rsidRPr="00B15AFF">
        <w:t xml:space="preserve">Dividend per Share (DPS) = </w:t>
      </w:r>
      <m:oMath>
        <m:f>
          <m:fPr>
            <m:ctrlPr>
              <w:rPr>
                <w:rFonts w:ascii="Cambria Math" w:hAnsi="Cambria Math"/>
                <w:i/>
              </w:rPr>
            </m:ctrlPr>
          </m:fPr>
          <m:num>
            <m:r>
              <w:rPr>
                <w:rFonts w:ascii="Cambria Math" w:hAnsi="Cambria Math"/>
              </w:rPr>
              <m:t>Total Dividends</m:t>
            </m:r>
          </m:num>
          <m:den>
            <m:r>
              <w:rPr>
                <w:rFonts w:ascii="Cambria Math" w:hAnsi="Cambria Math"/>
              </w:rPr>
              <m:t>Number of shares</m:t>
            </m:r>
          </m:den>
        </m:f>
      </m:oMath>
    </w:p>
    <w:p w14:paraId="2BC1C915" w14:textId="77777777" w:rsidR="002858B9" w:rsidRPr="00B15AFF" w:rsidRDefault="002858B9" w:rsidP="002858B9"/>
    <w:p w14:paraId="444BFA6D" w14:textId="77777777" w:rsidR="002858B9" w:rsidRPr="00B15AFF" w:rsidRDefault="002858B9" w:rsidP="002858B9">
      <w:r w:rsidRPr="00B15AFF">
        <w:t>2023: 8,160m/17,000m</w:t>
      </w:r>
    </w:p>
    <w:p w14:paraId="31D31299" w14:textId="77777777" w:rsidR="002858B9" w:rsidRPr="00B15AFF" w:rsidRDefault="002858B9" w:rsidP="002858B9">
      <w:r w:rsidRPr="00B15AFF">
        <w:t>£0.48</w:t>
      </w:r>
    </w:p>
    <w:p w14:paraId="097D39BF" w14:textId="77777777" w:rsidR="002858B9" w:rsidRPr="00B15AFF" w:rsidRDefault="002858B9" w:rsidP="002858B9">
      <w:r w:rsidRPr="00B15AFF">
        <w:t>2022: 7,500m/17,000m</w:t>
      </w:r>
    </w:p>
    <w:p w14:paraId="241D16C6" w14:textId="77777777" w:rsidR="002858B9" w:rsidRPr="00B15AFF" w:rsidRDefault="002858B9" w:rsidP="002858B9">
      <w:r w:rsidRPr="00B15AFF">
        <w:t>£0.45</w:t>
      </w:r>
    </w:p>
    <w:p w14:paraId="0AFF813A" w14:textId="77777777" w:rsidR="002858B9" w:rsidRPr="00B15AFF" w:rsidRDefault="002858B9" w:rsidP="002858B9">
      <w:pPr>
        <w:rPr>
          <w:b/>
        </w:rPr>
      </w:pPr>
      <w:r w:rsidRPr="00B15AFF">
        <w:rPr>
          <w:b/>
        </w:rPr>
        <w:t>Dividend Cover</w:t>
      </w:r>
    </w:p>
    <w:p w14:paraId="070D32A4" w14:textId="77777777" w:rsidR="002858B9" w:rsidRPr="00B15AFF" w:rsidRDefault="002858B9" w:rsidP="002858B9">
      <w:r w:rsidRPr="00B15AFF">
        <w:t xml:space="preserve">Dividend Cover = </w:t>
      </w:r>
      <m:oMath>
        <m:f>
          <m:fPr>
            <m:ctrlPr>
              <w:rPr>
                <w:rFonts w:ascii="Cambria Math" w:hAnsi="Cambria Math"/>
                <w:i/>
              </w:rPr>
            </m:ctrlPr>
          </m:fPr>
          <m:num>
            <m:r>
              <w:rPr>
                <w:rFonts w:ascii="Cambria Math" w:hAnsi="Cambria Math"/>
              </w:rPr>
              <m:t>EPS</m:t>
            </m:r>
          </m:num>
          <m:den>
            <m:r>
              <w:rPr>
                <w:rFonts w:ascii="Cambria Math" w:hAnsi="Cambria Math"/>
              </w:rPr>
              <m:t>DPS</m:t>
            </m:r>
          </m:den>
        </m:f>
      </m:oMath>
    </w:p>
    <w:p w14:paraId="205C6345" w14:textId="77777777" w:rsidR="002858B9" w:rsidRPr="00B15AFF" w:rsidRDefault="002858B9" w:rsidP="002858B9">
      <w:r w:rsidRPr="00B15AFF">
        <w:t>2023: 0.90/0.32</w:t>
      </w:r>
    </w:p>
    <w:p w14:paraId="13590F8F" w14:textId="77777777" w:rsidR="002858B9" w:rsidRPr="00B15AFF" w:rsidRDefault="002858B9" w:rsidP="002858B9">
      <w:r w:rsidRPr="00B15AFF">
        <w:lastRenderedPageBreak/>
        <w:tab/>
        <w:t>= 2.81 times</w:t>
      </w:r>
    </w:p>
    <w:p w14:paraId="5AB68AFC" w14:textId="77777777" w:rsidR="002858B9" w:rsidRPr="00B15AFF" w:rsidRDefault="002858B9" w:rsidP="002858B9">
      <w:r w:rsidRPr="00B15AFF">
        <w:t>2022: 1.19/0.30</w:t>
      </w:r>
    </w:p>
    <w:p w14:paraId="27FEBB91" w14:textId="77777777" w:rsidR="002858B9" w:rsidRPr="00B15AFF" w:rsidRDefault="002858B9" w:rsidP="002858B9">
      <w:r w:rsidRPr="00B15AFF">
        <w:tab/>
        <w:t>= 3.97 times</w:t>
      </w:r>
    </w:p>
    <w:p w14:paraId="726E713B" w14:textId="77777777" w:rsidR="002858B9" w:rsidRPr="00B15AFF" w:rsidRDefault="002858B9" w:rsidP="002858B9">
      <w:pPr>
        <w:jc w:val="center"/>
        <w:rPr>
          <w:b/>
        </w:rPr>
      </w:pPr>
      <w:r w:rsidRPr="00B15AFF">
        <w:rPr>
          <w:b/>
        </w:rPr>
        <w:t>NPV of</w:t>
      </w:r>
    </w:p>
    <w:p w14:paraId="11FAD02F" w14:textId="77777777" w:rsidR="002858B9" w:rsidRPr="00B15AFF" w:rsidRDefault="002858B9" w:rsidP="002858B9">
      <w:pPr>
        <w:rPr>
          <w:b/>
        </w:rPr>
      </w:pPr>
      <w:r w:rsidRPr="00B15AFF">
        <w:rPr>
          <w:b/>
        </w:rPr>
        <w:t>Option A</w:t>
      </w:r>
    </w:p>
    <w:p w14:paraId="5E115657" w14:textId="77777777" w:rsidR="002858B9" w:rsidRPr="00B15AFF" w:rsidRDefault="002858B9" w:rsidP="002858B9">
      <w:r w:rsidRPr="00B15AFF">
        <w:t>Initial investment: £600,000</w:t>
      </w:r>
    </w:p>
    <w:p w14:paraId="5A2A3B71" w14:textId="77777777" w:rsidR="002858B9" w:rsidRPr="00B15AFF" w:rsidRDefault="002858B9" w:rsidP="002858B9">
      <w:r w:rsidRPr="00B15AFF">
        <w:t>Annual capital allowance:</w:t>
      </w:r>
    </w:p>
    <w:p w14:paraId="21375736" w14:textId="77777777" w:rsidR="002858B9" w:rsidRPr="00B15AFF" w:rsidRDefault="002858B9" w:rsidP="002858B9">
      <w:r w:rsidRPr="00B15AFF">
        <w:t>600,000 × 20% = £120,000</w:t>
      </w:r>
    </w:p>
    <w:p w14:paraId="63198171" w14:textId="77777777" w:rsidR="002858B9" w:rsidRPr="00B15AFF" w:rsidRDefault="002858B9" w:rsidP="002858B9">
      <w:r w:rsidRPr="00B15AFF">
        <w:t>Tax shield:</w:t>
      </w:r>
    </w:p>
    <w:p w14:paraId="6487A92F" w14:textId="77777777" w:rsidR="002858B9" w:rsidRPr="00B15AFF" w:rsidRDefault="002858B9" w:rsidP="002858B9">
      <w:r w:rsidRPr="00B15AFF">
        <w:t>120,000 × 25% = £30,000 per year</w:t>
      </w:r>
    </w:p>
    <w:p w14:paraId="437267CF" w14:textId="77777777" w:rsidR="002858B9" w:rsidRPr="00B15AFF" w:rsidRDefault="002858B9" w:rsidP="002858B9">
      <w:r w:rsidRPr="00B15AFF">
        <w:t>Cash flow after tax for project A:</w:t>
      </w:r>
    </w:p>
    <w:tbl>
      <w:tblPr>
        <w:tblStyle w:val="TableGrid"/>
        <w:tblW w:w="0" w:type="auto"/>
        <w:tblInd w:w="468" w:type="dxa"/>
        <w:tblLook w:val="04A0" w:firstRow="1" w:lastRow="0" w:firstColumn="1" w:lastColumn="0" w:noHBand="0" w:noVBand="1"/>
      </w:tblPr>
      <w:tblGrid>
        <w:gridCol w:w="990"/>
        <w:gridCol w:w="2250"/>
        <w:gridCol w:w="4860"/>
      </w:tblGrid>
      <w:tr w:rsidR="002858B9" w:rsidRPr="00B15AFF" w14:paraId="234F78F8" w14:textId="77777777" w:rsidTr="00F62C20">
        <w:tc>
          <w:tcPr>
            <w:tcW w:w="990" w:type="dxa"/>
            <w:hideMark/>
          </w:tcPr>
          <w:p w14:paraId="17055415" w14:textId="77777777" w:rsidR="002858B9" w:rsidRPr="00B15AFF" w:rsidRDefault="002858B9" w:rsidP="00F62C20">
            <w:pPr>
              <w:spacing w:line="240" w:lineRule="auto"/>
              <w:jc w:val="center"/>
              <w:rPr>
                <w:rFonts w:eastAsia="Times New Roman" w:cs="Times New Roman"/>
                <w:b/>
                <w:bCs/>
                <w:szCs w:val="24"/>
              </w:rPr>
            </w:pPr>
            <w:r w:rsidRPr="00B15AFF">
              <w:rPr>
                <w:rFonts w:eastAsia="Times New Roman" w:cs="Times New Roman"/>
                <w:b/>
                <w:bCs/>
                <w:szCs w:val="24"/>
              </w:rPr>
              <w:t>Year</w:t>
            </w:r>
          </w:p>
        </w:tc>
        <w:tc>
          <w:tcPr>
            <w:tcW w:w="2250" w:type="dxa"/>
            <w:hideMark/>
          </w:tcPr>
          <w:p w14:paraId="427761FA" w14:textId="77777777" w:rsidR="002858B9" w:rsidRPr="00B15AFF" w:rsidRDefault="002858B9" w:rsidP="00F62C20">
            <w:pPr>
              <w:spacing w:line="240" w:lineRule="auto"/>
              <w:jc w:val="center"/>
              <w:rPr>
                <w:rFonts w:eastAsia="Times New Roman" w:cs="Times New Roman"/>
                <w:b/>
                <w:bCs/>
                <w:szCs w:val="24"/>
              </w:rPr>
            </w:pPr>
            <w:r w:rsidRPr="00B15AFF">
              <w:rPr>
                <w:rFonts w:eastAsia="Times New Roman" w:cs="Times New Roman"/>
                <w:b/>
                <w:bCs/>
                <w:szCs w:val="24"/>
              </w:rPr>
              <w:t>Pre-tax CF</w:t>
            </w:r>
          </w:p>
        </w:tc>
        <w:tc>
          <w:tcPr>
            <w:tcW w:w="4860" w:type="dxa"/>
            <w:hideMark/>
          </w:tcPr>
          <w:p w14:paraId="78F67E12" w14:textId="77777777" w:rsidR="002858B9" w:rsidRPr="00B15AFF" w:rsidRDefault="002858B9" w:rsidP="00F62C20">
            <w:pPr>
              <w:spacing w:line="240" w:lineRule="auto"/>
              <w:jc w:val="center"/>
              <w:rPr>
                <w:rFonts w:eastAsia="Times New Roman" w:cs="Times New Roman"/>
                <w:b/>
                <w:bCs/>
                <w:szCs w:val="24"/>
              </w:rPr>
            </w:pPr>
            <w:r w:rsidRPr="00B15AFF">
              <w:rPr>
                <w:rFonts w:eastAsia="Times New Roman" w:cs="Times New Roman"/>
                <w:b/>
                <w:bCs/>
                <w:szCs w:val="24"/>
              </w:rPr>
              <w:t>After-tax CF = CF × 75% + Tax shield</w:t>
            </w:r>
          </w:p>
        </w:tc>
      </w:tr>
      <w:tr w:rsidR="002858B9" w:rsidRPr="00B15AFF" w14:paraId="4F057A54" w14:textId="77777777" w:rsidTr="00F62C20">
        <w:tc>
          <w:tcPr>
            <w:tcW w:w="990" w:type="dxa"/>
            <w:hideMark/>
          </w:tcPr>
          <w:p w14:paraId="3AE08275" w14:textId="77777777" w:rsidR="002858B9" w:rsidRPr="00B15AFF" w:rsidRDefault="002858B9" w:rsidP="00F62C20">
            <w:pPr>
              <w:spacing w:line="240" w:lineRule="auto"/>
              <w:jc w:val="center"/>
              <w:rPr>
                <w:rFonts w:eastAsia="Times New Roman" w:cs="Times New Roman"/>
                <w:szCs w:val="24"/>
              </w:rPr>
            </w:pPr>
            <w:r w:rsidRPr="00B15AFF">
              <w:rPr>
                <w:rFonts w:eastAsia="Times New Roman" w:cs="Times New Roman"/>
                <w:szCs w:val="24"/>
              </w:rPr>
              <w:t>1</w:t>
            </w:r>
          </w:p>
        </w:tc>
        <w:tc>
          <w:tcPr>
            <w:tcW w:w="2250" w:type="dxa"/>
            <w:hideMark/>
          </w:tcPr>
          <w:p w14:paraId="51F99D77" w14:textId="77777777" w:rsidR="002858B9" w:rsidRPr="00B15AFF" w:rsidRDefault="002858B9" w:rsidP="00F62C20">
            <w:pPr>
              <w:spacing w:line="240" w:lineRule="auto"/>
              <w:jc w:val="center"/>
              <w:rPr>
                <w:rFonts w:eastAsia="Times New Roman" w:cs="Times New Roman"/>
                <w:szCs w:val="24"/>
              </w:rPr>
            </w:pPr>
            <w:r w:rsidRPr="00B15AFF">
              <w:rPr>
                <w:rFonts w:eastAsia="Times New Roman" w:cs="Times New Roman"/>
                <w:szCs w:val="24"/>
              </w:rPr>
              <w:t>200</w:t>
            </w:r>
          </w:p>
        </w:tc>
        <w:tc>
          <w:tcPr>
            <w:tcW w:w="4860" w:type="dxa"/>
            <w:hideMark/>
          </w:tcPr>
          <w:p w14:paraId="701ACBB3" w14:textId="77777777" w:rsidR="002858B9" w:rsidRPr="00B15AFF" w:rsidRDefault="002858B9" w:rsidP="00F62C20">
            <w:r w:rsidRPr="00B15AFF">
              <w:t xml:space="preserve">(200 × 0.75) + 30 = </w:t>
            </w:r>
            <w:r w:rsidRPr="00B15AFF">
              <w:rPr>
                <w:bCs/>
              </w:rPr>
              <w:t>180</w:t>
            </w:r>
          </w:p>
        </w:tc>
      </w:tr>
      <w:tr w:rsidR="002858B9" w:rsidRPr="00B15AFF" w14:paraId="0C2A0F29" w14:textId="77777777" w:rsidTr="00F62C20">
        <w:tc>
          <w:tcPr>
            <w:tcW w:w="990" w:type="dxa"/>
            <w:hideMark/>
          </w:tcPr>
          <w:p w14:paraId="2032BC5D" w14:textId="77777777" w:rsidR="002858B9" w:rsidRPr="00B15AFF" w:rsidRDefault="002858B9" w:rsidP="00F62C20">
            <w:pPr>
              <w:spacing w:line="240" w:lineRule="auto"/>
              <w:jc w:val="center"/>
              <w:rPr>
                <w:rFonts w:eastAsia="Times New Roman" w:cs="Times New Roman"/>
                <w:szCs w:val="24"/>
              </w:rPr>
            </w:pPr>
            <w:r w:rsidRPr="00B15AFF">
              <w:rPr>
                <w:rFonts w:eastAsia="Times New Roman" w:cs="Times New Roman"/>
                <w:szCs w:val="24"/>
              </w:rPr>
              <w:t>2</w:t>
            </w:r>
          </w:p>
        </w:tc>
        <w:tc>
          <w:tcPr>
            <w:tcW w:w="2250" w:type="dxa"/>
            <w:hideMark/>
          </w:tcPr>
          <w:p w14:paraId="5570F913" w14:textId="77777777" w:rsidR="002858B9" w:rsidRPr="00B15AFF" w:rsidRDefault="002858B9" w:rsidP="00F62C20">
            <w:pPr>
              <w:spacing w:line="240" w:lineRule="auto"/>
              <w:jc w:val="center"/>
              <w:rPr>
                <w:rFonts w:eastAsia="Times New Roman" w:cs="Times New Roman"/>
                <w:szCs w:val="24"/>
              </w:rPr>
            </w:pPr>
            <w:r w:rsidRPr="00B15AFF">
              <w:rPr>
                <w:rFonts w:eastAsia="Times New Roman" w:cs="Times New Roman"/>
                <w:szCs w:val="24"/>
              </w:rPr>
              <w:t>400</w:t>
            </w:r>
          </w:p>
        </w:tc>
        <w:tc>
          <w:tcPr>
            <w:tcW w:w="4860" w:type="dxa"/>
            <w:hideMark/>
          </w:tcPr>
          <w:p w14:paraId="6A103E11" w14:textId="77777777" w:rsidR="002858B9" w:rsidRPr="00B15AFF" w:rsidRDefault="002858B9" w:rsidP="00F62C20">
            <w:r w:rsidRPr="00B15AFF">
              <w:t xml:space="preserve">(400 × 0.75) + 30 = </w:t>
            </w:r>
            <w:r w:rsidRPr="00B15AFF">
              <w:rPr>
                <w:bCs/>
              </w:rPr>
              <w:t>330</w:t>
            </w:r>
          </w:p>
        </w:tc>
      </w:tr>
      <w:tr w:rsidR="002858B9" w:rsidRPr="00B15AFF" w14:paraId="73AE2A05" w14:textId="77777777" w:rsidTr="00F62C20">
        <w:tc>
          <w:tcPr>
            <w:tcW w:w="990" w:type="dxa"/>
            <w:hideMark/>
          </w:tcPr>
          <w:p w14:paraId="44944A79" w14:textId="77777777" w:rsidR="002858B9" w:rsidRPr="00B15AFF" w:rsidRDefault="002858B9" w:rsidP="00F62C20">
            <w:pPr>
              <w:spacing w:line="240" w:lineRule="auto"/>
              <w:jc w:val="center"/>
              <w:rPr>
                <w:rFonts w:eastAsia="Times New Roman" w:cs="Times New Roman"/>
                <w:szCs w:val="24"/>
              </w:rPr>
            </w:pPr>
            <w:r w:rsidRPr="00B15AFF">
              <w:rPr>
                <w:rFonts w:eastAsia="Times New Roman" w:cs="Times New Roman"/>
                <w:szCs w:val="24"/>
              </w:rPr>
              <w:t>3</w:t>
            </w:r>
          </w:p>
        </w:tc>
        <w:tc>
          <w:tcPr>
            <w:tcW w:w="2250" w:type="dxa"/>
            <w:hideMark/>
          </w:tcPr>
          <w:p w14:paraId="07F9CEBD" w14:textId="77777777" w:rsidR="002858B9" w:rsidRPr="00B15AFF" w:rsidRDefault="002858B9" w:rsidP="00F62C20">
            <w:pPr>
              <w:spacing w:line="240" w:lineRule="auto"/>
              <w:jc w:val="center"/>
              <w:rPr>
                <w:rFonts w:eastAsia="Times New Roman" w:cs="Times New Roman"/>
                <w:szCs w:val="24"/>
              </w:rPr>
            </w:pPr>
            <w:r w:rsidRPr="00B15AFF">
              <w:rPr>
                <w:rFonts w:eastAsia="Times New Roman" w:cs="Times New Roman"/>
                <w:szCs w:val="24"/>
              </w:rPr>
              <w:t>500</w:t>
            </w:r>
          </w:p>
        </w:tc>
        <w:tc>
          <w:tcPr>
            <w:tcW w:w="4860" w:type="dxa"/>
            <w:hideMark/>
          </w:tcPr>
          <w:p w14:paraId="157CE6C7" w14:textId="77777777" w:rsidR="002858B9" w:rsidRPr="00B15AFF" w:rsidRDefault="002858B9" w:rsidP="00F62C20">
            <w:r w:rsidRPr="00B15AFF">
              <w:t xml:space="preserve">(500 × 0.75) + 30 = </w:t>
            </w:r>
            <w:r w:rsidRPr="00B15AFF">
              <w:rPr>
                <w:bCs/>
              </w:rPr>
              <w:t>405</w:t>
            </w:r>
          </w:p>
        </w:tc>
      </w:tr>
      <w:tr w:rsidR="002858B9" w:rsidRPr="00B15AFF" w14:paraId="0D69DBE3" w14:textId="77777777" w:rsidTr="00F62C20">
        <w:trPr>
          <w:trHeight w:val="70"/>
        </w:trPr>
        <w:tc>
          <w:tcPr>
            <w:tcW w:w="990" w:type="dxa"/>
            <w:hideMark/>
          </w:tcPr>
          <w:p w14:paraId="7B8EF7D3" w14:textId="77777777" w:rsidR="002858B9" w:rsidRPr="00B15AFF" w:rsidRDefault="002858B9" w:rsidP="00F62C20">
            <w:pPr>
              <w:spacing w:line="240" w:lineRule="auto"/>
              <w:jc w:val="center"/>
              <w:rPr>
                <w:rFonts w:eastAsia="Times New Roman" w:cs="Times New Roman"/>
                <w:szCs w:val="24"/>
              </w:rPr>
            </w:pPr>
            <w:r w:rsidRPr="00B15AFF">
              <w:rPr>
                <w:rFonts w:eastAsia="Times New Roman" w:cs="Times New Roman"/>
                <w:szCs w:val="24"/>
              </w:rPr>
              <w:t>4</w:t>
            </w:r>
          </w:p>
        </w:tc>
        <w:tc>
          <w:tcPr>
            <w:tcW w:w="2250" w:type="dxa"/>
            <w:hideMark/>
          </w:tcPr>
          <w:p w14:paraId="36C65D27" w14:textId="77777777" w:rsidR="002858B9" w:rsidRPr="00B15AFF" w:rsidRDefault="002858B9" w:rsidP="00F62C20">
            <w:pPr>
              <w:spacing w:line="240" w:lineRule="auto"/>
              <w:jc w:val="center"/>
              <w:rPr>
                <w:rFonts w:eastAsia="Times New Roman" w:cs="Times New Roman"/>
                <w:szCs w:val="24"/>
              </w:rPr>
            </w:pPr>
            <w:r w:rsidRPr="00B15AFF">
              <w:rPr>
                <w:rFonts w:eastAsia="Times New Roman" w:cs="Times New Roman"/>
                <w:szCs w:val="24"/>
              </w:rPr>
              <w:t>700</w:t>
            </w:r>
          </w:p>
        </w:tc>
        <w:tc>
          <w:tcPr>
            <w:tcW w:w="4860" w:type="dxa"/>
            <w:hideMark/>
          </w:tcPr>
          <w:p w14:paraId="72F0729D" w14:textId="77777777" w:rsidR="002858B9" w:rsidRPr="00B15AFF" w:rsidRDefault="002858B9" w:rsidP="00F62C20">
            <w:r w:rsidRPr="00B15AFF">
              <w:t xml:space="preserve">(700 × 0.75) + 30 = </w:t>
            </w:r>
            <w:r w:rsidRPr="00B15AFF">
              <w:rPr>
                <w:bCs/>
              </w:rPr>
              <w:t>555</w:t>
            </w:r>
          </w:p>
        </w:tc>
      </w:tr>
    </w:tbl>
    <w:p w14:paraId="312547D7" w14:textId="77777777" w:rsidR="002858B9" w:rsidRPr="00B15AFF" w:rsidRDefault="002858B9" w:rsidP="002858B9"/>
    <w:p w14:paraId="7E41DBAB" w14:textId="77777777" w:rsidR="002858B9" w:rsidRPr="00B15AFF" w:rsidRDefault="002858B9" w:rsidP="002858B9">
      <w:r w:rsidRPr="00B15AFF">
        <w:t>NPV Calculation</w:t>
      </w:r>
    </w:p>
    <w:tbl>
      <w:tblPr>
        <w:tblStyle w:val="TableGrid"/>
        <w:tblW w:w="0" w:type="auto"/>
        <w:jc w:val="center"/>
        <w:tblLook w:val="04A0" w:firstRow="1" w:lastRow="0" w:firstColumn="1" w:lastColumn="0" w:noHBand="0" w:noVBand="1"/>
      </w:tblPr>
      <w:tblGrid>
        <w:gridCol w:w="1139"/>
        <w:gridCol w:w="2160"/>
        <w:gridCol w:w="1174"/>
        <w:gridCol w:w="1446"/>
      </w:tblGrid>
      <w:tr w:rsidR="002858B9" w:rsidRPr="00B15AFF" w14:paraId="719517E9" w14:textId="77777777" w:rsidTr="00F62C20">
        <w:trPr>
          <w:jc w:val="center"/>
        </w:trPr>
        <w:tc>
          <w:tcPr>
            <w:tcW w:w="1139" w:type="dxa"/>
            <w:hideMark/>
          </w:tcPr>
          <w:p w14:paraId="3F9523C9" w14:textId="77777777" w:rsidR="002858B9" w:rsidRPr="00B15AFF" w:rsidRDefault="002858B9" w:rsidP="00F62C20">
            <w:pPr>
              <w:jc w:val="center"/>
              <w:rPr>
                <w:b/>
              </w:rPr>
            </w:pPr>
            <w:r w:rsidRPr="00B15AFF">
              <w:rPr>
                <w:b/>
              </w:rPr>
              <w:t>Year</w:t>
            </w:r>
          </w:p>
        </w:tc>
        <w:tc>
          <w:tcPr>
            <w:tcW w:w="2160" w:type="dxa"/>
            <w:hideMark/>
          </w:tcPr>
          <w:p w14:paraId="578AA8D0" w14:textId="77777777" w:rsidR="002858B9" w:rsidRPr="00B15AFF" w:rsidRDefault="002858B9" w:rsidP="00F62C20">
            <w:pPr>
              <w:jc w:val="center"/>
              <w:rPr>
                <w:b/>
              </w:rPr>
            </w:pPr>
            <w:r w:rsidRPr="00B15AFF">
              <w:rPr>
                <w:b/>
              </w:rPr>
              <w:t>After-tax CF</w:t>
            </w:r>
          </w:p>
        </w:tc>
        <w:tc>
          <w:tcPr>
            <w:tcW w:w="1174" w:type="dxa"/>
            <w:hideMark/>
          </w:tcPr>
          <w:p w14:paraId="7D7B28BF" w14:textId="77777777" w:rsidR="002858B9" w:rsidRPr="00B15AFF" w:rsidRDefault="002858B9" w:rsidP="00F62C20">
            <w:pPr>
              <w:jc w:val="center"/>
              <w:rPr>
                <w:b/>
              </w:rPr>
            </w:pPr>
            <w:r w:rsidRPr="00B15AFF">
              <w:rPr>
                <w:b/>
              </w:rPr>
              <w:t>DF</w:t>
            </w:r>
          </w:p>
        </w:tc>
        <w:tc>
          <w:tcPr>
            <w:tcW w:w="1446" w:type="dxa"/>
            <w:hideMark/>
          </w:tcPr>
          <w:p w14:paraId="78D72AE2" w14:textId="77777777" w:rsidR="002858B9" w:rsidRPr="00B15AFF" w:rsidRDefault="002858B9" w:rsidP="00F62C20">
            <w:pPr>
              <w:jc w:val="center"/>
              <w:rPr>
                <w:b/>
              </w:rPr>
            </w:pPr>
            <w:r w:rsidRPr="00B15AFF">
              <w:rPr>
                <w:b/>
              </w:rPr>
              <w:t>PV(</w:t>
            </w:r>
            <w:r w:rsidRPr="00B15AFF">
              <w:rPr>
                <w:rFonts w:cs="Times New Roman"/>
                <w:b/>
              </w:rPr>
              <w:t>£</w:t>
            </w:r>
            <w:r w:rsidRPr="00B15AFF">
              <w:rPr>
                <w:b/>
              </w:rPr>
              <w:t>,000)</w:t>
            </w:r>
          </w:p>
        </w:tc>
      </w:tr>
      <w:tr w:rsidR="002858B9" w:rsidRPr="00B15AFF" w14:paraId="16A15108" w14:textId="77777777" w:rsidTr="00F62C20">
        <w:trPr>
          <w:jc w:val="center"/>
        </w:trPr>
        <w:tc>
          <w:tcPr>
            <w:tcW w:w="1139" w:type="dxa"/>
            <w:hideMark/>
          </w:tcPr>
          <w:p w14:paraId="7FC33090" w14:textId="77777777" w:rsidR="002858B9" w:rsidRPr="00B15AFF" w:rsidRDefault="002858B9" w:rsidP="00F62C20">
            <w:pPr>
              <w:jc w:val="center"/>
            </w:pPr>
            <w:r w:rsidRPr="00B15AFF">
              <w:t>1</w:t>
            </w:r>
          </w:p>
        </w:tc>
        <w:tc>
          <w:tcPr>
            <w:tcW w:w="2160" w:type="dxa"/>
            <w:hideMark/>
          </w:tcPr>
          <w:p w14:paraId="7E2B0C4E" w14:textId="77777777" w:rsidR="002858B9" w:rsidRPr="00B15AFF" w:rsidRDefault="002858B9" w:rsidP="00F62C20">
            <w:pPr>
              <w:jc w:val="center"/>
            </w:pPr>
            <w:r w:rsidRPr="00B15AFF">
              <w:t>180</w:t>
            </w:r>
          </w:p>
        </w:tc>
        <w:tc>
          <w:tcPr>
            <w:tcW w:w="1174" w:type="dxa"/>
            <w:hideMark/>
          </w:tcPr>
          <w:p w14:paraId="54840040" w14:textId="77777777" w:rsidR="002858B9" w:rsidRPr="00B15AFF" w:rsidRDefault="002858B9" w:rsidP="00F62C20">
            <w:pPr>
              <w:jc w:val="center"/>
            </w:pPr>
            <w:r w:rsidRPr="00B15AFF">
              <w:t>0.943</w:t>
            </w:r>
          </w:p>
        </w:tc>
        <w:tc>
          <w:tcPr>
            <w:tcW w:w="1446" w:type="dxa"/>
            <w:hideMark/>
          </w:tcPr>
          <w:p w14:paraId="670A7116" w14:textId="77777777" w:rsidR="002858B9" w:rsidRPr="00B15AFF" w:rsidRDefault="002858B9" w:rsidP="00F62C20">
            <w:pPr>
              <w:jc w:val="center"/>
            </w:pPr>
            <w:r w:rsidRPr="00B15AFF">
              <w:t>169.7</w:t>
            </w:r>
          </w:p>
        </w:tc>
      </w:tr>
      <w:tr w:rsidR="002858B9" w:rsidRPr="00B15AFF" w14:paraId="4CADC37E" w14:textId="77777777" w:rsidTr="00F62C20">
        <w:trPr>
          <w:jc w:val="center"/>
        </w:trPr>
        <w:tc>
          <w:tcPr>
            <w:tcW w:w="1139" w:type="dxa"/>
            <w:hideMark/>
          </w:tcPr>
          <w:p w14:paraId="45AE52EF" w14:textId="77777777" w:rsidR="002858B9" w:rsidRPr="00B15AFF" w:rsidRDefault="002858B9" w:rsidP="00F62C20">
            <w:pPr>
              <w:jc w:val="center"/>
            </w:pPr>
            <w:r w:rsidRPr="00B15AFF">
              <w:t>2</w:t>
            </w:r>
          </w:p>
        </w:tc>
        <w:tc>
          <w:tcPr>
            <w:tcW w:w="2160" w:type="dxa"/>
            <w:hideMark/>
          </w:tcPr>
          <w:p w14:paraId="4BB0690D" w14:textId="77777777" w:rsidR="002858B9" w:rsidRPr="00B15AFF" w:rsidRDefault="002858B9" w:rsidP="00F62C20">
            <w:pPr>
              <w:jc w:val="center"/>
            </w:pPr>
            <w:r w:rsidRPr="00B15AFF">
              <w:t>330</w:t>
            </w:r>
          </w:p>
        </w:tc>
        <w:tc>
          <w:tcPr>
            <w:tcW w:w="1174" w:type="dxa"/>
            <w:hideMark/>
          </w:tcPr>
          <w:p w14:paraId="49BAE37A" w14:textId="77777777" w:rsidR="002858B9" w:rsidRPr="00B15AFF" w:rsidRDefault="002858B9" w:rsidP="00F62C20">
            <w:pPr>
              <w:jc w:val="center"/>
            </w:pPr>
            <w:r w:rsidRPr="00B15AFF">
              <w:t>0.890</w:t>
            </w:r>
          </w:p>
        </w:tc>
        <w:tc>
          <w:tcPr>
            <w:tcW w:w="1446" w:type="dxa"/>
            <w:hideMark/>
          </w:tcPr>
          <w:p w14:paraId="21B58B4D" w14:textId="77777777" w:rsidR="002858B9" w:rsidRPr="00B15AFF" w:rsidRDefault="002858B9" w:rsidP="00F62C20">
            <w:pPr>
              <w:jc w:val="center"/>
            </w:pPr>
            <w:r w:rsidRPr="00B15AFF">
              <w:t>293.7</w:t>
            </w:r>
          </w:p>
        </w:tc>
      </w:tr>
      <w:tr w:rsidR="002858B9" w:rsidRPr="00B15AFF" w14:paraId="4F4E70C0" w14:textId="77777777" w:rsidTr="00F62C20">
        <w:trPr>
          <w:jc w:val="center"/>
        </w:trPr>
        <w:tc>
          <w:tcPr>
            <w:tcW w:w="1139" w:type="dxa"/>
            <w:hideMark/>
          </w:tcPr>
          <w:p w14:paraId="41318D4B" w14:textId="77777777" w:rsidR="002858B9" w:rsidRPr="00B15AFF" w:rsidRDefault="002858B9" w:rsidP="00F62C20">
            <w:pPr>
              <w:jc w:val="center"/>
            </w:pPr>
            <w:r w:rsidRPr="00B15AFF">
              <w:t>3</w:t>
            </w:r>
          </w:p>
        </w:tc>
        <w:tc>
          <w:tcPr>
            <w:tcW w:w="2160" w:type="dxa"/>
            <w:hideMark/>
          </w:tcPr>
          <w:p w14:paraId="25064BE4" w14:textId="77777777" w:rsidR="002858B9" w:rsidRPr="00B15AFF" w:rsidRDefault="002858B9" w:rsidP="00F62C20">
            <w:pPr>
              <w:jc w:val="center"/>
            </w:pPr>
            <w:r w:rsidRPr="00B15AFF">
              <w:t>405</w:t>
            </w:r>
          </w:p>
        </w:tc>
        <w:tc>
          <w:tcPr>
            <w:tcW w:w="1174" w:type="dxa"/>
            <w:hideMark/>
          </w:tcPr>
          <w:p w14:paraId="7D9A34E7" w14:textId="77777777" w:rsidR="002858B9" w:rsidRPr="00B15AFF" w:rsidRDefault="002858B9" w:rsidP="00F62C20">
            <w:pPr>
              <w:jc w:val="center"/>
            </w:pPr>
            <w:r w:rsidRPr="00B15AFF">
              <w:t>0.840</w:t>
            </w:r>
          </w:p>
        </w:tc>
        <w:tc>
          <w:tcPr>
            <w:tcW w:w="1446" w:type="dxa"/>
            <w:hideMark/>
          </w:tcPr>
          <w:p w14:paraId="1FEC8246" w14:textId="77777777" w:rsidR="002858B9" w:rsidRPr="00B15AFF" w:rsidRDefault="002858B9" w:rsidP="00F62C20">
            <w:pPr>
              <w:jc w:val="center"/>
            </w:pPr>
            <w:r w:rsidRPr="00B15AFF">
              <w:t>340.2</w:t>
            </w:r>
          </w:p>
        </w:tc>
      </w:tr>
      <w:tr w:rsidR="002858B9" w:rsidRPr="00B15AFF" w14:paraId="004FB07E" w14:textId="77777777" w:rsidTr="00F62C20">
        <w:trPr>
          <w:jc w:val="center"/>
        </w:trPr>
        <w:tc>
          <w:tcPr>
            <w:tcW w:w="1139" w:type="dxa"/>
            <w:hideMark/>
          </w:tcPr>
          <w:p w14:paraId="0F484DDE" w14:textId="77777777" w:rsidR="002858B9" w:rsidRPr="00B15AFF" w:rsidRDefault="002858B9" w:rsidP="00F62C20">
            <w:pPr>
              <w:jc w:val="center"/>
            </w:pPr>
            <w:r w:rsidRPr="00B15AFF">
              <w:t>4</w:t>
            </w:r>
          </w:p>
        </w:tc>
        <w:tc>
          <w:tcPr>
            <w:tcW w:w="2160" w:type="dxa"/>
            <w:hideMark/>
          </w:tcPr>
          <w:p w14:paraId="63E00880" w14:textId="77777777" w:rsidR="002858B9" w:rsidRPr="00B15AFF" w:rsidRDefault="002858B9" w:rsidP="00F62C20">
            <w:pPr>
              <w:jc w:val="center"/>
            </w:pPr>
            <w:r w:rsidRPr="00B15AFF">
              <w:t>555</w:t>
            </w:r>
          </w:p>
        </w:tc>
        <w:tc>
          <w:tcPr>
            <w:tcW w:w="1174" w:type="dxa"/>
            <w:hideMark/>
          </w:tcPr>
          <w:p w14:paraId="24B301F3" w14:textId="77777777" w:rsidR="002858B9" w:rsidRPr="00B15AFF" w:rsidRDefault="002858B9" w:rsidP="00F62C20">
            <w:pPr>
              <w:jc w:val="center"/>
            </w:pPr>
            <w:r w:rsidRPr="00B15AFF">
              <w:t>0.792</w:t>
            </w:r>
          </w:p>
        </w:tc>
        <w:tc>
          <w:tcPr>
            <w:tcW w:w="1446" w:type="dxa"/>
            <w:hideMark/>
          </w:tcPr>
          <w:p w14:paraId="025E8CE4" w14:textId="77777777" w:rsidR="002858B9" w:rsidRPr="00B15AFF" w:rsidRDefault="002858B9" w:rsidP="00F62C20">
            <w:pPr>
              <w:jc w:val="center"/>
            </w:pPr>
            <w:r w:rsidRPr="00B15AFF">
              <w:t>439.6</w:t>
            </w:r>
          </w:p>
        </w:tc>
      </w:tr>
      <w:tr w:rsidR="002858B9" w:rsidRPr="00B15AFF" w14:paraId="08146BBD" w14:textId="77777777" w:rsidTr="00F62C20">
        <w:trPr>
          <w:jc w:val="center"/>
        </w:trPr>
        <w:tc>
          <w:tcPr>
            <w:tcW w:w="1139" w:type="dxa"/>
          </w:tcPr>
          <w:p w14:paraId="0C3284F5" w14:textId="77777777" w:rsidR="002858B9" w:rsidRPr="00B15AFF" w:rsidRDefault="002858B9" w:rsidP="00F62C20">
            <w:pPr>
              <w:jc w:val="center"/>
            </w:pPr>
            <w:r w:rsidRPr="00B15AFF">
              <w:t>Total</w:t>
            </w:r>
          </w:p>
        </w:tc>
        <w:tc>
          <w:tcPr>
            <w:tcW w:w="3334" w:type="dxa"/>
            <w:gridSpan w:val="2"/>
          </w:tcPr>
          <w:p w14:paraId="09235171" w14:textId="77777777" w:rsidR="002858B9" w:rsidRPr="00B15AFF" w:rsidRDefault="002858B9" w:rsidP="00F62C20">
            <w:pPr>
              <w:jc w:val="right"/>
            </w:pPr>
          </w:p>
        </w:tc>
        <w:tc>
          <w:tcPr>
            <w:tcW w:w="1446" w:type="dxa"/>
          </w:tcPr>
          <w:p w14:paraId="2AF8063F" w14:textId="77777777" w:rsidR="002858B9" w:rsidRPr="00B15AFF" w:rsidRDefault="002858B9" w:rsidP="00F62C20">
            <w:pPr>
              <w:jc w:val="center"/>
            </w:pPr>
            <w:r w:rsidRPr="00B15AFF">
              <w:t>1243.2</w:t>
            </w:r>
          </w:p>
        </w:tc>
      </w:tr>
    </w:tbl>
    <w:p w14:paraId="1275EBA8" w14:textId="77777777" w:rsidR="002858B9" w:rsidRPr="00B15AFF" w:rsidRDefault="002858B9" w:rsidP="002858B9">
      <w:pPr>
        <w:rPr>
          <w:b/>
        </w:rPr>
      </w:pPr>
      <w:r w:rsidRPr="00B15AFF">
        <w:rPr>
          <w:b/>
        </w:rPr>
        <w:t>Option B</w:t>
      </w:r>
    </w:p>
    <w:p w14:paraId="50DE5622" w14:textId="77777777" w:rsidR="002858B9" w:rsidRPr="00B15AFF" w:rsidRDefault="002858B9" w:rsidP="002858B9">
      <w:r w:rsidRPr="00B15AFF">
        <w:t>Initial investment: £1,000,000</w:t>
      </w:r>
    </w:p>
    <w:p w14:paraId="7C9B48D7" w14:textId="77777777" w:rsidR="002858B9" w:rsidRPr="00B15AFF" w:rsidRDefault="002858B9" w:rsidP="002858B9">
      <w:r w:rsidRPr="00B15AFF">
        <w:t>Annual capital allowance:</w:t>
      </w:r>
    </w:p>
    <w:p w14:paraId="6C464EEC" w14:textId="77777777" w:rsidR="002858B9" w:rsidRPr="00B15AFF" w:rsidRDefault="002858B9" w:rsidP="002858B9">
      <w:r w:rsidRPr="00B15AFF">
        <w:lastRenderedPageBreak/>
        <w:t>1,000,000 × 20% = £200,000</w:t>
      </w:r>
    </w:p>
    <w:p w14:paraId="604EA673" w14:textId="77777777" w:rsidR="002858B9" w:rsidRPr="00B15AFF" w:rsidRDefault="002858B9" w:rsidP="002858B9">
      <w:r w:rsidRPr="00B15AFF">
        <w:t>Tax shield:</w:t>
      </w:r>
    </w:p>
    <w:p w14:paraId="44546737" w14:textId="77777777" w:rsidR="002858B9" w:rsidRPr="00B15AFF" w:rsidRDefault="002858B9" w:rsidP="002858B9">
      <w:r w:rsidRPr="00B15AFF">
        <w:t>2</w:t>
      </w:r>
      <w:r>
        <w:t>00,000 × 25% = £50,000 per year</w:t>
      </w:r>
    </w:p>
    <w:p w14:paraId="75086FDC" w14:textId="77777777" w:rsidR="002858B9" w:rsidRPr="00B15AFF" w:rsidRDefault="002858B9" w:rsidP="002858B9"/>
    <w:tbl>
      <w:tblPr>
        <w:tblStyle w:val="TableGrid"/>
        <w:tblW w:w="0" w:type="auto"/>
        <w:jc w:val="center"/>
        <w:tblInd w:w="-826" w:type="dxa"/>
        <w:tblLayout w:type="fixed"/>
        <w:tblLook w:val="04A0" w:firstRow="1" w:lastRow="0" w:firstColumn="1" w:lastColumn="0" w:noHBand="0" w:noVBand="1"/>
      </w:tblPr>
      <w:tblGrid>
        <w:gridCol w:w="1117"/>
        <w:gridCol w:w="2628"/>
        <w:gridCol w:w="3888"/>
      </w:tblGrid>
      <w:tr w:rsidR="002858B9" w:rsidRPr="00B15AFF" w14:paraId="6D7B2BAD" w14:textId="77777777" w:rsidTr="00F62C20">
        <w:trPr>
          <w:jc w:val="center"/>
        </w:trPr>
        <w:tc>
          <w:tcPr>
            <w:tcW w:w="1117" w:type="dxa"/>
            <w:hideMark/>
          </w:tcPr>
          <w:p w14:paraId="5FB844AE" w14:textId="77777777" w:rsidR="002858B9" w:rsidRPr="00B15AFF" w:rsidRDefault="002858B9" w:rsidP="00F62C20">
            <w:pPr>
              <w:jc w:val="center"/>
              <w:rPr>
                <w:b/>
              </w:rPr>
            </w:pPr>
            <w:r w:rsidRPr="00B15AFF">
              <w:rPr>
                <w:b/>
              </w:rPr>
              <w:t>Year</w:t>
            </w:r>
          </w:p>
        </w:tc>
        <w:tc>
          <w:tcPr>
            <w:tcW w:w="2628" w:type="dxa"/>
            <w:hideMark/>
          </w:tcPr>
          <w:p w14:paraId="3B2FA77F" w14:textId="77777777" w:rsidR="002858B9" w:rsidRPr="00B15AFF" w:rsidRDefault="002858B9" w:rsidP="00F62C20">
            <w:pPr>
              <w:jc w:val="center"/>
              <w:rPr>
                <w:b/>
              </w:rPr>
            </w:pPr>
            <w:r w:rsidRPr="00B15AFF">
              <w:rPr>
                <w:b/>
              </w:rPr>
              <w:t>Pre-tax CF</w:t>
            </w:r>
          </w:p>
        </w:tc>
        <w:tc>
          <w:tcPr>
            <w:tcW w:w="3888" w:type="dxa"/>
            <w:hideMark/>
          </w:tcPr>
          <w:p w14:paraId="2E397646" w14:textId="77777777" w:rsidR="002858B9" w:rsidRPr="00B15AFF" w:rsidRDefault="002858B9" w:rsidP="00F62C20">
            <w:pPr>
              <w:jc w:val="center"/>
              <w:rPr>
                <w:b/>
              </w:rPr>
            </w:pPr>
            <w:r w:rsidRPr="00B15AFF">
              <w:rPr>
                <w:b/>
              </w:rPr>
              <w:t>After-tax CF</w:t>
            </w:r>
          </w:p>
        </w:tc>
      </w:tr>
      <w:tr w:rsidR="002858B9" w:rsidRPr="00B15AFF" w14:paraId="639AB394" w14:textId="77777777" w:rsidTr="00F62C20">
        <w:trPr>
          <w:jc w:val="center"/>
        </w:trPr>
        <w:tc>
          <w:tcPr>
            <w:tcW w:w="1117" w:type="dxa"/>
            <w:hideMark/>
          </w:tcPr>
          <w:p w14:paraId="29477A4B" w14:textId="77777777" w:rsidR="002858B9" w:rsidRPr="00B15AFF" w:rsidRDefault="002858B9" w:rsidP="00F62C20">
            <w:pPr>
              <w:jc w:val="center"/>
            </w:pPr>
            <w:r w:rsidRPr="00B15AFF">
              <w:t>1</w:t>
            </w:r>
          </w:p>
        </w:tc>
        <w:tc>
          <w:tcPr>
            <w:tcW w:w="2628" w:type="dxa"/>
            <w:hideMark/>
          </w:tcPr>
          <w:p w14:paraId="362B5F32" w14:textId="77777777" w:rsidR="002858B9" w:rsidRPr="00B15AFF" w:rsidRDefault="002858B9" w:rsidP="00F62C20">
            <w:pPr>
              <w:jc w:val="center"/>
            </w:pPr>
            <w:r w:rsidRPr="00B15AFF">
              <w:t>400</w:t>
            </w:r>
          </w:p>
        </w:tc>
        <w:tc>
          <w:tcPr>
            <w:tcW w:w="3888" w:type="dxa"/>
            <w:hideMark/>
          </w:tcPr>
          <w:p w14:paraId="38EFD3BC" w14:textId="77777777" w:rsidR="002858B9" w:rsidRPr="00B15AFF" w:rsidRDefault="002858B9" w:rsidP="00F62C20">
            <w:pPr>
              <w:jc w:val="center"/>
            </w:pPr>
            <w:r w:rsidRPr="00B15AFF">
              <w:t>(400 × 0.75) + 50 = 350</w:t>
            </w:r>
          </w:p>
        </w:tc>
      </w:tr>
      <w:tr w:rsidR="002858B9" w:rsidRPr="00B15AFF" w14:paraId="652D1701" w14:textId="77777777" w:rsidTr="00F62C20">
        <w:trPr>
          <w:jc w:val="center"/>
        </w:trPr>
        <w:tc>
          <w:tcPr>
            <w:tcW w:w="1117" w:type="dxa"/>
            <w:hideMark/>
          </w:tcPr>
          <w:p w14:paraId="40E81E44" w14:textId="77777777" w:rsidR="002858B9" w:rsidRPr="00B15AFF" w:rsidRDefault="002858B9" w:rsidP="00F62C20">
            <w:pPr>
              <w:jc w:val="center"/>
            </w:pPr>
            <w:r w:rsidRPr="00B15AFF">
              <w:t>2</w:t>
            </w:r>
          </w:p>
        </w:tc>
        <w:tc>
          <w:tcPr>
            <w:tcW w:w="2628" w:type="dxa"/>
            <w:hideMark/>
          </w:tcPr>
          <w:p w14:paraId="23DDE6F4" w14:textId="77777777" w:rsidR="002858B9" w:rsidRPr="00B15AFF" w:rsidRDefault="002858B9" w:rsidP="00F62C20">
            <w:pPr>
              <w:jc w:val="center"/>
            </w:pPr>
            <w:r w:rsidRPr="00B15AFF">
              <w:t>450</w:t>
            </w:r>
          </w:p>
        </w:tc>
        <w:tc>
          <w:tcPr>
            <w:tcW w:w="3888" w:type="dxa"/>
            <w:hideMark/>
          </w:tcPr>
          <w:p w14:paraId="12F1E6BA" w14:textId="77777777" w:rsidR="002858B9" w:rsidRPr="00B15AFF" w:rsidRDefault="002858B9" w:rsidP="00F62C20">
            <w:pPr>
              <w:jc w:val="center"/>
            </w:pPr>
            <w:r w:rsidRPr="00B15AFF">
              <w:t>(450 × 0.75) + 50 = 387.5</w:t>
            </w:r>
          </w:p>
        </w:tc>
      </w:tr>
      <w:tr w:rsidR="002858B9" w:rsidRPr="00B15AFF" w14:paraId="31C7620D" w14:textId="77777777" w:rsidTr="00F62C20">
        <w:trPr>
          <w:jc w:val="center"/>
        </w:trPr>
        <w:tc>
          <w:tcPr>
            <w:tcW w:w="1117" w:type="dxa"/>
            <w:hideMark/>
          </w:tcPr>
          <w:p w14:paraId="0DD86C5D" w14:textId="77777777" w:rsidR="002858B9" w:rsidRPr="00B15AFF" w:rsidRDefault="002858B9" w:rsidP="00F62C20">
            <w:pPr>
              <w:jc w:val="center"/>
            </w:pPr>
            <w:r w:rsidRPr="00B15AFF">
              <w:t>3</w:t>
            </w:r>
          </w:p>
        </w:tc>
        <w:tc>
          <w:tcPr>
            <w:tcW w:w="2628" w:type="dxa"/>
            <w:hideMark/>
          </w:tcPr>
          <w:p w14:paraId="42C1EDF2" w14:textId="77777777" w:rsidR="002858B9" w:rsidRPr="00B15AFF" w:rsidRDefault="002858B9" w:rsidP="00F62C20">
            <w:pPr>
              <w:jc w:val="center"/>
            </w:pPr>
            <w:r w:rsidRPr="00B15AFF">
              <w:t>720</w:t>
            </w:r>
          </w:p>
        </w:tc>
        <w:tc>
          <w:tcPr>
            <w:tcW w:w="3888" w:type="dxa"/>
            <w:hideMark/>
          </w:tcPr>
          <w:p w14:paraId="24D245AA" w14:textId="77777777" w:rsidR="002858B9" w:rsidRPr="00B15AFF" w:rsidRDefault="002858B9" w:rsidP="00F62C20">
            <w:pPr>
              <w:jc w:val="center"/>
            </w:pPr>
            <w:r w:rsidRPr="00B15AFF">
              <w:t>(720 × 0.75) + 50 = 590</w:t>
            </w:r>
          </w:p>
        </w:tc>
      </w:tr>
      <w:tr w:rsidR="002858B9" w:rsidRPr="00B15AFF" w14:paraId="53DA6410" w14:textId="77777777" w:rsidTr="00F62C20">
        <w:trPr>
          <w:jc w:val="center"/>
        </w:trPr>
        <w:tc>
          <w:tcPr>
            <w:tcW w:w="1117" w:type="dxa"/>
            <w:hideMark/>
          </w:tcPr>
          <w:p w14:paraId="490957A7" w14:textId="77777777" w:rsidR="002858B9" w:rsidRPr="00B15AFF" w:rsidRDefault="002858B9" w:rsidP="00F62C20">
            <w:pPr>
              <w:jc w:val="center"/>
            </w:pPr>
            <w:r w:rsidRPr="00B15AFF">
              <w:t>4</w:t>
            </w:r>
          </w:p>
        </w:tc>
        <w:tc>
          <w:tcPr>
            <w:tcW w:w="2628" w:type="dxa"/>
            <w:hideMark/>
          </w:tcPr>
          <w:p w14:paraId="06746DB9" w14:textId="77777777" w:rsidR="002858B9" w:rsidRPr="00B15AFF" w:rsidRDefault="002858B9" w:rsidP="00F62C20">
            <w:pPr>
              <w:jc w:val="center"/>
            </w:pPr>
            <w:r w:rsidRPr="00B15AFF">
              <w:t>980</w:t>
            </w:r>
          </w:p>
        </w:tc>
        <w:tc>
          <w:tcPr>
            <w:tcW w:w="3888" w:type="dxa"/>
            <w:hideMark/>
          </w:tcPr>
          <w:p w14:paraId="3BA213B2" w14:textId="77777777" w:rsidR="002858B9" w:rsidRPr="00B15AFF" w:rsidRDefault="002858B9" w:rsidP="00F62C20">
            <w:pPr>
              <w:jc w:val="center"/>
            </w:pPr>
            <w:r w:rsidRPr="00B15AFF">
              <w:t>(980 × 0.75) + 50 = 785</w:t>
            </w:r>
          </w:p>
        </w:tc>
      </w:tr>
    </w:tbl>
    <w:p w14:paraId="7C3D8FD4" w14:textId="77777777" w:rsidR="002858B9" w:rsidRPr="00B15AFF" w:rsidRDefault="002858B9" w:rsidP="002858B9"/>
    <w:tbl>
      <w:tblPr>
        <w:tblStyle w:val="TableGrid"/>
        <w:tblW w:w="0" w:type="auto"/>
        <w:jc w:val="center"/>
        <w:tblLook w:val="04A0" w:firstRow="1" w:lastRow="0" w:firstColumn="1" w:lastColumn="0" w:noHBand="0" w:noVBand="1"/>
      </w:tblPr>
      <w:tblGrid>
        <w:gridCol w:w="1349"/>
        <w:gridCol w:w="1530"/>
        <w:gridCol w:w="1207"/>
        <w:gridCol w:w="1485"/>
      </w:tblGrid>
      <w:tr w:rsidR="002858B9" w:rsidRPr="00B15AFF" w14:paraId="743B4695" w14:textId="77777777" w:rsidTr="00F62C20">
        <w:trPr>
          <w:jc w:val="center"/>
        </w:trPr>
        <w:tc>
          <w:tcPr>
            <w:tcW w:w="1349" w:type="dxa"/>
            <w:hideMark/>
          </w:tcPr>
          <w:p w14:paraId="60C3A5EF" w14:textId="77777777" w:rsidR="002858B9" w:rsidRPr="00B15AFF" w:rsidRDefault="002858B9" w:rsidP="00F62C20">
            <w:r w:rsidRPr="00B15AFF">
              <w:t>Year</w:t>
            </w:r>
          </w:p>
        </w:tc>
        <w:tc>
          <w:tcPr>
            <w:tcW w:w="1530" w:type="dxa"/>
            <w:hideMark/>
          </w:tcPr>
          <w:p w14:paraId="4CC1ADA5" w14:textId="77777777" w:rsidR="002858B9" w:rsidRPr="00B15AFF" w:rsidRDefault="002858B9" w:rsidP="00F62C20">
            <w:r w:rsidRPr="00B15AFF">
              <w:t>After-tax CF</w:t>
            </w:r>
          </w:p>
        </w:tc>
        <w:tc>
          <w:tcPr>
            <w:tcW w:w="1207" w:type="dxa"/>
            <w:hideMark/>
          </w:tcPr>
          <w:p w14:paraId="3D2F7B64" w14:textId="77777777" w:rsidR="002858B9" w:rsidRPr="00B15AFF" w:rsidRDefault="002858B9" w:rsidP="00F62C20">
            <w:r w:rsidRPr="00B15AFF">
              <w:t>DF</w:t>
            </w:r>
          </w:p>
        </w:tc>
        <w:tc>
          <w:tcPr>
            <w:tcW w:w="1485" w:type="dxa"/>
            <w:hideMark/>
          </w:tcPr>
          <w:p w14:paraId="619D8D1C" w14:textId="77777777" w:rsidR="002858B9" w:rsidRPr="00B15AFF" w:rsidRDefault="002858B9" w:rsidP="00F62C20">
            <w:r w:rsidRPr="00B15AFF">
              <w:rPr>
                <w:b/>
              </w:rPr>
              <w:t>PV(</w:t>
            </w:r>
            <w:r w:rsidRPr="00B15AFF">
              <w:rPr>
                <w:rFonts w:cs="Times New Roman"/>
                <w:b/>
              </w:rPr>
              <w:t>£</w:t>
            </w:r>
            <w:r w:rsidRPr="00B15AFF">
              <w:rPr>
                <w:b/>
              </w:rPr>
              <w:t>,000)</w:t>
            </w:r>
          </w:p>
        </w:tc>
      </w:tr>
      <w:tr w:rsidR="002858B9" w:rsidRPr="00B15AFF" w14:paraId="1DA899C4" w14:textId="77777777" w:rsidTr="00F62C20">
        <w:trPr>
          <w:jc w:val="center"/>
        </w:trPr>
        <w:tc>
          <w:tcPr>
            <w:tcW w:w="1349" w:type="dxa"/>
            <w:hideMark/>
          </w:tcPr>
          <w:p w14:paraId="210FB30C" w14:textId="77777777" w:rsidR="002858B9" w:rsidRPr="00B15AFF" w:rsidRDefault="002858B9" w:rsidP="00F62C20">
            <w:r w:rsidRPr="00B15AFF">
              <w:t>1</w:t>
            </w:r>
          </w:p>
        </w:tc>
        <w:tc>
          <w:tcPr>
            <w:tcW w:w="1530" w:type="dxa"/>
            <w:hideMark/>
          </w:tcPr>
          <w:p w14:paraId="7254A301" w14:textId="77777777" w:rsidR="002858B9" w:rsidRPr="00B15AFF" w:rsidRDefault="002858B9" w:rsidP="00F62C20">
            <w:r w:rsidRPr="00B15AFF">
              <w:t>350</w:t>
            </w:r>
          </w:p>
        </w:tc>
        <w:tc>
          <w:tcPr>
            <w:tcW w:w="1207" w:type="dxa"/>
            <w:hideMark/>
          </w:tcPr>
          <w:p w14:paraId="33FE60CA" w14:textId="77777777" w:rsidR="002858B9" w:rsidRPr="00B15AFF" w:rsidRDefault="002858B9" w:rsidP="00F62C20">
            <w:r w:rsidRPr="00B15AFF">
              <w:t>0.943</w:t>
            </w:r>
          </w:p>
        </w:tc>
        <w:tc>
          <w:tcPr>
            <w:tcW w:w="1485" w:type="dxa"/>
            <w:hideMark/>
          </w:tcPr>
          <w:p w14:paraId="40D3EFF0" w14:textId="77777777" w:rsidR="002858B9" w:rsidRPr="00B15AFF" w:rsidRDefault="002858B9" w:rsidP="00F62C20">
            <w:r w:rsidRPr="00B15AFF">
              <w:t>330.1</w:t>
            </w:r>
          </w:p>
        </w:tc>
      </w:tr>
      <w:tr w:rsidR="002858B9" w:rsidRPr="00B15AFF" w14:paraId="2FF92574" w14:textId="77777777" w:rsidTr="00F62C20">
        <w:trPr>
          <w:jc w:val="center"/>
        </w:trPr>
        <w:tc>
          <w:tcPr>
            <w:tcW w:w="1349" w:type="dxa"/>
            <w:hideMark/>
          </w:tcPr>
          <w:p w14:paraId="681FA3EE" w14:textId="77777777" w:rsidR="002858B9" w:rsidRPr="00B15AFF" w:rsidRDefault="002858B9" w:rsidP="00F62C20">
            <w:r w:rsidRPr="00B15AFF">
              <w:t>2</w:t>
            </w:r>
          </w:p>
        </w:tc>
        <w:tc>
          <w:tcPr>
            <w:tcW w:w="1530" w:type="dxa"/>
            <w:hideMark/>
          </w:tcPr>
          <w:p w14:paraId="20E0D65A" w14:textId="77777777" w:rsidR="002858B9" w:rsidRPr="00B15AFF" w:rsidRDefault="002858B9" w:rsidP="00F62C20">
            <w:r w:rsidRPr="00B15AFF">
              <w:t>387.5</w:t>
            </w:r>
          </w:p>
        </w:tc>
        <w:tc>
          <w:tcPr>
            <w:tcW w:w="1207" w:type="dxa"/>
            <w:hideMark/>
          </w:tcPr>
          <w:p w14:paraId="6C8BFBF5" w14:textId="77777777" w:rsidR="002858B9" w:rsidRPr="00B15AFF" w:rsidRDefault="002858B9" w:rsidP="00F62C20">
            <w:r w:rsidRPr="00B15AFF">
              <w:t>0.890</w:t>
            </w:r>
          </w:p>
        </w:tc>
        <w:tc>
          <w:tcPr>
            <w:tcW w:w="1485" w:type="dxa"/>
            <w:hideMark/>
          </w:tcPr>
          <w:p w14:paraId="514DC7DC" w14:textId="77777777" w:rsidR="002858B9" w:rsidRPr="00B15AFF" w:rsidRDefault="002858B9" w:rsidP="00F62C20">
            <w:r w:rsidRPr="00B15AFF">
              <w:t>344.9</w:t>
            </w:r>
          </w:p>
        </w:tc>
      </w:tr>
      <w:tr w:rsidR="002858B9" w:rsidRPr="00B15AFF" w14:paraId="15FB1AAF" w14:textId="77777777" w:rsidTr="00F62C20">
        <w:trPr>
          <w:jc w:val="center"/>
        </w:trPr>
        <w:tc>
          <w:tcPr>
            <w:tcW w:w="1349" w:type="dxa"/>
            <w:hideMark/>
          </w:tcPr>
          <w:p w14:paraId="041EA784" w14:textId="77777777" w:rsidR="002858B9" w:rsidRPr="00B15AFF" w:rsidRDefault="002858B9" w:rsidP="00F62C20">
            <w:r w:rsidRPr="00B15AFF">
              <w:t>3</w:t>
            </w:r>
          </w:p>
        </w:tc>
        <w:tc>
          <w:tcPr>
            <w:tcW w:w="1530" w:type="dxa"/>
            <w:hideMark/>
          </w:tcPr>
          <w:p w14:paraId="270D144C" w14:textId="77777777" w:rsidR="002858B9" w:rsidRPr="00B15AFF" w:rsidRDefault="002858B9" w:rsidP="00F62C20">
            <w:r w:rsidRPr="00B15AFF">
              <w:t>590</w:t>
            </w:r>
          </w:p>
        </w:tc>
        <w:tc>
          <w:tcPr>
            <w:tcW w:w="1207" w:type="dxa"/>
            <w:hideMark/>
          </w:tcPr>
          <w:p w14:paraId="3BD07AEE" w14:textId="77777777" w:rsidR="002858B9" w:rsidRPr="00B15AFF" w:rsidRDefault="002858B9" w:rsidP="00F62C20">
            <w:r w:rsidRPr="00B15AFF">
              <w:t>0.840</w:t>
            </w:r>
          </w:p>
        </w:tc>
        <w:tc>
          <w:tcPr>
            <w:tcW w:w="1485" w:type="dxa"/>
            <w:hideMark/>
          </w:tcPr>
          <w:p w14:paraId="4808D5B3" w14:textId="77777777" w:rsidR="002858B9" w:rsidRPr="00B15AFF" w:rsidRDefault="002858B9" w:rsidP="00F62C20">
            <w:r w:rsidRPr="00B15AFF">
              <w:t>495.6</w:t>
            </w:r>
          </w:p>
        </w:tc>
      </w:tr>
      <w:tr w:rsidR="002858B9" w:rsidRPr="00B15AFF" w14:paraId="3C2984AE" w14:textId="77777777" w:rsidTr="00F62C20">
        <w:trPr>
          <w:jc w:val="center"/>
        </w:trPr>
        <w:tc>
          <w:tcPr>
            <w:tcW w:w="1349" w:type="dxa"/>
            <w:hideMark/>
          </w:tcPr>
          <w:p w14:paraId="5D3B5934" w14:textId="77777777" w:rsidR="002858B9" w:rsidRPr="00B15AFF" w:rsidRDefault="002858B9" w:rsidP="00F62C20">
            <w:r w:rsidRPr="00B15AFF">
              <w:t>4</w:t>
            </w:r>
          </w:p>
        </w:tc>
        <w:tc>
          <w:tcPr>
            <w:tcW w:w="1530" w:type="dxa"/>
            <w:hideMark/>
          </w:tcPr>
          <w:p w14:paraId="48DA117B" w14:textId="77777777" w:rsidR="002858B9" w:rsidRPr="00B15AFF" w:rsidRDefault="002858B9" w:rsidP="00F62C20">
            <w:r w:rsidRPr="00B15AFF">
              <w:t>785</w:t>
            </w:r>
          </w:p>
        </w:tc>
        <w:tc>
          <w:tcPr>
            <w:tcW w:w="1207" w:type="dxa"/>
            <w:hideMark/>
          </w:tcPr>
          <w:p w14:paraId="70DD839B" w14:textId="77777777" w:rsidR="002858B9" w:rsidRPr="00B15AFF" w:rsidRDefault="002858B9" w:rsidP="00F62C20">
            <w:r w:rsidRPr="00B15AFF">
              <w:t>0.792</w:t>
            </w:r>
          </w:p>
        </w:tc>
        <w:tc>
          <w:tcPr>
            <w:tcW w:w="1485" w:type="dxa"/>
            <w:hideMark/>
          </w:tcPr>
          <w:p w14:paraId="7D0ECF09" w14:textId="77777777" w:rsidR="002858B9" w:rsidRPr="00B15AFF" w:rsidRDefault="002858B9" w:rsidP="00F62C20">
            <w:r w:rsidRPr="00B15AFF">
              <w:t>621.7</w:t>
            </w:r>
          </w:p>
        </w:tc>
      </w:tr>
      <w:tr w:rsidR="002858B9" w:rsidRPr="00B15AFF" w14:paraId="634F861F" w14:textId="77777777" w:rsidTr="00F62C20">
        <w:trPr>
          <w:jc w:val="center"/>
        </w:trPr>
        <w:tc>
          <w:tcPr>
            <w:tcW w:w="1349" w:type="dxa"/>
          </w:tcPr>
          <w:p w14:paraId="1FD3DD28" w14:textId="77777777" w:rsidR="002858B9" w:rsidRPr="00B15AFF" w:rsidRDefault="002858B9" w:rsidP="00F62C20">
            <w:r w:rsidRPr="00B15AFF">
              <w:t>Total</w:t>
            </w:r>
          </w:p>
        </w:tc>
        <w:tc>
          <w:tcPr>
            <w:tcW w:w="1530" w:type="dxa"/>
          </w:tcPr>
          <w:p w14:paraId="1DD8081F" w14:textId="77777777" w:rsidR="002858B9" w:rsidRPr="00B15AFF" w:rsidRDefault="002858B9" w:rsidP="00F62C20"/>
        </w:tc>
        <w:tc>
          <w:tcPr>
            <w:tcW w:w="1207" w:type="dxa"/>
          </w:tcPr>
          <w:p w14:paraId="03BC56C5" w14:textId="77777777" w:rsidR="002858B9" w:rsidRPr="00B15AFF" w:rsidRDefault="002858B9" w:rsidP="00F62C20"/>
        </w:tc>
        <w:tc>
          <w:tcPr>
            <w:tcW w:w="1485" w:type="dxa"/>
          </w:tcPr>
          <w:p w14:paraId="6B597E4F" w14:textId="77777777" w:rsidR="002858B9" w:rsidRPr="00B15AFF" w:rsidRDefault="002858B9" w:rsidP="00F62C20">
            <w:r w:rsidRPr="00B15AFF">
              <w:t>1792.3</w:t>
            </w:r>
          </w:p>
        </w:tc>
      </w:tr>
    </w:tbl>
    <w:p w14:paraId="7CD942FA" w14:textId="77777777" w:rsidR="002858B9" w:rsidRPr="00B15AFF" w:rsidRDefault="002858B9" w:rsidP="002858B9"/>
    <w:p w14:paraId="35EB6A5B" w14:textId="77777777" w:rsidR="002858B9" w:rsidRPr="00B15AFF" w:rsidRDefault="002858B9" w:rsidP="002858B9">
      <w:pPr>
        <w:rPr>
          <w:b/>
        </w:rPr>
      </w:pPr>
      <w:r w:rsidRPr="00B15AFF">
        <w:rPr>
          <w:b/>
        </w:rPr>
        <w:t>Option C</w:t>
      </w:r>
    </w:p>
    <w:p w14:paraId="235BF083" w14:textId="77777777" w:rsidR="002858B9" w:rsidRPr="00B15AFF" w:rsidRDefault="002858B9" w:rsidP="002858B9">
      <w:r w:rsidRPr="00B15AFF">
        <w:t>Initial investment: £1,600,000</w:t>
      </w:r>
    </w:p>
    <w:p w14:paraId="1926A80F" w14:textId="77777777" w:rsidR="002858B9" w:rsidRPr="00B15AFF" w:rsidRDefault="002858B9" w:rsidP="002858B9">
      <w:r w:rsidRPr="00B15AFF">
        <w:t>Annual capital allowance:</w:t>
      </w:r>
    </w:p>
    <w:p w14:paraId="7B0A1273" w14:textId="77777777" w:rsidR="002858B9" w:rsidRPr="00B15AFF" w:rsidRDefault="002858B9" w:rsidP="002858B9">
      <w:r w:rsidRPr="00B15AFF">
        <w:t>1,600,000 × 20% = £320,000</w:t>
      </w:r>
    </w:p>
    <w:p w14:paraId="4C72BF29" w14:textId="77777777" w:rsidR="002858B9" w:rsidRPr="00B15AFF" w:rsidRDefault="002858B9" w:rsidP="002858B9">
      <w:r w:rsidRPr="00B15AFF">
        <w:t>Tax shield:</w:t>
      </w:r>
    </w:p>
    <w:p w14:paraId="691C6B9F" w14:textId="77777777" w:rsidR="002858B9" w:rsidRPr="00B15AFF" w:rsidRDefault="002858B9" w:rsidP="002858B9">
      <w:r w:rsidRPr="00B15AFF">
        <w:t>320,000 × 25% = £80,000 per year</w:t>
      </w:r>
    </w:p>
    <w:tbl>
      <w:tblPr>
        <w:tblStyle w:val="TableGrid"/>
        <w:tblW w:w="0" w:type="auto"/>
        <w:jc w:val="center"/>
        <w:tblLook w:val="04A0" w:firstRow="1" w:lastRow="0" w:firstColumn="1" w:lastColumn="0" w:noHBand="0" w:noVBand="1"/>
      </w:tblPr>
      <w:tblGrid>
        <w:gridCol w:w="1008"/>
        <w:gridCol w:w="1890"/>
        <w:gridCol w:w="2871"/>
      </w:tblGrid>
      <w:tr w:rsidR="002858B9" w:rsidRPr="00B15AFF" w14:paraId="7C41E0E4" w14:textId="77777777" w:rsidTr="00F62C20">
        <w:trPr>
          <w:jc w:val="center"/>
        </w:trPr>
        <w:tc>
          <w:tcPr>
            <w:tcW w:w="1008" w:type="dxa"/>
            <w:hideMark/>
          </w:tcPr>
          <w:p w14:paraId="0259A9E7" w14:textId="77777777" w:rsidR="002858B9" w:rsidRPr="00B15AFF" w:rsidRDefault="002858B9" w:rsidP="00F62C20">
            <w:r w:rsidRPr="00B15AFF">
              <w:t>Year</w:t>
            </w:r>
          </w:p>
        </w:tc>
        <w:tc>
          <w:tcPr>
            <w:tcW w:w="1890" w:type="dxa"/>
            <w:hideMark/>
          </w:tcPr>
          <w:p w14:paraId="44D7AF0D" w14:textId="77777777" w:rsidR="002858B9" w:rsidRPr="00B15AFF" w:rsidRDefault="002858B9" w:rsidP="00F62C20">
            <w:r w:rsidRPr="00B15AFF">
              <w:t>Pre-tax CF</w:t>
            </w:r>
          </w:p>
        </w:tc>
        <w:tc>
          <w:tcPr>
            <w:tcW w:w="2871" w:type="dxa"/>
            <w:hideMark/>
          </w:tcPr>
          <w:p w14:paraId="21635F0B" w14:textId="77777777" w:rsidR="002858B9" w:rsidRPr="00B15AFF" w:rsidRDefault="002858B9" w:rsidP="00F62C20">
            <w:r w:rsidRPr="00B15AFF">
              <w:t>After-tax CF</w:t>
            </w:r>
          </w:p>
        </w:tc>
      </w:tr>
      <w:tr w:rsidR="002858B9" w:rsidRPr="00B15AFF" w14:paraId="2AC60925" w14:textId="77777777" w:rsidTr="00F62C20">
        <w:trPr>
          <w:jc w:val="center"/>
        </w:trPr>
        <w:tc>
          <w:tcPr>
            <w:tcW w:w="1008" w:type="dxa"/>
            <w:hideMark/>
          </w:tcPr>
          <w:p w14:paraId="065D7801" w14:textId="77777777" w:rsidR="002858B9" w:rsidRPr="00B15AFF" w:rsidRDefault="002858B9" w:rsidP="00F62C20">
            <w:r w:rsidRPr="00B15AFF">
              <w:t>1</w:t>
            </w:r>
          </w:p>
        </w:tc>
        <w:tc>
          <w:tcPr>
            <w:tcW w:w="1890" w:type="dxa"/>
            <w:hideMark/>
          </w:tcPr>
          <w:p w14:paraId="4AD16480" w14:textId="77777777" w:rsidR="002858B9" w:rsidRPr="00B15AFF" w:rsidRDefault="002858B9" w:rsidP="00F62C20">
            <w:r w:rsidRPr="00B15AFF">
              <w:t>450</w:t>
            </w:r>
          </w:p>
        </w:tc>
        <w:tc>
          <w:tcPr>
            <w:tcW w:w="2871" w:type="dxa"/>
            <w:hideMark/>
          </w:tcPr>
          <w:p w14:paraId="5E096DCC" w14:textId="77777777" w:rsidR="002858B9" w:rsidRPr="00B15AFF" w:rsidRDefault="002858B9" w:rsidP="00F62C20">
            <w:r w:rsidRPr="00B15AFF">
              <w:t>(450 × 0.75) + 80 = 417.5</w:t>
            </w:r>
          </w:p>
        </w:tc>
      </w:tr>
      <w:tr w:rsidR="002858B9" w:rsidRPr="00B15AFF" w14:paraId="0B0B3AC0" w14:textId="77777777" w:rsidTr="00F62C20">
        <w:trPr>
          <w:jc w:val="center"/>
        </w:trPr>
        <w:tc>
          <w:tcPr>
            <w:tcW w:w="1008" w:type="dxa"/>
            <w:hideMark/>
          </w:tcPr>
          <w:p w14:paraId="0A59A8B6" w14:textId="77777777" w:rsidR="002858B9" w:rsidRPr="00B15AFF" w:rsidRDefault="002858B9" w:rsidP="00F62C20">
            <w:r w:rsidRPr="00B15AFF">
              <w:t>2</w:t>
            </w:r>
          </w:p>
        </w:tc>
        <w:tc>
          <w:tcPr>
            <w:tcW w:w="1890" w:type="dxa"/>
            <w:hideMark/>
          </w:tcPr>
          <w:p w14:paraId="2CAA008C" w14:textId="77777777" w:rsidR="002858B9" w:rsidRPr="00B15AFF" w:rsidRDefault="002858B9" w:rsidP="00F62C20">
            <w:r w:rsidRPr="00B15AFF">
              <w:t>700</w:t>
            </w:r>
          </w:p>
        </w:tc>
        <w:tc>
          <w:tcPr>
            <w:tcW w:w="2871" w:type="dxa"/>
            <w:hideMark/>
          </w:tcPr>
          <w:p w14:paraId="10E3B7B4" w14:textId="77777777" w:rsidR="002858B9" w:rsidRPr="00B15AFF" w:rsidRDefault="002858B9" w:rsidP="00F62C20">
            <w:r w:rsidRPr="00B15AFF">
              <w:t>(700 × 0.75) + 80 = 605</w:t>
            </w:r>
          </w:p>
        </w:tc>
      </w:tr>
      <w:tr w:rsidR="002858B9" w:rsidRPr="00B15AFF" w14:paraId="628E2DED" w14:textId="77777777" w:rsidTr="00F62C20">
        <w:trPr>
          <w:jc w:val="center"/>
        </w:trPr>
        <w:tc>
          <w:tcPr>
            <w:tcW w:w="1008" w:type="dxa"/>
            <w:hideMark/>
          </w:tcPr>
          <w:p w14:paraId="48D9A0BB" w14:textId="77777777" w:rsidR="002858B9" w:rsidRPr="00B15AFF" w:rsidRDefault="002858B9" w:rsidP="00F62C20">
            <w:r w:rsidRPr="00B15AFF">
              <w:t>3</w:t>
            </w:r>
          </w:p>
        </w:tc>
        <w:tc>
          <w:tcPr>
            <w:tcW w:w="1890" w:type="dxa"/>
            <w:hideMark/>
          </w:tcPr>
          <w:p w14:paraId="5FF7FCA0" w14:textId="77777777" w:rsidR="002858B9" w:rsidRPr="00B15AFF" w:rsidRDefault="002858B9" w:rsidP="00F62C20">
            <w:r w:rsidRPr="00B15AFF">
              <w:t>900</w:t>
            </w:r>
          </w:p>
        </w:tc>
        <w:tc>
          <w:tcPr>
            <w:tcW w:w="2871" w:type="dxa"/>
            <w:hideMark/>
          </w:tcPr>
          <w:p w14:paraId="47A36608" w14:textId="77777777" w:rsidR="002858B9" w:rsidRPr="00B15AFF" w:rsidRDefault="002858B9" w:rsidP="00F62C20">
            <w:r w:rsidRPr="00B15AFF">
              <w:t>(900 × 0.75) + 80 = 755</w:t>
            </w:r>
          </w:p>
        </w:tc>
      </w:tr>
      <w:tr w:rsidR="002858B9" w:rsidRPr="00B15AFF" w14:paraId="03525C19" w14:textId="77777777" w:rsidTr="00F62C20">
        <w:trPr>
          <w:jc w:val="center"/>
        </w:trPr>
        <w:tc>
          <w:tcPr>
            <w:tcW w:w="1008" w:type="dxa"/>
            <w:hideMark/>
          </w:tcPr>
          <w:p w14:paraId="0384C1F5" w14:textId="77777777" w:rsidR="002858B9" w:rsidRPr="00B15AFF" w:rsidRDefault="002858B9" w:rsidP="00F62C20">
            <w:r w:rsidRPr="00B15AFF">
              <w:t>4</w:t>
            </w:r>
          </w:p>
        </w:tc>
        <w:tc>
          <w:tcPr>
            <w:tcW w:w="1890" w:type="dxa"/>
            <w:hideMark/>
          </w:tcPr>
          <w:p w14:paraId="171173DA" w14:textId="77777777" w:rsidR="002858B9" w:rsidRPr="00B15AFF" w:rsidRDefault="002858B9" w:rsidP="00F62C20">
            <w:r w:rsidRPr="00B15AFF">
              <w:t>1200</w:t>
            </w:r>
          </w:p>
        </w:tc>
        <w:tc>
          <w:tcPr>
            <w:tcW w:w="2871" w:type="dxa"/>
            <w:hideMark/>
          </w:tcPr>
          <w:p w14:paraId="13962D3E" w14:textId="77777777" w:rsidR="002858B9" w:rsidRPr="00B15AFF" w:rsidRDefault="002858B9" w:rsidP="00F62C20">
            <w:r w:rsidRPr="00B15AFF">
              <w:t>(1200 × 0.75) + 80 = 980</w:t>
            </w:r>
          </w:p>
        </w:tc>
      </w:tr>
    </w:tbl>
    <w:p w14:paraId="09A3E3E2" w14:textId="77777777" w:rsidR="002858B9" w:rsidRPr="00B15AFF" w:rsidRDefault="002858B9" w:rsidP="002858B9"/>
    <w:tbl>
      <w:tblPr>
        <w:tblStyle w:val="TableGrid"/>
        <w:tblW w:w="0" w:type="auto"/>
        <w:jc w:val="center"/>
        <w:tblLook w:val="04A0" w:firstRow="1" w:lastRow="0" w:firstColumn="1" w:lastColumn="0" w:noHBand="0" w:noVBand="1"/>
      </w:tblPr>
      <w:tblGrid>
        <w:gridCol w:w="1193"/>
        <w:gridCol w:w="1620"/>
        <w:gridCol w:w="1330"/>
        <w:gridCol w:w="1817"/>
      </w:tblGrid>
      <w:tr w:rsidR="002858B9" w:rsidRPr="00B15AFF" w14:paraId="33173828" w14:textId="77777777" w:rsidTr="00F62C20">
        <w:trPr>
          <w:jc w:val="center"/>
        </w:trPr>
        <w:tc>
          <w:tcPr>
            <w:tcW w:w="1193" w:type="dxa"/>
            <w:hideMark/>
          </w:tcPr>
          <w:p w14:paraId="6F69FC70" w14:textId="77777777" w:rsidR="002858B9" w:rsidRPr="00B15AFF" w:rsidRDefault="002858B9" w:rsidP="00F62C20">
            <w:r w:rsidRPr="00B15AFF">
              <w:t>Year</w:t>
            </w:r>
          </w:p>
        </w:tc>
        <w:tc>
          <w:tcPr>
            <w:tcW w:w="1620" w:type="dxa"/>
            <w:hideMark/>
          </w:tcPr>
          <w:p w14:paraId="50065362" w14:textId="77777777" w:rsidR="002858B9" w:rsidRPr="00B15AFF" w:rsidRDefault="002858B9" w:rsidP="00F62C20">
            <w:r w:rsidRPr="00B15AFF">
              <w:t>After-tax CF</w:t>
            </w:r>
          </w:p>
        </w:tc>
        <w:tc>
          <w:tcPr>
            <w:tcW w:w="1330" w:type="dxa"/>
            <w:hideMark/>
          </w:tcPr>
          <w:p w14:paraId="1DB9A727" w14:textId="77777777" w:rsidR="002858B9" w:rsidRPr="00B15AFF" w:rsidRDefault="002858B9" w:rsidP="00F62C20">
            <w:r w:rsidRPr="00B15AFF">
              <w:t>DF</w:t>
            </w:r>
          </w:p>
        </w:tc>
        <w:tc>
          <w:tcPr>
            <w:tcW w:w="1817" w:type="dxa"/>
            <w:hideMark/>
          </w:tcPr>
          <w:p w14:paraId="764E40C2" w14:textId="77777777" w:rsidR="002858B9" w:rsidRPr="00B15AFF" w:rsidRDefault="002858B9" w:rsidP="00F62C20">
            <w:r w:rsidRPr="00B15AFF">
              <w:rPr>
                <w:b/>
              </w:rPr>
              <w:t>PV(</w:t>
            </w:r>
            <w:r w:rsidRPr="00B15AFF">
              <w:rPr>
                <w:rFonts w:cs="Times New Roman"/>
                <w:b/>
              </w:rPr>
              <w:t>£</w:t>
            </w:r>
            <w:r w:rsidRPr="00B15AFF">
              <w:rPr>
                <w:b/>
              </w:rPr>
              <w:t>,000)</w:t>
            </w:r>
          </w:p>
        </w:tc>
      </w:tr>
      <w:tr w:rsidR="002858B9" w:rsidRPr="00B15AFF" w14:paraId="14279A95" w14:textId="77777777" w:rsidTr="00F62C20">
        <w:trPr>
          <w:jc w:val="center"/>
        </w:trPr>
        <w:tc>
          <w:tcPr>
            <w:tcW w:w="1193" w:type="dxa"/>
            <w:hideMark/>
          </w:tcPr>
          <w:p w14:paraId="1CD21CBE" w14:textId="77777777" w:rsidR="002858B9" w:rsidRPr="00B15AFF" w:rsidRDefault="002858B9" w:rsidP="00F62C20">
            <w:r w:rsidRPr="00B15AFF">
              <w:t>1</w:t>
            </w:r>
          </w:p>
        </w:tc>
        <w:tc>
          <w:tcPr>
            <w:tcW w:w="1620" w:type="dxa"/>
            <w:hideMark/>
          </w:tcPr>
          <w:p w14:paraId="43A56011" w14:textId="77777777" w:rsidR="002858B9" w:rsidRPr="00B15AFF" w:rsidRDefault="002858B9" w:rsidP="00F62C20">
            <w:r w:rsidRPr="00B15AFF">
              <w:t>417.5</w:t>
            </w:r>
          </w:p>
        </w:tc>
        <w:tc>
          <w:tcPr>
            <w:tcW w:w="1330" w:type="dxa"/>
            <w:hideMark/>
          </w:tcPr>
          <w:p w14:paraId="3A634B1C" w14:textId="77777777" w:rsidR="002858B9" w:rsidRPr="00B15AFF" w:rsidRDefault="002858B9" w:rsidP="00F62C20">
            <w:r w:rsidRPr="00B15AFF">
              <w:t>0.943</w:t>
            </w:r>
          </w:p>
        </w:tc>
        <w:tc>
          <w:tcPr>
            <w:tcW w:w="1817" w:type="dxa"/>
            <w:hideMark/>
          </w:tcPr>
          <w:p w14:paraId="0E455056" w14:textId="77777777" w:rsidR="002858B9" w:rsidRPr="00B15AFF" w:rsidRDefault="002858B9" w:rsidP="00F62C20">
            <w:r w:rsidRPr="00B15AFF">
              <w:t>393.7</w:t>
            </w:r>
          </w:p>
        </w:tc>
      </w:tr>
      <w:tr w:rsidR="002858B9" w:rsidRPr="00B15AFF" w14:paraId="5CDA1681" w14:textId="77777777" w:rsidTr="00F62C20">
        <w:trPr>
          <w:jc w:val="center"/>
        </w:trPr>
        <w:tc>
          <w:tcPr>
            <w:tcW w:w="1193" w:type="dxa"/>
            <w:hideMark/>
          </w:tcPr>
          <w:p w14:paraId="4E620777" w14:textId="77777777" w:rsidR="002858B9" w:rsidRPr="00B15AFF" w:rsidRDefault="002858B9" w:rsidP="00F62C20">
            <w:r w:rsidRPr="00B15AFF">
              <w:t>2</w:t>
            </w:r>
          </w:p>
        </w:tc>
        <w:tc>
          <w:tcPr>
            <w:tcW w:w="1620" w:type="dxa"/>
            <w:hideMark/>
          </w:tcPr>
          <w:p w14:paraId="21C5490F" w14:textId="77777777" w:rsidR="002858B9" w:rsidRPr="00B15AFF" w:rsidRDefault="002858B9" w:rsidP="00F62C20">
            <w:r w:rsidRPr="00B15AFF">
              <w:t>605</w:t>
            </w:r>
          </w:p>
        </w:tc>
        <w:tc>
          <w:tcPr>
            <w:tcW w:w="1330" w:type="dxa"/>
            <w:hideMark/>
          </w:tcPr>
          <w:p w14:paraId="28907C59" w14:textId="77777777" w:rsidR="002858B9" w:rsidRPr="00B15AFF" w:rsidRDefault="002858B9" w:rsidP="00F62C20">
            <w:r w:rsidRPr="00B15AFF">
              <w:t>0.890</w:t>
            </w:r>
          </w:p>
        </w:tc>
        <w:tc>
          <w:tcPr>
            <w:tcW w:w="1817" w:type="dxa"/>
            <w:hideMark/>
          </w:tcPr>
          <w:p w14:paraId="49FF2924" w14:textId="77777777" w:rsidR="002858B9" w:rsidRPr="00B15AFF" w:rsidRDefault="002858B9" w:rsidP="00F62C20">
            <w:r w:rsidRPr="00B15AFF">
              <w:t>538.5</w:t>
            </w:r>
          </w:p>
        </w:tc>
      </w:tr>
      <w:tr w:rsidR="002858B9" w:rsidRPr="00B15AFF" w14:paraId="7AE9014F" w14:textId="77777777" w:rsidTr="00F62C20">
        <w:trPr>
          <w:jc w:val="center"/>
        </w:trPr>
        <w:tc>
          <w:tcPr>
            <w:tcW w:w="1193" w:type="dxa"/>
            <w:hideMark/>
          </w:tcPr>
          <w:p w14:paraId="359E3731" w14:textId="77777777" w:rsidR="002858B9" w:rsidRPr="00B15AFF" w:rsidRDefault="002858B9" w:rsidP="00F62C20">
            <w:r w:rsidRPr="00B15AFF">
              <w:t>3</w:t>
            </w:r>
          </w:p>
        </w:tc>
        <w:tc>
          <w:tcPr>
            <w:tcW w:w="1620" w:type="dxa"/>
            <w:hideMark/>
          </w:tcPr>
          <w:p w14:paraId="11B834F6" w14:textId="77777777" w:rsidR="002858B9" w:rsidRPr="00B15AFF" w:rsidRDefault="002858B9" w:rsidP="00F62C20">
            <w:r w:rsidRPr="00B15AFF">
              <w:t>755</w:t>
            </w:r>
          </w:p>
        </w:tc>
        <w:tc>
          <w:tcPr>
            <w:tcW w:w="1330" w:type="dxa"/>
            <w:hideMark/>
          </w:tcPr>
          <w:p w14:paraId="62D472E5" w14:textId="77777777" w:rsidR="002858B9" w:rsidRPr="00B15AFF" w:rsidRDefault="002858B9" w:rsidP="00F62C20">
            <w:r w:rsidRPr="00B15AFF">
              <w:t>0.840</w:t>
            </w:r>
          </w:p>
        </w:tc>
        <w:tc>
          <w:tcPr>
            <w:tcW w:w="1817" w:type="dxa"/>
            <w:hideMark/>
          </w:tcPr>
          <w:p w14:paraId="0B489782" w14:textId="77777777" w:rsidR="002858B9" w:rsidRPr="00B15AFF" w:rsidRDefault="002858B9" w:rsidP="00F62C20">
            <w:r w:rsidRPr="00B15AFF">
              <w:t>634.2</w:t>
            </w:r>
          </w:p>
        </w:tc>
      </w:tr>
      <w:tr w:rsidR="002858B9" w:rsidRPr="00B15AFF" w14:paraId="706D7B87" w14:textId="77777777" w:rsidTr="00F62C20">
        <w:trPr>
          <w:jc w:val="center"/>
        </w:trPr>
        <w:tc>
          <w:tcPr>
            <w:tcW w:w="1193" w:type="dxa"/>
            <w:hideMark/>
          </w:tcPr>
          <w:p w14:paraId="57E41E8C" w14:textId="77777777" w:rsidR="002858B9" w:rsidRPr="00B15AFF" w:rsidRDefault="002858B9" w:rsidP="00F62C20">
            <w:r w:rsidRPr="00B15AFF">
              <w:t>4</w:t>
            </w:r>
          </w:p>
        </w:tc>
        <w:tc>
          <w:tcPr>
            <w:tcW w:w="1620" w:type="dxa"/>
            <w:hideMark/>
          </w:tcPr>
          <w:p w14:paraId="6574BB98" w14:textId="77777777" w:rsidR="002858B9" w:rsidRPr="00B15AFF" w:rsidRDefault="002858B9" w:rsidP="00F62C20">
            <w:r w:rsidRPr="00B15AFF">
              <w:t>980</w:t>
            </w:r>
          </w:p>
        </w:tc>
        <w:tc>
          <w:tcPr>
            <w:tcW w:w="1330" w:type="dxa"/>
            <w:hideMark/>
          </w:tcPr>
          <w:p w14:paraId="4A4DB526" w14:textId="77777777" w:rsidR="002858B9" w:rsidRPr="00B15AFF" w:rsidRDefault="002858B9" w:rsidP="00F62C20">
            <w:r w:rsidRPr="00B15AFF">
              <w:t>0.792</w:t>
            </w:r>
          </w:p>
        </w:tc>
        <w:tc>
          <w:tcPr>
            <w:tcW w:w="1817" w:type="dxa"/>
            <w:hideMark/>
          </w:tcPr>
          <w:p w14:paraId="222B411B" w14:textId="77777777" w:rsidR="002858B9" w:rsidRPr="00B15AFF" w:rsidRDefault="002858B9" w:rsidP="00F62C20">
            <w:r w:rsidRPr="00B15AFF">
              <w:t>776.2</w:t>
            </w:r>
          </w:p>
        </w:tc>
      </w:tr>
      <w:tr w:rsidR="002858B9" w:rsidRPr="00B15AFF" w14:paraId="76DD4CC6" w14:textId="77777777" w:rsidTr="00F62C20">
        <w:trPr>
          <w:jc w:val="center"/>
        </w:trPr>
        <w:tc>
          <w:tcPr>
            <w:tcW w:w="1193" w:type="dxa"/>
          </w:tcPr>
          <w:p w14:paraId="3328D843" w14:textId="77777777" w:rsidR="002858B9" w:rsidRPr="00B15AFF" w:rsidRDefault="002858B9" w:rsidP="00F62C20">
            <w:r w:rsidRPr="00B15AFF">
              <w:t>Total</w:t>
            </w:r>
          </w:p>
        </w:tc>
        <w:tc>
          <w:tcPr>
            <w:tcW w:w="1620" w:type="dxa"/>
          </w:tcPr>
          <w:p w14:paraId="40FD63AC" w14:textId="77777777" w:rsidR="002858B9" w:rsidRPr="00B15AFF" w:rsidRDefault="002858B9" w:rsidP="00F62C20"/>
        </w:tc>
        <w:tc>
          <w:tcPr>
            <w:tcW w:w="1330" w:type="dxa"/>
          </w:tcPr>
          <w:p w14:paraId="53E59573" w14:textId="77777777" w:rsidR="002858B9" w:rsidRPr="00B15AFF" w:rsidRDefault="002858B9" w:rsidP="00F62C20"/>
        </w:tc>
        <w:tc>
          <w:tcPr>
            <w:tcW w:w="1817" w:type="dxa"/>
          </w:tcPr>
          <w:p w14:paraId="29A3400F" w14:textId="77777777" w:rsidR="002858B9" w:rsidRPr="00B15AFF" w:rsidRDefault="002858B9" w:rsidP="00F62C20">
            <w:r w:rsidRPr="00B15AFF">
              <w:t>2342.6</w:t>
            </w:r>
          </w:p>
        </w:tc>
      </w:tr>
    </w:tbl>
    <w:p w14:paraId="22D73327" w14:textId="77777777" w:rsidR="002858B9" w:rsidRPr="00B15AFF" w:rsidRDefault="002858B9" w:rsidP="002858B9"/>
    <w:p w14:paraId="34D23650" w14:textId="77777777" w:rsidR="002858B9" w:rsidRPr="00B15AFF" w:rsidRDefault="002858B9" w:rsidP="002858B9">
      <w:r w:rsidRPr="00B15AFF">
        <w:t>IRR</w:t>
      </w:r>
    </w:p>
    <w:p w14:paraId="7F7A580D" w14:textId="77777777" w:rsidR="002858B9" w:rsidRPr="00B15AFF" w:rsidRDefault="002858B9" w:rsidP="002858B9">
      <w:r w:rsidRPr="00B15AFF">
        <w:t>NPV at 6%</w:t>
      </w:r>
    </w:p>
    <w:p w14:paraId="1390E562" w14:textId="77777777" w:rsidR="002858B9" w:rsidRPr="00B15AFF" w:rsidRDefault="002858B9" w:rsidP="002858B9">
      <w:r w:rsidRPr="00B15AFF">
        <w:t>= £792,300</w:t>
      </w:r>
    </w:p>
    <w:p w14:paraId="38BCA16A" w14:textId="77777777" w:rsidR="002858B9" w:rsidRPr="00B15AFF" w:rsidRDefault="002858B9" w:rsidP="002858B9">
      <w:r w:rsidRPr="00B15AFF">
        <w:t>NPV at 20%</w:t>
      </w:r>
    </w:p>
    <w:tbl>
      <w:tblPr>
        <w:tblStyle w:val="TableGrid"/>
        <w:tblW w:w="0" w:type="auto"/>
        <w:jc w:val="center"/>
        <w:tblLook w:val="04A0" w:firstRow="1" w:lastRow="0" w:firstColumn="1" w:lastColumn="0" w:noHBand="0" w:noVBand="1"/>
      </w:tblPr>
      <w:tblGrid>
        <w:gridCol w:w="1077"/>
        <w:gridCol w:w="1710"/>
        <w:gridCol w:w="1583"/>
        <w:gridCol w:w="1433"/>
      </w:tblGrid>
      <w:tr w:rsidR="002858B9" w:rsidRPr="00B15AFF" w14:paraId="716240DD" w14:textId="77777777" w:rsidTr="00F62C20">
        <w:trPr>
          <w:jc w:val="center"/>
        </w:trPr>
        <w:tc>
          <w:tcPr>
            <w:tcW w:w="1077" w:type="dxa"/>
            <w:hideMark/>
          </w:tcPr>
          <w:p w14:paraId="37893DEB" w14:textId="77777777" w:rsidR="002858B9" w:rsidRPr="00B15AFF" w:rsidRDefault="002858B9" w:rsidP="00F62C20">
            <w:r w:rsidRPr="00B15AFF">
              <w:t>Year</w:t>
            </w:r>
          </w:p>
        </w:tc>
        <w:tc>
          <w:tcPr>
            <w:tcW w:w="1710" w:type="dxa"/>
            <w:hideMark/>
          </w:tcPr>
          <w:p w14:paraId="2719351E" w14:textId="77777777" w:rsidR="002858B9" w:rsidRPr="00B15AFF" w:rsidRDefault="002858B9" w:rsidP="00F62C20">
            <w:r w:rsidRPr="00B15AFF">
              <w:t>After-tax CF</w:t>
            </w:r>
          </w:p>
        </w:tc>
        <w:tc>
          <w:tcPr>
            <w:tcW w:w="1583" w:type="dxa"/>
            <w:hideMark/>
          </w:tcPr>
          <w:p w14:paraId="0D178416" w14:textId="77777777" w:rsidR="002858B9" w:rsidRPr="00B15AFF" w:rsidRDefault="002858B9" w:rsidP="00F62C20">
            <w:r w:rsidRPr="00B15AFF">
              <w:t>DF @20%</w:t>
            </w:r>
          </w:p>
        </w:tc>
        <w:tc>
          <w:tcPr>
            <w:tcW w:w="1433" w:type="dxa"/>
            <w:hideMark/>
          </w:tcPr>
          <w:p w14:paraId="5A32FEB5" w14:textId="77777777" w:rsidR="002858B9" w:rsidRPr="00B15AFF" w:rsidRDefault="002858B9" w:rsidP="00F62C20">
            <w:r>
              <w:t xml:space="preserve">PV in </w:t>
            </w:r>
            <w:r w:rsidRPr="00B15AFF">
              <w:t>000</w:t>
            </w:r>
          </w:p>
        </w:tc>
      </w:tr>
      <w:tr w:rsidR="002858B9" w:rsidRPr="00B15AFF" w14:paraId="1F6B3657" w14:textId="77777777" w:rsidTr="00F62C20">
        <w:trPr>
          <w:jc w:val="center"/>
        </w:trPr>
        <w:tc>
          <w:tcPr>
            <w:tcW w:w="1077" w:type="dxa"/>
            <w:hideMark/>
          </w:tcPr>
          <w:p w14:paraId="615F59B1" w14:textId="77777777" w:rsidR="002858B9" w:rsidRPr="00B15AFF" w:rsidRDefault="002858B9" w:rsidP="00F62C20">
            <w:r w:rsidRPr="00B15AFF">
              <w:t>1</w:t>
            </w:r>
          </w:p>
        </w:tc>
        <w:tc>
          <w:tcPr>
            <w:tcW w:w="1710" w:type="dxa"/>
            <w:hideMark/>
          </w:tcPr>
          <w:p w14:paraId="2200BB70" w14:textId="77777777" w:rsidR="002858B9" w:rsidRPr="00B15AFF" w:rsidRDefault="002858B9" w:rsidP="00F62C20">
            <w:r w:rsidRPr="00B15AFF">
              <w:t>350</w:t>
            </w:r>
          </w:p>
        </w:tc>
        <w:tc>
          <w:tcPr>
            <w:tcW w:w="1583" w:type="dxa"/>
            <w:hideMark/>
          </w:tcPr>
          <w:p w14:paraId="11236CE4" w14:textId="77777777" w:rsidR="002858B9" w:rsidRPr="00B15AFF" w:rsidRDefault="002858B9" w:rsidP="00F62C20">
            <w:r w:rsidRPr="00B15AFF">
              <w:t>0.833</w:t>
            </w:r>
          </w:p>
        </w:tc>
        <w:tc>
          <w:tcPr>
            <w:tcW w:w="1433" w:type="dxa"/>
            <w:hideMark/>
          </w:tcPr>
          <w:p w14:paraId="171518F5" w14:textId="77777777" w:rsidR="002858B9" w:rsidRPr="00B15AFF" w:rsidRDefault="002858B9" w:rsidP="00F62C20">
            <w:r w:rsidRPr="00B15AFF">
              <w:t>291.6</w:t>
            </w:r>
          </w:p>
        </w:tc>
      </w:tr>
      <w:tr w:rsidR="002858B9" w:rsidRPr="00B15AFF" w14:paraId="19DF4ADE" w14:textId="77777777" w:rsidTr="00F62C20">
        <w:trPr>
          <w:jc w:val="center"/>
        </w:trPr>
        <w:tc>
          <w:tcPr>
            <w:tcW w:w="1077" w:type="dxa"/>
            <w:hideMark/>
          </w:tcPr>
          <w:p w14:paraId="6F105815" w14:textId="77777777" w:rsidR="002858B9" w:rsidRPr="00B15AFF" w:rsidRDefault="002858B9" w:rsidP="00F62C20">
            <w:r w:rsidRPr="00B15AFF">
              <w:t>2</w:t>
            </w:r>
          </w:p>
        </w:tc>
        <w:tc>
          <w:tcPr>
            <w:tcW w:w="1710" w:type="dxa"/>
            <w:hideMark/>
          </w:tcPr>
          <w:p w14:paraId="61100B79" w14:textId="77777777" w:rsidR="002858B9" w:rsidRPr="00B15AFF" w:rsidRDefault="002858B9" w:rsidP="00F62C20">
            <w:r w:rsidRPr="00B15AFF">
              <w:t>387.5</w:t>
            </w:r>
          </w:p>
        </w:tc>
        <w:tc>
          <w:tcPr>
            <w:tcW w:w="1583" w:type="dxa"/>
            <w:hideMark/>
          </w:tcPr>
          <w:p w14:paraId="3F9505E3" w14:textId="77777777" w:rsidR="002858B9" w:rsidRPr="00B15AFF" w:rsidRDefault="002858B9" w:rsidP="00F62C20">
            <w:r w:rsidRPr="00B15AFF">
              <w:t>0.694</w:t>
            </w:r>
          </w:p>
        </w:tc>
        <w:tc>
          <w:tcPr>
            <w:tcW w:w="1433" w:type="dxa"/>
            <w:hideMark/>
          </w:tcPr>
          <w:p w14:paraId="530FA2A4" w14:textId="77777777" w:rsidR="002858B9" w:rsidRPr="00B15AFF" w:rsidRDefault="002858B9" w:rsidP="00F62C20">
            <w:r w:rsidRPr="00B15AFF">
              <w:t>268.9</w:t>
            </w:r>
          </w:p>
        </w:tc>
      </w:tr>
      <w:tr w:rsidR="002858B9" w:rsidRPr="00B15AFF" w14:paraId="019DACC3" w14:textId="77777777" w:rsidTr="00F62C20">
        <w:trPr>
          <w:jc w:val="center"/>
        </w:trPr>
        <w:tc>
          <w:tcPr>
            <w:tcW w:w="1077" w:type="dxa"/>
            <w:hideMark/>
          </w:tcPr>
          <w:p w14:paraId="2647DF99" w14:textId="77777777" w:rsidR="002858B9" w:rsidRPr="00B15AFF" w:rsidRDefault="002858B9" w:rsidP="00F62C20">
            <w:r w:rsidRPr="00B15AFF">
              <w:t>3</w:t>
            </w:r>
          </w:p>
        </w:tc>
        <w:tc>
          <w:tcPr>
            <w:tcW w:w="1710" w:type="dxa"/>
            <w:hideMark/>
          </w:tcPr>
          <w:p w14:paraId="2E59A5DC" w14:textId="77777777" w:rsidR="002858B9" w:rsidRPr="00B15AFF" w:rsidRDefault="002858B9" w:rsidP="00F62C20">
            <w:r w:rsidRPr="00B15AFF">
              <w:t>590</w:t>
            </w:r>
          </w:p>
        </w:tc>
        <w:tc>
          <w:tcPr>
            <w:tcW w:w="1583" w:type="dxa"/>
            <w:hideMark/>
          </w:tcPr>
          <w:p w14:paraId="403CA204" w14:textId="77777777" w:rsidR="002858B9" w:rsidRPr="00B15AFF" w:rsidRDefault="002858B9" w:rsidP="00F62C20">
            <w:r w:rsidRPr="00B15AFF">
              <w:t>0.579</w:t>
            </w:r>
          </w:p>
        </w:tc>
        <w:tc>
          <w:tcPr>
            <w:tcW w:w="1433" w:type="dxa"/>
            <w:hideMark/>
          </w:tcPr>
          <w:p w14:paraId="71205D06" w14:textId="77777777" w:rsidR="002858B9" w:rsidRPr="00B15AFF" w:rsidRDefault="002858B9" w:rsidP="00F62C20">
            <w:r w:rsidRPr="00B15AFF">
              <w:t>341.6</w:t>
            </w:r>
          </w:p>
        </w:tc>
      </w:tr>
      <w:tr w:rsidR="002858B9" w:rsidRPr="00B15AFF" w14:paraId="78FE1328" w14:textId="77777777" w:rsidTr="00F62C20">
        <w:trPr>
          <w:jc w:val="center"/>
        </w:trPr>
        <w:tc>
          <w:tcPr>
            <w:tcW w:w="1077" w:type="dxa"/>
            <w:hideMark/>
          </w:tcPr>
          <w:p w14:paraId="18F978CD" w14:textId="77777777" w:rsidR="002858B9" w:rsidRPr="00B15AFF" w:rsidRDefault="002858B9" w:rsidP="00F62C20">
            <w:r w:rsidRPr="00B15AFF">
              <w:t>4</w:t>
            </w:r>
          </w:p>
        </w:tc>
        <w:tc>
          <w:tcPr>
            <w:tcW w:w="1710" w:type="dxa"/>
            <w:hideMark/>
          </w:tcPr>
          <w:p w14:paraId="359C20A6" w14:textId="77777777" w:rsidR="002858B9" w:rsidRPr="00B15AFF" w:rsidRDefault="002858B9" w:rsidP="00F62C20">
            <w:r w:rsidRPr="00B15AFF">
              <w:t>785</w:t>
            </w:r>
          </w:p>
        </w:tc>
        <w:tc>
          <w:tcPr>
            <w:tcW w:w="1583" w:type="dxa"/>
            <w:hideMark/>
          </w:tcPr>
          <w:p w14:paraId="419D4CEB" w14:textId="77777777" w:rsidR="002858B9" w:rsidRPr="00B15AFF" w:rsidRDefault="002858B9" w:rsidP="00F62C20">
            <w:r w:rsidRPr="00B15AFF">
              <w:t>0.482</w:t>
            </w:r>
          </w:p>
        </w:tc>
        <w:tc>
          <w:tcPr>
            <w:tcW w:w="1433" w:type="dxa"/>
            <w:hideMark/>
          </w:tcPr>
          <w:p w14:paraId="4A9CB5FA" w14:textId="77777777" w:rsidR="002858B9" w:rsidRPr="00B15AFF" w:rsidRDefault="002858B9" w:rsidP="00F62C20">
            <w:r w:rsidRPr="00B15AFF">
              <w:t>378.4</w:t>
            </w:r>
          </w:p>
        </w:tc>
      </w:tr>
      <w:tr w:rsidR="002858B9" w:rsidRPr="00B15AFF" w14:paraId="0E0404D1" w14:textId="77777777" w:rsidTr="00F62C20">
        <w:trPr>
          <w:jc w:val="center"/>
        </w:trPr>
        <w:tc>
          <w:tcPr>
            <w:tcW w:w="1077" w:type="dxa"/>
          </w:tcPr>
          <w:p w14:paraId="4631CF7B" w14:textId="77777777" w:rsidR="002858B9" w:rsidRPr="00B15AFF" w:rsidRDefault="002858B9" w:rsidP="00F62C20">
            <w:r w:rsidRPr="00B15AFF">
              <w:t>Total</w:t>
            </w:r>
          </w:p>
        </w:tc>
        <w:tc>
          <w:tcPr>
            <w:tcW w:w="1710" w:type="dxa"/>
          </w:tcPr>
          <w:p w14:paraId="7FF17586" w14:textId="77777777" w:rsidR="002858B9" w:rsidRPr="00B15AFF" w:rsidRDefault="002858B9" w:rsidP="00F62C20"/>
        </w:tc>
        <w:tc>
          <w:tcPr>
            <w:tcW w:w="1583" w:type="dxa"/>
          </w:tcPr>
          <w:p w14:paraId="6D369FB2" w14:textId="77777777" w:rsidR="002858B9" w:rsidRPr="00B15AFF" w:rsidRDefault="002858B9" w:rsidP="00F62C20"/>
        </w:tc>
        <w:tc>
          <w:tcPr>
            <w:tcW w:w="1433" w:type="dxa"/>
          </w:tcPr>
          <w:p w14:paraId="63995FFB" w14:textId="77777777" w:rsidR="002858B9" w:rsidRPr="00B15AFF" w:rsidRDefault="002858B9" w:rsidP="00F62C20">
            <w:r w:rsidRPr="00B15AFF">
              <w:t>1280.5</w:t>
            </w:r>
          </w:p>
        </w:tc>
      </w:tr>
    </w:tbl>
    <w:p w14:paraId="4B39773A" w14:textId="77777777" w:rsidR="002858B9" w:rsidRPr="00B15AFF" w:rsidRDefault="002858B9" w:rsidP="002858B9"/>
    <w:p w14:paraId="769FD9D6" w14:textId="77777777" w:rsidR="002858B9" w:rsidRPr="00B15AFF" w:rsidRDefault="002858B9" w:rsidP="002858B9">
      <w:r w:rsidRPr="00B15AFF">
        <w:t>NPV @ 20%:</w:t>
      </w:r>
    </w:p>
    <w:p w14:paraId="6D74EAEA" w14:textId="77777777" w:rsidR="002858B9" w:rsidRPr="00B15AFF" w:rsidRDefault="002858B9" w:rsidP="002858B9">
      <w:r w:rsidRPr="00B15AFF">
        <w:t>£1,280,500 − £1,000,000 = £280,000</w:t>
      </w:r>
    </w:p>
    <w:p w14:paraId="3964FCBB" w14:textId="77777777" w:rsidR="002858B9" w:rsidRPr="00B15AFF" w:rsidRDefault="002858B9" w:rsidP="002858B9">
      <w:r w:rsidRPr="00B15AFF">
        <w:t>NPV at 30%</w:t>
      </w:r>
    </w:p>
    <w:tbl>
      <w:tblPr>
        <w:tblStyle w:val="TableGrid"/>
        <w:tblW w:w="0" w:type="auto"/>
        <w:jc w:val="center"/>
        <w:tblInd w:w="78" w:type="dxa"/>
        <w:tblLook w:val="04A0" w:firstRow="1" w:lastRow="0" w:firstColumn="1" w:lastColumn="0" w:noHBand="0" w:noVBand="1"/>
      </w:tblPr>
      <w:tblGrid>
        <w:gridCol w:w="1080"/>
        <w:gridCol w:w="1749"/>
        <w:gridCol w:w="1530"/>
        <w:gridCol w:w="1478"/>
      </w:tblGrid>
      <w:tr w:rsidR="002858B9" w:rsidRPr="00B15AFF" w14:paraId="0A15A938" w14:textId="77777777" w:rsidTr="00F62C20">
        <w:trPr>
          <w:jc w:val="center"/>
        </w:trPr>
        <w:tc>
          <w:tcPr>
            <w:tcW w:w="1080" w:type="dxa"/>
            <w:hideMark/>
          </w:tcPr>
          <w:p w14:paraId="72407729" w14:textId="77777777" w:rsidR="002858B9" w:rsidRPr="00B15AFF" w:rsidRDefault="002858B9" w:rsidP="00F62C20">
            <w:r w:rsidRPr="00B15AFF">
              <w:t>Year</w:t>
            </w:r>
          </w:p>
        </w:tc>
        <w:tc>
          <w:tcPr>
            <w:tcW w:w="1749" w:type="dxa"/>
            <w:hideMark/>
          </w:tcPr>
          <w:p w14:paraId="2E2848F2" w14:textId="77777777" w:rsidR="002858B9" w:rsidRPr="00B15AFF" w:rsidRDefault="002858B9" w:rsidP="00F62C20">
            <w:r w:rsidRPr="00B15AFF">
              <w:t>After-tax CF</w:t>
            </w:r>
          </w:p>
        </w:tc>
        <w:tc>
          <w:tcPr>
            <w:tcW w:w="1530" w:type="dxa"/>
            <w:hideMark/>
          </w:tcPr>
          <w:p w14:paraId="5A8338DD" w14:textId="77777777" w:rsidR="002858B9" w:rsidRPr="00B15AFF" w:rsidRDefault="002858B9" w:rsidP="00F62C20">
            <w:r w:rsidRPr="00B15AFF">
              <w:t>DF</w:t>
            </w:r>
          </w:p>
        </w:tc>
        <w:tc>
          <w:tcPr>
            <w:tcW w:w="1478" w:type="dxa"/>
            <w:hideMark/>
          </w:tcPr>
          <w:p w14:paraId="77296507" w14:textId="77777777" w:rsidR="002858B9" w:rsidRPr="00B15AFF" w:rsidRDefault="002858B9" w:rsidP="00F62C20">
            <w:r>
              <w:t xml:space="preserve">PV in </w:t>
            </w:r>
            <w:r w:rsidRPr="00B15AFF">
              <w:t>000</w:t>
            </w:r>
          </w:p>
        </w:tc>
      </w:tr>
      <w:tr w:rsidR="002858B9" w:rsidRPr="00B15AFF" w14:paraId="2AD41DD6" w14:textId="77777777" w:rsidTr="00F62C20">
        <w:trPr>
          <w:jc w:val="center"/>
        </w:trPr>
        <w:tc>
          <w:tcPr>
            <w:tcW w:w="1080" w:type="dxa"/>
            <w:hideMark/>
          </w:tcPr>
          <w:p w14:paraId="7C097D91" w14:textId="77777777" w:rsidR="002858B9" w:rsidRPr="00B15AFF" w:rsidRDefault="002858B9" w:rsidP="00F62C20">
            <w:r w:rsidRPr="00B15AFF">
              <w:t>1</w:t>
            </w:r>
          </w:p>
        </w:tc>
        <w:tc>
          <w:tcPr>
            <w:tcW w:w="1749" w:type="dxa"/>
            <w:hideMark/>
          </w:tcPr>
          <w:p w14:paraId="132314AC" w14:textId="77777777" w:rsidR="002858B9" w:rsidRPr="00B15AFF" w:rsidRDefault="002858B9" w:rsidP="00F62C20">
            <w:r w:rsidRPr="00B15AFF">
              <w:t>350</w:t>
            </w:r>
          </w:p>
        </w:tc>
        <w:tc>
          <w:tcPr>
            <w:tcW w:w="1530" w:type="dxa"/>
            <w:hideMark/>
          </w:tcPr>
          <w:p w14:paraId="43DCBAAA" w14:textId="77777777" w:rsidR="002858B9" w:rsidRPr="00B15AFF" w:rsidRDefault="002858B9" w:rsidP="00F62C20">
            <w:r w:rsidRPr="00B15AFF">
              <w:t>0.769</w:t>
            </w:r>
          </w:p>
        </w:tc>
        <w:tc>
          <w:tcPr>
            <w:tcW w:w="1478" w:type="dxa"/>
            <w:hideMark/>
          </w:tcPr>
          <w:p w14:paraId="05F1DDBC" w14:textId="77777777" w:rsidR="002858B9" w:rsidRPr="00B15AFF" w:rsidRDefault="002858B9" w:rsidP="00F62C20">
            <w:r w:rsidRPr="00B15AFF">
              <w:t>269.2</w:t>
            </w:r>
          </w:p>
        </w:tc>
      </w:tr>
      <w:tr w:rsidR="002858B9" w:rsidRPr="00B15AFF" w14:paraId="03FEB3CA" w14:textId="77777777" w:rsidTr="00F62C20">
        <w:trPr>
          <w:jc w:val="center"/>
        </w:trPr>
        <w:tc>
          <w:tcPr>
            <w:tcW w:w="1080" w:type="dxa"/>
            <w:hideMark/>
          </w:tcPr>
          <w:p w14:paraId="2689587C" w14:textId="77777777" w:rsidR="002858B9" w:rsidRPr="00B15AFF" w:rsidRDefault="002858B9" w:rsidP="00F62C20">
            <w:r w:rsidRPr="00B15AFF">
              <w:t>2</w:t>
            </w:r>
          </w:p>
        </w:tc>
        <w:tc>
          <w:tcPr>
            <w:tcW w:w="1749" w:type="dxa"/>
            <w:hideMark/>
          </w:tcPr>
          <w:p w14:paraId="7E145A4B" w14:textId="77777777" w:rsidR="002858B9" w:rsidRPr="00B15AFF" w:rsidRDefault="002858B9" w:rsidP="00F62C20">
            <w:r w:rsidRPr="00B15AFF">
              <w:t>387.5</w:t>
            </w:r>
          </w:p>
        </w:tc>
        <w:tc>
          <w:tcPr>
            <w:tcW w:w="1530" w:type="dxa"/>
            <w:hideMark/>
          </w:tcPr>
          <w:p w14:paraId="6DD8F9DC" w14:textId="77777777" w:rsidR="002858B9" w:rsidRPr="00B15AFF" w:rsidRDefault="002858B9" w:rsidP="00F62C20">
            <w:r w:rsidRPr="00B15AFF">
              <w:t>0.592</w:t>
            </w:r>
          </w:p>
        </w:tc>
        <w:tc>
          <w:tcPr>
            <w:tcW w:w="1478" w:type="dxa"/>
            <w:hideMark/>
          </w:tcPr>
          <w:p w14:paraId="37F66EA0" w14:textId="77777777" w:rsidR="002858B9" w:rsidRPr="00B15AFF" w:rsidRDefault="002858B9" w:rsidP="00F62C20">
            <w:r w:rsidRPr="00B15AFF">
              <w:t>229.3</w:t>
            </w:r>
          </w:p>
        </w:tc>
      </w:tr>
      <w:tr w:rsidR="002858B9" w:rsidRPr="00B15AFF" w14:paraId="7332F65D" w14:textId="77777777" w:rsidTr="00F62C20">
        <w:trPr>
          <w:jc w:val="center"/>
        </w:trPr>
        <w:tc>
          <w:tcPr>
            <w:tcW w:w="1080" w:type="dxa"/>
            <w:hideMark/>
          </w:tcPr>
          <w:p w14:paraId="5D4400AE" w14:textId="77777777" w:rsidR="002858B9" w:rsidRPr="00B15AFF" w:rsidRDefault="002858B9" w:rsidP="00F62C20">
            <w:r w:rsidRPr="00B15AFF">
              <w:t>3</w:t>
            </w:r>
          </w:p>
        </w:tc>
        <w:tc>
          <w:tcPr>
            <w:tcW w:w="1749" w:type="dxa"/>
            <w:hideMark/>
          </w:tcPr>
          <w:p w14:paraId="14DB0B2D" w14:textId="77777777" w:rsidR="002858B9" w:rsidRPr="00B15AFF" w:rsidRDefault="002858B9" w:rsidP="00F62C20">
            <w:r w:rsidRPr="00B15AFF">
              <w:t>590</w:t>
            </w:r>
          </w:p>
        </w:tc>
        <w:tc>
          <w:tcPr>
            <w:tcW w:w="1530" w:type="dxa"/>
            <w:hideMark/>
          </w:tcPr>
          <w:p w14:paraId="32486968" w14:textId="77777777" w:rsidR="002858B9" w:rsidRPr="00B15AFF" w:rsidRDefault="002858B9" w:rsidP="00F62C20">
            <w:r w:rsidRPr="00B15AFF">
              <w:t>0.455</w:t>
            </w:r>
          </w:p>
        </w:tc>
        <w:tc>
          <w:tcPr>
            <w:tcW w:w="1478" w:type="dxa"/>
            <w:hideMark/>
          </w:tcPr>
          <w:p w14:paraId="1F008D21" w14:textId="77777777" w:rsidR="002858B9" w:rsidRPr="00B15AFF" w:rsidRDefault="002858B9" w:rsidP="00F62C20">
            <w:r w:rsidRPr="00B15AFF">
              <w:t>268.5</w:t>
            </w:r>
          </w:p>
        </w:tc>
      </w:tr>
      <w:tr w:rsidR="002858B9" w:rsidRPr="00B15AFF" w14:paraId="056EFC89" w14:textId="77777777" w:rsidTr="00F62C20">
        <w:trPr>
          <w:jc w:val="center"/>
        </w:trPr>
        <w:tc>
          <w:tcPr>
            <w:tcW w:w="1080" w:type="dxa"/>
            <w:hideMark/>
          </w:tcPr>
          <w:p w14:paraId="052243A7" w14:textId="77777777" w:rsidR="002858B9" w:rsidRPr="00B15AFF" w:rsidRDefault="002858B9" w:rsidP="00F62C20">
            <w:r w:rsidRPr="00B15AFF">
              <w:t>4</w:t>
            </w:r>
          </w:p>
        </w:tc>
        <w:tc>
          <w:tcPr>
            <w:tcW w:w="1749" w:type="dxa"/>
            <w:hideMark/>
          </w:tcPr>
          <w:p w14:paraId="0E8A0682" w14:textId="77777777" w:rsidR="002858B9" w:rsidRPr="00B15AFF" w:rsidRDefault="002858B9" w:rsidP="00F62C20">
            <w:r w:rsidRPr="00B15AFF">
              <w:t>785</w:t>
            </w:r>
          </w:p>
        </w:tc>
        <w:tc>
          <w:tcPr>
            <w:tcW w:w="1530" w:type="dxa"/>
            <w:hideMark/>
          </w:tcPr>
          <w:p w14:paraId="60285C7A" w14:textId="77777777" w:rsidR="002858B9" w:rsidRPr="00B15AFF" w:rsidRDefault="002858B9" w:rsidP="00F62C20">
            <w:r w:rsidRPr="00B15AFF">
              <w:t>0.350</w:t>
            </w:r>
          </w:p>
        </w:tc>
        <w:tc>
          <w:tcPr>
            <w:tcW w:w="1478" w:type="dxa"/>
            <w:hideMark/>
          </w:tcPr>
          <w:p w14:paraId="07709774" w14:textId="77777777" w:rsidR="002858B9" w:rsidRPr="00B15AFF" w:rsidRDefault="002858B9" w:rsidP="00F62C20">
            <w:r w:rsidRPr="00B15AFF">
              <w:t>274.8</w:t>
            </w:r>
          </w:p>
        </w:tc>
      </w:tr>
      <w:tr w:rsidR="002858B9" w:rsidRPr="00B15AFF" w14:paraId="7EAC4D66" w14:textId="77777777" w:rsidTr="00F62C20">
        <w:trPr>
          <w:jc w:val="center"/>
        </w:trPr>
        <w:tc>
          <w:tcPr>
            <w:tcW w:w="1080" w:type="dxa"/>
          </w:tcPr>
          <w:p w14:paraId="0DDABA83" w14:textId="77777777" w:rsidR="002858B9" w:rsidRPr="00B15AFF" w:rsidRDefault="002858B9" w:rsidP="00F62C20">
            <w:r w:rsidRPr="00B15AFF">
              <w:t>Total</w:t>
            </w:r>
          </w:p>
        </w:tc>
        <w:tc>
          <w:tcPr>
            <w:tcW w:w="1749" w:type="dxa"/>
          </w:tcPr>
          <w:p w14:paraId="1B31E38C" w14:textId="77777777" w:rsidR="002858B9" w:rsidRPr="00B15AFF" w:rsidRDefault="002858B9" w:rsidP="00F62C20"/>
        </w:tc>
        <w:tc>
          <w:tcPr>
            <w:tcW w:w="1530" w:type="dxa"/>
          </w:tcPr>
          <w:p w14:paraId="63F32EED" w14:textId="77777777" w:rsidR="002858B9" w:rsidRPr="00B15AFF" w:rsidRDefault="002858B9" w:rsidP="00F62C20"/>
        </w:tc>
        <w:tc>
          <w:tcPr>
            <w:tcW w:w="1478" w:type="dxa"/>
          </w:tcPr>
          <w:p w14:paraId="035C155D" w14:textId="77777777" w:rsidR="002858B9" w:rsidRPr="00B15AFF" w:rsidRDefault="002858B9" w:rsidP="00F62C20">
            <w:r w:rsidRPr="00B15AFF">
              <w:t>1041.8</w:t>
            </w:r>
          </w:p>
        </w:tc>
      </w:tr>
    </w:tbl>
    <w:p w14:paraId="3322403C" w14:textId="77777777" w:rsidR="002858B9" w:rsidRPr="00B15AFF" w:rsidRDefault="002858B9" w:rsidP="002858B9"/>
    <w:p w14:paraId="44071324" w14:textId="77777777" w:rsidR="002858B9" w:rsidRPr="00B15AFF" w:rsidRDefault="002858B9" w:rsidP="002858B9">
      <w:r w:rsidRPr="00B15AFF">
        <w:lastRenderedPageBreak/>
        <w:t>NPV at 30%:</w:t>
      </w:r>
    </w:p>
    <w:p w14:paraId="5E7621A5" w14:textId="77777777" w:rsidR="002858B9" w:rsidRPr="00B15AFF" w:rsidRDefault="002858B9" w:rsidP="002858B9">
      <w:r w:rsidRPr="00B15AFF">
        <w:t>1,041,800 − 1,000,000 = £41,800</w:t>
      </w:r>
    </w:p>
    <w:p w14:paraId="74F5A169" w14:textId="77777777" w:rsidR="002858B9" w:rsidRPr="00B15AFF" w:rsidRDefault="002858B9" w:rsidP="002858B9">
      <w:r w:rsidRPr="00B15AFF">
        <w:t>NPV at 33%</w:t>
      </w:r>
    </w:p>
    <w:tbl>
      <w:tblPr>
        <w:tblStyle w:val="TableGrid"/>
        <w:tblW w:w="0" w:type="auto"/>
        <w:jc w:val="center"/>
        <w:tblInd w:w="-345" w:type="dxa"/>
        <w:tblLook w:val="04A0" w:firstRow="1" w:lastRow="0" w:firstColumn="1" w:lastColumn="0" w:noHBand="0" w:noVBand="1"/>
      </w:tblPr>
      <w:tblGrid>
        <w:gridCol w:w="1028"/>
        <w:gridCol w:w="1778"/>
        <w:gridCol w:w="1456"/>
        <w:gridCol w:w="1530"/>
      </w:tblGrid>
      <w:tr w:rsidR="002858B9" w:rsidRPr="00B15AFF" w14:paraId="73A3E363" w14:textId="77777777" w:rsidTr="00F62C20">
        <w:trPr>
          <w:jc w:val="center"/>
        </w:trPr>
        <w:tc>
          <w:tcPr>
            <w:tcW w:w="1028" w:type="dxa"/>
            <w:hideMark/>
          </w:tcPr>
          <w:p w14:paraId="0E3E3D9F" w14:textId="77777777" w:rsidR="002858B9" w:rsidRPr="00B15AFF" w:rsidRDefault="002858B9" w:rsidP="00F62C20">
            <w:r w:rsidRPr="00B15AFF">
              <w:t>Year</w:t>
            </w:r>
          </w:p>
        </w:tc>
        <w:tc>
          <w:tcPr>
            <w:tcW w:w="1778" w:type="dxa"/>
            <w:hideMark/>
          </w:tcPr>
          <w:p w14:paraId="04CEB5A3" w14:textId="77777777" w:rsidR="002858B9" w:rsidRPr="00B15AFF" w:rsidRDefault="002858B9" w:rsidP="00F62C20">
            <w:r w:rsidRPr="00B15AFF">
              <w:t>After-tax CF (£000)</w:t>
            </w:r>
          </w:p>
        </w:tc>
        <w:tc>
          <w:tcPr>
            <w:tcW w:w="1456" w:type="dxa"/>
            <w:hideMark/>
          </w:tcPr>
          <w:p w14:paraId="091ADC86" w14:textId="77777777" w:rsidR="002858B9" w:rsidRPr="00B15AFF" w:rsidRDefault="002858B9" w:rsidP="00F62C20">
            <w:r w:rsidRPr="00B15AFF">
              <w:t>DF @33%</w:t>
            </w:r>
          </w:p>
        </w:tc>
        <w:tc>
          <w:tcPr>
            <w:tcW w:w="1530" w:type="dxa"/>
            <w:hideMark/>
          </w:tcPr>
          <w:p w14:paraId="668ABDE5" w14:textId="77777777" w:rsidR="002858B9" w:rsidRPr="00B15AFF" w:rsidRDefault="002858B9" w:rsidP="00F62C20">
            <w:r w:rsidRPr="00B15AFF">
              <w:t>PV (£000)</w:t>
            </w:r>
          </w:p>
        </w:tc>
      </w:tr>
      <w:tr w:rsidR="002858B9" w:rsidRPr="00B15AFF" w14:paraId="4CA36E53" w14:textId="77777777" w:rsidTr="00F62C20">
        <w:trPr>
          <w:jc w:val="center"/>
        </w:trPr>
        <w:tc>
          <w:tcPr>
            <w:tcW w:w="1028" w:type="dxa"/>
            <w:hideMark/>
          </w:tcPr>
          <w:p w14:paraId="71574E10" w14:textId="77777777" w:rsidR="002858B9" w:rsidRPr="00B15AFF" w:rsidRDefault="002858B9" w:rsidP="00F62C20">
            <w:r w:rsidRPr="00B15AFF">
              <w:t>1</w:t>
            </w:r>
          </w:p>
        </w:tc>
        <w:tc>
          <w:tcPr>
            <w:tcW w:w="1778" w:type="dxa"/>
            <w:hideMark/>
          </w:tcPr>
          <w:p w14:paraId="3D5ABAD1" w14:textId="77777777" w:rsidR="002858B9" w:rsidRPr="00B15AFF" w:rsidRDefault="002858B9" w:rsidP="00F62C20">
            <w:r w:rsidRPr="00B15AFF">
              <w:t>350</w:t>
            </w:r>
          </w:p>
        </w:tc>
        <w:tc>
          <w:tcPr>
            <w:tcW w:w="1456" w:type="dxa"/>
            <w:hideMark/>
          </w:tcPr>
          <w:p w14:paraId="5CBDB945" w14:textId="77777777" w:rsidR="002858B9" w:rsidRPr="00B15AFF" w:rsidRDefault="002858B9" w:rsidP="00F62C20">
            <w:r w:rsidRPr="00B15AFF">
              <w:t>0.752</w:t>
            </w:r>
          </w:p>
        </w:tc>
        <w:tc>
          <w:tcPr>
            <w:tcW w:w="1530" w:type="dxa"/>
            <w:hideMark/>
          </w:tcPr>
          <w:p w14:paraId="757961A2" w14:textId="77777777" w:rsidR="002858B9" w:rsidRPr="00B15AFF" w:rsidRDefault="002858B9" w:rsidP="00F62C20">
            <w:r w:rsidRPr="00B15AFF">
              <w:t>263.2</w:t>
            </w:r>
          </w:p>
        </w:tc>
      </w:tr>
      <w:tr w:rsidR="002858B9" w:rsidRPr="00B15AFF" w14:paraId="38048A78" w14:textId="77777777" w:rsidTr="00F62C20">
        <w:trPr>
          <w:jc w:val="center"/>
        </w:trPr>
        <w:tc>
          <w:tcPr>
            <w:tcW w:w="1028" w:type="dxa"/>
            <w:hideMark/>
          </w:tcPr>
          <w:p w14:paraId="34CC4457" w14:textId="77777777" w:rsidR="002858B9" w:rsidRPr="00B15AFF" w:rsidRDefault="002858B9" w:rsidP="00F62C20">
            <w:r w:rsidRPr="00B15AFF">
              <w:t>2</w:t>
            </w:r>
          </w:p>
        </w:tc>
        <w:tc>
          <w:tcPr>
            <w:tcW w:w="1778" w:type="dxa"/>
            <w:hideMark/>
          </w:tcPr>
          <w:p w14:paraId="1B667D72" w14:textId="77777777" w:rsidR="002858B9" w:rsidRPr="00B15AFF" w:rsidRDefault="002858B9" w:rsidP="00F62C20">
            <w:r w:rsidRPr="00B15AFF">
              <w:t>387.5</w:t>
            </w:r>
          </w:p>
        </w:tc>
        <w:tc>
          <w:tcPr>
            <w:tcW w:w="1456" w:type="dxa"/>
            <w:hideMark/>
          </w:tcPr>
          <w:p w14:paraId="45E74EF6" w14:textId="77777777" w:rsidR="002858B9" w:rsidRPr="00B15AFF" w:rsidRDefault="002858B9" w:rsidP="00F62C20">
            <w:r w:rsidRPr="00B15AFF">
              <w:t>0.565</w:t>
            </w:r>
          </w:p>
        </w:tc>
        <w:tc>
          <w:tcPr>
            <w:tcW w:w="1530" w:type="dxa"/>
            <w:hideMark/>
          </w:tcPr>
          <w:p w14:paraId="55CD1752" w14:textId="77777777" w:rsidR="002858B9" w:rsidRPr="00B15AFF" w:rsidRDefault="002858B9" w:rsidP="00F62C20">
            <w:r w:rsidRPr="00B15AFF">
              <w:t>218.9</w:t>
            </w:r>
          </w:p>
        </w:tc>
      </w:tr>
      <w:tr w:rsidR="002858B9" w:rsidRPr="00B15AFF" w14:paraId="280EB746" w14:textId="77777777" w:rsidTr="00F62C20">
        <w:trPr>
          <w:jc w:val="center"/>
        </w:trPr>
        <w:tc>
          <w:tcPr>
            <w:tcW w:w="1028" w:type="dxa"/>
            <w:hideMark/>
          </w:tcPr>
          <w:p w14:paraId="2140E3BB" w14:textId="77777777" w:rsidR="002858B9" w:rsidRPr="00B15AFF" w:rsidRDefault="002858B9" w:rsidP="00F62C20">
            <w:r w:rsidRPr="00B15AFF">
              <w:t>3</w:t>
            </w:r>
          </w:p>
        </w:tc>
        <w:tc>
          <w:tcPr>
            <w:tcW w:w="1778" w:type="dxa"/>
            <w:hideMark/>
          </w:tcPr>
          <w:p w14:paraId="516D3102" w14:textId="77777777" w:rsidR="002858B9" w:rsidRPr="00B15AFF" w:rsidRDefault="002858B9" w:rsidP="00F62C20">
            <w:r w:rsidRPr="00B15AFF">
              <w:t>590</w:t>
            </w:r>
          </w:p>
        </w:tc>
        <w:tc>
          <w:tcPr>
            <w:tcW w:w="1456" w:type="dxa"/>
            <w:hideMark/>
          </w:tcPr>
          <w:p w14:paraId="64FDFCC8" w14:textId="77777777" w:rsidR="002858B9" w:rsidRPr="00B15AFF" w:rsidRDefault="002858B9" w:rsidP="00F62C20">
            <w:r w:rsidRPr="00B15AFF">
              <w:t>0.425</w:t>
            </w:r>
          </w:p>
        </w:tc>
        <w:tc>
          <w:tcPr>
            <w:tcW w:w="1530" w:type="dxa"/>
            <w:hideMark/>
          </w:tcPr>
          <w:p w14:paraId="7ED76370" w14:textId="77777777" w:rsidR="002858B9" w:rsidRPr="00B15AFF" w:rsidRDefault="002858B9" w:rsidP="00F62C20">
            <w:r w:rsidRPr="00B15AFF">
              <w:t>250.8</w:t>
            </w:r>
          </w:p>
        </w:tc>
      </w:tr>
      <w:tr w:rsidR="002858B9" w:rsidRPr="00B15AFF" w14:paraId="12F6FCD9" w14:textId="77777777" w:rsidTr="00F62C20">
        <w:trPr>
          <w:jc w:val="center"/>
        </w:trPr>
        <w:tc>
          <w:tcPr>
            <w:tcW w:w="1028" w:type="dxa"/>
            <w:hideMark/>
          </w:tcPr>
          <w:p w14:paraId="5799CE5F" w14:textId="77777777" w:rsidR="002858B9" w:rsidRPr="00B15AFF" w:rsidRDefault="002858B9" w:rsidP="00F62C20">
            <w:r w:rsidRPr="00B15AFF">
              <w:t>4</w:t>
            </w:r>
          </w:p>
        </w:tc>
        <w:tc>
          <w:tcPr>
            <w:tcW w:w="1778" w:type="dxa"/>
            <w:hideMark/>
          </w:tcPr>
          <w:p w14:paraId="428EF977" w14:textId="77777777" w:rsidR="002858B9" w:rsidRPr="00B15AFF" w:rsidRDefault="002858B9" w:rsidP="00F62C20">
            <w:r w:rsidRPr="00B15AFF">
              <w:t>785</w:t>
            </w:r>
          </w:p>
        </w:tc>
        <w:tc>
          <w:tcPr>
            <w:tcW w:w="1456" w:type="dxa"/>
            <w:hideMark/>
          </w:tcPr>
          <w:p w14:paraId="020513BD" w14:textId="77777777" w:rsidR="002858B9" w:rsidRPr="00B15AFF" w:rsidRDefault="002858B9" w:rsidP="00F62C20">
            <w:r w:rsidRPr="00B15AFF">
              <w:t>0.319</w:t>
            </w:r>
          </w:p>
        </w:tc>
        <w:tc>
          <w:tcPr>
            <w:tcW w:w="1530" w:type="dxa"/>
            <w:hideMark/>
          </w:tcPr>
          <w:p w14:paraId="17D2F468" w14:textId="77777777" w:rsidR="002858B9" w:rsidRPr="00B15AFF" w:rsidRDefault="002858B9" w:rsidP="00F62C20">
            <w:r w:rsidRPr="00B15AFF">
              <w:t>250.4</w:t>
            </w:r>
          </w:p>
        </w:tc>
      </w:tr>
      <w:tr w:rsidR="002858B9" w:rsidRPr="00B15AFF" w14:paraId="0D0995CD" w14:textId="77777777" w:rsidTr="00F62C20">
        <w:trPr>
          <w:jc w:val="center"/>
        </w:trPr>
        <w:tc>
          <w:tcPr>
            <w:tcW w:w="1028" w:type="dxa"/>
          </w:tcPr>
          <w:p w14:paraId="284ECAC1" w14:textId="77777777" w:rsidR="002858B9" w:rsidRPr="00B15AFF" w:rsidRDefault="002858B9" w:rsidP="00F62C20">
            <w:r w:rsidRPr="00B15AFF">
              <w:t>Total</w:t>
            </w:r>
          </w:p>
        </w:tc>
        <w:tc>
          <w:tcPr>
            <w:tcW w:w="1778" w:type="dxa"/>
          </w:tcPr>
          <w:p w14:paraId="71C5113F" w14:textId="77777777" w:rsidR="002858B9" w:rsidRPr="00B15AFF" w:rsidRDefault="002858B9" w:rsidP="00F62C20"/>
        </w:tc>
        <w:tc>
          <w:tcPr>
            <w:tcW w:w="1456" w:type="dxa"/>
          </w:tcPr>
          <w:p w14:paraId="30339480" w14:textId="77777777" w:rsidR="002858B9" w:rsidRPr="00B15AFF" w:rsidRDefault="002858B9" w:rsidP="00F62C20"/>
        </w:tc>
        <w:tc>
          <w:tcPr>
            <w:tcW w:w="1530" w:type="dxa"/>
          </w:tcPr>
          <w:p w14:paraId="45D4BAA8" w14:textId="77777777" w:rsidR="002858B9" w:rsidRPr="00B15AFF" w:rsidRDefault="002858B9" w:rsidP="00F62C20">
            <w:r w:rsidRPr="00B15AFF">
              <w:t>983.3</w:t>
            </w:r>
          </w:p>
        </w:tc>
      </w:tr>
    </w:tbl>
    <w:p w14:paraId="43C499FC" w14:textId="77777777" w:rsidR="002858B9" w:rsidRPr="00B15AFF" w:rsidRDefault="002858B9" w:rsidP="002858B9"/>
    <w:p w14:paraId="68544172" w14:textId="77777777" w:rsidR="002858B9" w:rsidRPr="00B15AFF" w:rsidRDefault="002858B9" w:rsidP="002858B9">
      <w:r w:rsidRPr="00B15AFF">
        <w:t>NPV = 983,300 − 1,000,000</w:t>
      </w:r>
    </w:p>
    <w:p w14:paraId="035F97A5" w14:textId="77777777" w:rsidR="002858B9" w:rsidRPr="00B15AFF" w:rsidRDefault="002858B9" w:rsidP="002858B9">
      <w:r w:rsidRPr="00B15AFF">
        <w:t>NPV = –£16,700</w:t>
      </w:r>
    </w:p>
    <w:p w14:paraId="054957A2" w14:textId="77777777" w:rsidR="002858B9" w:rsidRPr="00B15AFF" w:rsidRDefault="002858B9" w:rsidP="002858B9">
      <w:pPr>
        <w:rPr>
          <w:rFonts w:eastAsiaTheme="minorEastAsia"/>
        </w:rPr>
      </w:pPr>
      <w:r w:rsidRPr="00B15AFF">
        <w:t>IRR = 30%+</w:t>
      </w:r>
      <m:oMath>
        <m:f>
          <m:fPr>
            <m:ctrlPr>
              <w:rPr>
                <w:rFonts w:ascii="Cambria Math" w:hAnsi="Cambria Math" w:cs="Times New Roman"/>
              </w:rPr>
            </m:ctrlPr>
          </m:fPr>
          <m:num>
            <m:r>
              <w:rPr>
                <w:rFonts w:ascii="Cambria Math" w:hAnsi="Cambria Math" w:cs="Times New Roman"/>
              </w:rPr>
              <m:t>41.8</m:t>
            </m:r>
          </m:num>
          <m:den>
            <m:r>
              <w:rPr>
                <w:rFonts w:ascii="Cambria Math" w:hAnsi="Cambria Math" w:cs="Times New Roman"/>
              </w:rPr>
              <m:t>41.8+16.7</m:t>
            </m:r>
          </m:den>
        </m:f>
        <m:r>
          <w:rPr>
            <w:rFonts w:ascii="Cambria Math" w:hAnsi="Cambria Math" w:cs="Times New Roman"/>
          </w:rPr>
          <m:t>×</m:t>
        </m:r>
        <m:d>
          <m:dPr>
            <m:ctrlPr>
              <w:rPr>
                <w:rFonts w:ascii="Cambria Math" w:hAnsi="Cambria Math" w:cs="Times New Roman"/>
                <w:i/>
              </w:rPr>
            </m:ctrlPr>
          </m:dPr>
          <m:e>
            <m:r>
              <w:rPr>
                <w:rFonts w:ascii="Cambria Math" w:hAnsi="Cambria Math" w:cs="Times New Roman"/>
              </w:rPr>
              <m:t>33-30</m:t>
            </m:r>
          </m:e>
        </m:d>
      </m:oMath>
    </w:p>
    <w:p w14:paraId="69B3884A" w14:textId="77777777" w:rsidR="002858B9" w:rsidRPr="00B15AFF" w:rsidRDefault="002858B9" w:rsidP="002858B9">
      <w:pPr>
        <w:rPr>
          <w:rFonts w:eastAsiaTheme="minorEastAsia"/>
        </w:rPr>
      </w:pPr>
      <w:r w:rsidRPr="00B15AFF">
        <w:rPr>
          <w:rFonts w:eastAsiaTheme="minorEastAsia"/>
        </w:rPr>
        <w:tab/>
        <w:t>32.14% (approximately)</w:t>
      </w:r>
    </w:p>
    <w:p w14:paraId="27805FB1" w14:textId="77777777" w:rsidR="002858B9" w:rsidRPr="00B15AFF" w:rsidRDefault="002858B9" w:rsidP="002858B9">
      <w:pPr>
        <w:rPr>
          <w:rFonts w:eastAsiaTheme="minorEastAsia"/>
        </w:rPr>
      </w:pPr>
      <w:r w:rsidRPr="00B15AFF">
        <w:t xml:space="preserve">Profitability Index (PI) = </w:t>
      </w:r>
      <m:oMath>
        <m:f>
          <m:fPr>
            <m:ctrlPr>
              <w:rPr>
                <w:rFonts w:ascii="Cambria Math" w:hAnsi="Cambria Math"/>
                <w:i/>
              </w:rPr>
            </m:ctrlPr>
          </m:fPr>
          <m:num>
            <m:r>
              <w:rPr>
                <w:rFonts w:ascii="Cambria Math" w:hAnsi="Cambria Math"/>
              </w:rPr>
              <m:t>Present Value</m:t>
            </m:r>
          </m:num>
          <m:den>
            <m:r>
              <w:rPr>
                <w:rFonts w:ascii="Cambria Math" w:hAnsi="Cambria Math"/>
              </w:rPr>
              <m:t>Initial Investment</m:t>
            </m:r>
          </m:den>
        </m:f>
      </m:oMath>
    </w:p>
    <w:p w14:paraId="02E3D6DB" w14:textId="77777777" w:rsidR="002858B9" w:rsidRPr="00B15AFF" w:rsidRDefault="002858B9" w:rsidP="002858B9">
      <w:pPr>
        <w:rPr>
          <w:rFonts w:eastAsiaTheme="minorEastAsia"/>
        </w:rPr>
      </w:pPr>
    </w:p>
    <w:tbl>
      <w:tblPr>
        <w:tblStyle w:val="TableGrid"/>
        <w:tblW w:w="0" w:type="auto"/>
        <w:jc w:val="center"/>
        <w:tblLook w:val="04A0" w:firstRow="1" w:lastRow="0" w:firstColumn="1" w:lastColumn="0" w:noHBand="0" w:noVBand="1"/>
      </w:tblPr>
      <w:tblGrid>
        <w:gridCol w:w="1403"/>
        <w:gridCol w:w="1676"/>
        <w:gridCol w:w="1850"/>
        <w:gridCol w:w="1638"/>
      </w:tblGrid>
      <w:tr w:rsidR="002858B9" w:rsidRPr="00B15AFF" w14:paraId="4889CD1C" w14:textId="77777777" w:rsidTr="00F62C20">
        <w:trPr>
          <w:jc w:val="center"/>
        </w:trPr>
        <w:tc>
          <w:tcPr>
            <w:tcW w:w="1403" w:type="dxa"/>
            <w:hideMark/>
          </w:tcPr>
          <w:p w14:paraId="79B642F5" w14:textId="77777777" w:rsidR="002858B9" w:rsidRPr="00B15AFF" w:rsidRDefault="002858B9" w:rsidP="00F62C20">
            <w:r w:rsidRPr="00B15AFF">
              <w:t>Option</w:t>
            </w:r>
          </w:p>
        </w:tc>
        <w:tc>
          <w:tcPr>
            <w:tcW w:w="1676" w:type="dxa"/>
            <w:hideMark/>
          </w:tcPr>
          <w:p w14:paraId="6033A212" w14:textId="77777777" w:rsidR="002858B9" w:rsidRPr="00B15AFF" w:rsidRDefault="002858B9" w:rsidP="00F62C20">
            <w:r w:rsidRPr="00B15AFF">
              <w:t>PV (£k)</w:t>
            </w:r>
          </w:p>
        </w:tc>
        <w:tc>
          <w:tcPr>
            <w:tcW w:w="1850" w:type="dxa"/>
            <w:hideMark/>
          </w:tcPr>
          <w:p w14:paraId="37DD810E" w14:textId="77777777" w:rsidR="002858B9" w:rsidRPr="00B15AFF" w:rsidRDefault="002858B9" w:rsidP="00F62C20">
            <w:r w:rsidRPr="00B15AFF">
              <w:t>Investment (£k)</w:t>
            </w:r>
          </w:p>
        </w:tc>
        <w:tc>
          <w:tcPr>
            <w:tcW w:w="1638" w:type="dxa"/>
            <w:hideMark/>
          </w:tcPr>
          <w:p w14:paraId="47ACBADF" w14:textId="77777777" w:rsidR="002858B9" w:rsidRPr="00B15AFF" w:rsidRDefault="002858B9" w:rsidP="00F62C20">
            <w:r w:rsidRPr="00B15AFF">
              <w:t>PI</w:t>
            </w:r>
          </w:p>
        </w:tc>
      </w:tr>
      <w:tr w:rsidR="002858B9" w:rsidRPr="00B15AFF" w14:paraId="5CFDFAFC" w14:textId="77777777" w:rsidTr="00F62C20">
        <w:trPr>
          <w:jc w:val="center"/>
        </w:trPr>
        <w:tc>
          <w:tcPr>
            <w:tcW w:w="1403" w:type="dxa"/>
            <w:hideMark/>
          </w:tcPr>
          <w:p w14:paraId="698E8BAD" w14:textId="77777777" w:rsidR="002858B9" w:rsidRPr="00B15AFF" w:rsidRDefault="002858B9" w:rsidP="00F62C20">
            <w:r w:rsidRPr="00B15AFF">
              <w:t>A</w:t>
            </w:r>
          </w:p>
        </w:tc>
        <w:tc>
          <w:tcPr>
            <w:tcW w:w="1676" w:type="dxa"/>
            <w:hideMark/>
          </w:tcPr>
          <w:p w14:paraId="1C916A41" w14:textId="77777777" w:rsidR="002858B9" w:rsidRPr="00B15AFF" w:rsidRDefault="002858B9" w:rsidP="00F62C20">
            <w:r w:rsidRPr="00B15AFF">
              <w:t>1,243.2</w:t>
            </w:r>
          </w:p>
        </w:tc>
        <w:tc>
          <w:tcPr>
            <w:tcW w:w="1850" w:type="dxa"/>
            <w:hideMark/>
          </w:tcPr>
          <w:p w14:paraId="11A60380" w14:textId="77777777" w:rsidR="002858B9" w:rsidRPr="00B15AFF" w:rsidRDefault="002858B9" w:rsidP="00F62C20">
            <w:r w:rsidRPr="00B15AFF">
              <w:t>600</w:t>
            </w:r>
          </w:p>
        </w:tc>
        <w:tc>
          <w:tcPr>
            <w:tcW w:w="1638" w:type="dxa"/>
            <w:hideMark/>
          </w:tcPr>
          <w:p w14:paraId="28E10EB5" w14:textId="77777777" w:rsidR="002858B9" w:rsidRPr="00B15AFF" w:rsidRDefault="002858B9" w:rsidP="00F62C20">
            <w:r w:rsidRPr="00B15AFF">
              <w:t>2.07</w:t>
            </w:r>
          </w:p>
        </w:tc>
      </w:tr>
      <w:tr w:rsidR="002858B9" w:rsidRPr="00B15AFF" w14:paraId="737A2573" w14:textId="77777777" w:rsidTr="00F62C20">
        <w:trPr>
          <w:jc w:val="center"/>
        </w:trPr>
        <w:tc>
          <w:tcPr>
            <w:tcW w:w="1403" w:type="dxa"/>
            <w:hideMark/>
          </w:tcPr>
          <w:p w14:paraId="16928F75" w14:textId="77777777" w:rsidR="002858B9" w:rsidRPr="00B15AFF" w:rsidRDefault="002858B9" w:rsidP="00F62C20">
            <w:r w:rsidRPr="00B15AFF">
              <w:t>B</w:t>
            </w:r>
          </w:p>
        </w:tc>
        <w:tc>
          <w:tcPr>
            <w:tcW w:w="1676" w:type="dxa"/>
            <w:hideMark/>
          </w:tcPr>
          <w:p w14:paraId="0F96434A" w14:textId="77777777" w:rsidR="002858B9" w:rsidRPr="00B15AFF" w:rsidRDefault="002858B9" w:rsidP="00F62C20">
            <w:r w:rsidRPr="00B15AFF">
              <w:t>1,792.3</w:t>
            </w:r>
          </w:p>
        </w:tc>
        <w:tc>
          <w:tcPr>
            <w:tcW w:w="1850" w:type="dxa"/>
            <w:hideMark/>
          </w:tcPr>
          <w:p w14:paraId="12A021D0" w14:textId="77777777" w:rsidR="002858B9" w:rsidRPr="00B15AFF" w:rsidRDefault="002858B9" w:rsidP="00F62C20">
            <w:r w:rsidRPr="00B15AFF">
              <w:t>1,000</w:t>
            </w:r>
          </w:p>
        </w:tc>
        <w:tc>
          <w:tcPr>
            <w:tcW w:w="1638" w:type="dxa"/>
            <w:hideMark/>
          </w:tcPr>
          <w:p w14:paraId="243DD752" w14:textId="77777777" w:rsidR="002858B9" w:rsidRPr="00B15AFF" w:rsidRDefault="002858B9" w:rsidP="00F62C20">
            <w:r w:rsidRPr="00B15AFF">
              <w:t>1.79</w:t>
            </w:r>
          </w:p>
        </w:tc>
      </w:tr>
      <w:tr w:rsidR="002858B9" w:rsidRPr="00B15AFF" w14:paraId="7E54FBF8" w14:textId="77777777" w:rsidTr="00F62C20">
        <w:trPr>
          <w:jc w:val="center"/>
        </w:trPr>
        <w:tc>
          <w:tcPr>
            <w:tcW w:w="1403" w:type="dxa"/>
            <w:hideMark/>
          </w:tcPr>
          <w:p w14:paraId="2FFBA39D" w14:textId="77777777" w:rsidR="002858B9" w:rsidRPr="00B15AFF" w:rsidRDefault="002858B9" w:rsidP="00F62C20">
            <w:r w:rsidRPr="00B15AFF">
              <w:t>C</w:t>
            </w:r>
          </w:p>
        </w:tc>
        <w:tc>
          <w:tcPr>
            <w:tcW w:w="1676" w:type="dxa"/>
            <w:hideMark/>
          </w:tcPr>
          <w:p w14:paraId="63C09B2B" w14:textId="77777777" w:rsidR="002858B9" w:rsidRPr="00B15AFF" w:rsidRDefault="002858B9" w:rsidP="00F62C20">
            <w:r w:rsidRPr="00B15AFF">
              <w:t>2,342.6</w:t>
            </w:r>
          </w:p>
        </w:tc>
        <w:tc>
          <w:tcPr>
            <w:tcW w:w="1850" w:type="dxa"/>
            <w:hideMark/>
          </w:tcPr>
          <w:p w14:paraId="6F0DB85B" w14:textId="77777777" w:rsidR="002858B9" w:rsidRPr="00B15AFF" w:rsidRDefault="002858B9" w:rsidP="00F62C20">
            <w:r w:rsidRPr="00B15AFF">
              <w:t>1,600</w:t>
            </w:r>
          </w:p>
        </w:tc>
        <w:tc>
          <w:tcPr>
            <w:tcW w:w="1638" w:type="dxa"/>
            <w:hideMark/>
          </w:tcPr>
          <w:p w14:paraId="7C665EEF" w14:textId="77777777" w:rsidR="002858B9" w:rsidRPr="00B15AFF" w:rsidRDefault="002858B9" w:rsidP="00F62C20">
            <w:r w:rsidRPr="00B15AFF">
              <w:t>1.46</w:t>
            </w:r>
          </w:p>
        </w:tc>
      </w:tr>
    </w:tbl>
    <w:p w14:paraId="054EB7D8" w14:textId="77777777" w:rsidR="002858B9" w:rsidRPr="002858B9" w:rsidRDefault="002858B9" w:rsidP="002858B9"/>
    <w:sectPr w:rsidR="002858B9" w:rsidRPr="002858B9" w:rsidSect="007D1947">
      <w:footerReference w:type="default" r:id="rId4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17EB1A" w14:textId="77777777" w:rsidR="003E6E65" w:rsidRDefault="003E6E65" w:rsidP="00F33B24">
      <w:pPr>
        <w:spacing w:after="0" w:line="240" w:lineRule="auto"/>
      </w:pPr>
      <w:r>
        <w:separator/>
      </w:r>
    </w:p>
  </w:endnote>
  <w:endnote w:type="continuationSeparator" w:id="0">
    <w:p w14:paraId="418062B4" w14:textId="77777777" w:rsidR="003E6E65" w:rsidRDefault="003E6E65" w:rsidP="00F33B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6966739"/>
      <w:docPartObj>
        <w:docPartGallery w:val="Page Numbers (Bottom of Page)"/>
        <w:docPartUnique/>
      </w:docPartObj>
    </w:sdtPr>
    <w:sdtEndPr>
      <w:rPr>
        <w:noProof/>
      </w:rPr>
    </w:sdtEndPr>
    <w:sdtContent>
      <w:p w14:paraId="4C366E65" w14:textId="31925501" w:rsidR="00F62C20" w:rsidRDefault="00F62C20">
        <w:pPr>
          <w:pStyle w:val="Footer"/>
          <w:jc w:val="center"/>
        </w:pPr>
        <w:r>
          <w:fldChar w:fldCharType="begin"/>
        </w:r>
        <w:r>
          <w:instrText xml:space="preserve"> PAGE   \* MERGEFORMAT </w:instrText>
        </w:r>
        <w:r>
          <w:fldChar w:fldCharType="separate"/>
        </w:r>
        <w:r w:rsidR="00481C82">
          <w:rPr>
            <w:noProof/>
          </w:rPr>
          <w:t>22</w:t>
        </w:r>
        <w:r>
          <w:rPr>
            <w:noProof/>
          </w:rPr>
          <w:fldChar w:fldCharType="end"/>
        </w:r>
      </w:p>
    </w:sdtContent>
  </w:sdt>
  <w:p w14:paraId="767ED3F4" w14:textId="77777777" w:rsidR="00F62C20" w:rsidRDefault="00F62C2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2A44A8" w14:textId="77777777" w:rsidR="003E6E65" w:rsidRDefault="003E6E65" w:rsidP="00F33B24">
      <w:pPr>
        <w:spacing w:after="0" w:line="240" w:lineRule="auto"/>
      </w:pPr>
      <w:r>
        <w:separator/>
      </w:r>
    </w:p>
  </w:footnote>
  <w:footnote w:type="continuationSeparator" w:id="0">
    <w:p w14:paraId="6CFD6F62" w14:textId="77777777" w:rsidR="003E6E65" w:rsidRDefault="003E6E65" w:rsidP="00F33B2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1947"/>
    <w:rsid w:val="0000410D"/>
    <w:rsid w:val="00084E65"/>
    <w:rsid w:val="000E1C6B"/>
    <w:rsid w:val="00107936"/>
    <w:rsid w:val="00115B96"/>
    <w:rsid w:val="0015249B"/>
    <w:rsid w:val="001E3277"/>
    <w:rsid w:val="002858B9"/>
    <w:rsid w:val="00324CCD"/>
    <w:rsid w:val="003316B8"/>
    <w:rsid w:val="003C11E7"/>
    <w:rsid w:val="003E6E65"/>
    <w:rsid w:val="004429F7"/>
    <w:rsid w:val="00480872"/>
    <w:rsid w:val="00481C82"/>
    <w:rsid w:val="004A11F6"/>
    <w:rsid w:val="004D519C"/>
    <w:rsid w:val="0065195A"/>
    <w:rsid w:val="00703309"/>
    <w:rsid w:val="007D1947"/>
    <w:rsid w:val="00931CAA"/>
    <w:rsid w:val="00A11633"/>
    <w:rsid w:val="00A12B58"/>
    <w:rsid w:val="00AA2A91"/>
    <w:rsid w:val="00C06376"/>
    <w:rsid w:val="00CA09F3"/>
    <w:rsid w:val="00CF0E48"/>
    <w:rsid w:val="00D854A5"/>
    <w:rsid w:val="00E265BE"/>
    <w:rsid w:val="00F33B24"/>
    <w:rsid w:val="00F62C2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1C6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E1C6B"/>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0E1C6B"/>
    <w:pPr>
      <w:keepNext/>
      <w:keepLines/>
      <w:spacing w:before="40" w:after="0"/>
      <w:outlineLvl w:val="1"/>
    </w:pPr>
    <w:rPr>
      <w:rFonts w:eastAsiaTheme="majorEastAsia" w:cstheme="majorBidi"/>
      <w:b/>
      <w:color w:val="2E74B5" w:themeColor="accent1" w:themeShade="BF"/>
      <w:sz w:val="28"/>
      <w:szCs w:val="26"/>
    </w:rPr>
  </w:style>
  <w:style w:type="paragraph" w:styleId="Heading3">
    <w:name w:val="heading 3"/>
    <w:basedOn w:val="Normal"/>
    <w:next w:val="Normal"/>
    <w:link w:val="Heading3Char"/>
    <w:uiPriority w:val="9"/>
    <w:unhideWhenUsed/>
    <w:qFormat/>
    <w:rsid w:val="000E1C6B"/>
    <w:pPr>
      <w:keepNext/>
      <w:keepLines/>
      <w:spacing w:before="200" w:after="0"/>
      <w:outlineLvl w:val="2"/>
    </w:pPr>
    <w:rPr>
      <w:rFonts w:eastAsiaTheme="majorEastAsia" w:cstheme="majorBidi"/>
      <w:b/>
      <w:bCs/>
      <w:color w:val="5B9BD5" w:themeColor="accent1"/>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0E1C6B"/>
    <w:rPr>
      <w:rFonts w:ascii="Times New Roman" w:eastAsiaTheme="majorEastAsia" w:hAnsi="Times New Roman" w:cstheme="majorBidi"/>
      <w:b/>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0E1C6B"/>
    <w:rPr>
      <w:rFonts w:ascii="Times New Roman" w:eastAsiaTheme="majorEastAsia" w:hAnsi="Times New Roman" w:cstheme="majorBidi"/>
      <w:b/>
      <w:color w:val="2E74B5" w:themeColor="accent1" w:themeShade="BF"/>
      <w:sz w:val="28"/>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F33B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3B24"/>
  </w:style>
  <w:style w:type="paragraph" w:styleId="Footer">
    <w:name w:val="footer"/>
    <w:basedOn w:val="Normal"/>
    <w:link w:val="FooterChar"/>
    <w:uiPriority w:val="99"/>
    <w:unhideWhenUsed/>
    <w:rsid w:val="00F33B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3B24"/>
  </w:style>
  <w:style w:type="paragraph" w:styleId="BalloonText">
    <w:name w:val="Balloon Text"/>
    <w:basedOn w:val="Normal"/>
    <w:link w:val="BalloonTextChar"/>
    <w:uiPriority w:val="99"/>
    <w:semiHidden/>
    <w:unhideWhenUsed/>
    <w:rsid w:val="000E1C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1C6B"/>
    <w:rPr>
      <w:rFonts w:ascii="Tahoma" w:hAnsi="Tahoma" w:cs="Tahoma"/>
      <w:sz w:val="16"/>
      <w:szCs w:val="16"/>
    </w:rPr>
  </w:style>
  <w:style w:type="character" w:customStyle="1" w:styleId="Heading3Char">
    <w:name w:val="Heading 3 Char"/>
    <w:basedOn w:val="DefaultParagraphFont"/>
    <w:link w:val="Heading3"/>
    <w:uiPriority w:val="9"/>
    <w:rsid w:val="000E1C6B"/>
    <w:rPr>
      <w:rFonts w:ascii="Times New Roman" w:eastAsiaTheme="majorEastAsia" w:hAnsi="Times New Roman" w:cstheme="majorBidi"/>
      <w:b/>
      <w:bCs/>
      <w:color w:val="5B9BD5" w:themeColor="accent1"/>
      <w:sz w:val="26"/>
    </w:rPr>
  </w:style>
  <w:style w:type="table" w:styleId="TableGrid">
    <w:name w:val="Table Grid"/>
    <w:basedOn w:val="TableNormal"/>
    <w:uiPriority w:val="59"/>
    <w:rsid w:val="000E1C6B"/>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E1C6B"/>
    <w:pPr>
      <w:spacing w:after="200"/>
      <w:ind w:left="720"/>
      <w:contextualSpacing/>
    </w:pPr>
  </w:style>
  <w:style w:type="character" w:styleId="Emphasis">
    <w:name w:val="Emphasis"/>
    <w:basedOn w:val="DefaultParagraphFont"/>
    <w:uiPriority w:val="20"/>
    <w:qFormat/>
    <w:rsid w:val="000E1C6B"/>
    <w:rPr>
      <w:i/>
      <w:iCs/>
    </w:rPr>
  </w:style>
  <w:style w:type="paragraph" w:styleId="TOC3">
    <w:name w:val="toc 3"/>
    <w:basedOn w:val="Normal"/>
    <w:next w:val="Normal"/>
    <w:autoRedefine/>
    <w:uiPriority w:val="39"/>
    <w:unhideWhenUsed/>
    <w:rsid w:val="000E1C6B"/>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1C6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E1C6B"/>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0E1C6B"/>
    <w:pPr>
      <w:keepNext/>
      <w:keepLines/>
      <w:spacing w:before="40" w:after="0"/>
      <w:outlineLvl w:val="1"/>
    </w:pPr>
    <w:rPr>
      <w:rFonts w:eastAsiaTheme="majorEastAsia" w:cstheme="majorBidi"/>
      <w:b/>
      <w:color w:val="2E74B5" w:themeColor="accent1" w:themeShade="BF"/>
      <w:sz w:val="28"/>
      <w:szCs w:val="26"/>
    </w:rPr>
  </w:style>
  <w:style w:type="paragraph" w:styleId="Heading3">
    <w:name w:val="heading 3"/>
    <w:basedOn w:val="Normal"/>
    <w:next w:val="Normal"/>
    <w:link w:val="Heading3Char"/>
    <w:uiPriority w:val="9"/>
    <w:unhideWhenUsed/>
    <w:qFormat/>
    <w:rsid w:val="000E1C6B"/>
    <w:pPr>
      <w:keepNext/>
      <w:keepLines/>
      <w:spacing w:before="200" w:after="0"/>
      <w:outlineLvl w:val="2"/>
    </w:pPr>
    <w:rPr>
      <w:rFonts w:eastAsiaTheme="majorEastAsia" w:cstheme="majorBidi"/>
      <w:b/>
      <w:bCs/>
      <w:color w:val="5B9BD5" w:themeColor="accent1"/>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0E1C6B"/>
    <w:rPr>
      <w:rFonts w:ascii="Times New Roman" w:eastAsiaTheme="majorEastAsia" w:hAnsi="Times New Roman" w:cstheme="majorBidi"/>
      <w:b/>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0E1C6B"/>
    <w:rPr>
      <w:rFonts w:ascii="Times New Roman" w:eastAsiaTheme="majorEastAsia" w:hAnsi="Times New Roman" w:cstheme="majorBidi"/>
      <w:b/>
      <w:color w:val="2E74B5" w:themeColor="accent1" w:themeShade="BF"/>
      <w:sz w:val="28"/>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F33B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3B24"/>
  </w:style>
  <w:style w:type="paragraph" w:styleId="Footer">
    <w:name w:val="footer"/>
    <w:basedOn w:val="Normal"/>
    <w:link w:val="FooterChar"/>
    <w:uiPriority w:val="99"/>
    <w:unhideWhenUsed/>
    <w:rsid w:val="00F33B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3B24"/>
  </w:style>
  <w:style w:type="paragraph" w:styleId="BalloonText">
    <w:name w:val="Balloon Text"/>
    <w:basedOn w:val="Normal"/>
    <w:link w:val="BalloonTextChar"/>
    <w:uiPriority w:val="99"/>
    <w:semiHidden/>
    <w:unhideWhenUsed/>
    <w:rsid w:val="000E1C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1C6B"/>
    <w:rPr>
      <w:rFonts w:ascii="Tahoma" w:hAnsi="Tahoma" w:cs="Tahoma"/>
      <w:sz w:val="16"/>
      <w:szCs w:val="16"/>
    </w:rPr>
  </w:style>
  <w:style w:type="character" w:customStyle="1" w:styleId="Heading3Char">
    <w:name w:val="Heading 3 Char"/>
    <w:basedOn w:val="DefaultParagraphFont"/>
    <w:link w:val="Heading3"/>
    <w:uiPriority w:val="9"/>
    <w:rsid w:val="000E1C6B"/>
    <w:rPr>
      <w:rFonts w:ascii="Times New Roman" w:eastAsiaTheme="majorEastAsia" w:hAnsi="Times New Roman" w:cstheme="majorBidi"/>
      <w:b/>
      <w:bCs/>
      <w:color w:val="5B9BD5" w:themeColor="accent1"/>
      <w:sz w:val="26"/>
    </w:rPr>
  </w:style>
  <w:style w:type="table" w:styleId="TableGrid">
    <w:name w:val="Table Grid"/>
    <w:basedOn w:val="TableNormal"/>
    <w:uiPriority w:val="59"/>
    <w:rsid w:val="000E1C6B"/>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E1C6B"/>
    <w:pPr>
      <w:spacing w:after="200"/>
      <w:ind w:left="720"/>
      <w:contextualSpacing/>
    </w:pPr>
  </w:style>
  <w:style w:type="character" w:styleId="Emphasis">
    <w:name w:val="Emphasis"/>
    <w:basedOn w:val="DefaultParagraphFont"/>
    <w:uiPriority w:val="20"/>
    <w:qFormat/>
    <w:rsid w:val="000E1C6B"/>
    <w:rPr>
      <w:i/>
      <w:iCs/>
    </w:rPr>
  </w:style>
  <w:style w:type="paragraph" w:styleId="TOC3">
    <w:name w:val="toc 3"/>
    <w:basedOn w:val="Normal"/>
    <w:next w:val="Normal"/>
    <w:autoRedefine/>
    <w:uiPriority w:val="39"/>
    <w:unhideWhenUsed/>
    <w:rsid w:val="000E1C6B"/>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2/ccd.28857" TargetMode="External"/><Relationship Id="rId18" Type="http://schemas.openxmlformats.org/officeDocument/2006/relationships/hyperlink" Target="https://doi.org/10.1108/TQM-02-2020-0028" TargetMode="External"/><Relationship Id="rId26" Type="http://schemas.openxmlformats.org/officeDocument/2006/relationships/hyperlink" Target="https://doi.org/10.1080/00076791.2024.2387013" TargetMode="External"/><Relationship Id="rId39" Type="http://schemas.openxmlformats.org/officeDocument/2006/relationships/hyperlink" Target="https://doi.org/10.1111/1911-3838.12361" TargetMode="External"/><Relationship Id="rId21" Type="http://schemas.openxmlformats.org/officeDocument/2006/relationships/hyperlink" Target="https://doi.org/10.1007/s11135-025-02122-w" TargetMode="External"/><Relationship Id="rId34" Type="http://schemas.openxmlformats.org/officeDocument/2006/relationships/hyperlink" Target="https://doi.org/10.5267/j.ac.2025.1.002" TargetMode="External"/><Relationship Id="rId42" Type="http://schemas.openxmlformats.org/officeDocument/2006/relationships/hyperlink" Target="https://www.bp.com/content/dam/bp/business-sites/en/global/corporate/pdfs/investors/bp-annual-report-and-form-20f-2022.pdf"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doi.org/10.1108/IJOTB-01-2020-0009" TargetMode="External"/><Relationship Id="rId29" Type="http://schemas.openxmlformats.org/officeDocument/2006/relationships/hyperlink" Target="https://doi.org/10.37680/ijief.v4i2.6399"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26668/businessreview/2023.v8i7.3156" TargetMode="External"/><Relationship Id="rId24" Type="http://schemas.openxmlformats.org/officeDocument/2006/relationships/hyperlink" Target="https://doi.org/10.23917/benefit.v9i2.5178" TargetMode="External"/><Relationship Id="rId32" Type="http://schemas.openxmlformats.org/officeDocument/2006/relationships/hyperlink" Target="https://doi.org/10.1080/23322039.2024.2404707" TargetMode="External"/><Relationship Id="rId37" Type="http://schemas.openxmlformats.org/officeDocument/2006/relationships/hyperlink" Target="https://doi.org/10.3390/su152115536" TargetMode="External"/><Relationship Id="rId40" Type="http://schemas.openxmlformats.org/officeDocument/2006/relationships/hyperlink" Target="https://doi.org/10.1177/0020720920988497" TargetMode="External"/><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doi.org/10.1108/AFR-02-2023-0024" TargetMode="External"/><Relationship Id="rId23" Type="http://schemas.openxmlformats.org/officeDocument/2006/relationships/hyperlink" Target="https://doi.org/10.1016/j.aos.2021.101236" TargetMode="External"/><Relationship Id="rId28" Type="http://schemas.openxmlformats.org/officeDocument/2006/relationships/hyperlink" Target="https://doi.org/10.1051/shsconf/202418102019" TargetMode="External"/><Relationship Id="rId36" Type="http://schemas.openxmlformats.org/officeDocument/2006/relationships/hyperlink" Target="https://doi.org/10.1016/j.ribaf.2021.101609" TargetMode="External"/><Relationship Id="rId10" Type="http://schemas.openxmlformats.org/officeDocument/2006/relationships/image" Target="media/image2.png"/><Relationship Id="rId19" Type="http://schemas.openxmlformats.org/officeDocument/2006/relationships/hyperlink" Target="https://doi.org/10.1016/j.frl.2021.102512" TargetMode="External"/><Relationship Id="rId31" Type="http://schemas.openxmlformats.org/officeDocument/2006/relationships/hyperlink" Target="https://doi.org/10.1080/23322039.2024.2404707" TargetMode="External"/><Relationship Id="rId44"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doi.org/10.3390/jrfm18060297" TargetMode="External"/><Relationship Id="rId22" Type="http://schemas.openxmlformats.org/officeDocument/2006/relationships/hyperlink" Target="https://doi.org/10.1002/ijfe.3028" TargetMode="External"/><Relationship Id="rId27" Type="http://schemas.openxmlformats.org/officeDocument/2006/relationships/hyperlink" Target="https://doi.org/10.1111/jacf.12522" TargetMode="External"/><Relationship Id="rId30" Type="http://schemas.openxmlformats.org/officeDocument/2006/relationships/hyperlink" Target="https://doi.org/10.1016/j.ejor.2023.08.019" TargetMode="External"/><Relationship Id="rId35" Type="http://schemas.openxmlformats.org/officeDocument/2006/relationships/hyperlink" Target="https://doi.org/10.1002/ajim.23313" TargetMode="External"/><Relationship Id="rId43" Type="http://schemas.openxmlformats.org/officeDocument/2006/relationships/hyperlink" Target="https://www.bp.com/content/dam/bp/business-sites/en/global/corporate/pdfs/investors/bp-annual-report-and-form-20f-2023.pdf" TargetMode="Externa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hyperlink" Target="https://doi.org/10.1016/j.jfineco.2024.103779" TargetMode="External"/><Relationship Id="rId17" Type="http://schemas.openxmlformats.org/officeDocument/2006/relationships/hyperlink" Target="https://doi.org/10.1007/s11573-023-01165-5" TargetMode="External"/><Relationship Id="rId25" Type="http://schemas.openxmlformats.org/officeDocument/2006/relationships/hyperlink" Target="https://doi.org/10.26668/businessreview/2023.v8i7.2371" TargetMode="External"/><Relationship Id="rId33" Type="http://schemas.openxmlformats.org/officeDocument/2006/relationships/hyperlink" Target="https://doi.org/10.1108/PRR-08-2021-0043" TargetMode="External"/><Relationship Id="rId38" Type="http://schemas.openxmlformats.org/officeDocument/2006/relationships/hyperlink" Target="https://doi.org/10.1111/pace.15077" TargetMode="External"/><Relationship Id="rId46" Type="http://schemas.openxmlformats.org/officeDocument/2006/relationships/theme" Target="theme/theme1.xml"/><Relationship Id="rId20" Type="http://schemas.openxmlformats.org/officeDocument/2006/relationships/hyperlink" Target="https://doi.org/10.1186/s12913-022-07922-6" TargetMode="External"/><Relationship Id="rId41" Type="http://schemas.openxmlformats.org/officeDocument/2006/relationships/hyperlink" Target="https://doi.org/10.1155/2021/99733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2026-01-12T00:00:00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38101D1-8394-4372-86AE-5E57ADAE61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36</Pages>
  <Words>8341</Words>
  <Characters>47547</Characters>
  <DocSecurity>0</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dc:description/>
  <dcterms:created xsi:type="dcterms:W3CDTF">2024-10-21T13:17:00Z</dcterms:created>
  <dcterms:modified xsi:type="dcterms:W3CDTF">2026-01-12T11:20:00Z</dcterms:modified>
</cp:coreProperties>
</file>