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FA5DD" w14:textId="79D708B6" w:rsidR="00FB5604" w:rsidRDefault="00FB5604">
      <w:pPr>
        <w:spacing w:after="360" w:line="480" w:lineRule="auto"/>
        <w:jc w:val="center"/>
        <w:rPr>
          <w:b/>
          <w:bCs/>
          <w:sz w:val="28"/>
          <w:szCs w:val="28"/>
        </w:rPr>
      </w:pPr>
      <w:r>
        <w:rPr>
          <w:b/>
          <w:bCs/>
          <w:sz w:val="28"/>
          <w:szCs w:val="28"/>
        </w:rPr>
        <w:t>Lenuta Raducanu</w:t>
      </w:r>
    </w:p>
    <w:p w14:paraId="57939DAC" w14:textId="69361B3F" w:rsidR="00FB5604" w:rsidRDefault="00FB5604">
      <w:pPr>
        <w:spacing w:after="360" w:line="480" w:lineRule="auto"/>
        <w:jc w:val="center"/>
        <w:rPr>
          <w:b/>
          <w:bCs/>
          <w:sz w:val="28"/>
          <w:szCs w:val="28"/>
        </w:rPr>
      </w:pPr>
      <w:r>
        <w:rPr>
          <w:b/>
          <w:bCs/>
          <w:sz w:val="28"/>
          <w:szCs w:val="28"/>
        </w:rPr>
        <w:t>Jews , Christians and Romans : From Maccabees to Masada (HPRS5910)</w:t>
      </w:r>
    </w:p>
    <w:p w14:paraId="30E611F2" w14:textId="77777777" w:rsidR="00FB5604" w:rsidRDefault="00FB5604" w:rsidP="00FB5604">
      <w:pPr>
        <w:spacing w:after="360" w:line="480" w:lineRule="auto"/>
        <w:rPr>
          <w:b/>
          <w:bCs/>
          <w:sz w:val="28"/>
          <w:szCs w:val="28"/>
        </w:rPr>
      </w:pPr>
    </w:p>
    <w:p w14:paraId="73C04C35" w14:textId="08D00F42" w:rsidR="00012F16" w:rsidRDefault="00693EDC" w:rsidP="00FB5604">
      <w:pPr>
        <w:spacing w:after="360" w:line="480" w:lineRule="auto"/>
        <w:jc w:val="center"/>
      </w:pPr>
      <w:r>
        <w:rPr>
          <w:b/>
          <w:bCs/>
          <w:sz w:val="28"/>
          <w:szCs w:val="28"/>
        </w:rPr>
        <w:t>A Critical Review of Martin Goodman on the Causes of the First Jewish Revolt (66–74 CE)</w:t>
      </w:r>
    </w:p>
    <w:p w14:paraId="33388D28" w14:textId="77777777" w:rsidR="00012F16" w:rsidRDefault="00693EDC">
      <w:pPr>
        <w:spacing w:before="280" w:after="140" w:line="480" w:lineRule="auto"/>
      </w:pPr>
      <w:r>
        <w:rPr>
          <w:b/>
          <w:bCs/>
        </w:rPr>
        <w:t>Introduction</w:t>
      </w:r>
    </w:p>
    <w:p w14:paraId="1B8C13C5" w14:textId="77777777" w:rsidR="00012F16" w:rsidRDefault="00693EDC">
      <w:pPr>
        <w:spacing w:line="480" w:lineRule="auto"/>
        <w:ind w:firstLine="720"/>
        <w:jc w:val="both"/>
      </w:pPr>
      <w:r>
        <w:t xml:space="preserve">Martin Goodman, Professor of Jewish Studies at the University of Oxford, has been one of the most influential voices in the historiography of Roman Judaea since the late 1980s. His monograph </w:t>
      </w:r>
      <w:r>
        <w:rPr>
          <w:i/>
          <w:iCs/>
        </w:rPr>
        <w:t>The Ruling Class of Judaea</w:t>
      </w:r>
      <w:r>
        <w:t xml:space="preserve"> (1987), and the more synthetic </w:t>
      </w:r>
      <w:r>
        <w:rPr>
          <w:i/>
          <w:iCs/>
        </w:rPr>
        <w:t>Rome and Jerusalem: The Clash of Ancient Civilizations</w:t>
      </w:r>
      <w:r>
        <w:t xml:space="preserve"> (2007), reframed the question of why the First Jewish Revolt erupted in 66 CE by shifting attention away from long-standing assumptions of religious fanaticism and civilizational incompatibility towards the failures of the Judaean ruling elite and the dysfunction of Roman provincial governance.</w:t>
      </w:r>
      <w:r>
        <w:rPr>
          <w:rStyle w:val="FootnoteReference"/>
        </w:rPr>
        <w:footnoteReference w:id="1"/>
      </w:r>
      <w:r>
        <w:t xml:space="preserve"> The present review focuses on the relevant chapters of </w:t>
      </w:r>
      <w:r>
        <w:rPr>
          <w:i/>
          <w:iCs/>
        </w:rPr>
        <w:t>Rome and Jerusalem</w:t>
      </w:r>
      <w:r>
        <w:t>, in which Goodman articulates his mature thesis that the revolt was contingent rather than inevitable, the product of specific political missteps rather than the inexorable working out of cultural antagonism. It will be argued here that Goodman’s revisionist case is largely persuasive in dismantling deterministic narratives, yet that it remains incomplete because it underplays the genuine theological and apocalyptic energies that conditioned Judaean responses to Roman rule.</w:t>
      </w:r>
    </w:p>
    <w:p w14:paraId="67DF370B" w14:textId="77777777" w:rsidR="00012F16" w:rsidRDefault="00693EDC">
      <w:pPr>
        <w:spacing w:before="280" w:after="140" w:line="480" w:lineRule="auto"/>
      </w:pPr>
      <w:r>
        <w:rPr>
          <w:b/>
          <w:bCs/>
        </w:rPr>
        <w:t>Summary of the Article</w:t>
      </w:r>
    </w:p>
    <w:p w14:paraId="794F8FF6" w14:textId="77777777" w:rsidR="00012F16" w:rsidRDefault="00693EDC">
      <w:pPr>
        <w:spacing w:line="480" w:lineRule="auto"/>
        <w:ind w:firstLine="720"/>
        <w:jc w:val="both"/>
      </w:pPr>
      <w:r>
        <w:lastRenderedPageBreak/>
        <w:t>Traditional accounts of the revolt, descending from Heinrich Graetz through Emil Schürer and into much twentieth-century scholarship, treated the conflict as the predictable outcome of an irreconcilable clash between Jewish monotheism and Roman imperial paganism. On such readings, religious extremism, embodied in the Zealots and the Sicarii, made armed confrontation only a matter of time. Goodman explicitly rejects this framing. Drawing on his earlier prosopographical work, he insists that the Judaean aristocracy had every material and ideological reason to remain loyal to Rome, and that throughout the first century the province was no more turbulent than many others in the empire.</w:t>
      </w:r>
      <w:r>
        <w:rPr>
          <w:rStyle w:val="FootnoteReference"/>
        </w:rPr>
        <w:footnoteReference w:id="2"/>
      </w:r>
    </w:p>
    <w:p w14:paraId="7C52D0F1" w14:textId="77777777" w:rsidR="00012F16" w:rsidRDefault="00693EDC">
      <w:pPr>
        <w:spacing w:line="480" w:lineRule="auto"/>
        <w:ind w:firstLine="720"/>
        <w:jc w:val="both"/>
      </w:pPr>
      <w:r>
        <w:t>In place of inevitability, Goodman locates the causes of the revolt in three interlocking failures. First, the Roman authorities failed to cultivate and sustain a credible local elite capable of mediating between Rome and the population, a failure rooted in Rome’s reluctance after 6 CE to invest the high priesthood with stable political authority. Second, a sequence of inept and rapacious procurators, culminating in Gessius Florus, alienated even the loyalist aristocracy through provocations such as the seizure of Temple funds. Third, the symbolic humiliations imposed on Judaeans, including the desecration of synagogues at Caesarea, generated a crisis of honour that the elite could not contain.</w:t>
      </w:r>
      <w:r>
        <w:rPr>
          <w:rStyle w:val="FootnoteReference"/>
        </w:rPr>
        <w:footnoteReference w:id="3"/>
      </w:r>
    </w:p>
    <w:p w14:paraId="1026A211" w14:textId="77777777" w:rsidR="00012F16" w:rsidRDefault="00693EDC">
      <w:pPr>
        <w:spacing w:line="480" w:lineRule="auto"/>
        <w:ind w:firstLine="720"/>
        <w:jc w:val="both"/>
      </w:pPr>
      <w:r>
        <w:t xml:space="preserve">The principal evidence is, unavoidably, Flavius Josephus, whose </w:t>
      </w:r>
      <w:r>
        <w:rPr>
          <w:i/>
          <w:iCs/>
        </w:rPr>
        <w:t>Jewish War</w:t>
      </w:r>
      <w:r>
        <w:t xml:space="preserve"> provides the only continuous narrative of the period. Goodman reads Josephus against the grain, treating his apologetic framing as itself evidence of the political pressures operating on Judaean elites both before and after 70 CE.</w:t>
      </w:r>
      <w:r>
        <w:rPr>
          <w:rStyle w:val="FootnoteReference"/>
        </w:rPr>
        <w:footnoteReference w:id="4"/>
      </w:r>
      <w:r>
        <w:t xml:space="preserve"> He supplements this with numismatic data, Tacitus’s brief notices in the </w:t>
      </w:r>
      <w:r>
        <w:rPr>
          <w:i/>
          <w:iCs/>
        </w:rPr>
        <w:t>Histories</w:t>
      </w:r>
      <w:r>
        <w:t>, and rabbinic traditions used cautiously. The cumulative effect is a portrait of a revolt that erupted from below only after the customary mechanisms of elite mediation had collapsed.</w:t>
      </w:r>
    </w:p>
    <w:p w14:paraId="35242B09" w14:textId="77777777" w:rsidR="00012F16" w:rsidRDefault="00693EDC">
      <w:pPr>
        <w:spacing w:before="280" w:after="140" w:line="480" w:lineRule="auto"/>
      </w:pPr>
      <w:r>
        <w:rPr>
          <w:b/>
          <w:bCs/>
        </w:rPr>
        <w:lastRenderedPageBreak/>
        <w:t>Critical Analysis</w:t>
      </w:r>
    </w:p>
    <w:p w14:paraId="4793CF56" w14:textId="77777777" w:rsidR="00012F16" w:rsidRDefault="00693EDC">
      <w:pPr>
        <w:spacing w:line="480" w:lineRule="auto"/>
        <w:ind w:firstLine="720"/>
        <w:jc w:val="both"/>
      </w:pPr>
      <w:r>
        <w:t>Goodman’s argument is structurally elegant and historiographically courageous. By insisting on contingency, he challenges a deterministic tradition that risks essentialising both Judaism and Roman imperialism. His central claim, that the revolt becomes intelligible only when one attends to the breakdown of elite mediation, is supported by a careful reconstruction of the prosopography of the Judaean priesthood. The argument is at its strongest when it demonstrates how the procuratorial system, designed for a quiescent province, lacked the institutional resources to manage a society in which religious and civic identity were inseparable. In this respect Goodman successfully unsettles the older view that revolt was simply waiting to happen.</w:t>
      </w:r>
    </w:p>
    <w:p w14:paraId="0C85F2A2" w14:textId="77777777" w:rsidR="00012F16" w:rsidRDefault="00693EDC">
      <w:pPr>
        <w:spacing w:line="480" w:lineRule="auto"/>
        <w:ind w:firstLine="720"/>
        <w:jc w:val="both"/>
      </w:pPr>
      <w:r>
        <w:t xml:space="preserve">Methodologically, however, the reliance on Josephus is more problematic than Goodman sometimes concedes. Although he is alert to Josephan bias, his reconstruction depends on accepting the broad shape of the </w:t>
      </w:r>
      <w:r>
        <w:rPr>
          <w:i/>
          <w:iCs/>
        </w:rPr>
        <w:t>Jewish War</w:t>
      </w:r>
      <w:r>
        <w:t>’s account of administrative provocations while discounting its theological framing. Tessa Rajak has shown that Josephus’s narrative is structured by a sophisticated apologetic agenda that seeks to exculpate both the Judaean elite and, ultimately, the God of Israel.</w:t>
      </w:r>
      <w:r>
        <w:rPr>
          <w:rStyle w:val="FootnoteReference"/>
        </w:rPr>
        <w:footnoteReference w:id="5"/>
      </w:r>
      <w:r>
        <w:t xml:space="preserve"> Goodman accepts the first half of this apology while resisting the second, a selective reading that requires more methodological justification than the chapters provide.</w:t>
      </w:r>
    </w:p>
    <w:p w14:paraId="09B9E2E8" w14:textId="77777777" w:rsidR="00012F16" w:rsidRDefault="00693EDC">
      <w:pPr>
        <w:spacing w:line="480" w:lineRule="auto"/>
        <w:ind w:firstLine="720"/>
        <w:jc w:val="both"/>
      </w:pPr>
      <w:r>
        <w:t>The political-historical approach also has intrinsic limits. By foregrounding governance and elite behaviour, Goodman tends to treat religious ideas as epiphenomenal markers of social tension rather than as causal forces in their own right. This is precisely the move contested by N. T. Wright, who argues that first-century Judaean expectation was structured by a continuing sense of exile and an apocalyptic hope for the visible vindication of Israel’s God, expectations capable of generating revolutionary action independently of administrative grievances.</w:t>
      </w:r>
      <w:r>
        <w:rPr>
          <w:rStyle w:val="FootnoteReference"/>
        </w:rPr>
        <w:footnoteReference w:id="6"/>
      </w:r>
      <w:r>
        <w:t xml:space="preserve"> Paula </w:t>
      </w:r>
      <w:r>
        <w:lastRenderedPageBreak/>
        <w:t>Fredriksen, working from a different angle, similarly insists that Temple-centred eschatology and the pilgrimage festivals created a volatile symbolic ecology in which any Roman misstep could ignite a sacred crisis.</w:t>
      </w:r>
      <w:r>
        <w:rPr>
          <w:rStyle w:val="FootnoteReference"/>
        </w:rPr>
        <w:footnoteReference w:id="7"/>
      </w:r>
      <w:r>
        <w:t xml:space="preserve"> Goodman’s framework can accommodate such pressures only as background conditions, not as motors of action.</w:t>
      </w:r>
    </w:p>
    <w:p w14:paraId="3B429EA5" w14:textId="77777777" w:rsidR="00012F16" w:rsidRDefault="00693EDC">
      <w:pPr>
        <w:spacing w:line="480" w:lineRule="auto"/>
        <w:ind w:firstLine="720"/>
        <w:jc w:val="both"/>
      </w:pPr>
      <w:r>
        <w:t>This matters because the primary sources themselves resist a purely political reading. Josephus reports that prodigies, oracles and an ambiguous prophecy of a world ruler arising from Judaea circulated widely in the years before the revolt, and he treats these as integral to the explanation of what happened.</w:t>
      </w:r>
      <w:r>
        <w:rPr>
          <w:rStyle w:val="FootnoteReference"/>
        </w:rPr>
        <w:footnoteReference w:id="8"/>
      </w:r>
      <w:r>
        <w:t xml:space="preserve"> Even allowing for Josephan rhetoric, the density of such material suggests an apocalyptic temperature that Goodman’s account does not fully register. Steve Mason, in his recent reassessment, has argued that the war is better understood as a regional crisis driven by inter-communal violence between Judaeans and their gentile neighbours, in which Roman administrative failures were catalysts rather than root causes.</w:t>
      </w:r>
      <w:r>
        <w:rPr>
          <w:rStyle w:val="FootnoteReference"/>
        </w:rPr>
        <w:footnoteReference w:id="9"/>
      </w:r>
      <w:r>
        <w:t xml:space="preserve"> Mason’s critique exposes a further weakness in Goodman’s schema: by concentrating on Jerusalem and the relationship between the priesthood and the procurators, it underplays the Caesarean and Galilean dimensions of the conflict.</w:t>
      </w:r>
    </w:p>
    <w:p w14:paraId="05CCFAE9" w14:textId="77777777" w:rsidR="00012F16" w:rsidRDefault="00693EDC">
      <w:pPr>
        <w:spacing w:line="480" w:lineRule="auto"/>
        <w:ind w:firstLine="720"/>
        <w:jc w:val="both"/>
      </w:pPr>
      <w:r>
        <w:t>Despite these reservations, Goodman’s engagement with the wider scholarship is generally judicious. He acknowledges the contributions of Schürer and Smallwood while moving beyond them, and he is in productive dialogue with Rajak on Josephus. The structural argument that Rome bore responsibility for failing to integrate Judaean elites remains a significant historiographical achievement, particularly because it reframes the revolt as a problem in imperial administration rather than in Jewish character.</w:t>
      </w:r>
    </w:p>
    <w:p w14:paraId="23C25D64" w14:textId="77777777" w:rsidR="00012F16" w:rsidRDefault="00693EDC">
      <w:pPr>
        <w:spacing w:before="280" w:after="140" w:line="480" w:lineRule="auto"/>
      </w:pPr>
      <w:r>
        <w:rPr>
          <w:b/>
          <w:bCs/>
        </w:rPr>
        <w:t>Evaluation</w:t>
      </w:r>
    </w:p>
    <w:p w14:paraId="72858743" w14:textId="77777777" w:rsidR="00012F16" w:rsidRDefault="00693EDC">
      <w:pPr>
        <w:spacing w:line="480" w:lineRule="auto"/>
        <w:ind w:firstLine="720"/>
        <w:jc w:val="both"/>
      </w:pPr>
      <w:r>
        <w:lastRenderedPageBreak/>
        <w:t>The decisive question is whether Goodman’s political-administrative model can bear the explanatory weight he places on it without supplementation from religious history. On balance, it cannot. While the thesis that the revolt was not inevitable is convincing, and while the indictment of Roman governance is well evidenced, the account underestimates the role of religious ideology in shaping how grievances were interpreted and mobilised.</w:t>
      </w:r>
      <w:r>
        <w:rPr>
          <w:rStyle w:val="FootnoteReference"/>
        </w:rPr>
        <w:footnoteReference w:id="10"/>
      </w:r>
      <w:r>
        <w:t xml:space="preserve"> The Temple was not merely a civic symbol whose desecration offended honour; it was the cosmological centre of a covenantal worldview in which Roman intrusion could be read as sacrilege demanding eschatological response. Florus’s seizure of Temple funds and Caligula’s earlier statue crisis were experienced not only as administrative outrages but as assaults on the divine order, and it is this theological amplification that turns ordinary provincial discontent into revolt.</w:t>
      </w:r>
    </w:p>
    <w:p w14:paraId="07A30F8D" w14:textId="77777777" w:rsidR="00012F16" w:rsidRDefault="00693EDC">
      <w:pPr>
        <w:spacing w:line="480" w:lineRule="auto"/>
        <w:ind w:firstLine="720"/>
        <w:jc w:val="both"/>
      </w:pPr>
      <w:r>
        <w:t xml:space="preserve">Primary evidence supports this qualification. Josephus’s report of the cessation of the daily sacrifice for the emperor is described as the decisive break, and the language is liturgical rather than political. The Qumran </w:t>
      </w:r>
      <w:r>
        <w:rPr>
          <w:i/>
          <w:iCs/>
        </w:rPr>
        <w:t>War Scroll</w:t>
      </w:r>
      <w:r>
        <w:t>, though earlier, attests to a sustained imaginative tradition in which a final confrontation with the Kittim was anticipated as a religious necessity. Wright and Fredriksen, from very different theological standpoints, converge on the view that such expectations were widely diffused. To agree with Goodman that no revolt was foreordained is therefore not to accept that religion was peripheral; rather, it is to argue that religious ideas were among the contingent factors whose interaction with administrative failure produced the catastrophe.</w:t>
      </w:r>
    </w:p>
    <w:p w14:paraId="15985198" w14:textId="77777777" w:rsidR="00012F16" w:rsidRDefault="00693EDC">
      <w:pPr>
        <w:spacing w:line="480" w:lineRule="auto"/>
        <w:ind w:firstLine="720"/>
        <w:jc w:val="both"/>
      </w:pPr>
      <w:r>
        <w:t xml:space="preserve">It is important, however, to distinguish levels of disagreement. The overall thesis, that contingency rather than necessity governed the outbreak of war, is to be endorsed. The specific claim that elite failure constitutes the dominant causal factor is partially endorsed but requires balancing against ideological and inter-communal dynamics. Goodman’s book is therefore best </w:t>
      </w:r>
      <w:r>
        <w:lastRenderedPageBreak/>
        <w:t>read as a necessary corrective to deterministic accounts rather than as a complete explanation in itself.</w:t>
      </w:r>
    </w:p>
    <w:p w14:paraId="0F7EDEA2" w14:textId="77777777" w:rsidR="00012F16" w:rsidRDefault="00693EDC">
      <w:pPr>
        <w:spacing w:before="280" w:after="140" w:line="480" w:lineRule="auto"/>
      </w:pPr>
      <w:r>
        <w:rPr>
          <w:b/>
          <w:bCs/>
        </w:rPr>
        <w:t>Conclusion</w:t>
      </w:r>
    </w:p>
    <w:p w14:paraId="112F98FD" w14:textId="77777777" w:rsidR="00012F16" w:rsidRDefault="00693EDC">
      <w:pPr>
        <w:spacing w:line="480" w:lineRule="auto"/>
        <w:ind w:firstLine="720"/>
        <w:jc w:val="both"/>
      </w:pPr>
      <w:r>
        <w:t>Goodman’s treatment of the First Jewish Revolt represents a major historiographical intervention. By insisting on the contingency of the conflict and locating its proximate causes in Roman administrative dysfunction and the failure of elite mediation, he has decisively undermined older narratives of inevitable civilizational clash. His careful prosopography and his critical use of Josephus provide a model of disciplined political history. The account is nevertheless incomplete: it underplays the apocalyptic and Temple-centred religious imagination that gave administrative grievances their explosive charge, and it pays insufficient attention to the regional and inter-communal dimensions stressed by more recent scholarship. Read alongside Wright, Fredriksen and Mason, however, Goodman’s work remains an indispensable contribution to our understanding of Roman–Jewish relations in the first century.</w:t>
      </w:r>
    </w:p>
    <w:p w14:paraId="6A0CD4DC" w14:textId="77777777" w:rsidR="00012F16" w:rsidRDefault="00693EDC">
      <w:r>
        <w:br w:type="page"/>
      </w:r>
    </w:p>
    <w:p w14:paraId="094EE98C" w14:textId="77777777" w:rsidR="00012F16" w:rsidRDefault="00693EDC">
      <w:pPr>
        <w:spacing w:after="280"/>
        <w:jc w:val="center"/>
      </w:pPr>
      <w:r>
        <w:rPr>
          <w:b/>
          <w:bCs/>
          <w:sz w:val="28"/>
          <w:szCs w:val="28"/>
        </w:rPr>
        <w:t>Bibliography</w:t>
      </w:r>
    </w:p>
    <w:p w14:paraId="3362495F" w14:textId="77777777" w:rsidR="00012F16" w:rsidRDefault="00693EDC">
      <w:pPr>
        <w:spacing w:after="120" w:line="360" w:lineRule="auto"/>
      </w:pPr>
      <w:r>
        <w:rPr>
          <w:b/>
          <w:bCs/>
          <w:i/>
          <w:iCs/>
        </w:rPr>
        <w:t>Primary Sources</w:t>
      </w:r>
    </w:p>
    <w:p w14:paraId="5CA58D1D" w14:textId="77777777" w:rsidR="00012F16" w:rsidRDefault="00693EDC">
      <w:pPr>
        <w:spacing w:after="120" w:line="360" w:lineRule="auto"/>
        <w:ind w:left="720" w:hanging="720"/>
      </w:pPr>
      <w:r>
        <w:t xml:space="preserve">Josephus, Flavius, </w:t>
      </w:r>
      <w:r>
        <w:rPr>
          <w:i/>
          <w:iCs/>
        </w:rPr>
        <w:t>The Jewish War</w:t>
      </w:r>
      <w:r>
        <w:t>, trans. by G. A. Williamson, rev. edn (London: Penguin, 1981)</w:t>
      </w:r>
    </w:p>
    <w:p w14:paraId="562375F0" w14:textId="77777777" w:rsidR="00012F16" w:rsidRDefault="00693EDC">
      <w:pPr>
        <w:spacing w:after="120" w:line="360" w:lineRule="auto"/>
        <w:ind w:left="720" w:hanging="720"/>
      </w:pPr>
      <w:r>
        <w:t xml:space="preserve">Tacitus, </w:t>
      </w:r>
      <w:r>
        <w:rPr>
          <w:i/>
          <w:iCs/>
        </w:rPr>
        <w:t>The Histories</w:t>
      </w:r>
      <w:r>
        <w:t>, trans. by Kenneth Wellesley (London: Penguin, 1995)</w:t>
      </w:r>
    </w:p>
    <w:p w14:paraId="29706150" w14:textId="77777777" w:rsidR="00012F16" w:rsidRDefault="00693EDC">
      <w:pPr>
        <w:spacing w:after="120" w:line="360" w:lineRule="auto"/>
        <w:ind w:left="720" w:hanging="720"/>
      </w:pPr>
      <w:r>
        <w:t>The Dead Sea Scrolls in English, trans. by Geza Vermes, 4th edn (London: Penguin, 1995)</w:t>
      </w:r>
    </w:p>
    <w:p w14:paraId="57520DD5" w14:textId="77777777" w:rsidR="00012F16" w:rsidRDefault="00693EDC">
      <w:pPr>
        <w:spacing w:before="180" w:after="120" w:line="360" w:lineRule="auto"/>
      </w:pPr>
      <w:r>
        <w:rPr>
          <w:b/>
          <w:bCs/>
          <w:i/>
          <w:iCs/>
        </w:rPr>
        <w:t>Secondary Sources</w:t>
      </w:r>
    </w:p>
    <w:p w14:paraId="01E98112" w14:textId="77777777" w:rsidR="00012F16" w:rsidRDefault="00693EDC">
      <w:pPr>
        <w:spacing w:after="120" w:line="360" w:lineRule="auto"/>
        <w:ind w:left="720" w:hanging="720"/>
      </w:pPr>
      <w:r>
        <w:t xml:space="preserve">Fredriksen, Paula, </w:t>
      </w:r>
      <w:r>
        <w:rPr>
          <w:i/>
          <w:iCs/>
        </w:rPr>
        <w:t>Jesus of Nazareth, King of the Jews</w:t>
      </w:r>
      <w:r>
        <w:t xml:space="preserve"> (New York: Knopf, 1999)</w:t>
      </w:r>
    </w:p>
    <w:p w14:paraId="76093719" w14:textId="77777777" w:rsidR="00012F16" w:rsidRDefault="00693EDC">
      <w:pPr>
        <w:spacing w:after="120" w:line="360" w:lineRule="auto"/>
        <w:ind w:left="720" w:hanging="720"/>
      </w:pPr>
      <w:r>
        <w:t xml:space="preserve">Goodman, Martin, </w:t>
      </w:r>
      <w:r>
        <w:rPr>
          <w:i/>
          <w:iCs/>
        </w:rPr>
        <w:t>The Ruling Class of Judaea: The Origins of the Jewish Revolt against Rome, A.D. 66–70</w:t>
      </w:r>
      <w:r>
        <w:t xml:space="preserve"> (Cambridge: Cambridge University Press, 1987)</w:t>
      </w:r>
    </w:p>
    <w:p w14:paraId="5A93B6B0" w14:textId="77777777" w:rsidR="00012F16" w:rsidRDefault="00693EDC">
      <w:pPr>
        <w:spacing w:after="120" w:line="360" w:lineRule="auto"/>
        <w:ind w:left="720" w:hanging="720"/>
      </w:pPr>
      <w:r>
        <w:t xml:space="preserve">Goodman, Martin, </w:t>
      </w:r>
      <w:r>
        <w:rPr>
          <w:i/>
          <w:iCs/>
        </w:rPr>
        <w:t>Rome and Jerusalem: The Clash of Ancient Civilizations</w:t>
      </w:r>
      <w:r>
        <w:t xml:space="preserve"> (London: Allen Lane, 2007)</w:t>
      </w:r>
    </w:p>
    <w:p w14:paraId="6FD47166" w14:textId="77777777" w:rsidR="00012F16" w:rsidRDefault="00693EDC">
      <w:pPr>
        <w:spacing w:after="120" w:line="360" w:lineRule="auto"/>
        <w:ind w:left="720" w:hanging="720"/>
      </w:pPr>
      <w:r>
        <w:t xml:space="preserve">Mason, Steve, </w:t>
      </w:r>
      <w:r>
        <w:rPr>
          <w:i/>
          <w:iCs/>
        </w:rPr>
        <w:t>A History of the Jewish War, A.D. 66–74</w:t>
      </w:r>
      <w:r>
        <w:t xml:space="preserve"> (Cambridge: Cambridge University Press, 2016)</w:t>
      </w:r>
    </w:p>
    <w:p w14:paraId="440F52BC" w14:textId="77777777" w:rsidR="00012F16" w:rsidRDefault="00693EDC">
      <w:pPr>
        <w:spacing w:after="120" w:line="360" w:lineRule="auto"/>
        <w:ind w:left="720" w:hanging="720"/>
      </w:pPr>
      <w:r>
        <w:t xml:space="preserve">Rajak, Tessa, </w:t>
      </w:r>
      <w:r>
        <w:rPr>
          <w:i/>
          <w:iCs/>
        </w:rPr>
        <w:t>Josephus: The Historian and his Society</w:t>
      </w:r>
      <w:r>
        <w:t>, 2nd edn (London: Duckworth, 2002)</w:t>
      </w:r>
    </w:p>
    <w:p w14:paraId="1AE5D9BB" w14:textId="77777777" w:rsidR="00012F16" w:rsidRDefault="00693EDC">
      <w:pPr>
        <w:spacing w:after="120" w:line="360" w:lineRule="auto"/>
        <w:ind w:left="720" w:hanging="720"/>
      </w:pPr>
      <w:r>
        <w:t xml:space="preserve">Schürer, Emil, </w:t>
      </w:r>
      <w:r>
        <w:rPr>
          <w:i/>
          <w:iCs/>
        </w:rPr>
        <w:t>The History of the Jewish People in the Age of Jesus Christ (175 B.C.–A.D. 135)</w:t>
      </w:r>
      <w:r>
        <w:t>, rev. and ed. by Geza Vermes, Fergus Millar and Matthew Black, 3 vols (Edinburgh: T. &amp; T. Clark, 1973–87)</w:t>
      </w:r>
    </w:p>
    <w:p w14:paraId="7EDE8FD4" w14:textId="77777777" w:rsidR="00012F16" w:rsidRDefault="00693EDC">
      <w:pPr>
        <w:spacing w:after="120" w:line="360" w:lineRule="auto"/>
        <w:ind w:left="720" w:hanging="720"/>
      </w:pPr>
      <w:r>
        <w:t xml:space="preserve">Smallwood, E. Mary, </w:t>
      </w:r>
      <w:r>
        <w:rPr>
          <w:i/>
          <w:iCs/>
        </w:rPr>
        <w:t>The Jews under Roman Rule: From Pompey to Diocletian</w:t>
      </w:r>
      <w:r>
        <w:t xml:space="preserve"> (Leiden: Brill, 1976)</w:t>
      </w:r>
    </w:p>
    <w:p w14:paraId="3B40C15C" w14:textId="77777777" w:rsidR="00012F16" w:rsidRDefault="00693EDC">
      <w:pPr>
        <w:spacing w:after="120" w:line="360" w:lineRule="auto"/>
        <w:ind w:left="720" w:hanging="720"/>
      </w:pPr>
      <w:r>
        <w:t xml:space="preserve">Wright, N. T., </w:t>
      </w:r>
      <w:r>
        <w:rPr>
          <w:i/>
          <w:iCs/>
        </w:rPr>
        <w:t>The New Testament and the People of God</w:t>
      </w:r>
      <w:r>
        <w:t xml:space="preserve"> (London: SPCK, 1992)</w:t>
      </w:r>
    </w:p>
    <w:sectPr w:rsidR="00012F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C5FFF" w14:textId="77777777" w:rsidR="00693EDC" w:rsidRDefault="00693EDC">
      <w:r>
        <w:separator/>
      </w:r>
    </w:p>
  </w:endnote>
  <w:endnote w:type="continuationSeparator" w:id="0">
    <w:p w14:paraId="265E98BC" w14:textId="77777777" w:rsidR="00693EDC" w:rsidRDefault="00693E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BC38A" w14:textId="77777777" w:rsidR="00693EDC" w:rsidRDefault="00693EDC">
      <w:r>
        <w:separator/>
      </w:r>
    </w:p>
  </w:footnote>
  <w:footnote w:type="continuationSeparator" w:id="0">
    <w:p w14:paraId="0624DA2F" w14:textId="77777777" w:rsidR="00693EDC" w:rsidRDefault="00693EDC">
      <w:r>
        <w:continuationSeparator/>
      </w:r>
    </w:p>
  </w:footnote>
  <w:footnote w:id="1">
    <w:p w14:paraId="23F0FEA4" w14:textId="77777777" w:rsidR="00012F16" w:rsidRDefault="00693EDC">
      <w:r>
        <w:rPr>
          <w:rStyle w:val="FootnoteReference"/>
        </w:rPr>
        <w:footnoteRef/>
      </w:r>
      <w:r>
        <w:rPr>
          <w:sz w:val="20"/>
          <w:szCs w:val="20"/>
        </w:rPr>
        <w:t xml:space="preserve">Martin Goodman, </w:t>
      </w:r>
      <w:r>
        <w:rPr>
          <w:i/>
          <w:iCs/>
          <w:sz w:val="20"/>
          <w:szCs w:val="20"/>
        </w:rPr>
        <w:t>Rome and Jerusalem: The Clash of Ancient Civilizations</w:t>
      </w:r>
      <w:r>
        <w:rPr>
          <w:sz w:val="20"/>
          <w:szCs w:val="20"/>
        </w:rPr>
        <w:t xml:space="preserve"> (London: Allen Lane, 2007), pp. 379–423.</w:t>
      </w:r>
    </w:p>
  </w:footnote>
  <w:footnote w:id="2">
    <w:p w14:paraId="6F65AE8B" w14:textId="77777777" w:rsidR="00012F16" w:rsidRDefault="00693EDC">
      <w:r>
        <w:rPr>
          <w:rStyle w:val="FootnoteReference"/>
        </w:rPr>
        <w:footnoteRef/>
      </w:r>
      <w:r>
        <w:rPr>
          <w:sz w:val="20"/>
          <w:szCs w:val="20"/>
        </w:rPr>
        <w:t xml:space="preserve">Martin Goodman, </w:t>
      </w:r>
      <w:r>
        <w:rPr>
          <w:i/>
          <w:iCs/>
          <w:sz w:val="20"/>
          <w:szCs w:val="20"/>
        </w:rPr>
        <w:t>The Ruling Class of Judaea: The Origins of the Jewish Revolt against Rome, A.D. 66–70</w:t>
      </w:r>
      <w:r>
        <w:rPr>
          <w:sz w:val="20"/>
          <w:szCs w:val="20"/>
        </w:rPr>
        <w:t xml:space="preserve"> (Cambridge: Cambridge University Press, 1987), pp. 1–28.</w:t>
      </w:r>
    </w:p>
  </w:footnote>
  <w:footnote w:id="3">
    <w:p w14:paraId="2AE609F3" w14:textId="77777777" w:rsidR="00012F16" w:rsidRDefault="00693EDC">
      <w:r>
        <w:rPr>
          <w:rStyle w:val="FootnoteReference"/>
        </w:rPr>
        <w:footnoteRef/>
      </w:r>
      <w:r>
        <w:rPr>
          <w:sz w:val="20"/>
          <w:szCs w:val="20"/>
        </w:rPr>
        <w:t xml:space="preserve">Goodman, </w:t>
      </w:r>
      <w:r>
        <w:rPr>
          <w:i/>
          <w:iCs/>
          <w:sz w:val="20"/>
          <w:szCs w:val="20"/>
        </w:rPr>
        <w:t>Rome and Jerusalem</w:t>
      </w:r>
      <w:r>
        <w:rPr>
          <w:sz w:val="20"/>
          <w:szCs w:val="20"/>
        </w:rPr>
        <w:t>, p. 401.</w:t>
      </w:r>
    </w:p>
  </w:footnote>
  <w:footnote w:id="4">
    <w:p w14:paraId="56188811" w14:textId="77777777" w:rsidR="00012F16" w:rsidRDefault="00693EDC">
      <w:r>
        <w:rPr>
          <w:rStyle w:val="FootnoteReference"/>
        </w:rPr>
        <w:footnoteRef/>
      </w:r>
      <w:r>
        <w:rPr>
          <w:sz w:val="20"/>
          <w:szCs w:val="20"/>
        </w:rPr>
        <w:t xml:space="preserve">Flavius Josephus, </w:t>
      </w:r>
      <w:r>
        <w:rPr>
          <w:i/>
          <w:iCs/>
          <w:sz w:val="20"/>
          <w:szCs w:val="20"/>
        </w:rPr>
        <w:t>The Jewish War</w:t>
      </w:r>
      <w:r>
        <w:rPr>
          <w:sz w:val="20"/>
          <w:szCs w:val="20"/>
        </w:rPr>
        <w:t>, trans. by G. A. Williamson, rev. edn (London: Penguin, 1981), II.293–308.</w:t>
      </w:r>
    </w:p>
  </w:footnote>
  <w:footnote w:id="5">
    <w:p w14:paraId="0628D762" w14:textId="77777777" w:rsidR="00012F16" w:rsidRDefault="00693EDC">
      <w:r>
        <w:rPr>
          <w:rStyle w:val="FootnoteReference"/>
        </w:rPr>
        <w:footnoteRef/>
      </w:r>
      <w:r>
        <w:rPr>
          <w:sz w:val="20"/>
          <w:szCs w:val="20"/>
        </w:rPr>
        <w:t xml:space="preserve">Tessa Rajak, </w:t>
      </w:r>
      <w:r>
        <w:rPr>
          <w:i/>
          <w:iCs/>
          <w:sz w:val="20"/>
          <w:szCs w:val="20"/>
        </w:rPr>
        <w:t>Josephus: The Historian and his Society</w:t>
      </w:r>
      <w:r>
        <w:rPr>
          <w:sz w:val="20"/>
          <w:szCs w:val="20"/>
        </w:rPr>
        <w:t>, 2nd edn (London: Duckworth, 2002), pp. 78–103.</w:t>
      </w:r>
    </w:p>
  </w:footnote>
  <w:footnote w:id="6">
    <w:p w14:paraId="67DB90F5" w14:textId="77777777" w:rsidR="00012F16" w:rsidRDefault="00693EDC">
      <w:r>
        <w:rPr>
          <w:rStyle w:val="FootnoteReference"/>
        </w:rPr>
        <w:footnoteRef/>
      </w:r>
      <w:r>
        <w:rPr>
          <w:sz w:val="20"/>
          <w:szCs w:val="20"/>
        </w:rPr>
        <w:t xml:space="preserve">N. T. Wright, </w:t>
      </w:r>
      <w:r>
        <w:rPr>
          <w:i/>
          <w:iCs/>
          <w:sz w:val="20"/>
          <w:szCs w:val="20"/>
        </w:rPr>
        <w:t>The New Testament and the People of God</w:t>
      </w:r>
      <w:r>
        <w:rPr>
          <w:sz w:val="20"/>
          <w:szCs w:val="20"/>
        </w:rPr>
        <w:t xml:space="preserve"> (London: SPCK, 1992), pp. 170–81.</w:t>
      </w:r>
    </w:p>
  </w:footnote>
  <w:footnote w:id="7">
    <w:p w14:paraId="6D54F658" w14:textId="77777777" w:rsidR="00012F16" w:rsidRDefault="00693EDC">
      <w:r>
        <w:rPr>
          <w:rStyle w:val="FootnoteReference"/>
        </w:rPr>
        <w:footnoteRef/>
      </w:r>
      <w:r>
        <w:rPr>
          <w:sz w:val="20"/>
          <w:szCs w:val="20"/>
        </w:rPr>
        <w:t xml:space="preserve">Paula Fredriksen, </w:t>
      </w:r>
      <w:r>
        <w:rPr>
          <w:i/>
          <w:iCs/>
          <w:sz w:val="20"/>
          <w:szCs w:val="20"/>
        </w:rPr>
        <w:t>Jesus of Nazareth, King of the Jews</w:t>
      </w:r>
      <w:r>
        <w:rPr>
          <w:sz w:val="20"/>
          <w:szCs w:val="20"/>
        </w:rPr>
        <w:t xml:space="preserve"> (New York: Knopf, 1999), pp. 158–66.</w:t>
      </w:r>
    </w:p>
  </w:footnote>
  <w:footnote w:id="8">
    <w:p w14:paraId="6F7B8B06" w14:textId="77777777" w:rsidR="00012F16" w:rsidRDefault="00693EDC">
      <w:r>
        <w:rPr>
          <w:rStyle w:val="FootnoteReference"/>
        </w:rPr>
        <w:footnoteRef/>
      </w:r>
      <w:r>
        <w:rPr>
          <w:sz w:val="20"/>
          <w:szCs w:val="20"/>
        </w:rPr>
        <w:t xml:space="preserve">Josephus, </w:t>
      </w:r>
      <w:r>
        <w:rPr>
          <w:i/>
          <w:iCs/>
          <w:sz w:val="20"/>
          <w:szCs w:val="20"/>
        </w:rPr>
        <w:t>Jewish War</w:t>
      </w:r>
      <w:r>
        <w:rPr>
          <w:sz w:val="20"/>
          <w:szCs w:val="20"/>
        </w:rPr>
        <w:t>, VI.300–09.</w:t>
      </w:r>
    </w:p>
  </w:footnote>
  <w:footnote w:id="9">
    <w:p w14:paraId="71914529" w14:textId="77777777" w:rsidR="00012F16" w:rsidRDefault="00693EDC">
      <w:r>
        <w:rPr>
          <w:rStyle w:val="FootnoteReference"/>
        </w:rPr>
        <w:footnoteRef/>
      </w:r>
      <w:r>
        <w:rPr>
          <w:sz w:val="20"/>
          <w:szCs w:val="20"/>
        </w:rPr>
        <w:t xml:space="preserve">Steve Mason, </w:t>
      </w:r>
      <w:r>
        <w:rPr>
          <w:i/>
          <w:iCs/>
          <w:sz w:val="20"/>
          <w:szCs w:val="20"/>
        </w:rPr>
        <w:t>A History of the Jewish War, A.D. 66–74</w:t>
      </w:r>
      <w:r>
        <w:rPr>
          <w:sz w:val="20"/>
          <w:szCs w:val="20"/>
        </w:rPr>
        <w:t xml:space="preserve"> (Cambridge: Cambridge University Press, 2016), pp. 199–212.</w:t>
      </w:r>
    </w:p>
  </w:footnote>
  <w:footnote w:id="10">
    <w:p w14:paraId="6D1729F5" w14:textId="77777777" w:rsidR="00012F16" w:rsidRDefault="00693EDC">
      <w:r>
        <w:rPr>
          <w:rStyle w:val="FootnoteReference"/>
        </w:rPr>
        <w:footnoteRef/>
      </w:r>
      <w:r>
        <w:rPr>
          <w:sz w:val="20"/>
          <w:szCs w:val="20"/>
        </w:rPr>
        <w:t xml:space="preserve">Goodman, </w:t>
      </w:r>
      <w:r>
        <w:rPr>
          <w:i/>
          <w:iCs/>
          <w:sz w:val="20"/>
          <w:szCs w:val="20"/>
        </w:rPr>
        <w:t>Rome and Jerusalem</w:t>
      </w:r>
      <w:r>
        <w:rPr>
          <w:sz w:val="20"/>
          <w:szCs w:val="20"/>
        </w:rPr>
        <w:t>, pp. 415–20.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1A2A7F"/>
    <w:multiLevelType w:val="hybridMultilevel"/>
    <w:tmpl w:val="0B2A90B8"/>
    <w:lvl w:ilvl="0" w:tplc="87763470">
      <w:start w:val="1"/>
      <w:numFmt w:val="bullet"/>
      <w:lvlText w:val="●"/>
      <w:lvlJc w:val="left"/>
      <w:pPr>
        <w:ind w:left="720" w:hanging="360"/>
      </w:pPr>
    </w:lvl>
    <w:lvl w:ilvl="1" w:tplc="1DB28B94">
      <w:start w:val="1"/>
      <w:numFmt w:val="bullet"/>
      <w:lvlText w:val="○"/>
      <w:lvlJc w:val="left"/>
      <w:pPr>
        <w:ind w:left="1440" w:hanging="360"/>
      </w:pPr>
    </w:lvl>
    <w:lvl w:ilvl="2" w:tplc="441A0324">
      <w:start w:val="1"/>
      <w:numFmt w:val="bullet"/>
      <w:lvlText w:val="■"/>
      <w:lvlJc w:val="left"/>
      <w:pPr>
        <w:ind w:left="2160" w:hanging="360"/>
      </w:pPr>
    </w:lvl>
    <w:lvl w:ilvl="3" w:tplc="F292960E">
      <w:start w:val="1"/>
      <w:numFmt w:val="bullet"/>
      <w:lvlText w:val="●"/>
      <w:lvlJc w:val="left"/>
      <w:pPr>
        <w:ind w:left="2880" w:hanging="360"/>
      </w:pPr>
    </w:lvl>
    <w:lvl w:ilvl="4" w:tplc="3F1210A8">
      <w:start w:val="1"/>
      <w:numFmt w:val="bullet"/>
      <w:lvlText w:val="○"/>
      <w:lvlJc w:val="left"/>
      <w:pPr>
        <w:ind w:left="3600" w:hanging="360"/>
      </w:pPr>
    </w:lvl>
    <w:lvl w:ilvl="5" w:tplc="57B08EDA">
      <w:start w:val="1"/>
      <w:numFmt w:val="bullet"/>
      <w:lvlText w:val="■"/>
      <w:lvlJc w:val="left"/>
      <w:pPr>
        <w:ind w:left="4320" w:hanging="360"/>
      </w:pPr>
    </w:lvl>
    <w:lvl w:ilvl="6" w:tplc="A30CACAC">
      <w:start w:val="1"/>
      <w:numFmt w:val="bullet"/>
      <w:lvlText w:val="●"/>
      <w:lvlJc w:val="left"/>
      <w:pPr>
        <w:ind w:left="5040" w:hanging="360"/>
      </w:pPr>
    </w:lvl>
    <w:lvl w:ilvl="7" w:tplc="D46E3616">
      <w:start w:val="1"/>
      <w:numFmt w:val="bullet"/>
      <w:lvlText w:val="●"/>
      <w:lvlJc w:val="left"/>
      <w:pPr>
        <w:ind w:left="5760" w:hanging="360"/>
      </w:pPr>
    </w:lvl>
    <w:lvl w:ilvl="8" w:tplc="413AD91C">
      <w:start w:val="1"/>
      <w:numFmt w:val="bullet"/>
      <w:lvlText w:val="●"/>
      <w:lvlJc w:val="left"/>
      <w:pPr>
        <w:ind w:left="6480" w:hanging="360"/>
      </w:pPr>
    </w:lvl>
  </w:abstractNum>
  <w:num w:numId="1" w16cid:durableId="69280088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removePersonalInformation/>
  <w:removeDateAndTime/>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F16"/>
    <w:rsid w:val="00012F16"/>
    <w:rsid w:val="00420A2A"/>
    <w:rsid w:val="0045212A"/>
    <w:rsid w:val="004A0E6E"/>
    <w:rsid w:val="00693EDC"/>
    <w:rsid w:val="00850523"/>
    <w:rsid w:val="00FB5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E5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50523"/>
    <w:pPr>
      <w:tabs>
        <w:tab w:val="center" w:pos="4513"/>
        <w:tab w:val="right" w:pos="9026"/>
      </w:tabs>
    </w:pPr>
  </w:style>
  <w:style w:type="character" w:customStyle="1" w:styleId="HeaderChar">
    <w:name w:val="Header Char"/>
    <w:basedOn w:val="DefaultParagraphFont"/>
    <w:link w:val="Header"/>
    <w:uiPriority w:val="99"/>
    <w:rsid w:val="00850523"/>
  </w:style>
  <w:style w:type="paragraph" w:styleId="Footer">
    <w:name w:val="footer"/>
    <w:basedOn w:val="Normal"/>
    <w:link w:val="FooterChar"/>
    <w:uiPriority w:val="99"/>
    <w:unhideWhenUsed/>
    <w:rsid w:val="00850523"/>
    <w:pPr>
      <w:tabs>
        <w:tab w:val="center" w:pos="4513"/>
        <w:tab w:val="right" w:pos="9026"/>
      </w:tabs>
    </w:pPr>
  </w:style>
  <w:style w:type="character" w:customStyle="1" w:styleId="FooterChar">
    <w:name w:val="Footer Char"/>
    <w:basedOn w:val="DefaultParagraphFont"/>
    <w:link w:val="Footer"/>
    <w:uiPriority w:val="99"/>
    <w:rsid w:val="008505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1703</Words>
  <Characters>9711</Characters>
  <Application>Microsoft Office Word</Application>
  <DocSecurity>0</DocSecurity>
  <Lines>80</Lines>
  <Paragraphs>22</Paragraphs>
  <ScaleCrop>false</ScaleCrop>
  <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2026-04-13T13:31:00Z</dcterms:created>
  <dcterms:modified xsi:type="dcterms:W3CDTF">2026-04-13T13:31:00Z</dcterms:modified>
</cp:coreProperties>
</file>