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289F0B" w14:textId="77777777" w:rsidR="00D81DCD" w:rsidRPr="00D81DCD" w:rsidRDefault="00D81DCD" w:rsidP="00D81DCD">
      <w:pPr>
        <w:pStyle w:val="ListParagraph"/>
        <w:spacing w:line="360" w:lineRule="auto"/>
        <w:jc w:val="both"/>
        <w:rPr>
          <w:rFonts w:eastAsia="MS Mincho"/>
          <w:noProof/>
          <w:sz w:val="48"/>
          <w:szCs w:val="48"/>
        </w:rPr>
      </w:pPr>
    </w:p>
    <w:p w14:paraId="346A4D2D" w14:textId="77777777" w:rsidR="00D81DCD" w:rsidRPr="00D81DCD" w:rsidRDefault="00D81DCD" w:rsidP="00D81DCD">
      <w:pPr>
        <w:pStyle w:val="ListParagraph"/>
        <w:rPr>
          <w:rFonts w:eastAsia="MS Mincho"/>
          <w:noProof/>
          <w:sz w:val="48"/>
          <w:szCs w:val="48"/>
        </w:rPr>
      </w:pPr>
      <w:r w:rsidRPr="00D81DCD">
        <w:rPr>
          <w:rFonts w:eastAsia="MS Mincho"/>
          <w:noProof/>
          <w:sz w:val="48"/>
          <w:szCs w:val="48"/>
        </w:rPr>
        <w:t>The Zero Trust Architecture: A critical analysis of its principles, implementation challenges, and efficacy compared to traditional models.</w:t>
      </w:r>
    </w:p>
    <w:p w14:paraId="2BCA5EB0" w14:textId="77777777" w:rsidR="009072EB" w:rsidRPr="005F32D0" w:rsidRDefault="009072EB" w:rsidP="009072EB">
      <w:pPr>
        <w:pStyle w:val="ListParagraph"/>
        <w:spacing w:line="360" w:lineRule="auto"/>
        <w:jc w:val="both"/>
        <w:rPr>
          <w:rFonts w:asciiTheme="minorHAnsi" w:hAnsiTheme="minorHAnsi"/>
          <w:sz w:val="24"/>
          <w:szCs w:val="24"/>
        </w:rPr>
      </w:pPr>
    </w:p>
    <w:p w14:paraId="6EF3B972" w14:textId="77777777" w:rsidR="009072EB" w:rsidRPr="00CA4392" w:rsidRDefault="009072EB" w:rsidP="004E2F59">
      <w:pPr>
        <w:pStyle w:val="Author"/>
        <w:spacing w:before="100" w:beforeAutospacing="1" w:after="100" w:afterAutospacing="1" w:line="120" w:lineRule="auto"/>
        <w:rPr>
          <w:sz w:val="16"/>
          <w:szCs w:val="16"/>
        </w:rPr>
        <w:sectPr w:rsidR="009072EB" w:rsidRPr="00CA4392" w:rsidSect="004E2F59">
          <w:footerReference w:type="first" r:id="rId10"/>
          <w:pgSz w:w="12240" w:h="15840" w:code="1"/>
          <w:pgMar w:top="1080" w:right="893" w:bottom="1440" w:left="893" w:header="720" w:footer="720" w:gutter="0"/>
          <w:cols w:space="720"/>
          <w:titlePg/>
          <w:docGrid w:linePitch="360"/>
        </w:sectPr>
      </w:pPr>
    </w:p>
    <w:p w14:paraId="75FEF502" w14:textId="77777777" w:rsidR="003960B3" w:rsidRDefault="003960B3" w:rsidP="004E2F59">
      <w:pPr>
        <w:pStyle w:val="Author"/>
        <w:spacing w:before="100" w:beforeAutospacing="1"/>
        <w:rPr>
          <w:sz w:val="18"/>
          <w:szCs w:val="18"/>
        </w:rPr>
      </w:pPr>
    </w:p>
    <w:p w14:paraId="0F93C0DE" w14:textId="77777777" w:rsidR="003960B3" w:rsidRDefault="003960B3" w:rsidP="004E2F59">
      <w:pPr>
        <w:pStyle w:val="Author"/>
        <w:spacing w:before="100" w:beforeAutospacing="1"/>
        <w:rPr>
          <w:sz w:val="18"/>
          <w:szCs w:val="18"/>
        </w:rPr>
      </w:pPr>
    </w:p>
    <w:p w14:paraId="305F014B" w14:textId="417861D2" w:rsidR="001F43B2" w:rsidRDefault="00E40858" w:rsidP="001F43B2">
      <w:pPr>
        <w:pStyle w:val="Author"/>
        <w:spacing w:before="100" w:beforeAutospacing="1"/>
        <w:rPr>
          <w:rFonts w:ascii="Arial" w:hAnsi="Arial" w:cs="Arial"/>
          <w:b/>
        </w:rPr>
      </w:pPr>
      <w:r w:rsidRPr="00A406E5">
        <w:rPr>
          <w:rFonts w:ascii="Arial" w:hAnsi="Arial" w:cs="Arial"/>
          <w:b/>
        </w:rPr>
        <w:t>Student name:</w:t>
      </w:r>
      <w:r>
        <w:rPr>
          <w:rFonts w:ascii="Arial" w:hAnsi="Arial" w:cs="Arial"/>
          <w:b/>
        </w:rPr>
        <w:t xml:space="preserve"> Morsal ALI </w:t>
      </w:r>
    </w:p>
    <w:p w14:paraId="59F374B5" w14:textId="77777777" w:rsidR="00B30C01" w:rsidRDefault="003C58A2" w:rsidP="004E2F59">
      <w:pPr>
        <w:pStyle w:val="Author"/>
        <w:spacing w:before="100" w:beforeAutospacing="1"/>
        <w:rPr>
          <w:rFonts w:ascii="Arial" w:hAnsi="Arial" w:cs="Arial"/>
          <w:b/>
        </w:rPr>
      </w:pPr>
      <w:r w:rsidRPr="00A406E5">
        <w:rPr>
          <w:rFonts w:ascii="Arial" w:hAnsi="Arial" w:cs="Arial"/>
          <w:b/>
        </w:rPr>
        <w:t>Programme:</w:t>
      </w:r>
      <w:r w:rsidR="009E4B81" w:rsidRPr="009E4B81">
        <w:rPr>
          <w:rFonts w:ascii="Arial" w:hAnsi="Arial" w:cs="Arial"/>
          <w:b/>
        </w:rPr>
        <w:t xml:space="preserve"> </w:t>
      </w:r>
      <w:r w:rsidR="009E4B81" w:rsidRPr="003926E1">
        <w:rPr>
          <w:rFonts w:ascii="Arial" w:hAnsi="Arial" w:cs="Arial"/>
          <w:b/>
        </w:rPr>
        <w:t>Computing Portfolio</w:t>
      </w:r>
      <w:r w:rsidR="004E2F59" w:rsidRPr="00F847A6">
        <w:rPr>
          <w:sz w:val="18"/>
          <w:szCs w:val="18"/>
        </w:rPr>
        <w:br/>
      </w:r>
      <w:r w:rsidR="001F43B2" w:rsidRPr="00A406E5">
        <w:rPr>
          <w:rFonts w:ascii="Arial" w:hAnsi="Arial" w:cs="Arial"/>
          <w:b/>
        </w:rPr>
        <w:t>Module</w:t>
      </w:r>
      <w:r w:rsidR="001F43B2">
        <w:rPr>
          <w:rFonts w:ascii="Arial" w:hAnsi="Arial" w:cs="Arial"/>
          <w:b/>
        </w:rPr>
        <w:t>:</w:t>
      </w:r>
      <w:r w:rsidR="00701085" w:rsidRPr="00701085">
        <w:rPr>
          <w:rFonts w:ascii="Arial" w:hAnsi="Arial" w:cs="Arial"/>
          <w:b/>
        </w:rPr>
        <w:t xml:space="preserve"> </w:t>
      </w:r>
      <w:r w:rsidR="00701085" w:rsidRPr="000A0E3E">
        <w:rPr>
          <w:rFonts w:ascii="Arial" w:hAnsi="Arial" w:cs="Arial"/>
          <w:b/>
        </w:rPr>
        <w:t>Data Security and Compliance</w:t>
      </w:r>
    </w:p>
    <w:p w14:paraId="15738D56" w14:textId="77777777" w:rsidR="00B30C01" w:rsidRDefault="00B30C01" w:rsidP="004E2F59">
      <w:pPr>
        <w:pStyle w:val="Author"/>
        <w:spacing w:before="100" w:beforeAutospacing="1"/>
        <w:rPr>
          <w:rFonts w:ascii="Arial" w:hAnsi="Arial" w:cs="Arial"/>
          <w:b/>
        </w:rPr>
      </w:pPr>
      <w:r>
        <w:rPr>
          <w:rFonts w:ascii="Arial" w:hAnsi="Arial" w:cs="Arial"/>
          <w:b/>
        </w:rPr>
        <w:t>Student ID:2413056</w:t>
      </w:r>
    </w:p>
    <w:p w14:paraId="7CB78875" w14:textId="4D96A523" w:rsidR="004E2F59" w:rsidRDefault="0048042B" w:rsidP="004E2F59">
      <w:pPr>
        <w:pStyle w:val="Author"/>
        <w:spacing w:before="100" w:beforeAutospacing="1"/>
        <w:rPr>
          <w:sz w:val="18"/>
          <w:szCs w:val="18"/>
        </w:rPr>
      </w:pPr>
      <w:r w:rsidRPr="00A406E5">
        <w:rPr>
          <w:rFonts w:ascii="Arial" w:hAnsi="Arial" w:cs="Arial"/>
          <w:b/>
        </w:rPr>
        <w:t>Assignment Title:</w:t>
      </w:r>
      <w:r w:rsidR="00452476" w:rsidRPr="00452476">
        <w:rPr>
          <w:rFonts w:ascii="Arial" w:hAnsi="Arial" w:cs="Arial"/>
          <w:b/>
        </w:rPr>
        <w:t xml:space="preserve"> </w:t>
      </w:r>
      <w:r w:rsidR="00452476" w:rsidRPr="001A1593">
        <w:rPr>
          <w:rFonts w:ascii="Arial" w:hAnsi="Arial" w:cs="Arial"/>
          <w:b/>
        </w:rPr>
        <w:t>Research</w:t>
      </w:r>
      <w:r w:rsidR="00452476">
        <w:rPr>
          <w:rFonts w:ascii="Arial" w:hAnsi="Arial" w:cs="Arial"/>
          <w:b/>
        </w:rPr>
        <w:t xml:space="preserve"> and case scenario</w:t>
      </w:r>
      <w:r w:rsidR="00452476" w:rsidRPr="001A1593">
        <w:rPr>
          <w:rFonts w:ascii="Arial" w:hAnsi="Arial" w:cs="Arial"/>
          <w:b/>
        </w:rPr>
        <w:t xml:space="preserve"> in Data Security and Compliance</w:t>
      </w:r>
      <w:r w:rsidR="004E2F59">
        <w:rPr>
          <w:sz w:val="18"/>
          <w:szCs w:val="18"/>
        </w:rPr>
        <w:br/>
      </w:r>
      <w:r w:rsidR="004E2F59">
        <w:rPr>
          <w:sz w:val="18"/>
          <w:szCs w:val="18"/>
        </w:rPr>
        <w:br/>
      </w:r>
    </w:p>
    <w:p w14:paraId="27FAEA0A" w14:textId="77777777" w:rsidR="004E2F59" w:rsidRDefault="004E2F59" w:rsidP="004E2F59">
      <w:pPr>
        <w:pStyle w:val="Author"/>
        <w:spacing w:before="100" w:beforeAutospacing="1"/>
        <w:contextualSpacing/>
        <w:rPr>
          <w:sz w:val="18"/>
          <w:szCs w:val="18"/>
        </w:rPr>
      </w:pPr>
    </w:p>
    <w:p w14:paraId="5FF14D15" w14:textId="77777777" w:rsidR="004E2F59" w:rsidRDefault="004E2F59" w:rsidP="004E2F59">
      <w:pPr>
        <w:pStyle w:val="Author"/>
        <w:spacing w:before="100" w:beforeAutospacing="1"/>
        <w:contextualSpacing/>
        <w:rPr>
          <w:sz w:val="18"/>
          <w:szCs w:val="18"/>
        </w:rPr>
      </w:pPr>
    </w:p>
    <w:p w14:paraId="47271B76" w14:textId="77777777" w:rsidR="004E2F59" w:rsidRDefault="004E2F59" w:rsidP="004E2F59">
      <w:pPr>
        <w:pStyle w:val="Author"/>
        <w:spacing w:before="100" w:beforeAutospacing="1"/>
        <w:contextualSpacing/>
        <w:rPr>
          <w:sz w:val="18"/>
          <w:szCs w:val="18"/>
        </w:rPr>
      </w:pPr>
    </w:p>
    <w:p w14:paraId="425548DF" w14:textId="77777777" w:rsidR="004E2F59" w:rsidRDefault="004E2F59" w:rsidP="004E2F59">
      <w:pPr>
        <w:pStyle w:val="Author"/>
        <w:spacing w:before="100" w:beforeAutospacing="1"/>
        <w:contextualSpacing/>
        <w:rPr>
          <w:sz w:val="18"/>
          <w:szCs w:val="18"/>
        </w:rPr>
      </w:pPr>
    </w:p>
    <w:p w14:paraId="5CD96608" w14:textId="77777777" w:rsidR="004E2F59" w:rsidRDefault="004E2F59" w:rsidP="004E2F59">
      <w:pPr>
        <w:pStyle w:val="Author"/>
        <w:spacing w:before="100" w:beforeAutospacing="1"/>
        <w:contextualSpacing/>
        <w:rPr>
          <w:sz w:val="18"/>
          <w:szCs w:val="18"/>
        </w:rPr>
      </w:pPr>
    </w:p>
    <w:p w14:paraId="1B2C24A3" w14:textId="77777777" w:rsidR="004E2F59" w:rsidRPr="00F847A6" w:rsidRDefault="004E2F59" w:rsidP="004E2F59">
      <w:pPr>
        <w:pStyle w:val="Author"/>
        <w:spacing w:before="100" w:beforeAutospacing="1"/>
        <w:rPr>
          <w:sz w:val="16"/>
          <w:szCs w:val="16"/>
        </w:rPr>
        <w:sectPr w:rsidR="004E2F59" w:rsidRPr="00F847A6" w:rsidSect="004E2F59">
          <w:type w:val="continuous"/>
          <w:pgSz w:w="12240" w:h="15840" w:code="1"/>
          <w:pgMar w:top="1080" w:right="893" w:bottom="1440" w:left="893" w:header="720" w:footer="720" w:gutter="0"/>
          <w:cols w:num="4" w:space="216"/>
          <w:docGrid w:linePitch="360"/>
        </w:sectPr>
      </w:pPr>
    </w:p>
    <w:p w14:paraId="078651FE" w14:textId="77777777" w:rsidR="004E2F59" w:rsidRDefault="004E2F59" w:rsidP="004E2F59">
      <w:pPr>
        <w:pStyle w:val="Author"/>
        <w:spacing w:before="100" w:beforeAutospacing="1"/>
        <w:jc w:val="both"/>
        <w:rPr>
          <w:sz w:val="16"/>
          <w:szCs w:val="16"/>
        </w:rPr>
      </w:pPr>
    </w:p>
    <w:p w14:paraId="47042968" w14:textId="7359ABB9" w:rsidR="004E2F59" w:rsidRPr="00F847A6" w:rsidRDefault="004E2F59" w:rsidP="004E2F59">
      <w:pPr>
        <w:pStyle w:val="Author"/>
        <w:spacing w:before="100" w:beforeAutospacing="1"/>
        <w:jc w:val="both"/>
        <w:rPr>
          <w:sz w:val="16"/>
          <w:szCs w:val="16"/>
        </w:rPr>
        <w:sectPr w:rsidR="004E2F59" w:rsidRPr="00F847A6" w:rsidSect="004E2F59">
          <w:type w:val="continuous"/>
          <w:pgSz w:w="12240" w:h="15840" w:code="1"/>
          <w:pgMar w:top="1080" w:right="893" w:bottom="1440" w:left="893" w:header="720" w:footer="720" w:gutter="0"/>
          <w:cols w:num="4" w:space="216"/>
          <w:docGrid w:linePitch="360"/>
        </w:sectPr>
      </w:pPr>
    </w:p>
    <w:p w14:paraId="05B5541A" w14:textId="5674D2EE" w:rsidR="004E2F59" w:rsidRDefault="004E2F59" w:rsidP="004E2F59">
      <w:r w:rsidRPr="00023708">
        <w:rPr>
          <w:b/>
          <w:bCs/>
          <w:i/>
          <w:iCs/>
        </w:rPr>
        <w:t>Abstract</w:t>
      </w:r>
      <w:r>
        <w:t>—</w:t>
      </w:r>
      <w:r w:rsidRPr="00023708">
        <w:t xml:space="preserve"> </w:t>
      </w:r>
      <w:r w:rsidR="00645C5C" w:rsidRPr="00645C5C">
        <w:t>Traditional perimeter-based security models rely on an assumption of implicit trust once you've been authenticated as a valid user within your organization there is limited or no challenge to your use of internal systems As we move toward using more cloud-based services remote workers and a growing number of sophisticated attackers who are constantly evolving their tactics techniques and procedures the perimeter-based security model is proving to be dangerous Zero-Trust Architecture ZTA represents a fundamentally different approach than perimeter-based architecture by requiring continuous identity validation limiting each user’s privileges based upon their role or job function and segmenting each resource into separate zones or silos This research provides a critical analysis of ZTA’s main tenets and the challenges organizations</w:t>
      </w:r>
      <w:r>
        <w:t>.</w:t>
      </w:r>
    </w:p>
    <w:p w14:paraId="18680A57" w14:textId="77777777" w:rsidR="004E2F59" w:rsidRPr="00D632BE" w:rsidRDefault="004E2F59" w:rsidP="004E2F59">
      <w:pPr>
        <w:pStyle w:val="Abstract"/>
      </w:pPr>
      <w:r w:rsidRPr="00D632BE">
        <w:t xml:space="preserve">Introduction </w:t>
      </w:r>
    </w:p>
    <w:p w14:paraId="04D3C8BC" w14:textId="77777777" w:rsidR="00F57206" w:rsidRPr="00F57206" w:rsidRDefault="00F57206" w:rsidP="00F57206">
      <w:pPr>
        <w:spacing w:after="160" w:line="278" w:lineRule="auto"/>
        <w:rPr>
          <w:lang w:val="en-GB"/>
        </w:rPr>
      </w:pPr>
      <w:r w:rsidRPr="00F57206">
        <w:rPr>
          <w:lang w:val="en-GB"/>
        </w:rPr>
        <w:t>The perimeter-focused security model has relied upon the idea that anyone who has been able to authenticate themselves inside a company's internal network is trustworthy. This “moat” and castle model was the base of enterprise security for many years; however, as companies increase their use of cloud, remote work, and supply chain interconnectivity, it has become increasingly difficult to determine what a perimeter is and where it should exist.</w:t>
      </w:r>
    </w:p>
    <w:p w14:paraId="4BC87EB5" w14:textId="62E61250" w:rsidR="00F57206" w:rsidRPr="00F57206" w:rsidRDefault="00F57206" w:rsidP="00F57206">
      <w:pPr>
        <w:spacing w:after="160" w:line="278" w:lineRule="auto"/>
        <w:rPr>
          <w:lang w:val="en-GB"/>
        </w:rPr>
      </w:pPr>
      <w:r w:rsidRPr="00F57206">
        <w:rPr>
          <w:lang w:val="en-GB"/>
        </w:rPr>
        <w:t xml:space="preserve">Additionally, numerous </w:t>
      </w:r>
      <w:r w:rsidR="00936F9B" w:rsidRPr="00F57206">
        <w:rPr>
          <w:lang w:val="en-GB"/>
        </w:rPr>
        <w:t>high-profile</w:t>
      </w:r>
      <w:r w:rsidRPr="00F57206">
        <w:rPr>
          <w:lang w:val="en-GB"/>
        </w:rPr>
        <w:t xml:space="preserve"> attacks have illustrated the inability to define a perimeter that can be defended. An example would be the SolarWinds attack in 2020, which allowed attackers to travel laterally across hundreds of organizations over time without being detected – a clear example of when the perimeter-based trust model fails. In </w:t>
      </w:r>
      <w:r w:rsidRPr="00F57206">
        <w:rPr>
          <w:lang w:val="en-GB"/>
        </w:rPr>
        <w:t>addition, the Colonial Pipeline ransomware attack in 2021 exemplified how one compromised credential can lead to a shutdown of a company’s critical infrastructure.</w:t>
      </w:r>
    </w:p>
    <w:p w14:paraId="5B6479EC" w14:textId="2A5620B3" w:rsidR="004E2F59" w:rsidRPr="00F57206" w:rsidRDefault="00F57206" w:rsidP="00F57206">
      <w:pPr>
        <w:spacing w:after="160" w:line="278" w:lineRule="auto"/>
        <w:rPr>
          <w:lang w:val="en-GB"/>
        </w:rPr>
      </w:pPr>
      <w:r w:rsidRPr="00F57206">
        <w:rPr>
          <w:lang w:val="en-GB"/>
        </w:rPr>
        <w:t>Zero Trust Architecture (ZTA) is a contradiction to the perimeter model. Instead of trusting users or devices because they are located on the internal network, ZTA continually verifies identity, ensures minimum privileges required to perform a task, and presumes a breach may be occurring</w:t>
      </w:r>
      <w:r w:rsidR="004E2F59" w:rsidRPr="00092D68">
        <w:t>" [1].</w:t>
      </w:r>
    </w:p>
    <w:p w14:paraId="38A63BDC" w14:textId="5D3AF53B" w:rsidR="004E2F59" w:rsidRDefault="004E2F59" w:rsidP="004E2F59">
      <w:pPr>
        <w:spacing w:after="160" w:line="278" w:lineRule="auto"/>
      </w:pPr>
      <w:r w:rsidRPr="00092D68">
        <w:t xml:space="preserve">This paper critically analyses ZTA by examining its core principles, key enabling technologies, and the practical challenges </w:t>
      </w:r>
      <w:r w:rsidR="003474B8" w:rsidRPr="00092D68">
        <w:t>organizations</w:t>
      </w:r>
      <w:r w:rsidRPr="00092D68">
        <w:t xml:space="preserve"> face during implementation. It further compares ZTA against traditional perimeter models and evaluates how ZTA enables </w:t>
      </w:r>
      <w:r w:rsidR="003474B8" w:rsidRPr="00092D68">
        <w:t>organizations</w:t>
      </w:r>
      <w:r w:rsidRPr="00092D68">
        <w:t xml:space="preserve"> to anticipate, protect against, detect, and respond to modern security threats.</w:t>
      </w:r>
    </w:p>
    <w:p w14:paraId="5C533AB1" w14:textId="77777777" w:rsidR="004E2F59" w:rsidRDefault="004E2F59" w:rsidP="004E2F59">
      <w:pPr>
        <w:spacing w:after="160" w:line="278" w:lineRule="auto"/>
      </w:pPr>
      <w:r w:rsidRPr="00D33803">
        <w:rPr>
          <w:b/>
          <w:bCs/>
        </w:rPr>
        <w:t>11</w:t>
      </w:r>
      <w:r>
        <w:t xml:space="preserve"> </w:t>
      </w:r>
      <w:r w:rsidRPr="00D33803">
        <w:rPr>
          <w:b/>
          <w:bCs/>
        </w:rPr>
        <w:t>Core Principles of Zero Trust</w:t>
      </w:r>
    </w:p>
    <w:p w14:paraId="7FFF74FC" w14:textId="77777777" w:rsidR="004E2F59" w:rsidRPr="00D03410" w:rsidRDefault="004E2F59" w:rsidP="004E2F59">
      <w:pPr>
        <w:spacing w:after="160" w:line="278" w:lineRule="auto"/>
      </w:pPr>
      <w:r w:rsidRPr="00D03410">
        <w:t>Zero Trust Architecture is built upon three foundational principles, each designed to eliminate the implicit trust that undermines traditional perimeter-based security models.</w:t>
      </w:r>
    </w:p>
    <w:p w14:paraId="0637DBD7" w14:textId="77777777" w:rsidR="004E2F59" w:rsidRPr="00D03410" w:rsidRDefault="004E2F59" w:rsidP="004E2F59">
      <w:pPr>
        <w:spacing w:after="160" w:line="278" w:lineRule="auto"/>
      </w:pPr>
      <w:r w:rsidRPr="00D03410">
        <w:rPr>
          <w:b/>
          <w:bCs/>
        </w:rPr>
        <w:t>A. Verify Explicitly</w:t>
      </w:r>
    </w:p>
    <w:p w14:paraId="27F976FD" w14:textId="1A31BA8D" w:rsidR="004E2F59" w:rsidRPr="00D03410" w:rsidRDefault="00046173" w:rsidP="004E2F59">
      <w:pPr>
        <w:spacing w:after="160" w:line="278" w:lineRule="auto"/>
      </w:pPr>
      <w:r w:rsidRPr="00046173">
        <w:t xml:space="preserve">Rather than relying on the network location of an individual, or verifying an individual once at login, Zero Trust Architecture (ZTA) continuously verifies each user, device, and request for access to the network. When evaluating this verification process, there are multiple signals used to verify an individual, such as the user's identity, device health, location, and behavior. Once verified, the individual will be </w:t>
      </w:r>
      <w:r w:rsidRPr="00046173">
        <w:lastRenderedPageBreak/>
        <w:t xml:space="preserve">granted access to the network. The idea behind this concept is that even though an individual may have valid credentials, if those credentials have been compromised, they cannot be used to gain unrestricted access </w:t>
      </w:r>
      <w:r w:rsidR="004E2F59" w:rsidRPr="00D03410">
        <w:t>[</w:t>
      </w:r>
      <w:r w:rsidR="004E2F59">
        <w:t>2</w:t>
      </w:r>
      <w:r w:rsidR="004E2F59" w:rsidRPr="00D03410">
        <w:t>].</w:t>
      </w:r>
    </w:p>
    <w:p w14:paraId="28567E03" w14:textId="77777777" w:rsidR="004E2F59" w:rsidRPr="00D03410" w:rsidRDefault="004E2F59" w:rsidP="004E2F59">
      <w:pPr>
        <w:spacing w:after="160" w:line="278" w:lineRule="auto"/>
      </w:pPr>
      <w:r w:rsidRPr="00D03410">
        <w:rPr>
          <w:b/>
          <w:bCs/>
        </w:rPr>
        <w:t>B. Least Privilege Access</w:t>
      </w:r>
    </w:p>
    <w:p w14:paraId="192CF21D" w14:textId="3B26C12F" w:rsidR="004E2F59" w:rsidRPr="00964257" w:rsidRDefault="00964257" w:rsidP="00964257">
      <w:pPr>
        <w:spacing w:after="160" w:line="278" w:lineRule="auto"/>
        <w:rPr>
          <w:lang w:val="en-GB"/>
        </w:rPr>
      </w:pPr>
      <w:r w:rsidRPr="00964257">
        <w:rPr>
          <w:lang w:val="en-GB"/>
        </w:rPr>
        <w:t>Least Privilege Access refers to a user or system being given only the permissions required for their job function, and none other. For example, a Hospital Nurse may be allowed access to a patients' medical record; however, they would not be allowed to have access to the Financial Systems or Network Infrastructure. The least privilege concept limits the potential damage from an account that has been compromised by preventing an attacker from freely roaming around in your systems once he/she gains access to one area of your systems. Microsoft's Zero Trust Deployment guide takes it even a step further with the use of Just-In-Time (JIT) and Just-Enough Access (JEA) policies, to elevate privileges for a user as they need them and then remove those privileges at the earliest opportunity.</w:t>
      </w:r>
      <w:r w:rsidR="004E2F59" w:rsidRPr="00D03410">
        <w:t>[</w:t>
      </w:r>
      <w:r w:rsidR="004E2F59">
        <w:t>3</w:t>
      </w:r>
      <w:r w:rsidR="004E2F59" w:rsidRPr="00D03410">
        <w:t>].</w:t>
      </w:r>
    </w:p>
    <w:p w14:paraId="6C50FEC6" w14:textId="77777777" w:rsidR="004E2F59" w:rsidRPr="00D03410" w:rsidRDefault="004E2F59" w:rsidP="004E2F59">
      <w:pPr>
        <w:spacing w:after="160" w:line="278" w:lineRule="auto"/>
      </w:pPr>
      <w:r w:rsidRPr="00D03410">
        <w:rPr>
          <w:b/>
          <w:bCs/>
        </w:rPr>
        <w:t>C. Assume Breach</w:t>
      </w:r>
    </w:p>
    <w:p w14:paraId="1E309F73" w14:textId="3E614AF8" w:rsidR="00681DB6" w:rsidRPr="00681DB6" w:rsidRDefault="00681DB6" w:rsidP="00681DB6">
      <w:pPr>
        <w:rPr>
          <w:lang w:val="en-GB"/>
        </w:rPr>
      </w:pPr>
      <w:r w:rsidRPr="00681DB6">
        <w:rPr>
          <w:lang w:val="en-GB"/>
        </w:rPr>
        <w:t>The "assume breach" principle means that organizations are required to build their systems with the assumption that an attacker has breached (or will) — rather than simply building barriers to keep attackers out; this paradigm allows organizations to reduce the blast radius for each breach through the use of network micro-segmentation, end-to-end encryption and continuous monitoring as Kinderva pointed out, "trust" within a network is inherently a "vulnerability"; by eliminating all trust from a network, organizations can take a much more resilient, and realistic approach to security</w:t>
      </w:r>
      <w:r w:rsidR="00564530">
        <w:rPr>
          <w:lang w:val="en-GB"/>
        </w:rPr>
        <w:t>.</w:t>
      </w:r>
    </w:p>
    <w:p w14:paraId="28715183" w14:textId="77777777" w:rsidR="004E2F59" w:rsidRPr="0018018F" w:rsidRDefault="004E2F59" w:rsidP="004E2F59">
      <w:pPr>
        <w:rPr>
          <w:b/>
          <w:bCs/>
          <w:spacing w:val="-1"/>
          <w:lang w:eastAsia="x-none"/>
        </w:rPr>
      </w:pPr>
      <w:r w:rsidRPr="0018018F">
        <w:rPr>
          <w:b/>
          <w:bCs/>
          <w:spacing w:val="-1"/>
          <w:lang w:eastAsia="x-none"/>
        </w:rPr>
        <w:t>III: Key Enabling Technologies</w:t>
      </w:r>
    </w:p>
    <w:p w14:paraId="1E50E955" w14:textId="77777777" w:rsidR="004E2F59" w:rsidRDefault="004E2F59" w:rsidP="004E2F59">
      <w:pPr>
        <w:rPr>
          <w:spacing w:val="-1"/>
          <w:lang w:eastAsia="x-none"/>
        </w:rPr>
      </w:pPr>
    </w:p>
    <w:p w14:paraId="21141415" w14:textId="77777777" w:rsidR="004E2F59" w:rsidRDefault="004E2F59" w:rsidP="004E2F59">
      <w:r>
        <w:t xml:space="preserve">  </w:t>
      </w:r>
      <w:r w:rsidRPr="005D4F59">
        <w:t>Implementing Zero Trust Architecture requires a combination of technologies that together enforce continuous verification, restrict access, and limit the impact of potential breaches. This section outlines the key enabling technologies that underpin functional ZTA deployment.</w:t>
      </w:r>
    </w:p>
    <w:p w14:paraId="1A5337EE" w14:textId="77777777" w:rsidR="004E2F59" w:rsidRPr="005D4F59" w:rsidRDefault="004E2F59" w:rsidP="004E2F59"/>
    <w:p w14:paraId="05957830" w14:textId="77777777" w:rsidR="004E2F59" w:rsidRPr="005D4F59" w:rsidRDefault="004E2F59" w:rsidP="004E2F59">
      <w:pPr>
        <w:spacing w:after="160" w:line="278" w:lineRule="auto"/>
      </w:pPr>
      <w:r w:rsidRPr="005D4F59">
        <w:rPr>
          <w:b/>
          <w:bCs/>
        </w:rPr>
        <w:t>A. Identity and Access Management (IAM) and Multi-Factor Authentication (MFA)</w:t>
      </w:r>
    </w:p>
    <w:p w14:paraId="1F9A0539" w14:textId="6D3AD0A0" w:rsidR="0061574F" w:rsidRPr="0061574F" w:rsidRDefault="0061574F" w:rsidP="0061574F">
      <w:pPr>
        <w:spacing w:after="160" w:line="278" w:lineRule="auto"/>
        <w:rPr>
          <w:lang w:val="en-GB"/>
        </w:rPr>
      </w:pPr>
      <w:r w:rsidRPr="0061574F">
        <w:rPr>
          <w:lang w:val="en-GB"/>
        </w:rPr>
        <w:t xml:space="preserve">Multi-Factor Authentication (MFA) provides an additional layer of security when compared to Single-Factor Authentication, which requires a user to provide additional forms of identification beyond their password; for example, a one-time code sent via SMS, a biometric scan (fingerprint, voice, etc.), or a hardware token. When used in conjunction with Identity and Access Management (IAM) systems, organisations are able to implement Role-Based Access </w:t>
      </w:r>
      <w:r w:rsidRPr="0061574F">
        <w:rPr>
          <w:lang w:val="en-GB"/>
        </w:rPr>
        <w:t>Control (RBAC) and centrally monitor authentication activity in real time.</w:t>
      </w:r>
    </w:p>
    <w:p w14:paraId="52306AEE" w14:textId="69E8B5F9" w:rsidR="004E2F59" w:rsidRPr="005D4F59" w:rsidRDefault="004E2F59" w:rsidP="004E2F59">
      <w:pPr>
        <w:spacing w:after="160" w:line="278" w:lineRule="auto"/>
      </w:pPr>
      <w:r w:rsidRPr="005D4F59">
        <w:t>time, and revoke access instantly when anomalies are detected [4].</w:t>
      </w:r>
    </w:p>
    <w:p w14:paraId="26830DB8" w14:textId="77777777" w:rsidR="004E2F59" w:rsidRPr="005D4F59" w:rsidRDefault="004E2F59" w:rsidP="004E2F59">
      <w:pPr>
        <w:spacing w:after="160" w:line="278" w:lineRule="auto"/>
      </w:pPr>
      <w:r w:rsidRPr="005D4F59">
        <w:rPr>
          <w:b/>
          <w:bCs/>
        </w:rPr>
        <w:t>B. Micro-Segmentation</w:t>
      </w:r>
    </w:p>
    <w:p w14:paraId="0CB21CD8" w14:textId="767A5C27" w:rsidR="004E2F59" w:rsidRPr="004B4A9C" w:rsidRDefault="004B4A9C" w:rsidP="004B4A9C">
      <w:pPr>
        <w:spacing w:after="160" w:line="278" w:lineRule="auto"/>
        <w:rPr>
          <w:lang w:val="en-GB"/>
        </w:rPr>
      </w:pPr>
      <w:r w:rsidRPr="004B4A9C">
        <w:rPr>
          <w:lang w:val="en-GB"/>
        </w:rPr>
        <w:t>A network using micro-segmentation is broken up into numerous smaller segments (zones), each with its own set of access rights for users and systems to allow them to only view/access what is necessary. If an attacker gains control of a single segment, he will be unable to lateral move to other parts of the network — thus greatly reducing the potential damage from the attack. Traditional segmentation creates boundaries at the perimeter; in contrast, micro-segmentation uses the granularity of policy to enforce access restrictions down to the individual workload or application</w:t>
      </w:r>
      <w:r w:rsidR="00903066" w:rsidRPr="005D4F59">
        <w:t>.</w:t>
      </w:r>
    </w:p>
    <w:p w14:paraId="28094B82" w14:textId="77777777" w:rsidR="004E2F59" w:rsidRPr="005D4F59" w:rsidRDefault="004E2F59" w:rsidP="004E2F59">
      <w:pPr>
        <w:spacing w:after="160" w:line="278" w:lineRule="auto"/>
      </w:pPr>
      <w:r w:rsidRPr="005D4F59">
        <w:rPr>
          <w:b/>
          <w:bCs/>
        </w:rPr>
        <w:t>C. Software-Defined Perimeter (SDP)</w:t>
      </w:r>
    </w:p>
    <w:p w14:paraId="07A2872F" w14:textId="4E5556D1" w:rsidR="004E2F59" w:rsidRPr="009771A0" w:rsidRDefault="000843C2" w:rsidP="009771A0">
      <w:pPr>
        <w:spacing w:after="160" w:line="278" w:lineRule="auto"/>
        <w:rPr>
          <w:lang w:val="en-GB"/>
        </w:rPr>
      </w:pPr>
      <w:r w:rsidRPr="000843C2">
        <w:rPr>
          <w:lang w:val="en-GB"/>
        </w:rPr>
        <w:t>The Software Defined Perimeter (SDP) creates an invisible and dynamic boundary around your network with each session. Resources in a network should be exposed to a user when their ID and device have been validated by verifying who they are and what they are using to access them. SDP is also very useful for remote workers and cloud-based networks since you cannot draw a physical line around your network.</w:t>
      </w:r>
      <w:r w:rsidR="004E2F59" w:rsidRPr="005D4F59">
        <w:t>[5].</w:t>
      </w:r>
    </w:p>
    <w:p w14:paraId="0128B819" w14:textId="77777777" w:rsidR="004E2F59" w:rsidRPr="005D4F59" w:rsidRDefault="004E2F59" w:rsidP="004E2F59">
      <w:pPr>
        <w:spacing w:after="160" w:line="278" w:lineRule="auto"/>
      </w:pPr>
      <w:r w:rsidRPr="005D4F59">
        <w:rPr>
          <w:b/>
          <w:bCs/>
        </w:rPr>
        <w:t>D. Continuous Monitoring and Behavioural Analytics (UEBA)</w:t>
      </w:r>
    </w:p>
    <w:p w14:paraId="122B3608" w14:textId="6FD99A82" w:rsidR="004E2F59" w:rsidRPr="005D4F59" w:rsidRDefault="007943F7" w:rsidP="004E2F59">
      <w:pPr>
        <w:spacing w:after="160" w:line="278" w:lineRule="auto"/>
      </w:pPr>
      <w:r w:rsidRPr="007943F7">
        <w:t>User Behavior Analytics create baseline behavioral models of users and devices, then identify deviations from normal behavior through monitoring user sessions, providing organizations with additional visibility into security risks.</w:t>
      </w:r>
    </w:p>
    <w:p w14:paraId="1EC4850F" w14:textId="77777777" w:rsidR="004E2F59" w:rsidRPr="005B520E" w:rsidRDefault="004E2F59" w:rsidP="004E2F59">
      <w:pPr>
        <w:pStyle w:val="BodyText"/>
      </w:pPr>
      <w:r w:rsidRPr="0016615D">
        <w:rPr>
          <w:b/>
          <w:bCs/>
          <w:lang w:val="en-US"/>
        </w:rPr>
        <w:t>IV: Implementation Challenges</w:t>
      </w:r>
      <w:r w:rsidRPr="005B520E">
        <w:t>.</w:t>
      </w:r>
    </w:p>
    <w:p w14:paraId="74315F9C" w14:textId="77777777" w:rsidR="004E2F59" w:rsidRPr="009D3EED" w:rsidRDefault="004E2F59" w:rsidP="007943F7">
      <w:pPr>
        <w:pStyle w:val="bulletlist"/>
        <w:numPr>
          <w:ilvl w:val="0"/>
          <w:numId w:val="0"/>
        </w:numPr>
        <w:ind w:left="576"/>
      </w:pPr>
      <w:r w:rsidRPr="009D3EED">
        <w:t>While Zero Trust Architecture offers a compelling security model, its real-world implementation presents significant challenges. Organisations must navigate technical, cultural, and strategic barriers that can undermine even well-funded ZTA initiatives.</w:t>
      </w:r>
    </w:p>
    <w:p w14:paraId="252DCCFC" w14:textId="77777777" w:rsidR="004E2F59" w:rsidRPr="0049776E" w:rsidRDefault="004E2F59" w:rsidP="004E2F59">
      <w:pPr>
        <w:pStyle w:val="bulletlist"/>
        <w:numPr>
          <w:ilvl w:val="0"/>
          <w:numId w:val="0"/>
        </w:numPr>
        <w:ind w:left="576"/>
        <w:rPr>
          <w:b/>
          <w:bCs/>
        </w:rPr>
      </w:pPr>
      <w:r w:rsidRPr="0049776E">
        <w:rPr>
          <w:b/>
          <w:bCs/>
        </w:rPr>
        <w:t>A. Legacy Infrastructure and Technical Complexity</w:t>
      </w:r>
    </w:p>
    <w:p w14:paraId="691DB197" w14:textId="7A8C2DB5" w:rsidR="004E2F59" w:rsidRPr="009D3EED" w:rsidRDefault="00390E61" w:rsidP="004E2F59">
      <w:pPr>
        <w:pStyle w:val="bulletlist"/>
        <w:numPr>
          <w:ilvl w:val="0"/>
          <w:numId w:val="0"/>
        </w:numPr>
        <w:ind w:left="576"/>
      </w:pPr>
      <w:r w:rsidRPr="00390E61">
        <w:rPr>
          <w:lang w:val="en-US"/>
        </w:rPr>
        <w:t>Legacy systems are common in finance, healthcare and government. Legacy systems were designed under perimeter-based models and not built to support continuous verification or granular access controls. Implementing Zero trust principles on legacy systems requires redesigns of identity management, network architecture and application access. Transition requires significant time and investment</w:t>
      </w:r>
      <w:r w:rsidR="004E2F59" w:rsidRPr="009D3EED">
        <w:t xml:space="preserve"> [6].</w:t>
      </w:r>
    </w:p>
    <w:p w14:paraId="3332EA16" w14:textId="77777777" w:rsidR="004E2F59" w:rsidRPr="0049776E" w:rsidRDefault="004E2F59" w:rsidP="004E2F59">
      <w:pPr>
        <w:pStyle w:val="bulletlist"/>
        <w:numPr>
          <w:ilvl w:val="0"/>
          <w:numId w:val="0"/>
        </w:numPr>
        <w:ind w:left="576"/>
        <w:rPr>
          <w:b/>
          <w:bCs/>
        </w:rPr>
      </w:pPr>
      <w:r w:rsidRPr="0049776E">
        <w:rPr>
          <w:b/>
          <w:bCs/>
        </w:rPr>
        <w:t>B. Cultural Resistance and Organisational Change</w:t>
      </w:r>
    </w:p>
    <w:p w14:paraId="434B2DFA" w14:textId="2EC90058" w:rsidR="004E2F59" w:rsidRPr="009D3EED" w:rsidRDefault="00814663" w:rsidP="004E2F59">
      <w:pPr>
        <w:pStyle w:val="bulletlist"/>
        <w:numPr>
          <w:ilvl w:val="0"/>
          <w:numId w:val="0"/>
        </w:numPr>
        <w:ind w:left="576"/>
      </w:pPr>
      <w:r w:rsidRPr="00814663">
        <w:rPr>
          <w:lang w:val="en-US"/>
        </w:rPr>
        <w:lastRenderedPageBreak/>
        <w:t xml:space="preserve">Technology alone will not determine how well a Zero Trust Architecture rollout </w:t>
      </w:r>
      <w:r w:rsidR="003474B8" w:rsidRPr="00814663">
        <w:rPr>
          <w:lang w:val="en-US"/>
        </w:rPr>
        <w:t>goes employees</w:t>
      </w:r>
      <w:r w:rsidRPr="00814663">
        <w:rPr>
          <w:lang w:val="en-US"/>
        </w:rPr>
        <w:t xml:space="preserve"> will. Those used to </w:t>
      </w:r>
      <w:r w:rsidR="00636A4F" w:rsidRPr="00814663">
        <w:rPr>
          <w:lang w:val="en-US"/>
        </w:rPr>
        <w:t>access</w:t>
      </w:r>
      <w:r w:rsidRPr="00814663">
        <w:rPr>
          <w:lang w:val="en-US"/>
        </w:rPr>
        <w:t xml:space="preserve"> their company's internal network with ease may resist additional steps associated with Multi-Factor Authentication, constant re-verifications of access and restrictions on what they access. Organizational buy-in from executive and end user </w:t>
      </w:r>
      <w:r w:rsidR="00636A4F" w:rsidRPr="00814663">
        <w:rPr>
          <w:lang w:val="en-US"/>
        </w:rPr>
        <w:t>levels are</w:t>
      </w:r>
      <w:r w:rsidRPr="00814663">
        <w:rPr>
          <w:lang w:val="en-US"/>
        </w:rPr>
        <w:t xml:space="preserve"> key to a successful </w:t>
      </w:r>
      <w:r w:rsidR="00636A4F" w:rsidRPr="00814663">
        <w:rPr>
          <w:lang w:val="en-US"/>
        </w:rPr>
        <w:t>rollout.</w:t>
      </w:r>
    </w:p>
    <w:p w14:paraId="362F9D72" w14:textId="77777777" w:rsidR="004E2F59" w:rsidRPr="0049776E" w:rsidRDefault="004E2F59" w:rsidP="004E2F59">
      <w:pPr>
        <w:pStyle w:val="bulletlist"/>
        <w:numPr>
          <w:ilvl w:val="0"/>
          <w:numId w:val="0"/>
        </w:numPr>
        <w:ind w:left="576"/>
        <w:rPr>
          <w:b/>
          <w:bCs/>
        </w:rPr>
      </w:pPr>
      <w:r w:rsidRPr="0049776E">
        <w:rPr>
          <w:b/>
          <w:bCs/>
        </w:rPr>
        <w:t>C. Cost and Resource Demands</w:t>
      </w:r>
    </w:p>
    <w:p w14:paraId="10B0A382" w14:textId="22FAD3DA" w:rsidR="0072588E" w:rsidRPr="0072588E" w:rsidRDefault="0072588E" w:rsidP="0072588E">
      <w:pPr>
        <w:pStyle w:val="bulletlist"/>
        <w:numPr>
          <w:ilvl w:val="0"/>
          <w:numId w:val="0"/>
        </w:numPr>
        <w:ind w:left="576"/>
        <w:rPr>
          <w:lang w:val="en-GB"/>
        </w:rPr>
      </w:pPr>
      <w:r w:rsidRPr="0072588E">
        <w:rPr>
          <w:lang w:val="en-GB"/>
        </w:rPr>
        <w:t>Zero trust is not a solution you can buy — zero trust is an architecture that will take a number of solutions (IAM, MFA, segmentation, SIEM &amp; UEBA) working together. The financial and operational costs to purchase, integrate and maintain all those products is substantial. For smaller organizations there is often limited budget as well as limited access to skill professionals to fully implement ZTA this creates a gap in terms of security maturity between enterprise sized companies and middle market companies.</w:t>
      </w:r>
    </w:p>
    <w:p w14:paraId="3CC41B63" w14:textId="77777777" w:rsidR="004E2F59" w:rsidRPr="0049776E" w:rsidRDefault="004E2F59" w:rsidP="004E2F59">
      <w:pPr>
        <w:pStyle w:val="bulletlist"/>
        <w:numPr>
          <w:ilvl w:val="0"/>
          <w:numId w:val="0"/>
        </w:numPr>
        <w:ind w:left="576"/>
        <w:rPr>
          <w:b/>
          <w:bCs/>
        </w:rPr>
      </w:pPr>
      <w:r w:rsidRPr="0049776E">
        <w:rPr>
          <w:b/>
          <w:bCs/>
        </w:rPr>
        <w:t>D. The Zero Trust Maturity Gap</w:t>
      </w:r>
    </w:p>
    <w:p w14:paraId="431A9114" w14:textId="7B8C21ED" w:rsidR="00EE7167" w:rsidRPr="00EE7167" w:rsidRDefault="00EE7167" w:rsidP="00EE7167">
      <w:pPr>
        <w:pStyle w:val="bulletlist"/>
        <w:numPr>
          <w:ilvl w:val="0"/>
          <w:numId w:val="0"/>
        </w:numPr>
        <w:ind w:left="576"/>
        <w:rPr>
          <w:lang w:val="en-GB"/>
        </w:rPr>
      </w:pPr>
      <w:r w:rsidRPr="00EE7167">
        <w:rPr>
          <w:lang w:val="en-GB"/>
        </w:rPr>
        <w:t>One of the biggest challenges to realizing Zero Trust, is that many organizations are adopting some type of Zero Trust by implementing a few security tools, (i.e., MFA, Network Segmentation), but then labelling this implementation as "Zero Trust" when in fact they have made little-to-no changes to how users are authenticated/authorized/accessed throughout their organization. The CISA Zero Trust Maturity Model has identified five progressive stages of Zero Trust Adoption, however, the majority of research shows that the average organization is still operating at the first stage of Zero Trust adoption</w:t>
      </w:r>
    </w:p>
    <w:p w14:paraId="4A5B82DA" w14:textId="7CF0F601" w:rsidR="004E2F59" w:rsidRDefault="004E2F59" w:rsidP="00EE7167">
      <w:pPr>
        <w:pStyle w:val="bulletlist"/>
        <w:numPr>
          <w:ilvl w:val="0"/>
          <w:numId w:val="0"/>
        </w:numPr>
        <w:ind w:left="576" w:hanging="288"/>
      </w:pPr>
      <w:r w:rsidRPr="009D3EED">
        <w:t>[7]. This superficial adoption creates a dangerous false sense of security, where organisations believe they are protected but critical trust assumptions remain deeply embedded in their systems.</w:t>
      </w:r>
    </w:p>
    <w:p w14:paraId="33B7AF86" w14:textId="77777777" w:rsidR="004E2F59" w:rsidRPr="005B520E" w:rsidRDefault="004E2F59" w:rsidP="004E2F59">
      <w:pPr>
        <w:pStyle w:val="bulletlist"/>
        <w:numPr>
          <w:ilvl w:val="0"/>
          <w:numId w:val="0"/>
        </w:numPr>
        <w:ind w:left="576"/>
      </w:pPr>
      <w:r w:rsidRPr="00E02A4A">
        <w:rPr>
          <w:sz w:val="40"/>
          <w:szCs w:val="40"/>
        </w:rPr>
        <w:t>v</w:t>
      </w:r>
      <w:r w:rsidRPr="002A3391">
        <w:t xml:space="preserve"> </w:t>
      </w:r>
      <w:r>
        <w:t>:</w:t>
      </w:r>
      <w:r w:rsidRPr="002A3391">
        <w:t>ZTA vs Traditional Perimeter Security</w:t>
      </w:r>
    </w:p>
    <w:p w14:paraId="0774D1C7" w14:textId="77777777" w:rsidR="00645AB2" w:rsidRPr="00645AB2" w:rsidRDefault="00645AB2" w:rsidP="00645AB2">
      <w:pPr>
        <w:spacing w:after="160" w:line="278" w:lineRule="auto"/>
        <w:rPr>
          <w:lang w:val="en-GB"/>
        </w:rPr>
      </w:pPr>
      <w:r w:rsidRPr="00645AB2">
        <w:rPr>
          <w:lang w:val="en-GB"/>
        </w:rPr>
        <w:t>To understand the worth of a Zero Trust Architecture model, one needs to contrast this architecture with the original "perimeter" security model it is trying to replace. The perimeter model has served businesses appropriately for a time when most employees worked from fixed locations, but its inherent premises are no longer adequate to support today's fast-changing, remote workforce threat environment.</w:t>
      </w:r>
    </w:p>
    <w:p w14:paraId="22EA9093" w14:textId="77777777" w:rsidR="004E2F59" w:rsidRPr="00CE3A7D" w:rsidRDefault="004E2F59" w:rsidP="004E2F59">
      <w:pPr>
        <w:spacing w:after="160" w:line="278" w:lineRule="auto"/>
      </w:pPr>
      <w:r w:rsidRPr="00CE3A7D">
        <w:rPr>
          <w:b/>
          <w:bCs/>
        </w:rPr>
        <w:t>A. Comparative Analysis</w:t>
      </w:r>
    </w:p>
    <w:p w14:paraId="1BB924CE" w14:textId="77777777" w:rsidR="004E2F59" w:rsidRDefault="004E2F59" w:rsidP="004E2F59">
      <w:pPr>
        <w:spacing w:after="160" w:line="278" w:lineRule="auto"/>
      </w:pPr>
      <w:r w:rsidRPr="00CE3A7D">
        <w:t>The table below summarizes the key differences between traditional perimeter security and Zero Trust Architecture across critical dimensions:</w:t>
      </w:r>
    </w:p>
    <w:p w14:paraId="728A4BDD" w14:textId="77777777" w:rsidR="00B41E73" w:rsidRDefault="00B41E73" w:rsidP="004E2F59">
      <w:pPr>
        <w:spacing w:after="160" w:line="278" w:lineRule="auto"/>
      </w:pPr>
    </w:p>
    <w:p w14:paraId="5153AA0E" w14:textId="77777777" w:rsidR="00B41E73" w:rsidRDefault="00B41E73" w:rsidP="004E2F59">
      <w:pPr>
        <w:spacing w:after="160" w:line="278" w:lineRule="auto"/>
      </w:pPr>
    </w:p>
    <w:tbl>
      <w:tblPr>
        <w:tblStyle w:val="TableGrid"/>
        <w:tblW w:w="0" w:type="auto"/>
        <w:tblLook w:val="04A0" w:firstRow="1" w:lastRow="0" w:firstColumn="1" w:lastColumn="0" w:noHBand="0" w:noVBand="1"/>
      </w:tblPr>
      <w:tblGrid>
        <w:gridCol w:w="1674"/>
        <w:gridCol w:w="1674"/>
        <w:gridCol w:w="1675"/>
      </w:tblGrid>
      <w:tr w:rsidR="00E100B1" w14:paraId="26899A75" w14:textId="77777777" w:rsidTr="00E100B1">
        <w:tc>
          <w:tcPr>
            <w:tcW w:w="1674" w:type="dxa"/>
          </w:tcPr>
          <w:p w14:paraId="5D2EBCE0" w14:textId="0E65EE04" w:rsidR="00E100B1" w:rsidRPr="00D63835" w:rsidRDefault="00D63835" w:rsidP="004E2F59">
            <w:pPr>
              <w:spacing w:after="160" w:line="278" w:lineRule="auto"/>
              <w:rPr>
                <w:b/>
                <w:bCs/>
              </w:rPr>
            </w:pPr>
            <w:r w:rsidRPr="00D63835">
              <w:rPr>
                <w:b/>
                <w:bCs/>
              </w:rPr>
              <w:t>Dimension</w:t>
            </w:r>
          </w:p>
        </w:tc>
        <w:tc>
          <w:tcPr>
            <w:tcW w:w="1674" w:type="dxa"/>
          </w:tcPr>
          <w:p w14:paraId="6510C347" w14:textId="7E8E88CB" w:rsidR="00E100B1" w:rsidRPr="00103641" w:rsidRDefault="00103641" w:rsidP="004E2F59">
            <w:pPr>
              <w:spacing w:after="160" w:line="278" w:lineRule="auto"/>
              <w:rPr>
                <w:b/>
                <w:bCs/>
              </w:rPr>
            </w:pPr>
            <w:r w:rsidRPr="00103641">
              <w:rPr>
                <w:b/>
                <w:bCs/>
              </w:rPr>
              <w:t>Perimeter Model</w:t>
            </w:r>
          </w:p>
        </w:tc>
        <w:tc>
          <w:tcPr>
            <w:tcW w:w="1675" w:type="dxa"/>
          </w:tcPr>
          <w:p w14:paraId="4F2055D5" w14:textId="0B245DEF" w:rsidR="00E100B1" w:rsidRPr="00103641" w:rsidRDefault="00103641" w:rsidP="004E2F59">
            <w:pPr>
              <w:spacing w:after="160" w:line="278" w:lineRule="auto"/>
              <w:rPr>
                <w:b/>
                <w:bCs/>
              </w:rPr>
            </w:pPr>
            <w:r w:rsidRPr="00103641">
              <w:rPr>
                <w:b/>
                <w:bCs/>
              </w:rPr>
              <w:t>Zero Trust Architecture</w:t>
            </w:r>
          </w:p>
        </w:tc>
      </w:tr>
      <w:tr w:rsidR="00E100B1" w14:paraId="0AF1757D" w14:textId="77777777" w:rsidTr="00E100B1">
        <w:tc>
          <w:tcPr>
            <w:tcW w:w="1674" w:type="dxa"/>
          </w:tcPr>
          <w:p w14:paraId="07F73853" w14:textId="716E69E2" w:rsidR="00E100B1" w:rsidRDefault="00D061C6" w:rsidP="004E2F59">
            <w:pPr>
              <w:spacing w:after="160" w:line="278" w:lineRule="auto"/>
            </w:pPr>
            <w:r w:rsidRPr="00D061C6">
              <w:t>Trust assumption</w:t>
            </w:r>
          </w:p>
        </w:tc>
        <w:tc>
          <w:tcPr>
            <w:tcW w:w="1674" w:type="dxa"/>
          </w:tcPr>
          <w:p w14:paraId="32387602" w14:textId="7AC566C4" w:rsidR="00E100B1" w:rsidRDefault="00EB3502" w:rsidP="004E2F59">
            <w:pPr>
              <w:spacing w:after="160" w:line="278" w:lineRule="auto"/>
            </w:pPr>
            <w:r w:rsidRPr="00EB3502">
              <w:t>Implicit trust inside network</w:t>
            </w:r>
          </w:p>
        </w:tc>
        <w:tc>
          <w:tcPr>
            <w:tcW w:w="1675" w:type="dxa"/>
          </w:tcPr>
          <w:p w14:paraId="3B140ADC" w14:textId="0616DF7A" w:rsidR="00E100B1" w:rsidRDefault="00EC77E3" w:rsidP="004E2F59">
            <w:pPr>
              <w:spacing w:after="160" w:line="278" w:lineRule="auto"/>
            </w:pPr>
            <w:r w:rsidRPr="00EC77E3">
              <w:t>No implicit trust anywhere</w:t>
            </w:r>
          </w:p>
        </w:tc>
      </w:tr>
      <w:tr w:rsidR="00E100B1" w14:paraId="6F5A9F62" w14:textId="77777777" w:rsidTr="00E100B1">
        <w:tc>
          <w:tcPr>
            <w:tcW w:w="1674" w:type="dxa"/>
          </w:tcPr>
          <w:p w14:paraId="6C34EE89" w14:textId="34DC06DD" w:rsidR="00E100B1" w:rsidRDefault="00277C12" w:rsidP="004E2F59">
            <w:pPr>
              <w:spacing w:after="160" w:line="278" w:lineRule="auto"/>
            </w:pPr>
            <w:r w:rsidRPr="00277C12">
              <w:t>Access control</w:t>
            </w:r>
          </w:p>
        </w:tc>
        <w:tc>
          <w:tcPr>
            <w:tcW w:w="167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84CA3" w:rsidRPr="00A84CA3" w14:paraId="222519E7" w14:textId="77777777">
              <w:trPr>
                <w:tblCellSpacing w:w="15" w:type="dxa"/>
              </w:trPr>
              <w:tc>
                <w:tcPr>
                  <w:tcW w:w="0" w:type="auto"/>
                  <w:vAlign w:val="center"/>
                  <w:hideMark/>
                </w:tcPr>
                <w:p w14:paraId="75DC5E93" w14:textId="77777777" w:rsidR="00A84CA3" w:rsidRPr="00A84CA3" w:rsidRDefault="00A84CA3" w:rsidP="00A84CA3">
                  <w:pPr>
                    <w:spacing w:after="160" w:line="278" w:lineRule="auto"/>
                    <w:rPr>
                      <w:lang w:val="en-GB"/>
                    </w:rPr>
                  </w:pPr>
                </w:p>
              </w:tc>
            </w:tr>
          </w:tbl>
          <w:p w14:paraId="045F66FF" w14:textId="77777777" w:rsidR="00A84CA3" w:rsidRPr="00A84CA3" w:rsidRDefault="00A84CA3" w:rsidP="00A84CA3">
            <w:pPr>
              <w:spacing w:after="160" w:line="278" w:lineRule="auto"/>
              <w:rPr>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8"/>
            </w:tblGrid>
            <w:tr w:rsidR="00A84CA3" w:rsidRPr="00A84CA3" w14:paraId="03E2D24E" w14:textId="77777777">
              <w:trPr>
                <w:tblCellSpacing w:w="15" w:type="dxa"/>
              </w:trPr>
              <w:tc>
                <w:tcPr>
                  <w:tcW w:w="0" w:type="auto"/>
                  <w:vAlign w:val="center"/>
                  <w:hideMark/>
                </w:tcPr>
                <w:p w14:paraId="5AFF0154" w14:textId="77777777" w:rsidR="00A84CA3" w:rsidRPr="00A84CA3" w:rsidRDefault="00A84CA3" w:rsidP="00A84CA3">
                  <w:pPr>
                    <w:spacing w:after="160" w:line="278" w:lineRule="auto"/>
                    <w:rPr>
                      <w:lang w:val="en-GB"/>
                    </w:rPr>
                  </w:pPr>
                  <w:r w:rsidRPr="00A84CA3">
                    <w:rPr>
                      <w:lang w:val="en-GB"/>
                    </w:rPr>
                    <w:t>Network location-based</w:t>
                  </w:r>
                </w:p>
              </w:tc>
            </w:tr>
          </w:tbl>
          <w:p w14:paraId="45AFEB77" w14:textId="5813421E" w:rsidR="00E100B1" w:rsidRDefault="00E100B1" w:rsidP="004E2F59">
            <w:pPr>
              <w:spacing w:after="160" w:line="278" w:lineRule="auto"/>
            </w:pPr>
          </w:p>
        </w:tc>
        <w:tc>
          <w:tcPr>
            <w:tcW w:w="1675" w:type="dxa"/>
          </w:tcPr>
          <w:p w14:paraId="08E90B13" w14:textId="57F28CF7" w:rsidR="00E100B1" w:rsidRDefault="00EC77E3" w:rsidP="004E2F59">
            <w:pPr>
              <w:spacing w:after="160" w:line="278" w:lineRule="auto"/>
            </w:pPr>
            <w:r w:rsidRPr="00EC77E3">
              <w:t>Identity and context-based</w:t>
            </w:r>
          </w:p>
        </w:tc>
      </w:tr>
      <w:tr w:rsidR="00E100B1" w14:paraId="03FB404E" w14:textId="77777777" w:rsidTr="00E100B1">
        <w:tc>
          <w:tcPr>
            <w:tcW w:w="1674" w:type="dxa"/>
          </w:tcPr>
          <w:p w14:paraId="02A15762" w14:textId="245BE28A" w:rsidR="00E100B1" w:rsidRDefault="00685197" w:rsidP="004E2F59">
            <w:pPr>
              <w:spacing w:after="160" w:line="278" w:lineRule="auto"/>
            </w:pPr>
            <w:r w:rsidRPr="00685197">
              <w:t>Breach assumption</w:t>
            </w:r>
          </w:p>
        </w:tc>
        <w:tc>
          <w:tcPr>
            <w:tcW w:w="1674" w:type="dxa"/>
          </w:tcPr>
          <w:p w14:paraId="02A209EC" w14:textId="6ABF79F6" w:rsidR="00E100B1" w:rsidRDefault="00A84CA3" w:rsidP="004E2F59">
            <w:pPr>
              <w:spacing w:after="160" w:line="278" w:lineRule="auto"/>
            </w:pPr>
            <w:r w:rsidRPr="00A84CA3">
              <w:t>Perimeter will hold</w:t>
            </w:r>
          </w:p>
        </w:tc>
        <w:tc>
          <w:tcPr>
            <w:tcW w:w="1675" w:type="dxa"/>
          </w:tcPr>
          <w:p w14:paraId="1D634282" w14:textId="089AFC01" w:rsidR="00E100B1" w:rsidRDefault="00EC77E3" w:rsidP="004E2F59">
            <w:pPr>
              <w:spacing w:after="160" w:line="278" w:lineRule="auto"/>
            </w:pPr>
            <w:r w:rsidRPr="00EC77E3">
              <w:t>Breach is always assumed</w:t>
            </w:r>
          </w:p>
        </w:tc>
      </w:tr>
      <w:tr w:rsidR="00E100B1" w14:paraId="7D219A75" w14:textId="77777777" w:rsidTr="00E100B1">
        <w:tc>
          <w:tcPr>
            <w:tcW w:w="1674" w:type="dxa"/>
          </w:tcPr>
          <w:p w14:paraId="58DE9C51" w14:textId="5B0C9FC0" w:rsidR="00E100B1" w:rsidRDefault="00651216" w:rsidP="004E2F59">
            <w:pPr>
              <w:spacing w:after="160" w:line="278" w:lineRule="auto"/>
            </w:pPr>
            <w:r w:rsidRPr="00651216">
              <w:t>Insider threat</w:t>
            </w:r>
          </w:p>
        </w:tc>
        <w:tc>
          <w:tcPr>
            <w:tcW w:w="1674" w:type="dxa"/>
          </w:tcPr>
          <w:p w14:paraId="6F1FC12A" w14:textId="6B033EA4" w:rsidR="00E100B1" w:rsidRDefault="005D186A" w:rsidP="004E2F59">
            <w:pPr>
              <w:spacing w:after="160" w:line="278" w:lineRule="auto"/>
            </w:pPr>
            <w:r w:rsidRPr="005D186A">
              <w:t>High vulnerability</w:t>
            </w:r>
          </w:p>
        </w:tc>
        <w:tc>
          <w:tcPr>
            <w:tcW w:w="1675" w:type="dxa"/>
          </w:tcPr>
          <w:p w14:paraId="30425E1F" w14:textId="6877065B" w:rsidR="00E100B1" w:rsidRDefault="005957FF" w:rsidP="004E2F59">
            <w:pPr>
              <w:spacing w:after="160" w:line="278" w:lineRule="auto"/>
            </w:pPr>
            <w:r w:rsidRPr="005957FF">
              <w:t>Mitigated by least privilege</w:t>
            </w:r>
          </w:p>
        </w:tc>
      </w:tr>
      <w:tr w:rsidR="00E100B1" w14:paraId="454218AD" w14:textId="77777777" w:rsidTr="00E100B1">
        <w:tc>
          <w:tcPr>
            <w:tcW w:w="1674" w:type="dxa"/>
          </w:tcPr>
          <w:p w14:paraId="0D2F7A7C" w14:textId="2E249B00" w:rsidR="00E100B1" w:rsidRDefault="00EB3502" w:rsidP="004E2F59">
            <w:pPr>
              <w:spacing w:after="160" w:line="278" w:lineRule="auto"/>
            </w:pPr>
            <w:r w:rsidRPr="00EB3502">
              <w:t>Cloud/remote support</w:t>
            </w:r>
          </w:p>
        </w:tc>
        <w:tc>
          <w:tcPr>
            <w:tcW w:w="1674" w:type="dxa"/>
          </w:tcPr>
          <w:p w14:paraId="717AA3D0" w14:textId="16B79116" w:rsidR="00E100B1" w:rsidRDefault="005D186A" w:rsidP="004E2F59">
            <w:pPr>
              <w:spacing w:after="160" w:line="278" w:lineRule="auto"/>
            </w:pPr>
            <w:r>
              <w:t>poor</w:t>
            </w:r>
          </w:p>
        </w:tc>
        <w:tc>
          <w:tcPr>
            <w:tcW w:w="1675" w:type="dxa"/>
          </w:tcPr>
          <w:p w14:paraId="08EB4852" w14:textId="5B21451F" w:rsidR="00E100B1" w:rsidRDefault="005957FF" w:rsidP="004E2F59">
            <w:pPr>
              <w:spacing w:after="160" w:line="278" w:lineRule="auto"/>
            </w:pPr>
            <w:r w:rsidRPr="005957FF">
              <w:t>Designed for it</w:t>
            </w:r>
          </w:p>
        </w:tc>
      </w:tr>
      <w:tr w:rsidR="00E100B1" w14:paraId="1945C13A" w14:textId="77777777" w:rsidTr="00E100B1">
        <w:tc>
          <w:tcPr>
            <w:tcW w:w="1674" w:type="dxa"/>
          </w:tcPr>
          <w:p w14:paraId="13B9891B" w14:textId="7576AE8B" w:rsidR="00E100B1" w:rsidRDefault="00EB3502" w:rsidP="004E2F59">
            <w:pPr>
              <w:spacing w:after="160" w:line="278" w:lineRule="auto"/>
            </w:pPr>
            <w:r w:rsidRPr="00EB3502">
              <w:t>Lateral movement</w:t>
            </w:r>
          </w:p>
        </w:tc>
        <w:tc>
          <w:tcPr>
            <w:tcW w:w="167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D186A" w:rsidRPr="005D186A" w14:paraId="38590B89" w14:textId="77777777">
              <w:trPr>
                <w:tblCellSpacing w:w="15" w:type="dxa"/>
              </w:trPr>
              <w:tc>
                <w:tcPr>
                  <w:tcW w:w="0" w:type="auto"/>
                  <w:vAlign w:val="center"/>
                  <w:hideMark/>
                </w:tcPr>
                <w:p w14:paraId="1C20FB65" w14:textId="77777777" w:rsidR="005D186A" w:rsidRPr="005D186A" w:rsidRDefault="005D186A" w:rsidP="005D186A">
                  <w:pPr>
                    <w:spacing w:after="160" w:line="278" w:lineRule="auto"/>
                    <w:rPr>
                      <w:lang w:val="en-GB"/>
                    </w:rPr>
                  </w:pPr>
                </w:p>
              </w:tc>
            </w:tr>
          </w:tbl>
          <w:p w14:paraId="4B1C694D" w14:textId="77777777" w:rsidR="005D186A" w:rsidRPr="005D186A" w:rsidRDefault="005D186A" w:rsidP="005D186A">
            <w:pPr>
              <w:spacing w:after="160" w:line="278" w:lineRule="auto"/>
              <w:rPr>
                <w:vanish/>
                <w:lang w:val="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58"/>
            </w:tblGrid>
            <w:tr w:rsidR="005D186A" w:rsidRPr="005D186A" w14:paraId="5ABB8EAC" w14:textId="77777777">
              <w:trPr>
                <w:tblCellSpacing w:w="15" w:type="dxa"/>
              </w:trPr>
              <w:tc>
                <w:tcPr>
                  <w:tcW w:w="0" w:type="auto"/>
                  <w:vAlign w:val="center"/>
                  <w:hideMark/>
                </w:tcPr>
                <w:p w14:paraId="1C008358" w14:textId="77777777" w:rsidR="005D186A" w:rsidRPr="005D186A" w:rsidRDefault="005D186A" w:rsidP="005D186A">
                  <w:pPr>
                    <w:spacing w:after="160" w:line="278" w:lineRule="auto"/>
                    <w:rPr>
                      <w:lang w:val="en-GB"/>
                    </w:rPr>
                  </w:pPr>
                  <w:r w:rsidRPr="005D186A">
                    <w:rPr>
                      <w:lang w:val="en-GB"/>
                    </w:rPr>
                    <w:t>Largely unrestricted</w:t>
                  </w:r>
                </w:p>
              </w:tc>
            </w:tr>
          </w:tbl>
          <w:p w14:paraId="4FCD85A2" w14:textId="77777777" w:rsidR="00E100B1" w:rsidRDefault="00E100B1" w:rsidP="004E2F59">
            <w:pPr>
              <w:spacing w:after="160" w:line="278" w:lineRule="auto"/>
            </w:pPr>
          </w:p>
        </w:tc>
        <w:tc>
          <w:tcPr>
            <w:tcW w:w="1675" w:type="dxa"/>
          </w:tcPr>
          <w:p w14:paraId="22324641" w14:textId="77777777" w:rsidR="005957FF" w:rsidRDefault="005957FF" w:rsidP="005957FF">
            <w:pPr>
              <w:rPr>
                <w:rFonts w:eastAsia="Times New Roman"/>
                <w:lang w:val="en-GB"/>
              </w:rPr>
            </w:pPr>
            <w:r>
              <w:t>Blocked by micro-segmentation</w:t>
            </w:r>
          </w:p>
          <w:p w14:paraId="1A8C73DE" w14:textId="77777777" w:rsidR="00E100B1" w:rsidRDefault="00E100B1" w:rsidP="004E2F59">
            <w:pPr>
              <w:spacing w:after="160" w:line="278" w:lineRule="auto"/>
            </w:pPr>
          </w:p>
        </w:tc>
      </w:tr>
    </w:tbl>
    <w:p w14:paraId="1CB9D9E7" w14:textId="77777777" w:rsidR="00B41E73" w:rsidRDefault="00B41E73" w:rsidP="004E2F59">
      <w:pPr>
        <w:spacing w:after="160" w:line="278" w:lineRule="auto"/>
      </w:pPr>
    </w:p>
    <w:p w14:paraId="2BFF9C07" w14:textId="77777777" w:rsidR="00B41E73" w:rsidRDefault="00B41E73" w:rsidP="004E2F59">
      <w:pPr>
        <w:spacing w:after="160" w:line="278" w:lineRule="auto"/>
      </w:pPr>
    </w:p>
    <w:p w14:paraId="58291C51" w14:textId="77777777" w:rsidR="00B41E73" w:rsidRPr="00CE3A7D" w:rsidRDefault="00B41E73" w:rsidP="00E100B1">
      <w:pPr>
        <w:spacing w:after="160" w:line="278" w:lineRule="auto"/>
        <w:jc w:val="both"/>
      </w:pPr>
    </w:p>
    <w:p w14:paraId="6FDA75B0" w14:textId="77777777" w:rsidR="004E2F59" w:rsidRPr="00CE3A7D" w:rsidRDefault="004E2F59" w:rsidP="004E2F59">
      <w:pPr>
        <w:spacing w:after="160" w:line="278" w:lineRule="auto"/>
      </w:pPr>
      <w:r w:rsidRPr="00CE3A7D">
        <w:rPr>
          <w:b/>
          <w:bCs/>
        </w:rPr>
        <w:t>B. Lessons from SolarWinds</w:t>
      </w:r>
    </w:p>
    <w:p w14:paraId="4B36B265" w14:textId="3F42672D" w:rsidR="00DA4F7B" w:rsidRDefault="00DA4F7B" w:rsidP="004E2F59">
      <w:pPr>
        <w:spacing w:after="160" w:line="278" w:lineRule="auto"/>
      </w:pPr>
      <w:r w:rsidRPr="00DA4F7B">
        <w:t>The 2020 SolarWinds supply chain attack is an excellent example where the limitations of perimeter security were demonstrated. Once attackers penetrated trusted internal systems, the perimeter model could do nothing. They used legitimate credentials to move across organizations for months. continuous re-authentication, least-privilege access controls, and micro-segmentation would have limited movement and access</w:t>
      </w:r>
    </w:p>
    <w:p w14:paraId="34F765BA" w14:textId="7658E42E" w:rsidR="004E2F59" w:rsidRPr="00CE3A7D" w:rsidRDefault="004E2F59" w:rsidP="004E2F59">
      <w:pPr>
        <w:spacing w:after="160" w:line="278" w:lineRule="auto"/>
      </w:pPr>
      <w:r w:rsidRPr="00CE3A7D">
        <w:rPr>
          <w:b/>
          <w:bCs/>
        </w:rPr>
        <w:t>C. A Balanced Perspective</w:t>
      </w:r>
    </w:p>
    <w:p w14:paraId="12066757" w14:textId="73CB675C" w:rsidR="004E2F59" w:rsidRPr="00CE3A7D" w:rsidRDefault="003C32B0" w:rsidP="004E2F59">
      <w:pPr>
        <w:spacing w:after="160" w:line="278" w:lineRule="auto"/>
      </w:pPr>
      <w:r w:rsidRPr="003C32B0">
        <w:t>While Zero Trust has advantages it would be unwise to consider it the replacement for traditional security controls. Firewalls, intrusion detection systems and monitoring tools continue acting as the first level of defiance. Most security models use defense-in-depth strategies applying Zero Trust principles on top of existing perimeter controls</w:t>
      </w:r>
      <w:r w:rsidR="004E2F59" w:rsidRPr="00CE3A7D">
        <w:t>.</w:t>
      </w:r>
    </w:p>
    <w:p w14:paraId="1AB7351F" w14:textId="77777777" w:rsidR="004E2F59" w:rsidRDefault="004E2F59" w:rsidP="004E2F59">
      <w:pPr>
        <w:spacing w:after="160" w:line="278" w:lineRule="auto"/>
        <w:rPr>
          <w:b/>
          <w:bCs/>
        </w:rPr>
      </w:pPr>
      <w:r w:rsidRPr="003B3276">
        <w:rPr>
          <w:b/>
          <w:bCs/>
        </w:rPr>
        <w:t>VI: Anticipating, Protecting, Detecting and Responding to Threats</w:t>
      </w:r>
    </w:p>
    <w:p w14:paraId="017DA8CD" w14:textId="77777777" w:rsidR="004E2F59" w:rsidRPr="00A72115" w:rsidRDefault="004E2F59" w:rsidP="004E2F59">
      <w:pPr>
        <w:spacing w:after="160" w:line="278" w:lineRule="auto"/>
      </w:pPr>
      <w:r w:rsidRPr="00A72115">
        <w:t xml:space="preserve">A core objective of modern security architecture is not merely to defend against known threats, but to build environments that anticipate, protect against, detect, and automatically </w:t>
      </w:r>
      <w:r w:rsidRPr="00A72115">
        <w:lastRenderedPageBreak/>
        <w:t>respond to incidents. Zero Trust Architecture is uniquely positioned to address all four of these capabilities in an integrated and continuous manner.</w:t>
      </w:r>
    </w:p>
    <w:p w14:paraId="4CC17F56" w14:textId="77777777" w:rsidR="004E2F59" w:rsidRPr="00A72115" w:rsidRDefault="004E2F59" w:rsidP="004E2F59">
      <w:pPr>
        <w:spacing w:after="160" w:line="278" w:lineRule="auto"/>
      </w:pPr>
      <w:r w:rsidRPr="00A72115">
        <w:rPr>
          <w:b/>
          <w:bCs/>
        </w:rPr>
        <w:t>A. Anticipate</w:t>
      </w:r>
    </w:p>
    <w:p w14:paraId="50DAEC3F" w14:textId="1F4E4C9C" w:rsidR="00F20123" w:rsidRDefault="004C6AD4" w:rsidP="004E2F59">
      <w:pPr>
        <w:spacing w:after="160" w:line="278" w:lineRule="auto"/>
      </w:pPr>
      <w:r w:rsidRPr="004C6AD4">
        <w:t xml:space="preserve">Zero Trust is a proactive security approach. It assumes breaches by designing systems on the assumption vulnerabilities will be exploited rather than waiting for them not to be. </w:t>
      </w:r>
      <w:r w:rsidR="00F20123" w:rsidRPr="004C6AD4">
        <w:t>Organizations</w:t>
      </w:r>
      <w:r w:rsidRPr="004C6AD4">
        <w:t xml:space="preserve"> can assess risk based on contextual signals such as </w:t>
      </w:r>
      <w:r w:rsidR="00F20123" w:rsidRPr="004C6AD4">
        <w:t>behavior</w:t>
      </w:r>
      <w:r w:rsidRPr="004C6AD4">
        <w:t>, health and geo-location before granting access to systems. Ongoing threat modeling and continuous policy refinement enable security teams to anticipate attack avenues and mitigate vulnerabilities prior to exploitation</w:t>
      </w:r>
    </w:p>
    <w:p w14:paraId="276EE883" w14:textId="44176718" w:rsidR="004E2F59" w:rsidRPr="00A72115" w:rsidRDefault="004E2F59" w:rsidP="004E2F59">
      <w:pPr>
        <w:spacing w:after="160" w:line="278" w:lineRule="auto"/>
      </w:pPr>
      <w:r w:rsidRPr="00A72115">
        <w:rPr>
          <w:b/>
          <w:bCs/>
        </w:rPr>
        <w:t>B. Protect</w:t>
      </w:r>
    </w:p>
    <w:p w14:paraId="64DAC261" w14:textId="5A69E6C3" w:rsidR="004E2F59" w:rsidRPr="00A72115" w:rsidRDefault="00C2205B" w:rsidP="004E2F59">
      <w:pPr>
        <w:spacing w:after="160" w:line="278" w:lineRule="auto"/>
      </w:pPr>
      <w:r w:rsidRPr="00C2205B">
        <w:t xml:space="preserve">The ways a cyber-attacker may exploit an organization's assets can be reduced through multiple layers of protection. Multi-factor authentication ensures attackers cannot simply steal usernames and passwords for access. Least privilege limits actions from compromised accounts, while micro-segmentation limits movement within the network. </w:t>
      </w:r>
      <w:r w:rsidR="004E2F59" w:rsidRPr="00A72115">
        <w:t>[8].</w:t>
      </w:r>
    </w:p>
    <w:p w14:paraId="375FE672" w14:textId="77777777" w:rsidR="004E2F59" w:rsidRPr="00A72115" w:rsidRDefault="004E2F59" w:rsidP="004E2F59">
      <w:pPr>
        <w:spacing w:after="160" w:line="278" w:lineRule="auto"/>
      </w:pPr>
      <w:r w:rsidRPr="00A72115">
        <w:rPr>
          <w:b/>
          <w:bCs/>
        </w:rPr>
        <w:t>C. Detect</w:t>
      </w:r>
    </w:p>
    <w:p w14:paraId="751869C5" w14:textId="0B23C138" w:rsidR="004E2F59" w:rsidRPr="00A72115" w:rsidRDefault="00BC08D5" w:rsidP="004E2F59">
      <w:pPr>
        <w:spacing w:after="160" w:line="278" w:lineRule="auto"/>
      </w:pPr>
      <w:r w:rsidRPr="00BC08D5">
        <w:t>Continuous Monitoring is the foundation of Zero Trust Architecture. Using User and Entity Behavior Analytics, each user and device are profiled continuously and anomalies detected in real-time are flagged for review. Unlike traditional perimeter models, ZTA monitors behavior during all sessions with visibility to threats</w:t>
      </w:r>
      <w:r w:rsidR="004E2F59" w:rsidRPr="00A72115">
        <w:t>.</w:t>
      </w:r>
    </w:p>
    <w:p w14:paraId="449E99E9" w14:textId="77777777" w:rsidR="004E2F59" w:rsidRPr="00A72115" w:rsidRDefault="004E2F59" w:rsidP="004E2F59">
      <w:pPr>
        <w:spacing w:after="160" w:line="278" w:lineRule="auto"/>
      </w:pPr>
      <w:r w:rsidRPr="00A72115">
        <w:rPr>
          <w:b/>
          <w:bCs/>
        </w:rPr>
        <w:t>D. Respond</w:t>
      </w:r>
    </w:p>
    <w:p w14:paraId="1383567D" w14:textId="6C4188A6" w:rsidR="004E2F59" w:rsidRPr="001A3CB6" w:rsidRDefault="001A3CB6" w:rsidP="001A3CB6">
      <w:pPr>
        <w:spacing w:after="160" w:line="278" w:lineRule="auto"/>
        <w:rPr>
          <w:lang w:val="en-GB"/>
        </w:rPr>
      </w:pPr>
      <w:r w:rsidRPr="001A3CB6">
        <w:rPr>
          <w:lang w:val="en-GB"/>
        </w:rPr>
        <w:t xml:space="preserve">Zero Trust Architecture provides organizations with another key benefit – the ability to rapidly respond through automation. SOAR technology combined with ZTA allows for automated additional authentication requirements to be enforced, automatic revocation of access tokens to be initiated, isolation of compromised systems to occur and notification of security teams to </w:t>
      </w:r>
      <w:r w:rsidR="006369B0" w:rsidRPr="001A3CB6">
        <w:rPr>
          <w:lang w:val="en-GB"/>
        </w:rPr>
        <w:t>act</w:t>
      </w:r>
      <w:r w:rsidRPr="001A3CB6">
        <w:rPr>
          <w:lang w:val="en-GB"/>
        </w:rPr>
        <w:t xml:space="preserve"> on suspicious behaviour within a matter of seconds of detection. Therefore, the time an attacker has in your environment to cause damage before you contain them is drastically reduced. In terms of the SolarWinds attack, if the organization had implemented automation and response as part of their ZTA, they would likely have been able to identify lateral movement and contain it much faster than they were able to </w:t>
      </w:r>
      <w:r w:rsidR="006369B0" w:rsidRPr="001A3CB6">
        <w:rPr>
          <w:lang w:val="en-GB"/>
        </w:rPr>
        <w:t>be resulting</w:t>
      </w:r>
      <w:r w:rsidRPr="001A3CB6">
        <w:rPr>
          <w:lang w:val="en-GB"/>
        </w:rPr>
        <w:t xml:space="preserve"> in less organizational compromise overall.</w:t>
      </w:r>
      <w:r w:rsidR="004E2F59" w:rsidRPr="00A72115">
        <w:t>.</w:t>
      </w:r>
    </w:p>
    <w:p w14:paraId="3099C0E5" w14:textId="77777777" w:rsidR="004E2F59" w:rsidRDefault="004E2F59" w:rsidP="004E2F59">
      <w:pPr>
        <w:spacing w:after="160" w:line="278" w:lineRule="auto"/>
        <w:jc w:val="both"/>
      </w:pPr>
    </w:p>
    <w:p w14:paraId="1589CF9C" w14:textId="77777777" w:rsidR="004E2F59" w:rsidRDefault="004E2F59" w:rsidP="004E2F59">
      <w:pPr>
        <w:spacing w:after="160" w:line="278" w:lineRule="auto"/>
      </w:pPr>
      <w:r w:rsidRPr="00000905">
        <w:rPr>
          <w:b/>
          <w:bCs/>
        </w:rPr>
        <w:t>VII: Conclusion</w:t>
      </w:r>
      <w:r w:rsidRPr="00000905">
        <w:t>:</w:t>
      </w:r>
    </w:p>
    <w:p w14:paraId="71185FBE" w14:textId="77777777" w:rsidR="00304F0C" w:rsidRPr="00304F0C" w:rsidRDefault="00304F0C" w:rsidP="00304F0C">
      <w:pPr>
        <w:spacing w:after="160" w:line="278" w:lineRule="auto"/>
        <w:rPr>
          <w:lang w:val="en-GB"/>
        </w:rPr>
      </w:pPr>
      <w:r w:rsidRPr="00304F0C">
        <w:rPr>
          <w:lang w:val="en-GB"/>
        </w:rPr>
        <w:t>The new way of thinking about security with Zero-Trust Architectures (ZTA) means organizations are no longer going to trust everything inside their networks, but instead they will continue to authenticate/validate every single user, device, and requests regardless of where the user/device/request is coming from. This paper has shown that the three main principles of Zero-Trust Architecture — explicit validation, least privilege access, and assume breach — provide a solid base for preparing for, defending against, detecting, and responding to the types of attacks we see today.</w:t>
      </w:r>
      <w:r w:rsidRPr="00304F0C">
        <w:rPr>
          <w:lang w:val="en-GB"/>
        </w:rPr>
        <w:br/>
        <w:t>Incidents like SolarWinds have clearly illustrated the devastating impact of trusting implicitly and create a strong case for adopting Zero-Trust Architecture across all industries. Although there are many obstacles to implementing Zero-Trust Architecture — including legacy systems, cultural resistance, and cost — there is still a practical method of implementing Zero-Trust Architecture using a phased approach with the use of guidelines like the CISA Zero-Trust Maturity Model.</w:t>
      </w:r>
      <w:r w:rsidRPr="00304F0C">
        <w:rPr>
          <w:lang w:val="en-GB"/>
        </w:rPr>
        <w:br/>
        <w:t>Zero-Trust is not a product or a destination, it is a philosophy of security. Organizations that adopt it and implement it completely (not superficially), will have a much greater chance of successfully defending themselves against an ever-evolving threat environment. The concept is simple; do not trust anything without validating it first</w:t>
      </w:r>
    </w:p>
    <w:p w14:paraId="5BE68365" w14:textId="77777777" w:rsidR="004E2F59" w:rsidRDefault="004E2F59" w:rsidP="004E2F59">
      <w:pPr>
        <w:spacing w:after="160" w:line="278" w:lineRule="auto"/>
        <w:rPr>
          <w:lang w:val="en-GB"/>
        </w:rPr>
      </w:pPr>
    </w:p>
    <w:p w14:paraId="5B91F73D" w14:textId="77777777" w:rsidR="0088707D" w:rsidRDefault="004E2F59" w:rsidP="0088707D">
      <w:pPr>
        <w:spacing w:after="160" w:line="278" w:lineRule="auto"/>
        <w:rPr>
          <w:b/>
          <w:bCs/>
        </w:rPr>
      </w:pPr>
      <w:r w:rsidRPr="003B1163">
        <w:rPr>
          <w:b/>
          <w:bCs/>
        </w:rPr>
        <w:t>Reference List</w:t>
      </w:r>
    </w:p>
    <w:p w14:paraId="2FF7539D" w14:textId="22DEE207" w:rsidR="004E2F59" w:rsidRPr="0088707D" w:rsidRDefault="004E2F59" w:rsidP="0088707D">
      <w:pPr>
        <w:spacing w:after="160" w:line="278" w:lineRule="auto"/>
        <w:rPr>
          <w:b/>
          <w:bCs/>
        </w:rPr>
      </w:pPr>
      <w:r w:rsidRPr="00E04180">
        <w:rPr>
          <w:lang w:val="en-GB"/>
        </w:rPr>
        <w:t>[1] S. Rose, O. Borchert, S. Mitchell, and S. Connelly, "Zero Trust Architecture," NIST SP 800-207, National Institute of Standards and Technology, Aug. 2020.</w:t>
      </w:r>
    </w:p>
    <w:p w14:paraId="3E4F7930" w14:textId="77777777" w:rsidR="004E2F59" w:rsidRPr="00E04180" w:rsidRDefault="004E2F59" w:rsidP="004E2F59">
      <w:pPr>
        <w:spacing w:after="160" w:line="278" w:lineRule="auto"/>
        <w:rPr>
          <w:lang w:val="en-GB"/>
        </w:rPr>
      </w:pPr>
      <w:r w:rsidRPr="00E04180">
        <w:rPr>
          <w:lang w:val="en-GB"/>
        </w:rPr>
        <w:t xml:space="preserve">[2] Microsoft, "Zero Trust Deployment Guide," Microsoft Security, 2023. [Online]. Available: </w:t>
      </w:r>
      <w:hyperlink r:id="rId11" w:history="1">
        <w:r w:rsidRPr="00E04180">
          <w:rPr>
            <w:rStyle w:val="Hyperlink"/>
            <w:lang w:val="en-GB"/>
          </w:rPr>
          <w:t>https://learn.microsoft.com/en-us/security/zero-trust/</w:t>
        </w:r>
      </w:hyperlink>
    </w:p>
    <w:p w14:paraId="09E90766" w14:textId="77777777" w:rsidR="004E2F59" w:rsidRPr="00E04180" w:rsidRDefault="004E2F59" w:rsidP="004E2F59">
      <w:pPr>
        <w:spacing w:after="160" w:line="278" w:lineRule="auto"/>
        <w:rPr>
          <w:lang w:val="en-GB"/>
        </w:rPr>
      </w:pPr>
      <w:r w:rsidRPr="00E04180">
        <w:rPr>
          <w:lang w:val="en-GB"/>
        </w:rPr>
        <w:t>[3] J. Kindervag, "No More Chewy Centers: Introducing the Zero Trust Model of Information Security," Forrester Research, Nov. 2010.</w:t>
      </w:r>
    </w:p>
    <w:p w14:paraId="4BCD892E" w14:textId="77777777" w:rsidR="004E2F59" w:rsidRPr="00E04180" w:rsidRDefault="004E2F59" w:rsidP="004E2F59">
      <w:pPr>
        <w:spacing w:after="160" w:line="278" w:lineRule="auto"/>
        <w:rPr>
          <w:lang w:val="en-GB"/>
        </w:rPr>
      </w:pPr>
      <w:r w:rsidRPr="00E04180">
        <w:rPr>
          <w:lang w:val="en-GB"/>
        </w:rPr>
        <w:t xml:space="preserve">[4] I. Balderas-Díaz et al., "Identity and Access Management as a Security-as-a-Service from Clouds," </w:t>
      </w:r>
      <w:r w:rsidRPr="00E04180">
        <w:rPr>
          <w:i/>
          <w:iCs/>
          <w:lang w:val="en-GB"/>
        </w:rPr>
        <w:t>IEEE Access</w:t>
      </w:r>
      <w:r w:rsidRPr="00E04180">
        <w:rPr>
          <w:lang w:val="en-GB"/>
        </w:rPr>
        <w:t>, vol. 9, pp. 1–15, 2021.</w:t>
      </w:r>
    </w:p>
    <w:p w14:paraId="27147B3C" w14:textId="77777777" w:rsidR="004E2F59" w:rsidRPr="00E04180" w:rsidRDefault="004E2F59" w:rsidP="004E2F59">
      <w:pPr>
        <w:spacing w:after="160" w:line="278" w:lineRule="auto"/>
        <w:rPr>
          <w:lang w:val="en-GB"/>
        </w:rPr>
      </w:pPr>
      <w:r w:rsidRPr="00E04180">
        <w:rPr>
          <w:lang w:val="en-GB"/>
        </w:rPr>
        <w:t xml:space="preserve">[5] S. Banerjee, "Software Defined Perimeter: A Comprehensive Survey," </w:t>
      </w:r>
      <w:r w:rsidRPr="00E04180">
        <w:rPr>
          <w:i/>
          <w:iCs/>
          <w:lang w:val="en-GB"/>
        </w:rPr>
        <w:t>IEEE Communications Surveys &amp; Tutorials</w:t>
      </w:r>
      <w:r w:rsidRPr="00E04180">
        <w:rPr>
          <w:lang w:val="en-GB"/>
        </w:rPr>
        <w:t>, vol. 22, no. 3, pp. 1533–1553, 2020.</w:t>
      </w:r>
    </w:p>
    <w:p w14:paraId="57C87840" w14:textId="77777777" w:rsidR="004E2F59" w:rsidRPr="00E04180" w:rsidRDefault="004E2F59" w:rsidP="004E2F59">
      <w:pPr>
        <w:spacing w:after="160" w:line="278" w:lineRule="auto"/>
        <w:rPr>
          <w:lang w:val="en-GB"/>
        </w:rPr>
      </w:pPr>
      <w:r w:rsidRPr="00E04180">
        <w:rPr>
          <w:lang w:val="en-GB"/>
        </w:rPr>
        <w:t xml:space="preserve">[6] S. Stafford, "Challenges of Zero Trust Implementation in Legacy Environments," </w:t>
      </w:r>
      <w:r w:rsidRPr="00E04180">
        <w:rPr>
          <w:i/>
          <w:iCs/>
          <w:lang w:val="en-GB"/>
        </w:rPr>
        <w:t>Journal of Cybersecurity and Privacy</w:t>
      </w:r>
      <w:r w:rsidRPr="00E04180">
        <w:rPr>
          <w:lang w:val="en-GB"/>
        </w:rPr>
        <w:t>, vol. 2, no. 1, pp. 14–29, 2022.</w:t>
      </w:r>
    </w:p>
    <w:p w14:paraId="40BA05B8" w14:textId="77777777" w:rsidR="004E2F59" w:rsidRPr="00E04180" w:rsidRDefault="004E2F59" w:rsidP="004E2F59">
      <w:pPr>
        <w:spacing w:after="160" w:line="278" w:lineRule="auto"/>
        <w:rPr>
          <w:lang w:val="en-GB"/>
        </w:rPr>
      </w:pPr>
      <w:r w:rsidRPr="00E04180">
        <w:rPr>
          <w:lang w:val="en-GB"/>
        </w:rPr>
        <w:lastRenderedPageBreak/>
        <w:t xml:space="preserve">[7] CISA, "Zero Trust Maturity Model," U.S. Department of Homeland Security, Apr. 2023. [Online]. Available: </w:t>
      </w:r>
      <w:hyperlink r:id="rId12" w:history="1">
        <w:r w:rsidRPr="00E04180">
          <w:rPr>
            <w:rStyle w:val="Hyperlink"/>
            <w:lang w:val="en-GB"/>
          </w:rPr>
          <w:t>https://www.cisa.gov/zero-trust-maturity-model</w:t>
        </w:r>
      </w:hyperlink>
    </w:p>
    <w:p w14:paraId="3B7A2ED9" w14:textId="77777777" w:rsidR="004E2F59" w:rsidRPr="00E04180" w:rsidRDefault="004E2F59" w:rsidP="004E2F59">
      <w:pPr>
        <w:spacing w:after="160" w:line="278" w:lineRule="auto"/>
        <w:rPr>
          <w:lang w:val="en-GB"/>
        </w:rPr>
      </w:pPr>
      <w:r w:rsidRPr="00E04180">
        <w:rPr>
          <w:lang w:val="en-GB"/>
        </w:rPr>
        <w:t>[8] R. Chandramouli, "A Zero Trust Architecture Model for Access Control in Cloud-Native Applications," NIST SP 800-207A, Aug. 2023.</w:t>
      </w:r>
    </w:p>
    <w:p w14:paraId="59640DDA" w14:textId="77777777" w:rsidR="004E2F59" w:rsidRPr="00054D7C" w:rsidRDefault="004E2F59" w:rsidP="004E2F59">
      <w:pPr>
        <w:spacing w:after="160" w:line="278" w:lineRule="auto"/>
        <w:rPr>
          <w:b/>
          <w:bCs/>
          <w:lang w:val="en-GB"/>
        </w:rPr>
      </w:pPr>
    </w:p>
    <w:p w14:paraId="6E7447EC" w14:textId="77777777" w:rsidR="004E2F59" w:rsidRDefault="004E2F59" w:rsidP="004E2F59">
      <w:pPr>
        <w:spacing w:after="160" w:line="278" w:lineRule="auto"/>
      </w:pPr>
    </w:p>
    <w:p w14:paraId="7DF81FDE" w14:textId="77777777" w:rsidR="004E2F59" w:rsidRDefault="004E2F59" w:rsidP="004E2F59">
      <w:pPr>
        <w:spacing w:after="160" w:line="278" w:lineRule="auto"/>
      </w:pPr>
    </w:p>
    <w:p w14:paraId="32EB80A9" w14:textId="77777777" w:rsidR="004E2F59" w:rsidRDefault="004E2F59" w:rsidP="004E2F59">
      <w:pPr>
        <w:spacing w:after="160" w:line="278" w:lineRule="auto"/>
      </w:pPr>
    </w:p>
    <w:p w14:paraId="0FB3945C" w14:textId="77777777" w:rsidR="004E2F59" w:rsidRDefault="004E2F59" w:rsidP="004E2F59">
      <w:pPr>
        <w:spacing w:after="160" w:line="278" w:lineRule="auto"/>
      </w:pPr>
    </w:p>
    <w:p w14:paraId="7E6F7C39" w14:textId="77777777" w:rsidR="004E2F59" w:rsidRPr="00F96569" w:rsidRDefault="004E2F59" w:rsidP="004E2F59">
      <w:pPr>
        <w:pStyle w:val="BodyText"/>
        <w:rPr>
          <w:b/>
          <w:color w:val="FF0000"/>
        </w:rPr>
        <w:sectPr w:rsidR="004E2F59" w:rsidRPr="00F96569" w:rsidSect="004E2F59">
          <w:type w:val="continuous"/>
          <w:pgSz w:w="12240" w:h="15840" w:code="1"/>
          <w:pgMar w:top="1080" w:right="907" w:bottom="1440" w:left="907" w:header="720" w:footer="720" w:gutter="0"/>
          <w:cols w:num="2" w:space="360"/>
          <w:docGrid w:linePitch="360"/>
        </w:sectPr>
      </w:pPr>
      <w:r w:rsidRPr="005B520E">
        <w:t xml:space="preserve">Component heads identify the different components of your paper and are not topically subordinate to each other. Examples include Acknowledgments and References and, for these, the </w:t>
      </w:r>
    </w:p>
    <w:p w14:paraId="24DA04EB" w14:textId="77777777" w:rsidR="004E2F59" w:rsidRDefault="004E2F59"/>
    <w:p w14:paraId="3640591B" w14:textId="77777777" w:rsidR="00C31997" w:rsidRDefault="00C31997"/>
    <w:p w14:paraId="7109606D" w14:textId="77777777" w:rsidR="00C31997" w:rsidRDefault="00C31997"/>
    <w:p w14:paraId="19802450" w14:textId="77777777" w:rsidR="00C31997" w:rsidRDefault="00C31997"/>
    <w:p w14:paraId="147B575D" w14:textId="77777777" w:rsidR="006E5883" w:rsidRDefault="00AB47D0" w:rsidP="00C31997">
      <w:pPr>
        <w:jc w:val="both"/>
        <w:rPr>
          <w:b/>
          <w:bCs/>
        </w:rPr>
      </w:pPr>
      <w:r w:rsidRPr="006E5883">
        <w:rPr>
          <w:b/>
          <w:bCs/>
        </w:rPr>
        <w:t>TASK 2</w:t>
      </w:r>
      <w:r w:rsidR="006E5883" w:rsidRPr="006E5883">
        <w:rPr>
          <w:b/>
          <w:bCs/>
        </w:rPr>
        <w:t xml:space="preserve">   </w:t>
      </w:r>
    </w:p>
    <w:p w14:paraId="764493C8" w14:textId="77777777" w:rsidR="006E5883" w:rsidRDefault="006E5883" w:rsidP="00C31997">
      <w:pPr>
        <w:jc w:val="both"/>
        <w:rPr>
          <w:b/>
          <w:bCs/>
        </w:rPr>
      </w:pPr>
    </w:p>
    <w:p w14:paraId="19781329" w14:textId="65012450" w:rsidR="00C31997" w:rsidRDefault="006E5883" w:rsidP="00C31997">
      <w:pPr>
        <w:jc w:val="both"/>
        <w:rPr>
          <w:b/>
          <w:bCs/>
        </w:rPr>
      </w:pPr>
      <w:r w:rsidRPr="006E5883">
        <w:rPr>
          <w:b/>
          <w:bCs/>
        </w:rPr>
        <w:t>Section 1: Orga</w:t>
      </w:r>
      <w:commentRangeStart w:id="0"/>
      <w:r w:rsidRPr="006E5883">
        <w:rPr>
          <w:b/>
          <w:bCs/>
        </w:rPr>
        <w:t>n</w:t>
      </w:r>
      <w:commentRangeEnd w:id="0"/>
      <w:r w:rsidR="00227D80" w:rsidRPr="006E5883">
        <w:rPr>
          <w:rStyle w:val="CommentReference"/>
          <w:b/>
          <w:bCs/>
          <w:sz w:val="20"/>
          <w:szCs w:val="20"/>
        </w:rPr>
        <w:commentReference w:id="0"/>
      </w:r>
      <w:r w:rsidRPr="006E5883">
        <w:rPr>
          <w:b/>
          <w:bCs/>
        </w:rPr>
        <w:t>onal Structure</w:t>
      </w:r>
    </w:p>
    <w:p w14:paraId="5AE633A4" w14:textId="77777777" w:rsidR="00810556" w:rsidRPr="00810556" w:rsidRDefault="00810556" w:rsidP="00810556">
      <w:pPr>
        <w:pStyle w:val="ListParagraph"/>
        <w:jc w:val="both"/>
        <w:rPr>
          <w:lang w:val="en-GB"/>
        </w:rPr>
      </w:pPr>
      <w:r w:rsidRPr="00810556">
        <w:rPr>
          <w:lang w:val="en-GB"/>
        </w:rPr>
        <w:t>As MediTrust Analytics Ltd extends into the European Union (EU) health care market, a key element in the protection of sensitive clinical data, the satisfaction of regulatory requirements and the building of trust among health care partners will be the creation of an Information Security Unit for MediTrust Analytics Ltd. The proposed structure includes two technical positions to address the top three Information Security issues at MediTrust Analytics Ltd in a Hybrid Multi-Cloud Environment.</w:t>
      </w:r>
    </w:p>
    <w:p w14:paraId="06D30B50" w14:textId="3E101CF7" w:rsidR="008C5766" w:rsidRPr="00E100C3" w:rsidRDefault="00506EDB" w:rsidP="00E100C3">
      <w:pPr>
        <w:pStyle w:val="ListParagraph"/>
        <w:jc w:val="both"/>
        <w:rPr>
          <w:b/>
          <w:bCs/>
          <w:lang w:val="en-GB"/>
        </w:rPr>
      </w:pPr>
      <w:r>
        <w:rPr>
          <w:b/>
          <w:bCs/>
          <w:lang w:val="en-GB"/>
        </w:rPr>
        <w:t>A:</w:t>
      </w:r>
      <w:r w:rsidRPr="00E100C3">
        <w:rPr>
          <w:b/>
          <w:bCs/>
          <w:lang w:val="en-GB"/>
        </w:rPr>
        <w:t xml:space="preserve"> Cloud</w:t>
      </w:r>
      <w:r w:rsidR="008C5766" w:rsidRPr="00E100C3">
        <w:rPr>
          <w:b/>
          <w:bCs/>
          <w:lang w:val="en-GB"/>
        </w:rPr>
        <w:t xml:space="preserve"> Security Architect</w:t>
      </w:r>
    </w:p>
    <w:p w14:paraId="6965BB4D" w14:textId="60D580B7" w:rsidR="008C5766" w:rsidRPr="00811341" w:rsidRDefault="00811341" w:rsidP="00811341">
      <w:pPr>
        <w:pStyle w:val="ListParagraph"/>
        <w:jc w:val="both"/>
        <w:rPr>
          <w:lang w:val="en-GB"/>
        </w:rPr>
      </w:pPr>
      <w:r w:rsidRPr="00811341">
        <w:rPr>
          <w:lang w:val="en-GB"/>
        </w:rPr>
        <w:t>The Cloud Security Architect will develop a secure architecture to protect the multiple clouds where MediTrust operates, in addition to protecting the large amount of sensitive patient data processed by MediTrust across those multiple clouds. This includes end-to-end encryption, strict access controls and constant cloud security posture management to ensure that all data always remains secure. In addition to ensuring cloud environments are secure enough to be compliant with GDPR, DORA and NIS2, the Cloud Security Architect also works to minimize the risk of misconfiguration that would potentially put clinical data at risk and/or negatively impact service to the hospital partners.</w:t>
      </w:r>
      <w:r w:rsidR="008C5766" w:rsidRPr="00811341">
        <w:rPr>
          <w:lang w:val="en-GB"/>
        </w:rPr>
        <w:t>[1].</w:t>
      </w:r>
    </w:p>
    <w:p w14:paraId="7ECF5E7F" w14:textId="6630996F" w:rsidR="008C5766" w:rsidRPr="00E100C3" w:rsidRDefault="005365EB" w:rsidP="00E100C3">
      <w:pPr>
        <w:pStyle w:val="ListParagraph"/>
        <w:jc w:val="both"/>
        <w:rPr>
          <w:b/>
          <w:bCs/>
          <w:lang w:val="en-GB"/>
        </w:rPr>
      </w:pPr>
      <w:r>
        <w:rPr>
          <w:b/>
          <w:bCs/>
          <w:lang w:val="en-GB"/>
        </w:rPr>
        <w:t>B:</w:t>
      </w:r>
      <w:r w:rsidR="008C5766" w:rsidRPr="00E100C3">
        <w:rPr>
          <w:b/>
          <w:bCs/>
          <w:lang w:val="en-GB"/>
        </w:rPr>
        <w:t>DevSecOps Lead</w:t>
      </w:r>
    </w:p>
    <w:p w14:paraId="7469330F" w14:textId="20219F8C" w:rsidR="008C5766" w:rsidRPr="00E0146E" w:rsidRDefault="00E250BE" w:rsidP="00E0146E">
      <w:pPr>
        <w:pStyle w:val="ListParagraph"/>
        <w:jc w:val="both"/>
        <w:rPr>
          <w:lang w:val="en-GB"/>
        </w:rPr>
      </w:pPr>
      <w:r w:rsidRPr="00E250BE">
        <w:rPr>
          <w:lang w:val="en-GB"/>
        </w:rPr>
        <w:t>As part of the DevSecOps Lead position at MediTrust, security will be embedded throughout all of MediTrust's software development and deployment processes (pipelines). In contrast to addressing security as a separate activity after software has been created, the DevSecOps Lead will ensure that automated security testing, vulnerability scanning, and code integrity checking activities are included in the software development process as early as possible. This is especially important for MediTrust since the AI-powered clinical decision support systems and third-party software components being developed by MediTrust have inherent risks associated with them, and a single vulnerability could have an adverse effect on both the safety of patients and the reputation of MediTrust.</w:t>
      </w:r>
      <w:r w:rsidR="008C5766" w:rsidRPr="00E0146E">
        <w:rPr>
          <w:lang w:val="en-GB"/>
        </w:rPr>
        <w:t>[2].</w:t>
      </w:r>
    </w:p>
    <w:p w14:paraId="1BFD4B06" w14:textId="45EEABA7" w:rsidR="005365EB" w:rsidRPr="00701053" w:rsidRDefault="00701053" w:rsidP="00E100C3">
      <w:pPr>
        <w:pStyle w:val="ListParagraph"/>
        <w:jc w:val="both"/>
        <w:rPr>
          <w:b/>
          <w:bCs/>
          <w:lang w:val="en-GB"/>
        </w:rPr>
      </w:pPr>
      <w:r w:rsidRPr="00701053">
        <w:rPr>
          <w:b/>
          <w:bCs/>
        </w:rPr>
        <w:t>C. Proposed Security Unit Structure</w:t>
      </w:r>
    </w:p>
    <w:tbl>
      <w:tblPr>
        <w:tblStyle w:val="TableGrid"/>
        <w:tblW w:w="9016" w:type="dxa"/>
        <w:tblInd w:w="623" w:type="dxa"/>
        <w:tblLook w:val="04A0" w:firstRow="1" w:lastRow="0" w:firstColumn="1" w:lastColumn="0" w:noHBand="0" w:noVBand="1"/>
      </w:tblPr>
      <w:tblGrid>
        <w:gridCol w:w="4508"/>
        <w:gridCol w:w="4508"/>
      </w:tblGrid>
      <w:tr w:rsidR="00F70BFF" w14:paraId="0A430575" w14:textId="77777777" w:rsidTr="00F70BFF">
        <w:tc>
          <w:tcPr>
            <w:tcW w:w="4508" w:type="dxa"/>
          </w:tcPr>
          <w:p w14:paraId="21A6B21E" w14:textId="77777777" w:rsidR="0051050E" w:rsidRDefault="0051050E" w:rsidP="0051050E">
            <w:pPr>
              <w:jc w:val="both"/>
              <w:rPr>
                <w:rFonts w:eastAsia="Times New Roman"/>
                <w:b/>
                <w:bCs/>
                <w:lang w:val="en-GB"/>
              </w:rPr>
            </w:pPr>
            <w:r>
              <w:rPr>
                <w:b/>
                <w:bCs/>
              </w:rPr>
              <w:t>Role</w:t>
            </w:r>
          </w:p>
          <w:p w14:paraId="3002EA22" w14:textId="77777777" w:rsidR="00F70BFF" w:rsidRDefault="00F70BFF" w:rsidP="00C31997">
            <w:pPr>
              <w:jc w:val="both"/>
              <w:rPr>
                <w:b/>
                <w:bCs/>
              </w:rPr>
            </w:pPr>
          </w:p>
        </w:tc>
        <w:tc>
          <w:tcPr>
            <w:tcW w:w="4508" w:type="dxa"/>
          </w:tcPr>
          <w:p w14:paraId="7ADCF8D5" w14:textId="02930F26" w:rsidR="00F70BFF" w:rsidRDefault="0051050E" w:rsidP="00C31997">
            <w:pPr>
              <w:jc w:val="both"/>
              <w:rPr>
                <w:b/>
                <w:bCs/>
              </w:rPr>
            </w:pPr>
            <w:r w:rsidRPr="0051050E">
              <w:rPr>
                <w:b/>
                <w:bCs/>
              </w:rPr>
              <w:t>Primary Responsibility</w:t>
            </w:r>
          </w:p>
        </w:tc>
      </w:tr>
      <w:tr w:rsidR="00F70BFF" w14:paraId="268B8A95" w14:textId="77777777" w:rsidTr="00F70BFF">
        <w:tc>
          <w:tcPr>
            <w:tcW w:w="4508" w:type="dxa"/>
          </w:tcPr>
          <w:p w14:paraId="48351991" w14:textId="0B3DB4F2" w:rsidR="00F70BFF" w:rsidRDefault="00F85D23" w:rsidP="00C31997">
            <w:pPr>
              <w:jc w:val="both"/>
              <w:rPr>
                <w:b/>
                <w:bCs/>
              </w:rPr>
            </w:pPr>
            <w:r w:rsidRPr="00F85D23">
              <w:rPr>
                <w:b/>
                <w:bCs/>
              </w:rPr>
              <w:t>Cloud Security Architect</w:t>
            </w:r>
          </w:p>
        </w:tc>
        <w:tc>
          <w:tcPr>
            <w:tcW w:w="4508" w:type="dxa"/>
          </w:tcPr>
          <w:p w14:paraId="3822B521" w14:textId="4D8A8AA6" w:rsidR="00F70BFF" w:rsidRDefault="00F85D23" w:rsidP="00C31997">
            <w:pPr>
              <w:jc w:val="both"/>
              <w:rPr>
                <w:b/>
                <w:bCs/>
              </w:rPr>
            </w:pPr>
            <w:r w:rsidRPr="00F85D23">
              <w:rPr>
                <w:b/>
                <w:bCs/>
              </w:rPr>
              <w:t>Multi-cloud security design, encryption, CSPM, compliance</w:t>
            </w:r>
          </w:p>
        </w:tc>
      </w:tr>
      <w:tr w:rsidR="00F70BFF" w14:paraId="3CB735A9" w14:textId="77777777" w:rsidTr="00F70BFF">
        <w:tc>
          <w:tcPr>
            <w:tcW w:w="4508" w:type="dxa"/>
          </w:tcPr>
          <w:p w14:paraId="52503691" w14:textId="731565CB" w:rsidR="00F70BFF" w:rsidRDefault="00F85D23" w:rsidP="00C31997">
            <w:pPr>
              <w:jc w:val="both"/>
              <w:rPr>
                <w:b/>
                <w:bCs/>
              </w:rPr>
            </w:pPr>
            <w:r w:rsidRPr="00F85D23">
              <w:rPr>
                <w:b/>
                <w:bCs/>
              </w:rPr>
              <w:t>DevSecOps Lead</w:t>
            </w:r>
          </w:p>
        </w:tc>
        <w:tc>
          <w:tcPr>
            <w:tcW w:w="4508" w:type="dxa"/>
          </w:tcPr>
          <w:p w14:paraId="6A4A3A9B" w14:textId="26F205A3" w:rsidR="00F70BFF" w:rsidRDefault="00B616ED" w:rsidP="00C31997">
            <w:pPr>
              <w:jc w:val="both"/>
              <w:rPr>
                <w:b/>
                <w:bCs/>
              </w:rPr>
            </w:pPr>
            <w:r w:rsidRPr="00B616ED">
              <w:rPr>
                <w:b/>
                <w:bCs/>
              </w:rPr>
              <w:t>Secure development pipelines, vulnerability scanning, supply chain security</w:t>
            </w:r>
          </w:p>
        </w:tc>
      </w:tr>
    </w:tbl>
    <w:p w14:paraId="7606BC23" w14:textId="77777777" w:rsidR="003A74EB" w:rsidRDefault="003A74EB" w:rsidP="00C31997">
      <w:pPr>
        <w:jc w:val="both"/>
        <w:rPr>
          <w:b/>
          <w:bCs/>
        </w:rPr>
      </w:pPr>
    </w:p>
    <w:p w14:paraId="13257401" w14:textId="77777777" w:rsidR="006E5883" w:rsidRDefault="006E5883" w:rsidP="00C31997">
      <w:pPr>
        <w:jc w:val="both"/>
        <w:rPr>
          <w:b/>
          <w:bCs/>
        </w:rPr>
      </w:pPr>
    </w:p>
    <w:p w14:paraId="2475A83C" w14:textId="77777777" w:rsidR="00E0318B" w:rsidRDefault="00E0318B" w:rsidP="00C31997">
      <w:pPr>
        <w:jc w:val="both"/>
        <w:rPr>
          <w:b/>
          <w:bCs/>
        </w:rPr>
      </w:pPr>
    </w:p>
    <w:p w14:paraId="11E97396" w14:textId="77777777" w:rsidR="00095C42" w:rsidRDefault="00095C42" w:rsidP="00C31997">
      <w:pPr>
        <w:jc w:val="both"/>
        <w:rPr>
          <w:b/>
          <w:bCs/>
        </w:rPr>
      </w:pPr>
    </w:p>
    <w:p w14:paraId="67F07338" w14:textId="77777777" w:rsidR="00095C42" w:rsidRDefault="00095C42" w:rsidP="00C31997">
      <w:pPr>
        <w:jc w:val="both"/>
        <w:rPr>
          <w:b/>
          <w:bCs/>
        </w:rPr>
      </w:pPr>
    </w:p>
    <w:p w14:paraId="09F5281E" w14:textId="77777777" w:rsidR="00095C42" w:rsidRDefault="00095C42" w:rsidP="00C31997">
      <w:pPr>
        <w:jc w:val="both"/>
        <w:rPr>
          <w:b/>
          <w:bCs/>
        </w:rPr>
      </w:pPr>
    </w:p>
    <w:p w14:paraId="243B3886" w14:textId="77777777" w:rsidR="00095C42" w:rsidRDefault="00095C42" w:rsidP="00C31997">
      <w:pPr>
        <w:jc w:val="both"/>
        <w:rPr>
          <w:b/>
          <w:bCs/>
        </w:rPr>
      </w:pPr>
    </w:p>
    <w:p w14:paraId="4BCC534A" w14:textId="77777777" w:rsidR="00095C42" w:rsidRDefault="00095C42" w:rsidP="00C31997">
      <w:pPr>
        <w:jc w:val="both"/>
        <w:rPr>
          <w:b/>
          <w:bCs/>
        </w:rPr>
      </w:pPr>
    </w:p>
    <w:p w14:paraId="4C70ABE2" w14:textId="65362338" w:rsidR="00095C42" w:rsidRDefault="009751ED" w:rsidP="00C31997">
      <w:pPr>
        <w:jc w:val="both"/>
        <w:rPr>
          <w:b/>
          <w:bCs/>
        </w:rPr>
      </w:pPr>
      <w:r>
        <w:rPr>
          <w:b/>
          <w:bCs/>
          <w:noProof/>
          <w14:ligatures w14:val="standardContextual"/>
        </w:rPr>
        <w:lastRenderedPageBreak/>
        <w:drawing>
          <wp:inline distT="0" distB="0" distL="0" distR="0" wp14:anchorId="68F20E0F" wp14:editId="2EFB3A88">
            <wp:extent cx="5731510" cy="6223000"/>
            <wp:effectExtent l="0" t="0" r="2540" b="6350"/>
            <wp:docPr id="1541284470"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84470" name="Graphic 1541284470"/>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6223000"/>
                    </a:xfrm>
                    <a:prstGeom prst="rect">
                      <a:avLst/>
                    </a:prstGeom>
                  </pic:spPr>
                </pic:pic>
              </a:graphicData>
            </a:graphic>
          </wp:inline>
        </w:drawing>
      </w:r>
    </w:p>
    <w:p w14:paraId="03A11653" w14:textId="3081F783" w:rsidR="00E0318B" w:rsidRDefault="008560D7" w:rsidP="00C31997">
      <w:pPr>
        <w:jc w:val="both"/>
        <w:rPr>
          <w:b/>
          <w:bCs/>
        </w:rPr>
      </w:pPr>
      <w:r>
        <w:rPr>
          <w:b/>
          <w:bCs/>
        </w:rPr>
        <w:t xml:space="preserve">Figure 1: </w:t>
      </w:r>
    </w:p>
    <w:p w14:paraId="5EF771BF" w14:textId="0EB475BE" w:rsidR="00E0318B" w:rsidRDefault="00486B52" w:rsidP="00C31997">
      <w:pPr>
        <w:jc w:val="both"/>
        <w:rPr>
          <w:b/>
          <w:bCs/>
        </w:rPr>
      </w:pPr>
      <w:r>
        <w:rPr>
          <w:b/>
          <w:bCs/>
        </w:rPr>
        <w:t>Section</w:t>
      </w:r>
      <w:r w:rsidR="00005998">
        <w:rPr>
          <w:b/>
          <w:bCs/>
        </w:rPr>
        <w:t xml:space="preserve"> 2</w:t>
      </w:r>
      <w:r>
        <w:rPr>
          <w:b/>
          <w:bCs/>
        </w:rPr>
        <w:t>:</w:t>
      </w:r>
      <w:r w:rsidR="00E2268D" w:rsidRPr="00E2268D">
        <w:rPr>
          <w:b/>
          <w:bCs/>
        </w:rPr>
        <w:t xml:space="preserve"> Policies &amp; Procedures</w:t>
      </w:r>
    </w:p>
    <w:p w14:paraId="2F9A67B1" w14:textId="77777777" w:rsidR="00E0318B" w:rsidRDefault="00E0318B" w:rsidP="00C31997">
      <w:pPr>
        <w:jc w:val="both"/>
        <w:rPr>
          <w:b/>
          <w:bCs/>
        </w:rPr>
      </w:pPr>
    </w:p>
    <w:p w14:paraId="04D818EE" w14:textId="77777777" w:rsidR="00E0318B" w:rsidRDefault="00E0318B" w:rsidP="00C31997">
      <w:pPr>
        <w:jc w:val="both"/>
        <w:rPr>
          <w:b/>
          <w:bCs/>
        </w:rPr>
      </w:pPr>
    </w:p>
    <w:p w14:paraId="3BB714F9" w14:textId="77777777" w:rsidR="00B43E24" w:rsidRPr="00B43E24" w:rsidRDefault="00B43E24" w:rsidP="00260F6B">
      <w:pPr>
        <w:pStyle w:val="ListParagraph"/>
        <w:jc w:val="both"/>
        <w:rPr>
          <w:lang w:val="en-GB"/>
        </w:rPr>
      </w:pPr>
      <w:r w:rsidRPr="00B43E24">
        <w:rPr>
          <w:lang w:val="en-GB"/>
        </w:rPr>
        <w:t>Effective security governance at MediTrust requires clear, enforceable policies that address the unique risks of its hybrid workforce, AI-driven products, and cloud-based operations. Three core policies are proposed below.</w:t>
      </w:r>
    </w:p>
    <w:p w14:paraId="79AC744A" w14:textId="3EB61C97" w:rsidR="00B43E24" w:rsidRPr="00B43E24" w:rsidRDefault="00B43E24" w:rsidP="00260F6B">
      <w:pPr>
        <w:pStyle w:val="ListParagraph"/>
        <w:jc w:val="both"/>
        <w:rPr>
          <w:b/>
          <w:bCs/>
          <w:lang w:val="en-GB"/>
        </w:rPr>
      </w:pPr>
      <w:r w:rsidRPr="00B43E24">
        <w:rPr>
          <w:b/>
          <w:bCs/>
          <w:lang w:val="en-GB"/>
        </w:rPr>
        <w:t>AI Usage Policy</w:t>
      </w:r>
    </w:p>
    <w:p w14:paraId="67F620EF" w14:textId="5896FAE8" w:rsidR="00B43E24" w:rsidRPr="00B43E24" w:rsidRDefault="001A266D" w:rsidP="00260F6B">
      <w:pPr>
        <w:pStyle w:val="ListParagraph"/>
        <w:jc w:val="both"/>
        <w:rPr>
          <w:lang w:val="en-GB"/>
        </w:rPr>
      </w:pPr>
      <w:r w:rsidRPr="001A266D">
        <w:t>The policy must identify which employees can use the clinical decision support system using AI, and state that only the minimum anonymized, relevant patient data should be used in accordance with the data minimization principle of the General Data Protection Regulation. The final decision always rests with the clinician, and every interaction must be recorded and audited</w:t>
      </w:r>
      <w:r w:rsidRPr="001A266D">
        <w:rPr>
          <w:lang w:val="en-GB"/>
        </w:rPr>
        <w:t xml:space="preserve"> </w:t>
      </w:r>
      <w:r w:rsidR="00B43E24" w:rsidRPr="00B43E24">
        <w:rPr>
          <w:lang w:val="en-GB"/>
        </w:rPr>
        <w:t>[3].</w:t>
      </w:r>
    </w:p>
    <w:p w14:paraId="685A59F2" w14:textId="5740D480" w:rsidR="00B43E24" w:rsidRPr="00B43E24" w:rsidRDefault="00B43E24" w:rsidP="00B43E24">
      <w:pPr>
        <w:pStyle w:val="ListParagraph"/>
        <w:jc w:val="both"/>
        <w:rPr>
          <w:b/>
          <w:bCs/>
          <w:lang w:val="en-GB"/>
        </w:rPr>
      </w:pPr>
      <w:r w:rsidRPr="00B43E24">
        <w:rPr>
          <w:b/>
          <w:bCs/>
          <w:lang w:val="en-GB"/>
        </w:rPr>
        <w:t>BYOD Policy</w:t>
      </w:r>
    </w:p>
    <w:p w14:paraId="6D39930B" w14:textId="6487538C" w:rsidR="00B43E24" w:rsidRPr="00B43E24" w:rsidRDefault="00C252CB" w:rsidP="00B43E24">
      <w:pPr>
        <w:pStyle w:val="ListParagraph"/>
        <w:jc w:val="both"/>
        <w:rPr>
          <w:lang w:val="en-GB"/>
        </w:rPr>
      </w:pPr>
      <w:r w:rsidRPr="00C252CB">
        <w:t xml:space="preserve">BYOD usage of a worker's personal device to access and store clinically sensitive patient information while working at home creates new risk exposures to MediTrust including potential loss of medical records due to theft or loss of a personal device, as well as exposure of confidential patient information. A BYOD policy for MediTrust should include mandatory encryption of devices used by workers to access company information, mandatory two-factor authentication via Multi-Factor Authentication, and </w:t>
      </w:r>
      <w:r w:rsidRPr="00C252CB">
        <w:lastRenderedPageBreak/>
        <w:t>installation of MediTrust-approved anti-virus software. Remote wiping of devices must be included so if a device is lost or stolen MediTrust can erase all company information stored on the device</w:t>
      </w:r>
      <w:r w:rsidRPr="00C252CB">
        <w:rPr>
          <w:lang w:val="en-GB"/>
        </w:rPr>
        <w:t xml:space="preserve"> </w:t>
      </w:r>
      <w:r w:rsidR="00B43E24" w:rsidRPr="00B43E24">
        <w:rPr>
          <w:lang w:val="en-GB"/>
        </w:rPr>
        <w:t>[4].</w:t>
      </w:r>
    </w:p>
    <w:p w14:paraId="54CB100B" w14:textId="7D2E4F58" w:rsidR="00B43E24" w:rsidRPr="00B43E24" w:rsidRDefault="00B43E24" w:rsidP="00B43E24">
      <w:pPr>
        <w:pStyle w:val="ListParagraph"/>
        <w:jc w:val="both"/>
        <w:rPr>
          <w:b/>
          <w:bCs/>
          <w:lang w:val="en-GB"/>
        </w:rPr>
      </w:pPr>
      <w:r w:rsidRPr="00B43E24">
        <w:rPr>
          <w:b/>
          <w:bCs/>
          <w:lang w:val="en-GB"/>
        </w:rPr>
        <w:t>Secure SaaS Configuration Policy</w:t>
      </w:r>
    </w:p>
    <w:p w14:paraId="0D336A5D" w14:textId="7E5E50D0" w:rsidR="00B43E24" w:rsidRPr="005048F8" w:rsidRDefault="00737AFD" w:rsidP="005048F8">
      <w:pPr>
        <w:pStyle w:val="ListParagraph"/>
        <w:jc w:val="both"/>
        <w:rPr>
          <w:lang w:val="en-GB"/>
        </w:rPr>
      </w:pPr>
      <w:r w:rsidRPr="00737AFD">
        <w:rPr>
          <w:lang w:val="en-GB"/>
        </w:rPr>
        <w:t>If a cloud-based SaaS tool is not properly set up (Secure SaaS Configuration), then MediTrust could have issues with authorized personnel using the tool (e.g., unauthorized users or employees using their role-based privileges inappropriately). Therefore, the Secure SaaS Configuration Policy needs to ensure that only approved staff members can use any SaaS tool (provisioning) and that each user has the correct permission to use the different tools (role-based permissions). Each SaaS tool should enable multi-factor authentication as the default setting. Data sharing should also be limited to keep unauthorized people from accessing clinical information through an outside source (data sharing restrictions). There should be a centralized process to establish and audit security settings for all SaaS tools so that they do not vary (configuration drift). This would help prevent unauthorized access to patient information through cloud breach</w:t>
      </w:r>
      <w:r w:rsidR="00B43E24" w:rsidRPr="005048F8">
        <w:rPr>
          <w:lang w:val="en-GB"/>
        </w:rPr>
        <w:t>.</w:t>
      </w:r>
    </w:p>
    <w:p w14:paraId="3357BD5C" w14:textId="77777777" w:rsidR="00E2268D" w:rsidRDefault="00E2268D" w:rsidP="00B43E24">
      <w:pPr>
        <w:pStyle w:val="ListParagraph"/>
        <w:jc w:val="both"/>
        <w:rPr>
          <w:lang w:val="en-GB"/>
        </w:rPr>
      </w:pPr>
    </w:p>
    <w:p w14:paraId="01F7F14A" w14:textId="77777777" w:rsidR="00E2268D" w:rsidRDefault="00E2268D" w:rsidP="00B43E24">
      <w:pPr>
        <w:pStyle w:val="ListParagraph"/>
        <w:jc w:val="both"/>
        <w:rPr>
          <w:lang w:val="en-GB"/>
        </w:rPr>
      </w:pPr>
    </w:p>
    <w:p w14:paraId="64A45B74" w14:textId="77777777" w:rsidR="00E2268D" w:rsidRDefault="00E2268D" w:rsidP="00B43E24">
      <w:pPr>
        <w:pStyle w:val="ListParagraph"/>
        <w:jc w:val="both"/>
        <w:rPr>
          <w:lang w:val="en-GB"/>
        </w:rPr>
      </w:pPr>
    </w:p>
    <w:p w14:paraId="35CDD277" w14:textId="5540067E" w:rsidR="00E2268D" w:rsidRPr="008E1B88" w:rsidRDefault="008E1B88" w:rsidP="00B43E24">
      <w:pPr>
        <w:pStyle w:val="ListParagraph"/>
        <w:jc w:val="both"/>
        <w:rPr>
          <w:b/>
          <w:bCs/>
          <w:lang w:val="en-GB"/>
        </w:rPr>
      </w:pPr>
      <w:r w:rsidRPr="008E1B88">
        <w:rPr>
          <w:b/>
          <w:bCs/>
        </w:rPr>
        <w:t>Section 3: DORA &amp; NIS2 Compliance</w:t>
      </w:r>
    </w:p>
    <w:p w14:paraId="6A241C26" w14:textId="77777777" w:rsidR="00E0318B" w:rsidRPr="00E231AE" w:rsidRDefault="00E0318B" w:rsidP="00C31997">
      <w:pPr>
        <w:jc w:val="both"/>
      </w:pPr>
    </w:p>
    <w:p w14:paraId="6655E950" w14:textId="77777777" w:rsidR="00AC43CD" w:rsidRDefault="00AC43CD" w:rsidP="00AC43CD">
      <w:pPr>
        <w:pStyle w:val="ListParagraph"/>
        <w:jc w:val="both"/>
        <w:rPr>
          <w:lang w:val="en-GB"/>
        </w:rPr>
      </w:pPr>
      <w:r w:rsidRPr="00AC43CD">
        <w:rPr>
          <w:lang w:val="en-GB"/>
        </w:rPr>
        <w:t>As MediTrust Analytics Ltd seeks to enter the EU Healthcare Market, compliance with DORA and NIS2 is both legally and operationally obligatory as these two EU Regulations outline very specific obligations for how MediTrust will be able to design and operate the security part of its programme.</w:t>
      </w:r>
    </w:p>
    <w:p w14:paraId="46073BA5" w14:textId="77777777" w:rsidR="00DD4289" w:rsidRPr="00AC43CD" w:rsidRDefault="00DD4289" w:rsidP="00AC43CD">
      <w:pPr>
        <w:pStyle w:val="ListParagraph"/>
        <w:jc w:val="both"/>
        <w:rPr>
          <w:lang w:val="en-GB"/>
        </w:rPr>
      </w:pPr>
    </w:p>
    <w:p w14:paraId="107CF42D" w14:textId="2BA1E419" w:rsidR="00DD4289" w:rsidRPr="00DD4289" w:rsidRDefault="00E231AE" w:rsidP="00DD4289">
      <w:pPr>
        <w:pStyle w:val="ListParagraph"/>
        <w:jc w:val="both"/>
        <w:rPr>
          <w:b/>
          <w:bCs/>
          <w:lang w:val="en-GB"/>
        </w:rPr>
      </w:pPr>
      <w:r w:rsidRPr="00E231AE">
        <w:rPr>
          <w:b/>
          <w:bCs/>
          <w:lang w:val="en-GB"/>
        </w:rPr>
        <w:t>DORA Digital Operational Resilience Act</w:t>
      </w:r>
    </w:p>
    <w:p w14:paraId="45C714F7" w14:textId="0036184F" w:rsidR="00E231AE" w:rsidRPr="00EE3897" w:rsidRDefault="00EE3897" w:rsidP="00EE3897">
      <w:pPr>
        <w:pStyle w:val="ListParagraph"/>
        <w:jc w:val="both"/>
        <w:rPr>
          <w:lang w:val="en-GB"/>
        </w:rPr>
      </w:pPr>
      <w:r w:rsidRPr="00EE3897">
        <w:rPr>
          <w:lang w:val="en-GB"/>
        </w:rPr>
        <w:t>Dora calls for a requirement of organizations in critical digital infrastructure to be able to withstand ICT related disruptions; as well as being able to respond to such disruptions and recover from them. In this regard, for MediTrust, which relies on AI powered clinical systems used by hospitals and health care providers, any outage will likely have an immediate and negative affect on patient safety, as well as its relationships with clinical partners and thus negatively affect trust with its partners</w:t>
      </w:r>
      <w:r w:rsidR="00E231AE" w:rsidRPr="00EE3897">
        <w:rPr>
          <w:lang w:val="en-GB"/>
        </w:rPr>
        <w:t>.</w:t>
      </w:r>
    </w:p>
    <w:p w14:paraId="3B503333" w14:textId="77777777" w:rsidR="0051530E" w:rsidRPr="00E231AE" w:rsidRDefault="0051530E" w:rsidP="00E231AE">
      <w:pPr>
        <w:pStyle w:val="ListParagraph"/>
        <w:jc w:val="both"/>
        <w:rPr>
          <w:lang w:val="en-GB"/>
        </w:rPr>
      </w:pPr>
    </w:p>
    <w:p w14:paraId="26E9ED29" w14:textId="77777777" w:rsidR="00EE3897" w:rsidRDefault="00E231AE" w:rsidP="00E231AE">
      <w:pPr>
        <w:pStyle w:val="ListParagraph"/>
        <w:jc w:val="both"/>
        <w:rPr>
          <w:lang w:val="en-GB"/>
        </w:rPr>
      </w:pPr>
      <w:r w:rsidRPr="00E059C5">
        <w:rPr>
          <w:b/>
          <w:bCs/>
          <w:lang w:val="en-GB"/>
        </w:rPr>
        <w:t>To meet DORA's operational resilience requirements</w:t>
      </w:r>
      <w:r w:rsidRPr="00E231AE">
        <w:rPr>
          <w:lang w:val="en-GB"/>
        </w:rPr>
        <w:t>,</w:t>
      </w:r>
    </w:p>
    <w:p w14:paraId="017C25C5" w14:textId="2B087D4D" w:rsidR="00E231AE" w:rsidRPr="006D68F6" w:rsidRDefault="006D68F6" w:rsidP="006D68F6">
      <w:pPr>
        <w:pStyle w:val="ListParagraph"/>
        <w:jc w:val="both"/>
        <w:rPr>
          <w:lang w:val="en-GB"/>
        </w:rPr>
      </w:pPr>
      <w:r w:rsidRPr="006D68F6">
        <w:rPr>
          <w:lang w:val="en-GB"/>
        </w:rPr>
        <w:t>MediTrust needs to develop a strong backup plan and disaster recovery process in all cloud-based environments so that it can quickly restore any critical applications or AI training data following a disruption. Testing for cyber resilience will need to be done regularly by testing with penetration attacks and scenarios-based simulation of disruptions to identify potential vulnerabilities before an attacker does. DORA has placed substantial responsibilities on managing third-party risks and requires MediTrust to evaluate and track the level of resiliency of all cloud-based vendors and research-based partners in the Meditrust's supply chain.</w:t>
      </w:r>
      <w:r w:rsidR="00E231AE" w:rsidRPr="006D68F6">
        <w:rPr>
          <w:lang w:val="en-GB"/>
        </w:rPr>
        <w:t>[5].</w:t>
      </w:r>
    </w:p>
    <w:p w14:paraId="09818E71" w14:textId="77777777" w:rsidR="0051530E" w:rsidRPr="00E231AE" w:rsidRDefault="0051530E" w:rsidP="00E231AE">
      <w:pPr>
        <w:pStyle w:val="ListParagraph"/>
        <w:jc w:val="both"/>
        <w:rPr>
          <w:lang w:val="en-GB"/>
        </w:rPr>
      </w:pPr>
    </w:p>
    <w:p w14:paraId="12C1A879" w14:textId="721554F8" w:rsidR="00E231AE" w:rsidRPr="00E231AE" w:rsidRDefault="00E231AE" w:rsidP="00E231AE">
      <w:pPr>
        <w:pStyle w:val="ListParagraph"/>
        <w:jc w:val="both"/>
        <w:rPr>
          <w:b/>
          <w:bCs/>
          <w:lang w:val="en-GB"/>
        </w:rPr>
      </w:pPr>
      <w:r w:rsidRPr="00E231AE">
        <w:rPr>
          <w:b/>
          <w:bCs/>
          <w:lang w:val="en-GB"/>
        </w:rPr>
        <w:t>NIS2 — Network and Information Security Directive 2</w:t>
      </w:r>
    </w:p>
    <w:p w14:paraId="2A68DC63" w14:textId="7B286BB5" w:rsidR="00E231AE" w:rsidRPr="00EE5D67" w:rsidRDefault="00EE5D67" w:rsidP="00EE5D67">
      <w:pPr>
        <w:pStyle w:val="ListParagraph"/>
        <w:jc w:val="both"/>
        <w:rPr>
          <w:lang w:val="en-GB"/>
        </w:rPr>
      </w:pPr>
      <w:r w:rsidRPr="00EE5D67">
        <w:rPr>
          <w:lang w:val="en-GB"/>
        </w:rPr>
        <w:t>"MediTrust will need to have an effective and practiced incident response process in place in order to meet the reporting timeline requirements under NIS2 (i.e. report on the incident to the appropriate national authority within 24 hours of discovery; submit a complete incident report within 72 hours of discovery).</w:t>
      </w:r>
      <w:r>
        <w:rPr>
          <w:lang w:val="en-GB"/>
        </w:rPr>
        <w:t>[</w:t>
      </w:r>
      <w:r w:rsidR="00E231AE" w:rsidRPr="00EE5D67">
        <w:rPr>
          <w:lang w:val="en-GB"/>
        </w:rPr>
        <w:t>6].</w:t>
      </w:r>
    </w:p>
    <w:p w14:paraId="69265FB7" w14:textId="77777777" w:rsidR="0051530E" w:rsidRPr="00E231AE" w:rsidRDefault="0051530E" w:rsidP="00E231AE">
      <w:pPr>
        <w:pStyle w:val="ListParagraph"/>
        <w:jc w:val="both"/>
        <w:rPr>
          <w:lang w:val="en-GB"/>
        </w:rPr>
      </w:pPr>
    </w:p>
    <w:p w14:paraId="11ABF884" w14:textId="44FC7CB9" w:rsidR="006E62BF" w:rsidRPr="006E62BF" w:rsidRDefault="006E62BF" w:rsidP="006E62BF">
      <w:pPr>
        <w:pStyle w:val="ListParagraph"/>
        <w:jc w:val="both"/>
        <w:rPr>
          <w:lang w:val="en-GB"/>
        </w:rPr>
      </w:pPr>
      <w:r w:rsidRPr="006E62BF">
        <w:rPr>
          <w:lang w:val="en-GB"/>
        </w:rPr>
        <w:t>MediTrust’s use of both a hybrid work force and a multi-cloud environment create legitimate obstacles for meeting those responsibilities. Continuous monitoring by SIEM systems is necessary to detect incidents quickly in a distributed system environment; however, determining the extent of the damage caused by an incident during an ongoing crisis necessitates clear internal escalation processes as well as pre-assigned incident response roles. In order to mitigate these obstacles, MediTrust must create a documented incident response plan which will outline the procedures for detecting, assessing, notifying and recovering from incidents to ensure timely fulfillment of NIS2 reporting requirements when under pressure.</w:t>
      </w:r>
    </w:p>
    <w:p w14:paraId="6855CDB4" w14:textId="0CFD3AE8" w:rsidR="00E231AE" w:rsidRPr="00E231AE" w:rsidRDefault="00E231AE" w:rsidP="00E059C5">
      <w:pPr>
        <w:pStyle w:val="ListParagraph"/>
        <w:jc w:val="both"/>
        <w:rPr>
          <w:b/>
          <w:bCs/>
          <w:lang w:val="en-GB"/>
        </w:rPr>
      </w:pPr>
      <w:r w:rsidRPr="00E231AE">
        <w:rPr>
          <w:b/>
          <w:bCs/>
          <w:lang w:val="en-GB"/>
        </w:rPr>
        <w:t>Compliance Summary</w:t>
      </w:r>
    </w:p>
    <w:p w14:paraId="17FF5EC9" w14:textId="77777777" w:rsidR="00E0318B" w:rsidRDefault="00E0318B" w:rsidP="00C31997">
      <w:pPr>
        <w:jc w:val="both"/>
        <w:rPr>
          <w:b/>
          <w:bCs/>
        </w:rPr>
      </w:pPr>
    </w:p>
    <w:tbl>
      <w:tblPr>
        <w:tblStyle w:val="TableGrid"/>
        <w:tblW w:w="0" w:type="auto"/>
        <w:tblLook w:val="04A0" w:firstRow="1" w:lastRow="0" w:firstColumn="1" w:lastColumn="0" w:noHBand="0" w:noVBand="1"/>
      </w:tblPr>
      <w:tblGrid>
        <w:gridCol w:w="3005"/>
        <w:gridCol w:w="3005"/>
        <w:gridCol w:w="3006"/>
      </w:tblGrid>
      <w:tr w:rsidR="000032F6" w14:paraId="036381E5" w14:textId="77777777" w:rsidTr="000032F6">
        <w:tc>
          <w:tcPr>
            <w:tcW w:w="3005" w:type="dxa"/>
          </w:tcPr>
          <w:p w14:paraId="4C23AEA8" w14:textId="77777777" w:rsidR="00271A47" w:rsidRDefault="00271A47" w:rsidP="00271A47">
            <w:pPr>
              <w:jc w:val="both"/>
              <w:rPr>
                <w:rFonts w:eastAsia="Times New Roman"/>
                <w:b/>
                <w:bCs/>
                <w:lang w:val="en-GB"/>
              </w:rPr>
            </w:pPr>
            <w:r>
              <w:rPr>
                <w:b/>
                <w:bCs/>
              </w:rPr>
              <w:t>Regulation</w:t>
            </w:r>
          </w:p>
          <w:p w14:paraId="0807551B" w14:textId="77777777" w:rsidR="000032F6" w:rsidRDefault="000032F6" w:rsidP="00C31997">
            <w:pPr>
              <w:jc w:val="both"/>
              <w:rPr>
                <w:b/>
                <w:bCs/>
              </w:rPr>
            </w:pPr>
          </w:p>
        </w:tc>
        <w:tc>
          <w:tcPr>
            <w:tcW w:w="3005" w:type="dxa"/>
          </w:tcPr>
          <w:p w14:paraId="1C589D11" w14:textId="0CE2C4F4" w:rsidR="000032F6" w:rsidRDefault="00271A47" w:rsidP="00C31997">
            <w:pPr>
              <w:jc w:val="both"/>
              <w:rPr>
                <w:b/>
                <w:bCs/>
              </w:rPr>
            </w:pPr>
            <w:r w:rsidRPr="00271A47">
              <w:rPr>
                <w:b/>
                <w:bCs/>
              </w:rPr>
              <w:t>Key Obligation</w:t>
            </w:r>
          </w:p>
        </w:tc>
        <w:tc>
          <w:tcPr>
            <w:tcW w:w="3006" w:type="dxa"/>
          </w:tcPr>
          <w:p w14:paraId="0E8E47C1" w14:textId="7A010257" w:rsidR="000032F6" w:rsidRDefault="00271A47" w:rsidP="00C31997">
            <w:pPr>
              <w:jc w:val="both"/>
              <w:rPr>
                <w:b/>
                <w:bCs/>
              </w:rPr>
            </w:pPr>
            <w:r w:rsidRPr="00271A47">
              <w:rPr>
                <w:b/>
                <w:bCs/>
              </w:rPr>
              <w:t>MediTrust Action</w:t>
            </w:r>
          </w:p>
        </w:tc>
      </w:tr>
      <w:tr w:rsidR="000032F6" w14:paraId="3826B8BC" w14:textId="77777777" w:rsidTr="000032F6">
        <w:tc>
          <w:tcPr>
            <w:tcW w:w="3005" w:type="dxa"/>
          </w:tcPr>
          <w:p w14:paraId="1B7AEC4F" w14:textId="0077AC07" w:rsidR="000032F6" w:rsidRDefault="00A46FA3" w:rsidP="00C31997">
            <w:pPr>
              <w:jc w:val="both"/>
              <w:rPr>
                <w:b/>
                <w:bCs/>
              </w:rPr>
            </w:pPr>
            <w:r>
              <w:rPr>
                <w:b/>
                <w:bCs/>
              </w:rPr>
              <w:t>DORA</w:t>
            </w:r>
          </w:p>
        </w:tc>
        <w:tc>
          <w:tcPr>
            <w:tcW w:w="3005" w:type="dxa"/>
          </w:tcPr>
          <w:p w14:paraId="55C85C6D" w14:textId="09DF460E" w:rsidR="000032F6" w:rsidRPr="0052767F" w:rsidRDefault="0052767F" w:rsidP="00C31997">
            <w:pPr>
              <w:jc w:val="both"/>
            </w:pPr>
            <w:r w:rsidRPr="0052767F">
              <w:t>Operational resilience testing</w:t>
            </w:r>
          </w:p>
        </w:tc>
        <w:tc>
          <w:tcPr>
            <w:tcW w:w="3006" w:type="dxa"/>
          </w:tcPr>
          <w:p w14:paraId="028EB79D" w14:textId="12C839A7" w:rsidR="000032F6" w:rsidRPr="000D2319" w:rsidRDefault="000D2319" w:rsidP="00C31997">
            <w:pPr>
              <w:jc w:val="both"/>
            </w:pPr>
            <w:r w:rsidRPr="000D2319">
              <w:t>Regular penetration testing and DR simulations</w:t>
            </w:r>
          </w:p>
        </w:tc>
      </w:tr>
      <w:tr w:rsidR="000032F6" w14:paraId="204B5CF4" w14:textId="77777777" w:rsidTr="000032F6">
        <w:tc>
          <w:tcPr>
            <w:tcW w:w="3005" w:type="dxa"/>
          </w:tcPr>
          <w:p w14:paraId="4089CEB4" w14:textId="731CA0E5" w:rsidR="000032F6" w:rsidRDefault="00A46FA3" w:rsidP="00C31997">
            <w:pPr>
              <w:jc w:val="both"/>
              <w:rPr>
                <w:b/>
                <w:bCs/>
              </w:rPr>
            </w:pPr>
            <w:r>
              <w:rPr>
                <w:b/>
                <w:bCs/>
              </w:rPr>
              <w:t>DORA</w:t>
            </w:r>
          </w:p>
        </w:tc>
        <w:tc>
          <w:tcPr>
            <w:tcW w:w="3005" w:type="dxa"/>
          </w:tcPr>
          <w:p w14:paraId="01CBA809" w14:textId="0F98A208" w:rsidR="000032F6" w:rsidRPr="0052767F" w:rsidRDefault="0052767F" w:rsidP="00C31997">
            <w:pPr>
              <w:jc w:val="both"/>
            </w:pPr>
            <w:r w:rsidRPr="0052767F">
              <w:t>Third-party risk management</w:t>
            </w:r>
          </w:p>
        </w:tc>
        <w:tc>
          <w:tcPr>
            <w:tcW w:w="3006" w:type="dxa"/>
          </w:tcPr>
          <w:p w14:paraId="7CFA102C" w14:textId="5FB653A3" w:rsidR="000032F6" w:rsidRPr="00353DEC" w:rsidRDefault="00353DEC" w:rsidP="00C31997">
            <w:pPr>
              <w:jc w:val="both"/>
            </w:pPr>
            <w:r w:rsidRPr="00353DEC">
              <w:t>Regular penetration testing and DR simulations</w:t>
            </w:r>
          </w:p>
        </w:tc>
      </w:tr>
      <w:tr w:rsidR="000032F6" w14:paraId="0515AADD" w14:textId="77777777" w:rsidTr="000032F6">
        <w:tc>
          <w:tcPr>
            <w:tcW w:w="3005" w:type="dxa"/>
          </w:tcPr>
          <w:p w14:paraId="0639B584" w14:textId="69A1E7F1" w:rsidR="000032F6" w:rsidRDefault="00A46FA3" w:rsidP="00C31997">
            <w:pPr>
              <w:jc w:val="both"/>
              <w:rPr>
                <w:b/>
                <w:bCs/>
              </w:rPr>
            </w:pPr>
            <w:r>
              <w:rPr>
                <w:b/>
                <w:bCs/>
              </w:rPr>
              <w:lastRenderedPageBreak/>
              <w:t>NIS2</w:t>
            </w:r>
          </w:p>
        </w:tc>
        <w:tc>
          <w:tcPr>
            <w:tcW w:w="3005" w:type="dxa"/>
          </w:tcPr>
          <w:p w14:paraId="6EF53742" w14:textId="1FBEB118" w:rsidR="000032F6" w:rsidRPr="00E71744" w:rsidRDefault="00E71744" w:rsidP="00C31997">
            <w:pPr>
              <w:jc w:val="both"/>
            </w:pPr>
            <w:r w:rsidRPr="00E71744">
              <w:t>24hr initial incident notification</w:t>
            </w:r>
          </w:p>
        </w:tc>
        <w:tc>
          <w:tcPr>
            <w:tcW w:w="3006" w:type="dxa"/>
          </w:tcPr>
          <w:p w14:paraId="5055C28E" w14:textId="523A50F1" w:rsidR="000032F6" w:rsidRPr="00353DEC" w:rsidRDefault="00353DEC" w:rsidP="00C31997">
            <w:pPr>
              <w:jc w:val="both"/>
            </w:pPr>
            <w:r w:rsidRPr="00353DEC">
              <w:t>SIEM-driven detection and escalation procedures</w:t>
            </w:r>
          </w:p>
        </w:tc>
      </w:tr>
      <w:tr w:rsidR="000032F6" w14:paraId="2A0E5BB3" w14:textId="77777777" w:rsidTr="000032F6">
        <w:tc>
          <w:tcPr>
            <w:tcW w:w="3005" w:type="dxa"/>
          </w:tcPr>
          <w:p w14:paraId="2B489BA1" w14:textId="3D0A3A27" w:rsidR="000032F6" w:rsidRDefault="00A46FA3" w:rsidP="00C31997">
            <w:pPr>
              <w:jc w:val="both"/>
              <w:rPr>
                <w:b/>
                <w:bCs/>
              </w:rPr>
            </w:pPr>
            <w:r>
              <w:rPr>
                <w:b/>
                <w:bCs/>
              </w:rPr>
              <w:t>NIS2</w:t>
            </w:r>
          </w:p>
        </w:tc>
        <w:tc>
          <w:tcPr>
            <w:tcW w:w="3005" w:type="dxa"/>
          </w:tcPr>
          <w:p w14:paraId="1B8743EF" w14:textId="16959B04" w:rsidR="000032F6" w:rsidRPr="00E71744" w:rsidRDefault="00E71744" w:rsidP="00C31997">
            <w:pPr>
              <w:jc w:val="both"/>
            </w:pPr>
            <w:r w:rsidRPr="00E71744">
              <w:t>72hr full incident report</w:t>
            </w:r>
          </w:p>
        </w:tc>
        <w:tc>
          <w:tcPr>
            <w:tcW w:w="3006" w:type="dxa"/>
          </w:tcPr>
          <w:p w14:paraId="2F45F680" w14:textId="55A55EC3" w:rsidR="000032F6" w:rsidRPr="00710162" w:rsidRDefault="00710162" w:rsidP="00C31997">
            <w:pPr>
              <w:jc w:val="both"/>
            </w:pPr>
            <w:r w:rsidRPr="00710162">
              <w:t>Documented incident response plan</w:t>
            </w:r>
          </w:p>
        </w:tc>
      </w:tr>
      <w:tr w:rsidR="000032F6" w14:paraId="326B6654" w14:textId="77777777" w:rsidTr="000032F6">
        <w:tc>
          <w:tcPr>
            <w:tcW w:w="3005" w:type="dxa"/>
          </w:tcPr>
          <w:p w14:paraId="03E0BBA5" w14:textId="43ABBCD7" w:rsidR="000032F6" w:rsidRDefault="00A46FA3" w:rsidP="00C31997">
            <w:pPr>
              <w:jc w:val="both"/>
              <w:rPr>
                <w:b/>
                <w:bCs/>
              </w:rPr>
            </w:pPr>
            <w:r>
              <w:rPr>
                <w:b/>
                <w:bCs/>
              </w:rPr>
              <w:t>BOTH</w:t>
            </w:r>
          </w:p>
        </w:tc>
        <w:tc>
          <w:tcPr>
            <w:tcW w:w="3005" w:type="dxa"/>
          </w:tcPr>
          <w:p w14:paraId="5F8B65B5" w14:textId="4E16930B" w:rsidR="000032F6" w:rsidRPr="000D2319" w:rsidRDefault="000D2319" w:rsidP="00C31997">
            <w:pPr>
              <w:jc w:val="both"/>
            </w:pPr>
            <w:r w:rsidRPr="000D2319">
              <w:t>Audit and accountability</w:t>
            </w:r>
          </w:p>
        </w:tc>
        <w:tc>
          <w:tcPr>
            <w:tcW w:w="3006" w:type="dxa"/>
          </w:tcPr>
          <w:p w14:paraId="01C9B683" w14:textId="1E563FF4" w:rsidR="000032F6" w:rsidRPr="00710162" w:rsidRDefault="00710162" w:rsidP="00C31997">
            <w:pPr>
              <w:jc w:val="both"/>
            </w:pPr>
            <w:r w:rsidRPr="00710162">
              <w:t>Security logging and compliance reporting</w:t>
            </w:r>
          </w:p>
        </w:tc>
      </w:tr>
    </w:tbl>
    <w:p w14:paraId="4E3F3542" w14:textId="77777777" w:rsidR="00E0318B" w:rsidRDefault="00E0318B" w:rsidP="00C31997">
      <w:pPr>
        <w:jc w:val="both"/>
        <w:rPr>
          <w:b/>
          <w:bCs/>
        </w:rPr>
      </w:pPr>
    </w:p>
    <w:p w14:paraId="75C2FAAA" w14:textId="77777777" w:rsidR="00E0318B" w:rsidRDefault="00E0318B" w:rsidP="00C31997">
      <w:pPr>
        <w:jc w:val="both"/>
        <w:rPr>
          <w:b/>
          <w:bCs/>
        </w:rPr>
      </w:pPr>
    </w:p>
    <w:p w14:paraId="1DC122FF" w14:textId="4637A333" w:rsidR="00E0318B" w:rsidRPr="004374CA" w:rsidRDefault="00542543" w:rsidP="004374CA">
      <w:pPr>
        <w:jc w:val="both"/>
        <w:rPr>
          <w:b/>
          <w:bCs/>
        </w:rPr>
      </w:pPr>
      <w:r w:rsidRPr="004374CA">
        <w:rPr>
          <w:b/>
          <w:bCs/>
        </w:rPr>
        <w:t>Section 4: NIST CSF 2.0 Governance</w:t>
      </w:r>
    </w:p>
    <w:p w14:paraId="01464C52" w14:textId="690CCF4C" w:rsidR="000031C9" w:rsidRPr="004374CA" w:rsidRDefault="008B1592" w:rsidP="004374CA">
      <w:pPr>
        <w:jc w:val="both"/>
        <w:rPr>
          <w:lang w:val="en-GB"/>
        </w:rPr>
      </w:pPr>
      <w:r>
        <w:rPr>
          <w:lang w:val="en-GB"/>
        </w:rPr>
        <w:t>T</w:t>
      </w:r>
      <w:r w:rsidRPr="008B1592">
        <w:rPr>
          <w:lang w:val="en-GB"/>
        </w:rPr>
        <w:t>o create an overall security governance strategy for MediTrust, the NIST Cybersecurity Framework 2.0 can be used as the over-all governance strategy for MediTrust because it is flexible, is based on risk and organized in a way that aligns with all of MediTrust's operational needs and regulatory requirements by providing a framework of six functions (Govern, Identify, Protect, Detect, Respond and Recover)</w:t>
      </w:r>
      <w:r w:rsidR="000031C9" w:rsidRPr="004374CA">
        <w:rPr>
          <w:lang w:val="en-GB"/>
        </w:rPr>
        <w:t>[7].</w:t>
      </w:r>
    </w:p>
    <w:p w14:paraId="40F6932D" w14:textId="77777777" w:rsidR="000031C9" w:rsidRPr="000031C9" w:rsidRDefault="000031C9" w:rsidP="004374CA">
      <w:pPr>
        <w:jc w:val="both"/>
        <w:rPr>
          <w:lang w:val="en-GB"/>
        </w:rPr>
      </w:pPr>
    </w:p>
    <w:p w14:paraId="00EA96B9" w14:textId="0EFEDC9B" w:rsidR="000031C9" w:rsidRPr="004374CA" w:rsidRDefault="000031C9" w:rsidP="004374CA">
      <w:pPr>
        <w:jc w:val="both"/>
        <w:rPr>
          <w:b/>
          <w:bCs/>
          <w:lang w:val="en-GB"/>
        </w:rPr>
      </w:pPr>
      <w:r w:rsidRPr="004374CA">
        <w:rPr>
          <w:b/>
          <w:bCs/>
          <w:lang w:val="en-GB"/>
        </w:rPr>
        <w:t>Govern</w:t>
      </w:r>
    </w:p>
    <w:p w14:paraId="42A4DBC6" w14:textId="2B40A38D" w:rsidR="000031C9" w:rsidRPr="004374CA" w:rsidRDefault="00131DCB" w:rsidP="004374CA">
      <w:pPr>
        <w:jc w:val="both"/>
        <w:rPr>
          <w:lang w:val="en-GB"/>
        </w:rPr>
      </w:pPr>
      <w:r w:rsidRPr="00131DCB">
        <w:rPr>
          <w:lang w:val="en-GB"/>
        </w:rPr>
        <w:t>The Govern Function represents a shift from a technical to an organizational approach to Cybersecurity; for MediTrust, it will be the CISO's responsibility to develop and clearly articulate a Security Strategy that is linked to its Business Objectives; as a result of expanding into the EU Healthcare Market, there are regulatory requirements, Clinical Partner Trust and Operational Continuity needs, all of which require a Mature Governance Model with Clear Accountability at the Board Level</w:t>
      </w:r>
      <w:r w:rsidR="000031C9" w:rsidRPr="004374CA">
        <w:rPr>
          <w:lang w:val="en-GB"/>
        </w:rPr>
        <w:t>.</w:t>
      </w:r>
    </w:p>
    <w:p w14:paraId="401677AB" w14:textId="77777777" w:rsidR="000031C9" w:rsidRPr="000031C9" w:rsidRDefault="000031C9" w:rsidP="004374CA">
      <w:pPr>
        <w:jc w:val="both"/>
        <w:rPr>
          <w:lang w:val="en-GB"/>
        </w:rPr>
      </w:pPr>
    </w:p>
    <w:p w14:paraId="10FCDBF8" w14:textId="3584D7BD" w:rsidR="000031C9" w:rsidRPr="004374CA" w:rsidRDefault="000031C9" w:rsidP="004374CA">
      <w:pPr>
        <w:jc w:val="both"/>
        <w:rPr>
          <w:b/>
          <w:bCs/>
          <w:lang w:val="en-GB"/>
        </w:rPr>
      </w:pPr>
      <w:r w:rsidRPr="004374CA">
        <w:rPr>
          <w:b/>
          <w:bCs/>
          <w:lang w:val="en-GB"/>
        </w:rPr>
        <w:t>Identify</w:t>
      </w:r>
    </w:p>
    <w:p w14:paraId="3721D838" w14:textId="00FDAE46" w:rsidR="000031C9" w:rsidRPr="004374CA" w:rsidRDefault="000031C9" w:rsidP="004374CA">
      <w:pPr>
        <w:jc w:val="both"/>
        <w:rPr>
          <w:lang w:val="en-GB"/>
        </w:rPr>
      </w:pPr>
      <w:r w:rsidRPr="004374CA">
        <w:rPr>
          <w:lang w:val="en-GB"/>
        </w:rPr>
        <w:t xml:space="preserve">MediTrust must maintain a comprehensive inventory of all assets — including cloud environments, AI models, patient data repositories, IoT devices, and third-party dependencies. Understanding what assets exist and what risks they carry is the foundation of effective security </w:t>
      </w:r>
      <w:r w:rsidR="00737161" w:rsidRPr="004374CA">
        <w:rPr>
          <w:lang w:val="en-GB"/>
        </w:rPr>
        <w:t>governance</w:t>
      </w:r>
      <w:r w:rsidR="008C3A77">
        <w:rPr>
          <w:lang w:val="en-GB"/>
        </w:rPr>
        <w:t xml:space="preserve"> [8]</w:t>
      </w:r>
      <w:r w:rsidR="00737161" w:rsidRPr="004374CA">
        <w:rPr>
          <w:lang w:val="en-GB"/>
        </w:rPr>
        <w:t>.</w:t>
      </w:r>
    </w:p>
    <w:p w14:paraId="60B99ADA" w14:textId="77777777" w:rsidR="000031C9" w:rsidRPr="000031C9" w:rsidRDefault="000031C9" w:rsidP="004374CA">
      <w:pPr>
        <w:jc w:val="both"/>
        <w:rPr>
          <w:lang w:val="en-GB"/>
        </w:rPr>
      </w:pPr>
    </w:p>
    <w:p w14:paraId="2870A686" w14:textId="4E8A6E7D" w:rsidR="000031C9" w:rsidRPr="004374CA" w:rsidRDefault="000031C9" w:rsidP="004374CA">
      <w:pPr>
        <w:jc w:val="both"/>
        <w:rPr>
          <w:b/>
          <w:bCs/>
          <w:lang w:val="en-GB"/>
        </w:rPr>
      </w:pPr>
      <w:r w:rsidRPr="004374CA">
        <w:rPr>
          <w:b/>
          <w:bCs/>
          <w:lang w:val="en-GB"/>
        </w:rPr>
        <w:t>Protect</w:t>
      </w:r>
    </w:p>
    <w:p w14:paraId="26C88593" w14:textId="4471F4F9" w:rsidR="00E53FD4" w:rsidRDefault="00E53FD4" w:rsidP="00E53FD4">
      <w:pPr>
        <w:jc w:val="both"/>
        <w:rPr>
          <w:lang w:val="en-GB"/>
        </w:rPr>
      </w:pPr>
      <w:r w:rsidRPr="00E53FD4">
        <w:rPr>
          <w:lang w:val="en-GB"/>
        </w:rPr>
        <w:t>MediTrust’s security solutions must represent the level of risk for the information it holds and the diverse nature of its hybrid work force. The data from patients and the systems used in AI must be protected by end to end encryption, phishing resistant MFA, and strictly defined role based access to ensure that developers working remotely, clinical analysts, and third party partners have the least amount of access to what is required to perform their jobs. Zero Trust reinforces this concept by removing all implied trust across all environments</w:t>
      </w:r>
      <w:r w:rsidR="009B0327">
        <w:rPr>
          <w:lang w:val="en-GB"/>
        </w:rPr>
        <w:t>[9].</w:t>
      </w:r>
    </w:p>
    <w:p w14:paraId="1283AF35" w14:textId="77777777" w:rsidR="0063662F" w:rsidRPr="00E53FD4" w:rsidRDefault="0063662F" w:rsidP="00E53FD4">
      <w:pPr>
        <w:jc w:val="both"/>
        <w:rPr>
          <w:lang w:val="en-GB"/>
        </w:rPr>
      </w:pPr>
    </w:p>
    <w:p w14:paraId="05DBA4DA" w14:textId="77777777" w:rsidR="0063662F" w:rsidRDefault="0063662F" w:rsidP="0063662F">
      <w:pPr>
        <w:jc w:val="both"/>
        <w:rPr>
          <w:lang w:val="en-GB"/>
        </w:rPr>
      </w:pPr>
      <w:r w:rsidRPr="0063662F">
        <w:rPr>
          <w:b/>
          <w:bCs/>
          <w:lang w:val="en-GB"/>
        </w:rPr>
        <w:t>Detect</w:t>
      </w:r>
      <w:r w:rsidRPr="0063662F">
        <w:rPr>
          <w:lang w:val="en-GB"/>
        </w:rPr>
        <w:br/>
        <w:t>Continuous monitoring of anomalous behavior using Security Information and Event Management must be implemented in every cloud environment used by MediTrust to allow timely detection of threats. To detect anomalies, given MediTrust has many employees working remotely and uses multiple cloud architectures, detection must occur outside the perimeter of the organization's networks; on end-user devices, at the level of application logs, and at third-party access points.</w:t>
      </w:r>
    </w:p>
    <w:p w14:paraId="55108D2C" w14:textId="77777777" w:rsidR="0063662F" w:rsidRPr="0063662F" w:rsidRDefault="0063662F" w:rsidP="0063662F">
      <w:pPr>
        <w:jc w:val="both"/>
        <w:rPr>
          <w:lang w:val="en-GB"/>
        </w:rPr>
      </w:pPr>
    </w:p>
    <w:p w14:paraId="564FFAFD" w14:textId="77777777" w:rsidR="0063662F" w:rsidRDefault="0063662F" w:rsidP="0063662F">
      <w:pPr>
        <w:jc w:val="both"/>
        <w:rPr>
          <w:lang w:val="en-GB"/>
        </w:rPr>
      </w:pPr>
      <w:r w:rsidRPr="0063662F">
        <w:rPr>
          <w:b/>
          <w:bCs/>
          <w:lang w:val="en-GB"/>
        </w:rPr>
        <w:t>Respond</w:t>
      </w:r>
      <w:r w:rsidRPr="0063662F">
        <w:rPr>
          <w:lang w:val="en-GB"/>
        </w:rPr>
        <w:br/>
        <w:t>MediTrust must also have a documented and tested Incident Response Plan describing the roles and responsibilities of personnel involved in responding to a security incident and the processes they will follow. The plan must include the escalation path and describe how each department will communicate regarding the status of the security incident.</w:t>
      </w:r>
    </w:p>
    <w:p w14:paraId="0BD792C6" w14:textId="77777777" w:rsidR="0063662F" w:rsidRPr="0063662F" w:rsidRDefault="0063662F" w:rsidP="0063662F">
      <w:pPr>
        <w:jc w:val="both"/>
        <w:rPr>
          <w:lang w:val="en-GB"/>
        </w:rPr>
      </w:pPr>
    </w:p>
    <w:p w14:paraId="555C93CD" w14:textId="037A2D40" w:rsidR="0063662F" w:rsidRPr="0063662F" w:rsidRDefault="0063662F" w:rsidP="0063662F">
      <w:pPr>
        <w:jc w:val="both"/>
        <w:rPr>
          <w:lang w:val="en-GB"/>
        </w:rPr>
      </w:pPr>
      <w:r w:rsidRPr="0063662F">
        <w:rPr>
          <w:b/>
          <w:bCs/>
          <w:lang w:val="en-GB"/>
        </w:rPr>
        <w:t>Recover</w:t>
      </w:r>
      <w:r w:rsidRPr="0063662F">
        <w:rPr>
          <w:lang w:val="en-GB"/>
        </w:rPr>
        <w:br/>
        <w:t>MediTrust must develop a Recovery Plan outlining steps to restore critical systems after a service disruption. Recovery Time Objectives and Recovery Point Objectives must be defined and regularly reviewed to ensure objectives remain current and realistic</w:t>
      </w:r>
      <w:r w:rsidR="003E0E4B">
        <w:rPr>
          <w:lang w:val="en-GB"/>
        </w:rPr>
        <w:t xml:space="preserve"> [</w:t>
      </w:r>
      <w:r w:rsidR="00B32E34">
        <w:rPr>
          <w:lang w:val="en-GB"/>
        </w:rPr>
        <w:t>10]</w:t>
      </w:r>
      <w:r w:rsidRPr="0063662F">
        <w:rPr>
          <w:lang w:val="en-GB"/>
        </w:rPr>
        <w:t>.</w:t>
      </w:r>
    </w:p>
    <w:p w14:paraId="075EB5DC" w14:textId="77777777" w:rsidR="00542543" w:rsidRDefault="00542543" w:rsidP="00C31997">
      <w:pPr>
        <w:jc w:val="both"/>
        <w:rPr>
          <w:b/>
          <w:bCs/>
        </w:rPr>
      </w:pPr>
    </w:p>
    <w:p w14:paraId="1F081E65" w14:textId="04D48735" w:rsidR="006922FA" w:rsidRDefault="006922FA" w:rsidP="00C31997">
      <w:pPr>
        <w:jc w:val="both"/>
        <w:rPr>
          <w:b/>
          <w:bCs/>
        </w:rPr>
      </w:pPr>
      <w:r w:rsidRPr="006922FA">
        <w:rPr>
          <w:b/>
          <w:bCs/>
        </w:rPr>
        <w:t>Linking Security to Business Goals</w:t>
      </w:r>
    </w:p>
    <w:tbl>
      <w:tblPr>
        <w:tblStyle w:val="TableGrid"/>
        <w:tblW w:w="0" w:type="auto"/>
        <w:tblLook w:val="04A0" w:firstRow="1" w:lastRow="0" w:firstColumn="1" w:lastColumn="0" w:noHBand="0" w:noVBand="1"/>
      </w:tblPr>
      <w:tblGrid>
        <w:gridCol w:w="3005"/>
        <w:gridCol w:w="3005"/>
        <w:gridCol w:w="3006"/>
      </w:tblGrid>
      <w:tr w:rsidR="006922FA" w14:paraId="22EA3314" w14:textId="77777777" w:rsidTr="006922FA">
        <w:tc>
          <w:tcPr>
            <w:tcW w:w="3005" w:type="dxa"/>
          </w:tcPr>
          <w:p w14:paraId="427C11D0" w14:textId="77777777" w:rsidR="00A61AD9" w:rsidRPr="002769C8" w:rsidRDefault="00A61AD9" w:rsidP="00A61AD9">
            <w:pPr>
              <w:jc w:val="both"/>
              <w:rPr>
                <w:rFonts w:eastAsia="Times New Roman"/>
                <w:b/>
                <w:bCs/>
                <w:highlight w:val="yellow"/>
                <w:lang w:val="en-GB"/>
              </w:rPr>
            </w:pPr>
            <w:r w:rsidRPr="002769C8">
              <w:rPr>
                <w:b/>
                <w:bCs/>
                <w:highlight w:val="yellow"/>
              </w:rPr>
              <w:t>Business Goal</w:t>
            </w:r>
          </w:p>
          <w:p w14:paraId="00CDA4DF" w14:textId="77777777" w:rsidR="006922FA" w:rsidRPr="002769C8" w:rsidRDefault="006922FA" w:rsidP="00C31997">
            <w:pPr>
              <w:jc w:val="both"/>
              <w:rPr>
                <w:b/>
                <w:bCs/>
                <w:highlight w:val="yellow"/>
              </w:rPr>
            </w:pPr>
          </w:p>
        </w:tc>
        <w:tc>
          <w:tcPr>
            <w:tcW w:w="3005" w:type="dxa"/>
          </w:tcPr>
          <w:p w14:paraId="6C3A9FAE" w14:textId="5583509D" w:rsidR="006922FA" w:rsidRPr="002769C8" w:rsidRDefault="00A61AD9" w:rsidP="00C31997">
            <w:pPr>
              <w:jc w:val="both"/>
              <w:rPr>
                <w:b/>
                <w:bCs/>
                <w:highlight w:val="yellow"/>
              </w:rPr>
            </w:pPr>
            <w:r w:rsidRPr="002769C8">
              <w:rPr>
                <w:b/>
                <w:bCs/>
                <w:highlight w:val="yellow"/>
              </w:rPr>
              <w:t>Security Strategy</w:t>
            </w:r>
          </w:p>
        </w:tc>
        <w:tc>
          <w:tcPr>
            <w:tcW w:w="3006" w:type="dxa"/>
          </w:tcPr>
          <w:p w14:paraId="200CB78C" w14:textId="617932D3" w:rsidR="006922FA" w:rsidRPr="002769C8" w:rsidRDefault="00A61AD9" w:rsidP="00C31997">
            <w:pPr>
              <w:jc w:val="both"/>
              <w:rPr>
                <w:b/>
                <w:bCs/>
                <w:highlight w:val="yellow"/>
              </w:rPr>
            </w:pPr>
            <w:r w:rsidRPr="002769C8">
              <w:rPr>
                <w:b/>
                <w:bCs/>
                <w:highlight w:val="yellow"/>
              </w:rPr>
              <w:t>CSF 2.0 Function</w:t>
            </w:r>
          </w:p>
        </w:tc>
      </w:tr>
      <w:tr w:rsidR="006922FA" w14:paraId="1B8F05E1" w14:textId="77777777" w:rsidTr="006922FA">
        <w:tc>
          <w:tcPr>
            <w:tcW w:w="3005" w:type="dxa"/>
          </w:tcPr>
          <w:p w14:paraId="0DB6491B" w14:textId="2F74134F" w:rsidR="006922FA" w:rsidRPr="00807A30" w:rsidRDefault="0011024F" w:rsidP="00C31997">
            <w:pPr>
              <w:jc w:val="both"/>
            </w:pPr>
            <w:r w:rsidRPr="00807A30">
              <w:t>EU market expansion</w:t>
            </w:r>
          </w:p>
        </w:tc>
        <w:tc>
          <w:tcPr>
            <w:tcW w:w="3005" w:type="dxa"/>
          </w:tcPr>
          <w:p w14:paraId="251F452F" w14:textId="4FD0A846" w:rsidR="006922FA" w:rsidRPr="00807A30" w:rsidRDefault="0011024F" w:rsidP="00C31997">
            <w:pPr>
              <w:jc w:val="both"/>
            </w:pPr>
            <w:r w:rsidRPr="00807A30">
              <w:t>GDPR, DORA, NIS2 compliance</w:t>
            </w:r>
          </w:p>
        </w:tc>
        <w:tc>
          <w:tcPr>
            <w:tcW w:w="3006" w:type="dxa"/>
          </w:tcPr>
          <w:p w14:paraId="3BADF4A4" w14:textId="5322CA43" w:rsidR="006922FA" w:rsidRPr="00807A30" w:rsidRDefault="00807A30" w:rsidP="00C31997">
            <w:pPr>
              <w:jc w:val="both"/>
            </w:pPr>
            <w:r w:rsidRPr="00807A30">
              <w:t>Govern, Identify</w:t>
            </w:r>
          </w:p>
        </w:tc>
      </w:tr>
      <w:tr w:rsidR="006922FA" w14:paraId="1E42053B" w14:textId="77777777" w:rsidTr="006922FA">
        <w:tc>
          <w:tcPr>
            <w:tcW w:w="3005" w:type="dxa"/>
          </w:tcPr>
          <w:p w14:paraId="58E15B75" w14:textId="0057FBD7" w:rsidR="006922FA" w:rsidRPr="009672E5" w:rsidRDefault="00807A30" w:rsidP="00C31997">
            <w:pPr>
              <w:jc w:val="both"/>
            </w:pPr>
            <w:r w:rsidRPr="009672E5">
              <w:t>Hospital partner trust</w:t>
            </w:r>
          </w:p>
        </w:tc>
        <w:tc>
          <w:tcPr>
            <w:tcW w:w="3005" w:type="dxa"/>
          </w:tcPr>
          <w:p w14:paraId="587E85B9" w14:textId="0C9A9582" w:rsidR="006922FA" w:rsidRPr="009672E5" w:rsidRDefault="0092096D" w:rsidP="00C31997">
            <w:pPr>
              <w:jc w:val="both"/>
            </w:pPr>
            <w:r w:rsidRPr="009672E5">
              <w:t>Data protection and audit trails</w:t>
            </w:r>
          </w:p>
        </w:tc>
        <w:tc>
          <w:tcPr>
            <w:tcW w:w="3006" w:type="dxa"/>
          </w:tcPr>
          <w:p w14:paraId="08DCEB78" w14:textId="77E85E0C" w:rsidR="006922FA" w:rsidRPr="009672E5" w:rsidRDefault="0092096D" w:rsidP="00C31997">
            <w:pPr>
              <w:jc w:val="both"/>
            </w:pPr>
            <w:r w:rsidRPr="009672E5">
              <w:t>Protect, Detect</w:t>
            </w:r>
          </w:p>
        </w:tc>
      </w:tr>
      <w:tr w:rsidR="006922FA" w14:paraId="5507C3DA" w14:textId="77777777" w:rsidTr="006922FA">
        <w:tc>
          <w:tcPr>
            <w:tcW w:w="3005" w:type="dxa"/>
          </w:tcPr>
          <w:p w14:paraId="65CF6978" w14:textId="281397F4" w:rsidR="006922FA" w:rsidRPr="009672E5" w:rsidRDefault="0092096D" w:rsidP="00C31997">
            <w:pPr>
              <w:jc w:val="both"/>
            </w:pPr>
            <w:r w:rsidRPr="009672E5">
              <w:t>Operational continuity</w:t>
            </w:r>
          </w:p>
        </w:tc>
        <w:tc>
          <w:tcPr>
            <w:tcW w:w="3005" w:type="dxa"/>
          </w:tcPr>
          <w:p w14:paraId="610E13E8" w14:textId="48EBC779" w:rsidR="006922FA" w:rsidRPr="009672E5" w:rsidRDefault="00B25771" w:rsidP="00C31997">
            <w:pPr>
              <w:jc w:val="both"/>
            </w:pPr>
            <w:r w:rsidRPr="009672E5">
              <w:t>Incident response and DR planning</w:t>
            </w:r>
          </w:p>
        </w:tc>
        <w:tc>
          <w:tcPr>
            <w:tcW w:w="3006" w:type="dxa"/>
          </w:tcPr>
          <w:p w14:paraId="741E9A06" w14:textId="73EEC54E" w:rsidR="006922FA" w:rsidRPr="009672E5" w:rsidRDefault="00B25771" w:rsidP="00C31997">
            <w:pPr>
              <w:jc w:val="both"/>
            </w:pPr>
            <w:r w:rsidRPr="009672E5">
              <w:t>Respond, Recover</w:t>
            </w:r>
          </w:p>
        </w:tc>
      </w:tr>
      <w:tr w:rsidR="006922FA" w14:paraId="0C3131CF" w14:textId="77777777" w:rsidTr="006922FA">
        <w:tc>
          <w:tcPr>
            <w:tcW w:w="3005" w:type="dxa"/>
          </w:tcPr>
          <w:p w14:paraId="25F15CC9" w14:textId="61F41685" w:rsidR="006922FA" w:rsidRPr="009672E5" w:rsidRDefault="009672E5" w:rsidP="00C31997">
            <w:pPr>
              <w:jc w:val="both"/>
            </w:pPr>
            <w:r w:rsidRPr="009672E5">
              <w:t>AI product integrity</w:t>
            </w:r>
          </w:p>
        </w:tc>
        <w:tc>
          <w:tcPr>
            <w:tcW w:w="3005" w:type="dxa"/>
          </w:tcPr>
          <w:p w14:paraId="378155A6" w14:textId="06514B9C" w:rsidR="006922FA" w:rsidRPr="009672E5" w:rsidRDefault="009672E5" w:rsidP="00C31997">
            <w:pPr>
              <w:jc w:val="both"/>
            </w:pPr>
            <w:r w:rsidRPr="009672E5">
              <w:t>Supply chain and model security</w:t>
            </w:r>
          </w:p>
        </w:tc>
        <w:tc>
          <w:tcPr>
            <w:tcW w:w="3006" w:type="dxa"/>
          </w:tcPr>
          <w:p w14:paraId="77BF97D8" w14:textId="514873FB" w:rsidR="006922FA" w:rsidRPr="008A0BCC" w:rsidRDefault="008A0BCC" w:rsidP="00C31997">
            <w:pPr>
              <w:jc w:val="both"/>
            </w:pPr>
            <w:r w:rsidRPr="008A0BCC">
              <w:t>Identify, Protect</w:t>
            </w:r>
          </w:p>
        </w:tc>
      </w:tr>
    </w:tbl>
    <w:p w14:paraId="6F77D45C" w14:textId="77777777" w:rsidR="006922FA" w:rsidRDefault="006922FA" w:rsidP="00C31997">
      <w:pPr>
        <w:jc w:val="both"/>
        <w:rPr>
          <w:b/>
          <w:bCs/>
        </w:rPr>
      </w:pPr>
    </w:p>
    <w:p w14:paraId="5BA542BB" w14:textId="77777777" w:rsidR="00E0318B" w:rsidRDefault="00E0318B" w:rsidP="00C31997">
      <w:pPr>
        <w:jc w:val="both"/>
        <w:rPr>
          <w:b/>
          <w:bCs/>
        </w:rPr>
      </w:pPr>
    </w:p>
    <w:p w14:paraId="42E54112" w14:textId="77777777" w:rsidR="00E0318B" w:rsidRDefault="00E0318B" w:rsidP="00C31997">
      <w:pPr>
        <w:jc w:val="both"/>
        <w:rPr>
          <w:b/>
          <w:bCs/>
        </w:rPr>
      </w:pPr>
    </w:p>
    <w:p w14:paraId="03A60A00" w14:textId="5565FB3A" w:rsidR="00E0318B" w:rsidRDefault="008A0BCC" w:rsidP="00C31997">
      <w:pPr>
        <w:jc w:val="both"/>
        <w:rPr>
          <w:b/>
          <w:bCs/>
        </w:rPr>
      </w:pPr>
      <w:r w:rsidRPr="008A0BCC">
        <w:t>This alignment ensures that security investment at MediTrust is not viewed as a cost centre but as a direct enabler of business growth and competitive advantage in the EU healthcare market</w:t>
      </w:r>
      <w:r w:rsidRPr="008A0BCC">
        <w:rPr>
          <w:b/>
          <w:bCs/>
        </w:rPr>
        <w:t>.</w:t>
      </w:r>
    </w:p>
    <w:p w14:paraId="3C2A62AE" w14:textId="77777777" w:rsidR="00E0318B" w:rsidRDefault="00E0318B" w:rsidP="00C31997">
      <w:pPr>
        <w:jc w:val="both"/>
        <w:rPr>
          <w:b/>
          <w:bCs/>
        </w:rPr>
      </w:pPr>
    </w:p>
    <w:p w14:paraId="17746956" w14:textId="77777777" w:rsidR="00B53673" w:rsidRDefault="00B53673" w:rsidP="00C31997">
      <w:pPr>
        <w:jc w:val="both"/>
        <w:rPr>
          <w:b/>
          <w:bCs/>
        </w:rPr>
      </w:pPr>
    </w:p>
    <w:p w14:paraId="738C290A" w14:textId="77777777" w:rsidR="00B53673" w:rsidRDefault="00B53673" w:rsidP="00C31997">
      <w:pPr>
        <w:jc w:val="both"/>
        <w:rPr>
          <w:b/>
          <w:bCs/>
        </w:rPr>
      </w:pPr>
    </w:p>
    <w:p w14:paraId="5C8306C4" w14:textId="62E019AD" w:rsidR="00B53673" w:rsidRDefault="00B53673" w:rsidP="00C31997">
      <w:pPr>
        <w:jc w:val="both"/>
        <w:rPr>
          <w:b/>
          <w:bCs/>
        </w:rPr>
      </w:pPr>
    </w:p>
    <w:p w14:paraId="1961DD8E" w14:textId="4FE8D340" w:rsidR="00B53673" w:rsidRDefault="00CE5DDC" w:rsidP="00C31997">
      <w:pPr>
        <w:jc w:val="both"/>
        <w:rPr>
          <w:b/>
          <w:bCs/>
        </w:rPr>
      </w:pPr>
      <w:r w:rsidRPr="00CE5DDC">
        <w:rPr>
          <w:b/>
          <w:bCs/>
        </w:rPr>
        <w:t>Section 5: Risk Assessment</w:t>
      </w:r>
    </w:p>
    <w:p w14:paraId="765B791E" w14:textId="77777777" w:rsidR="004E6AD5" w:rsidRDefault="004E6AD5" w:rsidP="00C31997">
      <w:pPr>
        <w:jc w:val="both"/>
        <w:rPr>
          <w:b/>
          <w:bCs/>
        </w:rPr>
      </w:pPr>
    </w:p>
    <w:p w14:paraId="43565EAF" w14:textId="77777777" w:rsidR="004E6AD5" w:rsidRDefault="004E6AD5" w:rsidP="00C31997">
      <w:pPr>
        <w:jc w:val="both"/>
        <w:rPr>
          <w:b/>
          <w:bCs/>
        </w:rPr>
      </w:pPr>
    </w:p>
    <w:p w14:paraId="5CBDDF9B" w14:textId="7981B201" w:rsidR="000F45D0" w:rsidRPr="000F45D0" w:rsidRDefault="000F45D0" w:rsidP="000F45D0">
      <w:pPr>
        <w:jc w:val="both"/>
        <w:rPr>
          <w:b/>
          <w:bCs/>
          <w:lang w:val="en-GB"/>
        </w:rPr>
      </w:pPr>
    </w:p>
    <w:p w14:paraId="7B381293" w14:textId="77777777" w:rsidR="000F45D0" w:rsidRPr="00341384" w:rsidRDefault="000F45D0" w:rsidP="005F6A34">
      <w:pPr>
        <w:pStyle w:val="ListParagraph"/>
        <w:jc w:val="both"/>
        <w:rPr>
          <w:lang w:val="en-GB"/>
        </w:rPr>
      </w:pPr>
      <w:r w:rsidRPr="00341384">
        <w:rPr>
          <w:lang w:val="en-GB"/>
        </w:rPr>
        <w:t>A high-level risk assessment for MediTrust identifies two critical risk domains that pose the greatest threat to its operations, regulatory standing, and clinical reputation — software supply chain risks and cloud misconfigurations.</w:t>
      </w:r>
    </w:p>
    <w:p w14:paraId="312D865E" w14:textId="18569AE8" w:rsidR="000F45D0" w:rsidRPr="005F6A34" w:rsidRDefault="000F45D0" w:rsidP="005F6A34">
      <w:pPr>
        <w:pStyle w:val="ListParagraph"/>
        <w:jc w:val="both"/>
        <w:rPr>
          <w:b/>
          <w:bCs/>
          <w:lang w:val="en-GB"/>
        </w:rPr>
      </w:pPr>
      <w:r w:rsidRPr="005F6A34">
        <w:rPr>
          <w:b/>
          <w:bCs/>
          <w:lang w:val="en-GB"/>
        </w:rPr>
        <w:t>Software Supply Chain Risks</w:t>
      </w:r>
    </w:p>
    <w:p w14:paraId="1C12B713" w14:textId="77777777" w:rsidR="00DE5103" w:rsidRPr="00DE5103" w:rsidRDefault="00DE5103" w:rsidP="00DE5103">
      <w:pPr>
        <w:pStyle w:val="ListParagraph"/>
        <w:jc w:val="both"/>
        <w:rPr>
          <w:lang w:val="en-GB"/>
        </w:rPr>
      </w:pPr>
      <w:r w:rsidRPr="00DE5103">
        <w:rPr>
          <w:lang w:val="en-GB"/>
        </w:rPr>
        <w:t>In addition to being vulnerable to cyber-attacks by hackers using third-party code libraries, pre-trained machine learning models trained from research collaborations, and other third-party code, MediTrust is also at risk from its use of multiple clouds. The use of multiple clouds creates additional risks due to the possibility of accidental misconfiguration. For example, if a public-facing cloud storage bucket is created and left unsecured, it may allow unauthorized parties to access personal health information of thousands of patients. This type of breach would likely result in severe penalties pursuant to GDPR, damage to the reputation of hospitals that use MediTrust, and decreased confidence among hospitals.</w:t>
      </w:r>
    </w:p>
    <w:p w14:paraId="15062760" w14:textId="77777777" w:rsidR="00DE5103" w:rsidRPr="00DE5103" w:rsidRDefault="00DE5103" w:rsidP="00DE5103">
      <w:pPr>
        <w:pStyle w:val="ListParagraph"/>
        <w:jc w:val="both"/>
        <w:rPr>
          <w:lang w:val="en-GB"/>
        </w:rPr>
      </w:pPr>
      <w:r w:rsidRPr="00DE5103">
        <w:rPr>
          <w:lang w:val="en-GB"/>
        </w:rPr>
        <w:t>Misconfiguration is consistently cited by researchers as a major cause of data breaches associated with cloud services. To mitigate this risk, CSPM tools must be used across MediTrust’s cloud architectures to continuously monitor misconfigured resources, provide compliance with established security standards, and notify the Cloud Security Architect of misconfigurations in real-time. Additionally, each third party must be viewed as a potential threat vector and thoroughly vetted prior to entering a partnership. MediTrust must implement rigorous vendor assessment, SCA tools to identify vulnerabilities, and cryptographic code signing to validate code integrity</w:t>
      </w:r>
    </w:p>
    <w:p w14:paraId="488938E7" w14:textId="3C441CD4" w:rsidR="000F45D0" w:rsidRDefault="000F45D0" w:rsidP="00387581">
      <w:pPr>
        <w:pStyle w:val="ListParagraph"/>
        <w:jc w:val="both"/>
        <w:rPr>
          <w:lang w:val="en-GB"/>
        </w:rPr>
      </w:pPr>
      <w:r w:rsidRPr="00341384">
        <w:rPr>
          <w:lang w:val="en-GB"/>
        </w:rPr>
        <w:t>.</w:t>
      </w:r>
    </w:p>
    <w:p w14:paraId="471BE99E" w14:textId="356DBA66" w:rsidR="00EA263B" w:rsidRPr="00341384" w:rsidRDefault="00B3147A" w:rsidP="00387581">
      <w:pPr>
        <w:pStyle w:val="ListParagraph"/>
        <w:jc w:val="both"/>
        <w:rPr>
          <w:lang w:val="en-GB"/>
        </w:rPr>
      </w:pPr>
      <w:r w:rsidRPr="00B3147A">
        <w:rPr>
          <w:noProof/>
          <w:lang w:val="en-GB"/>
        </w:rPr>
        <w:drawing>
          <wp:inline distT="0" distB="0" distL="0" distR="0" wp14:anchorId="4D94999F" wp14:editId="5A70678B">
            <wp:extent cx="5300743" cy="2695492"/>
            <wp:effectExtent l="0" t="0" r="0" b="0"/>
            <wp:docPr id="4762699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69938" name="Picture 1" descr="A screenshot of a computer&#10;&#10;AI-generated content may be incorrect."/>
                    <pic:cNvPicPr/>
                  </pic:nvPicPr>
                  <pic:blipFill>
                    <a:blip r:embed="rId19"/>
                    <a:stretch>
                      <a:fillRect/>
                    </a:stretch>
                  </pic:blipFill>
                  <pic:spPr>
                    <a:xfrm>
                      <a:off x="0" y="0"/>
                      <a:ext cx="5409286" cy="2750687"/>
                    </a:xfrm>
                    <a:prstGeom prst="rect">
                      <a:avLst/>
                    </a:prstGeom>
                  </pic:spPr>
                </pic:pic>
              </a:graphicData>
            </a:graphic>
          </wp:inline>
        </w:drawing>
      </w:r>
    </w:p>
    <w:p w14:paraId="06A1A85A" w14:textId="77777777" w:rsidR="004E6AD5" w:rsidRDefault="004E6AD5" w:rsidP="00C31997">
      <w:pPr>
        <w:jc w:val="both"/>
        <w:rPr>
          <w:b/>
          <w:bCs/>
        </w:rPr>
      </w:pPr>
    </w:p>
    <w:p w14:paraId="6662B8D2" w14:textId="77777777" w:rsidR="00214776" w:rsidRDefault="00214776" w:rsidP="00C31997">
      <w:pPr>
        <w:jc w:val="both"/>
        <w:rPr>
          <w:b/>
          <w:bCs/>
        </w:rPr>
      </w:pPr>
    </w:p>
    <w:p w14:paraId="1D66F201" w14:textId="3CD50BC2" w:rsidR="00214776" w:rsidRDefault="00214776" w:rsidP="00C31997">
      <w:pPr>
        <w:jc w:val="both"/>
        <w:rPr>
          <w:b/>
          <w:bCs/>
        </w:rPr>
      </w:pPr>
      <w:r w:rsidRPr="00214776">
        <w:rPr>
          <w:b/>
          <w:bCs/>
        </w:rPr>
        <w:t>Section 6: Disaster Recovery</w:t>
      </w:r>
    </w:p>
    <w:p w14:paraId="02EC7C93" w14:textId="77777777" w:rsidR="00EE3A01" w:rsidRPr="00A752A4" w:rsidRDefault="00EE3A01" w:rsidP="00A752A4">
      <w:pPr>
        <w:pStyle w:val="ListParagraph"/>
        <w:jc w:val="both"/>
        <w:rPr>
          <w:lang w:val="en-GB"/>
        </w:rPr>
      </w:pPr>
      <w:r w:rsidRPr="00A752A4">
        <w:rPr>
          <w:lang w:val="en-GB"/>
        </w:rPr>
        <w:t>A ransomware attack targeting MediTrust's AI training data and source code repositories would represent a critical threat to both operational continuity and patient safety. Given MediTrust's obligations under DORA to maintain operational resilience, a comprehensive Disaster Recovery (DR) plan is essential.</w:t>
      </w:r>
    </w:p>
    <w:p w14:paraId="4573C993" w14:textId="74F687C1" w:rsidR="00EE3A01" w:rsidRPr="00A752A4" w:rsidRDefault="00EE3A01" w:rsidP="00A752A4">
      <w:pPr>
        <w:pStyle w:val="ListParagraph"/>
        <w:jc w:val="both"/>
        <w:rPr>
          <w:b/>
          <w:bCs/>
          <w:sz w:val="24"/>
          <w:szCs w:val="24"/>
          <w:lang w:val="en-GB"/>
        </w:rPr>
      </w:pPr>
      <w:r w:rsidRPr="00A752A4">
        <w:rPr>
          <w:b/>
          <w:bCs/>
          <w:sz w:val="24"/>
          <w:szCs w:val="24"/>
          <w:lang w:val="en-GB"/>
        </w:rPr>
        <w:t>Immediate Response (0–24 Hours)</w:t>
      </w:r>
    </w:p>
    <w:p w14:paraId="0608F2C3" w14:textId="2866F872" w:rsidR="00EE3A01" w:rsidRPr="000F01E1" w:rsidRDefault="000F01E1" w:rsidP="000F01E1">
      <w:pPr>
        <w:pStyle w:val="ListParagraph"/>
        <w:jc w:val="both"/>
        <w:rPr>
          <w:lang w:val="en-GB"/>
        </w:rPr>
      </w:pPr>
      <w:r w:rsidRPr="000F01E1">
        <w:rPr>
          <w:lang w:val="en-GB"/>
        </w:rPr>
        <w:t xml:space="preserve">When a ransomware attack has been detected, it is critical to contain the damage as quickly as possible. Systems infected with ransomware should be immediately disconnected from all other systems on MediTrust’s multi-cloud network to prevent the attack from spreading laterally. The Incident Response Team (IRT) should be alerted immediately to activate the team responsible for technical containment; management communication; and regulatory notification. No recovery actions should be taken until </w:t>
      </w:r>
      <w:r w:rsidRPr="000F01E1">
        <w:rPr>
          <w:lang w:val="en-GB"/>
        </w:rPr>
        <w:lastRenderedPageBreak/>
        <w:t>evidence has been collected in support of forensic analysis. A rapid assessment of the extent of the attack must be conducted -- determining which systems, data storage facilities and AI training pipeline(s) were affected -- while ensuring that those clinical health care services provided through unaffected systems are not impacted or put at risk</w:t>
      </w:r>
      <w:r w:rsidR="009121A1">
        <w:rPr>
          <w:lang w:val="en-GB"/>
        </w:rPr>
        <w:t xml:space="preserve"> </w:t>
      </w:r>
      <w:r w:rsidR="00912708">
        <w:rPr>
          <w:lang w:val="en-GB"/>
        </w:rPr>
        <w:t>[11]</w:t>
      </w:r>
      <w:r w:rsidR="00025EF4" w:rsidRPr="000F01E1">
        <w:rPr>
          <w:lang w:val="en-GB"/>
        </w:rPr>
        <w:t>.</w:t>
      </w:r>
    </w:p>
    <w:p w14:paraId="2055CB9A" w14:textId="33549DDB" w:rsidR="00EE3A01" w:rsidRPr="00A752A4" w:rsidRDefault="00EE3A01" w:rsidP="00A752A4">
      <w:pPr>
        <w:pStyle w:val="ListParagraph"/>
        <w:jc w:val="both"/>
        <w:rPr>
          <w:b/>
          <w:bCs/>
          <w:sz w:val="24"/>
          <w:szCs w:val="24"/>
          <w:lang w:val="en-GB"/>
        </w:rPr>
      </w:pPr>
      <w:r w:rsidRPr="00A752A4">
        <w:rPr>
          <w:b/>
          <w:bCs/>
          <w:sz w:val="24"/>
          <w:szCs w:val="24"/>
          <w:lang w:val="en-GB"/>
        </w:rPr>
        <w:t>Recovery Phase (24–72 Hours)</w:t>
      </w:r>
    </w:p>
    <w:p w14:paraId="400487F4" w14:textId="77777777" w:rsidR="003C1EAA" w:rsidRPr="003C1EAA" w:rsidRDefault="003C1EAA" w:rsidP="003C1EAA">
      <w:pPr>
        <w:pStyle w:val="ListParagraph"/>
        <w:jc w:val="both"/>
        <w:rPr>
          <w:lang w:val="en-GB"/>
        </w:rPr>
      </w:pPr>
      <w:r w:rsidRPr="003C1EAA">
        <w:rPr>
          <w:lang w:val="en-GB"/>
        </w:rPr>
        <w:t>After a successful containment of an attack, it will be necessary for MediTrust to initiate recovery efforts from valid backups stored in secure, immutable storage (i.e., in segregated, non-production systems). Affected systems should be completely rebuilt in lieu of restoring data from a compromised environment to ensure all persistence mechanisms used by malware have been removed. Immediately upon completion of rebuilding, all user credentials and access tokens on all impacted systems must be reset; identified vulnerabilities must be addressed prior to returning any system to production. Simultaneously with the above steps, MediTrust must prepare and file its NIS2 incident report with the appropriate national authority no later than 72 hours after the commencement of the reporting requirements</w:t>
      </w:r>
    </w:p>
    <w:p w14:paraId="7A8D791A" w14:textId="6298ADF9" w:rsidR="00EE3A01" w:rsidRPr="00A752A4" w:rsidRDefault="00EE3A01" w:rsidP="00A752A4">
      <w:pPr>
        <w:pStyle w:val="ListParagraph"/>
        <w:jc w:val="both"/>
        <w:rPr>
          <w:b/>
          <w:bCs/>
          <w:sz w:val="24"/>
          <w:szCs w:val="24"/>
          <w:lang w:val="en-GB"/>
        </w:rPr>
      </w:pPr>
      <w:r w:rsidRPr="00A752A4">
        <w:rPr>
          <w:b/>
          <w:bCs/>
          <w:sz w:val="24"/>
          <w:szCs w:val="24"/>
          <w:lang w:val="en-GB"/>
        </w:rPr>
        <w:t>Post-Recovery Hardening</w:t>
      </w:r>
    </w:p>
    <w:p w14:paraId="5BF62B2E" w14:textId="548D5918" w:rsidR="007C1E13" w:rsidRDefault="0013592C" w:rsidP="00A752A4">
      <w:pPr>
        <w:pStyle w:val="ListParagraph"/>
        <w:jc w:val="both"/>
        <w:rPr>
          <w:lang w:val="en-GB"/>
        </w:rPr>
      </w:pPr>
      <w:r w:rsidRPr="0013592C">
        <w:t>MediTrust should implement security enhancements after this incident to ensure it does not happen again. These include enforcing multi-factor authentication for systems, improving network micro-segmentation to prevent lateral movement by unauthorized users, regularly testing backups to ensure disaster recovery plans work, and using SIEM to monitor early signs of ransomware attacks</w:t>
      </w:r>
    </w:p>
    <w:p w14:paraId="6AEF8932" w14:textId="5730E39F" w:rsidR="007C1E13" w:rsidRPr="007C1E13" w:rsidRDefault="007C1E13" w:rsidP="00A752A4">
      <w:pPr>
        <w:pStyle w:val="ListParagraph"/>
        <w:jc w:val="both"/>
        <w:rPr>
          <w:b/>
          <w:bCs/>
          <w:sz w:val="24"/>
          <w:szCs w:val="24"/>
          <w:lang w:val="en-GB"/>
        </w:rPr>
      </w:pPr>
      <w:r w:rsidRPr="007C1E13">
        <w:rPr>
          <w:b/>
          <w:bCs/>
          <w:sz w:val="24"/>
          <w:szCs w:val="24"/>
        </w:rPr>
        <w:t>Disaster Recovery Timeline</w:t>
      </w:r>
    </w:p>
    <w:p w14:paraId="4E0E0CBB" w14:textId="77777777" w:rsidR="00EE3A01" w:rsidRDefault="00EE3A01" w:rsidP="00C31997">
      <w:pPr>
        <w:jc w:val="both"/>
        <w:rPr>
          <w:b/>
          <w:bCs/>
        </w:rPr>
      </w:pPr>
    </w:p>
    <w:p w14:paraId="7F5D34CE" w14:textId="77777777" w:rsidR="00214776" w:rsidRDefault="00214776" w:rsidP="00C31997">
      <w:pPr>
        <w:jc w:val="both"/>
        <w:rPr>
          <w:b/>
          <w:bCs/>
        </w:rPr>
      </w:pPr>
    </w:p>
    <w:tbl>
      <w:tblPr>
        <w:tblStyle w:val="TableGrid"/>
        <w:tblW w:w="0" w:type="auto"/>
        <w:tblLook w:val="04A0" w:firstRow="1" w:lastRow="0" w:firstColumn="1" w:lastColumn="0" w:noHBand="0" w:noVBand="1"/>
      </w:tblPr>
      <w:tblGrid>
        <w:gridCol w:w="3005"/>
        <w:gridCol w:w="3005"/>
        <w:gridCol w:w="3006"/>
      </w:tblGrid>
      <w:tr w:rsidR="00C527D1" w14:paraId="633E49A7" w14:textId="77777777" w:rsidTr="00C527D1">
        <w:tc>
          <w:tcPr>
            <w:tcW w:w="3005" w:type="dxa"/>
          </w:tcPr>
          <w:p w14:paraId="06768CFF" w14:textId="6B9A0816" w:rsidR="00C527D1" w:rsidRPr="000B66DD" w:rsidRDefault="000B66DD" w:rsidP="00C31997">
            <w:pPr>
              <w:jc w:val="both"/>
              <w:rPr>
                <w:b/>
                <w:bCs/>
                <w:color w:val="EE0000"/>
                <w:highlight w:val="yellow"/>
              </w:rPr>
            </w:pPr>
            <w:r w:rsidRPr="000B66DD">
              <w:rPr>
                <w:b/>
                <w:bCs/>
                <w:color w:val="EE0000"/>
                <w:highlight w:val="yellow"/>
              </w:rPr>
              <w:t>Phase</w:t>
            </w:r>
          </w:p>
        </w:tc>
        <w:tc>
          <w:tcPr>
            <w:tcW w:w="3005" w:type="dxa"/>
          </w:tcPr>
          <w:p w14:paraId="0D0BBD33" w14:textId="4F49206F" w:rsidR="00C527D1" w:rsidRPr="000B66DD" w:rsidRDefault="000B66DD" w:rsidP="00C31997">
            <w:pPr>
              <w:jc w:val="both"/>
              <w:rPr>
                <w:b/>
                <w:bCs/>
                <w:color w:val="EE0000"/>
                <w:highlight w:val="yellow"/>
              </w:rPr>
            </w:pPr>
            <w:r w:rsidRPr="000B66DD">
              <w:rPr>
                <w:b/>
                <w:bCs/>
                <w:color w:val="EE0000"/>
                <w:highlight w:val="yellow"/>
              </w:rPr>
              <w:t>Timeframe</w:t>
            </w:r>
          </w:p>
        </w:tc>
        <w:tc>
          <w:tcPr>
            <w:tcW w:w="3006" w:type="dxa"/>
          </w:tcPr>
          <w:p w14:paraId="1666079A" w14:textId="6C747B13" w:rsidR="00C527D1" w:rsidRPr="000B66DD" w:rsidRDefault="000B66DD" w:rsidP="00C31997">
            <w:pPr>
              <w:jc w:val="both"/>
              <w:rPr>
                <w:b/>
                <w:bCs/>
                <w:color w:val="EE0000"/>
                <w:highlight w:val="yellow"/>
              </w:rPr>
            </w:pPr>
            <w:r w:rsidRPr="000B66DD">
              <w:rPr>
                <w:b/>
                <w:bCs/>
                <w:color w:val="EE0000"/>
                <w:highlight w:val="yellow"/>
              </w:rPr>
              <w:t>Key ACTION</w:t>
            </w:r>
          </w:p>
        </w:tc>
      </w:tr>
      <w:tr w:rsidR="00C527D1" w14:paraId="555C9EC5" w14:textId="77777777" w:rsidTr="00C527D1">
        <w:tc>
          <w:tcPr>
            <w:tcW w:w="3005" w:type="dxa"/>
          </w:tcPr>
          <w:p w14:paraId="679C7A09" w14:textId="61F7E40E" w:rsidR="00C527D1" w:rsidRPr="00FC762B" w:rsidRDefault="00FC762B" w:rsidP="00C31997">
            <w:pPr>
              <w:jc w:val="both"/>
            </w:pPr>
            <w:r w:rsidRPr="00FC762B">
              <w:t>Detection &amp; Containment</w:t>
            </w:r>
          </w:p>
        </w:tc>
        <w:tc>
          <w:tcPr>
            <w:tcW w:w="3005" w:type="dxa"/>
          </w:tcPr>
          <w:p w14:paraId="79029A76" w14:textId="5B7240D2" w:rsidR="00C527D1" w:rsidRPr="002769C8" w:rsidRDefault="009A33C7" w:rsidP="00C31997">
            <w:pPr>
              <w:jc w:val="both"/>
            </w:pPr>
            <w:r w:rsidRPr="002769C8">
              <w:t>0-2 hours</w:t>
            </w:r>
          </w:p>
        </w:tc>
        <w:tc>
          <w:tcPr>
            <w:tcW w:w="3006" w:type="dxa"/>
          </w:tcPr>
          <w:p w14:paraId="73EC8FFC" w14:textId="2447B598" w:rsidR="00C527D1" w:rsidRPr="002769C8" w:rsidRDefault="001A139E" w:rsidP="00C31997">
            <w:pPr>
              <w:jc w:val="both"/>
            </w:pPr>
            <w:r w:rsidRPr="002769C8">
              <w:t>Isolate systems, activate IR team, preserve evidence</w:t>
            </w:r>
          </w:p>
        </w:tc>
      </w:tr>
      <w:tr w:rsidR="00C527D1" w14:paraId="10CBDB93" w14:textId="77777777" w:rsidTr="00C527D1">
        <w:tc>
          <w:tcPr>
            <w:tcW w:w="3005" w:type="dxa"/>
          </w:tcPr>
          <w:p w14:paraId="5D43DEE1" w14:textId="47C37E52" w:rsidR="00C527D1" w:rsidRPr="00EA3427" w:rsidRDefault="000414E9" w:rsidP="00C31997">
            <w:pPr>
              <w:jc w:val="both"/>
            </w:pPr>
            <w:r w:rsidRPr="00EA3427">
              <w:t>Scope Assessment</w:t>
            </w:r>
          </w:p>
        </w:tc>
        <w:tc>
          <w:tcPr>
            <w:tcW w:w="3005" w:type="dxa"/>
          </w:tcPr>
          <w:p w14:paraId="0FCA4C7C" w14:textId="70E8713B" w:rsidR="00C527D1" w:rsidRPr="002769C8" w:rsidRDefault="000F1B0A" w:rsidP="00C31997">
            <w:pPr>
              <w:jc w:val="both"/>
            </w:pPr>
            <w:r w:rsidRPr="002769C8">
              <w:t>2–12 hours</w:t>
            </w:r>
          </w:p>
        </w:tc>
        <w:tc>
          <w:tcPr>
            <w:tcW w:w="3006" w:type="dxa"/>
          </w:tcPr>
          <w:p w14:paraId="5EE4F65B" w14:textId="79B40F46" w:rsidR="00C527D1" w:rsidRPr="002769C8" w:rsidRDefault="0030036C" w:rsidP="00C31997">
            <w:pPr>
              <w:jc w:val="both"/>
            </w:pPr>
            <w:r w:rsidRPr="002769C8">
              <w:t>Identify affected systems, secure backups, notify management</w:t>
            </w:r>
          </w:p>
        </w:tc>
      </w:tr>
      <w:tr w:rsidR="00C527D1" w14:paraId="7741E088" w14:textId="77777777" w:rsidTr="00C527D1">
        <w:tc>
          <w:tcPr>
            <w:tcW w:w="3005" w:type="dxa"/>
          </w:tcPr>
          <w:p w14:paraId="77B35A0F" w14:textId="205610C5" w:rsidR="00C527D1" w:rsidRPr="00EA3427" w:rsidRDefault="000414E9" w:rsidP="00C31997">
            <w:pPr>
              <w:jc w:val="both"/>
            </w:pPr>
            <w:r w:rsidRPr="00EA3427">
              <w:t>NIS2 Initial Notification</w:t>
            </w:r>
          </w:p>
        </w:tc>
        <w:tc>
          <w:tcPr>
            <w:tcW w:w="3005" w:type="dxa"/>
          </w:tcPr>
          <w:p w14:paraId="3692F27A" w14:textId="184667E9" w:rsidR="00C527D1" w:rsidRPr="002769C8" w:rsidRDefault="000F1B0A" w:rsidP="00C31997">
            <w:pPr>
              <w:jc w:val="both"/>
            </w:pPr>
            <w:r w:rsidRPr="002769C8">
              <w:t>Within 24 hours</w:t>
            </w:r>
          </w:p>
        </w:tc>
        <w:tc>
          <w:tcPr>
            <w:tcW w:w="3006" w:type="dxa"/>
          </w:tcPr>
          <w:p w14:paraId="3E6D0411" w14:textId="27ABB359" w:rsidR="00C527D1" w:rsidRPr="002769C8" w:rsidRDefault="007650B2" w:rsidP="00C31997">
            <w:pPr>
              <w:jc w:val="both"/>
            </w:pPr>
            <w:r w:rsidRPr="002769C8">
              <w:t>Report incident to national authority</w:t>
            </w:r>
          </w:p>
        </w:tc>
      </w:tr>
      <w:tr w:rsidR="00C527D1" w14:paraId="4D3E82F5" w14:textId="77777777" w:rsidTr="00C527D1">
        <w:tc>
          <w:tcPr>
            <w:tcW w:w="3005" w:type="dxa"/>
          </w:tcPr>
          <w:p w14:paraId="354FB1E0" w14:textId="24C5CB1C" w:rsidR="00C527D1" w:rsidRPr="00EA3427" w:rsidRDefault="00EA3427" w:rsidP="00C31997">
            <w:pPr>
              <w:jc w:val="both"/>
            </w:pPr>
            <w:r w:rsidRPr="00EA3427">
              <w:t>System Recovery</w:t>
            </w:r>
          </w:p>
        </w:tc>
        <w:tc>
          <w:tcPr>
            <w:tcW w:w="3005" w:type="dxa"/>
          </w:tcPr>
          <w:p w14:paraId="4D67AA94" w14:textId="472F6484" w:rsidR="00C527D1" w:rsidRPr="002769C8" w:rsidRDefault="007A0637" w:rsidP="00C31997">
            <w:pPr>
              <w:jc w:val="both"/>
            </w:pPr>
            <w:r w:rsidRPr="002769C8">
              <w:t>24–72 hours</w:t>
            </w:r>
          </w:p>
        </w:tc>
        <w:tc>
          <w:tcPr>
            <w:tcW w:w="3006" w:type="dxa"/>
          </w:tcPr>
          <w:p w14:paraId="1D07BF31" w14:textId="501922AD" w:rsidR="00C527D1" w:rsidRPr="002769C8" w:rsidRDefault="002769C8" w:rsidP="00C31997">
            <w:pPr>
              <w:jc w:val="both"/>
            </w:pPr>
            <w:r w:rsidRPr="002769C8">
              <w:t>Restore from clean backups, rebuild environments</w:t>
            </w:r>
          </w:p>
        </w:tc>
      </w:tr>
      <w:tr w:rsidR="00C527D1" w14:paraId="0875F961" w14:textId="77777777" w:rsidTr="00C527D1">
        <w:tc>
          <w:tcPr>
            <w:tcW w:w="3005" w:type="dxa"/>
          </w:tcPr>
          <w:p w14:paraId="7232C7C5" w14:textId="11BB3EBC" w:rsidR="00C527D1" w:rsidRPr="00EA3427" w:rsidRDefault="00EA3427" w:rsidP="00C31997">
            <w:pPr>
              <w:jc w:val="both"/>
            </w:pPr>
            <w:r w:rsidRPr="00EA3427">
              <w:t>NIS2 Full Report</w:t>
            </w:r>
          </w:p>
        </w:tc>
        <w:tc>
          <w:tcPr>
            <w:tcW w:w="3005" w:type="dxa"/>
          </w:tcPr>
          <w:p w14:paraId="2126B772" w14:textId="495A0967" w:rsidR="00C527D1" w:rsidRPr="002769C8" w:rsidRDefault="007A0637" w:rsidP="00C31997">
            <w:pPr>
              <w:jc w:val="both"/>
            </w:pPr>
            <w:r w:rsidRPr="002769C8">
              <w:t>Within 72 hours</w:t>
            </w:r>
          </w:p>
        </w:tc>
        <w:tc>
          <w:tcPr>
            <w:tcW w:w="3006" w:type="dxa"/>
          </w:tcPr>
          <w:p w14:paraId="65585306" w14:textId="00FDC30B" w:rsidR="00C527D1" w:rsidRPr="002769C8" w:rsidRDefault="002769C8" w:rsidP="00C31997">
            <w:pPr>
              <w:jc w:val="both"/>
            </w:pPr>
            <w:r w:rsidRPr="002769C8">
              <w:t>Submit full incident report</w:t>
            </w:r>
          </w:p>
        </w:tc>
      </w:tr>
      <w:tr w:rsidR="00C527D1" w14:paraId="2B970A2F" w14:textId="77777777" w:rsidTr="00C527D1">
        <w:tc>
          <w:tcPr>
            <w:tcW w:w="3005" w:type="dxa"/>
          </w:tcPr>
          <w:p w14:paraId="30ECBCCE" w14:textId="7D0E978A" w:rsidR="00C527D1" w:rsidRPr="00EA3427" w:rsidRDefault="00EA3427" w:rsidP="00C31997">
            <w:pPr>
              <w:jc w:val="both"/>
            </w:pPr>
            <w:r w:rsidRPr="00EA3427">
              <w:t>Post-Recovery Hardening</w:t>
            </w:r>
          </w:p>
        </w:tc>
        <w:tc>
          <w:tcPr>
            <w:tcW w:w="3005" w:type="dxa"/>
          </w:tcPr>
          <w:p w14:paraId="0513F804" w14:textId="70A86705" w:rsidR="00C527D1" w:rsidRPr="002769C8" w:rsidRDefault="007A0637" w:rsidP="00C31997">
            <w:pPr>
              <w:jc w:val="both"/>
            </w:pPr>
            <w:r w:rsidRPr="002769C8">
              <w:t>72+ hours</w:t>
            </w:r>
          </w:p>
        </w:tc>
        <w:tc>
          <w:tcPr>
            <w:tcW w:w="3006" w:type="dxa"/>
          </w:tcPr>
          <w:p w14:paraId="6A1E6860" w14:textId="29F553EF" w:rsidR="00C527D1" w:rsidRPr="002769C8" w:rsidRDefault="002769C8" w:rsidP="00C31997">
            <w:pPr>
              <w:jc w:val="both"/>
            </w:pPr>
            <w:r w:rsidRPr="002769C8">
              <w:t>Patch vulnerabilities, rotate credentials, strengthen controls</w:t>
            </w:r>
          </w:p>
        </w:tc>
      </w:tr>
    </w:tbl>
    <w:p w14:paraId="215D6544" w14:textId="77777777" w:rsidR="00045AD1" w:rsidRPr="00BA1885" w:rsidRDefault="00045AD1" w:rsidP="00C31997">
      <w:pPr>
        <w:jc w:val="both"/>
        <w:rPr>
          <w:b/>
          <w:bCs/>
          <w:sz w:val="24"/>
          <w:szCs w:val="24"/>
        </w:rPr>
      </w:pPr>
    </w:p>
    <w:p w14:paraId="5DA56364" w14:textId="4C8B990E" w:rsidR="00045AD1" w:rsidRPr="00BA1885" w:rsidRDefault="00BA1885" w:rsidP="00C31997">
      <w:pPr>
        <w:jc w:val="both"/>
        <w:rPr>
          <w:b/>
          <w:bCs/>
          <w:sz w:val="24"/>
          <w:szCs w:val="24"/>
        </w:rPr>
      </w:pPr>
      <w:r w:rsidRPr="00BA1885">
        <w:rPr>
          <w:b/>
          <w:bCs/>
          <w:sz w:val="24"/>
          <w:szCs w:val="24"/>
        </w:rPr>
        <w:t xml:space="preserve">         Section 7: Protection Mechanisms</w:t>
      </w:r>
    </w:p>
    <w:p w14:paraId="18860703" w14:textId="77777777" w:rsidR="00045AD1" w:rsidRDefault="00045AD1" w:rsidP="00C31997">
      <w:pPr>
        <w:jc w:val="both"/>
        <w:rPr>
          <w:b/>
          <w:bCs/>
        </w:rPr>
      </w:pPr>
    </w:p>
    <w:p w14:paraId="4E8C5C10" w14:textId="77777777" w:rsidR="003D37CE" w:rsidRPr="003D37CE" w:rsidRDefault="003D37CE" w:rsidP="00B339E9">
      <w:pPr>
        <w:pStyle w:val="ListParagraph"/>
        <w:jc w:val="both"/>
        <w:rPr>
          <w:lang w:val="en-GB"/>
        </w:rPr>
      </w:pPr>
      <w:r w:rsidRPr="003D37CE">
        <w:rPr>
          <w:lang w:val="en-GB"/>
        </w:rPr>
        <w:t>Implementing Zero Trust Architecture at MediTrust requires a layered set of modern security controls that work together as an integrated defence system. The following mechanisms are recommended to protect MediTrust's clinical systems, AI infrastructure, and sensitive patient data.</w:t>
      </w:r>
    </w:p>
    <w:p w14:paraId="79B49F49" w14:textId="127B4E12" w:rsidR="003D37CE" w:rsidRPr="00B339E9" w:rsidRDefault="003D37CE" w:rsidP="00B339E9">
      <w:pPr>
        <w:pStyle w:val="ListParagraph"/>
        <w:jc w:val="both"/>
        <w:rPr>
          <w:b/>
          <w:bCs/>
          <w:sz w:val="24"/>
          <w:szCs w:val="24"/>
          <w:lang w:val="en-GB"/>
        </w:rPr>
      </w:pPr>
      <w:r w:rsidRPr="00B339E9">
        <w:rPr>
          <w:b/>
          <w:bCs/>
          <w:sz w:val="24"/>
          <w:szCs w:val="24"/>
          <w:lang w:val="en-GB"/>
        </w:rPr>
        <w:t>Phishing-Resistant MFA</w:t>
      </w:r>
    </w:p>
    <w:p w14:paraId="7CEB8488" w14:textId="05090A05" w:rsidR="003C1EAA" w:rsidRDefault="003C1EAA" w:rsidP="009D4A57">
      <w:pPr>
        <w:pStyle w:val="ListParagraph"/>
        <w:jc w:val="both"/>
      </w:pPr>
      <w:r w:rsidRPr="003C1EAA">
        <w:t>Traditional password-based authentication does not provide sufficient protection for an organisation that handles clinical data using a hybrid workforce. Phishing-resistant MFA such as hardware security keys based on FIDO2 or certificate-based authentication eliminates credential theft through phishing attacks which remain the most common first attack vector. Unlike SMS codes used in standard MFA methods, phishing resistant MFA cannot be intercepted by malicious actors nor socially engineered, providing a stronger layer of defence for staff members and third party partners. CSPM tools continuously scan multiple cloud providers for misconfigured settings, policy violations, and compliance drift to detect issues such as exposed storage buckets or overly permissive access contro</w:t>
      </w:r>
      <w:r w:rsidR="00506055">
        <w:t>l [12].</w:t>
      </w:r>
    </w:p>
    <w:p w14:paraId="46E03D0B" w14:textId="623836D2" w:rsidR="003D37CE" w:rsidRPr="003C1EAA" w:rsidRDefault="003D37CE" w:rsidP="003C1EAA">
      <w:pPr>
        <w:pStyle w:val="ListParagraph"/>
        <w:jc w:val="both"/>
        <w:rPr>
          <w:b/>
          <w:bCs/>
          <w:sz w:val="22"/>
          <w:szCs w:val="22"/>
          <w:lang w:val="en-GB"/>
        </w:rPr>
      </w:pPr>
      <w:r w:rsidRPr="003C1EAA">
        <w:rPr>
          <w:b/>
          <w:bCs/>
          <w:sz w:val="22"/>
          <w:szCs w:val="22"/>
          <w:lang w:val="en-GB"/>
        </w:rPr>
        <w:t>Security Information and Event Management (SIEM)</w:t>
      </w:r>
    </w:p>
    <w:p w14:paraId="5BA578FC" w14:textId="77777777" w:rsidR="003C1EAA" w:rsidRDefault="003C1EAA" w:rsidP="003C1EAA">
      <w:pPr>
        <w:pStyle w:val="ListParagraph"/>
        <w:jc w:val="both"/>
      </w:pPr>
      <w:r w:rsidRPr="003C1EAA">
        <w:t>SIEM systems collect and correlate log files from throughout MediTrust’s environment including cloud services, end points, applications, and network traffic, enabling a real-time view of security events. By identifying patterns within collected logs, SIEM allows early identification of malicious activity such as unauthorized login attempts, anomalous data transfer, or lateral movement</w:t>
      </w:r>
    </w:p>
    <w:p w14:paraId="148CF4C2" w14:textId="77777777" w:rsidR="003C1EAA" w:rsidRDefault="003C1EAA" w:rsidP="003C1EAA">
      <w:pPr>
        <w:jc w:val="both"/>
      </w:pPr>
    </w:p>
    <w:p w14:paraId="4DF37970" w14:textId="6183B393" w:rsidR="003D37CE" w:rsidRPr="003C1EAA" w:rsidRDefault="003D37CE" w:rsidP="00A37F6D">
      <w:pPr>
        <w:pStyle w:val="ListParagraph"/>
        <w:jc w:val="both"/>
        <w:rPr>
          <w:b/>
          <w:bCs/>
          <w:sz w:val="24"/>
          <w:szCs w:val="24"/>
          <w:lang w:val="en-GB"/>
        </w:rPr>
      </w:pPr>
      <w:r w:rsidRPr="003C1EAA">
        <w:rPr>
          <w:b/>
          <w:bCs/>
          <w:sz w:val="24"/>
          <w:szCs w:val="24"/>
          <w:lang w:val="en-GB"/>
        </w:rPr>
        <w:t>Endpoint Detection and Response (EDR) with Automated Response</w:t>
      </w:r>
    </w:p>
    <w:p w14:paraId="108699B4" w14:textId="10F3DD52" w:rsidR="003D37CE" w:rsidRPr="003D37CE" w:rsidRDefault="008E27B7" w:rsidP="009D4A57">
      <w:pPr>
        <w:pStyle w:val="ListParagraph"/>
        <w:jc w:val="both"/>
        <w:rPr>
          <w:lang w:val="en-GB"/>
        </w:rPr>
      </w:pPr>
      <w:r w:rsidRPr="008E27B7">
        <w:t xml:space="preserve">EDR solutions monitor endpoint devices including remote developer laptops and clinical workstations for malicious behaviour in real time. EDR with automated response capabilities can act without waiting </w:t>
      </w:r>
      <w:r w:rsidRPr="008E27B7">
        <w:lastRenderedPageBreak/>
        <w:t>for human intervention. As soon as ransomware behaviour is identified, the system isolates the infected machine from the network, stopping ransomware from spreading laterally</w:t>
      </w:r>
      <w:r w:rsidR="001044C2" w:rsidRPr="003D37CE">
        <w:rPr>
          <w:lang w:val="en-GB"/>
        </w:rPr>
        <w:t>.</w:t>
      </w:r>
    </w:p>
    <w:p w14:paraId="16C343F8" w14:textId="4D86D236" w:rsidR="003D37CE" w:rsidRPr="003D37CE" w:rsidRDefault="003D37CE" w:rsidP="003D37CE">
      <w:pPr>
        <w:pStyle w:val="ListParagraph"/>
        <w:jc w:val="both"/>
        <w:rPr>
          <w:b/>
          <w:bCs/>
          <w:sz w:val="24"/>
          <w:szCs w:val="24"/>
          <w:lang w:val="en-GB"/>
        </w:rPr>
      </w:pPr>
      <w:r w:rsidRPr="003D37CE">
        <w:rPr>
          <w:b/>
          <w:bCs/>
          <w:sz w:val="24"/>
          <w:szCs w:val="24"/>
          <w:lang w:val="en-GB"/>
        </w:rPr>
        <w:t>Integrated Automated Response</w:t>
      </w:r>
    </w:p>
    <w:p w14:paraId="26DC347E" w14:textId="279B56F2" w:rsidR="0071576A" w:rsidRPr="0071576A" w:rsidRDefault="0071576A" w:rsidP="0071576A">
      <w:pPr>
        <w:pStyle w:val="ListParagraph"/>
        <w:jc w:val="both"/>
        <w:rPr>
          <w:lang w:val="en-GB"/>
        </w:rPr>
      </w:pPr>
      <w:r w:rsidRPr="0071576A">
        <w:rPr>
          <w:lang w:val="en-GB"/>
        </w:rPr>
        <w:t>The real strength of these tools comes from how they integrate. When one detection system identifies a possible threat, all the others respond together - EDR will isolate a possibly infected computer, SIEM will correlate this possible threat to similar past threats, and automatically locking down an account that has been compromised prevents further unauthorized use of those credentials. All these responses are coordinated by a Security Orchestration, Automation and Response (SOAR) system which enables MediTrust to limit the damage caused by a threat within minutes of its occurrence versus hours or longer; therefore, minimizing the disruption to clinical services and the risk to patient safety.</w:t>
      </w:r>
    </w:p>
    <w:p w14:paraId="40B07C13" w14:textId="77777777" w:rsidR="002F71B2" w:rsidRDefault="002F71B2" w:rsidP="003D37CE">
      <w:pPr>
        <w:pStyle w:val="ListParagraph"/>
        <w:jc w:val="both"/>
        <w:rPr>
          <w:lang w:val="en-GB"/>
        </w:rPr>
      </w:pPr>
    </w:p>
    <w:p w14:paraId="5DA5B95C" w14:textId="77777777" w:rsidR="002F71B2" w:rsidRDefault="002F71B2" w:rsidP="003D37CE">
      <w:pPr>
        <w:pStyle w:val="ListParagraph"/>
        <w:jc w:val="both"/>
        <w:rPr>
          <w:lang w:val="en-GB"/>
        </w:rPr>
      </w:pPr>
    </w:p>
    <w:tbl>
      <w:tblPr>
        <w:tblStyle w:val="TableGrid"/>
        <w:tblW w:w="0" w:type="auto"/>
        <w:tblInd w:w="720" w:type="dxa"/>
        <w:tblLook w:val="04A0" w:firstRow="1" w:lastRow="0" w:firstColumn="1" w:lastColumn="0" w:noHBand="0" w:noVBand="1"/>
      </w:tblPr>
      <w:tblGrid>
        <w:gridCol w:w="2710"/>
        <w:gridCol w:w="2843"/>
        <w:gridCol w:w="2743"/>
      </w:tblGrid>
      <w:tr w:rsidR="00722081" w14:paraId="4EA1D104" w14:textId="77777777" w:rsidTr="002F71B2">
        <w:tc>
          <w:tcPr>
            <w:tcW w:w="3005" w:type="dxa"/>
          </w:tcPr>
          <w:p w14:paraId="3517113D" w14:textId="1C0BD3E8" w:rsidR="002F71B2" w:rsidRPr="004E4EC8" w:rsidRDefault="00E82B61" w:rsidP="003D37CE">
            <w:pPr>
              <w:pStyle w:val="ListParagraph"/>
              <w:ind w:left="0"/>
              <w:jc w:val="both"/>
              <w:rPr>
                <w:highlight w:val="yellow"/>
                <w:lang w:val="en-GB"/>
              </w:rPr>
            </w:pPr>
            <w:r w:rsidRPr="004E4EC8">
              <w:rPr>
                <w:highlight w:val="yellow"/>
                <w:lang w:val="en-GB"/>
              </w:rPr>
              <w:t xml:space="preserve">Control </w:t>
            </w:r>
          </w:p>
        </w:tc>
        <w:tc>
          <w:tcPr>
            <w:tcW w:w="3005" w:type="dxa"/>
          </w:tcPr>
          <w:p w14:paraId="50FD3111" w14:textId="325170CC" w:rsidR="002F71B2" w:rsidRPr="004E4EC8" w:rsidRDefault="00E82B61" w:rsidP="003D37CE">
            <w:pPr>
              <w:pStyle w:val="ListParagraph"/>
              <w:ind w:left="0"/>
              <w:jc w:val="both"/>
              <w:rPr>
                <w:highlight w:val="yellow"/>
                <w:lang w:val="en-GB"/>
              </w:rPr>
            </w:pPr>
            <w:r w:rsidRPr="004E4EC8">
              <w:rPr>
                <w:highlight w:val="yellow"/>
                <w:lang w:val="en-GB"/>
              </w:rPr>
              <w:t>Purpose</w:t>
            </w:r>
          </w:p>
        </w:tc>
        <w:tc>
          <w:tcPr>
            <w:tcW w:w="3006" w:type="dxa"/>
          </w:tcPr>
          <w:p w14:paraId="1C504633" w14:textId="0DCBCC64" w:rsidR="002F71B2" w:rsidRPr="004E4EC8" w:rsidRDefault="004E4EC8" w:rsidP="003D37CE">
            <w:pPr>
              <w:pStyle w:val="ListParagraph"/>
              <w:ind w:left="0"/>
              <w:jc w:val="both"/>
              <w:rPr>
                <w:highlight w:val="yellow"/>
                <w:lang w:val="en-GB"/>
              </w:rPr>
            </w:pPr>
            <w:r w:rsidRPr="004E4EC8">
              <w:rPr>
                <w:highlight w:val="yellow"/>
              </w:rPr>
              <w:t>MediTrust Benefit</w:t>
            </w:r>
          </w:p>
        </w:tc>
      </w:tr>
      <w:tr w:rsidR="00722081" w14:paraId="100D07C3" w14:textId="77777777" w:rsidTr="002F71B2">
        <w:tc>
          <w:tcPr>
            <w:tcW w:w="3005" w:type="dxa"/>
          </w:tcPr>
          <w:p w14:paraId="30DC7307" w14:textId="5FD10EC0" w:rsidR="002F71B2" w:rsidRDefault="00CA0C39" w:rsidP="003D37CE">
            <w:pPr>
              <w:pStyle w:val="ListParagraph"/>
              <w:ind w:left="0"/>
              <w:jc w:val="both"/>
              <w:rPr>
                <w:lang w:val="en-GB"/>
              </w:rPr>
            </w:pPr>
            <w:r w:rsidRPr="00CA0C39">
              <w:t>Phishing-Resistant MFA</w:t>
            </w:r>
          </w:p>
        </w:tc>
        <w:tc>
          <w:tcPr>
            <w:tcW w:w="3005" w:type="dxa"/>
          </w:tcPr>
          <w:p w14:paraId="14358E97" w14:textId="13F0D363" w:rsidR="002F71B2" w:rsidRDefault="00B907A9" w:rsidP="003D37CE">
            <w:pPr>
              <w:pStyle w:val="ListParagraph"/>
              <w:ind w:left="0"/>
              <w:jc w:val="both"/>
              <w:rPr>
                <w:lang w:val="en-GB"/>
              </w:rPr>
            </w:pPr>
            <w:r w:rsidRPr="00B907A9">
              <w:t>Prevent credential theft</w:t>
            </w:r>
          </w:p>
        </w:tc>
        <w:tc>
          <w:tcPr>
            <w:tcW w:w="3006" w:type="dxa"/>
          </w:tcPr>
          <w:p w14:paraId="65ABEF6D" w14:textId="67CBF756" w:rsidR="002F71B2" w:rsidRDefault="000E1DB5" w:rsidP="003D37CE">
            <w:pPr>
              <w:pStyle w:val="ListParagraph"/>
              <w:ind w:left="0"/>
              <w:jc w:val="both"/>
              <w:rPr>
                <w:lang w:val="en-GB"/>
              </w:rPr>
            </w:pPr>
            <w:r w:rsidRPr="000E1DB5">
              <w:t>Protects remote workforce and clinical access</w:t>
            </w:r>
          </w:p>
        </w:tc>
      </w:tr>
      <w:tr w:rsidR="00722081" w14:paraId="538A1755" w14:textId="77777777" w:rsidTr="002F71B2">
        <w:tc>
          <w:tcPr>
            <w:tcW w:w="3005" w:type="dxa"/>
          </w:tcPr>
          <w:p w14:paraId="5EEF6B2D" w14:textId="68231AEE" w:rsidR="002F71B2" w:rsidRDefault="00CA0C39" w:rsidP="003D37CE">
            <w:pPr>
              <w:pStyle w:val="ListParagraph"/>
              <w:ind w:left="0"/>
              <w:jc w:val="both"/>
              <w:rPr>
                <w:lang w:val="en-GB"/>
              </w:rPr>
            </w:pPr>
            <w:r w:rsidRPr="00CA0C39">
              <w:t>CSPM</w:t>
            </w:r>
          </w:p>
        </w:tc>
        <w:tc>
          <w:tcPr>
            <w:tcW w:w="3005" w:type="dxa"/>
          </w:tcPr>
          <w:p w14:paraId="21EF850D" w14:textId="719E747A" w:rsidR="002F71B2" w:rsidRDefault="00986BD1" w:rsidP="003D37CE">
            <w:pPr>
              <w:pStyle w:val="ListParagraph"/>
              <w:ind w:left="0"/>
              <w:jc w:val="both"/>
              <w:rPr>
                <w:lang w:val="en-GB"/>
              </w:rPr>
            </w:pPr>
            <w:r w:rsidRPr="00986BD1">
              <w:t>Detect cloud misconfigurations</w:t>
            </w:r>
          </w:p>
        </w:tc>
        <w:tc>
          <w:tcPr>
            <w:tcW w:w="3006" w:type="dxa"/>
          </w:tcPr>
          <w:p w14:paraId="7CD0062E" w14:textId="30B69C70" w:rsidR="002F71B2" w:rsidRDefault="002B54EA" w:rsidP="003D37CE">
            <w:pPr>
              <w:pStyle w:val="ListParagraph"/>
              <w:ind w:left="0"/>
              <w:jc w:val="both"/>
              <w:rPr>
                <w:lang w:val="en-GB"/>
              </w:rPr>
            </w:pPr>
            <w:r w:rsidRPr="002B54EA">
              <w:t>Maintains GDPR and DORA compliance</w:t>
            </w:r>
          </w:p>
        </w:tc>
      </w:tr>
      <w:tr w:rsidR="00722081" w14:paraId="3199E8BB" w14:textId="77777777" w:rsidTr="002F71B2">
        <w:tc>
          <w:tcPr>
            <w:tcW w:w="3005" w:type="dxa"/>
          </w:tcPr>
          <w:p w14:paraId="73AE0532" w14:textId="79636B97" w:rsidR="002F71B2" w:rsidRDefault="000278EA" w:rsidP="003D37CE">
            <w:pPr>
              <w:pStyle w:val="ListParagraph"/>
              <w:ind w:left="0"/>
              <w:jc w:val="both"/>
              <w:rPr>
                <w:lang w:val="en-GB"/>
              </w:rPr>
            </w:pPr>
            <w:r w:rsidRPr="000278EA">
              <w:t>SIEM</w:t>
            </w:r>
          </w:p>
        </w:tc>
        <w:tc>
          <w:tcPr>
            <w:tcW w:w="3005" w:type="dxa"/>
          </w:tcPr>
          <w:p w14:paraId="760A4FE3" w14:textId="4CD41DC9" w:rsidR="002F71B2" w:rsidRDefault="00722081" w:rsidP="003D37CE">
            <w:pPr>
              <w:pStyle w:val="ListParagraph"/>
              <w:ind w:left="0"/>
              <w:jc w:val="both"/>
              <w:rPr>
                <w:lang w:val="en-GB"/>
              </w:rPr>
            </w:pPr>
            <w:r w:rsidRPr="00722081">
              <w:t>Centralised threat detection</w:t>
            </w:r>
          </w:p>
        </w:tc>
        <w:tc>
          <w:tcPr>
            <w:tcW w:w="3006" w:type="dxa"/>
          </w:tcPr>
          <w:p w14:paraId="04A7BA12" w14:textId="41347007" w:rsidR="002F71B2" w:rsidRDefault="002B54EA" w:rsidP="003D37CE">
            <w:pPr>
              <w:pStyle w:val="ListParagraph"/>
              <w:ind w:left="0"/>
              <w:jc w:val="both"/>
              <w:rPr>
                <w:lang w:val="en-GB"/>
              </w:rPr>
            </w:pPr>
            <w:r w:rsidRPr="002B54EA">
              <w:t>Enables NIS2 rapid incident reporting</w:t>
            </w:r>
          </w:p>
        </w:tc>
      </w:tr>
      <w:tr w:rsidR="00722081" w14:paraId="2C28A68F" w14:textId="77777777" w:rsidTr="002F71B2">
        <w:tc>
          <w:tcPr>
            <w:tcW w:w="3005" w:type="dxa"/>
          </w:tcPr>
          <w:p w14:paraId="78821D81" w14:textId="3E3E723F" w:rsidR="002F71B2" w:rsidRDefault="009479B2" w:rsidP="003D37CE">
            <w:pPr>
              <w:pStyle w:val="ListParagraph"/>
              <w:ind w:left="0"/>
              <w:jc w:val="both"/>
              <w:rPr>
                <w:lang w:val="en-GB"/>
              </w:rPr>
            </w:pPr>
            <w:r w:rsidRPr="009479B2">
              <w:t>EDR + Automated Response</w:t>
            </w:r>
          </w:p>
        </w:tc>
        <w:tc>
          <w:tcPr>
            <w:tcW w:w="3005" w:type="dxa"/>
          </w:tcPr>
          <w:p w14:paraId="32B2DA52" w14:textId="0B9B4759" w:rsidR="002F71B2" w:rsidRPr="002B54EA" w:rsidRDefault="00722081" w:rsidP="002B54EA">
            <w:pPr>
              <w:ind w:left="720"/>
              <w:jc w:val="both"/>
              <w:rPr>
                <w:lang w:val="en-GB"/>
              </w:rPr>
            </w:pPr>
            <w:r w:rsidRPr="00722081">
              <w:t>Endpoint protection and containment</w:t>
            </w:r>
          </w:p>
        </w:tc>
        <w:tc>
          <w:tcPr>
            <w:tcW w:w="3006" w:type="dxa"/>
          </w:tcPr>
          <w:p w14:paraId="126E4A64" w14:textId="1DE6BA75" w:rsidR="002F71B2" w:rsidRDefault="002B54EA" w:rsidP="003D37CE">
            <w:pPr>
              <w:pStyle w:val="ListParagraph"/>
              <w:ind w:left="0"/>
              <w:jc w:val="both"/>
              <w:rPr>
                <w:lang w:val="en-GB"/>
              </w:rPr>
            </w:pPr>
            <w:r w:rsidRPr="002B54EA">
              <w:t>Stops ransomware spread automatically</w:t>
            </w:r>
          </w:p>
        </w:tc>
      </w:tr>
      <w:tr w:rsidR="00722081" w14:paraId="1CE64317" w14:textId="77777777" w:rsidTr="002F71B2">
        <w:tc>
          <w:tcPr>
            <w:tcW w:w="3005" w:type="dxa"/>
          </w:tcPr>
          <w:p w14:paraId="2E8A99B0" w14:textId="321D44C1" w:rsidR="002F71B2" w:rsidRDefault="00B907A9" w:rsidP="003D37CE">
            <w:pPr>
              <w:pStyle w:val="ListParagraph"/>
              <w:ind w:left="0"/>
              <w:jc w:val="both"/>
              <w:rPr>
                <w:lang w:val="en-GB"/>
              </w:rPr>
            </w:pPr>
            <w:r w:rsidRPr="00B907A9">
              <w:t>SOAR</w:t>
            </w:r>
          </w:p>
        </w:tc>
        <w:tc>
          <w:tcPr>
            <w:tcW w:w="3005" w:type="dxa"/>
          </w:tcPr>
          <w:p w14:paraId="1636B155" w14:textId="51466A60" w:rsidR="002F71B2" w:rsidRPr="002B54EA" w:rsidRDefault="000E1DB5" w:rsidP="007865A7">
            <w:pPr>
              <w:pStyle w:val="ListParagraph"/>
              <w:jc w:val="both"/>
              <w:rPr>
                <w:lang w:val="en-GB"/>
              </w:rPr>
            </w:pPr>
            <w:r w:rsidRPr="000E1DB5">
              <w:t>Orchestrated automated response</w:t>
            </w:r>
          </w:p>
        </w:tc>
        <w:tc>
          <w:tcPr>
            <w:tcW w:w="3006" w:type="dxa"/>
          </w:tcPr>
          <w:p w14:paraId="4B3DCCCA" w14:textId="45F64E68" w:rsidR="002F71B2" w:rsidRDefault="0007068F" w:rsidP="003D37CE">
            <w:pPr>
              <w:pStyle w:val="ListParagraph"/>
              <w:ind w:left="0"/>
              <w:jc w:val="both"/>
              <w:rPr>
                <w:lang w:val="en-GB"/>
              </w:rPr>
            </w:pPr>
            <w:r w:rsidRPr="0007068F">
              <w:t>Reduces response time from hours to minutes</w:t>
            </w:r>
          </w:p>
        </w:tc>
      </w:tr>
    </w:tbl>
    <w:p w14:paraId="50BA67BA" w14:textId="77777777" w:rsidR="002F71B2" w:rsidRPr="003D37CE" w:rsidRDefault="002F71B2" w:rsidP="003D37CE">
      <w:pPr>
        <w:pStyle w:val="ListParagraph"/>
        <w:jc w:val="both"/>
        <w:rPr>
          <w:lang w:val="en-GB"/>
        </w:rPr>
      </w:pPr>
    </w:p>
    <w:p w14:paraId="5CCD2744" w14:textId="77777777" w:rsidR="00045AD1" w:rsidRDefault="00045AD1" w:rsidP="00C31997">
      <w:pPr>
        <w:jc w:val="both"/>
        <w:rPr>
          <w:b/>
          <w:bCs/>
        </w:rPr>
      </w:pPr>
    </w:p>
    <w:p w14:paraId="4B9B52FE" w14:textId="77777777" w:rsidR="00045AD1" w:rsidRDefault="00045AD1" w:rsidP="00C31997">
      <w:pPr>
        <w:jc w:val="both"/>
        <w:rPr>
          <w:b/>
          <w:bCs/>
        </w:rPr>
      </w:pPr>
    </w:p>
    <w:p w14:paraId="431CBEF2" w14:textId="77777777" w:rsidR="00045AD1" w:rsidRDefault="00045AD1" w:rsidP="00C31997">
      <w:pPr>
        <w:jc w:val="both"/>
        <w:rPr>
          <w:b/>
          <w:bCs/>
        </w:rPr>
      </w:pPr>
    </w:p>
    <w:p w14:paraId="73F26017" w14:textId="77777777" w:rsidR="00045AD1" w:rsidRDefault="00045AD1" w:rsidP="00C31997">
      <w:pPr>
        <w:jc w:val="both"/>
        <w:rPr>
          <w:b/>
          <w:bCs/>
        </w:rPr>
      </w:pPr>
    </w:p>
    <w:p w14:paraId="7A0FD6E2" w14:textId="77777777" w:rsidR="00045AD1" w:rsidRDefault="00045AD1" w:rsidP="00C31997">
      <w:pPr>
        <w:jc w:val="both"/>
        <w:rPr>
          <w:b/>
          <w:bCs/>
        </w:rPr>
      </w:pPr>
    </w:p>
    <w:p w14:paraId="223B059B" w14:textId="77777777" w:rsidR="00045AD1" w:rsidRDefault="00045AD1" w:rsidP="00C31997">
      <w:pPr>
        <w:jc w:val="both"/>
        <w:rPr>
          <w:b/>
          <w:bCs/>
        </w:rPr>
      </w:pPr>
    </w:p>
    <w:p w14:paraId="2ACFDFF9" w14:textId="77777777" w:rsidR="00214776" w:rsidRDefault="00214776" w:rsidP="00C31997">
      <w:pPr>
        <w:jc w:val="both"/>
        <w:rPr>
          <w:b/>
          <w:bCs/>
        </w:rPr>
      </w:pPr>
    </w:p>
    <w:p w14:paraId="647D8D3F" w14:textId="77777777" w:rsidR="00214776" w:rsidRDefault="00214776" w:rsidP="00C31997">
      <w:pPr>
        <w:jc w:val="both"/>
        <w:rPr>
          <w:b/>
          <w:bCs/>
        </w:rPr>
      </w:pPr>
    </w:p>
    <w:p w14:paraId="0CA7FFB6" w14:textId="77777777" w:rsidR="00214776" w:rsidRDefault="00214776" w:rsidP="00C31997">
      <w:pPr>
        <w:jc w:val="both"/>
        <w:rPr>
          <w:b/>
          <w:bCs/>
        </w:rPr>
      </w:pPr>
    </w:p>
    <w:p w14:paraId="1F33CB9E" w14:textId="77777777" w:rsidR="00214776" w:rsidRDefault="00214776" w:rsidP="00C31997">
      <w:pPr>
        <w:jc w:val="both"/>
        <w:rPr>
          <w:b/>
          <w:bCs/>
        </w:rPr>
      </w:pPr>
    </w:p>
    <w:p w14:paraId="5347D15C" w14:textId="77777777" w:rsidR="00E0318B" w:rsidRDefault="00E0318B" w:rsidP="00C31997">
      <w:pPr>
        <w:jc w:val="both"/>
        <w:rPr>
          <w:b/>
          <w:bCs/>
        </w:rPr>
      </w:pPr>
    </w:p>
    <w:p w14:paraId="2736217B" w14:textId="3094BA57" w:rsidR="00E0318B" w:rsidRDefault="00E0318B" w:rsidP="00E0318B">
      <w:pPr>
        <w:jc w:val="both"/>
        <w:rPr>
          <w:b/>
          <w:bCs/>
          <w:lang w:val="en-GB"/>
        </w:rPr>
      </w:pPr>
      <w:r w:rsidRPr="00E0318B">
        <w:rPr>
          <w:b/>
          <w:bCs/>
          <w:lang w:val="en-GB"/>
        </w:rPr>
        <w:t>Task 2 References:</w:t>
      </w:r>
    </w:p>
    <w:p w14:paraId="60A18157" w14:textId="77777777" w:rsidR="00E0318B" w:rsidRPr="00E0318B" w:rsidRDefault="00E0318B" w:rsidP="00E0318B">
      <w:pPr>
        <w:jc w:val="both"/>
        <w:rPr>
          <w:b/>
          <w:bCs/>
          <w:lang w:val="en-GB"/>
        </w:rPr>
      </w:pPr>
    </w:p>
    <w:p w14:paraId="62AF230E" w14:textId="77777777" w:rsidR="00E0318B" w:rsidRDefault="00E0318B" w:rsidP="00E0318B">
      <w:pPr>
        <w:jc w:val="both"/>
      </w:pPr>
      <w:r w:rsidRPr="00E0318B">
        <w:rPr>
          <w:lang w:val="en-GB"/>
        </w:rPr>
        <w:t xml:space="preserve">[1] European Union Agency for Cybersecurity (ENISA), "Security in Cloud Computing," ENISA, 2023. [Online]. Available: </w:t>
      </w:r>
      <w:hyperlink r:id="rId20" w:history="1">
        <w:r w:rsidRPr="00E0318B">
          <w:rPr>
            <w:rStyle w:val="Hyperlink"/>
            <w:lang w:val="en-GB"/>
          </w:rPr>
          <w:t>https://www.enisa.europa.eu/topics/cloud-and-big-data</w:t>
        </w:r>
      </w:hyperlink>
    </w:p>
    <w:p w14:paraId="1859D3F6" w14:textId="77777777" w:rsidR="00C74851" w:rsidRPr="00E0318B" w:rsidRDefault="00C74851" w:rsidP="00E0318B">
      <w:pPr>
        <w:jc w:val="both"/>
        <w:rPr>
          <w:lang w:val="en-GB"/>
        </w:rPr>
      </w:pPr>
    </w:p>
    <w:p w14:paraId="73E0B2D7" w14:textId="77777777" w:rsidR="00E0318B" w:rsidRDefault="00E0318B" w:rsidP="00E0318B">
      <w:pPr>
        <w:jc w:val="both"/>
        <w:rPr>
          <w:lang w:val="en-GB"/>
        </w:rPr>
      </w:pPr>
      <w:r w:rsidRPr="00E0318B">
        <w:rPr>
          <w:lang w:val="en-GB"/>
        </w:rPr>
        <w:t xml:space="preserve">[2] G. Mohan and B. Thota, "DevSecOps: Integrating Security in DevOps Pipeline," </w:t>
      </w:r>
      <w:r w:rsidRPr="00E0318B">
        <w:rPr>
          <w:i/>
          <w:iCs/>
          <w:lang w:val="en-GB"/>
        </w:rPr>
        <w:t>International Journal of Computer Applications</w:t>
      </w:r>
      <w:r w:rsidRPr="00E0318B">
        <w:rPr>
          <w:lang w:val="en-GB"/>
        </w:rPr>
        <w:t>, vol. 975, pp. 1–6, 2021.</w:t>
      </w:r>
    </w:p>
    <w:p w14:paraId="33778FAB" w14:textId="77777777" w:rsidR="00C74851" w:rsidRPr="00E0318B" w:rsidRDefault="00C74851" w:rsidP="00E0318B">
      <w:pPr>
        <w:jc w:val="both"/>
        <w:rPr>
          <w:lang w:val="en-GB"/>
        </w:rPr>
      </w:pPr>
    </w:p>
    <w:p w14:paraId="7CAA54A4" w14:textId="77777777" w:rsidR="00481D41" w:rsidRDefault="00481D41" w:rsidP="00481D41">
      <w:pPr>
        <w:jc w:val="both"/>
      </w:pPr>
      <w:r w:rsidRPr="00481D41">
        <w:rPr>
          <w:lang w:val="en-GB"/>
        </w:rPr>
        <w:t xml:space="preserve">[3] European Parliament, "Regulation on Artificial Intelligence (EU AI Act)," Official Journal of the European Union, 2024. [Online]. Available: </w:t>
      </w:r>
      <w:hyperlink r:id="rId21" w:history="1">
        <w:r w:rsidRPr="00481D41">
          <w:rPr>
            <w:rStyle w:val="Hyperlink"/>
            <w:lang w:val="en-GB"/>
          </w:rPr>
          <w:t>https://eur-lex.europa.eu</w:t>
        </w:r>
      </w:hyperlink>
    </w:p>
    <w:p w14:paraId="39C547DE" w14:textId="77777777" w:rsidR="009318CB" w:rsidRPr="00481D41" w:rsidRDefault="009318CB" w:rsidP="00481D41">
      <w:pPr>
        <w:jc w:val="both"/>
        <w:rPr>
          <w:lang w:val="en-GB"/>
        </w:rPr>
      </w:pPr>
    </w:p>
    <w:p w14:paraId="2D7E15FC" w14:textId="77777777" w:rsidR="00481D41" w:rsidRDefault="00481D41" w:rsidP="00481D41">
      <w:pPr>
        <w:jc w:val="both"/>
        <w:rPr>
          <w:lang w:val="en-GB"/>
        </w:rPr>
      </w:pPr>
      <w:r w:rsidRPr="00481D41">
        <w:rPr>
          <w:lang w:val="en-GB"/>
        </w:rPr>
        <w:t xml:space="preserve">[4] B. Disterer and C. Kleiner, "BYOD Bring Your Own Device," </w:t>
      </w:r>
      <w:r w:rsidRPr="00481D41">
        <w:rPr>
          <w:i/>
          <w:iCs/>
          <w:lang w:val="en-GB"/>
        </w:rPr>
        <w:t>Procedia Technology</w:t>
      </w:r>
      <w:r w:rsidRPr="00481D41">
        <w:rPr>
          <w:lang w:val="en-GB"/>
        </w:rPr>
        <w:t>, vol. 9, pp. 43–53, 2013.</w:t>
      </w:r>
    </w:p>
    <w:p w14:paraId="08154F5C" w14:textId="77777777" w:rsidR="009318CB" w:rsidRDefault="009318CB" w:rsidP="00481D41">
      <w:pPr>
        <w:jc w:val="both"/>
        <w:rPr>
          <w:lang w:val="en-GB"/>
        </w:rPr>
      </w:pPr>
    </w:p>
    <w:p w14:paraId="42E77014" w14:textId="77777777" w:rsidR="00A95F71" w:rsidRDefault="00A95F71" w:rsidP="00A95F71">
      <w:pPr>
        <w:jc w:val="both"/>
        <w:rPr>
          <w:lang w:val="en-GB"/>
        </w:rPr>
      </w:pPr>
      <w:r w:rsidRPr="00A95F71">
        <w:rPr>
          <w:lang w:val="en-GB"/>
        </w:rPr>
        <w:t xml:space="preserve">[5] European Parliament, "Regulation on Digital Operational Resilience for the Financial Sector (DORA)," Official Journal of the European Union, Jan. 2023. [Online]. Available: </w:t>
      </w:r>
      <w:hyperlink r:id="rId22" w:history="1">
        <w:r w:rsidRPr="00A95F71">
          <w:rPr>
            <w:rStyle w:val="Hyperlink"/>
            <w:lang w:val="en-GB"/>
          </w:rPr>
          <w:t>https://eur-lex.europa.eu/legal-content/EN/TXT/?uri=CELEX:32022R2554</w:t>
        </w:r>
      </w:hyperlink>
    </w:p>
    <w:p w14:paraId="4BAA48D8" w14:textId="77777777" w:rsidR="009318CB" w:rsidRPr="00A95F71" w:rsidRDefault="009318CB" w:rsidP="00A95F71">
      <w:pPr>
        <w:jc w:val="both"/>
        <w:rPr>
          <w:lang w:val="en-GB"/>
        </w:rPr>
      </w:pPr>
    </w:p>
    <w:p w14:paraId="43C37F5D" w14:textId="77777777" w:rsidR="00A95F71" w:rsidRDefault="00A95F71" w:rsidP="00A95F71">
      <w:pPr>
        <w:jc w:val="both"/>
        <w:rPr>
          <w:lang w:val="en-GB"/>
        </w:rPr>
      </w:pPr>
      <w:r w:rsidRPr="00A95F71">
        <w:rPr>
          <w:lang w:val="en-GB"/>
        </w:rPr>
        <w:t xml:space="preserve">[6] European Parliament, "Directive on Measures for a High Common Level of Cybersecurity (NIS2)," Official Journal of the European Union, Dec. 2022. [Online]. Available: </w:t>
      </w:r>
      <w:hyperlink r:id="rId23" w:history="1">
        <w:r w:rsidRPr="00A95F71">
          <w:rPr>
            <w:rStyle w:val="Hyperlink"/>
            <w:lang w:val="en-GB"/>
          </w:rPr>
          <w:t>https://eur-lex.europa.eu/legal-content/EN/TXT/?uri=CELEX:32022L2555</w:t>
        </w:r>
      </w:hyperlink>
    </w:p>
    <w:p w14:paraId="16635289" w14:textId="77777777" w:rsidR="001A2EBA" w:rsidRDefault="001A2EBA" w:rsidP="00A95F71">
      <w:pPr>
        <w:jc w:val="both"/>
        <w:rPr>
          <w:lang w:val="en-GB"/>
        </w:rPr>
      </w:pPr>
    </w:p>
    <w:p w14:paraId="0D8948C6" w14:textId="1CA8D9A6" w:rsidR="001A2EBA" w:rsidRDefault="001A2EBA" w:rsidP="00A95F71">
      <w:pPr>
        <w:jc w:val="both"/>
      </w:pPr>
      <w:r w:rsidRPr="001A2EBA">
        <w:t xml:space="preserve">[7] National Institute of Standards and Technology, "Cybersecurity Framework 2.0," NIST, Feb. 2024. [Online]. Available: </w:t>
      </w:r>
      <w:hyperlink r:id="rId24" w:history="1">
        <w:r w:rsidRPr="001A2EBA">
          <w:rPr>
            <w:rStyle w:val="Hyperlink"/>
          </w:rPr>
          <w:t>https://www.nist.gov/cyberframework</w:t>
        </w:r>
      </w:hyperlink>
    </w:p>
    <w:p w14:paraId="45CA2AAE" w14:textId="0388E74B" w:rsidR="008C3A77" w:rsidRDefault="008C3A77" w:rsidP="00A95F71">
      <w:pPr>
        <w:jc w:val="both"/>
      </w:pPr>
      <w:r>
        <w:lastRenderedPageBreak/>
        <w:t xml:space="preserve">[8] </w:t>
      </w:r>
      <w:r w:rsidRPr="008C3A77">
        <w:t xml:space="preserve">H. I. Kure, S. Islam, M. Ghazanfar, A. Raza, and M. Pasha, “Asset criticality and risk prediction for an effective cybersecurity risk management of cyber-physical system,” </w:t>
      </w:r>
      <w:r w:rsidRPr="008C3A77">
        <w:rPr>
          <w:i/>
          <w:iCs/>
        </w:rPr>
        <w:t>Neural Computing and Applications</w:t>
      </w:r>
      <w:r w:rsidRPr="008C3A77">
        <w:t>, vol. 34, no. 1, pp. 493–514, 2022</w:t>
      </w:r>
    </w:p>
    <w:p w14:paraId="2FF9771C" w14:textId="14874064" w:rsidR="008C3A77" w:rsidRDefault="008C3A77" w:rsidP="00A95F71">
      <w:pPr>
        <w:jc w:val="both"/>
      </w:pPr>
    </w:p>
    <w:p w14:paraId="4AD32A6B" w14:textId="77777777" w:rsidR="008C3A77" w:rsidRPr="00A95F71" w:rsidRDefault="008C3A77" w:rsidP="00A95F71">
      <w:pPr>
        <w:jc w:val="both"/>
        <w:rPr>
          <w:lang w:val="en-GB"/>
        </w:rPr>
      </w:pPr>
    </w:p>
    <w:p w14:paraId="6A2969AA" w14:textId="28ED5838" w:rsidR="00E059C5" w:rsidRPr="00481D41" w:rsidRDefault="00A228C5" w:rsidP="00481D41">
      <w:pPr>
        <w:jc w:val="both"/>
        <w:rPr>
          <w:lang w:val="en-GB"/>
        </w:rPr>
      </w:pPr>
      <w:r>
        <w:t xml:space="preserve">[9] </w:t>
      </w:r>
      <w:r w:rsidRPr="00A228C5">
        <w:t xml:space="preserve">X. Chen, W. Feng, N. Ge, and Y. Zhang, “Zero trust architecture for 6G security,” </w:t>
      </w:r>
      <w:r w:rsidRPr="00A228C5">
        <w:rPr>
          <w:i/>
          <w:iCs/>
        </w:rPr>
        <w:t>IEEE Network</w:t>
      </w:r>
      <w:r w:rsidRPr="00A228C5">
        <w:t>, vol. 38, no. 4, pp. 224–232, 2023.</w:t>
      </w:r>
    </w:p>
    <w:p w14:paraId="41BCD3F5" w14:textId="77777777" w:rsidR="00E0318B" w:rsidRDefault="00E0318B" w:rsidP="00C31997">
      <w:pPr>
        <w:jc w:val="both"/>
        <w:rPr>
          <w:b/>
          <w:bCs/>
        </w:rPr>
      </w:pPr>
    </w:p>
    <w:p w14:paraId="14858C11" w14:textId="7126B73C" w:rsidR="00CB15F7" w:rsidRPr="00CB15F7" w:rsidRDefault="00CB15F7" w:rsidP="00C31997">
      <w:pPr>
        <w:jc w:val="both"/>
      </w:pPr>
      <w:r>
        <w:t xml:space="preserve">[10] </w:t>
      </w:r>
      <w:r w:rsidRPr="00CB15F7">
        <w:t xml:space="preserve">C. Zanasi, F. Magnanini, S. Russo, and M. Colajanni, “A zero trust approach for the cybersecurity of industrial control systems,” in </w:t>
      </w:r>
      <w:r w:rsidRPr="00CB15F7">
        <w:rPr>
          <w:i/>
          <w:iCs/>
        </w:rPr>
        <w:t>Proc. 2022 IEEE 21st Int. Symp. Network Computing and Applications (NCA)</w:t>
      </w:r>
      <w:r w:rsidRPr="00CB15F7">
        <w:t>, 2022, pp. 1–7.</w:t>
      </w:r>
    </w:p>
    <w:p w14:paraId="5423091A" w14:textId="77777777" w:rsidR="008B5456" w:rsidRPr="00424A65" w:rsidRDefault="008B5456" w:rsidP="00C31997">
      <w:pPr>
        <w:jc w:val="both"/>
      </w:pPr>
    </w:p>
    <w:p w14:paraId="41FDF1FB" w14:textId="43F13487" w:rsidR="00424A65" w:rsidRDefault="00506055" w:rsidP="00C31997">
      <w:pPr>
        <w:jc w:val="both"/>
      </w:pPr>
      <w:r>
        <w:t xml:space="preserve">[11] </w:t>
      </w:r>
      <w:r w:rsidR="00424A65" w:rsidRPr="00424A65">
        <w:t xml:space="preserve">D. J. Fehér, “Challenges in responding to ransomware incidents in cloud connected IoT environments,” </w:t>
      </w:r>
      <w:r w:rsidR="00424A65" w:rsidRPr="00424A65">
        <w:rPr>
          <w:i/>
          <w:iCs/>
        </w:rPr>
        <w:t>Interdisciplinary Description of Complex Systems: INDECS</w:t>
      </w:r>
      <w:r w:rsidR="00424A65" w:rsidRPr="00424A65">
        <w:t>, vol. 23, no. 3, pp. 240–249, 2025.</w:t>
      </w:r>
    </w:p>
    <w:p w14:paraId="49462511" w14:textId="77777777" w:rsidR="003531B9" w:rsidRDefault="003531B9" w:rsidP="00C31997">
      <w:pPr>
        <w:jc w:val="both"/>
      </w:pPr>
    </w:p>
    <w:p w14:paraId="6BE6795E" w14:textId="2391030D" w:rsidR="003531B9" w:rsidRPr="00424A65" w:rsidRDefault="003531B9" w:rsidP="00C31997">
      <w:pPr>
        <w:jc w:val="both"/>
      </w:pPr>
      <w:r>
        <w:t xml:space="preserve">[12] </w:t>
      </w:r>
      <w:r w:rsidRPr="003531B9">
        <w:t>R. Kellenberger, “Analyzing the resilience of two-factor authentication techniques against runtime phishing attacks,” ETH Zurich, 2024.</w:t>
      </w:r>
    </w:p>
    <w:p w14:paraId="0FB70151" w14:textId="77777777" w:rsidR="008B5456" w:rsidRDefault="008B5456" w:rsidP="00C31997">
      <w:pPr>
        <w:jc w:val="both"/>
        <w:rPr>
          <w:b/>
          <w:bCs/>
        </w:rPr>
      </w:pPr>
    </w:p>
    <w:p w14:paraId="55B36796" w14:textId="16C52168" w:rsidR="008B5456" w:rsidRPr="006E5883" w:rsidRDefault="008B5456" w:rsidP="00C31997">
      <w:pPr>
        <w:jc w:val="both"/>
        <w:rPr>
          <w:b/>
          <w:bCs/>
        </w:rPr>
      </w:pPr>
    </w:p>
    <w:sectPr w:rsidR="008B5456" w:rsidRPr="006E588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orsal Geesawyne Ali (2413056)" w:date="2026-02-26T11:19:00Z" w:initials="MA">
    <w:p w14:paraId="24B11754" w14:textId="77777777" w:rsidR="00C42B8B" w:rsidRDefault="00C42B8B" w:rsidP="00C42B8B">
      <w:pPr>
        <w:pStyle w:val="CommentText"/>
        <w:jc w:val="left"/>
      </w:pPr>
      <w:r>
        <w:rPr>
          <w:rStyle w:val="CommentReference"/>
        </w:rPr>
        <w:annotationRef/>
      </w:r>
      <w:r>
        <w:t xml:space="preserve">Add a flowchart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4B1175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677107F" w16cex:dateUtc="2026-02-26T11: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4B11754" w16cid:durableId="2677107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07D0E" w14:textId="77777777" w:rsidR="0050418F" w:rsidRDefault="0050418F">
      <w:r>
        <w:separator/>
      </w:r>
    </w:p>
  </w:endnote>
  <w:endnote w:type="continuationSeparator" w:id="0">
    <w:p w14:paraId="0F51BDCE" w14:textId="77777777" w:rsidR="0050418F" w:rsidRDefault="005041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FD9530" w14:textId="77777777" w:rsidR="004E2F59" w:rsidRPr="006F6D3D" w:rsidRDefault="004E2F59" w:rsidP="0056610F">
    <w:pPr>
      <w:pStyle w:val="Footer"/>
      <w:jc w:val="left"/>
      <w:rPr>
        <w:sz w:val="16"/>
        <w:szCs w:val="16"/>
      </w:rPr>
    </w:pPr>
    <w:r w:rsidRPr="006F6D3D">
      <w:rPr>
        <w:sz w:val="16"/>
        <w:szCs w:val="16"/>
      </w:rPr>
      <w:t>XXX-X-XXXX-XXXX-X/XX/$XX.00 ©20XX IEEE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F01D2" w14:textId="77777777" w:rsidR="0050418F" w:rsidRDefault="0050418F">
      <w:r>
        <w:separator/>
      </w:r>
    </w:p>
  </w:footnote>
  <w:footnote w:type="continuationSeparator" w:id="0">
    <w:p w14:paraId="27B2E3A7" w14:textId="77777777" w:rsidR="0050418F" w:rsidRDefault="005041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5CA2"/>
    <w:multiLevelType w:val="hybridMultilevel"/>
    <w:tmpl w:val="DA464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91860"/>
    <w:multiLevelType w:val="hybridMultilevel"/>
    <w:tmpl w:val="9EDE2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111F2"/>
    <w:multiLevelType w:val="hybridMultilevel"/>
    <w:tmpl w:val="52586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43130"/>
    <w:multiLevelType w:val="hybridMultilevel"/>
    <w:tmpl w:val="919ED6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6921CCC"/>
    <w:multiLevelType w:val="hybridMultilevel"/>
    <w:tmpl w:val="20D60C2E"/>
    <w:lvl w:ilvl="0" w:tplc="3FC26102">
      <w:numFmt w:val="bullet"/>
      <w:lvlText w:val="•"/>
      <w:lvlJc w:val="left"/>
      <w:pPr>
        <w:ind w:left="720" w:hanging="360"/>
      </w:pPr>
      <w:rPr>
        <w:rFonts w:ascii="Cambria" w:eastAsia="Times New Roman"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41121"/>
    <w:multiLevelType w:val="hybridMultilevel"/>
    <w:tmpl w:val="C7C2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37B8F"/>
    <w:multiLevelType w:val="hybridMultilevel"/>
    <w:tmpl w:val="DED2A4C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A20521"/>
    <w:multiLevelType w:val="hybridMultilevel"/>
    <w:tmpl w:val="EDB6FE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775BA8"/>
    <w:multiLevelType w:val="hybridMultilevel"/>
    <w:tmpl w:val="21D2F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F39FC"/>
    <w:multiLevelType w:val="hybridMultilevel"/>
    <w:tmpl w:val="826AA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76D1390"/>
    <w:multiLevelType w:val="hybridMultilevel"/>
    <w:tmpl w:val="8432F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565915"/>
    <w:multiLevelType w:val="hybridMultilevel"/>
    <w:tmpl w:val="7D328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096DF3"/>
    <w:multiLevelType w:val="hybridMultilevel"/>
    <w:tmpl w:val="CD92FB9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9A77D0"/>
    <w:multiLevelType w:val="hybridMultilevel"/>
    <w:tmpl w:val="529A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F065B2"/>
    <w:multiLevelType w:val="hybridMultilevel"/>
    <w:tmpl w:val="587CD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5C0298"/>
    <w:multiLevelType w:val="hybridMultilevel"/>
    <w:tmpl w:val="6944D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D6A6E"/>
    <w:multiLevelType w:val="hybridMultilevel"/>
    <w:tmpl w:val="CED686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4A33E5"/>
    <w:multiLevelType w:val="hybridMultilevel"/>
    <w:tmpl w:val="C3C622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C67558"/>
    <w:multiLevelType w:val="hybridMultilevel"/>
    <w:tmpl w:val="FD36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E5623"/>
    <w:multiLevelType w:val="hybridMultilevel"/>
    <w:tmpl w:val="F9DAB9F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100C5"/>
    <w:multiLevelType w:val="hybridMultilevel"/>
    <w:tmpl w:val="720CB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3921DD"/>
    <w:multiLevelType w:val="hybridMultilevel"/>
    <w:tmpl w:val="8AA4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067BFE"/>
    <w:multiLevelType w:val="hybridMultilevel"/>
    <w:tmpl w:val="40E87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BF1D1D"/>
    <w:multiLevelType w:val="hybridMultilevel"/>
    <w:tmpl w:val="C8D42BE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A84A2E"/>
    <w:multiLevelType w:val="hybridMultilevel"/>
    <w:tmpl w:val="F6AEF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0377641">
    <w:abstractNumId w:val="10"/>
  </w:num>
  <w:num w:numId="2" w16cid:durableId="1789467630">
    <w:abstractNumId w:val="4"/>
  </w:num>
  <w:num w:numId="3" w16cid:durableId="555357905">
    <w:abstractNumId w:val="2"/>
  </w:num>
  <w:num w:numId="4" w16cid:durableId="498422494">
    <w:abstractNumId w:val="24"/>
  </w:num>
  <w:num w:numId="5" w16cid:durableId="1513452122">
    <w:abstractNumId w:val="9"/>
  </w:num>
  <w:num w:numId="6" w16cid:durableId="1664315041">
    <w:abstractNumId w:val="18"/>
  </w:num>
  <w:num w:numId="7" w16cid:durableId="612395791">
    <w:abstractNumId w:val="21"/>
  </w:num>
  <w:num w:numId="8" w16cid:durableId="541327559">
    <w:abstractNumId w:val="7"/>
  </w:num>
  <w:num w:numId="9" w16cid:durableId="863330029">
    <w:abstractNumId w:val="22"/>
  </w:num>
  <w:num w:numId="10" w16cid:durableId="1052579306">
    <w:abstractNumId w:val="17"/>
  </w:num>
  <w:num w:numId="11" w16cid:durableId="139346380">
    <w:abstractNumId w:val="0"/>
  </w:num>
  <w:num w:numId="12" w16cid:durableId="1587956391">
    <w:abstractNumId w:val="12"/>
  </w:num>
  <w:num w:numId="13" w16cid:durableId="244731987">
    <w:abstractNumId w:val="14"/>
  </w:num>
  <w:num w:numId="14" w16cid:durableId="270667552">
    <w:abstractNumId w:val="6"/>
  </w:num>
  <w:num w:numId="15" w16cid:durableId="1290429953">
    <w:abstractNumId w:val="1"/>
  </w:num>
  <w:num w:numId="16" w16cid:durableId="1406337493">
    <w:abstractNumId w:val="20"/>
  </w:num>
  <w:num w:numId="17" w16cid:durableId="1607149405">
    <w:abstractNumId w:val="16"/>
  </w:num>
  <w:num w:numId="18" w16cid:durableId="2020500010">
    <w:abstractNumId w:val="8"/>
  </w:num>
  <w:num w:numId="19" w16cid:durableId="649360795">
    <w:abstractNumId w:val="25"/>
  </w:num>
  <w:num w:numId="20" w16cid:durableId="1469279531">
    <w:abstractNumId w:val="13"/>
  </w:num>
  <w:num w:numId="21" w16cid:durableId="360401996">
    <w:abstractNumId w:val="15"/>
  </w:num>
  <w:num w:numId="22" w16cid:durableId="1883858021">
    <w:abstractNumId w:val="11"/>
  </w:num>
  <w:num w:numId="23" w16cid:durableId="678461083">
    <w:abstractNumId w:val="19"/>
  </w:num>
  <w:num w:numId="24" w16cid:durableId="1026635356">
    <w:abstractNumId w:val="3"/>
  </w:num>
  <w:num w:numId="25" w16cid:durableId="2146502598">
    <w:abstractNumId w:val="23"/>
  </w:num>
  <w:num w:numId="26" w16cid:durableId="34317012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orsal Geesawyne Ali (2413056)">
    <w15:presenceInfo w15:providerId="AD" w15:userId="S::2413056@student.uwtsd.ac.uk::ec9b5152-508c-40aa-91fb-d290eb7d5d0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F59"/>
    <w:rsid w:val="000031C9"/>
    <w:rsid w:val="000032F6"/>
    <w:rsid w:val="00005998"/>
    <w:rsid w:val="00025EF4"/>
    <w:rsid w:val="000278EA"/>
    <w:rsid w:val="00032962"/>
    <w:rsid w:val="000414E9"/>
    <w:rsid w:val="00045AD1"/>
    <w:rsid w:val="00046173"/>
    <w:rsid w:val="0007068F"/>
    <w:rsid w:val="000843C2"/>
    <w:rsid w:val="00091078"/>
    <w:rsid w:val="00095C42"/>
    <w:rsid w:val="000B66DD"/>
    <w:rsid w:val="000D2319"/>
    <w:rsid w:val="000E1DB5"/>
    <w:rsid w:val="000E7C7C"/>
    <w:rsid w:val="000F01E1"/>
    <w:rsid w:val="000F1B0A"/>
    <w:rsid w:val="000F45D0"/>
    <w:rsid w:val="00103641"/>
    <w:rsid w:val="001044C2"/>
    <w:rsid w:val="0011024F"/>
    <w:rsid w:val="00131DCB"/>
    <w:rsid w:val="0013592C"/>
    <w:rsid w:val="001A139E"/>
    <w:rsid w:val="001A266D"/>
    <w:rsid w:val="001A2EBA"/>
    <w:rsid w:val="001A3CB6"/>
    <w:rsid w:val="001C064A"/>
    <w:rsid w:val="001D6E9C"/>
    <w:rsid w:val="001F43B2"/>
    <w:rsid w:val="00214776"/>
    <w:rsid w:val="00217A2C"/>
    <w:rsid w:val="00227D80"/>
    <w:rsid w:val="00260F6B"/>
    <w:rsid w:val="00271A47"/>
    <w:rsid w:val="002769C8"/>
    <w:rsid w:val="00277C12"/>
    <w:rsid w:val="00277E90"/>
    <w:rsid w:val="002B54EA"/>
    <w:rsid w:val="002C4F86"/>
    <w:rsid w:val="002F71B2"/>
    <w:rsid w:val="0030036C"/>
    <w:rsid w:val="00304F0C"/>
    <w:rsid w:val="00341384"/>
    <w:rsid w:val="003474B8"/>
    <w:rsid w:val="003531B9"/>
    <w:rsid w:val="00353DEC"/>
    <w:rsid w:val="00387581"/>
    <w:rsid w:val="00390E61"/>
    <w:rsid w:val="003960B3"/>
    <w:rsid w:val="003A0DFC"/>
    <w:rsid w:val="003A74EB"/>
    <w:rsid w:val="003C1CA7"/>
    <w:rsid w:val="003C1EAA"/>
    <w:rsid w:val="003C32B0"/>
    <w:rsid w:val="003C58A2"/>
    <w:rsid w:val="003D37CE"/>
    <w:rsid w:val="003E0E4B"/>
    <w:rsid w:val="00424A65"/>
    <w:rsid w:val="004374CA"/>
    <w:rsid w:val="00452476"/>
    <w:rsid w:val="0048042B"/>
    <w:rsid w:val="00481D41"/>
    <w:rsid w:val="00486B52"/>
    <w:rsid w:val="004B4A9C"/>
    <w:rsid w:val="004C145A"/>
    <w:rsid w:val="004C6AD4"/>
    <w:rsid w:val="004E2F59"/>
    <w:rsid w:val="004E4EC8"/>
    <w:rsid w:val="004E6AD5"/>
    <w:rsid w:val="0050418F"/>
    <w:rsid w:val="005048F8"/>
    <w:rsid w:val="00506055"/>
    <w:rsid w:val="00506EDB"/>
    <w:rsid w:val="00507BC2"/>
    <w:rsid w:val="0051050E"/>
    <w:rsid w:val="0051530E"/>
    <w:rsid w:val="0052767F"/>
    <w:rsid w:val="005365EB"/>
    <w:rsid w:val="00542543"/>
    <w:rsid w:val="00564530"/>
    <w:rsid w:val="005957FF"/>
    <w:rsid w:val="005A3B86"/>
    <w:rsid w:val="005D186A"/>
    <w:rsid w:val="005E0D32"/>
    <w:rsid w:val="005F6A34"/>
    <w:rsid w:val="00610A7A"/>
    <w:rsid w:val="0061574F"/>
    <w:rsid w:val="0063662F"/>
    <w:rsid w:val="006369B0"/>
    <w:rsid w:val="00636A4F"/>
    <w:rsid w:val="00645AB2"/>
    <w:rsid w:val="00645C5C"/>
    <w:rsid w:val="006465AB"/>
    <w:rsid w:val="00651216"/>
    <w:rsid w:val="00681DB6"/>
    <w:rsid w:val="00685197"/>
    <w:rsid w:val="00687223"/>
    <w:rsid w:val="006922FA"/>
    <w:rsid w:val="006D68F6"/>
    <w:rsid w:val="006E5883"/>
    <w:rsid w:val="006E62BF"/>
    <w:rsid w:val="00701053"/>
    <w:rsid w:val="00701085"/>
    <w:rsid w:val="00710162"/>
    <w:rsid w:val="0071576A"/>
    <w:rsid w:val="00722081"/>
    <w:rsid w:val="0072588E"/>
    <w:rsid w:val="00737161"/>
    <w:rsid w:val="00737AFD"/>
    <w:rsid w:val="007650B2"/>
    <w:rsid w:val="007865A7"/>
    <w:rsid w:val="007943F7"/>
    <w:rsid w:val="007A0637"/>
    <w:rsid w:val="007C1E13"/>
    <w:rsid w:val="00807A30"/>
    <w:rsid w:val="00807D1E"/>
    <w:rsid w:val="00810556"/>
    <w:rsid w:val="00811341"/>
    <w:rsid w:val="00814663"/>
    <w:rsid w:val="00841397"/>
    <w:rsid w:val="008560D7"/>
    <w:rsid w:val="00857628"/>
    <w:rsid w:val="00870FFC"/>
    <w:rsid w:val="0088707D"/>
    <w:rsid w:val="008A0BCC"/>
    <w:rsid w:val="008B1592"/>
    <w:rsid w:val="008B5456"/>
    <w:rsid w:val="008C3A77"/>
    <w:rsid w:val="008C5766"/>
    <w:rsid w:val="008E1B88"/>
    <w:rsid w:val="008E27B7"/>
    <w:rsid w:val="008F3D36"/>
    <w:rsid w:val="00903066"/>
    <w:rsid w:val="009072EB"/>
    <w:rsid w:val="009121A1"/>
    <w:rsid w:val="00912708"/>
    <w:rsid w:val="0092096D"/>
    <w:rsid w:val="009318CB"/>
    <w:rsid w:val="00936F9B"/>
    <w:rsid w:val="009479B2"/>
    <w:rsid w:val="00960A1D"/>
    <w:rsid w:val="00964257"/>
    <w:rsid w:val="009672E5"/>
    <w:rsid w:val="00972C59"/>
    <w:rsid w:val="009751ED"/>
    <w:rsid w:val="009771A0"/>
    <w:rsid w:val="00981D77"/>
    <w:rsid w:val="00986BD1"/>
    <w:rsid w:val="009A33C7"/>
    <w:rsid w:val="009B0327"/>
    <w:rsid w:val="009D2657"/>
    <w:rsid w:val="009D4A57"/>
    <w:rsid w:val="009E4B81"/>
    <w:rsid w:val="00A0176B"/>
    <w:rsid w:val="00A228C5"/>
    <w:rsid w:val="00A37F6D"/>
    <w:rsid w:val="00A40D0A"/>
    <w:rsid w:val="00A46FA3"/>
    <w:rsid w:val="00A56629"/>
    <w:rsid w:val="00A61AD9"/>
    <w:rsid w:val="00A752A4"/>
    <w:rsid w:val="00A84CA3"/>
    <w:rsid w:val="00A95F71"/>
    <w:rsid w:val="00AB47D0"/>
    <w:rsid w:val="00AC43CD"/>
    <w:rsid w:val="00B10BB0"/>
    <w:rsid w:val="00B25771"/>
    <w:rsid w:val="00B30C01"/>
    <w:rsid w:val="00B3147A"/>
    <w:rsid w:val="00B32E34"/>
    <w:rsid w:val="00B339E9"/>
    <w:rsid w:val="00B41E73"/>
    <w:rsid w:val="00B43E24"/>
    <w:rsid w:val="00B53673"/>
    <w:rsid w:val="00B616ED"/>
    <w:rsid w:val="00B63225"/>
    <w:rsid w:val="00B6348C"/>
    <w:rsid w:val="00B76540"/>
    <w:rsid w:val="00B907A9"/>
    <w:rsid w:val="00BA1885"/>
    <w:rsid w:val="00BC08D5"/>
    <w:rsid w:val="00C2205B"/>
    <w:rsid w:val="00C252CB"/>
    <w:rsid w:val="00C31997"/>
    <w:rsid w:val="00C42B8B"/>
    <w:rsid w:val="00C4490B"/>
    <w:rsid w:val="00C527D1"/>
    <w:rsid w:val="00C74851"/>
    <w:rsid w:val="00CA0C39"/>
    <w:rsid w:val="00CB15F7"/>
    <w:rsid w:val="00CE5DDC"/>
    <w:rsid w:val="00D061C6"/>
    <w:rsid w:val="00D63835"/>
    <w:rsid w:val="00D81DCD"/>
    <w:rsid w:val="00D91828"/>
    <w:rsid w:val="00DA4F7B"/>
    <w:rsid w:val="00DC583F"/>
    <w:rsid w:val="00DD4289"/>
    <w:rsid w:val="00DE5103"/>
    <w:rsid w:val="00E0146E"/>
    <w:rsid w:val="00E0318B"/>
    <w:rsid w:val="00E059C5"/>
    <w:rsid w:val="00E100B1"/>
    <w:rsid w:val="00E100C3"/>
    <w:rsid w:val="00E17609"/>
    <w:rsid w:val="00E2268D"/>
    <w:rsid w:val="00E231AE"/>
    <w:rsid w:val="00E250BE"/>
    <w:rsid w:val="00E40858"/>
    <w:rsid w:val="00E53FD4"/>
    <w:rsid w:val="00E61D57"/>
    <w:rsid w:val="00E71744"/>
    <w:rsid w:val="00E82B61"/>
    <w:rsid w:val="00EA263B"/>
    <w:rsid w:val="00EA3427"/>
    <w:rsid w:val="00EB270B"/>
    <w:rsid w:val="00EB3502"/>
    <w:rsid w:val="00EC4B14"/>
    <w:rsid w:val="00EC4E75"/>
    <w:rsid w:val="00EC77E3"/>
    <w:rsid w:val="00EE3897"/>
    <w:rsid w:val="00EE3A01"/>
    <w:rsid w:val="00EE5D67"/>
    <w:rsid w:val="00EE7167"/>
    <w:rsid w:val="00EF3E03"/>
    <w:rsid w:val="00F20123"/>
    <w:rsid w:val="00F221A9"/>
    <w:rsid w:val="00F57206"/>
    <w:rsid w:val="00F64E8A"/>
    <w:rsid w:val="00F70BFF"/>
    <w:rsid w:val="00F85D23"/>
    <w:rsid w:val="00FC762B"/>
    <w:rsid w:val="00FE4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1AAF7"/>
  <w15:chartTrackingRefBased/>
  <w15:docId w15:val="{373BCA88-BEDD-4DDF-89A1-1E3685E4C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F59"/>
    <w:pPr>
      <w:spacing w:after="0" w:line="240" w:lineRule="auto"/>
      <w:jc w:val="center"/>
    </w:pPr>
    <w:rPr>
      <w:rFonts w:ascii="Times New Roman" w:eastAsia="SimSun" w:hAnsi="Times New Roman" w:cs="Times New Roman"/>
      <w:kern w:val="0"/>
      <w:sz w:val="20"/>
      <w:szCs w:val="20"/>
      <w:lang w:val="en-US"/>
      <w14:ligatures w14:val="none"/>
    </w:rPr>
  </w:style>
  <w:style w:type="paragraph" w:styleId="Heading1">
    <w:name w:val="heading 1"/>
    <w:basedOn w:val="Normal"/>
    <w:next w:val="Normal"/>
    <w:link w:val="Heading1Char"/>
    <w:qFormat/>
    <w:rsid w:val="004E2F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4E2F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4E2F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4E2F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2F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2F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2F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2F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2F5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F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2F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2F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2F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2F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2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2F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2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2F59"/>
    <w:rPr>
      <w:rFonts w:eastAsiaTheme="majorEastAsia" w:cstheme="majorBidi"/>
      <w:color w:val="272727" w:themeColor="text1" w:themeTint="D8"/>
    </w:rPr>
  </w:style>
  <w:style w:type="paragraph" w:styleId="Title">
    <w:name w:val="Title"/>
    <w:basedOn w:val="Normal"/>
    <w:next w:val="Normal"/>
    <w:link w:val="TitleChar"/>
    <w:uiPriority w:val="10"/>
    <w:qFormat/>
    <w:rsid w:val="004E2F5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2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2F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2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2F59"/>
    <w:pPr>
      <w:spacing w:before="160"/>
    </w:pPr>
    <w:rPr>
      <w:i/>
      <w:iCs/>
      <w:color w:val="404040" w:themeColor="text1" w:themeTint="BF"/>
    </w:rPr>
  </w:style>
  <w:style w:type="character" w:customStyle="1" w:styleId="QuoteChar">
    <w:name w:val="Quote Char"/>
    <w:basedOn w:val="DefaultParagraphFont"/>
    <w:link w:val="Quote"/>
    <w:uiPriority w:val="29"/>
    <w:rsid w:val="004E2F59"/>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4E2F59"/>
    <w:pPr>
      <w:ind w:left="720"/>
      <w:contextualSpacing/>
    </w:pPr>
  </w:style>
  <w:style w:type="character" w:styleId="IntenseEmphasis">
    <w:name w:val="Intense Emphasis"/>
    <w:basedOn w:val="DefaultParagraphFont"/>
    <w:uiPriority w:val="21"/>
    <w:qFormat/>
    <w:rsid w:val="004E2F59"/>
    <w:rPr>
      <w:i/>
      <w:iCs/>
      <w:color w:val="0F4761" w:themeColor="accent1" w:themeShade="BF"/>
    </w:rPr>
  </w:style>
  <w:style w:type="paragraph" w:styleId="IntenseQuote">
    <w:name w:val="Intense Quote"/>
    <w:basedOn w:val="Normal"/>
    <w:next w:val="Normal"/>
    <w:link w:val="IntenseQuoteChar"/>
    <w:uiPriority w:val="30"/>
    <w:qFormat/>
    <w:rsid w:val="004E2F59"/>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4E2F59"/>
    <w:rPr>
      <w:i/>
      <w:iCs/>
      <w:color w:val="0F4761" w:themeColor="accent1" w:themeShade="BF"/>
    </w:rPr>
  </w:style>
  <w:style w:type="character" w:styleId="IntenseReference">
    <w:name w:val="Intense Reference"/>
    <w:basedOn w:val="DefaultParagraphFont"/>
    <w:uiPriority w:val="32"/>
    <w:qFormat/>
    <w:rsid w:val="004E2F59"/>
    <w:rPr>
      <w:b/>
      <w:bCs/>
      <w:smallCaps/>
      <w:color w:val="0F4761" w:themeColor="accent1" w:themeShade="BF"/>
      <w:spacing w:val="5"/>
    </w:rPr>
  </w:style>
  <w:style w:type="paragraph" w:customStyle="1" w:styleId="Abstract">
    <w:name w:val="Abstract"/>
    <w:rsid w:val="004E2F59"/>
    <w:pPr>
      <w:spacing w:after="200" w:line="240" w:lineRule="auto"/>
      <w:ind w:firstLine="272"/>
      <w:jc w:val="both"/>
    </w:pPr>
    <w:rPr>
      <w:rFonts w:ascii="Times New Roman" w:eastAsia="SimSun" w:hAnsi="Times New Roman" w:cs="Times New Roman"/>
      <w:b/>
      <w:bCs/>
      <w:kern w:val="0"/>
      <w:sz w:val="18"/>
      <w:szCs w:val="18"/>
      <w:lang w:val="en-US"/>
      <w14:ligatures w14:val="none"/>
    </w:rPr>
  </w:style>
  <w:style w:type="paragraph" w:customStyle="1" w:styleId="Author">
    <w:name w:val="Author"/>
    <w:rsid w:val="004E2F59"/>
    <w:pPr>
      <w:spacing w:before="360" w:after="40" w:line="240" w:lineRule="auto"/>
      <w:jc w:val="center"/>
    </w:pPr>
    <w:rPr>
      <w:rFonts w:ascii="Times New Roman" w:eastAsia="SimSun" w:hAnsi="Times New Roman" w:cs="Times New Roman"/>
      <w:noProof/>
      <w:kern w:val="0"/>
      <w:sz w:val="22"/>
      <w:szCs w:val="22"/>
      <w:lang w:val="en-US"/>
      <w14:ligatures w14:val="none"/>
    </w:rPr>
  </w:style>
  <w:style w:type="paragraph" w:styleId="BodyText">
    <w:name w:val="Body Text"/>
    <w:basedOn w:val="Normal"/>
    <w:link w:val="BodyTextChar"/>
    <w:rsid w:val="004E2F59"/>
    <w:pPr>
      <w:tabs>
        <w:tab w:val="left" w:pos="288"/>
      </w:tabs>
      <w:spacing w:after="120" w:line="228" w:lineRule="auto"/>
      <w:ind w:firstLine="288"/>
      <w:jc w:val="both"/>
    </w:pPr>
    <w:rPr>
      <w:spacing w:val="-1"/>
      <w:lang w:val="x-none" w:eastAsia="x-none"/>
    </w:rPr>
  </w:style>
  <w:style w:type="character" w:customStyle="1" w:styleId="BodyTextChar">
    <w:name w:val="Body Text Char"/>
    <w:basedOn w:val="DefaultParagraphFont"/>
    <w:link w:val="BodyText"/>
    <w:rsid w:val="004E2F59"/>
    <w:rPr>
      <w:rFonts w:ascii="Times New Roman" w:eastAsia="SimSun" w:hAnsi="Times New Roman" w:cs="Times New Roman"/>
      <w:spacing w:val="-1"/>
      <w:kern w:val="0"/>
      <w:sz w:val="20"/>
      <w:szCs w:val="20"/>
      <w:lang w:val="x-none" w:eastAsia="x-none"/>
      <w14:ligatures w14:val="none"/>
    </w:rPr>
  </w:style>
  <w:style w:type="paragraph" w:customStyle="1" w:styleId="bulletlist">
    <w:name w:val="bullet list"/>
    <w:basedOn w:val="BodyText"/>
    <w:rsid w:val="004E2F59"/>
    <w:pPr>
      <w:numPr>
        <w:numId w:val="1"/>
      </w:numPr>
      <w:tabs>
        <w:tab w:val="clear" w:pos="648"/>
      </w:tabs>
      <w:ind w:left="576" w:hanging="288"/>
    </w:pPr>
  </w:style>
  <w:style w:type="paragraph" w:customStyle="1" w:styleId="papertitle">
    <w:name w:val="paper title"/>
    <w:rsid w:val="004E2F59"/>
    <w:pPr>
      <w:spacing w:after="120" w:line="240" w:lineRule="auto"/>
      <w:jc w:val="center"/>
    </w:pPr>
    <w:rPr>
      <w:rFonts w:ascii="Times New Roman" w:eastAsia="MS Mincho" w:hAnsi="Times New Roman" w:cs="Times New Roman"/>
      <w:noProof/>
      <w:kern w:val="0"/>
      <w:sz w:val="48"/>
      <w:szCs w:val="48"/>
      <w:lang w:val="en-US"/>
      <w14:ligatures w14:val="none"/>
    </w:rPr>
  </w:style>
  <w:style w:type="paragraph" w:styleId="Footer">
    <w:name w:val="footer"/>
    <w:basedOn w:val="Normal"/>
    <w:link w:val="FooterChar"/>
    <w:rsid w:val="004E2F59"/>
    <w:pPr>
      <w:tabs>
        <w:tab w:val="center" w:pos="4680"/>
        <w:tab w:val="right" w:pos="9360"/>
      </w:tabs>
    </w:pPr>
  </w:style>
  <w:style w:type="character" w:customStyle="1" w:styleId="FooterChar">
    <w:name w:val="Footer Char"/>
    <w:basedOn w:val="DefaultParagraphFont"/>
    <w:link w:val="Footer"/>
    <w:rsid w:val="004E2F59"/>
    <w:rPr>
      <w:rFonts w:ascii="Times New Roman" w:eastAsia="SimSun" w:hAnsi="Times New Roman" w:cs="Times New Roman"/>
      <w:kern w:val="0"/>
      <w:sz w:val="20"/>
      <w:szCs w:val="20"/>
      <w:lang w:val="en-US"/>
      <w14:ligatures w14:val="none"/>
    </w:rPr>
  </w:style>
  <w:style w:type="character" w:styleId="Hyperlink">
    <w:name w:val="Hyperlink"/>
    <w:basedOn w:val="DefaultParagraphFont"/>
    <w:rsid w:val="004E2F59"/>
    <w:rPr>
      <w:color w:val="467886" w:themeColor="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072EB"/>
    <w:rPr>
      <w:rFonts w:ascii="Times New Roman" w:eastAsia="SimSun" w:hAnsi="Times New Roman" w:cs="Times New Roman"/>
      <w:kern w:val="0"/>
      <w:sz w:val="20"/>
      <w:szCs w:val="20"/>
      <w:lang w:val="en-US"/>
      <w14:ligatures w14:val="none"/>
    </w:rPr>
  </w:style>
  <w:style w:type="table" w:styleId="TableGrid">
    <w:name w:val="Table Grid"/>
    <w:basedOn w:val="TableNormal"/>
    <w:uiPriority w:val="39"/>
    <w:rsid w:val="00F70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0318B"/>
    <w:rPr>
      <w:color w:val="605E5C"/>
      <w:shd w:val="clear" w:color="auto" w:fill="E1DFDD"/>
    </w:rPr>
  </w:style>
  <w:style w:type="character" w:styleId="CommentReference">
    <w:name w:val="annotation reference"/>
    <w:basedOn w:val="DefaultParagraphFont"/>
    <w:uiPriority w:val="99"/>
    <w:semiHidden/>
    <w:unhideWhenUsed/>
    <w:rsid w:val="00C42B8B"/>
    <w:rPr>
      <w:sz w:val="16"/>
      <w:szCs w:val="16"/>
    </w:rPr>
  </w:style>
  <w:style w:type="paragraph" w:styleId="CommentText">
    <w:name w:val="annotation text"/>
    <w:basedOn w:val="Normal"/>
    <w:link w:val="CommentTextChar"/>
    <w:uiPriority w:val="99"/>
    <w:unhideWhenUsed/>
    <w:rsid w:val="00C42B8B"/>
  </w:style>
  <w:style w:type="character" w:customStyle="1" w:styleId="CommentTextChar">
    <w:name w:val="Comment Text Char"/>
    <w:basedOn w:val="DefaultParagraphFont"/>
    <w:link w:val="CommentText"/>
    <w:uiPriority w:val="99"/>
    <w:rsid w:val="00C42B8B"/>
    <w:rPr>
      <w:rFonts w:ascii="Times New Roman" w:eastAsia="SimSun" w:hAnsi="Times New Roman" w:cs="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C42B8B"/>
    <w:rPr>
      <w:b/>
      <w:bCs/>
    </w:rPr>
  </w:style>
  <w:style w:type="character" w:customStyle="1" w:styleId="CommentSubjectChar">
    <w:name w:val="Comment Subject Char"/>
    <w:basedOn w:val="CommentTextChar"/>
    <w:link w:val="CommentSubject"/>
    <w:uiPriority w:val="99"/>
    <w:semiHidden/>
    <w:rsid w:val="00C42B8B"/>
    <w:rPr>
      <w:rFonts w:ascii="Times New Roman" w:eastAsia="SimSun" w:hAnsi="Times New Roman" w:cs="Times New Roman"/>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omments" Target="comments.xml"/><Relationship Id="rId18" Type="http://schemas.openxmlformats.org/officeDocument/2006/relationships/image" Target="media/image2.svg"/><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hyperlink" Target="https://eur-lex.europa.eu" TargetMode="External"/><Relationship Id="rId7" Type="http://schemas.openxmlformats.org/officeDocument/2006/relationships/webSettings" Target="webSettings.xml"/><Relationship Id="rId12" Type="http://schemas.openxmlformats.org/officeDocument/2006/relationships/hyperlink" Target="https://www.cisa.gov/zero-trust-maturity-model" TargetMode="External"/><Relationship Id="rId17" Type="http://schemas.openxmlformats.org/officeDocument/2006/relationships/image" Target="media/image1.png"/><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hyperlink" Target="https://www.enisa.europa.eu/topics/cloud-and-big-data"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earn.microsoft.com/en-us/security/zero-trust/" TargetMode="External"/><Relationship Id="rId24" Type="http://schemas.openxmlformats.org/officeDocument/2006/relationships/hyperlink" Target="https://www.nist.gov/cyberframework" TargetMode="External"/><Relationship Id="rId5" Type="http://schemas.openxmlformats.org/officeDocument/2006/relationships/styles" Target="styles.xml"/><Relationship Id="rId15" Type="http://schemas.microsoft.com/office/2016/09/relationships/commentsIds" Target="commentsIds.xml"/><Relationship Id="rId23" Type="http://schemas.openxmlformats.org/officeDocument/2006/relationships/hyperlink" Target="https://eur-lex.europa.eu/legal-content/EN/TXT/?uri=CELEX:32022L2555" TargetMode="External"/><Relationship Id="rId10" Type="http://schemas.openxmlformats.org/officeDocument/2006/relationships/footer" Target="footer1.xml"/><Relationship Id="rId19"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commentsExtended" Target="commentsExtended.xml"/><Relationship Id="rId22" Type="http://schemas.openxmlformats.org/officeDocument/2006/relationships/hyperlink" Target="https://eur-lex.europa.eu/legal-content/EN/TXT/?uri=CELEX:32022R255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35e46c732fc5a206a50a7d535f4f3b8">
  <xsd:schema xmlns:xsd="http://www.w3.org/2001/XMLSchema" xmlns:xs="http://www.w3.org/2001/XMLSchema" xmlns:p="http://schemas.microsoft.com/office/2006/metadata/properties" xmlns:ns3="0085e1a2-9cbf-4b92-866b-21f3c89040b6" targetNamespace="http://schemas.microsoft.com/office/2006/metadata/properties" ma:root="true" ma:fieldsID="60394a3761c58abb9beeb59e5c3b9ab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21B8B9-DE55-4C8F-9DA3-D2949F15CB87}">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984DBBFF-615A-4ECE-AB86-C4E8B66A58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7A8BD8-C889-4D2F-B88D-9BBD3ED93D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13</Pages>
  <Words>5523</Words>
  <Characters>33525</Characters>
  <Application>Microsoft Office Word</Application>
  <DocSecurity>0</DocSecurity>
  <Lines>838</Lines>
  <Paragraphs>293</Paragraphs>
  <ScaleCrop>false</ScaleCrop>
  <Company/>
  <LinksUpToDate>false</LinksUpToDate>
  <CharactersWithSpaces>38755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Morsal Geesawyne Ali (2413056)</dc:creator>
  <cp:keywords/>
  <dc:description/>
  <cp:lastModifiedBy>Morsal Geesawyne Ali (2413056)</cp:lastModifiedBy>
  <cp:revision>224</cp:revision>
  <dcterms:created xsi:type="dcterms:W3CDTF">2026-02-19T12:02:00Z</dcterms:created>
  <dcterms:modified xsi:type="dcterms:W3CDTF">2026-03-05T12:10:00Z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