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22598585"/>
        <w:docPartObj>
          <w:docPartGallery w:val="Cover Pages"/>
          <w:docPartUnique/>
        </w:docPartObj>
      </w:sdtPr>
      <w:sdtContent>
        <w:p w14:paraId="0BD07FD6" w14:textId="77777777" w:rsidR="00A3080A" w:rsidRDefault="00A3080A"/>
        <w:p w14:paraId="58C4E080" w14:textId="77777777" w:rsidR="00A3080A" w:rsidRDefault="00A3080A"/>
        <w:p w14:paraId="13E56B57" w14:textId="77777777" w:rsidR="00A3080A" w:rsidRDefault="00A3080A"/>
        <w:p w14:paraId="1379E5CF" w14:textId="52565917" w:rsidR="00A3080A" w:rsidRPr="001A5223" w:rsidRDefault="00A3080A" w:rsidP="001A5223">
          <w:pPr>
            <w:pStyle w:val="Title"/>
            <w:rPr>
              <w:b/>
              <w:sz w:val="40"/>
              <w:szCs w:val="40"/>
              <w:u w:val="single"/>
            </w:rPr>
          </w:pPr>
          <w:r w:rsidRPr="001A5223">
            <w:rPr>
              <w:b/>
              <w:sz w:val="40"/>
              <w:szCs w:val="40"/>
              <w:u w:val="single"/>
            </w:rPr>
            <w:t>Person-</w:t>
          </w:r>
          <w:proofErr w:type="spellStart"/>
          <w:r w:rsidRPr="001A5223">
            <w:rPr>
              <w:b/>
              <w:sz w:val="40"/>
              <w:szCs w:val="40"/>
              <w:u w:val="single"/>
            </w:rPr>
            <w:t>Centred</w:t>
          </w:r>
          <w:proofErr w:type="spellEnd"/>
          <w:r w:rsidRPr="001A5223">
            <w:rPr>
              <w:b/>
              <w:sz w:val="40"/>
              <w:szCs w:val="40"/>
              <w:u w:val="single"/>
            </w:rPr>
            <w:t xml:space="preserve"> Care and Partnership Working in Dementia Care</w:t>
          </w:r>
        </w:p>
        <w:p w14:paraId="4671EEEB" w14:textId="77777777" w:rsidR="00A3080A" w:rsidRPr="00A3080A" w:rsidRDefault="00A3080A" w:rsidP="00A3080A"/>
        <w:p w14:paraId="65E5137C" w14:textId="5BB8784F" w:rsidR="00DE7138" w:rsidRDefault="00DE7138" w:rsidP="00735ABD">
          <w:pPr>
            <w:jc w:val="center"/>
            <w:rPr>
              <w:b/>
              <w:i/>
              <w:sz w:val="32"/>
            </w:rPr>
          </w:pPr>
        </w:p>
        <w:p w14:paraId="0E991C64" w14:textId="77777777" w:rsidR="000355E4" w:rsidRDefault="000355E4" w:rsidP="00DE7138">
          <w:pPr>
            <w:tabs>
              <w:tab w:val="center" w:pos="4680"/>
            </w:tabs>
            <w:rPr>
              <w:rStyle w:val="Strong"/>
              <w:sz w:val="24"/>
              <w:szCs w:val="24"/>
            </w:rPr>
          </w:pPr>
        </w:p>
        <w:p w14:paraId="6EE8E43F" w14:textId="5056020A" w:rsidR="00A24B24" w:rsidRPr="000355E4" w:rsidRDefault="00DE7138" w:rsidP="00DE7138">
          <w:pPr>
            <w:tabs>
              <w:tab w:val="center" w:pos="4680"/>
            </w:tabs>
            <w:rPr>
              <w:rStyle w:val="Strong"/>
              <w:sz w:val="24"/>
              <w:szCs w:val="24"/>
              <w:lang w:val="nl-NL"/>
            </w:rPr>
          </w:pPr>
          <w:r w:rsidRPr="000355E4">
            <w:rPr>
              <w:rStyle w:val="Strong"/>
              <w:sz w:val="24"/>
              <w:szCs w:val="24"/>
              <w:lang w:val="nl-NL"/>
            </w:rPr>
            <w:t>STUDENT NAME:ANILA MANSOO</w:t>
          </w:r>
          <w:r w:rsidR="00A24B24" w:rsidRPr="000355E4">
            <w:rPr>
              <w:rStyle w:val="Strong"/>
              <w:sz w:val="24"/>
              <w:szCs w:val="24"/>
              <w:lang w:val="nl-NL"/>
            </w:rPr>
            <w:t>R</w:t>
          </w:r>
        </w:p>
        <w:p w14:paraId="6829D1D6" w14:textId="77777777" w:rsidR="000355E4" w:rsidRPr="000355E4" w:rsidRDefault="00A24B24" w:rsidP="000355E4">
          <w:pPr>
            <w:tabs>
              <w:tab w:val="center" w:pos="4680"/>
            </w:tabs>
            <w:rPr>
              <w:rStyle w:val="Strong"/>
              <w:sz w:val="24"/>
              <w:szCs w:val="24"/>
              <w:lang w:val="nl-NL"/>
            </w:rPr>
          </w:pPr>
          <w:r w:rsidRPr="000355E4">
            <w:rPr>
              <w:rStyle w:val="Strong"/>
              <w:sz w:val="24"/>
              <w:szCs w:val="24"/>
              <w:lang w:val="nl-NL"/>
            </w:rPr>
            <w:t>STUDENT ID:</w:t>
          </w:r>
          <w:r w:rsidR="005C2199" w:rsidRPr="000355E4">
            <w:rPr>
              <w:rStyle w:val="Strong"/>
              <w:sz w:val="24"/>
              <w:szCs w:val="24"/>
              <w:lang w:val="nl-NL"/>
            </w:rPr>
            <w:t>2433628</w:t>
          </w:r>
          <w:r w:rsidR="00DE7138" w:rsidRPr="000355E4">
            <w:rPr>
              <w:rStyle w:val="Strong"/>
              <w:sz w:val="24"/>
              <w:szCs w:val="24"/>
              <w:lang w:val="nl-NL"/>
            </w:rPr>
            <w:tab/>
          </w:r>
          <w:r w:rsidR="00A3080A" w:rsidRPr="000355E4">
            <w:rPr>
              <w:rStyle w:val="Strong"/>
              <w:sz w:val="24"/>
              <w:szCs w:val="24"/>
              <w:lang w:val="nl-NL"/>
            </w:rPr>
            <w:t xml:space="preserve"> </w:t>
          </w:r>
        </w:p>
        <w:p w14:paraId="0C7393C5" w14:textId="3A870078" w:rsidR="00A3080A" w:rsidRPr="000355E4" w:rsidRDefault="00A3080A" w:rsidP="000355E4">
          <w:pPr>
            <w:tabs>
              <w:tab w:val="center" w:pos="4680"/>
            </w:tabs>
            <w:rPr>
              <w:b/>
              <w:i/>
              <w:sz w:val="24"/>
              <w:szCs w:val="24"/>
            </w:rPr>
          </w:pPr>
          <w:r w:rsidRPr="009E5E56">
            <w:rPr>
              <w:rStyle w:val="Strong"/>
              <w:sz w:val="24"/>
              <w:szCs w:val="24"/>
            </w:rPr>
            <w:t>Module Code:</w:t>
          </w:r>
          <w:r w:rsidRPr="009E5E56">
            <w:rPr>
              <w:sz w:val="24"/>
              <w:szCs w:val="24"/>
            </w:rPr>
            <w:t xml:space="preserve"> </w:t>
          </w:r>
          <w:r w:rsidR="00E165C1" w:rsidRPr="009E5E56">
            <w:rPr>
              <w:sz w:val="24"/>
              <w:szCs w:val="24"/>
            </w:rPr>
            <w:t>BMHP5016</w:t>
          </w:r>
        </w:p>
        <w:p w14:paraId="48F8A19E" w14:textId="6FEEC541" w:rsidR="00A3080A" w:rsidRPr="009E5E56" w:rsidRDefault="00C37EFF" w:rsidP="00A3080A">
          <w:pPr>
            <w:pStyle w:val="isselectedend"/>
            <w:rPr>
              <w:lang w:val="en-GB"/>
            </w:rPr>
          </w:pPr>
          <w:r w:rsidRPr="009E5E56">
            <w:rPr>
              <w:rStyle w:val="Strong"/>
              <w:lang w:val="en-GB"/>
            </w:rPr>
            <w:t>ASSIGNEMEN</w:t>
          </w:r>
          <w:r w:rsidR="004D5E7C" w:rsidRPr="009E5E56">
            <w:rPr>
              <w:rStyle w:val="Strong"/>
              <w:lang w:val="en-GB"/>
            </w:rPr>
            <w:t xml:space="preserve"> Title</w:t>
          </w:r>
          <w:r w:rsidR="00A3080A" w:rsidRPr="009E5E56">
            <w:rPr>
              <w:rStyle w:val="Strong"/>
              <w:lang w:val="en-GB"/>
            </w:rPr>
            <w:t>:</w:t>
          </w:r>
          <w:r w:rsidR="00A3080A" w:rsidRPr="009E5E56">
            <w:rPr>
              <w:lang w:val="en-GB"/>
            </w:rPr>
            <w:t xml:space="preserve"> </w:t>
          </w:r>
          <w:r w:rsidR="00406F73" w:rsidRPr="009E5E56">
            <w:rPr>
              <w:lang w:val="en-GB"/>
            </w:rPr>
            <w:t>CRITICA</w:t>
          </w:r>
          <w:r w:rsidR="000023D6" w:rsidRPr="009E5E56">
            <w:rPr>
              <w:lang w:val="en-GB"/>
            </w:rPr>
            <w:t xml:space="preserve">L EVALUATION OF PERSON CENTRED CARE AND </w:t>
          </w:r>
          <w:r w:rsidR="009E29FE" w:rsidRPr="009E5E56">
            <w:rPr>
              <w:lang w:val="en-GB"/>
            </w:rPr>
            <w:t xml:space="preserve">PARTNERSHIP WORKING </w:t>
          </w:r>
        </w:p>
        <w:p w14:paraId="5A2E0437" w14:textId="3E10CEB3" w:rsidR="00A3080A" w:rsidRPr="009E5E56" w:rsidRDefault="00C37EFF" w:rsidP="00E165C1">
          <w:pPr>
            <w:pStyle w:val="isselectedend"/>
            <w:rPr>
              <w:lang w:val="en-GB"/>
            </w:rPr>
          </w:pPr>
          <w:r w:rsidRPr="009E5E56">
            <w:rPr>
              <w:rStyle w:val="Strong"/>
              <w:lang w:val="en-GB"/>
            </w:rPr>
            <w:t>LECTURER:RIZWAN NADIM</w:t>
          </w:r>
        </w:p>
        <w:p w14:paraId="32648813" w14:textId="77777777" w:rsidR="00A3080A" w:rsidRPr="000023D6" w:rsidRDefault="00A3080A" w:rsidP="00A3080A">
          <w:pPr>
            <w:jc w:val="center"/>
            <w:rPr>
              <w:b/>
              <w:i/>
              <w:sz w:val="32"/>
              <w:lang w:val="en-GB"/>
            </w:rPr>
          </w:pPr>
        </w:p>
        <w:p w14:paraId="55C50F6D" w14:textId="77777777" w:rsidR="00A3080A" w:rsidRDefault="00A3080A">
          <w:pPr>
            <w:rPr>
              <w:rFonts w:asciiTheme="majorHAnsi" w:eastAsiaTheme="majorEastAsia" w:hAnsiTheme="majorHAnsi" w:cstheme="majorBidi"/>
              <w:color w:val="2E74B5" w:themeColor="accent1" w:themeShade="BF"/>
              <w:sz w:val="32"/>
              <w:szCs w:val="32"/>
            </w:rPr>
          </w:pPr>
          <w:r w:rsidRPr="000023D6">
            <w:rPr>
              <w:lang w:val="en-GB"/>
            </w:rPr>
            <w:br w:type="page"/>
          </w:r>
        </w:p>
      </w:sdtContent>
    </w:sdt>
    <w:sdt>
      <w:sdtPr>
        <w:rPr>
          <w:rFonts w:asciiTheme="minorHAnsi" w:eastAsiaTheme="minorHAnsi" w:hAnsiTheme="minorHAnsi" w:cstheme="minorBidi"/>
          <w:color w:val="auto"/>
          <w:sz w:val="22"/>
          <w:szCs w:val="22"/>
        </w:rPr>
        <w:id w:val="1528765309"/>
        <w:docPartObj>
          <w:docPartGallery w:val="Table of Contents"/>
          <w:docPartUnique/>
        </w:docPartObj>
      </w:sdtPr>
      <w:sdtEndPr>
        <w:rPr>
          <w:b/>
          <w:bCs/>
          <w:noProof/>
        </w:rPr>
      </w:sdtEndPr>
      <w:sdtContent>
        <w:p w14:paraId="03EDB03A" w14:textId="77777777" w:rsidR="00A3080A" w:rsidRPr="00A3080A" w:rsidRDefault="00A3080A">
          <w:pPr>
            <w:pStyle w:val="TOCHeading"/>
            <w:rPr>
              <w:b/>
              <w:color w:val="auto"/>
              <w:sz w:val="36"/>
            </w:rPr>
          </w:pPr>
          <w:r w:rsidRPr="00A3080A">
            <w:rPr>
              <w:b/>
              <w:color w:val="auto"/>
              <w:sz w:val="36"/>
            </w:rPr>
            <w:t>Table of Contents</w:t>
          </w:r>
        </w:p>
        <w:p w14:paraId="508E5C90" w14:textId="77777777" w:rsidR="00A3080A" w:rsidRPr="00A3080A" w:rsidRDefault="00A3080A">
          <w:pPr>
            <w:pStyle w:val="TOC1"/>
            <w:tabs>
              <w:tab w:val="right" w:leader="dot" w:pos="9350"/>
            </w:tabs>
            <w:rPr>
              <w:rFonts w:ascii="Arial" w:hAnsi="Arial" w:cs="Arial"/>
              <w:noProof/>
            </w:rPr>
          </w:pPr>
          <w:r w:rsidRPr="00A3080A">
            <w:rPr>
              <w:rFonts w:ascii="Arial" w:hAnsi="Arial" w:cs="Arial"/>
            </w:rPr>
            <w:fldChar w:fldCharType="begin"/>
          </w:r>
          <w:r w:rsidRPr="00A3080A">
            <w:rPr>
              <w:rFonts w:ascii="Arial" w:hAnsi="Arial" w:cs="Arial"/>
            </w:rPr>
            <w:instrText xml:space="preserve"> TOC \o "1-3" \h \z \u </w:instrText>
          </w:r>
          <w:r w:rsidRPr="00A3080A">
            <w:rPr>
              <w:rFonts w:ascii="Arial" w:hAnsi="Arial" w:cs="Arial"/>
            </w:rPr>
            <w:fldChar w:fldCharType="separate"/>
          </w:r>
          <w:hyperlink w:anchor="_Toc233042670" w:history="1">
            <w:r w:rsidRPr="00A3080A">
              <w:rPr>
                <w:rStyle w:val="Hyperlink"/>
                <w:rFonts w:ascii="Arial" w:hAnsi="Arial" w:cs="Arial"/>
                <w:b/>
                <w:noProof/>
              </w:rPr>
              <w:t>1. Introduction</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_Toc233042670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1</w:t>
            </w:r>
            <w:r w:rsidRPr="00A3080A">
              <w:rPr>
                <w:rFonts w:ascii="Arial" w:hAnsi="Arial" w:cs="Arial"/>
                <w:noProof/>
                <w:webHidden/>
              </w:rPr>
              <w:fldChar w:fldCharType="end"/>
            </w:r>
          </w:hyperlink>
        </w:p>
        <w:p w14:paraId="0081E2B3" w14:textId="77777777" w:rsidR="00A3080A" w:rsidRPr="00A3080A" w:rsidRDefault="00A3080A">
          <w:pPr>
            <w:pStyle w:val="TOC1"/>
            <w:tabs>
              <w:tab w:val="right" w:leader="dot" w:pos="9350"/>
            </w:tabs>
            <w:rPr>
              <w:rFonts w:ascii="Arial" w:hAnsi="Arial" w:cs="Arial"/>
              <w:noProof/>
            </w:rPr>
          </w:pPr>
          <w:hyperlink w:anchor="_Toc233042671" w:history="1">
            <w:r w:rsidRPr="00A3080A">
              <w:rPr>
                <w:rStyle w:val="Hyperlink"/>
                <w:rFonts w:ascii="Arial" w:hAnsi="Arial" w:cs="Arial"/>
                <w:b/>
                <w:noProof/>
              </w:rPr>
              <w:t>2. Person-Centred Care: Conceptual Foundations, Benefits and Limitations</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_Toc233042671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1</w:t>
            </w:r>
            <w:r w:rsidRPr="00A3080A">
              <w:rPr>
                <w:rFonts w:ascii="Arial" w:hAnsi="Arial" w:cs="Arial"/>
                <w:noProof/>
                <w:webHidden/>
              </w:rPr>
              <w:fldChar w:fldCharType="end"/>
            </w:r>
          </w:hyperlink>
        </w:p>
        <w:p w14:paraId="11E28D1A" w14:textId="77777777" w:rsidR="00A3080A" w:rsidRPr="00A3080A" w:rsidRDefault="00A3080A">
          <w:pPr>
            <w:pStyle w:val="TOC2"/>
            <w:tabs>
              <w:tab w:val="right" w:leader="dot" w:pos="9350"/>
            </w:tabs>
            <w:rPr>
              <w:rFonts w:ascii="Arial" w:hAnsi="Arial" w:cs="Arial"/>
              <w:noProof/>
            </w:rPr>
          </w:pPr>
          <w:hyperlink w:anchor="_Toc233042672" w:history="1">
            <w:r w:rsidRPr="00A3080A">
              <w:rPr>
                <w:rStyle w:val="Hyperlink"/>
                <w:rFonts w:ascii="Arial" w:hAnsi="Arial" w:cs="Arial"/>
                <w:noProof/>
              </w:rPr>
              <w:t>2.1 Definition and Key Principles</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_Toc233042672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1</w:t>
            </w:r>
            <w:r w:rsidRPr="00A3080A">
              <w:rPr>
                <w:rFonts w:ascii="Arial" w:hAnsi="Arial" w:cs="Arial"/>
                <w:noProof/>
                <w:webHidden/>
              </w:rPr>
              <w:fldChar w:fldCharType="end"/>
            </w:r>
          </w:hyperlink>
        </w:p>
        <w:p w14:paraId="3B4BC808" w14:textId="77777777" w:rsidR="00A3080A" w:rsidRPr="00A3080A" w:rsidRDefault="00A3080A">
          <w:pPr>
            <w:pStyle w:val="TOC2"/>
            <w:tabs>
              <w:tab w:val="right" w:leader="dot" w:pos="9350"/>
            </w:tabs>
            <w:rPr>
              <w:rFonts w:ascii="Arial" w:hAnsi="Arial" w:cs="Arial"/>
              <w:noProof/>
            </w:rPr>
          </w:pPr>
          <w:hyperlink w:anchor="_Toc233042673" w:history="1">
            <w:r w:rsidRPr="00A3080A">
              <w:rPr>
                <w:rStyle w:val="Hyperlink"/>
                <w:rFonts w:ascii="Arial" w:hAnsi="Arial" w:cs="Arial"/>
                <w:noProof/>
              </w:rPr>
              <w:t>2.2 Benefits of Person-Centred Care</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_Toc233042673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2</w:t>
            </w:r>
            <w:r w:rsidRPr="00A3080A">
              <w:rPr>
                <w:rFonts w:ascii="Arial" w:hAnsi="Arial" w:cs="Arial"/>
                <w:noProof/>
                <w:webHidden/>
              </w:rPr>
              <w:fldChar w:fldCharType="end"/>
            </w:r>
          </w:hyperlink>
        </w:p>
        <w:p w14:paraId="6545B8FA" w14:textId="77777777" w:rsidR="00A3080A" w:rsidRPr="00A3080A" w:rsidRDefault="00A3080A">
          <w:pPr>
            <w:pStyle w:val="TOC2"/>
            <w:tabs>
              <w:tab w:val="right" w:leader="dot" w:pos="9350"/>
            </w:tabs>
            <w:rPr>
              <w:rFonts w:ascii="Arial" w:hAnsi="Arial" w:cs="Arial"/>
              <w:noProof/>
            </w:rPr>
          </w:pPr>
          <w:hyperlink w:anchor="_Toc233042674" w:history="1">
            <w:r w:rsidRPr="00A3080A">
              <w:rPr>
                <w:rStyle w:val="Hyperlink"/>
                <w:rFonts w:ascii="Arial" w:hAnsi="Arial" w:cs="Arial"/>
                <w:noProof/>
              </w:rPr>
              <w:t>2.3 Critical Limitations</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_Toc233042674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2</w:t>
            </w:r>
            <w:r w:rsidRPr="00A3080A">
              <w:rPr>
                <w:rFonts w:ascii="Arial" w:hAnsi="Arial" w:cs="Arial"/>
                <w:noProof/>
                <w:webHidden/>
              </w:rPr>
              <w:fldChar w:fldCharType="end"/>
            </w:r>
          </w:hyperlink>
        </w:p>
        <w:p w14:paraId="3ED63DB7" w14:textId="77777777" w:rsidR="00A3080A" w:rsidRPr="00A3080A" w:rsidRDefault="00A3080A">
          <w:pPr>
            <w:pStyle w:val="TOC1"/>
            <w:tabs>
              <w:tab w:val="right" w:leader="dot" w:pos="9350"/>
            </w:tabs>
            <w:rPr>
              <w:rFonts w:ascii="Arial" w:hAnsi="Arial" w:cs="Arial"/>
              <w:noProof/>
            </w:rPr>
          </w:pPr>
          <w:hyperlink w:anchor="_Toc233042675" w:history="1">
            <w:r w:rsidRPr="00A3080A">
              <w:rPr>
                <w:rStyle w:val="Hyperlink"/>
                <w:rFonts w:ascii="Arial" w:hAnsi="Arial" w:cs="Arial"/>
                <w:b/>
                <w:noProof/>
              </w:rPr>
              <w:t>3. Critical Examination of a Theory Underpinning Person-Centred Care</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_Toc233042675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3</w:t>
            </w:r>
            <w:r w:rsidRPr="00A3080A">
              <w:rPr>
                <w:rFonts w:ascii="Arial" w:hAnsi="Arial" w:cs="Arial"/>
                <w:noProof/>
                <w:webHidden/>
              </w:rPr>
              <w:fldChar w:fldCharType="end"/>
            </w:r>
          </w:hyperlink>
        </w:p>
        <w:p w14:paraId="3C0A68BA" w14:textId="77777777" w:rsidR="00A3080A" w:rsidRPr="00A3080A" w:rsidRDefault="00A3080A">
          <w:pPr>
            <w:pStyle w:val="TOC2"/>
            <w:tabs>
              <w:tab w:val="right" w:leader="dot" w:pos="9350"/>
            </w:tabs>
            <w:rPr>
              <w:rFonts w:ascii="Arial" w:hAnsi="Arial" w:cs="Arial"/>
              <w:noProof/>
            </w:rPr>
          </w:pPr>
          <w:hyperlink w:anchor="_Toc233042676" w:history="1">
            <w:r w:rsidRPr="00A3080A">
              <w:rPr>
                <w:rStyle w:val="Hyperlink"/>
                <w:rFonts w:ascii="Arial" w:hAnsi="Arial" w:cs="Arial"/>
                <w:noProof/>
              </w:rPr>
              <w:t>3.1 Explanation of Kitwood’s Theory</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_Toc233042676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3</w:t>
            </w:r>
            <w:r w:rsidRPr="00A3080A">
              <w:rPr>
                <w:rFonts w:ascii="Arial" w:hAnsi="Arial" w:cs="Arial"/>
                <w:noProof/>
                <w:webHidden/>
              </w:rPr>
              <w:fldChar w:fldCharType="end"/>
            </w:r>
          </w:hyperlink>
        </w:p>
        <w:p w14:paraId="766079D7" w14:textId="77777777" w:rsidR="00A3080A" w:rsidRPr="00A3080A" w:rsidRDefault="00A3080A">
          <w:pPr>
            <w:pStyle w:val="TOC2"/>
            <w:tabs>
              <w:tab w:val="right" w:leader="dot" w:pos="9350"/>
            </w:tabs>
            <w:rPr>
              <w:rFonts w:ascii="Arial" w:hAnsi="Arial" w:cs="Arial"/>
              <w:noProof/>
            </w:rPr>
          </w:pPr>
          <w:hyperlink w:anchor="_Toc233042677" w:history="1">
            <w:r w:rsidRPr="00A3080A">
              <w:rPr>
                <w:rStyle w:val="Hyperlink"/>
                <w:rFonts w:ascii="Arial" w:hAnsi="Arial" w:cs="Arial"/>
                <w:noProof/>
              </w:rPr>
              <w:t>3.2 Strengths of the Theory</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_Toc233042677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3</w:t>
            </w:r>
            <w:r w:rsidRPr="00A3080A">
              <w:rPr>
                <w:rFonts w:ascii="Arial" w:hAnsi="Arial" w:cs="Arial"/>
                <w:noProof/>
                <w:webHidden/>
              </w:rPr>
              <w:fldChar w:fldCharType="end"/>
            </w:r>
          </w:hyperlink>
        </w:p>
        <w:p w14:paraId="6E2F17E0" w14:textId="77777777" w:rsidR="00A3080A" w:rsidRPr="00A3080A" w:rsidRDefault="00A3080A">
          <w:pPr>
            <w:pStyle w:val="TOC2"/>
            <w:tabs>
              <w:tab w:val="right" w:leader="dot" w:pos="9350"/>
            </w:tabs>
            <w:rPr>
              <w:rFonts w:ascii="Arial" w:hAnsi="Arial" w:cs="Arial"/>
              <w:noProof/>
            </w:rPr>
          </w:pPr>
          <w:hyperlink w:anchor="_Toc233042678" w:history="1">
            <w:r w:rsidRPr="00A3080A">
              <w:rPr>
                <w:rStyle w:val="Hyperlink"/>
                <w:rFonts w:ascii="Arial" w:hAnsi="Arial" w:cs="Arial"/>
                <w:noProof/>
              </w:rPr>
              <w:t>3.3 Limitations and Critical Evaluation</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_Toc233042678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3</w:t>
            </w:r>
            <w:r w:rsidRPr="00A3080A">
              <w:rPr>
                <w:rFonts w:ascii="Arial" w:hAnsi="Arial" w:cs="Arial"/>
                <w:noProof/>
                <w:webHidden/>
              </w:rPr>
              <w:fldChar w:fldCharType="end"/>
            </w:r>
          </w:hyperlink>
        </w:p>
        <w:p w14:paraId="1FB3E66F" w14:textId="77777777" w:rsidR="00A3080A" w:rsidRPr="00A3080A" w:rsidRDefault="00A3080A">
          <w:pPr>
            <w:pStyle w:val="TOC1"/>
            <w:tabs>
              <w:tab w:val="right" w:leader="dot" w:pos="9350"/>
            </w:tabs>
            <w:rPr>
              <w:rFonts w:ascii="Arial" w:hAnsi="Arial" w:cs="Arial"/>
              <w:noProof/>
            </w:rPr>
          </w:pPr>
          <w:hyperlink w:anchor="_Toc233042679" w:history="1">
            <w:r w:rsidRPr="00A3080A">
              <w:rPr>
                <w:rStyle w:val="Hyperlink"/>
                <w:rFonts w:ascii="Arial" w:hAnsi="Arial" w:cs="Arial"/>
                <w:b/>
                <w:noProof/>
              </w:rPr>
              <w:t>4. Ethical Foundations of PCC and Partnership Working</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_Toc233042679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4</w:t>
            </w:r>
            <w:r w:rsidRPr="00A3080A">
              <w:rPr>
                <w:rFonts w:ascii="Arial" w:hAnsi="Arial" w:cs="Arial"/>
                <w:noProof/>
                <w:webHidden/>
              </w:rPr>
              <w:fldChar w:fldCharType="end"/>
            </w:r>
          </w:hyperlink>
        </w:p>
        <w:p w14:paraId="539C061E" w14:textId="77777777" w:rsidR="00A3080A" w:rsidRPr="00A3080A" w:rsidRDefault="00A3080A">
          <w:pPr>
            <w:pStyle w:val="TOC2"/>
            <w:tabs>
              <w:tab w:val="right" w:leader="dot" w:pos="9350"/>
            </w:tabs>
            <w:rPr>
              <w:rFonts w:ascii="Arial" w:hAnsi="Arial" w:cs="Arial"/>
              <w:noProof/>
            </w:rPr>
          </w:pPr>
          <w:hyperlink w:anchor="_Toc233042680" w:history="1">
            <w:r w:rsidRPr="00A3080A">
              <w:rPr>
                <w:rStyle w:val="Hyperlink"/>
                <w:rFonts w:ascii="Arial" w:hAnsi="Arial" w:cs="Arial"/>
                <w:noProof/>
              </w:rPr>
              <w:t>4.1 Autonomy, Protection and Best Interests</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_Toc233042680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4</w:t>
            </w:r>
            <w:r w:rsidRPr="00A3080A">
              <w:rPr>
                <w:rFonts w:ascii="Arial" w:hAnsi="Arial" w:cs="Arial"/>
                <w:noProof/>
                <w:webHidden/>
              </w:rPr>
              <w:fldChar w:fldCharType="end"/>
            </w:r>
          </w:hyperlink>
        </w:p>
        <w:p w14:paraId="23A385EA" w14:textId="77777777" w:rsidR="00A3080A" w:rsidRPr="00A3080A" w:rsidRDefault="00A3080A">
          <w:pPr>
            <w:pStyle w:val="TOC2"/>
            <w:tabs>
              <w:tab w:val="right" w:leader="dot" w:pos="9350"/>
            </w:tabs>
            <w:rPr>
              <w:rFonts w:ascii="Arial" w:hAnsi="Arial" w:cs="Arial"/>
              <w:noProof/>
            </w:rPr>
          </w:pPr>
          <w:hyperlink w:anchor="_Toc233042681" w:history="1">
            <w:r w:rsidRPr="00A3080A">
              <w:rPr>
                <w:rStyle w:val="Hyperlink"/>
                <w:rFonts w:ascii="Arial" w:hAnsi="Arial" w:cs="Arial"/>
                <w:noProof/>
              </w:rPr>
              <w:t>4.2 Justice, Equality and Information Sharing</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_Toc233042681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4</w:t>
            </w:r>
            <w:r w:rsidRPr="00A3080A">
              <w:rPr>
                <w:rFonts w:ascii="Arial" w:hAnsi="Arial" w:cs="Arial"/>
                <w:noProof/>
                <w:webHidden/>
              </w:rPr>
              <w:fldChar w:fldCharType="end"/>
            </w:r>
          </w:hyperlink>
        </w:p>
        <w:p w14:paraId="535533C1" w14:textId="77777777" w:rsidR="00A3080A" w:rsidRPr="00A3080A" w:rsidRDefault="00A3080A">
          <w:pPr>
            <w:pStyle w:val="TOC1"/>
            <w:tabs>
              <w:tab w:val="right" w:leader="dot" w:pos="9350"/>
            </w:tabs>
            <w:rPr>
              <w:rFonts w:ascii="Arial" w:hAnsi="Arial" w:cs="Arial"/>
              <w:noProof/>
            </w:rPr>
          </w:pPr>
          <w:hyperlink w:anchor="_Toc233042682" w:history="1">
            <w:r w:rsidRPr="00A3080A">
              <w:rPr>
                <w:rStyle w:val="Hyperlink"/>
                <w:rFonts w:ascii="Arial" w:hAnsi="Arial" w:cs="Arial"/>
                <w:b/>
                <w:noProof/>
              </w:rPr>
              <w:t>5. Critical Evaluation of Partnership Working</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_Toc233042682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4</w:t>
            </w:r>
            <w:r w:rsidRPr="00A3080A">
              <w:rPr>
                <w:rFonts w:ascii="Arial" w:hAnsi="Arial" w:cs="Arial"/>
                <w:noProof/>
                <w:webHidden/>
              </w:rPr>
              <w:fldChar w:fldCharType="end"/>
            </w:r>
          </w:hyperlink>
        </w:p>
        <w:p w14:paraId="06AF537A" w14:textId="77777777" w:rsidR="00A3080A" w:rsidRPr="00A3080A" w:rsidRDefault="00A3080A">
          <w:pPr>
            <w:pStyle w:val="TOC2"/>
            <w:tabs>
              <w:tab w:val="right" w:leader="dot" w:pos="9350"/>
            </w:tabs>
            <w:rPr>
              <w:rFonts w:ascii="Arial" w:hAnsi="Arial" w:cs="Arial"/>
              <w:noProof/>
            </w:rPr>
          </w:pPr>
          <w:hyperlink w:anchor="_Toc233042683" w:history="1">
            <w:r w:rsidRPr="00A3080A">
              <w:rPr>
                <w:rStyle w:val="Hyperlink"/>
                <w:rFonts w:ascii="Arial" w:hAnsi="Arial" w:cs="Arial"/>
                <w:noProof/>
              </w:rPr>
              <w:t>5.1 Definition and Theoretical Basis</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_Toc233042683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4</w:t>
            </w:r>
            <w:r w:rsidRPr="00A3080A">
              <w:rPr>
                <w:rFonts w:ascii="Arial" w:hAnsi="Arial" w:cs="Arial"/>
                <w:noProof/>
                <w:webHidden/>
              </w:rPr>
              <w:fldChar w:fldCharType="end"/>
            </w:r>
          </w:hyperlink>
        </w:p>
        <w:p w14:paraId="0F221310" w14:textId="77777777" w:rsidR="00A3080A" w:rsidRPr="00A3080A" w:rsidRDefault="00A3080A">
          <w:pPr>
            <w:pStyle w:val="TOC2"/>
            <w:tabs>
              <w:tab w:val="right" w:leader="dot" w:pos="9350"/>
            </w:tabs>
            <w:rPr>
              <w:rFonts w:ascii="Arial" w:hAnsi="Arial" w:cs="Arial"/>
              <w:noProof/>
            </w:rPr>
          </w:pPr>
          <w:hyperlink w:anchor="_Toc233042684" w:history="1">
            <w:r w:rsidRPr="00A3080A">
              <w:rPr>
                <w:rStyle w:val="Hyperlink"/>
                <w:rFonts w:ascii="Arial" w:hAnsi="Arial" w:cs="Arial"/>
                <w:noProof/>
              </w:rPr>
              <w:t>5.2 Benefits of Partnership Working</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_Toc233042684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5</w:t>
            </w:r>
            <w:r w:rsidRPr="00A3080A">
              <w:rPr>
                <w:rFonts w:ascii="Arial" w:hAnsi="Arial" w:cs="Arial"/>
                <w:noProof/>
                <w:webHidden/>
              </w:rPr>
              <w:fldChar w:fldCharType="end"/>
            </w:r>
          </w:hyperlink>
        </w:p>
        <w:p w14:paraId="294218F1" w14:textId="77777777" w:rsidR="00A3080A" w:rsidRPr="00A3080A" w:rsidRDefault="00A3080A">
          <w:pPr>
            <w:pStyle w:val="TOC2"/>
            <w:tabs>
              <w:tab w:val="right" w:leader="dot" w:pos="9350"/>
            </w:tabs>
            <w:rPr>
              <w:rFonts w:ascii="Arial" w:hAnsi="Arial" w:cs="Arial"/>
              <w:noProof/>
            </w:rPr>
          </w:pPr>
          <w:hyperlink w:anchor="_Toc233042685" w:history="1">
            <w:r w:rsidRPr="00A3080A">
              <w:rPr>
                <w:rStyle w:val="Hyperlink"/>
                <w:rFonts w:ascii="Arial" w:hAnsi="Arial" w:cs="Arial"/>
                <w:noProof/>
              </w:rPr>
              <w:t>5.3 Challenges and Critical Evaluation</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_Toc233042685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5</w:t>
            </w:r>
            <w:r w:rsidRPr="00A3080A">
              <w:rPr>
                <w:rFonts w:ascii="Arial" w:hAnsi="Arial" w:cs="Arial"/>
                <w:noProof/>
                <w:webHidden/>
              </w:rPr>
              <w:fldChar w:fldCharType="end"/>
            </w:r>
          </w:hyperlink>
        </w:p>
        <w:p w14:paraId="67C39E01" w14:textId="77777777" w:rsidR="00A3080A" w:rsidRPr="00A3080A" w:rsidRDefault="00A3080A">
          <w:pPr>
            <w:pStyle w:val="TOC1"/>
            <w:tabs>
              <w:tab w:val="right" w:leader="dot" w:pos="9350"/>
            </w:tabs>
            <w:rPr>
              <w:rFonts w:ascii="Arial" w:hAnsi="Arial" w:cs="Arial"/>
              <w:noProof/>
            </w:rPr>
          </w:pPr>
          <w:hyperlink w:anchor="_Toc233042686" w:history="1">
            <w:r w:rsidRPr="00A3080A">
              <w:rPr>
                <w:rStyle w:val="Hyperlink"/>
                <w:rFonts w:ascii="Arial" w:eastAsia="Times New Roman" w:hAnsi="Arial" w:cs="Arial"/>
                <w:b/>
                <w:noProof/>
              </w:rPr>
              <w:t>6. Application to Dementia Care Practice</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_Toc233042686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5</w:t>
            </w:r>
            <w:r w:rsidRPr="00A3080A">
              <w:rPr>
                <w:rFonts w:ascii="Arial" w:hAnsi="Arial" w:cs="Arial"/>
                <w:noProof/>
                <w:webHidden/>
              </w:rPr>
              <w:fldChar w:fldCharType="end"/>
            </w:r>
          </w:hyperlink>
        </w:p>
        <w:p w14:paraId="56917F01" w14:textId="77777777" w:rsidR="00A3080A" w:rsidRPr="00A3080A" w:rsidRDefault="00A3080A">
          <w:pPr>
            <w:pStyle w:val="TOC2"/>
            <w:tabs>
              <w:tab w:val="right" w:leader="dot" w:pos="9350"/>
            </w:tabs>
            <w:rPr>
              <w:rFonts w:ascii="Arial" w:hAnsi="Arial" w:cs="Arial"/>
              <w:noProof/>
            </w:rPr>
          </w:pPr>
          <w:hyperlink w:anchor="_Toc233042687" w:history="1">
            <w:r w:rsidRPr="00A3080A">
              <w:rPr>
                <w:rStyle w:val="Hyperlink"/>
                <w:rFonts w:ascii="Arial" w:hAnsi="Arial" w:cs="Arial"/>
                <w:noProof/>
              </w:rPr>
              <w:t>6.1 Person-Centred Care in Dementia Practice</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_Toc233042687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5</w:t>
            </w:r>
            <w:r w:rsidRPr="00A3080A">
              <w:rPr>
                <w:rFonts w:ascii="Arial" w:hAnsi="Arial" w:cs="Arial"/>
                <w:noProof/>
                <w:webHidden/>
              </w:rPr>
              <w:fldChar w:fldCharType="end"/>
            </w:r>
          </w:hyperlink>
        </w:p>
        <w:p w14:paraId="26C21FC2" w14:textId="77777777" w:rsidR="00A3080A" w:rsidRPr="00A3080A" w:rsidRDefault="00A3080A">
          <w:pPr>
            <w:pStyle w:val="TOC2"/>
            <w:tabs>
              <w:tab w:val="right" w:leader="dot" w:pos="9350"/>
            </w:tabs>
            <w:rPr>
              <w:rFonts w:ascii="Arial" w:hAnsi="Arial" w:cs="Arial"/>
              <w:noProof/>
            </w:rPr>
          </w:pPr>
          <w:hyperlink w:anchor="_Toc233042688" w:history="1">
            <w:r w:rsidRPr="00A3080A">
              <w:rPr>
                <w:rStyle w:val="Hyperlink"/>
                <w:rFonts w:ascii="Arial" w:hAnsi="Arial" w:cs="Arial"/>
                <w:noProof/>
              </w:rPr>
              <w:t>6.2 Partnership Working in Dementia Practice</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_Toc233042688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6</w:t>
            </w:r>
            <w:r w:rsidRPr="00A3080A">
              <w:rPr>
                <w:rFonts w:ascii="Arial" w:hAnsi="Arial" w:cs="Arial"/>
                <w:noProof/>
                <w:webHidden/>
              </w:rPr>
              <w:fldChar w:fldCharType="end"/>
            </w:r>
          </w:hyperlink>
        </w:p>
        <w:p w14:paraId="00491984" w14:textId="77777777" w:rsidR="00A3080A" w:rsidRPr="00A3080A" w:rsidRDefault="00A3080A">
          <w:pPr>
            <w:pStyle w:val="TOC2"/>
            <w:tabs>
              <w:tab w:val="right" w:leader="dot" w:pos="9350"/>
            </w:tabs>
            <w:rPr>
              <w:rFonts w:ascii="Arial" w:hAnsi="Arial" w:cs="Arial"/>
              <w:noProof/>
            </w:rPr>
          </w:pPr>
          <w:hyperlink w:anchor="_Toc233042689" w:history="1">
            <w:r w:rsidRPr="00A3080A">
              <w:rPr>
                <w:rStyle w:val="Hyperlink"/>
                <w:rFonts w:ascii="Arial" w:hAnsi="Arial" w:cs="Arial"/>
                <w:noProof/>
              </w:rPr>
              <w:t>6.3 Critical Evaluation</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_Toc233042689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6</w:t>
            </w:r>
            <w:r w:rsidRPr="00A3080A">
              <w:rPr>
                <w:rFonts w:ascii="Arial" w:hAnsi="Arial" w:cs="Arial"/>
                <w:noProof/>
                <w:webHidden/>
              </w:rPr>
              <w:fldChar w:fldCharType="end"/>
            </w:r>
          </w:hyperlink>
        </w:p>
        <w:p w14:paraId="0F648DBC" w14:textId="77777777" w:rsidR="00A3080A" w:rsidRPr="00A3080A" w:rsidRDefault="00A3080A">
          <w:pPr>
            <w:pStyle w:val="TOC1"/>
            <w:tabs>
              <w:tab w:val="right" w:leader="dot" w:pos="9350"/>
            </w:tabs>
            <w:rPr>
              <w:rFonts w:ascii="Arial" w:hAnsi="Arial" w:cs="Arial"/>
              <w:noProof/>
            </w:rPr>
          </w:pPr>
          <w:hyperlink w:anchor="_Toc233042690" w:history="1">
            <w:r w:rsidRPr="00A3080A">
              <w:rPr>
                <w:rStyle w:val="Hyperlink"/>
                <w:rFonts w:ascii="Arial" w:hAnsi="Arial" w:cs="Arial"/>
                <w:b/>
                <w:noProof/>
              </w:rPr>
              <w:t>7. Critical Analysis of Policy and Legislation</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_Toc233042690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6</w:t>
            </w:r>
            <w:r w:rsidRPr="00A3080A">
              <w:rPr>
                <w:rFonts w:ascii="Arial" w:hAnsi="Arial" w:cs="Arial"/>
                <w:noProof/>
                <w:webHidden/>
              </w:rPr>
              <w:fldChar w:fldCharType="end"/>
            </w:r>
          </w:hyperlink>
        </w:p>
        <w:p w14:paraId="1F9E224B" w14:textId="77777777" w:rsidR="00A3080A" w:rsidRPr="00A3080A" w:rsidRDefault="00A3080A">
          <w:pPr>
            <w:pStyle w:val="TOC2"/>
            <w:tabs>
              <w:tab w:val="right" w:leader="dot" w:pos="9350"/>
            </w:tabs>
            <w:rPr>
              <w:rFonts w:ascii="Arial" w:hAnsi="Arial" w:cs="Arial"/>
              <w:noProof/>
            </w:rPr>
          </w:pPr>
          <w:hyperlink w:anchor="_Toc233042691" w:history="1">
            <w:r w:rsidRPr="00A3080A">
              <w:rPr>
                <w:rStyle w:val="Hyperlink"/>
                <w:rFonts w:ascii="Arial" w:hAnsi="Arial" w:cs="Arial"/>
                <w:noProof/>
              </w:rPr>
              <w:t>7.1 Rights, Autonomy</w:t>
            </w:r>
            <w:r w:rsidR="00E22CD1">
              <w:rPr>
                <w:rStyle w:val="Hyperlink"/>
                <w:rFonts w:ascii="Arial" w:hAnsi="Arial" w:cs="Arial"/>
                <w:noProof/>
              </w:rPr>
              <w:t>,</w:t>
            </w:r>
            <w:r w:rsidRPr="00A3080A">
              <w:rPr>
                <w:rStyle w:val="Hyperlink"/>
                <w:rFonts w:ascii="Arial" w:hAnsi="Arial" w:cs="Arial"/>
                <w:noProof/>
              </w:rPr>
              <w:t xml:space="preserve"> and Protection</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_Toc233042691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6</w:t>
            </w:r>
            <w:r w:rsidRPr="00A3080A">
              <w:rPr>
                <w:rFonts w:ascii="Arial" w:hAnsi="Arial" w:cs="Arial"/>
                <w:noProof/>
                <w:webHidden/>
              </w:rPr>
              <w:fldChar w:fldCharType="end"/>
            </w:r>
          </w:hyperlink>
        </w:p>
        <w:p w14:paraId="1096538C" w14:textId="77777777" w:rsidR="00A3080A" w:rsidRPr="00A3080A" w:rsidRDefault="00A3080A">
          <w:pPr>
            <w:pStyle w:val="TOC2"/>
            <w:tabs>
              <w:tab w:val="right" w:leader="dot" w:pos="9350"/>
            </w:tabs>
            <w:rPr>
              <w:rFonts w:ascii="Arial" w:hAnsi="Arial" w:cs="Arial"/>
              <w:noProof/>
            </w:rPr>
          </w:pPr>
          <w:hyperlink w:anchor="_Toc233042692" w:history="1">
            <w:r w:rsidRPr="00A3080A">
              <w:rPr>
                <w:rStyle w:val="Hyperlink"/>
                <w:rFonts w:ascii="Arial" w:hAnsi="Arial" w:cs="Arial"/>
                <w:noProof/>
              </w:rPr>
              <w:t>7.2 Wellbeing, Personalisation and Equality</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_Toc233042692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6</w:t>
            </w:r>
            <w:r w:rsidRPr="00A3080A">
              <w:rPr>
                <w:rFonts w:ascii="Arial" w:hAnsi="Arial" w:cs="Arial"/>
                <w:noProof/>
                <w:webHidden/>
              </w:rPr>
              <w:fldChar w:fldCharType="end"/>
            </w:r>
          </w:hyperlink>
        </w:p>
        <w:p w14:paraId="720FE5AB" w14:textId="77777777" w:rsidR="00A3080A" w:rsidRPr="00A3080A" w:rsidRDefault="00A3080A">
          <w:pPr>
            <w:pStyle w:val="TOC2"/>
            <w:tabs>
              <w:tab w:val="right" w:leader="dot" w:pos="9350"/>
            </w:tabs>
            <w:rPr>
              <w:rFonts w:ascii="Arial" w:hAnsi="Arial" w:cs="Arial"/>
              <w:noProof/>
            </w:rPr>
          </w:pPr>
          <w:hyperlink w:anchor="_Toc233042693" w:history="1">
            <w:r w:rsidRPr="00A3080A">
              <w:rPr>
                <w:rStyle w:val="Hyperlink"/>
                <w:rFonts w:ascii="Arial" w:hAnsi="Arial" w:cs="Arial"/>
                <w:noProof/>
              </w:rPr>
              <w:t>7.3 Integrated Working</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_Toc233042693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7</w:t>
            </w:r>
            <w:r w:rsidRPr="00A3080A">
              <w:rPr>
                <w:rFonts w:ascii="Arial" w:hAnsi="Arial" w:cs="Arial"/>
                <w:noProof/>
                <w:webHidden/>
              </w:rPr>
              <w:fldChar w:fldCharType="end"/>
            </w:r>
          </w:hyperlink>
        </w:p>
        <w:p w14:paraId="66EAB9B8" w14:textId="77777777" w:rsidR="00A3080A" w:rsidRPr="00A3080A" w:rsidRDefault="00A3080A">
          <w:pPr>
            <w:pStyle w:val="TOC2"/>
            <w:tabs>
              <w:tab w:val="right" w:leader="dot" w:pos="9350"/>
            </w:tabs>
            <w:rPr>
              <w:rFonts w:ascii="Arial" w:hAnsi="Arial" w:cs="Arial"/>
              <w:noProof/>
            </w:rPr>
          </w:pPr>
          <w:hyperlink w:anchor="_Toc233042694" w:history="1">
            <w:r w:rsidRPr="00A3080A">
              <w:rPr>
                <w:rStyle w:val="Hyperlink"/>
                <w:rFonts w:ascii="Arial" w:hAnsi="Arial" w:cs="Arial"/>
                <w:noProof/>
              </w:rPr>
              <w:t>7.4 Synthesis</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_Toc233042694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7</w:t>
            </w:r>
            <w:r w:rsidRPr="00A3080A">
              <w:rPr>
                <w:rFonts w:ascii="Arial" w:hAnsi="Arial" w:cs="Arial"/>
                <w:noProof/>
                <w:webHidden/>
              </w:rPr>
              <w:fldChar w:fldCharType="end"/>
            </w:r>
          </w:hyperlink>
        </w:p>
        <w:p w14:paraId="55E3B790" w14:textId="77777777" w:rsidR="00A3080A" w:rsidRPr="00A3080A" w:rsidRDefault="00A3080A">
          <w:pPr>
            <w:pStyle w:val="TOC1"/>
            <w:tabs>
              <w:tab w:val="right" w:leader="dot" w:pos="9350"/>
            </w:tabs>
            <w:rPr>
              <w:rFonts w:ascii="Arial" w:hAnsi="Arial" w:cs="Arial"/>
              <w:noProof/>
            </w:rPr>
          </w:pPr>
          <w:hyperlink w:anchor="_Toc233042695" w:history="1">
            <w:r w:rsidRPr="00A3080A">
              <w:rPr>
                <w:rStyle w:val="Hyperlink"/>
                <w:rFonts w:ascii="Arial" w:hAnsi="Arial" w:cs="Arial"/>
                <w:b/>
                <w:noProof/>
              </w:rPr>
              <w:t>8. Recommendations for Future Development</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_Toc233042695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7</w:t>
            </w:r>
            <w:r w:rsidRPr="00A3080A">
              <w:rPr>
                <w:rFonts w:ascii="Arial" w:hAnsi="Arial" w:cs="Arial"/>
                <w:noProof/>
                <w:webHidden/>
              </w:rPr>
              <w:fldChar w:fldCharType="end"/>
            </w:r>
          </w:hyperlink>
        </w:p>
        <w:p w14:paraId="1C05E27C" w14:textId="77777777" w:rsidR="00A3080A" w:rsidRPr="00A3080A" w:rsidRDefault="00A3080A">
          <w:pPr>
            <w:pStyle w:val="TOC2"/>
            <w:tabs>
              <w:tab w:val="right" w:leader="dot" w:pos="9350"/>
            </w:tabs>
            <w:rPr>
              <w:rFonts w:ascii="Arial" w:hAnsi="Arial" w:cs="Arial"/>
              <w:noProof/>
            </w:rPr>
          </w:pPr>
          <w:hyperlink w:anchor="_Toc233042696" w:history="1">
            <w:r w:rsidRPr="00A3080A">
              <w:rPr>
                <w:rStyle w:val="Hyperlink"/>
                <w:rFonts w:ascii="Arial" w:hAnsi="Arial" w:cs="Arial"/>
                <w:noProof/>
              </w:rPr>
              <w:t>8.1 Staff Development and Communication</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_Toc233042696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7</w:t>
            </w:r>
            <w:r w:rsidRPr="00A3080A">
              <w:rPr>
                <w:rFonts w:ascii="Arial" w:hAnsi="Arial" w:cs="Arial"/>
                <w:noProof/>
                <w:webHidden/>
              </w:rPr>
              <w:fldChar w:fldCharType="end"/>
            </w:r>
          </w:hyperlink>
        </w:p>
        <w:p w14:paraId="28CE7A5A" w14:textId="77777777" w:rsidR="00A3080A" w:rsidRPr="00A3080A" w:rsidRDefault="00A3080A">
          <w:pPr>
            <w:pStyle w:val="TOC2"/>
            <w:tabs>
              <w:tab w:val="right" w:leader="dot" w:pos="9350"/>
            </w:tabs>
            <w:rPr>
              <w:rFonts w:ascii="Arial" w:hAnsi="Arial" w:cs="Arial"/>
              <w:noProof/>
            </w:rPr>
          </w:pPr>
          <w:hyperlink w:anchor="_Toc233042697" w:history="1">
            <w:r w:rsidRPr="00A3080A">
              <w:rPr>
                <w:rStyle w:val="Hyperlink"/>
                <w:rFonts w:ascii="Arial" w:hAnsi="Arial" w:cs="Arial"/>
                <w:noProof/>
              </w:rPr>
              <w:t>8.2 Service User Involvement and System Integration</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_Toc233042697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7</w:t>
            </w:r>
            <w:r w:rsidRPr="00A3080A">
              <w:rPr>
                <w:rFonts w:ascii="Arial" w:hAnsi="Arial" w:cs="Arial"/>
                <w:noProof/>
                <w:webHidden/>
              </w:rPr>
              <w:fldChar w:fldCharType="end"/>
            </w:r>
          </w:hyperlink>
        </w:p>
        <w:p w14:paraId="1438973B" w14:textId="77777777" w:rsidR="00A3080A" w:rsidRPr="00A3080A" w:rsidRDefault="00A3080A">
          <w:pPr>
            <w:pStyle w:val="TOC2"/>
            <w:tabs>
              <w:tab w:val="right" w:leader="dot" w:pos="9350"/>
            </w:tabs>
            <w:rPr>
              <w:rFonts w:ascii="Arial" w:hAnsi="Arial" w:cs="Arial"/>
              <w:noProof/>
            </w:rPr>
          </w:pPr>
          <w:hyperlink w:anchor="_Toc233042698" w:history="1">
            <w:r w:rsidRPr="00A3080A">
              <w:rPr>
                <w:rStyle w:val="Hyperlink"/>
                <w:rFonts w:ascii="Arial" w:hAnsi="Arial" w:cs="Arial"/>
                <w:noProof/>
              </w:rPr>
              <w:t>8.3 Workforce Sustainability</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_Toc233042698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8</w:t>
            </w:r>
            <w:r w:rsidRPr="00A3080A">
              <w:rPr>
                <w:rFonts w:ascii="Arial" w:hAnsi="Arial" w:cs="Arial"/>
                <w:noProof/>
                <w:webHidden/>
              </w:rPr>
              <w:fldChar w:fldCharType="end"/>
            </w:r>
          </w:hyperlink>
        </w:p>
        <w:p w14:paraId="5A0E5F50" w14:textId="77777777" w:rsidR="00A3080A" w:rsidRPr="00A3080A" w:rsidRDefault="00A3080A">
          <w:pPr>
            <w:pStyle w:val="TOC1"/>
            <w:tabs>
              <w:tab w:val="right" w:leader="dot" w:pos="9350"/>
            </w:tabs>
            <w:rPr>
              <w:rFonts w:ascii="Arial" w:hAnsi="Arial" w:cs="Arial"/>
              <w:noProof/>
            </w:rPr>
          </w:pPr>
          <w:hyperlink w:anchor="_Toc233042699" w:history="1">
            <w:r w:rsidRPr="00A3080A">
              <w:rPr>
                <w:rStyle w:val="Hyperlink"/>
                <w:rFonts w:ascii="Arial" w:hAnsi="Arial" w:cs="Arial"/>
                <w:b/>
                <w:noProof/>
              </w:rPr>
              <w:t>9. Conclusion</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_Toc233042699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8</w:t>
            </w:r>
            <w:r w:rsidRPr="00A3080A">
              <w:rPr>
                <w:rFonts w:ascii="Arial" w:hAnsi="Arial" w:cs="Arial"/>
                <w:noProof/>
                <w:webHidden/>
              </w:rPr>
              <w:fldChar w:fldCharType="end"/>
            </w:r>
          </w:hyperlink>
        </w:p>
        <w:p w14:paraId="746B78B2" w14:textId="77777777" w:rsidR="00A3080A" w:rsidRPr="00A3080A" w:rsidRDefault="00A3080A">
          <w:pPr>
            <w:pStyle w:val="TOC1"/>
            <w:tabs>
              <w:tab w:val="right" w:leader="dot" w:pos="9350"/>
            </w:tabs>
            <w:rPr>
              <w:rFonts w:ascii="Arial" w:hAnsi="Arial" w:cs="Arial"/>
              <w:noProof/>
            </w:rPr>
          </w:pPr>
          <w:hyperlink w:anchor="_Toc233042700" w:history="1">
            <w:r w:rsidRPr="00A3080A">
              <w:rPr>
                <w:rStyle w:val="Hyperlink"/>
                <w:rFonts w:ascii="Arial" w:hAnsi="Arial" w:cs="Arial"/>
                <w:b/>
                <w:noProof/>
              </w:rPr>
              <w:t>References</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_Toc233042700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9</w:t>
            </w:r>
            <w:r w:rsidRPr="00A3080A">
              <w:rPr>
                <w:rFonts w:ascii="Arial" w:hAnsi="Arial" w:cs="Arial"/>
                <w:noProof/>
                <w:webHidden/>
              </w:rPr>
              <w:fldChar w:fldCharType="end"/>
            </w:r>
          </w:hyperlink>
        </w:p>
        <w:p w14:paraId="5A022F70" w14:textId="77777777" w:rsidR="00A3080A" w:rsidRPr="00A3080A" w:rsidRDefault="00A3080A">
          <w:pPr>
            <w:pStyle w:val="TOC1"/>
            <w:tabs>
              <w:tab w:val="right" w:leader="dot" w:pos="9350"/>
            </w:tabs>
            <w:rPr>
              <w:rFonts w:ascii="Arial" w:hAnsi="Arial" w:cs="Arial"/>
              <w:noProof/>
            </w:rPr>
          </w:pPr>
          <w:hyperlink w:anchor="_Toc233042701" w:history="1">
            <w:r w:rsidRPr="00A3080A">
              <w:rPr>
                <w:rStyle w:val="Hyperlink"/>
                <w:rFonts w:ascii="Arial" w:hAnsi="Arial" w:cs="Arial"/>
                <w:b/>
                <w:noProof/>
              </w:rPr>
              <w:t>Appendices</w:t>
            </w:r>
            <w:r w:rsidRPr="00A3080A">
              <w:rPr>
                <w:rFonts w:ascii="Arial" w:hAnsi="Arial" w:cs="Arial"/>
                <w:noProof/>
                <w:webHidden/>
              </w:rPr>
              <w:tab/>
            </w:r>
            <w:r w:rsidRPr="00A3080A">
              <w:rPr>
                <w:rFonts w:ascii="Arial" w:hAnsi="Arial" w:cs="Arial"/>
                <w:noProof/>
                <w:webHidden/>
              </w:rPr>
              <w:fldChar w:fldCharType="begin"/>
            </w:r>
            <w:r w:rsidRPr="00A3080A">
              <w:rPr>
                <w:rFonts w:ascii="Arial" w:hAnsi="Arial" w:cs="Arial"/>
                <w:noProof/>
                <w:webHidden/>
              </w:rPr>
              <w:instrText xml:space="preserve"> PAGEREF _Toc233042701 \h </w:instrText>
            </w:r>
            <w:r w:rsidRPr="00A3080A">
              <w:rPr>
                <w:rFonts w:ascii="Arial" w:hAnsi="Arial" w:cs="Arial"/>
                <w:noProof/>
                <w:webHidden/>
              </w:rPr>
            </w:r>
            <w:r w:rsidRPr="00A3080A">
              <w:rPr>
                <w:rFonts w:ascii="Arial" w:hAnsi="Arial" w:cs="Arial"/>
                <w:noProof/>
                <w:webHidden/>
              </w:rPr>
              <w:fldChar w:fldCharType="separate"/>
            </w:r>
            <w:r w:rsidRPr="00A3080A">
              <w:rPr>
                <w:rFonts w:ascii="Arial" w:hAnsi="Arial" w:cs="Arial"/>
                <w:noProof/>
                <w:webHidden/>
              </w:rPr>
              <w:t>12</w:t>
            </w:r>
            <w:r w:rsidRPr="00A3080A">
              <w:rPr>
                <w:rFonts w:ascii="Arial" w:hAnsi="Arial" w:cs="Arial"/>
                <w:noProof/>
                <w:webHidden/>
              </w:rPr>
              <w:fldChar w:fldCharType="end"/>
            </w:r>
          </w:hyperlink>
        </w:p>
        <w:p w14:paraId="20E2AF62" w14:textId="77777777" w:rsidR="00A3080A" w:rsidRPr="00A3080A" w:rsidRDefault="00A3080A" w:rsidP="00A3080A">
          <w:r w:rsidRPr="00A3080A">
            <w:rPr>
              <w:rFonts w:ascii="Arial" w:hAnsi="Arial" w:cs="Arial"/>
              <w:b/>
              <w:bCs/>
              <w:noProof/>
            </w:rPr>
            <w:fldChar w:fldCharType="end"/>
          </w:r>
        </w:p>
      </w:sdtContent>
    </w:sdt>
    <w:bookmarkStart w:id="0" w:name="_Toc233042670" w:displacedByCustomXml="prev"/>
    <w:p w14:paraId="336F1852" w14:textId="77777777" w:rsidR="00515BFA" w:rsidRPr="007278E6" w:rsidRDefault="000163FE" w:rsidP="007278E6">
      <w:pPr>
        <w:pStyle w:val="Heading1"/>
        <w:rPr>
          <w:b/>
          <w:color w:val="auto"/>
          <w:sz w:val="36"/>
        </w:rPr>
      </w:pPr>
      <w:r w:rsidRPr="007278E6">
        <w:rPr>
          <w:b/>
          <w:color w:val="auto"/>
          <w:sz w:val="36"/>
        </w:rPr>
        <w:lastRenderedPageBreak/>
        <w:t>1. Introduction</w:t>
      </w:r>
      <w:bookmarkEnd w:id="0"/>
    </w:p>
    <w:p w14:paraId="4804D3D6" w14:textId="7FC1CD16" w:rsidR="00597F51" w:rsidRPr="007278E6" w:rsidRDefault="00597F51" w:rsidP="007278E6">
      <w:pPr>
        <w:spacing w:line="360" w:lineRule="auto"/>
        <w:jc w:val="both"/>
        <w:rPr>
          <w:rFonts w:ascii="Arial" w:eastAsia="Times New Roman" w:hAnsi="Arial" w:cs="Arial"/>
        </w:rPr>
      </w:pPr>
      <w:r w:rsidRPr="007278E6">
        <w:rPr>
          <w:rFonts w:ascii="Arial" w:hAnsi="Arial" w:cs="Arial"/>
        </w:rPr>
        <w:t xml:space="preserve">Health and social care services work in a changing context due to population ageing, dementia, </w:t>
      </w:r>
      <w:r w:rsidR="00A3080A">
        <w:rPr>
          <w:rFonts w:ascii="Arial" w:hAnsi="Arial" w:cs="Arial"/>
        </w:rPr>
        <w:t>long-term</w:t>
      </w:r>
      <w:r w:rsidRPr="007278E6">
        <w:rPr>
          <w:rFonts w:ascii="Arial" w:hAnsi="Arial" w:cs="Arial"/>
        </w:rPr>
        <w:t xml:space="preserve"> conditions</w:t>
      </w:r>
      <w:r w:rsidR="00E22CD1">
        <w:rPr>
          <w:rFonts w:ascii="Arial" w:hAnsi="Arial" w:cs="Arial"/>
        </w:rPr>
        <w:t>,</w:t>
      </w:r>
      <w:r w:rsidRPr="007278E6">
        <w:rPr>
          <w:rFonts w:ascii="Arial" w:hAnsi="Arial" w:cs="Arial"/>
        </w:rPr>
        <w:t xml:space="preserve"> and fragmented provision</w:t>
      </w:r>
      <w:r w:rsidR="008334E9" w:rsidRPr="007278E6">
        <w:rPr>
          <w:rFonts w:ascii="Arial" w:hAnsi="Arial" w:cs="Arial"/>
        </w:rPr>
        <w:t xml:space="preserve"> </w:t>
      </w:r>
      <w:r w:rsidR="008334E9" w:rsidRPr="007278E6">
        <w:rPr>
          <w:rFonts w:ascii="Arial" w:eastAsia="Times New Roman" w:hAnsi="Arial" w:cs="Arial"/>
        </w:rPr>
        <w:t>(Gubert, 2025)</w:t>
      </w:r>
      <w:r w:rsidRPr="007278E6">
        <w:rPr>
          <w:rFonts w:ascii="Arial" w:hAnsi="Arial" w:cs="Arial"/>
        </w:rPr>
        <w:t xml:space="preserve">. The key principles of </w:t>
      </w:r>
      <w:r w:rsidR="00E22CD1">
        <w:rPr>
          <w:rFonts w:ascii="Arial" w:hAnsi="Arial" w:cs="Arial"/>
        </w:rPr>
        <w:t>person-</w:t>
      </w:r>
      <w:r w:rsidR="007A13B5">
        <w:rPr>
          <w:rFonts w:ascii="Arial" w:hAnsi="Arial" w:cs="Arial"/>
        </w:rPr>
        <w:t>centered</w:t>
      </w:r>
      <w:r w:rsidR="00E22CD1">
        <w:rPr>
          <w:rFonts w:ascii="Arial" w:hAnsi="Arial" w:cs="Arial"/>
        </w:rPr>
        <w:t xml:space="preserve"> care (PCC) are to focus on the person receiving care</w:t>
      </w:r>
      <w:r w:rsidRPr="007278E6">
        <w:rPr>
          <w:rFonts w:ascii="Arial" w:hAnsi="Arial" w:cs="Arial"/>
        </w:rPr>
        <w:t xml:space="preserve"> and to give them choice, control and support. Partnership working (PW) is about working with other professionals, agencies, families and carers to provide </w:t>
      </w:r>
      <w:r w:rsidR="008334E9" w:rsidRPr="007278E6">
        <w:rPr>
          <w:rFonts w:ascii="Arial" w:hAnsi="Arial" w:cs="Arial"/>
        </w:rPr>
        <w:t>coordinated</w:t>
      </w:r>
      <w:r w:rsidRPr="007278E6">
        <w:rPr>
          <w:rFonts w:ascii="Arial" w:hAnsi="Arial" w:cs="Arial"/>
        </w:rPr>
        <w:t xml:space="preserve"> provision. This report critically examines theory, ethics, legislation, policy and practice of PCC and PW in the context of dementia care. Both are acknowledged as indicators of </w:t>
      </w:r>
      <w:r w:rsidR="00E22CD1">
        <w:rPr>
          <w:rFonts w:ascii="Arial" w:hAnsi="Arial" w:cs="Arial"/>
        </w:rPr>
        <w:t xml:space="preserve">good-quality care, but may be hindered by staffing levels, lack of resources, and </w:t>
      </w:r>
      <w:r w:rsidR="000355E4">
        <w:rPr>
          <w:rFonts w:ascii="Arial" w:hAnsi="Arial" w:cs="Arial"/>
        </w:rPr>
        <w:t>organizational</w:t>
      </w:r>
      <w:r w:rsidR="00E22CD1">
        <w:rPr>
          <w:rFonts w:ascii="Arial" w:hAnsi="Arial" w:cs="Arial"/>
        </w:rPr>
        <w:t xml:space="preserve"> fragmentation, thereby creating</w:t>
      </w:r>
      <w:r w:rsidRPr="007278E6">
        <w:rPr>
          <w:rFonts w:ascii="Arial" w:hAnsi="Arial" w:cs="Arial"/>
        </w:rPr>
        <w:t xml:space="preserve"> a gap between policy and practice.</w:t>
      </w:r>
    </w:p>
    <w:p w14:paraId="7C3F8E9B" w14:textId="3F75813A" w:rsidR="000163FE" w:rsidRPr="007278E6" w:rsidRDefault="000163FE" w:rsidP="007278E6">
      <w:pPr>
        <w:pStyle w:val="Heading1"/>
        <w:rPr>
          <w:b/>
        </w:rPr>
      </w:pPr>
      <w:bookmarkStart w:id="1" w:name="_Toc233042671"/>
      <w:r w:rsidRPr="007278E6">
        <w:rPr>
          <w:b/>
          <w:color w:val="auto"/>
          <w:sz w:val="36"/>
        </w:rPr>
        <w:t>2. Person-</w:t>
      </w:r>
      <w:r w:rsidR="007A13B5" w:rsidRPr="007278E6">
        <w:rPr>
          <w:b/>
          <w:color w:val="auto"/>
          <w:sz w:val="36"/>
        </w:rPr>
        <w:t>Centered</w:t>
      </w:r>
      <w:r w:rsidRPr="007278E6">
        <w:rPr>
          <w:b/>
          <w:color w:val="auto"/>
          <w:sz w:val="36"/>
        </w:rPr>
        <w:t xml:space="preserve"> Care: Conceptual Foundations, Benefits and Limitations</w:t>
      </w:r>
      <w:bookmarkEnd w:id="1"/>
    </w:p>
    <w:p w14:paraId="2D4ED6A8" w14:textId="45244241" w:rsidR="000163FE" w:rsidRPr="007278E6" w:rsidRDefault="000163FE" w:rsidP="007278E6">
      <w:pPr>
        <w:spacing w:line="360" w:lineRule="auto"/>
        <w:jc w:val="both"/>
        <w:rPr>
          <w:rFonts w:ascii="Arial" w:hAnsi="Arial" w:cs="Arial"/>
        </w:rPr>
      </w:pPr>
      <w:r w:rsidRPr="007278E6">
        <w:rPr>
          <w:rFonts w:ascii="Arial" w:hAnsi="Arial" w:cs="Arial"/>
        </w:rPr>
        <w:t>This section critically reviews the concept of person-</w:t>
      </w:r>
      <w:r w:rsidR="007A13B5" w:rsidRPr="007278E6">
        <w:rPr>
          <w:rFonts w:ascii="Arial" w:hAnsi="Arial" w:cs="Arial"/>
        </w:rPr>
        <w:t>centered</w:t>
      </w:r>
      <w:r w:rsidRPr="007278E6">
        <w:rPr>
          <w:rFonts w:ascii="Arial" w:hAnsi="Arial" w:cs="Arial"/>
        </w:rPr>
        <w:t xml:space="preserve"> care (PCC), its principles, advantages</w:t>
      </w:r>
      <w:r w:rsidR="00E22CD1">
        <w:rPr>
          <w:rFonts w:ascii="Arial" w:hAnsi="Arial" w:cs="Arial"/>
        </w:rPr>
        <w:t>,</w:t>
      </w:r>
      <w:r w:rsidRPr="007278E6">
        <w:rPr>
          <w:rFonts w:ascii="Arial" w:hAnsi="Arial" w:cs="Arial"/>
        </w:rPr>
        <w:t xml:space="preserve"> and disadvantages in health and social care and relates this to individual's dementia care.</w:t>
      </w:r>
    </w:p>
    <w:p w14:paraId="448DB8BB" w14:textId="77777777" w:rsidR="000163FE" w:rsidRPr="007278E6" w:rsidRDefault="000163FE" w:rsidP="007278E6">
      <w:pPr>
        <w:pStyle w:val="Heading2"/>
        <w:rPr>
          <w:sz w:val="32"/>
        </w:rPr>
      </w:pPr>
      <w:bookmarkStart w:id="2" w:name="_Toc233042672"/>
      <w:r w:rsidRPr="007278E6">
        <w:rPr>
          <w:sz w:val="32"/>
        </w:rPr>
        <w:t>2.1 Definition and Key Principles</w:t>
      </w:r>
      <w:bookmarkEnd w:id="2"/>
    </w:p>
    <w:p w14:paraId="0BF4C5A3" w14:textId="296D355D" w:rsidR="000163FE" w:rsidRPr="007278E6" w:rsidRDefault="001F277C" w:rsidP="007278E6">
      <w:pPr>
        <w:spacing w:line="360" w:lineRule="auto"/>
        <w:jc w:val="both"/>
        <w:rPr>
          <w:rFonts w:ascii="Arial" w:hAnsi="Arial" w:cs="Arial"/>
        </w:rPr>
      </w:pPr>
      <w:r w:rsidRPr="007278E6">
        <w:rPr>
          <w:rFonts w:ascii="Arial" w:hAnsi="Arial" w:cs="Arial"/>
        </w:rPr>
        <w:t>Person-</w:t>
      </w:r>
      <w:r w:rsidR="007A13B5" w:rsidRPr="007278E6">
        <w:rPr>
          <w:rFonts w:ascii="Arial" w:hAnsi="Arial" w:cs="Arial"/>
        </w:rPr>
        <w:t>centered</w:t>
      </w:r>
      <w:r w:rsidR="000163FE" w:rsidRPr="007278E6">
        <w:rPr>
          <w:rFonts w:ascii="Arial" w:hAnsi="Arial" w:cs="Arial"/>
        </w:rPr>
        <w:t xml:space="preserve"> care (PCC) is based on the premise that the needs, values, </w:t>
      </w:r>
      <w:r w:rsidR="008334E9" w:rsidRPr="007278E6">
        <w:rPr>
          <w:rFonts w:ascii="Arial" w:hAnsi="Arial" w:cs="Arial"/>
        </w:rPr>
        <w:t>preferences,</w:t>
      </w:r>
      <w:r w:rsidR="000163FE" w:rsidRPr="007278E6">
        <w:rPr>
          <w:rFonts w:ascii="Arial" w:hAnsi="Arial" w:cs="Arial"/>
        </w:rPr>
        <w:t xml:space="preserve"> and lived experience of the person is at the heart of the care plan</w:t>
      </w:r>
      <w:r w:rsidR="008334E9" w:rsidRPr="007278E6">
        <w:rPr>
          <w:rFonts w:ascii="Arial" w:hAnsi="Arial" w:cs="Arial"/>
        </w:rPr>
        <w:t xml:space="preserve"> </w:t>
      </w:r>
      <w:r w:rsidR="008334E9" w:rsidRPr="007278E6">
        <w:rPr>
          <w:rFonts w:ascii="Arial" w:eastAsia="Times New Roman" w:hAnsi="Arial" w:cs="Arial"/>
        </w:rPr>
        <w:t>(Islam, 2022)</w:t>
      </w:r>
      <w:r w:rsidR="000163FE" w:rsidRPr="007278E6">
        <w:rPr>
          <w:rFonts w:ascii="Arial" w:hAnsi="Arial" w:cs="Arial"/>
        </w:rPr>
        <w:t xml:space="preserve">. </w:t>
      </w:r>
      <w:r w:rsidR="008334E9" w:rsidRPr="007278E6">
        <w:rPr>
          <w:rFonts w:ascii="Arial" w:hAnsi="Arial" w:cs="Arial"/>
        </w:rPr>
        <w:t>Person-</w:t>
      </w:r>
      <w:r w:rsidR="007A13B5" w:rsidRPr="007278E6">
        <w:rPr>
          <w:rFonts w:ascii="Arial" w:hAnsi="Arial" w:cs="Arial"/>
        </w:rPr>
        <w:t>centered</w:t>
      </w:r>
      <w:r w:rsidR="000163FE" w:rsidRPr="007278E6">
        <w:rPr>
          <w:rFonts w:ascii="Arial" w:hAnsi="Arial" w:cs="Arial"/>
        </w:rPr>
        <w:t xml:space="preserve"> coordinated and enabling care is a focus of the NHS and Health Foundation, and also features in the approach to dementia care of </w:t>
      </w:r>
      <w:proofErr w:type="spellStart"/>
      <w:r w:rsidR="000163FE" w:rsidRPr="007278E6">
        <w:rPr>
          <w:rFonts w:ascii="Arial" w:hAnsi="Arial" w:cs="Arial"/>
        </w:rPr>
        <w:t>Kitwood</w:t>
      </w:r>
      <w:proofErr w:type="spellEnd"/>
      <w:r w:rsidR="008334E9" w:rsidRPr="007278E6">
        <w:rPr>
          <w:rFonts w:ascii="Arial" w:hAnsi="Arial" w:cs="Arial"/>
        </w:rPr>
        <w:t xml:space="preserve"> </w:t>
      </w:r>
      <w:r w:rsidR="008334E9" w:rsidRPr="007278E6">
        <w:rPr>
          <w:rFonts w:ascii="Arial" w:eastAsia="Times New Roman" w:hAnsi="Arial" w:cs="Arial"/>
        </w:rPr>
        <w:t>(Brooker, 2022)</w:t>
      </w:r>
      <w:r w:rsidR="000163FE" w:rsidRPr="007278E6">
        <w:rPr>
          <w:rFonts w:ascii="Arial" w:hAnsi="Arial" w:cs="Arial"/>
        </w:rPr>
        <w:t>. So PCC is more than clinical care; it takes a holistic approach to care, values and respects individuality, choice, empowerment and care.</w:t>
      </w:r>
    </w:p>
    <w:p w14:paraId="484EC0AD" w14:textId="77777777" w:rsidR="007278E6" w:rsidRPr="007278E6" w:rsidRDefault="007278E6" w:rsidP="00A3080A">
      <w:pPr>
        <w:spacing w:line="360" w:lineRule="auto"/>
        <w:jc w:val="center"/>
        <w:rPr>
          <w:rFonts w:ascii="Arial" w:eastAsia="Times New Roman" w:hAnsi="Arial" w:cs="Arial"/>
        </w:rPr>
      </w:pPr>
      <w:r w:rsidRPr="007278E6">
        <w:rPr>
          <w:rFonts w:ascii="Arial" w:eastAsia="Times New Roman" w:hAnsi="Arial" w:cs="Arial"/>
          <w:noProof/>
        </w:rPr>
        <w:lastRenderedPageBreak/>
        <w:drawing>
          <wp:inline distT="0" distB="0" distL="0" distR="0" wp14:anchorId="6B62C15A" wp14:editId="2E667147">
            <wp:extent cx="5168265" cy="3174576"/>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atGPT Image Jun 22, 2026, 05_33_26 PM.png"/>
                    <pic:cNvPicPr/>
                  </pic:nvPicPr>
                  <pic:blipFill rotWithShape="1">
                    <a:blip r:embed="rId7" cstate="print">
                      <a:extLst>
                        <a:ext uri="{28A0092B-C50C-407E-A947-70E740481C1C}">
                          <a14:useLocalDpi xmlns:a14="http://schemas.microsoft.com/office/drawing/2010/main" val="0"/>
                        </a:ext>
                      </a:extLst>
                    </a:blip>
                    <a:srcRect t="7863"/>
                    <a:stretch/>
                  </pic:blipFill>
                  <pic:spPr bwMode="auto">
                    <a:xfrm>
                      <a:off x="0" y="0"/>
                      <a:ext cx="5170777" cy="3176119"/>
                    </a:xfrm>
                    <a:prstGeom prst="rect">
                      <a:avLst/>
                    </a:prstGeom>
                    <a:ln>
                      <a:noFill/>
                    </a:ln>
                    <a:extLst>
                      <a:ext uri="{53640926-AAD7-44D8-BBD7-CCE9431645EC}">
                        <a14:shadowObscured xmlns:a14="http://schemas.microsoft.com/office/drawing/2010/main"/>
                      </a:ext>
                    </a:extLst>
                  </pic:spPr>
                </pic:pic>
              </a:graphicData>
            </a:graphic>
          </wp:inline>
        </w:drawing>
      </w:r>
    </w:p>
    <w:p w14:paraId="10428B1C" w14:textId="77777777" w:rsidR="007278E6" w:rsidRPr="007278E6" w:rsidRDefault="007278E6" w:rsidP="007278E6">
      <w:pPr>
        <w:pStyle w:val="Caption"/>
        <w:spacing w:line="360" w:lineRule="auto"/>
        <w:jc w:val="center"/>
        <w:rPr>
          <w:rFonts w:ascii="Arial" w:eastAsia="Times New Roman" w:hAnsi="Arial" w:cs="Arial"/>
          <w:szCs w:val="22"/>
        </w:rPr>
      </w:pPr>
      <w:r w:rsidRPr="007278E6">
        <w:rPr>
          <w:rFonts w:ascii="Arial" w:hAnsi="Arial" w:cs="Arial"/>
          <w:szCs w:val="22"/>
        </w:rPr>
        <w:t xml:space="preserve">Figure </w:t>
      </w:r>
      <w:r w:rsidRPr="007278E6">
        <w:rPr>
          <w:rFonts w:ascii="Arial" w:hAnsi="Arial" w:cs="Arial"/>
          <w:szCs w:val="22"/>
        </w:rPr>
        <w:fldChar w:fldCharType="begin"/>
      </w:r>
      <w:r w:rsidRPr="007278E6">
        <w:rPr>
          <w:rFonts w:ascii="Arial" w:hAnsi="Arial" w:cs="Arial"/>
          <w:szCs w:val="22"/>
        </w:rPr>
        <w:instrText xml:space="preserve"> SEQ Figure \* ARABIC </w:instrText>
      </w:r>
      <w:r w:rsidRPr="007278E6">
        <w:rPr>
          <w:rFonts w:ascii="Arial" w:hAnsi="Arial" w:cs="Arial"/>
          <w:szCs w:val="22"/>
        </w:rPr>
        <w:fldChar w:fldCharType="separate"/>
      </w:r>
      <w:r w:rsidRPr="007278E6">
        <w:rPr>
          <w:rFonts w:ascii="Arial" w:hAnsi="Arial" w:cs="Arial"/>
          <w:noProof/>
          <w:szCs w:val="22"/>
        </w:rPr>
        <w:t>1</w:t>
      </w:r>
      <w:r w:rsidRPr="007278E6">
        <w:rPr>
          <w:rFonts w:ascii="Arial" w:hAnsi="Arial" w:cs="Arial"/>
          <w:szCs w:val="22"/>
        </w:rPr>
        <w:fldChar w:fldCharType="end"/>
      </w:r>
      <w:r w:rsidRPr="007278E6">
        <w:rPr>
          <w:rFonts w:ascii="Arial" w:hAnsi="Arial" w:cs="Arial"/>
          <w:szCs w:val="22"/>
        </w:rPr>
        <w:t xml:space="preserve"> Core components of person-</w:t>
      </w:r>
      <w:proofErr w:type="spellStart"/>
      <w:r w:rsidRPr="007278E6">
        <w:rPr>
          <w:rFonts w:ascii="Arial" w:hAnsi="Arial" w:cs="Arial"/>
          <w:szCs w:val="22"/>
        </w:rPr>
        <w:t>centred</w:t>
      </w:r>
      <w:proofErr w:type="spellEnd"/>
      <w:r w:rsidRPr="007278E6">
        <w:rPr>
          <w:rFonts w:ascii="Arial" w:hAnsi="Arial" w:cs="Arial"/>
          <w:szCs w:val="22"/>
        </w:rPr>
        <w:t xml:space="preserve"> care</w:t>
      </w:r>
    </w:p>
    <w:p w14:paraId="63DF77FA" w14:textId="7C765AB3" w:rsidR="000163FE" w:rsidRPr="007278E6" w:rsidRDefault="000163FE" w:rsidP="007278E6">
      <w:pPr>
        <w:pStyle w:val="Heading2"/>
        <w:rPr>
          <w:sz w:val="32"/>
        </w:rPr>
      </w:pPr>
      <w:bookmarkStart w:id="3" w:name="_Toc233042673"/>
      <w:r w:rsidRPr="007278E6">
        <w:rPr>
          <w:sz w:val="32"/>
        </w:rPr>
        <w:t>2.2 Benefits of Person-</w:t>
      </w:r>
      <w:r w:rsidR="007A13B5" w:rsidRPr="007278E6">
        <w:rPr>
          <w:sz w:val="32"/>
        </w:rPr>
        <w:t>Centered</w:t>
      </w:r>
      <w:r w:rsidRPr="007278E6">
        <w:rPr>
          <w:sz w:val="32"/>
        </w:rPr>
        <w:t xml:space="preserve"> Care</w:t>
      </w:r>
      <w:bookmarkEnd w:id="3"/>
    </w:p>
    <w:p w14:paraId="0F0AA49D" w14:textId="769F83B1" w:rsidR="000163FE" w:rsidRPr="007278E6" w:rsidRDefault="000163FE" w:rsidP="007278E6">
      <w:pPr>
        <w:spacing w:line="360" w:lineRule="auto"/>
        <w:jc w:val="both"/>
        <w:rPr>
          <w:rFonts w:ascii="Arial" w:eastAsia="Times New Roman" w:hAnsi="Arial" w:cs="Arial"/>
        </w:rPr>
      </w:pPr>
      <w:r w:rsidRPr="007278E6">
        <w:rPr>
          <w:rFonts w:ascii="Arial" w:hAnsi="Arial" w:cs="Arial"/>
        </w:rPr>
        <w:t xml:space="preserve">PCC provides benefits for the clinical, psychological and </w:t>
      </w:r>
      <w:r w:rsidR="007A13B5" w:rsidRPr="007278E6">
        <w:rPr>
          <w:rFonts w:ascii="Arial" w:hAnsi="Arial" w:cs="Arial"/>
        </w:rPr>
        <w:t>organizational</w:t>
      </w:r>
      <w:r w:rsidRPr="007278E6">
        <w:rPr>
          <w:rFonts w:ascii="Arial" w:hAnsi="Arial" w:cs="Arial"/>
        </w:rPr>
        <w:t xml:space="preserve"> level</w:t>
      </w:r>
      <w:r w:rsidR="008334E9" w:rsidRPr="007278E6">
        <w:rPr>
          <w:rFonts w:ascii="Arial" w:hAnsi="Arial" w:cs="Arial"/>
        </w:rPr>
        <w:t xml:space="preserve"> </w:t>
      </w:r>
      <w:r w:rsidR="008334E9" w:rsidRPr="007278E6">
        <w:rPr>
          <w:rFonts w:ascii="Arial" w:eastAsia="Times New Roman" w:hAnsi="Arial" w:cs="Arial"/>
        </w:rPr>
        <w:t>(Gustavsson et al., 2025)</w:t>
      </w:r>
      <w:r w:rsidRPr="007278E6">
        <w:rPr>
          <w:rFonts w:ascii="Arial" w:hAnsi="Arial" w:cs="Arial"/>
        </w:rPr>
        <w:t>. In practice</w:t>
      </w:r>
      <w:r w:rsidR="008334E9" w:rsidRPr="007278E6">
        <w:rPr>
          <w:rFonts w:ascii="Arial" w:hAnsi="Arial" w:cs="Arial"/>
        </w:rPr>
        <w:t>,</w:t>
      </w:r>
      <w:r w:rsidRPr="007278E6">
        <w:rPr>
          <w:rFonts w:ascii="Arial" w:hAnsi="Arial" w:cs="Arial"/>
        </w:rPr>
        <w:t xml:space="preserve"> it can have a positive impact on well-being and outcomes as support is not delivered via a </w:t>
      </w:r>
      <w:r w:rsidR="007A13B5" w:rsidRPr="007278E6">
        <w:rPr>
          <w:rFonts w:ascii="Arial" w:hAnsi="Arial" w:cs="Arial"/>
        </w:rPr>
        <w:t>standardized</w:t>
      </w:r>
      <w:r w:rsidRPr="007278E6">
        <w:rPr>
          <w:rFonts w:ascii="Arial" w:hAnsi="Arial" w:cs="Arial"/>
        </w:rPr>
        <w:t xml:space="preserve"> model. Psychologically, it builds self-esteem, self-worth, dignity and independence, particularly when meeting the needs of people with dementia who may be challenged in their identity and their control. It can enhance trust, satisfaction and alleviate complaints when it involves families and service users in </w:t>
      </w:r>
      <w:r w:rsidR="00E22CD1">
        <w:rPr>
          <w:rFonts w:ascii="Arial" w:hAnsi="Arial" w:cs="Arial"/>
        </w:rPr>
        <w:t>decision-making</w:t>
      </w:r>
      <w:r w:rsidRPr="007278E6">
        <w:rPr>
          <w:rFonts w:ascii="Arial" w:hAnsi="Arial" w:cs="Arial"/>
        </w:rPr>
        <w:t xml:space="preserve">, </w:t>
      </w:r>
      <w:r w:rsidR="007A13B5" w:rsidRPr="007278E6">
        <w:rPr>
          <w:rFonts w:ascii="Arial" w:hAnsi="Arial" w:cs="Arial"/>
        </w:rPr>
        <w:t>organizationally</w:t>
      </w:r>
      <w:r w:rsidRPr="007278E6">
        <w:rPr>
          <w:rFonts w:ascii="Arial" w:hAnsi="Arial" w:cs="Arial"/>
        </w:rPr>
        <w:t>.</w:t>
      </w:r>
    </w:p>
    <w:p w14:paraId="2659D901" w14:textId="77777777" w:rsidR="000163FE" w:rsidRPr="007278E6" w:rsidRDefault="000163FE" w:rsidP="007278E6">
      <w:pPr>
        <w:pStyle w:val="Heading2"/>
        <w:rPr>
          <w:sz w:val="32"/>
        </w:rPr>
      </w:pPr>
      <w:bookmarkStart w:id="4" w:name="_Toc233042674"/>
      <w:r w:rsidRPr="007278E6">
        <w:rPr>
          <w:sz w:val="32"/>
        </w:rPr>
        <w:t>2.3 Critical Limitations</w:t>
      </w:r>
      <w:bookmarkEnd w:id="4"/>
    </w:p>
    <w:p w14:paraId="5FE6B728" w14:textId="7B7422AD" w:rsidR="000163FE" w:rsidRPr="007278E6" w:rsidRDefault="000163FE" w:rsidP="007278E6">
      <w:pPr>
        <w:spacing w:line="360" w:lineRule="auto"/>
        <w:jc w:val="both"/>
        <w:rPr>
          <w:rStyle w:val="cursor-pointer"/>
          <w:rFonts w:ascii="Arial" w:eastAsia="Times New Roman" w:hAnsi="Arial" w:cs="Arial"/>
        </w:rPr>
      </w:pPr>
      <w:r w:rsidRPr="007278E6">
        <w:rPr>
          <w:rStyle w:val="cursor-pointer"/>
          <w:rFonts w:ascii="Arial" w:hAnsi="Arial" w:cs="Arial"/>
        </w:rPr>
        <w:t>PCC has its advantages but is hard to maintain in practice.</w:t>
      </w:r>
      <w:r w:rsidRPr="007278E6">
        <w:rPr>
          <w:rFonts w:ascii="Arial" w:hAnsi="Arial" w:cs="Arial"/>
        </w:rPr>
        <w:t xml:space="preserve"> </w:t>
      </w:r>
      <w:r w:rsidRPr="007278E6">
        <w:rPr>
          <w:rStyle w:val="cursor-pointer"/>
          <w:rFonts w:ascii="Arial" w:hAnsi="Arial" w:cs="Arial"/>
        </w:rPr>
        <w:t>Limiting care to physical support can be due to staff shortages, time and task pressures</w:t>
      </w:r>
      <w:r w:rsidR="008334E9" w:rsidRPr="007278E6">
        <w:rPr>
          <w:rStyle w:val="cursor-pointer"/>
          <w:rFonts w:ascii="Arial" w:hAnsi="Arial" w:cs="Arial"/>
        </w:rPr>
        <w:t xml:space="preserve"> </w:t>
      </w:r>
      <w:r w:rsidR="008334E9" w:rsidRPr="007278E6">
        <w:rPr>
          <w:rFonts w:ascii="Arial" w:eastAsia="Times New Roman" w:hAnsi="Arial" w:cs="Arial"/>
        </w:rPr>
        <w:t>(Richter et al., 2022)</w:t>
      </w:r>
      <w:r w:rsidRPr="007278E6">
        <w:rPr>
          <w:rStyle w:val="cursor-pointer"/>
          <w:rFonts w:ascii="Arial" w:hAnsi="Arial" w:cs="Arial"/>
        </w:rPr>
        <w:t>.</w:t>
      </w:r>
      <w:r w:rsidRPr="007278E6">
        <w:rPr>
          <w:rFonts w:ascii="Arial" w:hAnsi="Arial" w:cs="Arial"/>
        </w:rPr>
        <w:t xml:space="preserve"> </w:t>
      </w:r>
      <w:r w:rsidRPr="007278E6">
        <w:rPr>
          <w:rStyle w:val="cursor-pointer"/>
          <w:rFonts w:ascii="Arial" w:hAnsi="Arial" w:cs="Arial"/>
        </w:rPr>
        <w:t>True choice may also be curtailed by risk management issues when professionals see safety as paramount to choice</w:t>
      </w:r>
      <w:r w:rsidR="008334E9" w:rsidRPr="007278E6">
        <w:rPr>
          <w:rStyle w:val="cursor-pointer"/>
          <w:rFonts w:ascii="Arial" w:hAnsi="Arial" w:cs="Arial"/>
        </w:rPr>
        <w:t xml:space="preserve"> </w:t>
      </w:r>
      <w:r w:rsidR="008334E9" w:rsidRPr="007278E6">
        <w:rPr>
          <w:rFonts w:ascii="Arial" w:eastAsia="Times New Roman" w:hAnsi="Arial" w:cs="Arial"/>
        </w:rPr>
        <w:t>(Ebert and Morreau, 2022)</w:t>
      </w:r>
      <w:r w:rsidRPr="007278E6">
        <w:rPr>
          <w:rStyle w:val="cursor-pointer"/>
          <w:rFonts w:ascii="Arial" w:hAnsi="Arial" w:cs="Arial"/>
        </w:rPr>
        <w:t>.</w:t>
      </w:r>
      <w:r w:rsidRPr="007278E6">
        <w:rPr>
          <w:rFonts w:ascii="Arial" w:hAnsi="Arial" w:cs="Arial"/>
        </w:rPr>
        <w:t xml:space="preserve"> </w:t>
      </w:r>
      <w:r w:rsidRPr="007278E6">
        <w:rPr>
          <w:rStyle w:val="cursor-pointer"/>
          <w:rFonts w:ascii="Arial" w:hAnsi="Arial" w:cs="Arial"/>
        </w:rPr>
        <w:t>Thus, PCC may turn into rhetorical, rather than actionable.</w:t>
      </w:r>
      <w:r w:rsidRPr="007278E6">
        <w:rPr>
          <w:rFonts w:ascii="Arial" w:hAnsi="Arial" w:cs="Arial"/>
        </w:rPr>
        <w:t xml:space="preserve"> </w:t>
      </w:r>
      <w:r w:rsidRPr="007278E6">
        <w:rPr>
          <w:rStyle w:val="cursor-pointer"/>
          <w:rFonts w:ascii="Arial" w:hAnsi="Arial" w:cs="Arial"/>
        </w:rPr>
        <w:t xml:space="preserve">In theory, PCC is convincing but in practice it is difficult, and will not succeed unless </w:t>
      </w:r>
      <w:r w:rsidR="007A13B5" w:rsidRPr="007278E6">
        <w:rPr>
          <w:rStyle w:val="cursor-pointer"/>
          <w:rFonts w:ascii="Arial" w:hAnsi="Arial" w:cs="Arial"/>
        </w:rPr>
        <w:t>organizations</w:t>
      </w:r>
      <w:r w:rsidRPr="007278E6">
        <w:rPr>
          <w:rStyle w:val="cursor-pointer"/>
          <w:rFonts w:ascii="Arial" w:hAnsi="Arial" w:cs="Arial"/>
        </w:rPr>
        <w:t xml:space="preserve"> are committed to its implementation, not just in words.</w:t>
      </w:r>
    </w:p>
    <w:p w14:paraId="310D516C" w14:textId="755D7CDB" w:rsidR="001F277C" w:rsidRPr="007278E6" w:rsidRDefault="001F277C" w:rsidP="007278E6">
      <w:pPr>
        <w:pStyle w:val="Heading1"/>
        <w:rPr>
          <w:b/>
          <w:color w:val="auto"/>
          <w:sz w:val="36"/>
        </w:rPr>
      </w:pPr>
      <w:bookmarkStart w:id="5" w:name="_Toc233042675"/>
      <w:r w:rsidRPr="007278E6">
        <w:rPr>
          <w:b/>
          <w:color w:val="auto"/>
          <w:sz w:val="36"/>
        </w:rPr>
        <w:lastRenderedPageBreak/>
        <w:t>3. Critical Examination of a Theory Underpinning Person-</w:t>
      </w:r>
      <w:r w:rsidR="007A13B5" w:rsidRPr="007278E6">
        <w:rPr>
          <w:b/>
          <w:color w:val="auto"/>
          <w:sz w:val="36"/>
        </w:rPr>
        <w:t>Centered</w:t>
      </w:r>
      <w:r w:rsidRPr="007278E6">
        <w:rPr>
          <w:b/>
          <w:color w:val="auto"/>
          <w:sz w:val="36"/>
        </w:rPr>
        <w:t xml:space="preserve"> Care</w:t>
      </w:r>
      <w:bookmarkEnd w:id="5"/>
    </w:p>
    <w:p w14:paraId="66F9788B" w14:textId="425F9A0D" w:rsidR="001F277C" w:rsidRPr="007278E6" w:rsidRDefault="001F277C" w:rsidP="007278E6">
      <w:pPr>
        <w:spacing w:line="360" w:lineRule="auto"/>
        <w:jc w:val="both"/>
        <w:rPr>
          <w:rFonts w:ascii="Arial" w:hAnsi="Arial" w:cs="Arial"/>
        </w:rPr>
      </w:pPr>
      <w:r w:rsidRPr="007278E6">
        <w:rPr>
          <w:rFonts w:ascii="Arial" w:hAnsi="Arial" w:cs="Arial"/>
        </w:rPr>
        <w:t xml:space="preserve">This section of the report explores the </w:t>
      </w:r>
      <w:r w:rsidR="00E22CD1">
        <w:rPr>
          <w:rFonts w:ascii="Arial" w:hAnsi="Arial" w:cs="Arial"/>
        </w:rPr>
        <w:t>person-</w:t>
      </w:r>
      <w:r w:rsidR="007A13B5">
        <w:rPr>
          <w:rFonts w:ascii="Arial" w:hAnsi="Arial" w:cs="Arial"/>
        </w:rPr>
        <w:t>centered</w:t>
      </w:r>
      <w:r w:rsidRPr="007278E6">
        <w:rPr>
          <w:rFonts w:ascii="Arial" w:hAnsi="Arial" w:cs="Arial"/>
        </w:rPr>
        <w:t xml:space="preserve"> dementia theory by </w:t>
      </w:r>
      <w:r w:rsidR="007A13B5" w:rsidRPr="007278E6">
        <w:rPr>
          <w:rFonts w:ascii="Arial" w:hAnsi="Arial" w:cs="Arial"/>
        </w:rPr>
        <w:t>Kit wood</w:t>
      </w:r>
      <w:r w:rsidRPr="007278E6">
        <w:rPr>
          <w:rFonts w:ascii="Arial" w:hAnsi="Arial" w:cs="Arial"/>
        </w:rPr>
        <w:t xml:space="preserve"> and is used as a model to directly support PCC in dementia care practice </w:t>
      </w:r>
      <w:r w:rsidR="00E22CD1">
        <w:rPr>
          <w:rFonts w:ascii="Arial" w:hAnsi="Arial" w:cs="Arial"/>
        </w:rPr>
        <w:t>critically</w:t>
      </w:r>
      <w:r w:rsidRPr="007278E6">
        <w:rPr>
          <w:rFonts w:ascii="Arial" w:hAnsi="Arial" w:cs="Arial"/>
        </w:rPr>
        <w:t>.</w:t>
      </w:r>
    </w:p>
    <w:p w14:paraId="0B92644F" w14:textId="31924C35" w:rsidR="001F277C" w:rsidRPr="007278E6" w:rsidRDefault="001F277C" w:rsidP="007278E6">
      <w:pPr>
        <w:pStyle w:val="Heading2"/>
      </w:pPr>
      <w:bookmarkStart w:id="6" w:name="_Toc233042676"/>
      <w:r w:rsidRPr="007278E6">
        <w:rPr>
          <w:sz w:val="32"/>
        </w:rPr>
        <w:t xml:space="preserve">3.1 Explanation of </w:t>
      </w:r>
      <w:r w:rsidR="007A13B5" w:rsidRPr="007278E6">
        <w:rPr>
          <w:sz w:val="32"/>
        </w:rPr>
        <w:t>Kit wood’s</w:t>
      </w:r>
      <w:r w:rsidRPr="007278E6">
        <w:rPr>
          <w:sz w:val="32"/>
        </w:rPr>
        <w:t xml:space="preserve"> Theory</w:t>
      </w:r>
      <w:bookmarkEnd w:id="6"/>
    </w:p>
    <w:p w14:paraId="0A1EEF30" w14:textId="2DB42C51" w:rsidR="001F277C" w:rsidRPr="007278E6" w:rsidRDefault="007A13B5" w:rsidP="007278E6">
      <w:pPr>
        <w:spacing w:line="360" w:lineRule="auto"/>
        <w:jc w:val="both"/>
        <w:rPr>
          <w:rFonts w:ascii="Arial" w:eastAsia="Times New Roman" w:hAnsi="Arial" w:cs="Arial"/>
        </w:rPr>
      </w:pPr>
      <w:r w:rsidRPr="007278E6">
        <w:rPr>
          <w:rFonts w:ascii="Arial" w:hAnsi="Arial" w:cs="Arial"/>
        </w:rPr>
        <w:t>Kit wood’s</w:t>
      </w:r>
      <w:r w:rsidR="001F277C" w:rsidRPr="007278E6">
        <w:rPr>
          <w:rFonts w:ascii="Arial" w:hAnsi="Arial" w:cs="Arial"/>
        </w:rPr>
        <w:t xml:space="preserve"> person-</w:t>
      </w:r>
      <w:r w:rsidRPr="007278E6">
        <w:rPr>
          <w:rFonts w:ascii="Arial" w:hAnsi="Arial" w:cs="Arial"/>
        </w:rPr>
        <w:t>centered</w:t>
      </w:r>
      <w:r w:rsidR="001F277C" w:rsidRPr="007278E6">
        <w:rPr>
          <w:rFonts w:ascii="Arial" w:hAnsi="Arial" w:cs="Arial"/>
        </w:rPr>
        <w:t xml:space="preserve"> theory of dementia goes against the grain of the biomedical perspective which attempts to explain dementia as solely a decline in cognitive functioning, diagnoses and clinical symptoms</w:t>
      </w:r>
      <w:r w:rsidR="008334E9" w:rsidRPr="007278E6">
        <w:rPr>
          <w:rFonts w:ascii="Arial" w:hAnsi="Arial" w:cs="Arial"/>
        </w:rPr>
        <w:t xml:space="preserve"> </w:t>
      </w:r>
      <w:r w:rsidR="008334E9" w:rsidRPr="007278E6">
        <w:rPr>
          <w:rFonts w:ascii="Arial" w:eastAsia="Times New Roman" w:hAnsi="Arial" w:cs="Arial"/>
        </w:rPr>
        <w:t>(</w:t>
      </w:r>
      <w:proofErr w:type="spellStart"/>
      <w:r w:rsidR="008334E9" w:rsidRPr="007278E6">
        <w:rPr>
          <w:rFonts w:ascii="Arial" w:eastAsia="Times New Roman" w:hAnsi="Arial" w:cs="Arial"/>
        </w:rPr>
        <w:t>Kitwood</w:t>
      </w:r>
      <w:proofErr w:type="spellEnd"/>
      <w:r w:rsidR="008334E9" w:rsidRPr="007278E6">
        <w:rPr>
          <w:rFonts w:ascii="Arial" w:eastAsia="Times New Roman" w:hAnsi="Arial" w:cs="Arial"/>
        </w:rPr>
        <w:t xml:space="preserve"> and Brooker, 2019)</w:t>
      </w:r>
      <w:r w:rsidR="001F277C" w:rsidRPr="007278E6">
        <w:rPr>
          <w:rFonts w:ascii="Arial" w:hAnsi="Arial" w:cs="Arial"/>
        </w:rPr>
        <w:t xml:space="preserve">. Rather, </w:t>
      </w:r>
      <w:r w:rsidRPr="007278E6">
        <w:rPr>
          <w:rFonts w:ascii="Arial" w:hAnsi="Arial" w:cs="Arial"/>
        </w:rPr>
        <w:t>Kit wood</w:t>
      </w:r>
      <w:r w:rsidR="001F277C" w:rsidRPr="007278E6">
        <w:rPr>
          <w:rFonts w:ascii="Arial" w:hAnsi="Arial" w:cs="Arial"/>
        </w:rPr>
        <w:t xml:space="preserve"> suggests, people with dementia are people</w:t>
      </w:r>
      <w:r w:rsidR="00E22CD1">
        <w:rPr>
          <w:rFonts w:ascii="Arial" w:hAnsi="Arial" w:cs="Arial"/>
        </w:rPr>
        <w:t>;</w:t>
      </w:r>
      <w:r w:rsidR="001F277C" w:rsidRPr="007278E6">
        <w:rPr>
          <w:rFonts w:ascii="Arial" w:hAnsi="Arial" w:cs="Arial"/>
        </w:rPr>
        <w:t xml:space="preserve"> they can be recognized as having a personhood, identity</w:t>
      </w:r>
      <w:r w:rsidR="00E22CD1">
        <w:rPr>
          <w:rFonts w:ascii="Arial" w:hAnsi="Arial" w:cs="Arial"/>
        </w:rPr>
        <w:t>,</w:t>
      </w:r>
      <w:r w:rsidR="001F277C" w:rsidRPr="007278E6">
        <w:rPr>
          <w:rFonts w:ascii="Arial" w:hAnsi="Arial" w:cs="Arial"/>
        </w:rPr>
        <w:t xml:space="preserve"> and emotional needs that need to be safeguarded in respectful relationships and meaningful interactions</w:t>
      </w:r>
      <w:r w:rsidR="000369FA" w:rsidRPr="007278E6">
        <w:rPr>
          <w:rFonts w:ascii="Arial" w:hAnsi="Arial" w:cs="Arial"/>
        </w:rPr>
        <w:t xml:space="preserve"> </w:t>
      </w:r>
      <w:r w:rsidR="000369FA" w:rsidRPr="007278E6">
        <w:rPr>
          <w:rFonts w:ascii="Arial" w:eastAsia="Times New Roman" w:hAnsi="Arial" w:cs="Arial"/>
        </w:rPr>
        <w:t>(</w:t>
      </w:r>
      <w:proofErr w:type="spellStart"/>
      <w:r w:rsidR="000369FA" w:rsidRPr="007278E6">
        <w:rPr>
          <w:rFonts w:ascii="Arial" w:eastAsia="Times New Roman" w:hAnsi="Arial" w:cs="Arial"/>
        </w:rPr>
        <w:t>Kitwood</w:t>
      </w:r>
      <w:proofErr w:type="spellEnd"/>
      <w:r w:rsidR="000369FA" w:rsidRPr="007278E6">
        <w:rPr>
          <w:rFonts w:ascii="Arial" w:eastAsia="Times New Roman" w:hAnsi="Arial" w:cs="Arial"/>
        </w:rPr>
        <w:t xml:space="preserve"> and Brooker, 2019)</w:t>
      </w:r>
      <w:r w:rsidR="000369FA" w:rsidRPr="007278E6">
        <w:rPr>
          <w:rFonts w:ascii="Arial" w:hAnsi="Arial" w:cs="Arial"/>
        </w:rPr>
        <w:t>.</w:t>
      </w:r>
      <w:r w:rsidR="007278E6">
        <w:rPr>
          <w:rFonts w:ascii="Arial" w:hAnsi="Arial" w:cs="Arial"/>
        </w:rPr>
        <w:t xml:space="preserve"> </w:t>
      </w:r>
      <w:r w:rsidR="001F277C" w:rsidRPr="007278E6">
        <w:rPr>
          <w:rFonts w:ascii="Arial" w:hAnsi="Arial" w:cs="Arial"/>
        </w:rPr>
        <w:t xml:space="preserve">The model </w:t>
      </w:r>
      <w:r w:rsidRPr="007278E6">
        <w:rPr>
          <w:rFonts w:ascii="Arial" w:hAnsi="Arial" w:cs="Arial"/>
        </w:rPr>
        <w:t>emphasizes</w:t>
      </w:r>
      <w:r w:rsidR="001F277C" w:rsidRPr="007278E6">
        <w:rPr>
          <w:rFonts w:ascii="Arial" w:hAnsi="Arial" w:cs="Arial"/>
        </w:rPr>
        <w:t xml:space="preserve"> the psychological aspects of comfort, attachment, inclusion, and occupation/identity as well as the need to manage the progression of the disease, and suggests that care needs to be received by the whole person rather than solely for the management of </w:t>
      </w:r>
      <w:r w:rsidR="00E22CD1">
        <w:rPr>
          <w:rFonts w:ascii="Arial" w:hAnsi="Arial" w:cs="Arial"/>
        </w:rPr>
        <w:t xml:space="preserve">the </w:t>
      </w:r>
      <w:r w:rsidR="001F277C" w:rsidRPr="007278E6">
        <w:rPr>
          <w:rFonts w:ascii="Arial" w:hAnsi="Arial" w:cs="Arial"/>
        </w:rPr>
        <w:t>disease.</w:t>
      </w:r>
    </w:p>
    <w:p w14:paraId="5FCAB8A9" w14:textId="77777777" w:rsidR="001F277C" w:rsidRPr="007278E6" w:rsidRDefault="001F277C" w:rsidP="007278E6">
      <w:pPr>
        <w:pStyle w:val="Heading2"/>
        <w:rPr>
          <w:sz w:val="32"/>
        </w:rPr>
      </w:pPr>
      <w:bookmarkStart w:id="7" w:name="_Toc233042677"/>
      <w:r w:rsidRPr="007278E6">
        <w:rPr>
          <w:sz w:val="32"/>
        </w:rPr>
        <w:t>3.2 Strengths of the Theory</w:t>
      </w:r>
      <w:bookmarkEnd w:id="7"/>
    </w:p>
    <w:p w14:paraId="7F1B1C62" w14:textId="0306506E" w:rsidR="001F277C" w:rsidRPr="007278E6" w:rsidRDefault="001F277C" w:rsidP="007278E6">
      <w:pPr>
        <w:spacing w:line="360" w:lineRule="auto"/>
        <w:jc w:val="both"/>
        <w:rPr>
          <w:rFonts w:ascii="Arial" w:hAnsi="Arial" w:cs="Arial"/>
        </w:rPr>
      </w:pPr>
      <w:r w:rsidRPr="007278E6">
        <w:rPr>
          <w:rFonts w:ascii="Arial" w:hAnsi="Arial" w:cs="Arial"/>
        </w:rPr>
        <w:t xml:space="preserve">An important feature of the theory of </w:t>
      </w:r>
      <w:r w:rsidR="007A13B5" w:rsidRPr="007278E6">
        <w:rPr>
          <w:rFonts w:ascii="Arial" w:hAnsi="Arial" w:cs="Arial"/>
        </w:rPr>
        <w:t>Kit wood</w:t>
      </w:r>
      <w:r w:rsidRPr="007278E6">
        <w:rPr>
          <w:rFonts w:ascii="Arial" w:hAnsi="Arial" w:cs="Arial"/>
        </w:rPr>
        <w:t xml:space="preserve"> is that it </w:t>
      </w:r>
      <w:r w:rsidR="00E22CD1">
        <w:rPr>
          <w:rFonts w:ascii="Arial" w:hAnsi="Arial" w:cs="Arial"/>
        </w:rPr>
        <w:t>de-medicalizes</w:t>
      </w:r>
      <w:r w:rsidRPr="007278E6">
        <w:rPr>
          <w:rFonts w:ascii="Arial" w:hAnsi="Arial" w:cs="Arial"/>
        </w:rPr>
        <w:t xml:space="preserve"> dementia care and thus puts emphasis on the experience of living with dementia. This contributes towards dignity, autonomy</w:t>
      </w:r>
      <w:r w:rsidR="00E22CD1">
        <w:rPr>
          <w:rFonts w:ascii="Arial" w:hAnsi="Arial" w:cs="Arial"/>
        </w:rPr>
        <w:t>,</w:t>
      </w:r>
      <w:r w:rsidRPr="007278E6">
        <w:rPr>
          <w:rFonts w:ascii="Arial" w:hAnsi="Arial" w:cs="Arial"/>
        </w:rPr>
        <w:t xml:space="preserve"> and empowerment, that are key to PCC. It also enhances the relationship-based approach to care as staff are encouraged to learn more about the individual's past, likes and dislikes and how they communicate. This can have a positive impact in practice in terms of emotional well-being, and can decrease the amount of </w:t>
      </w:r>
      <w:r w:rsidR="007A13B5" w:rsidRPr="007278E6">
        <w:rPr>
          <w:rFonts w:ascii="Arial" w:hAnsi="Arial" w:cs="Arial"/>
        </w:rPr>
        <w:t>depersonalized</w:t>
      </w:r>
      <w:r w:rsidRPr="007278E6">
        <w:rPr>
          <w:rFonts w:ascii="Arial" w:hAnsi="Arial" w:cs="Arial"/>
        </w:rPr>
        <w:t>, task-oriented care.</w:t>
      </w:r>
      <w:r w:rsidR="00E22CD1" w:rsidRPr="00E22CD1">
        <w:t xml:space="preserve"> </w:t>
      </w:r>
      <w:r w:rsidR="00E22CD1" w:rsidRPr="00E22CD1">
        <w:rPr>
          <w:rFonts w:ascii="Arial" w:hAnsi="Arial" w:cs="Arial"/>
        </w:rPr>
        <w:t xml:space="preserve">But critics say that person </w:t>
      </w:r>
      <w:r w:rsidR="00DE5AD3" w:rsidRPr="00E22CD1">
        <w:rPr>
          <w:rFonts w:ascii="Arial" w:hAnsi="Arial" w:cs="Arial"/>
        </w:rPr>
        <w:t>centered</w:t>
      </w:r>
      <w:r w:rsidR="00E22CD1" w:rsidRPr="00E22CD1">
        <w:rPr>
          <w:rFonts w:ascii="Arial" w:hAnsi="Arial" w:cs="Arial"/>
        </w:rPr>
        <w:t xml:space="preserve"> approaches can be challenging in situations where staffing levels make it more important to get a job done rather than maintaining good relationships.</w:t>
      </w:r>
    </w:p>
    <w:p w14:paraId="4E1CD882" w14:textId="77777777" w:rsidR="001F277C" w:rsidRPr="007278E6" w:rsidRDefault="001F277C" w:rsidP="007278E6">
      <w:pPr>
        <w:pStyle w:val="Heading2"/>
      </w:pPr>
      <w:bookmarkStart w:id="8" w:name="_Toc233042678"/>
      <w:r w:rsidRPr="007278E6">
        <w:rPr>
          <w:sz w:val="32"/>
        </w:rPr>
        <w:t>3.3 Limitations and Critical Evaluation</w:t>
      </w:r>
      <w:bookmarkEnd w:id="8"/>
    </w:p>
    <w:p w14:paraId="43AAC546" w14:textId="09943602" w:rsidR="00597F51" w:rsidRPr="007278E6" w:rsidRDefault="00DE5AD3" w:rsidP="007278E6">
      <w:pPr>
        <w:spacing w:line="360" w:lineRule="auto"/>
        <w:jc w:val="both"/>
        <w:rPr>
          <w:rFonts w:ascii="Arial" w:hAnsi="Arial" w:cs="Arial"/>
        </w:rPr>
      </w:pPr>
      <w:r w:rsidRPr="007278E6">
        <w:rPr>
          <w:rFonts w:ascii="Arial" w:hAnsi="Arial" w:cs="Arial"/>
        </w:rPr>
        <w:t>Kit wood’s</w:t>
      </w:r>
      <w:r w:rsidR="00597F51" w:rsidRPr="007278E6">
        <w:rPr>
          <w:rFonts w:ascii="Arial" w:hAnsi="Arial" w:cs="Arial"/>
        </w:rPr>
        <w:t xml:space="preserve"> theory is not straightforward to put into practice in low resource dementia services. To be able to provide meaningful interaction, the staff must be trained, have time and continuity of care, but this can be restricted by issues of workforce shortages and </w:t>
      </w:r>
      <w:r w:rsidRPr="007278E6">
        <w:rPr>
          <w:rFonts w:ascii="Arial" w:hAnsi="Arial" w:cs="Arial"/>
        </w:rPr>
        <w:t>organizational</w:t>
      </w:r>
      <w:r w:rsidR="00597F51" w:rsidRPr="007278E6">
        <w:rPr>
          <w:rFonts w:ascii="Arial" w:hAnsi="Arial" w:cs="Arial"/>
        </w:rPr>
        <w:t xml:space="preserve"> pressures. The theory also only considers limited structural barriers like funding, service fragmentation and clinical risk. While a clinical assessment, or medication management or safeguarding decision </w:t>
      </w:r>
      <w:r w:rsidR="00597F51" w:rsidRPr="007278E6">
        <w:rPr>
          <w:rFonts w:ascii="Arial" w:hAnsi="Arial" w:cs="Arial"/>
        </w:rPr>
        <w:lastRenderedPageBreak/>
        <w:t xml:space="preserve">cannot be supplanted, </w:t>
      </w:r>
      <w:r w:rsidRPr="007278E6">
        <w:rPr>
          <w:rFonts w:ascii="Arial" w:hAnsi="Arial" w:cs="Arial"/>
        </w:rPr>
        <w:t>Kit wood’s</w:t>
      </w:r>
      <w:r w:rsidR="00597F51" w:rsidRPr="007278E6">
        <w:rPr>
          <w:rFonts w:ascii="Arial" w:hAnsi="Arial" w:cs="Arial"/>
        </w:rPr>
        <w:t xml:space="preserve"> approach does provide a more specific emphasis on identity, dignity and personhood than a biomedical model approach. Where it is needed is a balance of </w:t>
      </w:r>
      <w:r w:rsidR="000369FA" w:rsidRPr="007278E6">
        <w:rPr>
          <w:rFonts w:ascii="Arial" w:hAnsi="Arial" w:cs="Arial"/>
        </w:rPr>
        <w:t>person-</w:t>
      </w:r>
      <w:r w:rsidRPr="007278E6">
        <w:rPr>
          <w:rFonts w:ascii="Arial" w:hAnsi="Arial" w:cs="Arial"/>
        </w:rPr>
        <w:t>centered</w:t>
      </w:r>
      <w:r w:rsidR="00597F51" w:rsidRPr="007278E6">
        <w:rPr>
          <w:rFonts w:ascii="Arial" w:hAnsi="Arial" w:cs="Arial"/>
        </w:rPr>
        <w:t xml:space="preserve"> practice and clinical judgement</w:t>
      </w:r>
      <w:r w:rsidR="000369FA" w:rsidRPr="007278E6">
        <w:rPr>
          <w:rFonts w:ascii="Arial" w:hAnsi="Arial" w:cs="Arial"/>
        </w:rPr>
        <w:t xml:space="preserve"> </w:t>
      </w:r>
      <w:r w:rsidR="000369FA" w:rsidRPr="007278E6">
        <w:rPr>
          <w:rFonts w:ascii="Arial" w:eastAsia="Times New Roman" w:hAnsi="Arial" w:cs="Arial"/>
        </w:rPr>
        <w:t>(</w:t>
      </w:r>
      <w:proofErr w:type="spellStart"/>
      <w:r w:rsidR="000369FA" w:rsidRPr="007278E6">
        <w:rPr>
          <w:rFonts w:ascii="Arial" w:eastAsia="Times New Roman" w:hAnsi="Arial" w:cs="Arial"/>
        </w:rPr>
        <w:t>Kitwood</w:t>
      </w:r>
      <w:proofErr w:type="spellEnd"/>
      <w:r w:rsidR="000369FA" w:rsidRPr="007278E6">
        <w:rPr>
          <w:rFonts w:ascii="Arial" w:eastAsia="Times New Roman" w:hAnsi="Arial" w:cs="Arial"/>
        </w:rPr>
        <w:t xml:space="preserve"> and Brooker, 2019)</w:t>
      </w:r>
      <w:r w:rsidR="000369FA" w:rsidRPr="007278E6">
        <w:rPr>
          <w:rFonts w:ascii="Arial" w:hAnsi="Arial" w:cs="Arial"/>
        </w:rPr>
        <w:t>.</w:t>
      </w:r>
    </w:p>
    <w:p w14:paraId="095EE44D" w14:textId="77777777" w:rsidR="001F277C" w:rsidRPr="007278E6" w:rsidRDefault="001F277C" w:rsidP="007278E6">
      <w:pPr>
        <w:pStyle w:val="Heading1"/>
        <w:rPr>
          <w:b/>
          <w:color w:val="auto"/>
          <w:sz w:val="36"/>
        </w:rPr>
      </w:pPr>
      <w:bookmarkStart w:id="9" w:name="_Toc233042679"/>
      <w:r w:rsidRPr="007278E6">
        <w:rPr>
          <w:b/>
          <w:color w:val="auto"/>
          <w:sz w:val="36"/>
        </w:rPr>
        <w:t>4. Ethical Foundations of PCC and Partnership Working</w:t>
      </w:r>
      <w:bookmarkEnd w:id="9"/>
    </w:p>
    <w:p w14:paraId="18691798" w14:textId="77777777" w:rsidR="001F277C" w:rsidRPr="007278E6" w:rsidRDefault="001F277C" w:rsidP="007278E6">
      <w:pPr>
        <w:spacing w:line="360" w:lineRule="auto"/>
        <w:jc w:val="both"/>
        <w:rPr>
          <w:rFonts w:ascii="Arial" w:hAnsi="Arial" w:cs="Arial"/>
        </w:rPr>
      </w:pPr>
      <w:r w:rsidRPr="007278E6">
        <w:rPr>
          <w:rFonts w:ascii="Arial" w:hAnsi="Arial" w:cs="Arial"/>
        </w:rPr>
        <w:t xml:space="preserve">This section explores some of the ethical dilemmas </w:t>
      </w:r>
      <w:r w:rsidR="00E22CD1">
        <w:rPr>
          <w:rFonts w:ascii="Arial" w:hAnsi="Arial" w:cs="Arial"/>
        </w:rPr>
        <w:t>that</w:t>
      </w:r>
      <w:r w:rsidRPr="007278E6">
        <w:rPr>
          <w:rFonts w:ascii="Arial" w:hAnsi="Arial" w:cs="Arial"/>
        </w:rPr>
        <w:t xml:space="preserve"> impact on the implementation of the use of PCC and partnership working in dementia care.</w:t>
      </w:r>
    </w:p>
    <w:p w14:paraId="12BAEFD9" w14:textId="77777777" w:rsidR="001F277C" w:rsidRPr="007278E6" w:rsidRDefault="001F277C" w:rsidP="007278E6">
      <w:pPr>
        <w:pStyle w:val="Heading2"/>
        <w:rPr>
          <w:sz w:val="32"/>
        </w:rPr>
      </w:pPr>
      <w:bookmarkStart w:id="10" w:name="_Toc233042680"/>
      <w:r w:rsidRPr="007278E6">
        <w:rPr>
          <w:sz w:val="32"/>
        </w:rPr>
        <w:t>4.1 Autonomy, Protection and Best Interests</w:t>
      </w:r>
      <w:bookmarkEnd w:id="10"/>
    </w:p>
    <w:p w14:paraId="28901234" w14:textId="77777777" w:rsidR="001F277C" w:rsidRPr="007278E6" w:rsidRDefault="001F277C" w:rsidP="007278E6">
      <w:pPr>
        <w:spacing w:line="360" w:lineRule="auto"/>
        <w:jc w:val="both"/>
        <w:rPr>
          <w:rFonts w:ascii="Arial" w:eastAsia="Times New Roman" w:hAnsi="Arial" w:cs="Arial"/>
        </w:rPr>
      </w:pPr>
      <w:r w:rsidRPr="007278E6">
        <w:rPr>
          <w:rFonts w:ascii="Arial" w:hAnsi="Arial" w:cs="Arial"/>
        </w:rPr>
        <w:t xml:space="preserve">Caring for people with dementia is an ethically complex role, in which there is a tension between promoting autonomy </w:t>
      </w:r>
      <w:r w:rsidR="00E22CD1">
        <w:rPr>
          <w:rFonts w:ascii="Arial" w:hAnsi="Arial" w:cs="Arial"/>
        </w:rPr>
        <w:t xml:space="preserve">while ensuring protection </w:t>
      </w:r>
      <w:r w:rsidR="000369FA" w:rsidRPr="007278E6">
        <w:rPr>
          <w:rFonts w:ascii="Arial" w:eastAsia="Times New Roman" w:hAnsi="Arial" w:cs="Arial"/>
        </w:rPr>
        <w:t xml:space="preserve">(Valeska </w:t>
      </w:r>
      <w:proofErr w:type="spellStart"/>
      <w:r w:rsidR="000369FA" w:rsidRPr="007278E6">
        <w:rPr>
          <w:rFonts w:ascii="Arial" w:eastAsia="Times New Roman" w:hAnsi="Arial" w:cs="Arial"/>
        </w:rPr>
        <w:t>Delineau</w:t>
      </w:r>
      <w:proofErr w:type="spellEnd"/>
      <w:r w:rsidR="000369FA" w:rsidRPr="007278E6">
        <w:rPr>
          <w:rFonts w:ascii="Arial" w:eastAsia="Times New Roman" w:hAnsi="Arial" w:cs="Arial"/>
        </w:rPr>
        <w:t xml:space="preserve"> et al., 2025)</w:t>
      </w:r>
      <w:r w:rsidRPr="007278E6">
        <w:rPr>
          <w:rFonts w:ascii="Arial" w:hAnsi="Arial" w:cs="Arial"/>
        </w:rPr>
        <w:t>. This may be for a variety of reasons, for instance, someone may wish to stay at home even though there are risks of falls, self-neglect or medication error. There is a range of professional responsibilities to ensure wellbeing and to prevent harm, in addition to the right to individual choice, which PCC supports. This causes conflict between respecting independence and making best interest decisions</w:t>
      </w:r>
      <w:r w:rsidR="000369FA" w:rsidRPr="007278E6">
        <w:rPr>
          <w:rFonts w:ascii="Arial" w:hAnsi="Arial" w:cs="Arial"/>
        </w:rPr>
        <w:t xml:space="preserve"> </w:t>
      </w:r>
      <w:r w:rsidR="000369FA" w:rsidRPr="007278E6">
        <w:rPr>
          <w:rFonts w:ascii="Arial" w:eastAsia="Times New Roman" w:hAnsi="Arial" w:cs="Arial"/>
        </w:rPr>
        <w:t>(Tieu et al., 2022)</w:t>
      </w:r>
      <w:r w:rsidRPr="007278E6">
        <w:rPr>
          <w:rFonts w:ascii="Arial" w:hAnsi="Arial" w:cs="Arial"/>
        </w:rPr>
        <w:t>.</w:t>
      </w:r>
      <w:r w:rsidR="000369FA" w:rsidRPr="007278E6">
        <w:rPr>
          <w:rFonts w:ascii="Arial" w:hAnsi="Arial" w:cs="Arial"/>
        </w:rPr>
        <w:t xml:space="preserve"> </w:t>
      </w:r>
    </w:p>
    <w:p w14:paraId="3A171B79" w14:textId="77777777" w:rsidR="001F277C" w:rsidRPr="007278E6" w:rsidRDefault="001F277C" w:rsidP="007278E6">
      <w:pPr>
        <w:pStyle w:val="Heading2"/>
        <w:rPr>
          <w:sz w:val="32"/>
        </w:rPr>
      </w:pPr>
      <w:bookmarkStart w:id="11" w:name="_Toc233042681"/>
      <w:r w:rsidRPr="007278E6">
        <w:rPr>
          <w:sz w:val="32"/>
        </w:rPr>
        <w:t>4.2 Justice, Equality and Information Sharing</w:t>
      </w:r>
      <w:bookmarkEnd w:id="11"/>
    </w:p>
    <w:p w14:paraId="2385CED8" w14:textId="77777777" w:rsidR="001F277C" w:rsidRPr="007278E6" w:rsidRDefault="001F277C" w:rsidP="007278E6">
      <w:pPr>
        <w:spacing w:line="360" w:lineRule="auto"/>
        <w:jc w:val="both"/>
        <w:rPr>
          <w:rFonts w:ascii="Arial" w:eastAsia="Times New Roman" w:hAnsi="Arial" w:cs="Arial"/>
        </w:rPr>
      </w:pPr>
      <w:r w:rsidRPr="007278E6">
        <w:rPr>
          <w:rFonts w:ascii="Arial" w:hAnsi="Arial" w:cs="Arial"/>
        </w:rPr>
        <w:t>Justice is ensuring that the services are equitable to individuals of all ages, cultures and disabilities and not based on a diagnosis</w:t>
      </w:r>
      <w:r w:rsidR="000369FA" w:rsidRPr="007278E6">
        <w:rPr>
          <w:rFonts w:ascii="Arial" w:hAnsi="Arial" w:cs="Arial"/>
        </w:rPr>
        <w:t xml:space="preserve"> </w:t>
      </w:r>
      <w:r w:rsidR="000369FA" w:rsidRPr="007278E6">
        <w:rPr>
          <w:rFonts w:ascii="Arial" w:eastAsia="Times New Roman" w:hAnsi="Arial" w:cs="Arial"/>
        </w:rPr>
        <w:t>(Bhugra, Tribe and Poulter, 2022)</w:t>
      </w:r>
      <w:r w:rsidRPr="007278E6">
        <w:rPr>
          <w:rFonts w:ascii="Arial" w:hAnsi="Arial" w:cs="Arial"/>
        </w:rPr>
        <w:t>. But inequalities in funding and eligibility and local provision can constrain the scope for person-</w:t>
      </w:r>
      <w:proofErr w:type="spellStart"/>
      <w:r w:rsidRPr="007278E6">
        <w:rPr>
          <w:rFonts w:ascii="Arial" w:hAnsi="Arial" w:cs="Arial"/>
        </w:rPr>
        <w:t>centred</w:t>
      </w:r>
      <w:proofErr w:type="spellEnd"/>
      <w:r w:rsidRPr="007278E6">
        <w:rPr>
          <w:rFonts w:ascii="Arial" w:hAnsi="Arial" w:cs="Arial"/>
        </w:rPr>
        <w:t xml:space="preserve"> provision. Additionally, there are confidentiality and/or </w:t>
      </w:r>
      <w:r w:rsidR="00E22CD1">
        <w:rPr>
          <w:rFonts w:ascii="Arial" w:hAnsi="Arial" w:cs="Arial"/>
        </w:rPr>
        <w:t>information-sharing</w:t>
      </w:r>
      <w:r w:rsidRPr="007278E6">
        <w:rPr>
          <w:rFonts w:ascii="Arial" w:hAnsi="Arial" w:cs="Arial"/>
        </w:rPr>
        <w:t xml:space="preserve"> issues that arise with partnership working. Collaboration needs to be relevant and information needs to be shared, but at the same time respect the dignity and privacy of others</w:t>
      </w:r>
      <w:r w:rsidR="000369FA" w:rsidRPr="007278E6">
        <w:rPr>
          <w:rFonts w:ascii="Arial" w:hAnsi="Arial" w:cs="Arial"/>
        </w:rPr>
        <w:t xml:space="preserve"> </w:t>
      </w:r>
      <w:r w:rsidR="000369FA" w:rsidRPr="007278E6">
        <w:rPr>
          <w:rFonts w:ascii="Arial" w:eastAsia="Times New Roman" w:hAnsi="Arial" w:cs="Arial"/>
        </w:rPr>
        <w:t>(Simonette, Queiroz and Spina, 2023)</w:t>
      </w:r>
      <w:r w:rsidRPr="007278E6">
        <w:rPr>
          <w:rFonts w:ascii="Arial" w:hAnsi="Arial" w:cs="Arial"/>
        </w:rPr>
        <w:t>. So, caring is a balance of rights, risk, safety and independence – ethical care.</w:t>
      </w:r>
    </w:p>
    <w:p w14:paraId="5F5CFECC" w14:textId="77777777" w:rsidR="0095760A" w:rsidRPr="007278E6" w:rsidRDefault="0095760A" w:rsidP="007278E6">
      <w:pPr>
        <w:pStyle w:val="Heading1"/>
        <w:rPr>
          <w:b/>
          <w:color w:val="auto"/>
          <w:sz w:val="36"/>
        </w:rPr>
      </w:pPr>
      <w:bookmarkStart w:id="12" w:name="_Toc233042682"/>
      <w:r w:rsidRPr="007278E6">
        <w:rPr>
          <w:b/>
          <w:color w:val="auto"/>
          <w:sz w:val="36"/>
        </w:rPr>
        <w:t>5. Critical Evaluation of Partnership Working</w:t>
      </w:r>
      <w:bookmarkEnd w:id="12"/>
    </w:p>
    <w:p w14:paraId="0DA7B925" w14:textId="77777777" w:rsidR="0095760A" w:rsidRPr="007278E6" w:rsidRDefault="0095760A" w:rsidP="007278E6">
      <w:pPr>
        <w:spacing w:line="360" w:lineRule="auto"/>
        <w:jc w:val="both"/>
        <w:rPr>
          <w:rFonts w:ascii="Arial" w:hAnsi="Arial" w:cs="Arial"/>
        </w:rPr>
      </w:pPr>
      <w:r w:rsidRPr="007278E6">
        <w:rPr>
          <w:rFonts w:ascii="Arial" w:hAnsi="Arial" w:cs="Arial"/>
        </w:rPr>
        <w:t xml:space="preserve">This section considers partnership working as an important method of providing </w:t>
      </w:r>
      <w:r w:rsidR="00E22CD1">
        <w:rPr>
          <w:rFonts w:ascii="Arial" w:hAnsi="Arial" w:cs="Arial"/>
        </w:rPr>
        <w:t>coordinated</w:t>
      </w:r>
      <w:r w:rsidRPr="007278E6">
        <w:rPr>
          <w:rFonts w:ascii="Arial" w:hAnsi="Arial" w:cs="Arial"/>
        </w:rPr>
        <w:t xml:space="preserve">, safe and person </w:t>
      </w:r>
      <w:proofErr w:type="spellStart"/>
      <w:r w:rsidRPr="007278E6">
        <w:rPr>
          <w:rFonts w:ascii="Arial" w:hAnsi="Arial" w:cs="Arial"/>
        </w:rPr>
        <w:t>centred</w:t>
      </w:r>
      <w:proofErr w:type="spellEnd"/>
      <w:r w:rsidRPr="007278E6">
        <w:rPr>
          <w:rFonts w:ascii="Arial" w:hAnsi="Arial" w:cs="Arial"/>
        </w:rPr>
        <w:t xml:space="preserve"> dementia care.</w:t>
      </w:r>
    </w:p>
    <w:p w14:paraId="76767C88" w14:textId="77777777" w:rsidR="0095760A" w:rsidRPr="007278E6" w:rsidRDefault="0095760A" w:rsidP="007278E6">
      <w:pPr>
        <w:pStyle w:val="Heading2"/>
        <w:rPr>
          <w:sz w:val="32"/>
        </w:rPr>
      </w:pPr>
      <w:bookmarkStart w:id="13" w:name="_Toc233042683"/>
      <w:r w:rsidRPr="007278E6">
        <w:rPr>
          <w:sz w:val="32"/>
        </w:rPr>
        <w:t>5.1 Definition and Theoretical Basis</w:t>
      </w:r>
      <w:bookmarkEnd w:id="13"/>
    </w:p>
    <w:p w14:paraId="3A94612C" w14:textId="51B18B03" w:rsidR="0095760A" w:rsidRPr="007278E6" w:rsidRDefault="0095760A" w:rsidP="007278E6">
      <w:pPr>
        <w:spacing w:line="360" w:lineRule="auto"/>
        <w:jc w:val="both"/>
        <w:rPr>
          <w:rFonts w:ascii="Arial" w:eastAsia="Times New Roman" w:hAnsi="Arial" w:cs="Arial"/>
        </w:rPr>
      </w:pPr>
      <w:r w:rsidRPr="007278E6">
        <w:rPr>
          <w:rFonts w:ascii="Arial" w:hAnsi="Arial" w:cs="Arial"/>
        </w:rPr>
        <w:t xml:space="preserve">Partnership working is working together between health professionals, social care practitioners, service users and carers and external agencies to tackle complex needs, together planning and </w:t>
      </w:r>
      <w:r w:rsidRPr="007278E6">
        <w:rPr>
          <w:rFonts w:ascii="Arial" w:hAnsi="Arial" w:cs="Arial"/>
        </w:rPr>
        <w:lastRenderedPageBreak/>
        <w:t>deciding how to do this</w:t>
      </w:r>
      <w:r w:rsidR="000369FA" w:rsidRPr="007278E6">
        <w:rPr>
          <w:rFonts w:ascii="Arial" w:hAnsi="Arial" w:cs="Arial"/>
        </w:rPr>
        <w:t xml:space="preserve"> </w:t>
      </w:r>
      <w:r w:rsidR="000369FA" w:rsidRPr="007278E6">
        <w:rPr>
          <w:rFonts w:ascii="Arial" w:eastAsia="Times New Roman" w:hAnsi="Arial" w:cs="Arial"/>
        </w:rPr>
        <w:t>(Glasby, 2026)</w:t>
      </w:r>
      <w:r w:rsidRPr="007278E6">
        <w:rPr>
          <w:rFonts w:ascii="Arial" w:hAnsi="Arial" w:cs="Arial"/>
        </w:rPr>
        <w:t xml:space="preserve">. It embraces the concepts of 'integrated care', 'multidisciplinary working' and 'collaborative practice' - that is the care and services should revolve around the person, not the </w:t>
      </w:r>
      <w:r w:rsidR="00456D66" w:rsidRPr="007278E6">
        <w:rPr>
          <w:rFonts w:ascii="Arial" w:hAnsi="Arial" w:cs="Arial"/>
        </w:rPr>
        <w:t>organization</w:t>
      </w:r>
      <w:r w:rsidRPr="007278E6">
        <w:rPr>
          <w:rFonts w:ascii="Arial" w:hAnsi="Arial" w:cs="Arial"/>
        </w:rPr>
        <w:t>.</w:t>
      </w:r>
    </w:p>
    <w:p w14:paraId="6960A0E2" w14:textId="77777777" w:rsidR="0095760A" w:rsidRPr="007278E6" w:rsidRDefault="0095760A" w:rsidP="007278E6">
      <w:pPr>
        <w:pStyle w:val="Heading2"/>
        <w:rPr>
          <w:sz w:val="32"/>
        </w:rPr>
      </w:pPr>
      <w:bookmarkStart w:id="14" w:name="_Toc233042684"/>
      <w:r w:rsidRPr="007278E6">
        <w:rPr>
          <w:sz w:val="32"/>
        </w:rPr>
        <w:t>5.2 Benefits of Partnership Working</w:t>
      </w:r>
      <w:bookmarkEnd w:id="14"/>
    </w:p>
    <w:p w14:paraId="3B08FE61" w14:textId="77777777" w:rsidR="00597F51" w:rsidRPr="007278E6" w:rsidRDefault="00597F51" w:rsidP="007278E6">
      <w:pPr>
        <w:spacing w:line="360" w:lineRule="auto"/>
        <w:jc w:val="both"/>
        <w:rPr>
          <w:rStyle w:val="cursor-pointer"/>
          <w:rFonts w:ascii="Arial" w:eastAsia="Times New Roman" w:hAnsi="Arial" w:cs="Arial"/>
        </w:rPr>
      </w:pPr>
      <w:r w:rsidRPr="007278E6">
        <w:rPr>
          <w:rStyle w:val="cursor-pointer"/>
          <w:rFonts w:ascii="Arial" w:hAnsi="Arial" w:cs="Arial"/>
        </w:rPr>
        <w:t xml:space="preserve">Collaborative working can enhance the continuity of care for people with dementia by ensuring that the GP, nurses, social workers, care staff, and families have access to and can access information and </w:t>
      </w:r>
      <w:r w:rsidR="000369FA" w:rsidRPr="007278E6">
        <w:rPr>
          <w:rStyle w:val="cursor-pointer"/>
          <w:rFonts w:ascii="Arial" w:hAnsi="Arial" w:cs="Arial"/>
        </w:rPr>
        <w:t>coordinate</w:t>
      </w:r>
      <w:r w:rsidRPr="007278E6">
        <w:rPr>
          <w:rStyle w:val="cursor-pointer"/>
          <w:rFonts w:ascii="Arial" w:hAnsi="Arial" w:cs="Arial"/>
        </w:rPr>
        <w:t xml:space="preserve"> support</w:t>
      </w:r>
      <w:r w:rsidR="000369FA" w:rsidRPr="007278E6">
        <w:rPr>
          <w:rStyle w:val="cursor-pointer"/>
          <w:rFonts w:ascii="Arial" w:hAnsi="Arial" w:cs="Arial"/>
        </w:rPr>
        <w:t xml:space="preserve"> </w:t>
      </w:r>
      <w:r w:rsidR="000369FA" w:rsidRPr="007278E6">
        <w:rPr>
          <w:rFonts w:ascii="Arial" w:eastAsia="Times New Roman" w:hAnsi="Arial" w:cs="Arial"/>
        </w:rPr>
        <w:t>(Johannes Osterholm, Asa Larsson Ranada and Ann-Charlotte Nedlund, 2023)</w:t>
      </w:r>
      <w:r w:rsidRPr="007278E6">
        <w:rPr>
          <w:rStyle w:val="cursor-pointer"/>
          <w:rFonts w:ascii="Arial" w:hAnsi="Arial" w:cs="Arial"/>
        </w:rPr>
        <w:t>.</w:t>
      </w:r>
      <w:r w:rsidRPr="007278E6">
        <w:rPr>
          <w:rFonts w:ascii="Arial" w:hAnsi="Arial" w:cs="Arial"/>
        </w:rPr>
        <w:t xml:space="preserve"> </w:t>
      </w:r>
      <w:r w:rsidRPr="007278E6">
        <w:rPr>
          <w:rStyle w:val="cursor-pointer"/>
          <w:rFonts w:ascii="Arial" w:hAnsi="Arial" w:cs="Arial"/>
        </w:rPr>
        <w:t xml:space="preserve">This </w:t>
      </w:r>
      <w:proofErr w:type="spellStart"/>
      <w:r w:rsidRPr="007278E6">
        <w:rPr>
          <w:rStyle w:val="cursor-pointer"/>
          <w:rFonts w:ascii="Arial" w:hAnsi="Arial" w:cs="Arial"/>
        </w:rPr>
        <w:t>minimises</w:t>
      </w:r>
      <w:proofErr w:type="spellEnd"/>
      <w:r w:rsidRPr="007278E6">
        <w:rPr>
          <w:rStyle w:val="cursor-pointer"/>
          <w:rFonts w:ascii="Arial" w:hAnsi="Arial" w:cs="Arial"/>
        </w:rPr>
        <w:t xml:space="preserve"> the risk of duplication, duplication of interventions and improve safeguarding by earlier detection of risk factors such as neglect, medication errors, and/or breakdown in carers.</w:t>
      </w:r>
      <w:r w:rsidRPr="007278E6">
        <w:rPr>
          <w:rFonts w:ascii="Arial" w:hAnsi="Arial" w:cs="Arial"/>
        </w:rPr>
        <w:t xml:space="preserve"> </w:t>
      </w:r>
      <w:r w:rsidRPr="007278E6">
        <w:rPr>
          <w:rStyle w:val="cursor-pointer"/>
          <w:rFonts w:ascii="Arial" w:hAnsi="Arial" w:cs="Arial"/>
        </w:rPr>
        <w:t xml:space="preserve">It could also help to achieve better outcomes by supporting a more streamlined discharge from hospital, better community care planning and </w:t>
      </w:r>
      <w:r w:rsidR="00030658" w:rsidRPr="007278E6">
        <w:rPr>
          <w:rStyle w:val="cursor-pointer"/>
          <w:rFonts w:ascii="Arial" w:hAnsi="Arial" w:cs="Arial"/>
        </w:rPr>
        <w:t>preventing</w:t>
      </w:r>
      <w:r w:rsidRPr="007278E6">
        <w:rPr>
          <w:rStyle w:val="cursor-pointer"/>
          <w:rFonts w:ascii="Arial" w:hAnsi="Arial" w:cs="Arial"/>
        </w:rPr>
        <w:t xml:space="preserve"> a crisis earlier.</w:t>
      </w:r>
    </w:p>
    <w:p w14:paraId="6313A7E0" w14:textId="77777777" w:rsidR="0095760A" w:rsidRPr="007278E6" w:rsidRDefault="0095760A" w:rsidP="007278E6">
      <w:pPr>
        <w:pStyle w:val="Heading2"/>
        <w:rPr>
          <w:sz w:val="32"/>
        </w:rPr>
      </w:pPr>
      <w:bookmarkStart w:id="15" w:name="_Toc233042685"/>
      <w:r w:rsidRPr="007278E6">
        <w:rPr>
          <w:sz w:val="32"/>
        </w:rPr>
        <w:t>5.3 Challenges and Critical Evaluation</w:t>
      </w:r>
      <w:bookmarkEnd w:id="15"/>
    </w:p>
    <w:p w14:paraId="041C3803" w14:textId="77777777" w:rsidR="00597F51" w:rsidRPr="007278E6" w:rsidRDefault="00597F51" w:rsidP="007278E6">
      <w:pPr>
        <w:spacing w:line="360" w:lineRule="auto"/>
        <w:jc w:val="both"/>
        <w:rPr>
          <w:rFonts w:ascii="Arial" w:eastAsia="Times New Roman" w:hAnsi="Arial" w:cs="Arial"/>
        </w:rPr>
      </w:pPr>
      <w:r w:rsidRPr="007278E6">
        <w:rPr>
          <w:rFonts w:ascii="Arial" w:hAnsi="Arial" w:cs="Arial"/>
        </w:rPr>
        <w:t xml:space="preserve">Policy encourages partnership working, but in practice, this is not as strong. There can be delays, repeat assessments, and unsafe transitions between services due to communication gaps, particularly at the point of hospital discharge or referrals to a care home. The power imbalance can also </w:t>
      </w:r>
      <w:proofErr w:type="spellStart"/>
      <w:r w:rsidRPr="007278E6">
        <w:rPr>
          <w:rFonts w:ascii="Arial" w:hAnsi="Arial" w:cs="Arial"/>
        </w:rPr>
        <w:t>marginalise</w:t>
      </w:r>
      <w:proofErr w:type="spellEnd"/>
      <w:r w:rsidRPr="007278E6">
        <w:rPr>
          <w:rFonts w:ascii="Arial" w:hAnsi="Arial" w:cs="Arial"/>
        </w:rPr>
        <w:t xml:space="preserve"> service users and carers, and can be professionally managed rather than truly participative, as is termed a partnership. Additional barriers to integration include funding pressures, organizational silos and information-governance barriers</w:t>
      </w:r>
      <w:r w:rsidR="00030658" w:rsidRPr="007278E6">
        <w:rPr>
          <w:rFonts w:ascii="Arial" w:hAnsi="Arial" w:cs="Arial"/>
        </w:rPr>
        <w:t xml:space="preserve"> </w:t>
      </w:r>
      <w:r w:rsidR="00030658" w:rsidRPr="007278E6">
        <w:rPr>
          <w:rFonts w:ascii="Arial" w:eastAsia="Times New Roman" w:hAnsi="Arial" w:cs="Arial"/>
        </w:rPr>
        <w:t>(Muir et al., 2026)</w:t>
      </w:r>
      <w:r w:rsidRPr="007278E6">
        <w:rPr>
          <w:rFonts w:ascii="Arial" w:hAnsi="Arial" w:cs="Arial"/>
        </w:rPr>
        <w:t>. So partnership working can only benefit PCC if there is clear accountability, shared aims and good resources available, it is likely to be words and not action.</w:t>
      </w:r>
    </w:p>
    <w:p w14:paraId="499D7353" w14:textId="77777777" w:rsidR="0095760A" w:rsidRPr="007278E6" w:rsidRDefault="0095760A" w:rsidP="007278E6">
      <w:pPr>
        <w:pStyle w:val="Heading1"/>
        <w:rPr>
          <w:rFonts w:eastAsia="Times New Roman"/>
          <w:b/>
          <w:color w:val="auto"/>
          <w:sz w:val="36"/>
        </w:rPr>
      </w:pPr>
      <w:bookmarkStart w:id="16" w:name="_Toc233042686"/>
      <w:r w:rsidRPr="007278E6">
        <w:rPr>
          <w:rFonts w:eastAsia="Times New Roman"/>
          <w:b/>
          <w:color w:val="auto"/>
          <w:sz w:val="36"/>
        </w:rPr>
        <w:t>6. Application to Dementia Care Practice</w:t>
      </w:r>
      <w:bookmarkEnd w:id="16"/>
    </w:p>
    <w:p w14:paraId="385E25BF" w14:textId="77777777" w:rsidR="0095760A" w:rsidRPr="007278E6" w:rsidRDefault="0095760A" w:rsidP="007278E6">
      <w:pPr>
        <w:spacing w:line="360" w:lineRule="auto"/>
        <w:jc w:val="both"/>
        <w:rPr>
          <w:rFonts w:ascii="Arial" w:hAnsi="Arial" w:cs="Arial"/>
        </w:rPr>
      </w:pPr>
      <w:r w:rsidRPr="007278E6">
        <w:rPr>
          <w:rFonts w:ascii="Arial" w:hAnsi="Arial" w:cs="Arial"/>
        </w:rPr>
        <w:t>This section brings in PCC and partnership working to dementia care offering a link between theory and practice and acknowledging factors that are a barrier to practice.</w:t>
      </w:r>
    </w:p>
    <w:p w14:paraId="0EDAEE20" w14:textId="1D54668B" w:rsidR="0095760A" w:rsidRPr="007278E6" w:rsidRDefault="0095760A" w:rsidP="007278E6">
      <w:pPr>
        <w:pStyle w:val="Heading2"/>
        <w:rPr>
          <w:sz w:val="32"/>
        </w:rPr>
      </w:pPr>
      <w:bookmarkStart w:id="17" w:name="_Toc233042687"/>
      <w:r w:rsidRPr="007278E6">
        <w:rPr>
          <w:sz w:val="32"/>
        </w:rPr>
        <w:t>6.1 Person-</w:t>
      </w:r>
      <w:r w:rsidR="00456D66" w:rsidRPr="007278E6">
        <w:rPr>
          <w:sz w:val="32"/>
        </w:rPr>
        <w:t>Centered</w:t>
      </w:r>
      <w:r w:rsidRPr="007278E6">
        <w:rPr>
          <w:sz w:val="32"/>
        </w:rPr>
        <w:t xml:space="preserve"> Care in Dementia Practice</w:t>
      </w:r>
      <w:bookmarkEnd w:id="17"/>
    </w:p>
    <w:p w14:paraId="7FEDFE03" w14:textId="4AD09E12" w:rsidR="0095760A" w:rsidRPr="007278E6" w:rsidRDefault="0095760A" w:rsidP="007278E6">
      <w:pPr>
        <w:spacing w:line="360" w:lineRule="auto"/>
        <w:jc w:val="both"/>
        <w:rPr>
          <w:rFonts w:ascii="Arial" w:eastAsia="Times New Roman" w:hAnsi="Arial" w:cs="Arial"/>
        </w:rPr>
      </w:pPr>
      <w:r w:rsidRPr="007278E6">
        <w:rPr>
          <w:rFonts w:ascii="Arial" w:hAnsi="Arial" w:cs="Arial"/>
        </w:rPr>
        <w:t xml:space="preserve">PCC can be implemented in dementia care practice in a variety of ways, including life history work, </w:t>
      </w:r>
      <w:r w:rsidR="00456D66" w:rsidRPr="007278E6">
        <w:rPr>
          <w:rFonts w:ascii="Arial" w:hAnsi="Arial" w:cs="Arial"/>
        </w:rPr>
        <w:t>individualized</w:t>
      </w:r>
      <w:r w:rsidRPr="007278E6">
        <w:rPr>
          <w:rFonts w:ascii="Arial" w:hAnsi="Arial" w:cs="Arial"/>
        </w:rPr>
        <w:t xml:space="preserve"> care plans, supportive activities </w:t>
      </w:r>
      <w:r w:rsidR="00E22CD1">
        <w:rPr>
          <w:rFonts w:ascii="Arial" w:hAnsi="Arial" w:cs="Arial"/>
        </w:rPr>
        <w:t>that</w:t>
      </w:r>
      <w:r w:rsidRPr="007278E6">
        <w:rPr>
          <w:rFonts w:ascii="Arial" w:hAnsi="Arial" w:cs="Arial"/>
        </w:rPr>
        <w:t xml:space="preserve"> include opportunities to make </w:t>
      </w:r>
      <w:r w:rsidR="00030658" w:rsidRPr="007278E6">
        <w:rPr>
          <w:rFonts w:ascii="Arial" w:hAnsi="Arial" w:cs="Arial"/>
        </w:rPr>
        <w:t xml:space="preserve">choices </w:t>
      </w:r>
      <w:r w:rsidR="00030658" w:rsidRPr="007278E6">
        <w:rPr>
          <w:rFonts w:ascii="Arial" w:eastAsia="Times New Roman" w:hAnsi="Arial" w:cs="Arial"/>
        </w:rPr>
        <w:t>(</w:t>
      </w:r>
      <w:proofErr w:type="spellStart"/>
      <w:r w:rsidR="00030658" w:rsidRPr="007278E6">
        <w:rPr>
          <w:rFonts w:ascii="Arial" w:eastAsia="Times New Roman" w:hAnsi="Arial" w:cs="Arial"/>
        </w:rPr>
        <w:t>Marulappa</w:t>
      </w:r>
      <w:proofErr w:type="spellEnd"/>
      <w:r w:rsidR="00030658" w:rsidRPr="007278E6">
        <w:rPr>
          <w:rFonts w:ascii="Arial" w:eastAsia="Times New Roman" w:hAnsi="Arial" w:cs="Arial"/>
        </w:rPr>
        <w:t xml:space="preserve"> et al., 2022)</w:t>
      </w:r>
      <w:r w:rsidRPr="007278E6">
        <w:rPr>
          <w:rFonts w:ascii="Arial" w:hAnsi="Arial" w:cs="Arial"/>
        </w:rPr>
        <w:t xml:space="preserve">. </w:t>
      </w:r>
      <w:proofErr w:type="spellStart"/>
      <w:r w:rsidRPr="007278E6">
        <w:rPr>
          <w:rFonts w:ascii="Arial" w:hAnsi="Arial" w:cs="Arial"/>
        </w:rPr>
        <w:t>Kitwood's</w:t>
      </w:r>
      <w:proofErr w:type="spellEnd"/>
      <w:r w:rsidRPr="007278E6">
        <w:rPr>
          <w:rFonts w:ascii="Arial" w:hAnsi="Arial" w:cs="Arial"/>
        </w:rPr>
        <w:t xml:space="preserve"> attention to the person is helpful as it empowers staff to look beyond </w:t>
      </w:r>
      <w:r w:rsidR="00456D66" w:rsidRPr="007278E6">
        <w:rPr>
          <w:rFonts w:ascii="Arial" w:hAnsi="Arial" w:cs="Arial"/>
        </w:rPr>
        <w:t>behavior</w:t>
      </w:r>
      <w:r w:rsidRPr="007278E6">
        <w:rPr>
          <w:rFonts w:ascii="Arial" w:hAnsi="Arial" w:cs="Arial"/>
        </w:rPr>
        <w:t xml:space="preserve"> as an illness or symptom, and consider it as a form of communication</w:t>
      </w:r>
      <w:r w:rsidR="00030658" w:rsidRPr="007278E6">
        <w:rPr>
          <w:rFonts w:ascii="Arial" w:hAnsi="Arial" w:cs="Arial"/>
        </w:rPr>
        <w:t xml:space="preserve"> </w:t>
      </w:r>
      <w:r w:rsidR="00030658" w:rsidRPr="007278E6">
        <w:rPr>
          <w:rFonts w:ascii="Arial" w:eastAsia="Times New Roman" w:hAnsi="Arial" w:cs="Arial"/>
        </w:rPr>
        <w:t xml:space="preserve">(Kelly et </w:t>
      </w:r>
      <w:r w:rsidR="00030658" w:rsidRPr="007278E6">
        <w:rPr>
          <w:rFonts w:ascii="Arial" w:eastAsia="Times New Roman" w:hAnsi="Arial" w:cs="Arial"/>
        </w:rPr>
        <w:lastRenderedPageBreak/>
        <w:t>al., 2023)</w:t>
      </w:r>
      <w:r w:rsidRPr="007278E6">
        <w:rPr>
          <w:rFonts w:ascii="Arial" w:hAnsi="Arial" w:cs="Arial"/>
        </w:rPr>
        <w:t xml:space="preserve">. For instance, agitation could be </w:t>
      </w:r>
      <w:r w:rsidR="00E22CD1">
        <w:rPr>
          <w:rFonts w:ascii="Arial" w:hAnsi="Arial" w:cs="Arial"/>
        </w:rPr>
        <w:t xml:space="preserve">a </w:t>
      </w:r>
      <w:r w:rsidRPr="007278E6">
        <w:rPr>
          <w:rFonts w:ascii="Arial" w:hAnsi="Arial" w:cs="Arial"/>
        </w:rPr>
        <w:t>sign of pain, fear, boredom or anything else that is a trigger. This will work towards the person's dignity and autonomy, by making changes to care to fit the person, their routine and preferences.</w:t>
      </w:r>
    </w:p>
    <w:p w14:paraId="6836C8BA" w14:textId="77777777" w:rsidR="006F7BDE" w:rsidRPr="007278E6" w:rsidRDefault="0095760A" w:rsidP="007278E6">
      <w:pPr>
        <w:pStyle w:val="Heading2"/>
        <w:rPr>
          <w:sz w:val="32"/>
        </w:rPr>
      </w:pPr>
      <w:bookmarkStart w:id="18" w:name="_Toc233042688"/>
      <w:r w:rsidRPr="007278E6">
        <w:rPr>
          <w:sz w:val="32"/>
        </w:rPr>
        <w:t>6.2 Partnership Working in Dementia Practice</w:t>
      </w:r>
      <w:bookmarkEnd w:id="18"/>
    </w:p>
    <w:p w14:paraId="18BF695B" w14:textId="657F27F0" w:rsidR="006F7BDE" w:rsidRPr="007278E6" w:rsidRDefault="006F7BDE" w:rsidP="007278E6">
      <w:pPr>
        <w:spacing w:line="360" w:lineRule="auto"/>
        <w:jc w:val="both"/>
        <w:rPr>
          <w:rFonts w:ascii="Arial" w:hAnsi="Arial" w:cs="Arial"/>
        </w:rPr>
      </w:pPr>
      <w:r w:rsidRPr="007278E6">
        <w:rPr>
          <w:rFonts w:ascii="Arial" w:hAnsi="Arial" w:cs="Arial"/>
        </w:rPr>
        <w:t>Staff from GP, nu</w:t>
      </w:r>
      <w:r w:rsidR="00030658" w:rsidRPr="007278E6">
        <w:rPr>
          <w:rFonts w:ascii="Arial" w:hAnsi="Arial" w:cs="Arial"/>
        </w:rPr>
        <w:t>rses, social workers, care homes,</w:t>
      </w:r>
      <w:r w:rsidRPr="007278E6">
        <w:rPr>
          <w:rFonts w:ascii="Arial" w:hAnsi="Arial" w:cs="Arial"/>
        </w:rPr>
        <w:t xml:space="preserve"> occupational therapists, within a family</w:t>
      </w:r>
      <w:r w:rsidR="00030658" w:rsidRPr="007278E6">
        <w:rPr>
          <w:rFonts w:ascii="Arial" w:hAnsi="Arial" w:cs="Arial"/>
        </w:rPr>
        <w:t>,</w:t>
      </w:r>
      <w:r w:rsidRPr="007278E6">
        <w:rPr>
          <w:rFonts w:ascii="Arial" w:hAnsi="Arial" w:cs="Arial"/>
        </w:rPr>
        <w:t xml:space="preserve"> and as an advocate are needed to provide effective dementia care. This collaboration can allow for a comprehensive service, increase continuity and decrease unnecessary hospitalizations by proactively </w:t>
      </w:r>
      <w:r w:rsidR="00456D66" w:rsidRPr="007278E6">
        <w:rPr>
          <w:rFonts w:ascii="Arial" w:hAnsi="Arial" w:cs="Arial"/>
        </w:rPr>
        <w:t>recognizing</w:t>
      </w:r>
      <w:r w:rsidRPr="007278E6">
        <w:rPr>
          <w:rFonts w:ascii="Arial" w:hAnsi="Arial" w:cs="Arial"/>
        </w:rPr>
        <w:t xml:space="preserve"> potential issues and working together to plan services.</w:t>
      </w:r>
    </w:p>
    <w:p w14:paraId="02397D1D" w14:textId="77777777" w:rsidR="0095760A" w:rsidRPr="007278E6" w:rsidRDefault="0095760A" w:rsidP="007278E6">
      <w:pPr>
        <w:pStyle w:val="Heading2"/>
        <w:rPr>
          <w:sz w:val="32"/>
        </w:rPr>
      </w:pPr>
      <w:bookmarkStart w:id="19" w:name="_Toc233042689"/>
      <w:r w:rsidRPr="007278E6">
        <w:rPr>
          <w:sz w:val="32"/>
        </w:rPr>
        <w:t>6.3 Critical Evaluation</w:t>
      </w:r>
      <w:bookmarkEnd w:id="19"/>
    </w:p>
    <w:p w14:paraId="728165B9" w14:textId="703D54DB" w:rsidR="0095760A" w:rsidRPr="007278E6" w:rsidRDefault="0095760A" w:rsidP="007278E6">
      <w:pPr>
        <w:spacing w:line="360" w:lineRule="auto"/>
        <w:jc w:val="both"/>
        <w:rPr>
          <w:rFonts w:ascii="Arial" w:eastAsia="Times New Roman" w:hAnsi="Arial" w:cs="Arial"/>
        </w:rPr>
      </w:pPr>
      <w:r w:rsidRPr="007278E6">
        <w:rPr>
          <w:rFonts w:ascii="Arial" w:hAnsi="Arial" w:cs="Arial"/>
        </w:rPr>
        <w:t>But, the application is generally complicated. There might be capacity issues which are restricting any direct decision making, or family members and professionals could have conflicting views on what would be the most person-</w:t>
      </w:r>
      <w:r w:rsidR="00456D66" w:rsidRPr="007278E6">
        <w:rPr>
          <w:rFonts w:ascii="Arial" w:hAnsi="Arial" w:cs="Arial"/>
        </w:rPr>
        <w:t>centered</w:t>
      </w:r>
      <w:r w:rsidRPr="007278E6">
        <w:rPr>
          <w:rFonts w:ascii="Arial" w:hAnsi="Arial" w:cs="Arial"/>
        </w:rPr>
        <w:t xml:space="preserve"> and/or safest option. Failure to communicate between care homes, hospitals and community teams can have a negative impact on continuity as well</w:t>
      </w:r>
      <w:r w:rsidR="00030658" w:rsidRPr="007278E6">
        <w:rPr>
          <w:rFonts w:ascii="Arial" w:hAnsi="Arial" w:cs="Arial"/>
        </w:rPr>
        <w:t xml:space="preserve"> </w:t>
      </w:r>
      <w:r w:rsidR="00030658" w:rsidRPr="007278E6">
        <w:rPr>
          <w:rFonts w:ascii="Arial" w:eastAsia="Times New Roman" w:hAnsi="Arial" w:cs="Arial"/>
        </w:rPr>
        <w:t>(James et al., 2023)</w:t>
      </w:r>
      <w:r w:rsidR="00030658" w:rsidRPr="007278E6">
        <w:rPr>
          <w:rFonts w:ascii="Arial" w:hAnsi="Arial" w:cs="Arial"/>
        </w:rPr>
        <w:t xml:space="preserve">. </w:t>
      </w:r>
      <w:r w:rsidRPr="007278E6">
        <w:rPr>
          <w:rFonts w:ascii="Arial" w:hAnsi="Arial" w:cs="Arial"/>
        </w:rPr>
        <w:t>Thus, PCC theory is successful if there is time, training and shared information but in practice, there are barriers in the form of staffing pressures, fragmented systems, and a risk-oriented approach to practice.</w:t>
      </w:r>
    </w:p>
    <w:p w14:paraId="69286025" w14:textId="77777777" w:rsidR="006F7BDE" w:rsidRPr="007278E6" w:rsidRDefault="006F7BDE" w:rsidP="007278E6">
      <w:pPr>
        <w:pStyle w:val="Heading1"/>
        <w:rPr>
          <w:b/>
          <w:color w:val="auto"/>
          <w:sz w:val="36"/>
        </w:rPr>
      </w:pPr>
      <w:bookmarkStart w:id="20" w:name="_Toc233042690"/>
      <w:r w:rsidRPr="007278E6">
        <w:rPr>
          <w:b/>
          <w:color w:val="auto"/>
          <w:sz w:val="36"/>
        </w:rPr>
        <w:t>7. Critical Analysis of Policy and Legislation</w:t>
      </w:r>
      <w:bookmarkEnd w:id="20"/>
    </w:p>
    <w:p w14:paraId="4CFD589D" w14:textId="77777777" w:rsidR="006F7BDE" w:rsidRPr="007278E6" w:rsidRDefault="006F7BDE" w:rsidP="007278E6">
      <w:pPr>
        <w:spacing w:line="360" w:lineRule="auto"/>
        <w:jc w:val="both"/>
        <w:rPr>
          <w:rFonts w:ascii="Arial" w:hAnsi="Arial" w:cs="Arial"/>
        </w:rPr>
      </w:pPr>
      <w:r w:rsidRPr="007278E6">
        <w:rPr>
          <w:rFonts w:ascii="Arial" w:hAnsi="Arial" w:cs="Arial"/>
        </w:rPr>
        <w:t>This section examines the role that policy and legislation in the UK can play in helping to support PCC and partnership working, whilst identifying the difference between the legal requirements and practice.</w:t>
      </w:r>
    </w:p>
    <w:p w14:paraId="2E3D4B77" w14:textId="77777777" w:rsidR="006F7BDE" w:rsidRPr="007278E6" w:rsidRDefault="006F7BDE" w:rsidP="007278E6">
      <w:pPr>
        <w:pStyle w:val="Heading2"/>
        <w:rPr>
          <w:sz w:val="32"/>
        </w:rPr>
      </w:pPr>
      <w:bookmarkStart w:id="21" w:name="_Toc233042691"/>
      <w:r w:rsidRPr="007278E6">
        <w:rPr>
          <w:sz w:val="32"/>
        </w:rPr>
        <w:t>7.1 Rights, Autonomy and Protection</w:t>
      </w:r>
      <w:bookmarkEnd w:id="21"/>
    </w:p>
    <w:p w14:paraId="0084D233" w14:textId="77777777" w:rsidR="006F7BDE" w:rsidRPr="007278E6" w:rsidRDefault="006F7BDE" w:rsidP="007278E6">
      <w:pPr>
        <w:spacing w:line="360" w:lineRule="auto"/>
        <w:jc w:val="both"/>
        <w:rPr>
          <w:rFonts w:ascii="Arial" w:eastAsia="Times New Roman" w:hAnsi="Arial" w:cs="Arial"/>
        </w:rPr>
      </w:pPr>
      <w:r w:rsidRPr="007278E6">
        <w:rPr>
          <w:rStyle w:val="cursor-pointer"/>
          <w:rFonts w:ascii="Arial" w:hAnsi="Arial" w:cs="Arial"/>
        </w:rPr>
        <w:t>These are key values of PCC that are reflected in the Human Rights Act 1998 and encompass dignity, privacy and protection from degrading treatment.</w:t>
      </w:r>
      <w:r w:rsidRPr="007278E6">
        <w:rPr>
          <w:rFonts w:ascii="Arial" w:hAnsi="Arial" w:cs="Arial"/>
        </w:rPr>
        <w:t xml:space="preserve"> </w:t>
      </w:r>
      <w:r w:rsidR="007278E6" w:rsidRPr="007278E6">
        <w:rPr>
          <w:rStyle w:val="cursor-pointer"/>
          <w:rFonts w:ascii="Arial" w:hAnsi="Arial" w:cs="Arial"/>
        </w:rPr>
        <w:t>Likewise,</w:t>
      </w:r>
      <w:r w:rsidRPr="007278E6">
        <w:rPr>
          <w:rStyle w:val="cursor-pointer"/>
          <w:rFonts w:ascii="Arial" w:hAnsi="Arial" w:cs="Arial"/>
        </w:rPr>
        <w:t xml:space="preserve"> the Mental Capacity Act 2005 gives greater protection to individuals' autonomy by giving the presumption of capacity to professionals unless they are proven to lack it and by encouraging professionals to involve individuals in decisions wherever possible</w:t>
      </w:r>
      <w:r w:rsidR="00030658" w:rsidRPr="007278E6">
        <w:rPr>
          <w:rStyle w:val="cursor-pointer"/>
          <w:rFonts w:ascii="Arial" w:hAnsi="Arial" w:cs="Arial"/>
        </w:rPr>
        <w:t xml:space="preserve"> </w:t>
      </w:r>
      <w:r w:rsidR="00030658" w:rsidRPr="007278E6">
        <w:rPr>
          <w:rFonts w:ascii="Arial" w:eastAsia="Times New Roman" w:hAnsi="Arial" w:cs="Arial"/>
        </w:rPr>
        <w:t>(Stanley, 2016)</w:t>
      </w:r>
      <w:r w:rsidRPr="007278E6">
        <w:rPr>
          <w:rStyle w:val="cursor-pointer"/>
          <w:rFonts w:ascii="Arial" w:hAnsi="Arial" w:cs="Arial"/>
        </w:rPr>
        <w:t>.</w:t>
      </w:r>
      <w:r w:rsidRPr="007278E6">
        <w:rPr>
          <w:rFonts w:ascii="Arial" w:hAnsi="Arial" w:cs="Arial"/>
        </w:rPr>
        <w:t xml:space="preserve"> </w:t>
      </w:r>
      <w:r w:rsidRPr="007278E6">
        <w:rPr>
          <w:rStyle w:val="cursor-pointer"/>
          <w:rFonts w:ascii="Arial" w:hAnsi="Arial" w:cs="Arial"/>
        </w:rPr>
        <w:t>In dementia care, though, the opposite is the case; protection is restriction if the practice is risk adverse, and few choices are available.</w:t>
      </w:r>
    </w:p>
    <w:p w14:paraId="0280AA53" w14:textId="69C2ECEA" w:rsidR="006F7BDE" w:rsidRPr="007278E6" w:rsidRDefault="006F7BDE" w:rsidP="007278E6">
      <w:pPr>
        <w:pStyle w:val="Heading2"/>
        <w:rPr>
          <w:sz w:val="32"/>
        </w:rPr>
      </w:pPr>
      <w:bookmarkStart w:id="22" w:name="_Toc233042692"/>
      <w:r w:rsidRPr="007278E6">
        <w:rPr>
          <w:sz w:val="32"/>
        </w:rPr>
        <w:t xml:space="preserve">7.2 Wellbeing, </w:t>
      </w:r>
      <w:r w:rsidR="00456D66" w:rsidRPr="007278E6">
        <w:rPr>
          <w:sz w:val="32"/>
        </w:rPr>
        <w:t>Personalization</w:t>
      </w:r>
      <w:r w:rsidRPr="007278E6">
        <w:rPr>
          <w:sz w:val="32"/>
        </w:rPr>
        <w:t xml:space="preserve"> and Equality</w:t>
      </w:r>
      <w:bookmarkEnd w:id="22"/>
    </w:p>
    <w:p w14:paraId="1D12E3AF" w14:textId="77777777" w:rsidR="006F7BDE" w:rsidRPr="007278E6" w:rsidRDefault="006F7BDE" w:rsidP="007278E6">
      <w:pPr>
        <w:spacing w:line="360" w:lineRule="auto"/>
        <w:jc w:val="both"/>
        <w:rPr>
          <w:rFonts w:ascii="Arial" w:eastAsia="Times New Roman" w:hAnsi="Arial" w:cs="Arial"/>
        </w:rPr>
      </w:pPr>
      <w:r w:rsidRPr="007278E6">
        <w:rPr>
          <w:rStyle w:val="cursor-pointer"/>
          <w:rFonts w:ascii="Arial" w:hAnsi="Arial" w:cs="Arial"/>
        </w:rPr>
        <w:lastRenderedPageBreak/>
        <w:t xml:space="preserve">The Care Act 2014 is very relevant to planning for PCC and social care as it encourages wellbeing, prevention and </w:t>
      </w:r>
      <w:r w:rsidR="00030658" w:rsidRPr="007278E6">
        <w:rPr>
          <w:rStyle w:val="cursor-pointer"/>
          <w:rFonts w:ascii="Arial" w:hAnsi="Arial" w:cs="Arial"/>
        </w:rPr>
        <w:t xml:space="preserve">personalization </w:t>
      </w:r>
      <w:r w:rsidR="00030658" w:rsidRPr="007278E6">
        <w:rPr>
          <w:rFonts w:ascii="Arial" w:eastAsia="Times New Roman" w:hAnsi="Arial" w:cs="Arial"/>
        </w:rPr>
        <w:t>(Stewart and Livanou, 2025)</w:t>
      </w:r>
      <w:r w:rsidRPr="007278E6">
        <w:rPr>
          <w:rStyle w:val="cursor-pointer"/>
          <w:rFonts w:ascii="Arial" w:hAnsi="Arial" w:cs="Arial"/>
        </w:rPr>
        <w:t>.</w:t>
      </w:r>
      <w:r w:rsidRPr="007278E6">
        <w:rPr>
          <w:rFonts w:ascii="Arial" w:hAnsi="Arial" w:cs="Arial"/>
        </w:rPr>
        <w:t xml:space="preserve"> </w:t>
      </w:r>
      <w:r w:rsidRPr="007278E6">
        <w:rPr>
          <w:rStyle w:val="cursor-pointer"/>
          <w:rFonts w:ascii="Arial" w:hAnsi="Arial" w:cs="Arial"/>
        </w:rPr>
        <w:t>However, it will be effective based on the availability of funds, staffing and services at the local level.</w:t>
      </w:r>
      <w:r w:rsidRPr="007278E6">
        <w:rPr>
          <w:rFonts w:ascii="Arial" w:hAnsi="Arial" w:cs="Arial"/>
        </w:rPr>
        <w:t xml:space="preserve"> </w:t>
      </w:r>
      <w:r w:rsidRPr="007278E6">
        <w:rPr>
          <w:rStyle w:val="cursor-pointer"/>
          <w:rFonts w:ascii="Arial" w:hAnsi="Arial" w:cs="Arial"/>
        </w:rPr>
        <w:t>The Equality Act 2010 also promotes inclusive care as it requires the provision of fair access and reasonable adjustments; however, there is potential for inequalities to remain by the way of older adults, ethnic minorities and those who have complex dementia needs.</w:t>
      </w:r>
    </w:p>
    <w:p w14:paraId="78B57205" w14:textId="77777777" w:rsidR="006F7BDE" w:rsidRPr="007278E6" w:rsidRDefault="006F7BDE" w:rsidP="007278E6">
      <w:pPr>
        <w:pStyle w:val="Heading2"/>
        <w:rPr>
          <w:sz w:val="32"/>
        </w:rPr>
      </w:pPr>
      <w:bookmarkStart w:id="23" w:name="_Toc233042693"/>
      <w:r w:rsidRPr="007278E6">
        <w:rPr>
          <w:sz w:val="32"/>
        </w:rPr>
        <w:t>7.3 Integrated Working</w:t>
      </w:r>
      <w:bookmarkEnd w:id="23"/>
    </w:p>
    <w:p w14:paraId="63E41945" w14:textId="46490CE1" w:rsidR="006F7BDE" w:rsidRPr="007278E6" w:rsidRDefault="006F7BDE" w:rsidP="007278E6">
      <w:pPr>
        <w:spacing w:line="360" w:lineRule="auto"/>
        <w:jc w:val="both"/>
        <w:rPr>
          <w:rFonts w:ascii="Arial" w:eastAsia="Times New Roman" w:hAnsi="Arial" w:cs="Arial"/>
        </w:rPr>
      </w:pPr>
      <w:r w:rsidRPr="007278E6">
        <w:rPr>
          <w:rStyle w:val="cursor-pointer"/>
          <w:rFonts w:ascii="Arial" w:hAnsi="Arial" w:cs="Arial"/>
        </w:rPr>
        <w:t xml:space="preserve">Joined up services both between health and social care and between health, social care and community </w:t>
      </w:r>
      <w:r w:rsidR="00456D66" w:rsidRPr="007278E6">
        <w:rPr>
          <w:rStyle w:val="cursor-pointer"/>
          <w:rFonts w:ascii="Arial" w:hAnsi="Arial" w:cs="Arial"/>
        </w:rPr>
        <w:t>organizations</w:t>
      </w:r>
      <w:r w:rsidR="00E22CD1">
        <w:rPr>
          <w:rStyle w:val="cursor-pointer"/>
          <w:rFonts w:ascii="Arial" w:hAnsi="Arial" w:cs="Arial"/>
        </w:rPr>
        <w:t>,</w:t>
      </w:r>
      <w:r w:rsidRPr="007278E6">
        <w:rPr>
          <w:rStyle w:val="cursor-pointer"/>
          <w:rFonts w:ascii="Arial" w:hAnsi="Arial" w:cs="Arial"/>
        </w:rPr>
        <w:t xml:space="preserve"> are being promoted in the Health and Social Care Act 2012, NHS Long Term Plan and Integrated Care Systems</w:t>
      </w:r>
      <w:r w:rsidR="00030658" w:rsidRPr="007278E6">
        <w:rPr>
          <w:rStyle w:val="cursor-pointer"/>
          <w:rFonts w:ascii="Arial" w:hAnsi="Arial" w:cs="Arial"/>
        </w:rPr>
        <w:t xml:space="preserve"> </w:t>
      </w:r>
      <w:r w:rsidR="00030658" w:rsidRPr="007278E6">
        <w:rPr>
          <w:rFonts w:ascii="Arial" w:eastAsia="Times New Roman" w:hAnsi="Arial" w:cs="Arial"/>
        </w:rPr>
        <w:t>(Bramwell et al., 2023)</w:t>
      </w:r>
      <w:r w:rsidRPr="007278E6">
        <w:rPr>
          <w:rStyle w:val="cursor-pointer"/>
          <w:rFonts w:ascii="Arial" w:hAnsi="Arial" w:cs="Arial"/>
        </w:rPr>
        <w:t>.</w:t>
      </w:r>
      <w:r w:rsidRPr="007278E6">
        <w:rPr>
          <w:rFonts w:ascii="Arial" w:hAnsi="Arial" w:cs="Arial"/>
        </w:rPr>
        <w:t xml:space="preserve"> </w:t>
      </w:r>
      <w:r w:rsidRPr="007278E6">
        <w:rPr>
          <w:rStyle w:val="cursor-pointer"/>
          <w:rFonts w:ascii="Arial" w:hAnsi="Arial" w:cs="Arial"/>
        </w:rPr>
        <w:t xml:space="preserve">This helps to promote </w:t>
      </w:r>
      <w:r w:rsidR="00E22CD1">
        <w:rPr>
          <w:rStyle w:val="cursor-pointer"/>
          <w:rFonts w:ascii="Arial" w:hAnsi="Arial" w:cs="Arial"/>
        </w:rPr>
        <w:t>coordination</w:t>
      </w:r>
      <w:r w:rsidRPr="007278E6">
        <w:rPr>
          <w:rStyle w:val="cursor-pointer"/>
          <w:rFonts w:ascii="Arial" w:hAnsi="Arial" w:cs="Arial"/>
        </w:rPr>
        <w:t xml:space="preserve"> around the individual for partnership working.</w:t>
      </w:r>
      <w:r w:rsidRPr="007278E6">
        <w:rPr>
          <w:rFonts w:ascii="Arial" w:hAnsi="Arial" w:cs="Arial"/>
        </w:rPr>
        <w:t xml:space="preserve"> </w:t>
      </w:r>
      <w:r w:rsidRPr="007278E6">
        <w:rPr>
          <w:rStyle w:val="cursor-pointer"/>
          <w:rFonts w:ascii="Arial" w:hAnsi="Arial" w:cs="Arial"/>
        </w:rPr>
        <w:t xml:space="preserve">Most importantly, however, integration is challenging when agencies use separate data systems, eligibility criteria and </w:t>
      </w:r>
      <w:r w:rsidR="00456D66" w:rsidRPr="007278E6">
        <w:rPr>
          <w:rStyle w:val="cursor-pointer"/>
          <w:rFonts w:ascii="Arial" w:hAnsi="Arial" w:cs="Arial"/>
        </w:rPr>
        <w:t>organizational</w:t>
      </w:r>
      <w:r w:rsidRPr="007278E6">
        <w:rPr>
          <w:rStyle w:val="cursor-pointer"/>
          <w:rFonts w:ascii="Arial" w:hAnsi="Arial" w:cs="Arial"/>
        </w:rPr>
        <w:t xml:space="preserve"> priorities, and have their own budgets.</w:t>
      </w:r>
    </w:p>
    <w:p w14:paraId="40AA606E" w14:textId="77777777" w:rsidR="006F7BDE" w:rsidRPr="007278E6" w:rsidRDefault="006F7BDE" w:rsidP="007278E6">
      <w:pPr>
        <w:pStyle w:val="Heading2"/>
        <w:rPr>
          <w:sz w:val="32"/>
        </w:rPr>
      </w:pPr>
      <w:bookmarkStart w:id="24" w:name="_Toc233042694"/>
      <w:r w:rsidRPr="007278E6">
        <w:rPr>
          <w:sz w:val="32"/>
        </w:rPr>
        <w:t>7.4 Synthesis</w:t>
      </w:r>
      <w:bookmarkEnd w:id="24"/>
    </w:p>
    <w:p w14:paraId="6342392B" w14:textId="318EAB54" w:rsidR="006F7BDE" w:rsidRPr="007278E6" w:rsidRDefault="006F7BDE" w:rsidP="007278E6">
      <w:pPr>
        <w:spacing w:line="360" w:lineRule="auto"/>
        <w:jc w:val="both"/>
        <w:rPr>
          <w:rStyle w:val="cursor-pointer"/>
          <w:rFonts w:ascii="Arial" w:hAnsi="Arial" w:cs="Arial"/>
        </w:rPr>
      </w:pPr>
      <w:r w:rsidRPr="007278E6">
        <w:rPr>
          <w:rStyle w:val="cursor-pointer"/>
          <w:rFonts w:ascii="Arial" w:hAnsi="Arial" w:cs="Arial"/>
        </w:rPr>
        <w:t>Legislation and policy have provided a good framework in total for PCC and PW.</w:t>
      </w:r>
      <w:r w:rsidRPr="007278E6">
        <w:rPr>
          <w:rFonts w:ascii="Arial" w:hAnsi="Arial" w:cs="Arial"/>
        </w:rPr>
        <w:t xml:space="preserve"> </w:t>
      </w:r>
      <w:r w:rsidRPr="007278E6">
        <w:rPr>
          <w:rStyle w:val="cursor-pointer"/>
          <w:rFonts w:ascii="Arial" w:hAnsi="Arial" w:cs="Arial"/>
        </w:rPr>
        <w:t xml:space="preserve">However, there are still implementation challenges as there is a need for resources, stability of workforce, shared accountability and </w:t>
      </w:r>
      <w:r w:rsidR="00456D66" w:rsidRPr="007278E6">
        <w:rPr>
          <w:rStyle w:val="cursor-pointer"/>
          <w:rFonts w:ascii="Arial" w:hAnsi="Arial" w:cs="Arial"/>
        </w:rPr>
        <w:t>organizational</w:t>
      </w:r>
      <w:r w:rsidRPr="007278E6">
        <w:rPr>
          <w:rStyle w:val="cursor-pointer"/>
          <w:rFonts w:ascii="Arial" w:hAnsi="Arial" w:cs="Arial"/>
        </w:rPr>
        <w:t xml:space="preserve"> commitment to implement rights-based, </w:t>
      </w:r>
      <w:r w:rsidR="00456D66" w:rsidRPr="007278E6">
        <w:rPr>
          <w:rStyle w:val="cursor-pointer"/>
          <w:rFonts w:ascii="Arial" w:hAnsi="Arial" w:cs="Arial"/>
        </w:rPr>
        <w:t>personalized</w:t>
      </w:r>
      <w:r w:rsidRPr="007278E6">
        <w:rPr>
          <w:rStyle w:val="cursor-pointer"/>
          <w:rFonts w:ascii="Arial" w:hAnsi="Arial" w:cs="Arial"/>
        </w:rPr>
        <w:t xml:space="preserve"> and integrated care.</w:t>
      </w:r>
    </w:p>
    <w:p w14:paraId="7E982552" w14:textId="77777777" w:rsidR="006F7BDE" w:rsidRPr="007278E6" w:rsidRDefault="006F7BDE" w:rsidP="007278E6">
      <w:pPr>
        <w:pStyle w:val="Heading1"/>
        <w:rPr>
          <w:b/>
          <w:color w:val="auto"/>
          <w:sz w:val="36"/>
        </w:rPr>
      </w:pPr>
      <w:bookmarkStart w:id="25" w:name="_Toc233042695"/>
      <w:r w:rsidRPr="007278E6">
        <w:rPr>
          <w:b/>
          <w:color w:val="auto"/>
          <w:sz w:val="36"/>
        </w:rPr>
        <w:t>8. Recommendations for Future Development</w:t>
      </w:r>
      <w:bookmarkEnd w:id="25"/>
    </w:p>
    <w:p w14:paraId="2DDCC0EA" w14:textId="77777777" w:rsidR="006F7BDE" w:rsidRPr="007278E6" w:rsidRDefault="006F7BDE" w:rsidP="007278E6">
      <w:pPr>
        <w:spacing w:line="360" w:lineRule="auto"/>
        <w:jc w:val="both"/>
        <w:rPr>
          <w:rFonts w:ascii="Arial" w:hAnsi="Arial" w:cs="Arial"/>
        </w:rPr>
      </w:pPr>
      <w:r w:rsidRPr="007278E6">
        <w:rPr>
          <w:rFonts w:ascii="Arial" w:hAnsi="Arial" w:cs="Arial"/>
        </w:rPr>
        <w:t>The following section recommends enhancements to be made in dementia care to build the implementation of PCC and partnership working.</w:t>
      </w:r>
    </w:p>
    <w:p w14:paraId="08E189E2" w14:textId="77777777" w:rsidR="006F7BDE" w:rsidRPr="007278E6" w:rsidRDefault="006F7BDE" w:rsidP="007278E6">
      <w:pPr>
        <w:pStyle w:val="Heading2"/>
        <w:rPr>
          <w:sz w:val="32"/>
        </w:rPr>
      </w:pPr>
      <w:bookmarkStart w:id="26" w:name="_Toc233042696"/>
      <w:r w:rsidRPr="007278E6">
        <w:rPr>
          <w:sz w:val="32"/>
        </w:rPr>
        <w:t>8.1 Staff Development and Communication</w:t>
      </w:r>
      <w:bookmarkEnd w:id="26"/>
    </w:p>
    <w:p w14:paraId="4F735168" w14:textId="77777777" w:rsidR="006F7BDE" w:rsidRPr="007278E6" w:rsidRDefault="006F7BDE" w:rsidP="007278E6">
      <w:pPr>
        <w:spacing w:line="360" w:lineRule="auto"/>
        <w:jc w:val="both"/>
        <w:rPr>
          <w:rFonts w:ascii="Arial" w:eastAsia="Times New Roman" w:hAnsi="Arial" w:cs="Arial"/>
        </w:rPr>
      </w:pPr>
      <w:r w:rsidRPr="007278E6">
        <w:rPr>
          <w:rStyle w:val="cursor-pointer"/>
          <w:rFonts w:ascii="Arial" w:hAnsi="Arial" w:cs="Arial"/>
        </w:rPr>
        <w:t>All staff to be provided with mandatory training annually to build understanding of personhood, communication and ethical decision making – with dementia focus</w:t>
      </w:r>
      <w:r w:rsidR="00826D74" w:rsidRPr="007278E6">
        <w:rPr>
          <w:rStyle w:val="cursor-pointer"/>
          <w:rFonts w:ascii="Arial" w:hAnsi="Arial" w:cs="Arial"/>
        </w:rPr>
        <w:t xml:space="preserve"> </w:t>
      </w:r>
      <w:r w:rsidR="00826D74" w:rsidRPr="007278E6">
        <w:rPr>
          <w:rFonts w:ascii="Arial" w:eastAsia="Times New Roman" w:hAnsi="Arial" w:cs="Arial"/>
        </w:rPr>
        <w:t>(Moenke, Handley and Goodman, 2023)</w:t>
      </w:r>
      <w:r w:rsidRPr="007278E6">
        <w:rPr>
          <w:rStyle w:val="cursor-pointer"/>
          <w:rFonts w:ascii="Arial" w:hAnsi="Arial" w:cs="Arial"/>
        </w:rPr>
        <w:t>.</w:t>
      </w:r>
      <w:r w:rsidRPr="007278E6">
        <w:rPr>
          <w:rFonts w:ascii="Arial" w:hAnsi="Arial" w:cs="Arial"/>
        </w:rPr>
        <w:t xml:space="preserve"> </w:t>
      </w:r>
      <w:r w:rsidRPr="007278E6">
        <w:rPr>
          <w:rStyle w:val="cursor-pointer"/>
          <w:rFonts w:ascii="Arial" w:hAnsi="Arial" w:cs="Arial"/>
        </w:rPr>
        <w:t>This can improve the quality of care, but can be costly and will need protected training time.</w:t>
      </w:r>
      <w:r w:rsidRPr="007278E6">
        <w:rPr>
          <w:rFonts w:ascii="Arial" w:hAnsi="Arial" w:cs="Arial"/>
        </w:rPr>
        <w:t xml:space="preserve"> </w:t>
      </w:r>
      <w:r w:rsidRPr="007278E6">
        <w:rPr>
          <w:rStyle w:val="cursor-pointer"/>
          <w:rFonts w:ascii="Arial" w:hAnsi="Arial" w:cs="Arial"/>
        </w:rPr>
        <w:t>Multidisciplinary team (MDT) meetings should also be strengthened to ensure the sharing of information and care coordination, but may be difficult to do due to staffing issues.</w:t>
      </w:r>
    </w:p>
    <w:p w14:paraId="1606E65D" w14:textId="77777777" w:rsidR="006F7BDE" w:rsidRPr="007278E6" w:rsidRDefault="006F7BDE" w:rsidP="007278E6">
      <w:pPr>
        <w:pStyle w:val="Heading2"/>
        <w:rPr>
          <w:sz w:val="32"/>
        </w:rPr>
      </w:pPr>
      <w:bookmarkStart w:id="27" w:name="_Toc233042697"/>
      <w:r w:rsidRPr="007278E6">
        <w:rPr>
          <w:sz w:val="32"/>
        </w:rPr>
        <w:t>8.2 Service User Involvement and System Integration</w:t>
      </w:r>
      <w:bookmarkEnd w:id="27"/>
    </w:p>
    <w:p w14:paraId="21C040A0" w14:textId="77777777" w:rsidR="006F7BDE" w:rsidRPr="007278E6" w:rsidRDefault="006F7BDE" w:rsidP="007278E6">
      <w:pPr>
        <w:spacing w:line="360" w:lineRule="auto"/>
        <w:jc w:val="both"/>
        <w:rPr>
          <w:rFonts w:ascii="Arial" w:hAnsi="Arial" w:cs="Arial"/>
        </w:rPr>
      </w:pPr>
      <w:r w:rsidRPr="007278E6">
        <w:rPr>
          <w:rStyle w:val="cursor-pointer"/>
          <w:rFonts w:ascii="Arial" w:hAnsi="Arial" w:cs="Arial"/>
        </w:rPr>
        <w:lastRenderedPageBreak/>
        <w:t>Greater involvement of service users and carers in care planning may increase autonomy and satisfaction, but it can be difficult for service users and carers to make a decision as there may be conflicting views.</w:t>
      </w:r>
      <w:r w:rsidRPr="007278E6">
        <w:rPr>
          <w:rFonts w:ascii="Arial" w:hAnsi="Arial" w:cs="Arial"/>
        </w:rPr>
        <w:t xml:space="preserve"> </w:t>
      </w:r>
      <w:r w:rsidRPr="007278E6">
        <w:rPr>
          <w:rStyle w:val="cursor-pointer"/>
          <w:rFonts w:ascii="Arial" w:hAnsi="Arial" w:cs="Arial"/>
        </w:rPr>
        <w:t>The adoption of integrated digital care records would facilitate continuity of care across health and social care services, but would be complex to implement, and there are data governance issues.</w:t>
      </w:r>
    </w:p>
    <w:p w14:paraId="677BEE7F" w14:textId="77777777" w:rsidR="006F7BDE" w:rsidRPr="007278E6" w:rsidRDefault="006F7BDE" w:rsidP="007278E6">
      <w:pPr>
        <w:pStyle w:val="Heading2"/>
        <w:rPr>
          <w:sz w:val="32"/>
        </w:rPr>
      </w:pPr>
      <w:bookmarkStart w:id="28" w:name="_Toc233042698"/>
      <w:r w:rsidRPr="007278E6">
        <w:rPr>
          <w:sz w:val="32"/>
        </w:rPr>
        <w:t>8.3 Workforce Sustainability</w:t>
      </w:r>
      <w:bookmarkEnd w:id="28"/>
    </w:p>
    <w:p w14:paraId="18797D11" w14:textId="5BDA61C2" w:rsidR="006F7BDE" w:rsidRPr="007278E6" w:rsidRDefault="006F7BDE" w:rsidP="007278E6">
      <w:pPr>
        <w:spacing w:line="360" w:lineRule="auto"/>
        <w:jc w:val="both"/>
        <w:rPr>
          <w:rStyle w:val="cursor-pointer"/>
          <w:rFonts w:ascii="Arial" w:hAnsi="Arial" w:cs="Arial"/>
        </w:rPr>
      </w:pPr>
      <w:r w:rsidRPr="007278E6">
        <w:rPr>
          <w:rStyle w:val="cursor-pointer"/>
          <w:rFonts w:ascii="Arial" w:hAnsi="Arial" w:cs="Arial"/>
        </w:rPr>
        <w:t>In order to overcome staffing shortages and enhance continuity of care, investment in workforce recruitment and retention over a long period of time needs to be made.</w:t>
      </w:r>
      <w:r w:rsidRPr="007278E6">
        <w:rPr>
          <w:rFonts w:ascii="Arial" w:hAnsi="Arial" w:cs="Arial"/>
        </w:rPr>
        <w:t xml:space="preserve"> </w:t>
      </w:r>
      <w:r w:rsidRPr="007278E6">
        <w:rPr>
          <w:rStyle w:val="cursor-pointer"/>
          <w:rFonts w:ascii="Arial" w:hAnsi="Arial" w:cs="Arial"/>
        </w:rPr>
        <w:t>However</w:t>
      </w:r>
      <w:r w:rsidR="00826D74" w:rsidRPr="007278E6">
        <w:rPr>
          <w:rStyle w:val="cursor-pointer"/>
          <w:rFonts w:ascii="Arial" w:hAnsi="Arial" w:cs="Arial"/>
        </w:rPr>
        <w:t>,</w:t>
      </w:r>
      <w:r w:rsidRPr="007278E6">
        <w:rPr>
          <w:rStyle w:val="cursor-pointer"/>
          <w:rFonts w:ascii="Arial" w:hAnsi="Arial" w:cs="Arial"/>
        </w:rPr>
        <w:t xml:space="preserve"> these enhancements cannot be achieved without significant financial investment and change of </w:t>
      </w:r>
      <w:r w:rsidR="00456D66" w:rsidRPr="007278E6">
        <w:rPr>
          <w:rStyle w:val="cursor-pointer"/>
          <w:rFonts w:ascii="Arial" w:hAnsi="Arial" w:cs="Arial"/>
        </w:rPr>
        <w:t>organization</w:t>
      </w:r>
      <w:r w:rsidRPr="007278E6">
        <w:rPr>
          <w:rStyle w:val="cursor-pointer"/>
          <w:rFonts w:ascii="Arial" w:hAnsi="Arial" w:cs="Arial"/>
        </w:rPr>
        <w:t xml:space="preserve"> in order to produce sustainable results.</w:t>
      </w:r>
    </w:p>
    <w:p w14:paraId="07BFC37B" w14:textId="77777777" w:rsidR="006F7BDE" w:rsidRPr="007278E6" w:rsidRDefault="006F7BDE" w:rsidP="007278E6">
      <w:pPr>
        <w:pStyle w:val="Heading1"/>
        <w:rPr>
          <w:b/>
          <w:color w:val="auto"/>
          <w:sz w:val="36"/>
        </w:rPr>
      </w:pPr>
      <w:bookmarkStart w:id="29" w:name="_Toc233042699"/>
      <w:r w:rsidRPr="007278E6">
        <w:rPr>
          <w:b/>
          <w:color w:val="auto"/>
          <w:sz w:val="36"/>
        </w:rPr>
        <w:t>9. Conclusion</w:t>
      </w:r>
      <w:bookmarkEnd w:id="29"/>
    </w:p>
    <w:p w14:paraId="62BAF20A" w14:textId="0E2DE1C7" w:rsidR="006F7BDE" w:rsidRPr="007278E6" w:rsidRDefault="006F7BDE" w:rsidP="007278E6">
      <w:pPr>
        <w:spacing w:line="360" w:lineRule="auto"/>
        <w:jc w:val="both"/>
        <w:rPr>
          <w:rFonts w:ascii="Arial" w:hAnsi="Arial" w:cs="Arial"/>
        </w:rPr>
      </w:pPr>
      <w:r w:rsidRPr="007278E6">
        <w:rPr>
          <w:rFonts w:ascii="Arial" w:hAnsi="Arial" w:cs="Arial"/>
        </w:rPr>
        <w:t xml:space="preserve">Person </w:t>
      </w:r>
      <w:r w:rsidR="00456D66" w:rsidRPr="007278E6">
        <w:rPr>
          <w:rFonts w:ascii="Arial" w:hAnsi="Arial" w:cs="Arial"/>
        </w:rPr>
        <w:t>centered</w:t>
      </w:r>
      <w:r w:rsidRPr="007278E6">
        <w:rPr>
          <w:rFonts w:ascii="Arial" w:hAnsi="Arial" w:cs="Arial"/>
        </w:rPr>
        <w:t xml:space="preserve"> care (PCC) and partnership working (PW) are key to the provision of effective dementia care. This report has shown that these benefits of PCC and PW are those of dignity, autonomy, personhood and </w:t>
      </w:r>
      <w:r w:rsidR="00456D66" w:rsidRPr="007278E6">
        <w:rPr>
          <w:rFonts w:ascii="Arial" w:hAnsi="Arial" w:cs="Arial"/>
        </w:rPr>
        <w:t>individualized</w:t>
      </w:r>
      <w:r w:rsidRPr="007278E6">
        <w:rPr>
          <w:rFonts w:ascii="Arial" w:hAnsi="Arial" w:cs="Arial"/>
        </w:rPr>
        <w:t xml:space="preserve"> support and coordinated care through collaboration between professionals, carers and agencies. In addition, both approaches have a good basis in current health and social care practice, on the grounds of ethical principles and legislation. But, the ongoing challenges with rights, risk and safety in resource-limited systems are emphasized in dementia care. However, the effective implementation of PCC and PW relies on a commitment of the </w:t>
      </w:r>
      <w:r w:rsidR="00456D66" w:rsidRPr="007278E6">
        <w:rPr>
          <w:rFonts w:ascii="Arial" w:hAnsi="Arial" w:cs="Arial"/>
        </w:rPr>
        <w:t>organization</w:t>
      </w:r>
      <w:r w:rsidRPr="007278E6">
        <w:rPr>
          <w:rFonts w:ascii="Arial" w:hAnsi="Arial" w:cs="Arial"/>
        </w:rPr>
        <w:t>, sufficient resources, training of staff and good inter-agency working and collaboration to bring policy into fruition.</w:t>
      </w:r>
    </w:p>
    <w:p w14:paraId="38E457DA" w14:textId="77777777" w:rsidR="007278E6" w:rsidRDefault="007278E6" w:rsidP="007278E6">
      <w:pPr>
        <w:spacing w:line="360" w:lineRule="auto"/>
        <w:jc w:val="both"/>
        <w:rPr>
          <w:rFonts w:ascii="Arial" w:hAnsi="Arial" w:cs="Arial"/>
        </w:rPr>
      </w:pPr>
    </w:p>
    <w:p w14:paraId="2B0B2774" w14:textId="77777777" w:rsidR="007278E6" w:rsidRDefault="007278E6" w:rsidP="007278E6">
      <w:pPr>
        <w:spacing w:line="360" w:lineRule="auto"/>
        <w:jc w:val="both"/>
        <w:rPr>
          <w:rFonts w:ascii="Arial" w:hAnsi="Arial" w:cs="Arial"/>
        </w:rPr>
      </w:pPr>
    </w:p>
    <w:p w14:paraId="65F55E23" w14:textId="77777777" w:rsidR="007278E6" w:rsidRDefault="007278E6" w:rsidP="007278E6">
      <w:pPr>
        <w:spacing w:line="360" w:lineRule="auto"/>
        <w:jc w:val="both"/>
        <w:rPr>
          <w:rFonts w:ascii="Arial" w:hAnsi="Arial" w:cs="Arial"/>
        </w:rPr>
      </w:pPr>
    </w:p>
    <w:p w14:paraId="11294C1E" w14:textId="77777777" w:rsidR="007278E6" w:rsidRDefault="007278E6" w:rsidP="007278E6">
      <w:pPr>
        <w:spacing w:line="360" w:lineRule="auto"/>
        <w:jc w:val="both"/>
        <w:rPr>
          <w:rFonts w:ascii="Arial" w:hAnsi="Arial" w:cs="Arial"/>
        </w:rPr>
      </w:pPr>
    </w:p>
    <w:p w14:paraId="7859E7D9" w14:textId="77777777" w:rsidR="007278E6" w:rsidRDefault="007278E6" w:rsidP="007278E6">
      <w:pPr>
        <w:spacing w:line="360" w:lineRule="auto"/>
        <w:jc w:val="both"/>
        <w:rPr>
          <w:rFonts w:ascii="Arial" w:hAnsi="Arial" w:cs="Arial"/>
        </w:rPr>
      </w:pPr>
    </w:p>
    <w:p w14:paraId="2C205E94" w14:textId="77777777" w:rsidR="007278E6" w:rsidRDefault="007278E6" w:rsidP="007278E6">
      <w:pPr>
        <w:spacing w:line="360" w:lineRule="auto"/>
        <w:jc w:val="both"/>
        <w:rPr>
          <w:rFonts w:ascii="Arial" w:hAnsi="Arial" w:cs="Arial"/>
        </w:rPr>
      </w:pPr>
    </w:p>
    <w:p w14:paraId="70D91939" w14:textId="77777777" w:rsidR="007278E6" w:rsidRDefault="007278E6" w:rsidP="007278E6">
      <w:pPr>
        <w:spacing w:line="360" w:lineRule="auto"/>
        <w:jc w:val="both"/>
        <w:rPr>
          <w:rFonts w:ascii="Arial" w:hAnsi="Arial" w:cs="Arial"/>
        </w:rPr>
      </w:pPr>
    </w:p>
    <w:p w14:paraId="53A98828" w14:textId="77777777" w:rsidR="007278E6" w:rsidRDefault="007278E6" w:rsidP="007278E6">
      <w:pPr>
        <w:spacing w:line="360" w:lineRule="auto"/>
        <w:jc w:val="both"/>
        <w:rPr>
          <w:rFonts w:ascii="Arial" w:hAnsi="Arial" w:cs="Arial"/>
        </w:rPr>
      </w:pPr>
    </w:p>
    <w:p w14:paraId="29D94877" w14:textId="77777777" w:rsidR="00826D74" w:rsidRPr="007278E6" w:rsidRDefault="00826D74" w:rsidP="007278E6">
      <w:pPr>
        <w:pStyle w:val="Heading1"/>
        <w:rPr>
          <w:b/>
          <w:color w:val="auto"/>
          <w:sz w:val="36"/>
        </w:rPr>
      </w:pPr>
      <w:bookmarkStart w:id="30" w:name="_Toc233042700"/>
      <w:r w:rsidRPr="007278E6">
        <w:rPr>
          <w:b/>
          <w:color w:val="auto"/>
          <w:sz w:val="36"/>
        </w:rPr>
        <w:lastRenderedPageBreak/>
        <w:t>References</w:t>
      </w:r>
      <w:bookmarkEnd w:id="30"/>
    </w:p>
    <w:p w14:paraId="0FBDC038"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278E6">
        <w:rPr>
          <w:rFonts w:ascii="Arial" w:hAnsi="Arial" w:cs="Arial"/>
          <w:sz w:val="22"/>
          <w:szCs w:val="22"/>
        </w:rPr>
        <w:t xml:space="preserve">Bhugra, D., Tribe, R. and Poulter, D. (2022). Social justice, health equity, and mental health. </w:t>
      </w:r>
      <w:r w:rsidRPr="007278E6">
        <w:rPr>
          <w:rFonts w:ascii="Arial" w:hAnsi="Arial" w:cs="Arial"/>
          <w:i/>
          <w:iCs/>
          <w:sz w:val="22"/>
          <w:szCs w:val="22"/>
        </w:rPr>
        <w:t>South African Journal of Psychology</w:t>
      </w:r>
      <w:r w:rsidRPr="007278E6">
        <w:rPr>
          <w:rFonts w:ascii="Arial" w:hAnsi="Arial" w:cs="Arial"/>
          <w:sz w:val="22"/>
          <w:szCs w:val="22"/>
        </w:rPr>
        <w:t xml:space="preserve">, [online] 52(1), p.008124632110709. </w:t>
      </w:r>
      <w:proofErr w:type="spellStart"/>
      <w:r w:rsidRPr="007278E6">
        <w:rPr>
          <w:rFonts w:ascii="Arial" w:hAnsi="Arial" w:cs="Arial"/>
          <w:sz w:val="22"/>
          <w:szCs w:val="22"/>
        </w:rPr>
        <w:t>doi:https</w:t>
      </w:r>
      <w:proofErr w:type="spellEnd"/>
      <w:r w:rsidRPr="007278E6">
        <w:rPr>
          <w:rFonts w:ascii="Arial" w:hAnsi="Arial" w:cs="Arial"/>
          <w:sz w:val="22"/>
          <w:szCs w:val="22"/>
        </w:rPr>
        <w:t>://doi.org/10.1177/00812463211070921.</w:t>
      </w:r>
    </w:p>
    <w:p w14:paraId="7D83E6A7"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278E6">
        <w:rPr>
          <w:rFonts w:ascii="Arial" w:hAnsi="Arial" w:cs="Arial"/>
          <w:sz w:val="22"/>
          <w:szCs w:val="22"/>
        </w:rPr>
        <w:t xml:space="preserve">Bramwell, D., </w:t>
      </w:r>
      <w:proofErr w:type="spellStart"/>
      <w:r w:rsidRPr="007278E6">
        <w:rPr>
          <w:rFonts w:ascii="Arial" w:hAnsi="Arial" w:cs="Arial"/>
          <w:sz w:val="22"/>
          <w:szCs w:val="22"/>
        </w:rPr>
        <w:t>Checkland</w:t>
      </w:r>
      <w:proofErr w:type="spellEnd"/>
      <w:r w:rsidRPr="007278E6">
        <w:rPr>
          <w:rFonts w:ascii="Arial" w:hAnsi="Arial" w:cs="Arial"/>
          <w:sz w:val="22"/>
          <w:szCs w:val="22"/>
        </w:rPr>
        <w:t xml:space="preserve">, K., Shields, J. and Allen, P. (2023). 2010–2015: The Health and Social Care Act, NHS Fragmentation. </w:t>
      </w:r>
      <w:r w:rsidRPr="007278E6">
        <w:rPr>
          <w:rFonts w:ascii="Arial" w:hAnsi="Arial" w:cs="Arial"/>
          <w:i/>
          <w:iCs/>
          <w:sz w:val="22"/>
          <w:szCs w:val="22"/>
        </w:rPr>
        <w:t>Community Nursing Services in England</w:t>
      </w:r>
      <w:r w:rsidRPr="007278E6">
        <w:rPr>
          <w:rFonts w:ascii="Arial" w:hAnsi="Arial" w:cs="Arial"/>
          <w:sz w:val="22"/>
          <w:szCs w:val="22"/>
        </w:rPr>
        <w:t xml:space="preserve">, [online] pp.75–82. </w:t>
      </w:r>
      <w:proofErr w:type="spellStart"/>
      <w:r w:rsidRPr="007278E6">
        <w:rPr>
          <w:rFonts w:ascii="Arial" w:hAnsi="Arial" w:cs="Arial"/>
          <w:sz w:val="22"/>
          <w:szCs w:val="22"/>
        </w:rPr>
        <w:t>doi:https</w:t>
      </w:r>
      <w:proofErr w:type="spellEnd"/>
      <w:r w:rsidRPr="007278E6">
        <w:rPr>
          <w:rFonts w:ascii="Arial" w:hAnsi="Arial" w:cs="Arial"/>
          <w:sz w:val="22"/>
          <w:szCs w:val="22"/>
        </w:rPr>
        <w:t>://doi.org/10.1007/978-3-031-17084-3_7.</w:t>
      </w:r>
    </w:p>
    <w:p w14:paraId="48348B5B"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278E6">
        <w:rPr>
          <w:rFonts w:ascii="Arial" w:hAnsi="Arial" w:cs="Arial"/>
          <w:sz w:val="22"/>
          <w:szCs w:val="22"/>
        </w:rPr>
        <w:t xml:space="preserve">Brooker, D. (2022). Person-Centered Dementia Care: The Legacy of Tom Kitwood. </w:t>
      </w:r>
      <w:r w:rsidRPr="007278E6">
        <w:rPr>
          <w:rFonts w:ascii="Arial" w:hAnsi="Arial" w:cs="Arial"/>
          <w:i/>
          <w:iCs/>
          <w:sz w:val="22"/>
          <w:szCs w:val="22"/>
        </w:rPr>
        <w:t>International Journal of Person Centered Medicine</w:t>
      </w:r>
      <w:r w:rsidRPr="007278E6">
        <w:rPr>
          <w:rFonts w:ascii="Arial" w:hAnsi="Arial" w:cs="Arial"/>
          <w:sz w:val="22"/>
          <w:szCs w:val="22"/>
        </w:rPr>
        <w:t xml:space="preserve">, [online] 12(2), pp.21–36. </w:t>
      </w:r>
      <w:proofErr w:type="spellStart"/>
      <w:r w:rsidRPr="007278E6">
        <w:rPr>
          <w:rFonts w:ascii="Arial" w:hAnsi="Arial" w:cs="Arial"/>
          <w:sz w:val="22"/>
          <w:szCs w:val="22"/>
        </w:rPr>
        <w:t>doi:https</w:t>
      </w:r>
      <w:proofErr w:type="spellEnd"/>
      <w:r w:rsidRPr="007278E6">
        <w:rPr>
          <w:rFonts w:ascii="Arial" w:hAnsi="Arial" w:cs="Arial"/>
          <w:sz w:val="22"/>
          <w:szCs w:val="22"/>
        </w:rPr>
        <w:t>://doi.org/10.5750/ijpcm.v12i2.1114.</w:t>
      </w:r>
    </w:p>
    <w:p w14:paraId="22D2F11C"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278E6">
        <w:rPr>
          <w:rFonts w:ascii="Arial" w:hAnsi="Arial" w:cs="Arial"/>
          <w:sz w:val="22"/>
          <w:szCs w:val="22"/>
        </w:rPr>
        <w:t xml:space="preserve">Ebert, P.A. and Morreau, M. (2022). Safety in numbers: how social choice theory can inform avalanche risk management. </w:t>
      </w:r>
      <w:r w:rsidRPr="007278E6">
        <w:rPr>
          <w:rFonts w:ascii="Arial" w:hAnsi="Arial" w:cs="Arial"/>
          <w:i/>
          <w:iCs/>
          <w:sz w:val="22"/>
          <w:szCs w:val="22"/>
        </w:rPr>
        <w:t>Journal of Adventure Education &amp; Outdoor Learning</w:t>
      </w:r>
      <w:r w:rsidRPr="007278E6">
        <w:rPr>
          <w:rFonts w:ascii="Arial" w:hAnsi="Arial" w:cs="Arial"/>
          <w:sz w:val="22"/>
          <w:szCs w:val="22"/>
        </w:rPr>
        <w:t xml:space="preserve">, 23(3), pp.340–356. </w:t>
      </w:r>
      <w:proofErr w:type="spellStart"/>
      <w:r w:rsidRPr="007278E6">
        <w:rPr>
          <w:rFonts w:ascii="Arial" w:hAnsi="Arial" w:cs="Arial"/>
          <w:sz w:val="22"/>
          <w:szCs w:val="22"/>
        </w:rPr>
        <w:t>doi:https</w:t>
      </w:r>
      <w:proofErr w:type="spellEnd"/>
      <w:r w:rsidRPr="007278E6">
        <w:rPr>
          <w:rFonts w:ascii="Arial" w:hAnsi="Arial" w:cs="Arial"/>
          <w:sz w:val="22"/>
          <w:szCs w:val="22"/>
        </w:rPr>
        <w:t>://doi.org/10.1080/14729679.2021.2012216.</w:t>
      </w:r>
    </w:p>
    <w:p w14:paraId="11788ADA"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278E6">
        <w:rPr>
          <w:rFonts w:ascii="Arial" w:hAnsi="Arial" w:cs="Arial"/>
          <w:sz w:val="22"/>
          <w:szCs w:val="22"/>
        </w:rPr>
        <w:t xml:space="preserve">Glasby (2026). </w:t>
      </w:r>
      <w:r w:rsidRPr="007278E6">
        <w:rPr>
          <w:rFonts w:ascii="Arial" w:hAnsi="Arial" w:cs="Arial"/>
          <w:i/>
          <w:iCs/>
          <w:sz w:val="22"/>
          <w:szCs w:val="22"/>
        </w:rPr>
        <w:t>Welcome To Zscaler Directory Authentication</w:t>
      </w:r>
      <w:r w:rsidRPr="007278E6">
        <w:rPr>
          <w:rFonts w:ascii="Arial" w:hAnsi="Arial" w:cs="Arial"/>
          <w:sz w:val="22"/>
          <w:szCs w:val="22"/>
        </w:rPr>
        <w:t>. [online] Bristoluniversitypressdigital.com. Available at: https://bristoluniversitypressdigital.com/display/book/9781447379430/9781447379430.xml.</w:t>
      </w:r>
    </w:p>
    <w:p w14:paraId="58739234"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278E6">
        <w:rPr>
          <w:rFonts w:ascii="Arial" w:hAnsi="Arial" w:cs="Arial"/>
          <w:sz w:val="22"/>
          <w:szCs w:val="22"/>
        </w:rPr>
        <w:t xml:space="preserve">Gubert, E. (2025). Seeking long-term care in old age: overcoming the barriers within fragmented policy frameworks. </w:t>
      </w:r>
      <w:r w:rsidRPr="007278E6">
        <w:rPr>
          <w:rFonts w:ascii="Arial" w:hAnsi="Arial" w:cs="Arial"/>
          <w:i/>
          <w:iCs/>
          <w:sz w:val="22"/>
          <w:szCs w:val="22"/>
        </w:rPr>
        <w:t>Ageing and Society</w:t>
      </w:r>
      <w:r w:rsidRPr="007278E6">
        <w:rPr>
          <w:rFonts w:ascii="Arial" w:hAnsi="Arial" w:cs="Arial"/>
          <w:sz w:val="22"/>
          <w:szCs w:val="22"/>
        </w:rPr>
        <w:t xml:space="preserve">, pp.1–26. </w:t>
      </w:r>
      <w:proofErr w:type="spellStart"/>
      <w:r w:rsidRPr="007278E6">
        <w:rPr>
          <w:rFonts w:ascii="Arial" w:hAnsi="Arial" w:cs="Arial"/>
          <w:sz w:val="22"/>
          <w:szCs w:val="22"/>
        </w:rPr>
        <w:t>doi:https</w:t>
      </w:r>
      <w:proofErr w:type="spellEnd"/>
      <w:r w:rsidRPr="007278E6">
        <w:rPr>
          <w:rFonts w:ascii="Arial" w:hAnsi="Arial" w:cs="Arial"/>
          <w:sz w:val="22"/>
          <w:szCs w:val="22"/>
        </w:rPr>
        <w:t>://doi.org/10.1017/s0144686x25000169.</w:t>
      </w:r>
    </w:p>
    <w:p w14:paraId="64BCB9E4"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278E6">
        <w:rPr>
          <w:rFonts w:ascii="Arial" w:hAnsi="Arial" w:cs="Arial"/>
          <w:sz w:val="22"/>
          <w:szCs w:val="22"/>
        </w:rPr>
        <w:t xml:space="preserve">Gustavsson, K., Fors, A., Diepen, C. van, Axelsson, M., Bertilsson, M., </w:t>
      </w:r>
      <w:proofErr w:type="spellStart"/>
      <w:r w:rsidRPr="007278E6">
        <w:rPr>
          <w:rFonts w:ascii="Arial" w:hAnsi="Arial" w:cs="Arial"/>
          <w:sz w:val="22"/>
          <w:szCs w:val="22"/>
        </w:rPr>
        <w:t>Bångsbo</w:t>
      </w:r>
      <w:proofErr w:type="spellEnd"/>
      <w:r w:rsidRPr="007278E6">
        <w:rPr>
          <w:rFonts w:ascii="Arial" w:hAnsi="Arial" w:cs="Arial"/>
          <w:sz w:val="22"/>
          <w:szCs w:val="22"/>
        </w:rPr>
        <w:t xml:space="preserve">, A., Gunnel Hensing and </w:t>
      </w:r>
      <w:proofErr w:type="spellStart"/>
      <w:r w:rsidRPr="007278E6">
        <w:rPr>
          <w:rFonts w:ascii="Arial" w:hAnsi="Arial" w:cs="Arial"/>
          <w:sz w:val="22"/>
          <w:szCs w:val="22"/>
        </w:rPr>
        <w:t>Qarin</w:t>
      </w:r>
      <w:proofErr w:type="spellEnd"/>
      <w:r w:rsidRPr="007278E6">
        <w:rPr>
          <w:rFonts w:ascii="Arial" w:hAnsi="Arial" w:cs="Arial"/>
          <w:sz w:val="22"/>
          <w:szCs w:val="22"/>
        </w:rPr>
        <w:t xml:space="preserve"> </w:t>
      </w:r>
      <w:proofErr w:type="spellStart"/>
      <w:r w:rsidRPr="007278E6">
        <w:rPr>
          <w:rFonts w:ascii="Arial" w:hAnsi="Arial" w:cs="Arial"/>
          <w:sz w:val="22"/>
          <w:szCs w:val="22"/>
        </w:rPr>
        <w:t>Lood</w:t>
      </w:r>
      <w:proofErr w:type="spellEnd"/>
      <w:r w:rsidRPr="007278E6">
        <w:rPr>
          <w:rFonts w:ascii="Arial" w:hAnsi="Arial" w:cs="Arial"/>
          <w:sz w:val="22"/>
          <w:szCs w:val="22"/>
        </w:rPr>
        <w:t xml:space="preserve"> (2025). Higher levels of person-</w:t>
      </w:r>
      <w:proofErr w:type="spellStart"/>
      <w:r w:rsidRPr="007278E6">
        <w:rPr>
          <w:rFonts w:ascii="Arial" w:hAnsi="Arial" w:cs="Arial"/>
          <w:sz w:val="22"/>
          <w:szCs w:val="22"/>
        </w:rPr>
        <w:t>centred</w:t>
      </w:r>
      <w:proofErr w:type="spellEnd"/>
      <w:r w:rsidRPr="007278E6">
        <w:rPr>
          <w:rFonts w:ascii="Arial" w:hAnsi="Arial" w:cs="Arial"/>
          <w:sz w:val="22"/>
          <w:szCs w:val="22"/>
        </w:rPr>
        <w:t xml:space="preserve"> care are associated with lower levels of stress of conscience in hospital and municipal care: cross-sectional findings from the </w:t>
      </w:r>
      <w:proofErr w:type="spellStart"/>
      <w:r w:rsidRPr="007278E6">
        <w:rPr>
          <w:rFonts w:ascii="Arial" w:hAnsi="Arial" w:cs="Arial"/>
          <w:sz w:val="22"/>
          <w:szCs w:val="22"/>
        </w:rPr>
        <w:t>PCC@Work</w:t>
      </w:r>
      <w:proofErr w:type="spellEnd"/>
      <w:r w:rsidRPr="007278E6">
        <w:rPr>
          <w:rFonts w:ascii="Arial" w:hAnsi="Arial" w:cs="Arial"/>
          <w:sz w:val="22"/>
          <w:szCs w:val="22"/>
        </w:rPr>
        <w:t xml:space="preserve"> project. </w:t>
      </w:r>
      <w:r w:rsidRPr="007278E6">
        <w:rPr>
          <w:rFonts w:ascii="Arial" w:hAnsi="Arial" w:cs="Arial"/>
          <w:i/>
          <w:iCs/>
          <w:sz w:val="22"/>
          <w:szCs w:val="22"/>
        </w:rPr>
        <w:t>BMC Health Services Research</w:t>
      </w:r>
      <w:r w:rsidRPr="007278E6">
        <w:rPr>
          <w:rFonts w:ascii="Arial" w:hAnsi="Arial" w:cs="Arial"/>
          <w:sz w:val="22"/>
          <w:szCs w:val="22"/>
        </w:rPr>
        <w:t xml:space="preserve">, 25(1). </w:t>
      </w:r>
      <w:proofErr w:type="spellStart"/>
      <w:r w:rsidRPr="007278E6">
        <w:rPr>
          <w:rFonts w:ascii="Arial" w:hAnsi="Arial" w:cs="Arial"/>
          <w:sz w:val="22"/>
          <w:szCs w:val="22"/>
        </w:rPr>
        <w:t>doi:https</w:t>
      </w:r>
      <w:proofErr w:type="spellEnd"/>
      <w:r w:rsidRPr="007278E6">
        <w:rPr>
          <w:rFonts w:ascii="Arial" w:hAnsi="Arial" w:cs="Arial"/>
          <w:sz w:val="22"/>
          <w:szCs w:val="22"/>
        </w:rPr>
        <w:t>://doi.org/10.1186/s12913-025-13077-x.</w:t>
      </w:r>
    </w:p>
    <w:p w14:paraId="37345A56"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278E6">
        <w:rPr>
          <w:rFonts w:ascii="Arial" w:hAnsi="Arial" w:cs="Arial"/>
          <w:sz w:val="22"/>
          <w:szCs w:val="22"/>
        </w:rPr>
        <w:t xml:space="preserve">Islam (2022). </w:t>
      </w:r>
      <w:r w:rsidRPr="007278E6">
        <w:rPr>
          <w:rFonts w:ascii="Arial" w:hAnsi="Arial" w:cs="Arial"/>
          <w:i/>
          <w:iCs/>
          <w:sz w:val="22"/>
          <w:szCs w:val="22"/>
        </w:rPr>
        <w:t>Person-</w:t>
      </w:r>
      <w:proofErr w:type="spellStart"/>
      <w:r w:rsidRPr="007278E6">
        <w:rPr>
          <w:rFonts w:ascii="Arial" w:hAnsi="Arial" w:cs="Arial"/>
          <w:i/>
          <w:iCs/>
          <w:sz w:val="22"/>
          <w:szCs w:val="22"/>
        </w:rPr>
        <w:t>Centred</w:t>
      </w:r>
      <w:proofErr w:type="spellEnd"/>
      <w:r w:rsidRPr="007278E6">
        <w:rPr>
          <w:rFonts w:ascii="Arial" w:hAnsi="Arial" w:cs="Arial"/>
          <w:i/>
          <w:iCs/>
          <w:sz w:val="22"/>
          <w:szCs w:val="22"/>
        </w:rPr>
        <w:t xml:space="preserve"> Care and Health Justice in a Multicultural World: Holistic Perspectives From Context, Care, and Capabilities - ProQuest</w:t>
      </w:r>
      <w:r w:rsidRPr="007278E6">
        <w:rPr>
          <w:rFonts w:ascii="Arial" w:hAnsi="Arial" w:cs="Arial"/>
          <w:sz w:val="22"/>
          <w:szCs w:val="22"/>
        </w:rPr>
        <w:t xml:space="preserve">. [online] Proquest.com. Available at: </w:t>
      </w:r>
      <w:r w:rsidRPr="007278E6">
        <w:rPr>
          <w:rFonts w:ascii="Arial" w:hAnsi="Arial" w:cs="Arial"/>
          <w:sz w:val="22"/>
          <w:szCs w:val="22"/>
        </w:rPr>
        <w:lastRenderedPageBreak/>
        <w:t>https://search.proquest.com/openview/050d6666a7dedcc7cfef5fc94b7b99d6/1?pq-origsite=gscholar&amp;cbl=18750&amp;diss=y.</w:t>
      </w:r>
    </w:p>
    <w:p w14:paraId="6E7A6E68"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278E6">
        <w:rPr>
          <w:rFonts w:ascii="Arial" w:hAnsi="Arial" w:cs="Arial"/>
          <w:sz w:val="22"/>
          <w:szCs w:val="22"/>
        </w:rPr>
        <w:t xml:space="preserve">James, I.A., Reichelt, K., Shirley, L. and Moniz-Cook, E. (2023). Management of agitation in </w:t>
      </w:r>
      <w:proofErr w:type="spellStart"/>
      <w:r w:rsidRPr="007278E6">
        <w:rPr>
          <w:rFonts w:ascii="Arial" w:hAnsi="Arial" w:cs="Arial"/>
          <w:sz w:val="22"/>
          <w:szCs w:val="22"/>
        </w:rPr>
        <w:t>behaviours</w:t>
      </w:r>
      <w:proofErr w:type="spellEnd"/>
      <w:r w:rsidRPr="007278E6">
        <w:rPr>
          <w:rFonts w:ascii="Arial" w:hAnsi="Arial" w:cs="Arial"/>
          <w:sz w:val="22"/>
          <w:szCs w:val="22"/>
        </w:rPr>
        <w:t xml:space="preserve"> that challenge in dementia care: Multidisciplinary perspectives on non-pharmacological strategies. </w:t>
      </w:r>
      <w:r w:rsidRPr="007278E6">
        <w:rPr>
          <w:rFonts w:ascii="Arial" w:hAnsi="Arial" w:cs="Arial"/>
          <w:i/>
          <w:iCs/>
          <w:sz w:val="22"/>
          <w:szCs w:val="22"/>
        </w:rPr>
        <w:t>Clinical Interventions in Aging</w:t>
      </w:r>
      <w:r w:rsidRPr="007278E6">
        <w:rPr>
          <w:rFonts w:ascii="Arial" w:hAnsi="Arial" w:cs="Arial"/>
          <w:sz w:val="22"/>
          <w:szCs w:val="22"/>
        </w:rPr>
        <w:t xml:space="preserve">, [online] 18, pp.219–230. </w:t>
      </w:r>
      <w:proofErr w:type="spellStart"/>
      <w:r w:rsidRPr="007278E6">
        <w:rPr>
          <w:rFonts w:ascii="Arial" w:hAnsi="Arial" w:cs="Arial"/>
          <w:sz w:val="22"/>
          <w:szCs w:val="22"/>
        </w:rPr>
        <w:t>doi:https</w:t>
      </w:r>
      <w:proofErr w:type="spellEnd"/>
      <w:r w:rsidRPr="007278E6">
        <w:rPr>
          <w:rFonts w:ascii="Arial" w:hAnsi="Arial" w:cs="Arial"/>
          <w:sz w:val="22"/>
          <w:szCs w:val="22"/>
        </w:rPr>
        <w:t>://doi.org/10.2147/cia.s399697.</w:t>
      </w:r>
    </w:p>
    <w:p w14:paraId="69EA6B76"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278E6">
        <w:rPr>
          <w:rFonts w:ascii="Arial" w:hAnsi="Arial" w:cs="Arial"/>
          <w:sz w:val="22"/>
          <w:szCs w:val="22"/>
        </w:rPr>
        <w:t xml:space="preserve">Johannes Österholm, Åsa Larsson Ranada and Ann-Charlotte </w:t>
      </w:r>
      <w:proofErr w:type="spellStart"/>
      <w:r w:rsidRPr="007278E6">
        <w:rPr>
          <w:rFonts w:ascii="Arial" w:hAnsi="Arial" w:cs="Arial"/>
          <w:sz w:val="22"/>
          <w:szCs w:val="22"/>
        </w:rPr>
        <w:t>Nedlund</w:t>
      </w:r>
      <w:proofErr w:type="spellEnd"/>
      <w:r w:rsidRPr="007278E6">
        <w:rPr>
          <w:rFonts w:ascii="Arial" w:hAnsi="Arial" w:cs="Arial"/>
          <w:sz w:val="22"/>
          <w:szCs w:val="22"/>
        </w:rPr>
        <w:t xml:space="preserve"> (2023). Mapping Collaboration and Coordination of Health and Care Services for Older People with Dementia: A Scoping Review. </w:t>
      </w:r>
      <w:r w:rsidRPr="007278E6">
        <w:rPr>
          <w:rFonts w:ascii="Arial" w:hAnsi="Arial" w:cs="Arial"/>
          <w:i/>
          <w:iCs/>
          <w:sz w:val="22"/>
          <w:szCs w:val="22"/>
        </w:rPr>
        <w:t>Health &amp; Social Care in The Community</w:t>
      </w:r>
      <w:r w:rsidRPr="007278E6">
        <w:rPr>
          <w:rFonts w:ascii="Arial" w:hAnsi="Arial" w:cs="Arial"/>
          <w:sz w:val="22"/>
          <w:szCs w:val="22"/>
        </w:rPr>
        <w:t xml:space="preserve">, 2023, pp.1–25. </w:t>
      </w:r>
      <w:proofErr w:type="spellStart"/>
      <w:r w:rsidRPr="007278E6">
        <w:rPr>
          <w:rFonts w:ascii="Arial" w:hAnsi="Arial" w:cs="Arial"/>
          <w:sz w:val="22"/>
          <w:szCs w:val="22"/>
        </w:rPr>
        <w:t>doi:https</w:t>
      </w:r>
      <w:proofErr w:type="spellEnd"/>
      <w:r w:rsidRPr="007278E6">
        <w:rPr>
          <w:rFonts w:ascii="Arial" w:hAnsi="Arial" w:cs="Arial"/>
          <w:sz w:val="22"/>
          <w:szCs w:val="22"/>
        </w:rPr>
        <w:t>://doi.org/10.1155/2023/8858773.</w:t>
      </w:r>
    </w:p>
    <w:p w14:paraId="61298C6B"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278E6">
        <w:rPr>
          <w:rFonts w:ascii="Arial" w:hAnsi="Arial" w:cs="Arial"/>
          <w:sz w:val="22"/>
          <w:szCs w:val="22"/>
        </w:rPr>
        <w:t xml:space="preserve">Kelly, L., </w:t>
      </w:r>
      <w:proofErr w:type="spellStart"/>
      <w:r w:rsidRPr="007278E6">
        <w:rPr>
          <w:rFonts w:ascii="Arial" w:hAnsi="Arial" w:cs="Arial"/>
          <w:sz w:val="22"/>
          <w:szCs w:val="22"/>
        </w:rPr>
        <w:t>Ahessy</w:t>
      </w:r>
      <w:proofErr w:type="spellEnd"/>
      <w:r w:rsidRPr="007278E6">
        <w:rPr>
          <w:rFonts w:ascii="Arial" w:hAnsi="Arial" w:cs="Arial"/>
          <w:sz w:val="22"/>
          <w:szCs w:val="22"/>
        </w:rPr>
        <w:t xml:space="preserve">, B., Richardson, I. and Moss, H. (2023). Aligning </w:t>
      </w:r>
      <w:proofErr w:type="spellStart"/>
      <w:r w:rsidRPr="007278E6">
        <w:rPr>
          <w:rFonts w:ascii="Arial" w:hAnsi="Arial" w:cs="Arial"/>
          <w:sz w:val="22"/>
          <w:szCs w:val="22"/>
        </w:rPr>
        <w:t>Kitwood’s</w:t>
      </w:r>
      <w:proofErr w:type="spellEnd"/>
      <w:r w:rsidRPr="007278E6">
        <w:rPr>
          <w:rFonts w:ascii="Arial" w:hAnsi="Arial" w:cs="Arial"/>
          <w:sz w:val="22"/>
          <w:szCs w:val="22"/>
        </w:rPr>
        <w:t xml:space="preserve"> Model of Person-Centered Dementia Care with Music Therapy Practice. </w:t>
      </w:r>
      <w:r w:rsidRPr="007278E6">
        <w:rPr>
          <w:rFonts w:ascii="Arial" w:hAnsi="Arial" w:cs="Arial"/>
          <w:i/>
          <w:iCs/>
          <w:sz w:val="22"/>
          <w:szCs w:val="22"/>
        </w:rPr>
        <w:t>Music Therapy Perspectives</w:t>
      </w:r>
      <w:r w:rsidRPr="007278E6">
        <w:rPr>
          <w:rFonts w:ascii="Arial" w:hAnsi="Arial" w:cs="Arial"/>
          <w:sz w:val="22"/>
          <w:szCs w:val="22"/>
        </w:rPr>
        <w:t xml:space="preserve">, [online] 41(2), pp.198–206. </w:t>
      </w:r>
      <w:proofErr w:type="spellStart"/>
      <w:r w:rsidRPr="007278E6">
        <w:rPr>
          <w:rFonts w:ascii="Arial" w:hAnsi="Arial" w:cs="Arial"/>
          <w:sz w:val="22"/>
          <w:szCs w:val="22"/>
        </w:rPr>
        <w:t>doi:https</w:t>
      </w:r>
      <w:proofErr w:type="spellEnd"/>
      <w:r w:rsidRPr="007278E6">
        <w:rPr>
          <w:rFonts w:ascii="Arial" w:hAnsi="Arial" w:cs="Arial"/>
          <w:sz w:val="22"/>
          <w:szCs w:val="22"/>
        </w:rPr>
        <w:t>://doi.org/10.1093/</w:t>
      </w:r>
      <w:proofErr w:type="spellStart"/>
      <w:r w:rsidRPr="007278E6">
        <w:rPr>
          <w:rFonts w:ascii="Arial" w:hAnsi="Arial" w:cs="Arial"/>
          <w:sz w:val="22"/>
          <w:szCs w:val="22"/>
        </w:rPr>
        <w:t>mtp</w:t>
      </w:r>
      <w:proofErr w:type="spellEnd"/>
      <w:r w:rsidRPr="007278E6">
        <w:rPr>
          <w:rFonts w:ascii="Arial" w:hAnsi="Arial" w:cs="Arial"/>
          <w:sz w:val="22"/>
          <w:szCs w:val="22"/>
        </w:rPr>
        <w:t>/miad015.</w:t>
      </w:r>
    </w:p>
    <w:p w14:paraId="11FCDD0F"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proofErr w:type="spellStart"/>
      <w:r w:rsidRPr="007278E6">
        <w:rPr>
          <w:rFonts w:ascii="Arial" w:hAnsi="Arial" w:cs="Arial"/>
          <w:sz w:val="22"/>
          <w:szCs w:val="22"/>
        </w:rPr>
        <w:t>Kitwood</w:t>
      </w:r>
      <w:proofErr w:type="spellEnd"/>
      <w:r w:rsidRPr="007278E6">
        <w:rPr>
          <w:rFonts w:ascii="Arial" w:hAnsi="Arial" w:cs="Arial"/>
          <w:sz w:val="22"/>
          <w:szCs w:val="22"/>
        </w:rPr>
        <w:t xml:space="preserve"> and Brooker (2019). </w:t>
      </w:r>
      <w:r w:rsidRPr="007278E6">
        <w:rPr>
          <w:rFonts w:ascii="Arial" w:hAnsi="Arial" w:cs="Arial"/>
          <w:i/>
          <w:iCs/>
          <w:sz w:val="22"/>
          <w:szCs w:val="22"/>
        </w:rPr>
        <w:t>Dementia Reconsidered Revisited: The Person Still Comes First</w:t>
      </w:r>
      <w:r w:rsidRPr="007278E6">
        <w:rPr>
          <w:rFonts w:ascii="Arial" w:hAnsi="Arial" w:cs="Arial"/>
          <w:sz w:val="22"/>
          <w:szCs w:val="22"/>
        </w:rPr>
        <w:t>. [online] Google Books. Available at: https://books.google.com/books?hl=en&amp;lr=&amp;id=psgvEAAAQBAJ&amp;oi=fnd&amp;pg=PA193&amp;dq=Tom+Kitwood+personhood+dementia&amp;ots=ARSrUpdXFu&amp;sig=6Qbjh8aIK9TfL1SFjLWFU01hyRM [Accessed 22 Jun. 2026].</w:t>
      </w:r>
    </w:p>
    <w:p w14:paraId="2CB9496A"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proofErr w:type="spellStart"/>
      <w:r w:rsidRPr="007278E6">
        <w:rPr>
          <w:rFonts w:ascii="Arial" w:hAnsi="Arial" w:cs="Arial"/>
          <w:sz w:val="22"/>
          <w:szCs w:val="22"/>
        </w:rPr>
        <w:t>Marulappa</w:t>
      </w:r>
      <w:proofErr w:type="spellEnd"/>
      <w:r w:rsidRPr="007278E6">
        <w:rPr>
          <w:rFonts w:ascii="Arial" w:hAnsi="Arial" w:cs="Arial"/>
          <w:sz w:val="22"/>
          <w:szCs w:val="22"/>
        </w:rPr>
        <w:t>, N., Anderson, N.N., Bethell, J., Bourbonnais, A., Kelly, F., McMurray, J., Rogers, H.L., Vedel, I. and Gagliardi, A.R. (2022). How to implement person-</w:t>
      </w:r>
      <w:proofErr w:type="spellStart"/>
      <w:r w:rsidRPr="007278E6">
        <w:rPr>
          <w:rFonts w:ascii="Arial" w:hAnsi="Arial" w:cs="Arial"/>
          <w:sz w:val="22"/>
          <w:szCs w:val="22"/>
        </w:rPr>
        <w:t>centred</w:t>
      </w:r>
      <w:proofErr w:type="spellEnd"/>
      <w:r w:rsidRPr="007278E6">
        <w:rPr>
          <w:rFonts w:ascii="Arial" w:hAnsi="Arial" w:cs="Arial"/>
          <w:sz w:val="22"/>
          <w:szCs w:val="22"/>
        </w:rPr>
        <w:t xml:space="preserve"> care and support for dementia in outpatient and home/community settings: Scoping review. </w:t>
      </w:r>
      <w:r w:rsidRPr="007278E6">
        <w:rPr>
          <w:rFonts w:ascii="Arial" w:hAnsi="Arial" w:cs="Arial"/>
          <w:i/>
          <w:iCs/>
          <w:sz w:val="22"/>
          <w:szCs w:val="22"/>
        </w:rPr>
        <w:t>BMC Health Services Research</w:t>
      </w:r>
      <w:r w:rsidRPr="007278E6">
        <w:rPr>
          <w:rFonts w:ascii="Arial" w:hAnsi="Arial" w:cs="Arial"/>
          <w:sz w:val="22"/>
          <w:szCs w:val="22"/>
        </w:rPr>
        <w:t xml:space="preserve">, [online] 22(1). </w:t>
      </w:r>
      <w:proofErr w:type="spellStart"/>
      <w:r w:rsidRPr="007278E6">
        <w:rPr>
          <w:rFonts w:ascii="Arial" w:hAnsi="Arial" w:cs="Arial"/>
          <w:sz w:val="22"/>
          <w:szCs w:val="22"/>
        </w:rPr>
        <w:t>doi:https</w:t>
      </w:r>
      <w:proofErr w:type="spellEnd"/>
      <w:r w:rsidRPr="007278E6">
        <w:rPr>
          <w:rFonts w:ascii="Arial" w:hAnsi="Arial" w:cs="Arial"/>
          <w:sz w:val="22"/>
          <w:szCs w:val="22"/>
        </w:rPr>
        <w:t>://doi.org/10.1186/s12913-022-07875-w.</w:t>
      </w:r>
    </w:p>
    <w:p w14:paraId="5B422D7D"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278E6">
        <w:rPr>
          <w:rFonts w:ascii="Arial" w:hAnsi="Arial" w:cs="Arial"/>
          <w:sz w:val="22"/>
          <w:szCs w:val="22"/>
        </w:rPr>
        <w:t>Moenke, L., Handley, M.</w:t>
      </w:r>
      <w:r w:rsidR="00E22CD1">
        <w:rPr>
          <w:rFonts w:ascii="Arial" w:hAnsi="Arial" w:cs="Arial"/>
          <w:sz w:val="22"/>
          <w:szCs w:val="22"/>
        </w:rPr>
        <w:t>,</w:t>
      </w:r>
      <w:r w:rsidRPr="007278E6">
        <w:rPr>
          <w:rFonts w:ascii="Arial" w:hAnsi="Arial" w:cs="Arial"/>
          <w:sz w:val="22"/>
          <w:szCs w:val="22"/>
        </w:rPr>
        <w:t xml:space="preserve"> and Goodman, C. (2023). The Influence of Care Home Managers’ Leadership on the Delivery of Person-</w:t>
      </w:r>
      <w:proofErr w:type="spellStart"/>
      <w:r w:rsidRPr="007278E6">
        <w:rPr>
          <w:rFonts w:ascii="Arial" w:hAnsi="Arial" w:cs="Arial"/>
          <w:sz w:val="22"/>
          <w:szCs w:val="22"/>
        </w:rPr>
        <w:t>Centred</w:t>
      </w:r>
      <w:proofErr w:type="spellEnd"/>
      <w:r w:rsidRPr="007278E6">
        <w:rPr>
          <w:rFonts w:ascii="Arial" w:hAnsi="Arial" w:cs="Arial"/>
          <w:sz w:val="22"/>
          <w:szCs w:val="22"/>
        </w:rPr>
        <w:t xml:space="preserve"> Care for People Living with Dementia: A Systematic Review. </w:t>
      </w:r>
      <w:r w:rsidRPr="007278E6">
        <w:rPr>
          <w:rFonts w:ascii="Arial" w:hAnsi="Arial" w:cs="Arial"/>
          <w:i/>
          <w:iCs/>
          <w:sz w:val="22"/>
          <w:szCs w:val="22"/>
        </w:rPr>
        <w:t>Journal of Nursing Management</w:t>
      </w:r>
      <w:r w:rsidRPr="007278E6">
        <w:rPr>
          <w:rFonts w:ascii="Arial" w:hAnsi="Arial" w:cs="Arial"/>
          <w:sz w:val="22"/>
          <w:szCs w:val="22"/>
        </w:rPr>
        <w:t xml:space="preserve">, 2023, pp.1–12. </w:t>
      </w:r>
      <w:proofErr w:type="spellStart"/>
      <w:r w:rsidRPr="007278E6">
        <w:rPr>
          <w:rFonts w:ascii="Arial" w:hAnsi="Arial" w:cs="Arial"/>
          <w:sz w:val="22"/>
          <w:szCs w:val="22"/>
        </w:rPr>
        <w:t>doi:https</w:t>
      </w:r>
      <w:proofErr w:type="spellEnd"/>
      <w:r w:rsidRPr="007278E6">
        <w:rPr>
          <w:rFonts w:ascii="Arial" w:hAnsi="Arial" w:cs="Arial"/>
          <w:sz w:val="22"/>
          <w:szCs w:val="22"/>
        </w:rPr>
        <w:t>://doi.org/10.1155/2023/9872272.</w:t>
      </w:r>
    </w:p>
    <w:p w14:paraId="14D80747"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278E6">
        <w:rPr>
          <w:rFonts w:ascii="Arial" w:hAnsi="Arial" w:cs="Arial"/>
          <w:sz w:val="22"/>
          <w:szCs w:val="22"/>
        </w:rPr>
        <w:t xml:space="preserve">Muir, D., McLarty, L., Drinkwater, J., Bennett, C., Birks, Y., Broadway-Parkinson, A., Cooksey, V., Gleeson, P., Holland, C., Ledger, L., Lowe, D.-J., </w:t>
      </w:r>
      <w:proofErr w:type="spellStart"/>
      <w:r w:rsidRPr="007278E6">
        <w:rPr>
          <w:rFonts w:ascii="Arial" w:hAnsi="Arial" w:cs="Arial"/>
          <w:sz w:val="22"/>
          <w:szCs w:val="22"/>
        </w:rPr>
        <w:t>McGoverin</w:t>
      </w:r>
      <w:proofErr w:type="spellEnd"/>
      <w:r w:rsidRPr="007278E6">
        <w:rPr>
          <w:rFonts w:ascii="Arial" w:hAnsi="Arial" w:cs="Arial"/>
          <w:sz w:val="22"/>
          <w:szCs w:val="22"/>
        </w:rPr>
        <w:t xml:space="preserve">, A., Nixon, J., Perry, T., Rawson, B., Rawson, Y., Sandoz, H., Stubbs, N., Walker, K. and Whitaker, H. (2026). Pressure Ulcer Prevention at Home for People with Long-term Neurological Conditions, </w:t>
      </w:r>
      <w:r w:rsidRPr="007278E6">
        <w:rPr>
          <w:rFonts w:ascii="Arial" w:hAnsi="Arial" w:cs="Arial"/>
          <w:sz w:val="22"/>
          <w:szCs w:val="22"/>
        </w:rPr>
        <w:lastRenderedPageBreak/>
        <w:t xml:space="preserve">Carers and Personal Assistants: Synopsis – a Participatory, Qualitative study (PUP@Home1). </w:t>
      </w:r>
      <w:r w:rsidRPr="007278E6">
        <w:rPr>
          <w:rFonts w:ascii="Arial" w:hAnsi="Arial" w:cs="Arial"/>
          <w:i/>
          <w:iCs/>
          <w:sz w:val="22"/>
          <w:szCs w:val="22"/>
        </w:rPr>
        <w:t>Health and Social Care Delivery Research</w:t>
      </w:r>
      <w:r w:rsidRPr="007278E6">
        <w:rPr>
          <w:rFonts w:ascii="Arial" w:hAnsi="Arial" w:cs="Arial"/>
          <w:sz w:val="22"/>
          <w:szCs w:val="22"/>
        </w:rPr>
        <w:t xml:space="preserve">, [online] pp.1–46. </w:t>
      </w:r>
      <w:proofErr w:type="spellStart"/>
      <w:r w:rsidRPr="007278E6">
        <w:rPr>
          <w:rFonts w:ascii="Arial" w:hAnsi="Arial" w:cs="Arial"/>
          <w:sz w:val="22"/>
          <w:szCs w:val="22"/>
        </w:rPr>
        <w:t>doi:https</w:t>
      </w:r>
      <w:proofErr w:type="spellEnd"/>
      <w:r w:rsidRPr="007278E6">
        <w:rPr>
          <w:rFonts w:ascii="Arial" w:hAnsi="Arial" w:cs="Arial"/>
          <w:sz w:val="22"/>
          <w:szCs w:val="22"/>
        </w:rPr>
        <w:t>://doi.org/10.3310/gjsc0721.</w:t>
      </w:r>
    </w:p>
    <w:p w14:paraId="3E9BF3BA"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35ABD">
        <w:rPr>
          <w:rFonts w:ascii="Arial" w:hAnsi="Arial" w:cs="Arial"/>
          <w:sz w:val="22"/>
          <w:szCs w:val="22"/>
          <w:lang w:val="de-DE"/>
        </w:rPr>
        <w:t xml:space="preserve">Richter, C., Fleischer, S., Langner, H., Meyer, G., Balzer, K., Köpke, S., Sönnichsen, A., Löscher, S. and Berg, A. (2022). </w:t>
      </w:r>
      <w:r w:rsidRPr="007278E6">
        <w:rPr>
          <w:rFonts w:ascii="Arial" w:hAnsi="Arial" w:cs="Arial"/>
          <w:sz w:val="22"/>
          <w:szCs w:val="22"/>
        </w:rPr>
        <w:t>Factors influencing the implementation of person-</w:t>
      </w:r>
      <w:proofErr w:type="spellStart"/>
      <w:r w:rsidRPr="007278E6">
        <w:rPr>
          <w:rFonts w:ascii="Arial" w:hAnsi="Arial" w:cs="Arial"/>
          <w:sz w:val="22"/>
          <w:szCs w:val="22"/>
        </w:rPr>
        <w:t>centred</w:t>
      </w:r>
      <w:proofErr w:type="spellEnd"/>
      <w:r w:rsidRPr="007278E6">
        <w:rPr>
          <w:rFonts w:ascii="Arial" w:hAnsi="Arial" w:cs="Arial"/>
          <w:sz w:val="22"/>
          <w:szCs w:val="22"/>
        </w:rPr>
        <w:t xml:space="preserve"> care in nursing homes by practice development champions: a qualitative process evaluation of a cluster-</w:t>
      </w:r>
      <w:proofErr w:type="spellStart"/>
      <w:r w:rsidRPr="007278E6">
        <w:rPr>
          <w:rFonts w:ascii="Arial" w:hAnsi="Arial" w:cs="Arial"/>
          <w:sz w:val="22"/>
          <w:szCs w:val="22"/>
        </w:rPr>
        <w:t>randomised</w:t>
      </w:r>
      <w:proofErr w:type="spellEnd"/>
      <w:r w:rsidRPr="007278E6">
        <w:rPr>
          <w:rFonts w:ascii="Arial" w:hAnsi="Arial" w:cs="Arial"/>
          <w:sz w:val="22"/>
          <w:szCs w:val="22"/>
        </w:rPr>
        <w:t xml:space="preserve"> controlled trial (</w:t>
      </w:r>
      <w:proofErr w:type="spellStart"/>
      <w:r w:rsidRPr="007278E6">
        <w:rPr>
          <w:rFonts w:ascii="Arial" w:hAnsi="Arial" w:cs="Arial"/>
          <w:sz w:val="22"/>
          <w:szCs w:val="22"/>
        </w:rPr>
        <w:t>EPCentCare</w:t>
      </w:r>
      <w:proofErr w:type="spellEnd"/>
      <w:r w:rsidRPr="007278E6">
        <w:rPr>
          <w:rFonts w:ascii="Arial" w:hAnsi="Arial" w:cs="Arial"/>
          <w:sz w:val="22"/>
          <w:szCs w:val="22"/>
        </w:rPr>
        <w:t xml:space="preserve">) using Normalization Process Theory. </w:t>
      </w:r>
      <w:r w:rsidRPr="007278E6">
        <w:rPr>
          <w:rFonts w:ascii="Arial" w:hAnsi="Arial" w:cs="Arial"/>
          <w:i/>
          <w:iCs/>
          <w:sz w:val="22"/>
          <w:szCs w:val="22"/>
        </w:rPr>
        <w:t>BMC Nursing</w:t>
      </w:r>
      <w:r w:rsidRPr="007278E6">
        <w:rPr>
          <w:rFonts w:ascii="Arial" w:hAnsi="Arial" w:cs="Arial"/>
          <w:sz w:val="22"/>
          <w:szCs w:val="22"/>
        </w:rPr>
        <w:t xml:space="preserve">, [online] 21(1). </w:t>
      </w:r>
      <w:proofErr w:type="spellStart"/>
      <w:r w:rsidRPr="007278E6">
        <w:rPr>
          <w:rFonts w:ascii="Arial" w:hAnsi="Arial" w:cs="Arial"/>
          <w:sz w:val="22"/>
          <w:szCs w:val="22"/>
        </w:rPr>
        <w:t>doi:https</w:t>
      </w:r>
      <w:proofErr w:type="spellEnd"/>
      <w:r w:rsidRPr="007278E6">
        <w:rPr>
          <w:rFonts w:ascii="Arial" w:hAnsi="Arial" w:cs="Arial"/>
          <w:sz w:val="22"/>
          <w:szCs w:val="22"/>
        </w:rPr>
        <w:t>://doi.org/10.1186/s12912-022-00963-6.</w:t>
      </w:r>
    </w:p>
    <w:p w14:paraId="7FE2049A"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278E6">
        <w:rPr>
          <w:rFonts w:ascii="Arial" w:hAnsi="Arial" w:cs="Arial"/>
          <w:sz w:val="22"/>
          <w:szCs w:val="22"/>
        </w:rPr>
        <w:t xml:space="preserve">Simonette, M., Queiroz, V. and Spina, E. (2023). ETHICS IN COLLABORATIVE EDUCATIONAL ENVIRONMENTS: A REFLECTION PAPER. </w:t>
      </w:r>
      <w:r w:rsidRPr="007278E6">
        <w:rPr>
          <w:rFonts w:ascii="Arial" w:hAnsi="Arial" w:cs="Arial"/>
          <w:i/>
          <w:iCs/>
          <w:sz w:val="22"/>
          <w:szCs w:val="22"/>
        </w:rPr>
        <w:t>EDULEARN Proceedings</w:t>
      </w:r>
      <w:r w:rsidRPr="007278E6">
        <w:rPr>
          <w:rFonts w:ascii="Arial" w:hAnsi="Arial" w:cs="Arial"/>
          <w:sz w:val="22"/>
          <w:szCs w:val="22"/>
        </w:rPr>
        <w:t xml:space="preserve">, [online] 1, pp.693–698. </w:t>
      </w:r>
      <w:proofErr w:type="spellStart"/>
      <w:r w:rsidRPr="007278E6">
        <w:rPr>
          <w:rFonts w:ascii="Arial" w:hAnsi="Arial" w:cs="Arial"/>
          <w:sz w:val="22"/>
          <w:szCs w:val="22"/>
        </w:rPr>
        <w:t>doi:https</w:t>
      </w:r>
      <w:proofErr w:type="spellEnd"/>
      <w:r w:rsidRPr="007278E6">
        <w:rPr>
          <w:rFonts w:ascii="Arial" w:hAnsi="Arial" w:cs="Arial"/>
          <w:sz w:val="22"/>
          <w:szCs w:val="22"/>
        </w:rPr>
        <w:t>://doi.org/10.21125/edulearn.2023.0275.</w:t>
      </w:r>
    </w:p>
    <w:p w14:paraId="1CD78694"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278E6">
        <w:rPr>
          <w:rFonts w:ascii="Arial" w:hAnsi="Arial" w:cs="Arial"/>
          <w:sz w:val="22"/>
          <w:szCs w:val="22"/>
        </w:rPr>
        <w:t xml:space="preserve">Stanley, T. (2016). A practice framework to support the Care Act 2014. </w:t>
      </w:r>
      <w:r w:rsidRPr="007278E6">
        <w:rPr>
          <w:rFonts w:ascii="Arial" w:hAnsi="Arial" w:cs="Arial"/>
          <w:i/>
          <w:iCs/>
          <w:sz w:val="22"/>
          <w:szCs w:val="22"/>
        </w:rPr>
        <w:t>The Journal of Adult Protection</w:t>
      </w:r>
      <w:r w:rsidRPr="007278E6">
        <w:rPr>
          <w:rFonts w:ascii="Arial" w:hAnsi="Arial" w:cs="Arial"/>
          <w:sz w:val="22"/>
          <w:szCs w:val="22"/>
        </w:rPr>
        <w:t xml:space="preserve">, [online] 18(1), pp.53–64. </w:t>
      </w:r>
      <w:proofErr w:type="spellStart"/>
      <w:r w:rsidRPr="007278E6">
        <w:rPr>
          <w:rFonts w:ascii="Arial" w:hAnsi="Arial" w:cs="Arial"/>
          <w:sz w:val="22"/>
          <w:szCs w:val="22"/>
        </w:rPr>
        <w:t>doi:https</w:t>
      </w:r>
      <w:proofErr w:type="spellEnd"/>
      <w:r w:rsidRPr="007278E6">
        <w:rPr>
          <w:rFonts w:ascii="Arial" w:hAnsi="Arial" w:cs="Arial"/>
          <w:sz w:val="22"/>
          <w:szCs w:val="22"/>
        </w:rPr>
        <w:t>://doi.org/10.1108/jap-07-2015-0020.</w:t>
      </w:r>
    </w:p>
    <w:p w14:paraId="13528E58"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278E6">
        <w:rPr>
          <w:rFonts w:ascii="Arial" w:hAnsi="Arial" w:cs="Arial"/>
          <w:sz w:val="22"/>
          <w:szCs w:val="22"/>
        </w:rPr>
        <w:t xml:space="preserve">Stewart, I. and </w:t>
      </w:r>
      <w:proofErr w:type="spellStart"/>
      <w:r w:rsidRPr="007278E6">
        <w:rPr>
          <w:rFonts w:ascii="Arial" w:hAnsi="Arial" w:cs="Arial"/>
          <w:sz w:val="22"/>
          <w:szCs w:val="22"/>
        </w:rPr>
        <w:t>Livanou</w:t>
      </w:r>
      <w:proofErr w:type="spellEnd"/>
      <w:r w:rsidRPr="007278E6">
        <w:rPr>
          <w:rFonts w:ascii="Arial" w:hAnsi="Arial" w:cs="Arial"/>
          <w:sz w:val="22"/>
          <w:szCs w:val="22"/>
        </w:rPr>
        <w:t xml:space="preserve">, M. (2025). Care-Planning Co-Production Legislation, Policy and Guidance Implications for People Affected by Dementia in England: A Scoping Review. </w:t>
      </w:r>
      <w:r w:rsidRPr="007278E6">
        <w:rPr>
          <w:rFonts w:ascii="Arial" w:hAnsi="Arial" w:cs="Arial"/>
          <w:i/>
          <w:iCs/>
          <w:sz w:val="22"/>
          <w:szCs w:val="22"/>
        </w:rPr>
        <w:t>Social Policy and Society</w:t>
      </w:r>
      <w:r w:rsidRPr="007278E6">
        <w:rPr>
          <w:rFonts w:ascii="Arial" w:hAnsi="Arial" w:cs="Arial"/>
          <w:sz w:val="22"/>
          <w:szCs w:val="22"/>
        </w:rPr>
        <w:t xml:space="preserve">, pp.1–30. </w:t>
      </w:r>
      <w:proofErr w:type="spellStart"/>
      <w:r w:rsidRPr="007278E6">
        <w:rPr>
          <w:rFonts w:ascii="Arial" w:hAnsi="Arial" w:cs="Arial"/>
          <w:sz w:val="22"/>
          <w:szCs w:val="22"/>
        </w:rPr>
        <w:t>doi:https</w:t>
      </w:r>
      <w:proofErr w:type="spellEnd"/>
      <w:r w:rsidRPr="007278E6">
        <w:rPr>
          <w:rFonts w:ascii="Arial" w:hAnsi="Arial" w:cs="Arial"/>
          <w:sz w:val="22"/>
          <w:szCs w:val="22"/>
        </w:rPr>
        <w:t>://doi.org/10.1017/s1474746425101164.</w:t>
      </w:r>
    </w:p>
    <w:p w14:paraId="612B90BF"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35ABD">
        <w:rPr>
          <w:rFonts w:ascii="Arial" w:hAnsi="Arial" w:cs="Arial"/>
          <w:sz w:val="22"/>
          <w:szCs w:val="22"/>
          <w:lang w:val="es-ES"/>
        </w:rPr>
        <w:t xml:space="preserve">Tieu, M., Mudd, A., Conroy, T., Pinero de Plaza, A. and Kitson, A. (2022). </w:t>
      </w:r>
      <w:r w:rsidRPr="007278E6">
        <w:rPr>
          <w:rFonts w:ascii="Arial" w:hAnsi="Arial" w:cs="Arial"/>
          <w:sz w:val="22"/>
          <w:szCs w:val="22"/>
        </w:rPr>
        <w:t>The trouble with personhood and person</w:t>
      </w:r>
      <w:r w:rsidRPr="007278E6">
        <w:rPr>
          <w:rFonts w:ascii="Cambria Math" w:hAnsi="Cambria Math" w:cs="Cambria Math"/>
          <w:sz w:val="22"/>
          <w:szCs w:val="22"/>
        </w:rPr>
        <w:t>‐</w:t>
      </w:r>
      <w:proofErr w:type="spellStart"/>
      <w:r w:rsidRPr="007278E6">
        <w:rPr>
          <w:rFonts w:ascii="Arial" w:hAnsi="Arial" w:cs="Arial"/>
          <w:sz w:val="22"/>
          <w:szCs w:val="22"/>
        </w:rPr>
        <w:t>centred</w:t>
      </w:r>
      <w:proofErr w:type="spellEnd"/>
      <w:r w:rsidRPr="007278E6">
        <w:rPr>
          <w:rFonts w:ascii="Arial" w:hAnsi="Arial" w:cs="Arial"/>
          <w:sz w:val="22"/>
          <w:szCs w:val="22"/>
        </w:rPr>
        <w:t xml:space="preserve"> care. </w:t>
      </w:r>
      <w:r w:rsidRPr="007278E6">
        <w:rPr>
          <w:rFonts w:ascii="Arial" w:hAnsi="Arial" w:cs="Arial"/>
          <w:i/>
          <w:iCs/>
          <w:sz w:val="22"/>
          <w:szCs w:val="22"/>
        </w:rPr>
        <w:t>Nursing Philosophy</w:t>
      </w:r>
      <w:r w:rsidRPr="007278E6">
        <w:rPr>
          <w:rFonts w:ascii="Arial" w:hAnsi="Arial" w:cs="Arial"/>
          <w:sz w:val="22"/>
          <w:szCs w:val="22"/>
        </w:rPr>
        <w:t xml:space="preserve">, 23(3). </w:t>
      </w:r>
      <w:proofErr w:type="spellStart"/>
      <w:r w:rsidRPr="007278E6">
        <w:rPr>
          <w:rFonts w:ascii="Arial" w:hAnsi="Arial" w:cs="Arial"/>
          <w:sz w:val="22"/>
          <w:szCs w:val="22"/>
        </w:rPr>
        <w:t>doi:https</w:t>
      </w:r>
      <w:proofErr w:type="spellEnd"/>
      <w:r w:rsidRPr="007278E6">
        <w:rPr>
          <w:rFonts w:ascii="Arial" w:hAnsi="Arial" w:cs="Arial"/>
          <w:sz w:val="22"/>
          <w:szCs w:val="22"/>
        </w:rPr>
        <w:t>://doi.org/10.1111/nup.12381.</w:t>
      </w:r>
    </w:p>
    <w:p w14:paraId="5F5CD3DD" w14:textId="77777777" w:rsidR="00826D74" w:rsidRPr="007278E6" w:rsidRDefault="00826D74" w:rsidP="007278E6">
      <w:pPr>
        <w:pStyle w:val="NormalWeb"/>
        <w:spacing w:before="0" w:beforeAutospacing="0" w:after="240" w:afterAutospacing="0" w:line="360" w:lineRule="auto"/>
        <w:ind w:left="720" w:hanging="720"/>
        <w:jc w:val="both"/>
        <w:rPr>
          <w:rFonts w:ascii="Arial" w:hAnsi="Arial" w:cs="Arial"/>
          <w:sz w:val="22"/>
          <w:szCs w:val="22"/>
        </w:rPr>
      </w:pPr>
      <w:r w:rsidRPr="007278E6">
        <w:rPr>
          <w:rFonts w:ascii="Arial" w:hAnsi="Arial" w:cs="Arial"/>
          <w:sz w:val="22"/>
          <w:szCs w:val="22"/>
        </w:rPr>
        <w:t xml:space="preserve">Valeska Delineau, Duarte, I., Ferreira, A.R. and Fernandes, L. (2025). Ethical challenges related to capacity, competence and autonomy in individuals with dementia. </w:t>
      </w:r>
      <w:r w:rsidRPr="007278E6">
        <w:rPr>
          <w:rFonts w:ascii="Arial" w:hAnsi="Arial" w:cs="Arial"/>
          <w:i/>
          <w:iCs/>
          <w:sz w:val="22"/>
          <w:szCs w:val="22"/>
        </w:rPr>
        <w:t xml:space="preserve">Acta </w:t>
      </w:r>
      <w:proofErr w:type="spellStart"/>
      <w:r w:rsidRPr="007278E6">
        <w:rPr>
          <w:rFonts w:ascii="Arial" w:hAnsi="Arial" w:cs="Arial"/>
          <w:i/>
          <w:iCs/>
          <w:sz w:val="22"/>
          <w:szCs w:val="22"/>
        </w:rPr>
        <w:t>Bioethica</w:t>
      </w:r>
      <w:proofErr w:type="spellEnd"/>
      <w:r w:rsidRPr="007278E6">
        <w:rPr>
          <w:rFonts w:ascii="Arial" w:hAnsi="Arial" w:cs="Arial"/>
          <w:sz w:val="22"/>
          <w:szCs w:val="22"/>
        </w:rPr>
        <w:t>, [online] 31(1), pp.35–48. Available at: https://revistas.uchile.cl/index.php/AB/article/view/78365.</w:t>
      </w:r>
    </w:p>
    <w:p w14:paraId="0738B562" w14:textId="77777777" w:rsidR="00826D74" w:rsidRPr="007278E6" w:rsidRDefault="00826D74" w:rsidP="007278E6">
      <w:pPr>
        <w:spacing w:line="360" w:lineRule="auto"/>
        <w:jc w:val="both"/>
        <w:rPr>
          <w:rFonts w:ascii="Arial" w:hAnsi="Arial" w:cs="Arial"/>
        </w:rPr>
      </w:pPr>
      <w:r w:rsidRPr="007278E6">
        <w:rPr>
          <w:rFonts w:ascii="Arial" w:hAnsi="Arial" w:cs="Arial"/>
        </w:rPr>
        <w:br w:type="page"/>
      </w:r>
    </w:p>
    <w:p w14:paraId="259319E4" w14:textId="77777777" w:rsidR="00826D74" w:rsidRPr="007278E6" w:rsidRDefault="00826D74" w:rsidP="007278E6">
      <w:pPr>
        <w:pStyle w:val="Heading1"/>
        <w:rPr>
          <w:b/>
          <w:color w:val="auto"/>
          <w:sz w:val="36"/>
        </w:rPr>
      </w:pPr>
      <w:bookmarkStart w:id="31" w:name="_Toc233042701"/>
      <w:r w:rsidRPr="007278E6">
        <w:rPr>
          <w:b/>
          <w:color w:val="auto"/>
          <w:sz w:val="36"/>
        </w:rPr>
        <w:lastRenderedPageBreak/>
        <w:t>Appendices</w:t>
      </w:r>
      <w:bookmarkEnd w:id="31"/>
    </w:p>
    <w:p w14:paraId="1754F687" w14:textId="77777777" w:rsidR="00826D74" w:rsidRPr="007278E6" w:rsidRDefault="00826D74" w:rsidP="007278E6">
      <w:pPr>
        <w:spacing w:line="360" w:lineRule="auto"/>
        <w:jc w:val="both"/>
        <w:rPr>
          <w:rFonts w:ascii="Arial" w:hAnsi="Arial" w:cs="Arial"/>
          <w:b/>
        </w:rPr>
      </w:pPr>
      <w:r w:rsidRPr="007278E6">
        <w:rPr>
          <w:rFonts w:ascii="Arial" w:hAnsi="Arial" w:cs="Arial"/>
          <w:b/>
        </w:rPr>
        <w:t>Appendix A: Summary of Key Legislation Relevant to PCC and PW</w:t>
      </w:r>
    </w:p>
    <w:p w14:paraId="31826373" w14:textId="77777777" w:rsidR="00826D74" w:rsidRPr="007278E6" w:rsidRDefault="00826D74" w:rsidP="007278E6">
      <w:pPr>
        <w:spacing w:line="360" w:lineRule="auto"/>
        <w:jc w:val="center"/>
        <w:rPr>
          <w:rFonts w:ascii="Arial" w:hAnsi="Arial" w:cs="Arial"/>
        </w:rPr>
      </w:pPr>
      <w:r w:rsidRPr="007278E6">
        <w:rPr>
          <w:rFonts w:ascii="Arial" w:hAnsi="Arial" w:cs="Arial"/>
          <w:noProof/>
        </w:rPr>
        <w:drawing>
          <wp:inline distT="0" distB="0" distL="0" distR="0" wp14:anchorId="1A8D5AAF" wp14:editId="3BDCA545">
            <wp:extent cx="5300870" cy="5153624"/>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6-22 172434.png"/>
                    <pic:cNvPicPr/>
                  </pic:nvPicPr>
                  <pic:blipFill>
                    <a:blip r:embed="rId8">
                      <a:extLst>
                        <a:ext uri="{28A0092B-C50C-407E-A947-70E740481C1C}">
                          <a14:useLocalDpi xmlns:a14="http://schemas.microsoft.com/office/drawing/2010/main" val="0"/>
                        </a:ext>
                      </a:extLst>
                    </a:blip>
                    <a:stretch>
                      <a:fillRect/>
                    </a:stretch>
                  </pic:blipFill>
                  <pic:spPr>
                    <a:xfrm>
                      <a:off x="0" y="0"/>
                      <a:ext cx="5305538" cy="5158163"/>
                    </a:xfrm>
                    <a:prstGeom prst="rect">
                      <a:avLst/>
                    </a:prstGeom>
                  </pic:spPr>
                </pic:pic>
              </a:graphicData>
            </a:graphic>
          </wp:inline>
        </w:drawing>
      </w:r>
    </w:p>
    <w:p w14:paraId="722DF469" w14:textId="77777777" w:rsidR="00826D74" w:rsidRPr="007278E6" w:rsidRDefault="00826D74" w:rsidP="007278E6">
      <w:pPr>
        <w:spacing w:line="360" w:lineRule="auto"/>
        <w:jc w:val="both"/>
        <w:rPr>
          <w:rFonts w:ascii="Arial" w:hAnsi="Arial" w:cs="Arial"/>
        </w:rPr>
      </w:pPr>
    </w:p>
    <w:p w14:paraId="680664D7" w14:textId="77777777" w:rsidR="00826D74" w:rsidRPr="007278E6" w:rsidRDefault="00826D74" w:rsidP="007278E6">
      <w:pPr>
        <w:spacing w:line="360" w:lineRule="auto"/>
        <w:jc w:val="both"/>
        <w:rPr>
          <w:rFonts w:ascii="Arial" w:hAnsi="Arial" w:cs="Arial"/>
        </w:rPr>
      </w:pPr>
    </w:p>
    <w:p w14:paraId="58578051" w14:textId="77777777" w:rsidR="00826D74" w:rsidRPr="007278E6" w:rsidRDefault="00826D74" w:rsidP="007278E6">
      <w:pPr>
        <w:spacing w:line="360" w:lineRule="auto"/>
        <w:jc w:val="both"/>
        <w:rPr>
          <w:rFonts w:ascii="Arial" w:hAnsi="Arial" w:cs="Arial"/>
        </w:rPr>
      </w:pPr>
    </w:p>
    <w:p w14:paraId="2FE29911" w14:textId="77777777" w:rsidR="00826D74" w:rsidRPr="007278E6" w:rsidRDefault="00826D74" w:rsidP="007278E6">
      <w:pPr>
        <w:spacing w:line="360" w:lineRule="auto"/>
        <w:jc w:val="both"/>
        <w:rPr>
          <w:rFonts w:ascii="Arial" w:hAnsi="Arial" w:cs="Arial"/>
        </w:rPr>
      </w:pPr>
    </w:p>
    <w:p w14:paraId="2316DB66" w14:textId="77777777" w:rsidR="00826D74" w:rsidRPr="007278E6" w:rsidRDefault="00826D74" w:rsidP="007278E6">
      <w:pPr>
        <w:spacing w:line="360" w:lineRule="auto"/>
        <w:jc w:val="both"/>
        <w:rPr>
          <w:rFonts w:ascii="Arial" w:hAnsi="Arial" w:cs="Arial"/>
        </w:rPr>
      </w:pPr>
    </w:p>
    <w:p w14:paraId="3EEB90B3" w14:textId="77777777" w:rsidR="00826D74" w:rsidRPr="007278E6" w:rsidRDefault="00826D74" w:rsidP="007278E6">
      <w:pPr>
        <w:spacing w:line="360" w:lineRule="auto"/>
        <w:jc w:val="both"/>
        <w:rPr>
          <w:rFonts w:ascii="Arial" w:hAnsi="Arial" w:cs="Arial"/>
        </w:rPr>
      </w:pPr>
    </w:p>
    <w:p w14:paraId="6E1B0927" w14:textId="77777777" w:rsidR="00826D74" w:rsidRPr="007278E6" w:rsidRDefault="00826D74" w:rsidP="007278E6">
      <w:pPr>
        <w:spacing w:line="360" w:lineRule="auto"/>
        <w:jc w:val="both"/>
        <w:rPr>
          <w:rFonts w:ascii="Arial" w:hAnsi="Arial" w:cs="Arial"/>
        </w:rPr>
      </w:pPr>
    </w:p>
    <w:p w14:paraId="1E3B0D1D" w14:textId="77777777" w:rsidR="00826D74" w:rsidRPr="007278E6" w:rsidRDefault="00826D74" w:rsidP="007278E6">
      <w:pPr>
        <w:spacing w:line="360" w:lineRule="auto"/>
        <w:jc w:val="both"/>
        <w:rPr>
          <w:rFonts w:ascii="Arial" w:hAnsi="Arial" w:cs="Arial"/>
        </w:rPr>
      </w:pPr>
    </w:p>
    <w:p w14:paraId="5A72D365" w14:textId="77777777" w:rsidR="007278E6" w:rsidRPr="007278E6" w:rsidRDefault="007278E6" w:rsidP="007278E6">
      <w:pPr>
        <w:spacing w:line="360" w:lineRule="auto"/>
        <w:jc w:val="both"/>
        <w:rPr>
          <w:rFonts w:ascii="Arial" w:hAnsi="Arial" w:cs="Arial"/>
          <w:b/>
        </w:rPr>
      </w:pPr>
      <w:r w:rsidRPr="007278E6">
        <w:rPr>
          <w:rFonts w:ascii="Arial" w:hAnsi="Arial" w:cs="Arial"/>
          <w:b/>
        </w:rPr>
        <w:t>Appendix B: Multidisciplinary Team Structure in Dementia Care</w:t>
      </w:r>
    </w:p>
    <w:p w14:paraId="0224BCEF" w14:textId="77777777" w:rsidR="007278E6" w:rsidRPr="007278E6" w:rsidRDefault="007278E6" w:rsidP="007278E6">
      <w:pPr>
        <w:spacing w:line="360" w:lineRule="auto"/>
        <w:jc w:val="center"/>
        <w:rPr>
          <w:rFonts w:ascii="Arial" w:hAnsi="Arial" w:cs="Arial"/>
        </w:rPr>
      </w:pPr>
      <w:r w:rsidRPr="007278E6">
        <w:rPr>
          <w:rFonts w:ascii="Arial" w:hAnsi="Arial" w:cs="Arial"/>
          <w:noProof/>
        </w:rPr>
        <w:drawing>
          <wp:inline distT="0" distB="0" distL="0" distR="0" wp14:anchorId="1ABD1CAA" wp14:editId="64015C01">
            <wp:extent cx="5195642" cy="4287078"/>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6-22 172818.png"/>
                    <pic:cNvPicPr/>
                  </pic:nvPicPr>
                  <pic:blipFill>
                    <a:blip r:embed="rId9">
                      <a:extLst>
                        <a:ext uri="{28A0092B-C50C-407E-A947-70E740481C1C}">
                          <a14:useLocalDpi xmlns:a14="http://schemas.microsoft.com/office/drawing/2010/main" val="0"/>
                        </a:ext>
                      </a:extLst>
                    </a:blip>
                    <a:stretch>
                      <a:fillRect/>
                    </a:stretch>
                  </pic:blipFill>
                  <pic:spPr>
                    <a:xfrm>
                      <a:off x="0" y="0"/>
                      <a:ext cx="5198028" cy="4289047"/>
                    </a:xfrm>
                    <a:prstGeom prst="rect">
                      <a:avLst/>
                    </a:prstGeom>
                  </pic:spPr>
                </pic:pic>
              </a:graphicData>
            </a:graphic>
          </wp:inline>
        </w:drawing>
      </w:r>
    </w:p>
    <w:p w14:paraId="5670DE3C" w14:textId="77777777" w:rsidR="007278E6" w:rsidRPr="007278E6" w:rsidRDefault="007278E6" w:rsidP="007278E6">
      <w:pPr>
        <w:spacing w:line="360" w:lineRule="auto"/>
        <w:jc w:val="both"/>
        <w:rPr>
          <w:rFonts w:ascii="Arial" w:hAnsi="Arial" w:cs="Arial"/>
        </w:rPr>
      </w:pPr>
      <w:r w:rsidRPr="007278E6">
        <w:rPr>
          <w:rFonts w:ascii="Arial" w:hAnsi="Arial" w:cs="Arial"/>
        </w:rPr>
        <w:br w:type="page"/>
      </w:r>
    </w:p>
    <w:p w14:paraId="430A9398" w14:textId="77777777" w:rsidR="007278E6" w:rsidRPr="007278E6" w:rsidRDefault="007278E6" w:rsidP="007278E6">
      <w:pPr>
        <w:spacing w:line="360" w:lineRule="auto"/>
        <w:jc w:val="both"/>
        <w:rPr>
          <w:rFonts w:ascii="Arial" w:hAnsi="Arial" w:cs="Arial"/>
          <w:b/>
        </w:rPr>
      </w:pPr>
      <w:r w:rsidRPr="007278E6">
        <w:rPr>
          <w:rFonts w:ascii="Arial" w:hAnsi="Arial" w:cs="Arial"/>
          <w:b/>
        </w:rPr>
        <w:lastRenderedPageBreak/>
        <w:t>Appendix C: Benefits and Challenges Matrix for PCC and PW</w:t>
      </w:r>
    </w:p>
    <w:p w14:paraId="07CCF900" w14:textId="77777777" w:rsidR="00826D74" w:rsidRPr="007278E6" w:rsidRDefault="007278E6" w:rsidP="007278E6">
      <w:pPr>
        <w:spacing w:line="360" w:lineRule="auto"/>
        <w:jc w:val="center"/>
        <w:rPr>
          <w:rFonts w:ascii="Arial" w:hAnsi="Arial" w:cs="Arial"/>
        </w:rPr>
      </w:pPr>
      <w:r w:rsidRPr="007278E6">
        <w:rPr>
          <w:rFonts w:ascii="Arial" w:hAnsi="Arial" w:cs="Arial"/>
          <w:noProof/>
        </w:rPr>
        <w:drawing>
          <wp:inline distT="0" distB="0" distL="0" distR="0" wp14:anchorId="23337FB0" wp14:editId="09B636F1">
            <wp:extent cx="5323802" cy="382987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6-06-22 173032.png"/>
                    <pic:cNvPicPr/>
                  </pic:nvPicPr>
                  <pic:blipFill>
                    <a:blip r:embed="rId10">
                      <a:extLst>
                        <a:ext uri="{28A0092B-C50C-407E-A947-70E740481C1C}">
                          <a14:useLocalDpi xmlns:a14="http://schemas.microsoft.com/office/drawing/2010/main" val="0"/>
                        </a:ext>
                      </a:extLst>
                    </a:blip>
                    <a:stretch>
                      <a:fillRect/>
                    </a:stretch>
                  </pic:blipFill>
                  <pic:spPr>
                    <a:xfrm>
                      <a:off x="0" y="0"/>
                      <a:ext cx="5329927" cy="3834284"/>
                    </a:xfrm>
                    <a:prstGeom prst="rect">
                      <a:avLst/>
                    </a:prstGeom>
                  </pic:spPr>
                </pic:pic>
              </a:graphicData>
            </a:graphic>
          </wp:inline>
        </w:drawing>
      </w:r>
      <w:r w:rsidR="00826D74" w:rsidRPr="007278E6">
        <w:rPr>
          <w:rFonts w:ascii="Arial" w:hAnsi="Arial" w:cs="Arial"/>
        </w:rPr>
        <w:br w:type="page"/>
      </w:r>
    </w:p>
    <w:p w14:paraId="5D79331D" w14:textId="77777777" w:rsidR="00826D74" w:rsidRDefault="00826D74" w:rsidP="00826D74">
      <w:pPr>
        <w:jc w:val="center"/>
      </w:pPr>
    </w:p>
    <w:p w14:paraId="0DAACFA2" w14:textId="77777777" w:rsidR="00826D74" w:rsidRPr="00597F51" w:rsidRDefault="00826D74" w:rsidP="00597F51"/>
    <w:sectPr w:rsidR="00826D74" w:rsidRPr="00597F51" w:rsidSect="00A3080A">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D0998" w14:textId="77777777" w:rsidR="00DA6915" w:rsidRDefault="00DA6915" w:rsidP="007278E6">
      <w:pPr>
        <w:spacing w:after="0" w:line="240" w:lineRule="auto"/>
      </w:pPr>
      <w:r>
        <w:separator/>
      </w:r>
    </w:p>
  </w:endnote>
  <w:endnote w:type="continuationSeparator" w:id="0">
    <w:p w14:paraId="324FE376" w14:textId="77777777" w:rsidR="00DA6915" w:rsidRDefault="00DA6915" w:rsidP="00727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8009798"/>
      <w:docPartObj>
        <w:docPartGallery w:val="Page Numbers (Bottom of Page)"/>
        <w:docPartUnique/>
      </w:docPartObj>
    </w:sdtPr>
    <w:sdtEndPr>
      <w:rPr>
        <w:noProof/>
      </w:rPr>
    </w:sdtEndPr>
    <w:sdtContent>
      <w:p w14:paraId="6AF2CE1F" w14:textId="77777777" w:rsidR="007278E6" w:rsidRDefault="007278E6">
        <w:pPr>
          <w:pStyle w:val="Footer"/>
          <w:jc w:val="right"/>
        </w:pPr>
        <w:r>
          <w:fldChar w:fldCharType="begin"/>
        </w:r>
        <w:r>
          <w:instrText xml:space="preserve"> PAGE   \* MERGEFORMAT </w:instrText>
        </w:r>
        <w:r>
          <w:fldChar w:fldCharType="separate"/>
        </w:r>
        <w:r w:rsidR="00E22CD1">
          <w:rPr>
            <w:noProof/>
          </w:rPr>
          <w:t>8</w:t>
        </w:r>
        <w:r>
          <w:rPr>
            <w:noProof/>
          </w:rPr>
          <w:fldChar w:fldCharType="end"/>
        </w:r>
      </w:p>
    </w:sdtContent>
  </w:sdt>
  <w:p w14:paraId="7FDA6D26" w14:textId="77777777" w:rsidR="007278E6" w:rsidRDefault="007278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C9B9C" w14:textId="77777777" w:rsidR="00DA6915" w:rsidRDefault="00DA6915" w:rsidP="007278E6">
      <w:pPr>
        <w:spacing w:after="0" w:line="240" w:lineRule="auto"/>
      </w:pPr>
      <w:r>
        <w:separator/>
      </w:r>
    </w:p>
  </w:footnote>
  <w:footnote w:type="continuationSeparator" w:id="0">
    <w:p w14:paraId="2E0CF2C6" w14:textId="77777777" w:rsidR="00DA6915" w:rsidRDefault="00DA6915" w:rsidP="007278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3FE"/>
    <w:rsid w:val="000023D6"/>
    <w:rsid w:val="000163FE"/>
    <w:rsid w:val="00030658"/>
    <w:rsid w:val="000355E4"/>
    <w:rsid w:val="000369FA"/>
    <w:rsid w:val="001A5223"/>
    <w:rsid w:val="001F277C"/>
    <w:rsid w:val="00384BFB"/>
    <w:rsid w:val="00406F73"/>
    <w:rsid w:val="00456D66"/>
    <w:rsid w:val="004D5E7C"/>
    <w:rsid w:val="00515BFA"/>
    <w:rsid w:val="00597F51"/>
    <w:rsid w:val="005A3EEE"/>
    <w:rsid w:val="005C2199"/>
    <w:rsid w:val="006F7BDE"/>
    <w:rsid w:val="00706DF7"/>
    <w:rsid w:val="007278E6"/>
    <w:rsid w:val="00735ABD"/>
    <w:rsid w:val="007A13B5"/>
    <w:rsid w:val="00826D74"/>
    <w:rsid w:val="008334E9"/>
    <w:rsid w:val="0095760A"/>
    <w:rsid w:val="009E29FE"/>
    <w:rsid w:val="009E5E56"/>
    <w:rsid w:val="00A24B24"/>
    <w:rsid w:val="00A3080A"/>
    <w:rsid w:val="00C37EFF"/>
    <w:rsid w:val="00DA6915"/>
    <w:rsid w:val="00DE5AD3"/>
    <w:rsid w:val="00DE7138"/>
    <w:rsid w:val="00E165C1"/>
    <w:rsid w:val="00E22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912F4"/>
  <w15:chartTrackingRefBased/>
  <w15:docId w15:val="{904F782F-2C8A-4ABD-9AA6-EDCE87CB1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8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5760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63FE"/>
    <w:pPr>
      <w:ind w:left="720"/>
      <w:contextualSpacing/>
    </w:pPr>
  </w:style>
  <w:style w:type="character" w:customStyle="1" w:styleId="cursor-pointer">
    <w:name w:val="cursor-pointer"/>
    <w:basedOn w:val="DefaultParagraphFont"/>
    <w:rsid w:val="000163FE"/>
  </w:style>
  <w:style w:type="character" w:customStyle="1" w:styleId="Heading2Char">
    <w:name w:val="Heading 2 Char"/>
    <w:basedOn w:val="DefaultParagraphFont"/>
    <w:link w:val="Heading2"/>
    <w:uiPriority w:val="9"/>
    <w:rsid w:val="0095760A"/>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826D74"/>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7278E6"/>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7278E6"/>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7278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78E6"/>
  </w:style>
  <w:style w:type="paragraph" w:styleId="Footer">
    <w:name w:val="footer"/>
    <w:basedOn w:val="Normal"/>
    <w:link w:val="FooterChar"/>
    <w:uiPriority w:val="99"/>
    <w:unhideWhenUsed/>
    <w:rsid w:val="007278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8E6"/>
  </w:style>
  <w:style w:type="paragraph" w:styleId="TOCHeading">
    <w:name w:val="TOC Heading"/>
    <w:basedOn w:val="Heading1"/>
    <w:next w:val="Normal"/>
    <w:uiPriority w:val="39"/>
    <w:unhideWhenUsed/>
    <w:qFormat/>
    <w:rsid w:val="00A3080A"/>
    <w:pPr>
      <w:outlineLvl w:val="9"/>
    </w:pPr>
  </w:style>
  <w:style w:type="paragraph" w:styleId="TOC1">
    <w:name w:val="toc 1"/>
    <w:basedOn w:val="Normal"/>
    <w:next w:val="Normal"/>
    <w:autoRedefine/>
    <w:uiPriority w:val="39"/>
    <w:unhideWhenUsed/>
    <w:rsid w:val="00A3080A"/>
    <w:pPr>
      <w:spacing w:after="100"/>
    </w:pPr>
  </w:style>
  <w:style w:type="paragraph" w:styleId="TOC2">
    <w:name w:val="toc 2"/>
    <w:basedOn w:val="Normal"/>
    <w:next w:val="Normal"/>
    <w:autoRedefine/>
    <w:uiPriority w:val="39"/>
    <w:unhideWhenUsed/>
    <w:rsid w:val="00A3080A"/>
    <w:pPr>
      <w:spacing w:after="100"/>
      <w:ind w:left="220"/>
    </w:pPr>
  </w:style>
  <w:style w:type="character" w:styleId="Hyperlink">
    <w:name w:val="Hyperlink"/>
    <w:basedOn w:val="DefaultParagraphFont"/>
    <w:uiPriority w:val="99"/>
    <w:unhideWhenUsed/>
    <w:rsid w:val="00A3080A"/>
    <w:rPr>
      <w:color w:val="0563C1" w:themeColor="hyperlink"/>
      <w:u w:val="single"/>
    </w:rPr>
  </w:style>
  <w:style w:type="paragraph" w:styleId="NoSpacing">
    <w:name w:val="No Spacing"/>
    <w:link w:val="NoSpacingChar"/>
    <w:uiPriority w:val="1"/>
    <w:qFormat/>
    <w:rsid w:val="00A3080A"/>
    <w:pPr>
      <w:spacing w:after="0" w:line="240" w:lineRule="auto"/>
    </w:pPr>
    <w:rPr>
      <w:rFonts w:eastAsiaTheme="minorEastAsia"/>
    </w:rPr>
  </w:style>
  <w:style w:type="character" w:customStyle="1" w:styleId="NoSpacingChar">
    <w:name w:val="No Spacing Char"/>
    <w:basedOn w:val="DefaultParagraphFont"/>
    <w:link w:val="NoSpacing"/>
    <w:uiPriority w:val="1"/>
    <w:rsid w:val="00A3080A"/>
    <w:rPr>
      <w:rFonts w:eastAsiaTheme="minorEastAsia"/>
    </w:rPr>
  </w:style>
  <w:style w:type="paragraph" w:styleId="Title">
    <w:name w:val="Title"/>
    <w:basedOn w:val="Normal"/>
    <w:next w:val="Normal"/>
    <w:link w:val="TitleChar"/>
    <w:uiPriority w:val="10"/>
    <w:qFormat/>
    <w:rsid w:val="00A308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080A"/>
    <w:rPr>
      <w:rFonts w:asciiTheme="majorHAnsi" w:eastAsiaTheme="majorEastAsia" w:hAnsiTheme="majorHAnsi" w:cstheme="majorBidi"/>
      <w:spacing w:val="-10"/>
      <w:kern w:val="28"/>
      <w:sz w:val="56"/>
      <w:szCs w:val="56"/>
    </w:rPr>
  </w:style>
  <w:style w:type="paragraph" w:customStyle="1" w:styleId="isselectedend">
    <w:name w:val="isselectedend"/>
    <w:basedOn w:val="Normal"/>
    <w:rsid w:val="00A3080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080A"/>
    <w:rPr>
      <w:b/>
      <w:bCs/>
    </w:rPr>
  </w:style>
  <w:style w:type="character" w:customStyle="1" w:styleId="text-token-text-primary">
    <w:name w:val="text-token-text-primary"/>
    <w:basedOn w:val="DefaultParagraphFont"/>
    <w:rsid w:val="00A308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5987">
      <w:bodyDiv w:val="1"/>
      <w:marLeft w:val="0"/>
      <w:marRight w:val="0"/>
      <w:marTop w:val="0"/>
      <w:marBottom w:val="0"/>
      <w:divBdr>
        <w:top w:val="none" w:sz="0" w:space="0" w:color="auto"/>
        <w:left w:val="none" w:sz="0" w:space="0" w:color="auto"/>
        <w:bottom w:val="none" w:sz="0" w:space="0" w:color="auto"/>
        <w:right w:val="none" w:sz="0" w:space="0" w:color="auto"/>
      </w:divBdr>
    </w:div>
    <w:div w:id="175655317">
      <w:bodyDiv w:val="1"/>
      <w:marLeft w:val="0"/>
      <w:marRight w:val="0"/>
      <w:marTop w:val="0"/>
      <w:marBottom w:val="0"/>
      <w:divBdr>
        <w:top w:val="none" w:sz="0" w:space="0" w:color="auto"/>
        <w:left w:val="none" w:sz="0" w:space="0" w:color="auto"/>
        <w:bottom w:val="none" w:sz="0" w:space="0" w:color="auto"/>
        <w:right w:val="none" w:sz="0" w:space="0" w:color="auto"/>
      </w:divBdr>
    </w:div>
    <w:div w:id="195433980">
      <w:bodyDiv w:val="1"/>
      <w:marLeft w:val="0"/>
      <w:marRight w:val="0"/>
      <w:marTop w:val="0"/>
      <w:marBottom w:val="0"/>
      <w:divBdr>
        <w:top w:val="none" w:sz="0" w:space="0" w:color="auto"/>
        <w:left w:val="none" w:sz="0" w:space="0" w:color="auto"/>
        <w:bottom w:val="none" w:sz="0" w:space="0" w:color="auto"/>
        <w:right w:val="none" w:sz="0" w:space="0" w:color="auto"/>
      </w:divBdr>
    </w:div>
    <w:div w:id="388503662">
      <w:bodyDiv w:val="1"/>
      <w:marLeft w:val="0"/>
      <w:marRight w:val="0"/>
      <w:marTop w:val="0"/>
      <w:marBottom w:val="0"/>
      <w:divBdr>
        <w:top w:val="none" w:sz="0" w:space="0" w:color="auto"/>
        <w:left w:val="none" w:sz="0" w:space="0" w:color="auto"/>
        <w:bottom w:val="none" w:sz="0" w:space="0" w:color="auto"/>
        <w:right w:val="none" w:sz="0" w:space="0" w:color="auto"/>
      </w:divBdr>
    </w:div>
    <w:div w:id="548998928">
      <w:bodyDiv w:val="1"/>
      <w:marLeft w:val="0"/>
      <w:marRight w:val="0"/>
      <w:marTop w:val="0"/>
      <w:marBottom w:val="0"/>
      <w:divBdr>
        <w:top w:val="none" w:sz="0" w:space="0" w:color="auto"/>
        <w:left w:val="none" w:sz="0" w:space="0" w:color="auto"/>
        <w:bottom w:val="none" w:sz="0" w:space="0" w:color="auto"/>
        <w:right w:val="none" w:sz="0" w:space="0" w:color="auto"/>
      </w:divBdr>
    </w:div>
    <w:div w:id="568855149">
      <w:bodyDiv w:val="1"/>
      <w:marLeft w:val="0"/>
      <w:marRight w:val="0"/>
      <w:marTop w:val="0"/>
      <w:marBottom w:val="0"/>
      <w:divBdr>
        <w:top w:val="none" w:sz="0" w:space="0" w:color="auto"/>
        <w:left w:val="none" w:sz="0" w:space="0" w:color="auto"/>
        <w:bottom w:val="none" w:sz="0" w:space="0" w:color="auto"/>
        <w:right w:val="none" w:sz="0" w:space="0" w:color="auto"/>
      </w:divBdr>
    </w:div>
    <w:div w:id="585966327">
      <w:bodyDiv w:val="1"/>
      <w:marLeft w:val="0"/>
      <w:marRight w:val="0"/>
      <w:marTop w:val="0"/>
      <w:marBottom w:val="0"/>
      <w:divBdr>
        <w:top w:val="none" w:sz="0" w:space="0" w:color="auto"/>
        <w:left w:val="none" w:sz="0" w:space="0" w:color="auto"/>
        <w:bottom w:val="none" w:sz="0" w:space="0" w:color="auto"/>
        <w:right w:val="none" w:sz="0" w:space="0" w:color="auto"/>
      </w:divBdr>
    </w:div>
    <w:div w:id="714693421">
      <w:bodyDiv w:val="1"/>
      <w:marLeft w:val="0"/>
      <w:marRight w:val="0"/>
      <w:marTop w:val="0"/>
      <w:marBottom w:val="0"/>
      <w:divBdr>
        <w:top w:val="none" w:sz="0" w:space="0" w:color="auto"/>
        <w:left w:val="none" w:sz="0" w:space="0" w:color="auto"/>
        <w:bottom w:val="none" w:sz="0" w:space="0" w:color="auto"/>
        <w:right w:val="none" w:sz="0" w:space="0" w:color="auto"/>
      </w:divBdr>
    </w:div>
    <w:div w:id="881555694">
      <w:bodyDiv w:val="1"/>
      <w:marLeft w:val="0"/>
      <w:marRight w:val="0"/>
      <w:marTop w:val="0"/>
      <w:marBottom w:val="0"/>
      <w:divBdr>
        <w:top w:val="none" w:sz="0" w:space="0" w:color="auto"/>
        <w:left w:val="none" w:sz="0" w:space="0" w:color="auto"/>
        <w:bottom w:val="none" w:sz="0" w:space="0" w:color="auto"/>
        <w:right w:val="none" w:sz="0" w:space="0" w:color="auto"/>
      </w:divBdr>
    </w:div>
    <w:div w:id="928923706">
      <w:bodyDiv w:val="1"/>
      <w:marLeft w:val="0"/>
      <w:marRight w:val="0"/>
      <w:marTop w:val="0"/>
      <w:marBottom w:val="0"/>
      <w:divBdr>
        <w:top w:val="none" w:sz="0" w:space="0" w:color="auto"/>
        <w:left w:val="none" w:sz="0" w:space="0" w:color="auto"/>
        <w:bottom w:val="none" w:sz="0" w:space="0" w:color="auto"/>
        <w:right w:val="none" w:sz="0" w:space="0" w:color="auto"/>
      </w:divBdr>
    </w:div>
    <w:div w:id="1015620631">
      <w:bodyDiv w:val="1"/>
      <w:marLeft w:val="0"/>
      <w:marRight w:val="0"/>
      <w:marTop w:val="0"/>
      <w:marBottom w:val="0"/>
      <w:divBdr>
        <w:top w:val="none" w:sz="0" w:space="0" w:color="auto"/>
        <w:left w:val="none" w:sz="0" w:space="0" w:color="auto"/>
        <w:bottom w:val="none" w:sz="0" w:space="0" w:color="auto"/>
        <w:right w:val="none" w:sz="0" w:space="0" w:color="auto"/>
      </w:divBdr>
    </w:div>
    <w:div w:id="1107503752">
      <w:bodyDiv w:val="1"/>
      <w:marLeft w:val="0"/>
      <w:marRight w:val="0"/>
      <w:marTop w:val="0"/>
      <w:marBottom w:val="0"/>
      <w:divBdr>
        <w:top w:val="none" w:sz="0" w:space="0" w:color="auto"/>
        <w:left w:val="none" w:sz="0" w:space="0" w:color="auto"/>
        <w:bottom w:val="none" w:sz="0" w:space="0" w:color="auto"/>
        <w:right w:val="none" w:sz="0" w:space="0" w:color="auto"/>
      </w:divBdr>
    </w:div>
    <w:div w:id="1132407984">
      <w:bodyDiv w:val="1"/>
      <w:marLeft w:val="0"/>
      <w:marRight w:val="0"/>
      <w:marTop w:val="0"/>
      <w:marBottom w:val="0"/>
      <w:divBdr>
        <w:top w:val="none" w:sz="0" w:space="0" w:color="auto"/>
        <w:left w:val="none" w:sz="0" w:space="0" w:color="auto"/>
        <w:bottom w:val="none" w:sz="0" w:space="0" w:color="auto"/>
        <w:right w:val="none" w:sz="0" w:space="0" w:color="auto"/>
      </w:divBdr>
    </w:div>
    <w:div w:id="1138957796">
      <w:bodyDiv w:val="1"/>
      <w:marLeft w:val="0"/>
      <w:marRight w:val="0"/>
      <w:marTop w:val="0"/>
      <w:marBottom w:val="0"/>
      <w:divBdr>
        <w:top w:val="none" w:sz="0" w:space="0" w:color="auto"/>
        <w:left w:val="none" w:sz="0" w:space="0" w:color="auto"/>
        <w:bottom w:val="none" w:sz="0" w:space="0" w:color="auto"/>
        <w:right w:val="none" w:sz="0" w:space="0" w:color="auto"/>
      </w:divBdr>
    </w:div>
    <w:div w:id="1157379100">
      <w:bodyDiv w:val="1"/>
      <w:marLeft w:val="0"/>
      <w:marRight w:val="0"/>
      <w:marTop w:val="0"/>
      <w:marBottom w:val="0"/>
      <w:divBdr>
        <w:top w:val="none" w:sz="0" w:space="0" w:color="auto"/>
        <w:left w:val="none" w:sz="0" w:space="0" w:color="auto"/>
        <w:bottom w:val="none" w:sz="0" w:space="0" w:color="auto"/>
        <w:right w:val="none" w:sz="0" w:space="0" w:color="auto"/>
      </w:divBdr>
    </w:div>
    <w:div w:id="1196433110">
      <w:bodyDiv w:val="1"/>
      <w:marLeft w:val="0"/>
      <w:marRight w:val="0"/>
      <w:marTop w:val="0"/>
      <w:marBottom w:val="0"/>
      <w:divBdr>
        <w:top w:val="none" w:sz="0" w:space="0" w:color="auto"/>
        <w:left w:val="none" w:sz="0" w:space="0" w:color="auto"/>
        <w:bottom w:val="none" w:sz="0" w:space="0" w:color="auto"/>
        <w:right w:val="none" w:sz="0" w:space="0" w:color="auto"/>
      </w:divBdr>
    </w:div>
    <w:div w:id="1314337729">
      <w:bodyDiv w:val="1"/>
      <w:marLeft w:val="0"/>
      <w:marRight w:val="0"/>
      <w:marTop w:val="0"/>
      <w:marBottom w:val="0"/>
      <w:divBdr>
        <w:top w:val="none" w:sz="0" w:space="0" w:color="auto"/>
        <w:left w:val="none" w:sz="0" w:space="0" w:color="auto"/>
        <w:bottom w:val="none" w:sz="0" w:space="0" w:color="auto"/>
        <w:right w:val="none" w:sz="0" w:space="0" w:color="auto"/>
      </w:divBdr>
    </w:div>
    <w:div w:id="1345858136">
      <w:bodyDiv w:val="1"/>
      <w:marLeft w:val="0"/>
      <w:marRight w:val="0"/>
      <w:marTop w:val="0"/>
      <w:marBottom w:val="0"/>
      <w:divBdr>
        <w:top w:val="none" w:sz="0" w:space="0" w:color="auto"/>
        <w:left w:val="none" w:sz="0" w:space="0" w:color="auto"/>
        <w:bottom w:val="none" w:sz="0" w:space="0" w:color="auto"/>
        <w:right w:val="none" w:sz="0" w:space="0" w:color="auto"/>
      </w:divBdr>
    </w:div>
    <w:div w:id="1465001177">
      <w:bodyDiv w:val="1"/>
      <w:marLeft w:val="0"/>
      <w:marRight w:val="0"/>
      <w:marTop w:val="0"/>
      <w:marBottom w:val="0"/>
      <w:divBdr>
        <w:top w:val="none" w:sz="0" w:space="0" w:color="auto"/>
        <w:left w:val="none" w:sz="0" w:space="0" w:color="auto"/>
        <w:bottom w:val="none" w:sz="0" w:space="0" w:color="auto"/>
        <w:right w:val="none" w:sz="0" w:space="0" w:color="auto"/>
      </w:divBdr>
    </w:div>
    <w:div w:id="1629779432">
      <w:bodyDiv w:val="1"/>
      <w:marLeft w:val="0"/>
      <w:marRight w:val="0"/>
      <w:marTop w:val="0"/>
      <w:marBottom w:val="0"/>
      <w:divBdr>
        <w:top w:val="none" w:sz="0" w:space="0" w:color="auto"/>
        <w:left w:val="none" w:sz="0" w:space="0" w:color="auto"/>
        <w:bottom w:val="none" w:sz="0" w:space="0" w:color="auto"/>
        <w:right w:val="none" w:sz="0" w:space="0" w:color="auto"/>
      </w:divBdr>
    </w:div>
    <w:div w:id="1706372071">
      <w:bodyDiv w:val="1"/>
      <w:marLeft w:val="0"/>
      <w:marRight w:val="0"/>
      <w:marTop w:val="0"/>
      <w:marBottom w:val="0"/>
      <w:divBdr>
        <w:top w:val="none" w:sz="0" w:space="0" w:color="auto"/>
        <w:left w:val="none" w:sz="0" w:space="0" w:color="auto"/>
        <w:bottom w:val="none" w:sz="0" w:space="0" w:color="auto"/>
        <w:right w:val="none" w:sz="0" w:space="0" w:color="auto"/>
      </w:divBdr>
    </w:div>
    <w:div w:id="1713915737">
      <w:bodyDiv w:val="1"/>
      <w:marLeft w:val="0"/>
      <w:marRight w:val="0"/>
      <w:marTop w:val="0"/>
      <w:marBottom w:val="0"/>
      <w:divBdr>
        <w:top w:val="none" w:sz="0" w:space="0" w:color="auto"/>
        <w:left w:val="none" w:sz="0" w:space="0" w:color="auto"/>
        <w:bottom w:val="none" w:sz="0" w:space="0" w:color="auto"/>
        <w:right w:val="none" w:sz="0" w:space="0" w:color="auto"/>
      </w:divBdr>
    </w:div>
    <w:div w:id="1787429265">
      <w:bodyDiv w:val="1"/>
      <w:marLeft w:val="0"/>
      <w:marRight w:val="0"/>
      <w:marTop w:val="0"/>
      <w:marBottom w:val="0"/>
      <w:divBdr>
        <w:top w:val="none" w:sz="0" w:space="0" w:color="auto"/>
        <w:left w:val="none" w:sz="0" w:space="0" w:color="auto"/>
        <w:bottom w:val="none" w:sz="0" w:space="0" w:color="auto"/>
        <w:right w:val="none" w:sz="0" w:space="0" w:color="auto"/>
      </w:divBdr>
    </w:div>
    <w:div w:id="1807121142">
      <w:bodyDiv w:val="1"/>
      <w:marLeft w:val="0"/>
      <w:marRight w:val="0"/>
      <w:marTop w:val="0"/>
      <w:marBottom w:val="0"/>
      <w:divBdr>
        <w:top w:val="none" w:sz="0" w:space="0" w:color="auto"/>
        <w:left w:val="none" w:sz="0" w:space="0" w:color="auto"/>
        <w:bottom w:val="none" w:sz="0" w:space="0" w:color="auto"/>
        <w:right w:val="none" w:sz="0" w:space="0" w:color="auto"/>
      </w:divBdr>
    </w:div>
    <w:div w:id="1942368764">
      <w:bodyDiv w:val="1"/>
      <w:marLeft w:val="0"/>
      <w:marRight w:val="0"/>
      <w:marTop w:val="0"/>
      <w:marBottom w:val="0"/>
      <w:divBdr>
        <w:top w:val="none" w:sz="0" w:space="0" w:color="auto"/>
        <w:left w:val="none" w:sz="0" w:space="0" w:color="auto"/>
        <w:bottom w:val="none" w:sz="0" w:space="0" w:color="auto"/>
        <w:right w:val="none" w:sz="0" w:space="0" w:color="auto"/>
      </w:divBdr>
      <w:divsChild>
        <w:div w:id="256521222">
          <w:marLeft w:val="0"/>
          <w:marRight w:val="0"/>
          <w:marTop w:val="0"/>
          <w:marBottom w:val="0"/>
          <w:divBdr>
            <w:top w:val="none" w:sz="0" w:space="0" w:color="auto"/>
            <w:left w:val="none" w:sz="0" w:space="0" w:color="auto"/>
            <w:bottom w:val="none" w:sz="0" w:space="0" w:color="auto"/>
            <w:right w:val="none" w:sz="0" w:space="0" w:color="auto"/>
          </w:divBdr>
          <w:divsChild>
            <w:div w:id="1962373935">
              <w:marLeft w:val="0"/>
              <w:marRight w:val="0"/>
              <w:marTop w:val="0"/>
              <w:marBottom w:val="0"/>
              <w:divBdr>
                <w:top w:val="none" w:sz="0" w:space="0" w:color="auto"/>
                <w:left w:val="none" w:sz="0" w:space="0" w:color="auto"/>
                <w:bottom w:val="none" w:sz="0" w:space="0" w:color="auto"/>
                <w:right w:val="none" w:sz="0" w:space="0" w:color="auto"/>
              </w:divBdr>
              <w:divsChild>
                <w:div w:id="1844471218">
                  <w:marLeft w:val="0"/>
                  <w:marRight w:val="0"/>
                  <w:marTop w:val="0"/>
                  <w:marBottom w:val="0"/>
                  <w:divBdr>
                    <w:top w:val="none" w:sz="0" w:space="0" w:color="auto"/>
                    <w:left w:val="none" w:sz="0" w:space="0" w:color="auto"/>
                    <w:bottom w:val="none" w:sz="0" w:space="0" w:color="auto"/>
                    <w:right w:val="none" w:sz="0" w:space="0" w:color="auto"/>
                  </w:divBdr>
                  <w:divsChild>
                    <w:div w:id="213856439">
                      <w:marLeft w:val="0"/>
                      <w:marRight w:val="0"/>
                      <w:marTop w:val="0"/>
                      <w:marBottom w:val="0"/>
                      <w:divBdr>
                        <w:top w:val="none" w:sz="0" w:space="0" w:color="auto"/>
                        <w:left w:val="none" w:sz="0" w:space="0" w:color="auto"/>
                        <w:bottom w:val="none" w:sz="0" w:space="0" w:color="auto"/>
                        <w:right w:val="none" w:sz="0" w:space="0" w:color="auto"/>
                      </w:divBdr>
                      <w:divsChild>
                        <w:div w:id="203830196">
                          <w:marLeft w:val="0"/>
                          <w:marRight w:val="0"/>
                          <w:marTop w:val="0"/>
                          <w:marBottom w:val="0"/>
                          <w:divBdr>
                            <w:top w:val="none" w:sz="0" w:space="0" w:color="auto"/>
                            <w:left w:val="none" w:sz="0" w:space="0" w:color="auto"/>
                            <w:bottom w:val="none" w:sz="0" w:space="0" w:color="auto"/>
                            <w:right w:val="none" w:sz="0" w:space="0" w:color="auto"/>
                          </w:divBdr>
                          <w:divsChild>
                            <w:div w:id="500968755">
                              <w:marLeft w:val="0"/>
                              <w:marRight w:val="0"/>
                              <w:marTop w:val="0"/>
                              <w:marBottom w:val="0"/>
                              <w:divBdr>
                                <w:top w:val="none" w:sz="0" w:space="0" w:color="auto"/>
                                <w:left w:val="none" w:sz="0" w:space="0" w:color="auto"/>
                                <w:bottom w:val="none" w:sz="0" w:space="0" w:color="auto"/>
                                <w:right w:val="none" w:sz="0" w:space="0" w:color="auto"/>
                              </w:divBdr>
                              <w:divsChild>
                                <w:div w:id="170440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1422354">
      <w:bodyDiv w:val="1"/>
      <w:marLeft w:val="0"/>
      <w:marRight w:val="0"/>
      <w:marTop w:val="0"/>
      <w:marBottom w:val="0"/>
      <w:divBdr>
        <w:top w:val="none" w:sz="0" w:space="0" w:color="auto"/>
        <w:left w:val="none" w:sz="0" w:space="0" w:color="auto"/>
        <w:bottom w:val="none" w:sz="0" w:space="0" w:color="auto"/>
        <w:right w:val="none" w:sz="0" w:space="0" w:color="auto"/>
      </w:divBdr>
    </w:div>
    <w:div w:id="2079401372">
      <w:bodyDiv w:val="1"/>
      <w:marLeft w:val="0"/>
      <w:marRight w:val="0"/>
      <w:marTop w:val="0"/>
      <w:marBottom w:val="0"/>
      <w:divBdr>
        <w:top w:val="none" w:sz="0" w:space="0" w:color="auto"/>
        <w:left w:val="none" w:sz="0" w:space="0" w:color="auto"/>
        <w:bottom w:val="none" w:sz="0" w:space="0" w:color="auto"/>
        <w:right w:val="none" w:sz="0" w:space="0" w:color="auto"/>
      </w:divBdr>
    </w:div>
    <w:div w:id="2123256880">
      <w:bodyDiv w:val="1"/>
      <w:marLeft w:val="0"/>
      <w:marRight w:val="0"/>
      <w:marTop w:val="0"/>
      <w:marBottom w:val="0"/>
      <w:divBdr>
        <w:top w:val="none" w:sz="0" w:space="0" w:color="auto"/>
        <w:left w:val="none" w:sz="0" w:space="0" w:color="auto"/>
        <w:bottom w:val="none" w:sz="0" w:space="0" w:color="auto"/>
        <w:right w:val="none" w:sz="0" w:space="0" w:color="auto"/>
      </w:divBdr>
      <w:divsChild>
        <w:div w:id="3612476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69CD9-8E4F-4B65-B9E9-A5DC3F4E7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3756</Words>
  <Characters>21414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25120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dc:creator>
  <cp:keywords/>
  <dc:description/>
  <cp:lastModifiedBy>Anila Mansoor (2433628)</cp:lastModifiedBy>
  <cp:revision>19</cp:revision>
  <dcterms:created xsi:type="dcterms:W3CDTF">2026-06-22T12:57:00Z</dcterms:created>
  <dcterms:modified xsi:type="dcterms:W3CDTF">2026-06-30T11:34:00Z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087293b4-9a47-4532-8711-59cf20de4a9a</vt:lpwstr>
  </property>
</Properties>
</file>