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DF956" w14:textId="5BC4623D" w:rsidR="006B6A6B" w:rsidRDefault="001D1D13">
      <w:r>
        <w:rPr>
          <w:noProof/>
        </w:rPr>
        <w:drawing>
          <wp:inline distT="0" distB="0" distL="0" distR="0" wp14:anchorId="5465E47D" wp14:editId="3F7D3812">
            <wp:extent cx="4381500" cy="8044180"/>
            <wp:effectExtent l="0" t="0" r="0" b="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5EE1C095-75DF-46DE-B10C-E140E4D3983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 w:rsidR="0024223F">
        <w:rPr>
          <w:noProof/>
        </w:rPr>
        <w:drawing>
          <wp:inline distT="0" distB="0" distL="0" distR="0" wp14:anchorId="17F99288" wp14:editId="55F34677">
            <wp:extent cx="4445000" cy="8039100"/>
            <wp:effectExtent l="0" t="0" r="0" b="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390CD462-F003-4B0F-B84B-24C83B58903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1030BDBA" w14:textId="4EC21094" w:rsidR="0024223F" w:rsidRPr="0003681D" w:rsidRDefault="00A36854" w:rsidP="0003681D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These two Pie’s show the </w:t>
      </w:r>
      <w:r w:rsidR="00C13C3F">
        <w:rPr>
          <w:sz w:val="36"/>
          <w:szCs w:val="36"/>
        </w:rPr>
        <w:t>comparison of testing posi</w:t>
      </w:r>
      <w:r w:rsidR="00F35D35">
        <w:rPr>
          <w:sz w:val="36"/>
          <w:szCs w:val="36"/>
        </w:rPr>
        <w:t>ti</w:t>
      </w:r>
      <w:r w:rsidR="00C13C3F">
        <w:rPr>
          <w:sz w:val="36"/>
          <w:szCs w:val="36"/>
        </w:rPr>
        <w:t xml:space="preserve">ve of the population at the time of October for each </w:t>
      </w:r>
      <w:r w:rsidR="002C2D7E">
        <w:rPr>
          <w:sz w:val="36"/>
          <w:szCs w:val="36"/>
        </w:rPr>
        <w:t>L</w:t>
      </w:r>
      <w:r w:rsidR="00F35D35">
        <w:rPr>
          <w:sz w:val="36"/>
          <w:szCs w:val="36"/>
        </w:rPr>
        <w:t>ocal authority.</w:t>
      </w:r>
    </w:p>
    <w:p w14:paraId="5D509DC2" w14:textId="77777777" w:rsidR="00A63AD9" w:rsidRDefault="00A63AD9" w:rsidP="00A63AD9">
      <w:pPr>
        <w:jc w:val="right"/>
        <w:rPr>
          <w:sz w:val="36"/>
          <w:szCs w:val="36"/>
        </w:rPr>
      </w:pPr>
    </w:p>
    <w:p w14:paraId="1EEBC674" w14:textId="77777777" w:rsidR="00A63AD9" w:rsidRDefault="00A63AD9" w:rsidP="00A63AD9">
      <w:pPr>
        <w:jc w:val="right"/>
        <w:rPr>
          <w:sz w:val="36"/>
          <w:szCs w:val="36"/>
        </w:rPr>
      </w:pPr>
    </w:p>
    <w:p w14:paraId="7E711696" w14:textId="77777777" w:rsidR="00A63AD9" w:rsidRDefault="00A63AD9" w:rsidP="00A63AD9">
      <w:pPr>
        <w:jc w:val="right"/>
        <w:rPr>
          <w:sz w:val="36"/>
          <w:szCs w:val="36"/>
        </w:rPr>
      </w:pPr>
    </w:p>
    <w:p w14:paraId="4BDB6D5E" w14:textId="053B746B" w:rsidR="0024223F" w:rsidRDefault="00D0001F" w:rsidP="00A63AD9">
      <w:pPr>
        <w:jc w:val="right"/>
      </w:pPr>
      <w:r>
        <w:drawing>
          <wp:anchor distT="0" distB="0" distL="114300" distR="114300" simplePos="0" relativeHeight="251658240" behindDoc="0" locked="0" layoutInCell="1" allowOverlap="1" wp14:anchorId="75F3F7D3" wp14:editId="3EB540D0">
            <wp:simplePos x="914400" y="9779000"/>
            <wp:positionH relativeFrom="column">
              <wp:align>left</wp:align>
            </wp:positionH>
            <wp:positionV relativeFrom="paragraph">
              <wp:align>top</wp:align>
            </wp:positionV>
            <wp:extent cx="5689600" cy="2844800"/>
            <wp:effectExtent l="0" t="0" r="6350" b="12700"/>
            <wp:wrapSquare wrapText="bothSides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8DB65F17-93FD-4271-8BE9-D6EBE34800F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anchor>
        </w:drawing>
      </w:r>
      <w:r w:rsidR="00A63AD9">
        <w:rPr>
          <w:sz w:val="36"/>
          <w:szCs w:val="36"/>
        </w:rPr>
        <w:t xml:space="preserve">This </w:t>
      </w:r>
      <w:r w:rsidR="000B0911">
        <w:rPr>
          <w:sz w:val="36"/>
          <w:szCs w:val="36"/>
        </w:rPr>
        <w:t>graphic</w:t>
      </w:r>
      <w:r w:rsidR="00311547">
        <w:rPr>
          <w:sz w:val="36"/>
          <w:szCs w:val="36"/>
        </w:rPr>
        <w:t xml:space="preserve"> shows the variation of the </w:t>
      </w:r>
      <w:r w:rsidR="006B1D0D">
        <w:rPr>
          <w:sz w:val="36"/>
          <w:szCs w:val="36"/>
        </w:rPr>
        <w:t>All cases</w:t>
      </w:r>
      <w:r w:rsidR="00311547">
        <w:rPr>
          <w:sz w:val="36"/>
          <w:szCs w:val="36"/>
        </w:rPr>
        <w:t xml:space="preserve"> data per </w:t>
      </w:r>
      <w:r w:rsidR="002C2D7E">
        <w:rPr>
          <w:sz w:val="36"/>
          <w:szCs w:val="36"/>
        </w:rPr>
        <w:t>Local Authority</w:t>
      </w:r>
      <w:r w:rsidR="006B1D0D">
        <w:rPr>
          <w:sz w:val="36"/>
          <w:szCs w:val="36"/>
        </w:rPr>
        <w:t>.</w:t>
      </w:r>
      <w:r w:rsidR="00A63AD9">
        <w:br w:type="textWrapping" w:clear="all"/>
      </w:r>
    </w:p>
    <w:p w14:paraId="072995C8" w14:textId="45F1AE5A" w:rsidR="00BE154E" w:rsidRDefault="00857213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458E6CB" wp14:editId="06B0C13B">
            <wp:extent cx="9182100" cy="3949700"/>
            <wp:effectExtent l="0" t="0" r="0" b="12700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6DF575D6-B5C9-42C0-A69E-ABA9FF8617F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63BA9C31" w14:textId="0906FA6A" w:rsidR="00243E81" w:rsidRPr="00243E81" w:rsidRDefault="00243E81" w:rsidP="00243E81"/>
    <w:p w14:paraId="6BC17C96" w14:textId="78D57CA7" w:rsidR="00243E81" w:rsidRPr="00243E81" w:rsidRDefault="00243E81" w:rsidP="00243E81"/>
    <w:p w14:paraId="311BFDBE" w14:textId="4933E554" w:rsidR="00243E81" w:rsidRPr="00243E81" w:rsidRDefault="00243E81" w:rsidP="00243E81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The graph above </w:t>
      </w:r>
      <w:r w:rsidR="003D4FA9">
        <w:rPr>
          <w:sz w:val="36"/>
          <w:szCs w:val="36"/>
        </w:rPr>
        <w:t xml:space="preserve">is a comparison of October between the </w:t>
      </w:r>
      <w:r w:rsidR="00150099">
        <w:rPr>
          <w:sz w:val="36"/>
          <w:szCs w:val="36"/>
        </w:rPr>
        <w:t xml:space="preserve">7 days and 21 days period of each Local Authority </w:t>
      </w:r>
      <w:r w:rsidR="00574722">
        <w:rPr>
          <w:sz w:val="36"/>
          <w:szCs w:val="36"/>
        </w:rPr>
        <w:t>mentioned in the file data available</w:t>
      </w:r>
      <w:r w:rsidR="00E20704">
        <w:rPr>
          <w:sz w:val="36"/>
          <w:szCs w:val="36"/>
        </w:rPr>
        <w:t>.</w:t>
      </w:r>
    </w:p>
    <w:sectPr w:rsidR="00243E81" w:rsidRPr="00243E81" w:rsidSect="0024223F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26A"/>
    <w:rsid w:val="00032601"/>
    <w:rsid w:val="0003681D"/>
    <w:rsid w:val="000B0911"/>
    <w:rsid w:val="00105ABC"/>
    <w:rsid w:val="00150099"/>
    <w:rsid w:val="001D1D13"/>
    <w:rsid w:val="001D226A"/>
    <w:rsid w:val="0024223F"/>
    <w:rsid w:val="00243E81"/>
    <w:rsid w:val="002802DF"/>
    <w:rsid w:val="002B5065"/>
    <w:rsid w:val="002C27FB"/>
    <w:rsid w:val="002C2D7E"/>
    <w:rsid w:val="003074B5"/>
    <w:rsid w:val="00311547"/>
    <w:rsid w:val="00363DA4"/>
    <w:rsid w:val="00381D13"/>
    <w:rsid w:val="003D4FA9"/>
    <w:rsid w:val="00502F6C"/>
    <w:rsid w:val="00515166"/>
    <w:rsid w:val="00555B0D"/>
    <w:rsid w:val="0056000A"/>
    <w:rsid w:val="00574722"/>
    <w:rsid w:val="006B1D0D"/>
    <w:rsid w:val="006B6A6B"/>
    <w:rsid w:val="006D25B8"/>
    <w:rsid w:val="00833A31"/>
    <w:rsid w:val="00857213"/>
    <w:rsid w:val="008D223A"/>
    <w:rsid w:val="008E44DE"/>
    <w:rsid w:val="008E67E9"/>
    <w:rsid w:val="00905007"/>
    <w:rsid w:val="00906F35"/>
    <w:rsid w:val="009537BE"/>
    <w:rsid w:val="009B7F57"/>
    <w:rsid w:val="009F4F80"/>
    <w:rsid w:val="00A16A8B"/>
    <w:rsid w:val="00A36854"/>
    <w:rsid w:val="00A63AD9"/>
    <w:rsid w:val="00B23AD8"/>
    <w:rsid w:val="00B92D0F"/>
    <w:rsid w:val="00BB5412"/>
    <w:rsid w:val="00BE154E"/>
    <w:rsid w:val="00BF3EDB"/>
    <w:rsid w:val="00C13C3F"/>
    <w:rsid w:val="00D0001F"/>
    <w:rsid w:val="00D269B3"/>
    <w:rsid w:val="00DC5403"/>
    <w:rsid w:val="00E10D6C"/>
    <w:rsid w:val="00E20704"/>
    <w:rsid w:val="00E254F2"/>
    <w:rsid w:val="00E91EEA"/>
    <w:rsid w:val="00F15E6C"/>
    <w:rsid w:val="00F35D35"/>
    <w:rsid w:val="00F503D1"/>
    <w:rsid w:val="00F7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FFD86"/>
  <w15:chartTrackingRefBased/>
  <w15:docId w15:val="{D66FA07B-8496-420D-AF8C-CDE06A59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2906_student_uwtsd_ac_uk/Documents/Documents/Level%204.%20Term%202/DAV%20=%20Data%20Analysis%20&amp;%20Visualisation%20(ACCB4002)/Covid%20Case%20data%20October%202021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2906_student_uwtsd_ac_uk/Documents/Documents/Level%204.%20Term%202/DAV%20=%20Data%20Analysis%20&amp;%20Visualisation%20(ACCB4002)/Covid%20Case%20data%20October%202021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2906_student_uwtsd_ac_uk/Documents/Documents/Level%204.%20Term%202/DAV%20=%20Data%20Analysis%20&amp;%20Visualisation%20(ACCB4002)/Covid%20Case%20data%20October%202021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2906_student_uwtsd_ac_uk/Documents/Documents/Level%204.%20Term%202/DAV%20=%20Data%20Analysis%20&amp;%20Visualisation%20(ACCB4002)/Covid%20Case%20data%20October%202021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/>
              <a:t>21</a:t>
            </a:r>
            <a:r>
              <a:rPr lang="en-GB" baseline="0"/>
              <a:t> Days- Incident per Population Percentage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119-431A-9B57-DB7BE421384D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119-431A-9B57-DB7BE421384D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6119-431A-9B57-DB7BE421384D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6119-431A-9B57-DB7BE421384D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6119-431A-9B57-DB7BE421384D}"/>
              </c:ext>
            </c:extLst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6119-431A-9B57-DB7BE421384D}"/>
              </c:ext>
            </c:extLst>
          </c:dPt>
          <c:dPt>
            <c:idx val="6"/>
            <c:bubble3D val="0"/>
            <c:spPr>
              <a:gradFill rotWithShape="1">
                <a:gsLst>
                  <a:gs pos="0">
                    <a:schemeClr val="accent1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D-6119-431A-9B57-DB7BE421384D}"/>
              </c:ext>
            </c:extLst>
          </c:dPt>
          <c:dPt>
            <c:idx val="7"/>
            <c:bubble3D val="0"/>
            <c:spPr>
              <a:gradFill rotWithShape="1">
                <a:gsLst>
                  <a:gs pos="0">
                    <a:schemeClr val="accent2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F-6119-431A-9B57-DB7BE421384D}"/>
              </c:ext>
            </c:extLst>
          </c:dPt>
          <c:dPt>
            <c:idx val="8"/>
            <c:bubble3D val="0"/>
            <c:spPr>
              <a:gradFill rotWithShape="1">
                <a:gsLst>
                  <a:gs pos="0">
                    <a:schemeClr val="accent3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1-6119-431A-9B57-DB7BE421384D}"/>
              </c:ext>
            </c:extLst>
          </c:dPt>
          <c:dPt>
            <c:idx val="9"/>
            <c:bubble3D val="0"/>
            <c:spPr>
              <a:gradFill rotWithShape="1">
                <a:gsLst>
                  <a:gs pos="0">
                    <a:schemeClr val="accent4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3-6119-431A-9B57-DB7BE421384D}"/>
              </c:ext>
            </c:extLst>
          </c:dPt>
          <c:dPt>
            <c:idx val="10"/>
            <c:bubble3D val="0"/>
            <c:spPr>
              <a:gradFill rotWithShape="1">
                <a:gsLst>
                  <a:gs pos="0">
                    <a:schemeClr val="accent5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5-6119-431A-9B57-DB7BE421384D}"/>
              </c:ext>
            </c:extLst>
          </c:dPt>
          <c:dPt>
            <c:idx val="11"/>
            <c:bubble3D val="0"/>
            <c:spPr>
              <a:gradFill rotWithShape="1">
                <a:gsLst>
                  <a:gs pos="0">
                    <a:schemeClr val="accent6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7-6119-431A-9B57-DB7BE421384D}"/>
              </c:ext>
            </c:extLst>
          </c:dPt>
          <c:dPt>
            <c:idx val="12"/>
            <c:bubble3D val="0"/>
            <c:spPr>
              <a:gradFill rotWithShape="1">
                <a:gsLst>
                  <a:gs pos="0">
                    <a:schemeClr val="accent1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9-6119-431A-9B57-DB7BE421384D}"/>
              </c:ext>
            </c:extLst>
          </c:dPt>
          <c:dPt>
            <c:idx val="13"/>
            <c:bubble3D val="0"/>
            <c:spPr>
              <a:gradFill rotWithShape="1">
                <a:gsLst>
                  <a:gs pos="0">
                    <a:schemeClr val="accent2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B-6119-431A-9B57-DB7BE421384D}"/>
              </c:ext>
            </c:extLst>
          </c:dPt>
          <c:dPt>
            <c:idx val="14"/>
            <c:bubble3D val="0"/>
            <c:spPr>
              <a:gradFill rotWithShape="1">
                <a:gsLst>
                  <a:gs pos="0">
                    <a:schemeClr val="accent3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D-6119-431A-9B57-DB7BE421384D}"/>
              </c:ext>
            </c:extLst>
          </c:dPt>
          <c:dPt>
            <c:idx val="15"/>
            <c:bubble3D val="0"/>
            <c:spPr>
              <a:gradFill rotWithShape="1">
                <a:gsLst>
                  <a:gs pos="0">
                    <a:schemeClr val="accent4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F-6119-431A-9B57-DB7BE421384D}"/>
              </c:ext>
            </c:extLst>
          </c:dPt>
          <c:dPt>
            <c:idx val="16"/>
            <c:bubble3D val="0"/>
            <c:spPr>
              <a:gradFill rotWithShape="1">
                <a:gsLst>
                  <a:gs pos="0">
                    <a:schemeClr val="accent5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1-6119-431A-9B57-DB7BE421384D}"/>
              </c:ext>
            </c:extLst>
          </c:dPt>
          <c:dPt>
            <c:idx val="17"/>
            <c:bubble3D val="0"/>
            <c:spPr>
              <a:gradFill rotWithShape="1">
                <a:gsLst>
                  <a:gs pos="0">
                    <a:schemeClr val="accent6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3-6119-431A-9B57-DB7BE421384D}"/>
              </c:ext>
            </c:extLst>
          </c:dPt>
          <c:dPt>
            <c:idx val="18"/>
            <c:bubble3D val="0"/>
            <c:spPr>
              <a:gradFill rotWithShape="1">
                <a:gsLst>
                  <a:gs pos="0">
                    <a:schemeClr val="accent1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5-6119-431A-9B57-DB7BE421384D}"/>
              </c:ext>
            </c:extLst>
          </c:dPt>
          <c:dPt>
            <c:idx val="19"/>
            <c:bubble3D val="0"/>
            <c:spPr>
              <a:gradFill rotWithShape="1">
                <a:gsLst>
                  <a:gs pos="0">
                    <a:schemeClr val="accent2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7-6119-431A-9B57-DB7BE421384D}"/>
              </c:ext>
            </c:extLst>
          </c:dPt>
          <c:dPt>
            <c:idx val="20"/>
            <c:bubble3D val="0"/>
            <c:spPr>
              <a:gradFill rotWithShape="1">
                <a:gsLst>
                  <a:gs pos="0">
                    <a:schemeClr val="accent3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9-6119-431A-9B57-DB7BE421384D}"/>
              </c:ext>
            </c:extLst>
          </c:dPt>
          <c:dLbls>
            <c:dLbl>
              <c:idx val="5"/>
              <c:layout>
                <c:manualLayout>
                  <c:x val="3.0594930133180921E-2"/>
                  <c:y val="-5.5049589783027403E-2"/>
                </c:manualLayout>
              </c:layout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dk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>
                        <a:gd name="adj1" fmla="val -114882"/>
                        <a:gd name="adj2" fmla="val -28756"/>
                      </a:avLst>
                    </a:prstGeom>
                    <a:noFill/>
                    <a:ln>
                      <a:noFill/>
                    </a:ln>
                  </c15:spPr>
                </c:ext>
                <c:ext xmlns:c16="http://schemas.microsoft.com/office/drawing/2014/chart" uri="{C3380CC4-5D6E-409C-BE32-E72D297353CC}">
                  <c16:uniqueId val="{0000000B-6119-431A-9B57-DB7BE421384D}"/>
                </c:ext>
              </c:extLst>
            </c:dLbl>
            <c:spPr>
              <a:solidFill>
                <a:sysClr val="window" lastClr="FFFFFF"/>
              </a:solidFill>
              <a:ln>
                <a:noFill/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' Covid Cases by MSOA'!$L$32:$L$52</c:f>
              <c:strCache>
                <c:ptCount val="21"/>
                <c:pt idx="0">
                  <c:v>Anglesey</c:v>
                </c:pt>
                <c:pt idx="1">
                  <c:v>Blaenau Gwent</c:v>
                </c:pt>
                <c:pt idx="2">
                  <c:v>Bridgend</c:v>
                </c:pt>
                <c:pt idx="3">
                  <c:v>Caerphilly</c:v>
                </c:pt>
                <c:pt idx="4">
                  <c:v>Cardiff</c:v>
                </c:pt>
                <c:pt idx="5">
                  <c:v>Carmarthenshire</c:v>
                </c:pt>
                <c:pt idx="6">
                  <c:v>Ceredigion</c:v>
                </c:pt>
                <c:pt idx="7">
                  <c:v>Conwy</c:v>
                </c:pt>
                <c:pt idx="8">
                  <c:v>Denbighshire</c:v>
                </c:pt>
                <c:pt idx="9">
                  <c:v>Flintshire</c:v>
                </c:pt>
                <c:pt idx="10">
                  <c:v>Gwynedd</c:v>
                </c:pt>
                <c:pt idx="11">
                  <c:v>Merthyr Tydfil</c:v>
                </c:pt>
                <c:pt idx="12">
                  <c:v>Monmouthshire</c:v>
                </c:pt>
                <c:pt idx="13">
                  <c:v>Neath Port Talbot</c:v>
                </c:pt>
                <c:pt idx="14">
                  <c:v>Newport</c:v>
                </c:pt>
                <c:pt idx="15">
                  <c:v>Pembrokeshire</c:v>
                </c:pt>
                <c:pt idx="16">
                  <c:v>Powys</c:v>
                </c:pt>
                <c:pt idx="17">
                  <c:v>Rhondda Cynon Taf</c:v>
                </c:pt>
                <c:pt idx="18">
                  <c:v>Swansea</c:v>
                </c:pt>
                <c:pt idx="19">
                  <c:v>The Vale of Glamorgan</c:v>
                </c:pt>
                <c:pt idx="20">
                  <c:v>Torfaen</c:v>
                </c:pt>
              </c:strCache>
            </c:strRef>
          </c:cat>
          <c:val>
            <c:numRef>
              <c:f>' Covid Cases by MSOA'!$M$32:$M$52</c:f>
              <c:numCache>
                <c:formatCode>0</c:formatCode>
                <c:ptCount val="21"/>
                <c:pt idx="0">
                  <c:v>978</c:v>
                </c:pt>
                <c:pt idx="1">
                  <c:v>21171.199999999997</c:v>
                </c:pt>
                <c:pt idx="2">
                  <c:v>27801.100000000006</c:v>
                </c:pt>
                <c:pt idx="3">
                  <c:v>56333.399999999994</c:v>
                </c:pt>
                <c:pt idx="4">
                  <c:v>110724.19999999997</c:v>
                </c:pt>
                <c:pt idx="5">
                  <c:v>45868.200000000004</c:v>
                </c:pt>
                <c:pt idx="6">
                  <c:v>5810.4000000000005</c:v>
                </c:pt>
                <c:pt idx="7">
                  <c:v>18331.600000000002</c:v>
                </c:pt>
                <c:pt idx="8">
                  <c:v>26575.7</c:v>
                </c:pt>
                <c:pt idx="9">
                  <c:v>24277.899999999994</c:v>
                </c:pt>
                <c:pt idx="10">
                  <c:v>23075.9</c:v>
                </c:pt>
                <c:pt idx="11">
                  <c:v>4996.5999999999995</c:v>
                </c:pt>
                <c:pt idx="12">
                  <c:v>11528.599999999999</c:v>
                </c:pt>
                <c:pt idx="13">
                  <c:v>42122.999999999993</c:v>
                </c:pt>
                <c:pt idx="14">
                  <c:v>39629.300000000003</c:v>
                </c:pt>
                <c:pt idx="15">
                  <c:v>35368.6</c:v>
                </c:pt>
                <c:pt idx="16">
                  <c:v>30586.599999999995</c:v>
                </c:pt>
                <c:pt idx="17">
                  <c:v>55029.100000000006</c:v>
                </c:pt>
                <c:pt idx="18">
                  <c:v>53300.599999999984</c:v>
                </c:pt>
                <c:pt idx="19">
                  <c:v>13045.699999999999</c:v>
                </c:pt>
                <c:pt idx="20">
                  <c:v>33960.800000000003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A-6119-431A-9B57-DB7BE42138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 baseline="0"/>
              <a:t>21 Days - Cases Percentage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B1CA-4697-8762-547A2634FD5F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B1CA-4697-8762-547A2634FD5F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B1CA-4697-8762-547A2634FD5F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B1CA-4697-8762-547A2634FD5F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B1CA-4697-8762-547A2634FD5F}"/>
              </c:ext>
            </c:extLst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B1CA-4697-8762-547A2634FD5F}"/>
              </c:ext>
            </c:extLst>
          </c:dPt>
          <c:dPt>
            <c:idx val="6"/>
            <c:bubble3D val="0"/>
            <c:spPr>
              <a:gradFill rotWithShape="1">
                <a:gsLst>
                  <a:gs pos="0">
                    <a:schemeClr val="accent1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D-B1CA-4697-8762-547A2634FD5F}"/>
              </c:ext>
            </c:extLst>
          </c:dPt>
          <c:dPt>
            <c:idx val="7"/>
            <c:bubble3D val="0"/>
            <c:spPr>
              <a:gradFill rotWithShape="1">
                <a:gsLst>
                  <a:gs pos="0">
                    <a:schemeClr val="accent2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F-B1CA-4697-8762-547A2634FD5F}"/>
              </c:ext>
            </c:extLst>
          </c:dPt>
          <c:dPt>
            <c:idx val="8"/>
            <c:bubble3D val="0"/>
            <c:spPr>
              <a:gradFill rotWithShape="1">
                <a:gsLst>
                  <a:gs pos="0">
                    <a:schemeClr val="accent3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1-B1CA-4697-8762-547A2634FD5F}"/>
              </c:ext>
            </c:extLst>
          </c:dPt>
          <c:dPt>
            <c:idx val="9"/>
            <c:bubble3D val="0"/>
            <c:spPr>
              <a:gradFill rotWithShape="1">
                <a:gsLst>
                  <a:gs pos="0">
                    <a:schemeClr val="accent4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3-B1CA-4697-8762-547A2634FD5F}"/>
              </c:ext>
            </c:extLst>
          </c:dPt>
          <c:dPt>
            <c:idx val="10"/>
            <c:bubble3D val="0"/>
            <c:spPr>
              <a:gradFill rotWithShape="1">
                <a:gsLst>
                  <a:gs pos="0">
                    <a:schemeClr val="accent5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5-B1CA-4697-8762-547A2634FD5F}"/>
              </c:ext>
            </c:extLst>
          </c:dPt>
          <c:dPt>
            <c:idx val="11"/>
            <c:bubble3D val="0"/>
            <c:spPr>
              <a:gradFill rotWithShape="1">
                <a:gsLst>
                  <a:gs pos="0">
                    <a:schemeClr val="accent6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7-B1CA-4697-8762-547A2634FD5F}"/>
              </c:ext>
            </c:extLst>
          </c:dPt>
          <c:dPt>
            <c:idx val="12"/>
            <c:bubble3D val="0"/>
            <c:spPr>
              <a:gradFill rotWithShape="1">
                <a:gsLst>
                  <a:gs pos="0">
                    <a:schemeClr val="accent1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9-B1CA-4697-8762-547A2634FD5F}"/>
              </c:ext>
            </c:extLst>
          </c:dPt>
          <c:dPt>
            <c:idx val="13"/>
            <c:bubble3D val="0"/>
            <c:spPr>
              <a:gradFill rotWithShape="1">
                <a:gsLst>
                  <a:gs pos="0">
                    <a:schemeClr val="accent2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B-B1CA-4697-8762-547A2634FD5F}"/>
              </c:ext>
            </c:extLst>
          </c:dPt>
          <c:dPt>
            <c:idx val="14"/>
            <c:bubble3D val="0"/>
            <c:spPr>
              <a:gradFill rotWithShape="1">
                <a:gsLst>
                  <a:gs pos="0">
                    <a:schemeClr val="accent3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D-B1CA-4697-8762-547A2634FD5F}"/>
              </c:ext>
            </c:extLst>
          </c:dPt>
          <c:dPt>
            <c:idx val="15"/>
            <c:bubble3D val="0"/>
            <c:spPr>
              <a:gradFill rotWithShape="1">
                <a:gsLst>
                  <a:gs pos="0">
                    <a:schemeClr val="accent4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F-B1CA-4697-8762-547A2634FD5F}"/>
              </c:ext>
            </c:extLst>
          </c:dPt>
          <c:dPt>
            <c:idx val="16"/>
            <c:bubble3D val="0"/>
            <c:spPr>
              <a:gradFill rotWithShape="1">
                <a:gsLst>
                  <a:gs pos="0">
                    <a:schemeClr val="accent5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1-B1CA-4697-8762-547A2634FD5F}"/>
              </c:ext>
            </c:extLst>
          </c:dPt>
          <c:dPt>
            <c:idx val="17"/>
            <c:bubble3D val="0"/>
            <c:spPr>
              <a:gradFill rotWithShape="1">
                <a:gsLst>
                  <a:gs pos="0">
                    <a:schemeClr val="accent6">
                      <a:lumMod val="80000"/>
                      <a:lumOff val="2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lumMod val="80000"/>
                      <a:lumOff val="2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80000"/>
                      <a:lumOff val="2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3-B1CA-4697-8762-547A2634FD5F}"/>
              </c:ext>
            </c:extLst>
          </c:dPt>
          <c:dPt>
            <c:idx val="18"/>
            <c:bubble3D val="0"/>
            <c:spPr>
              <a:gradFill rotWithShape="1">
                <a:gsLst>
                  <a:gs pos="0">
                    <a:schemeClr val="accent1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5-B1CA-4697-8762-547A2634FD5F}"/>
              </c:ext>
            </c:extLst>
          </c:dPt>
          <c:dPt>
            <c:idx val="19"/>
            <c:bubble3D val="0"/>
            <c:spPr>
              <a:gradFill rotWithShape="1">
                <a:gsLst>
                  <a:gs pos="0">
                    <a:schemeClr val="accent2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7-B1CA-4697-8762-547A2634FD5F}"/>
              </c:ext>
            </c:extLst>
          </c:dPt>
          <c:dPt>
            <c:idx val="20"/>
            <c:bubble3D val="0"/>
            <c:spPr>
              <a:gradFill rotWithShape="1">
                <a:gsLst>
                  <a:gs pos="0">
                    <a:schemeClr val="accent3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9-B1CA-4697-8762-547A2634FD5F}"/>
              </c:ext>
            </c:extLst>
          </c:dPt>
          <c:dPt>
            <c:idx val="21"/>
            <c:bubble3D val="0"/>
            <c:spPr>
              <a:gradFill rotWithShape="1">
                <a:gsLst>
                  <a:gs pos="0">
                    <a:schemeClr val="accent4">
                      <a:lumMod val="8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lumMod val="8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8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2B-B1CA-4697-8762-547A2634FD5F}"/>
              </c:ext>
            </c:extLst>
          </c:dPt>
          <c:dLbls>
            <c:spPr>
              <a:noFill/>
              <a:ln>
                <a:noFill/>
              </a:ln>
              <a:effectLst>
                <a:glow rad="127000">
                  <a:schemeClr val="bg1"/>
                </a:glo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ln>
                      <a:noFill/>
                    </a:ln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 Covid Cases by MSOA'!$I$32:$I$53</c:f>
              <c:strCache>
                <c:ptCount val="22"/>
                <c:pt idx="0">
                  <c:v>Anglesey</c:v>
                </c:pt>
                <c:pt idx="1">
                  <c:v>Blaenau Gwent</c:v>
                </c:pt>
                <c:pt idx="2">
                  <c:v>Bridgend</c:v>
                </c:pt>
                <c:pt idx="3">
                  <c:v>Caerphilly</c:v>
                </c:pt>
                <c:pt idx="4">
                  <c:v>Cardiff</c:v>
                </c:pt>
                <c:pt idx="5">
                  <c:v>Carmarthenshire</c:v>
                </c:pt>
                <c:pt idx="6">
                  <c:v>Ceredigion</c:v>
                </c:pt>
                <c:pt idx="7">
                  <c:v>Conwy</c:v>
                </c:pt>
                <c:pt idx="8">
                  <c:v>Denbighshire</c:v>
                </c:pt>
                <c:pt idx="9">
                  <c:v>Flintshire</c:v>
                </c:pt>
                <c:pt idx="10">
                  <c:v>Gwynedd</c:v>
                </c:pt>
                <c:pt idx="11">
                  <c:v>Merthyr Tydfil</c:v>
                </c:pt>
                <c:pt idx="12">
                  <c:v>Monmouthshire</c:v>
                </c:pt>
                <c:pt idx="13">
                  <c:v>Neath Port Talbot</c:v>
                </c:pt>
                <c:pt idx="14">
                  <c:v>Newport</c:v>
                </c:pt>
                <c:pt idx="15">
                  <c:v>Pembrokeshire</c:v>
                </c:pt>
                <c:pt idx="16">
                  <c:v>Powys</c:v>
                </c:pt>
                <c:pt idx="17">
                  <c:v>Rhondda Cynon Taf</c:v>
                </c:pt>
                <c:pt idx="18">
                  <c:v>Swansea</c:v>
                </c:pt>
                <c:pt idx="19">
                  <c:v>The Vale of Glamorgan</c:v>
                </c:pt>
                <c:pt idx="20">
                  <c:v>Torfaen</c:v>
                </c:pt>
                <c:pt idx="21">
                  <c:v>Wrexham</c:v>
                </c:pt>
              </c:strCache>
            </c:strRef>
          </c:cat>
          <c:val>
            <c:numRef>
              <c:f>' Covid Cases by MSOA'!$J$32:$J$53</c:f>
              <c:numCache>
                <c:formatCode>General</c:formatCode>
                <c:ptCount val="22"/>
                <c:pt idx="0">
                  <c:v>978</c:v>
                </c:pt>
                <c:pt idx="1">
                  <c:v>1672</c:v>
                </c:pt>
                <c:pt idx="2">
                  <c:v>2148</c:v>
                </c:pt>
                <c:pt idx="3">
                  <c:v>4263</c:v>
                </c:pt>
                <c:pt idx="4">
                  <c:v>8135</c:v>
                </c:pt>
                <c:pt idx="5">
                  <c:v>3472</c:v>
                </c:pt>
                <c:pt idx="6">
                  <c:v>990</c:v>
                </c:pt>
                <c:pt idx="7">
                  <c:v>1435</c:v>
                </c:pt>
                <c:pt idx="8">
                  <c:v>1652</c:v>
                </c:pt>
                <c:pt idx="9">
                  <c:v>1858</c:v>
                </c:pt>
                <c:pt idx="10">
                  <c:v>1650</c:v>
                </c:pt>
                <c:pt idx="11">
                  <c:v>994</c:v>
                </c:pt>
                <c:pt idx="12">
                  <c:v>1731</c:v>
                </c:pt>
                <c:pt idx="13">
                  <c:v>3154</c:v>
                </c:pt>
                <c:pt idx="14">
                  <c:v>3055</c:v>
                </c:pt>
                <c:pt idx="15">
                  <c:v>2760</c:v>
                </c:pt>
                <c:pt idx="16">
                  <c:v>2174</c:v>
                </c:pt>
                <c:pt idx="17">
                  <c:v>4342</c:v>
                </c:pt>
                <c:pt idx="18">
                  <c:v>4251</c:v>
                </c:pt>
                <c:pt idx="19">
                  <c:v>3154</c:v>
                </c:pt>
                <c:pt idx="20">
                  <c:v>2471</c:v>
                </c:pt>
                <c:pt idx="21" formatCode="0">
                  <c:v>1589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C-B1CA-4697-8762-547A2634FD5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All</a:t>
            </a:r>
            <a:r>
              <a:rPr lang="en-GB" baseline="0"/>
              <a:t> Cases - October 2021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 Covid Cases by MSOA'!$L$54:$L$75</c:f>
              <c:strCache>
                <c:ptCount val="22"/>
                <c:pt idx="0">
                  <c:v>Anglesey</c:v>
                </c:pt>
                <c:pt idx="1">
                  <c:v>Blaenau Gwent</c:v>
                </c:pt>
                <c:pt idx="2">
                  <c:v>Bridgend</c:v>
                </c:pt>
                <c:pt idx="3">
                  <c:v>Caerphilly</c:v>
                </c:pt>
                <c:pt idx="4">
                  <c:v>Cardiff</c:v>
                </c:pt>
                <c:pt idx="5">
                  <c:v>Carmarthenshire</c:v>
                </c:pt>
                <c:pt idx="6">
                  <c:v>Ceredigion</c:v>
                </c:pt>
                <c:pt idx="7">
                  <c:v>Conwy</c:v>
                </c:pt>
                <c:pt idx="8">
                  <c:v>Denbighshire</c:v>
                </c:pt>
                <c:pt idx="9">
                  <c:v>Flintshire</c:v>
                </c:pt>
                <c:pt idx="10">
                  <c:v>Gwynedd</c:v>
                </c:pt>
                <c:pt idx="11">
                  <c:v>Merthyr Tydfil</c:v>
                </c:pt>
                <c:pt idx="12">
                  <c:v>Monmouthshire</c:v>
                </c:pt>
                <c:pt idx="13">
                  <c:v>Neath Port Talbot</c:v>
                </c:pt>
                <c:pt idx="14">
                  <c:v>Newport</c:v>
                </c:pt>
                <c:pt idx="15">
                  <c:v>Pembrokeshire</c:v>
                </c:pt>
                <c:pt idx="16">
                  <c:v>Powys</c:v>
                </c:pt>
                <c:pt idx="17">
                  <c:v>Rhondda Cynon Taf</c:v>
                </c:pt>
                <c:pt idx="18">
                  <c:v>Swansea</c:v>
                </c:pt>
                <c:pt idx="19">
                  <c:v>The Vale of Glamorgan</c:v>
                </c:pt>
                <c:pt idx="20">
                  <c:v>Torfaen</c:v>
                </c:pt>
                <c:pt idx="21">
                  <c:v>Wrexham</c:v>
                </c:pt>
              </c:strCache>
            </c:strRef>
          </c:cat>
          <c:val>
            <c:numRef>
              <c:f>' Covid Cases by MSOA'!$M$54:$M$75</c:f>
              <c:numCache>
                <c:formatCode>0</c:formatCode>
                <c:ptCount val="22"/>
                <c:pt idx="0">
                  <c:v>75473.599999999991</c:v>
                </c:pt>
                <c:pt idx="1">
                  <c:v>138332</c:v>
                </c:pt>
                <c:pt idx="2">
                  <c:v>275559.7</c:v>
                </c:pt>
                <c:pt idx="3">
                  <c:v>356051.4</c:v>
                </c:pt>
                <c:pt idx="4">
                  <c:v>664486.39999999991</c:v>
                </c:pt>
                <c:pt idx="5">
                  <c:v>307456.39999999997</c:v>
                </c:pt>
                <c:pt idx="6">
                  <c:v>66131.8</c:v>
                </c:pt>
                <c:pt idx="7">
                  <c:v>152831</c:v>
                </c:pt>
                <c:pt idx="8">
                  <c:v>190483.3</c:v>
                </c:pt>
                <c:pt idx="9">
                  <c:v>246205.09999999998</c:v>
                </c:pt>
                <c:pt idx="10">
                  <c:v>141519.79999999999</c:v>
                </c:pt>
                <c:pt idx="11">
                  <c:v>105551.2</c:v>
                </c:pt>
                <c:pt idx="12">
                  <c:v>105551.2</c:v>
                </c:pt>
                <c:pt idx="13">
                  <c:v>308319.40000000002</c:v>
                </c:pt>
                <c:pt idx="14">
                  <c:v>280314.19999999995</c:v>
                </c:pt>
                <c:pt idx="15">
                  <c:v>142685.59999999998</c:v>
                </c:pt>
                <c:pt idx="16">
                  <c:v>165327.09999999998</c:v>
                </c:pt>
                <c:pt idx="17">
                  <c:v>499139.5</c:v>
                </c:pt>
                <c:pt idx="18">
                  <c:v>446523.00000000017</c:v>
                </c:pt>
                <c:pt idx="19">
                  <c:v>34890.800000000003</c:v>
                </c:pt>
                <c:pt idx="20">
                  <c:v>185117.4</c:v>
                </c:pt>
                <c:pt idx="21">
                  <c:v>259921.8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C98-4438-BCE7-694C339127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405517167"/>
        <c:axId val="1405507599"/>
      </c:barChart>
      <c:catAx>
        <c:axId val="140551716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05507599"/>
        <c:crosses val="autoZero"/>
        <c:auto val="1"/>
        <c:lblAlgn val="ctr"/>
        <c:lblOffset val="100"/>
        <c:noMultiLvlLbl val="0"/>
      </c:catAx>
      <c:valAx>
        <c:axId val="14055075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0551716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none" spc="0" normalizeH="0" baseline="0">
              <a:solidFill>
                <a:schemeClr val="dk1">
                  <a:lumMod val="50000"/>
                  <a:lumOff val="50000"/>
                </a:schemeClr>
              </a:solidFill>
              <a:latin typeface="+mj-lt"/>
              <a:ea typeface="+mj-ea"/>
              <a:cs typeface="+mj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0"/>
    </c:view3D>
    <c:floor>
      <c:thickness val="0"/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  <a:sp3d/>
      </c:spPr>
    </c:floor>
    <c:sideWall>
      <c:thickness val="0"/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  <a:sp3d/>
      </c:spPr>
    </c:sideWall>
    <c:backWall>
      <c:thickness val="0"/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5.2073490813648295E-2"/>
          <c:y val="0.11307926829268293"/>
          <c:w val="0.86786062011958054"/>
          <c:h val="0.57003504897253698"/>
        </c:manualLayout>
      </c:layout>
      <c:area3DChart>
        <c:grouping val="standard"/>
        <c:varyColors val="0"/>
        <c:ser>
          <c:idx val="0"/>
          <c:order val="0"/>
          <c:tx>
            <c:strRef>
              <c:f>' Covid Cases by MSOA'!$J$81</c:f>
              <c:strCache>
                <c:ptCount val="1"/>
                <c:pt idx="0">
                  <c:v>Cases 7 days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cat>
            <c:strRef>
              <c:f>' Covid Cases by MSOA'!$I$82:$I$103</c:f>
              <c:strCache>
                <c:ptCount val="22"/>
                <c:pt idx="0">
                  <c:v>Anglesey</c:v>
                </c:pt>
                <c:pt idx="1">
                  <c:v>Blaenau Gwent</c:v>
                </c:pt>
                <c:pt idx="2">
                  <c:v>Bridgend</c:v>
                </c:pt>
                <c:pt idx="3">
                  <c:v>Caerphilly</c:v>
                </c:pt>
                <c:pt idx="4">
                  <c:v>Cardiff</c:v>
                </c:pt>
                <c:pt idx="5">
                  <c:v>Carmarthenshire</c:v>
                </c:pt>
                <c:pt idx="6">
                  <c:v>Ceredigion</c:v>
                </c:pt>
                <c:pt idx="7">
                  <c:v>Conwy</c:v>
                </c:pt>
                <c:pt idx="8">
                  <c:v>Denbighshire</c:v>
                </c:pt>
                <c:pt idx="9">
                  <c:v>Flintshire</c:v>
                </c:pt>
                <c:pt idx="10">
                  <c:v>Gwynedd</c:v>
                </c:pt>
                <c:pt idx="11">
                  <c:v>Merthyr Tydfil</c:v>
                </c:pt>
                <c:pt idx="12">
                  <c:v>Monmouthshire</c:v>
                </c:pt>
                <c:pt idx="13">
                  <c:v>Neath Port Talbot</c:v>
                </c:pt>
                <c:pt idx="14">
                  <c:v>Newport</c:v>
                </c:pt>
                <c:pt idx="15">
                  <c:v>Pembrokeshire</c:v>
                </c:pt>
                <c:pt idx="16">
                  <c:v>Powys</c:v>
                </c:pt>
                <c:pt idx="17">
                  <c:v>Rhondda Cynon Taf</c:v>
                </c:pt>
                <c:pt idx="18">
                  <c:v>Swansea</c:v>
                </c:pt>
                <c:pt idx="19">
                  <c:v>The Vale of Glamorgan</c:v>
                </c:pt>
                <c:pt idx="20">
                  <c:v>Torfaen</c:v>
                </c:pt>
                <c:pt idx="21">
                  <c:v>Wrexham</c:v>
                </c:pt>
              </c:strCache>
            </c:strRef>
          </c:cat>
          <c:val>
            <c:numRef>
              <c:f>' Covid Cases by MSOA'!$J$82:$J$103</c:f>
              <c:numCache>
                <c:formatCode>General</c:formatCode>
                <c:ptCount val="22"/>
                <c:pt idx="0" formatCode="0">
                  <c:v>260</c:v>
                </c:pt>
                <c:pt idx="1">
                  <c:v>808</c:v>
                </c:pt>
                <c:pt idx="2">
                  <c:v>892</c:v>
                </c:pt>
                <c:pt idx="3">
                  <c:v>1768</c:v>
                </c:pt>
                <c:pt idx="4">
                  <c:v>2815</c:v>
                </c:pt>
                <c:pt idx="5">
                  <c:v>1176</c:v>
                </c:pt>
                <c:pt idx="6">
                  <c:v>464</c:v>
                </c:pt>
                <c:pt idx="7">
                  <c:v>486</c:v>
                </c:pt>
                <c:pt idx="8">
                  <c:v>574</c:v>
                </c:pt>
                <c:pt idx="9">
                  <c:v>618</c:v>
                </c:pt>
                <c:pt idx="10">
                  <c:v>591</c:v>
                </c:pt>
                <c:pt idx="11">
                  <c:v>432</c:v>
                </c:pt>
                <c:pt idx="12">
                  <c:v>715</c:v>
                </c:pt>
                <c:pt idx="13">
                  <c:v>1287</c:v>
                </c:pt>
                <c:pt idx="14">
                  <c:v>1375</c:v>
                </c:pt>
                <c:pt idx="15">
                  <c:v>1069</c:v>
                </c:pt>
                <c:pt idx="16">
                  <c:v>770</c:v>
                </c:pt>
                <c:pt idx="17">
                  <c:v>1732</c:v>
                </c:pt>
                <c:pt idx="18">
                  <c:v>1509</c:v>
                </c:pt>
                <c:pt idx="19">
                  <c:v>1168</c:v>
                </c:pt>
                <c:pt idx="20">
                  <c:v>967</c:v>
                </c:pt>
                <c:pt idx="21" formatCode="0">
                  <c:v>514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E57-46EF-8BB3-64A369FF9EA8}"/>
            </c:ext>
          </c:extLst>
        </c:ser>
        <c:ser>
          <c:idx val="1"/>
          <c:order val="1"/>
          <c:tx>
            <c:strRef>
              <c:f>' Covid Cases by MSOA'!$K$81</c:f>
              <c:strCache>
                <c:ptCount val="1"/>
                <c:pt idx="0">
                  <c:v>21 days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cat>
            <c:strRef>
              <c:f>' Covid Cases by MSOA'!$I$82:$I$103</c:f>
              <c:strCache>
                <c:ptCount val="22"/>
                <c:pt idx="0">
                  <c:v>Anglesey</c:v>
                </c:pt>
                <c:pt idx="1">
                  <c:v>Blaenau Gwent</c:v>
                </c:pt>
                <c:pt idx="2">
                  <c:v>Bridgend</c:v>
                </c:pt>
                <c:pt idx="3">
                  <c:v>Caerphilly</c:v>
                </c:pt>
                <c:pt idx="4">
                  <c:v>Cardiff</c:v>
                </c:pt>
                <c:pt idx="5">
                  <c:v>Carmarthenshire</c:v>
                </c:pt>
                <c:pt idx="6">
                  <c:v>Ceredigion</c:v>
                </c:pt>
                <c:pt idx="7">
                  <c:v>Conwy</c:v>
                </c:pt>
                <c:pt idx="8">
                  <c:v>Denbighshire</c:v>
                </c:pt>
                <c:pt idx="9">
                  <c:v>Flintshire</c:v>
                </c:pt>
                <c:pt idx="10">
                  <c:v>Gwynedd</c:v>
                </c:pt>
                <c:pt idx="11">
                  <c:v>Merthyr Tydfil</c:v>
                </c:pt>
                <c:pt idx="12">
                  <c:v>Monmouthshire</c:v>
                </c:pt>
                <c:pt idx="13">
                  <c:v>Neath Port Talbot</c:v>
                </c:pt>
                <c:pt idx="14">
                  <c:v>Newport</c:v>
                </c:pt>
                <c:pt idx="15">
                  <c:v>Pembrokeshire</c:v>
                </c:pt>
                <c:pt idx="16">
                  <c:v>Powys</c:v>
                </c:pt>
                <c:pt idx="17">
                  <c:v>Rhondda Cynon Taf</c:v>
                </c:pt>
                <c:pt idx="18">
                  <c:v>Swansea</c:v>
                </c:pt>
                <c:pt idx="19">
                  <c:v>The Vale of Glamorgan</c:v>
                </c:pt>
                <c:pt idx="20">
                  <c:v>Torfaen</c:v>
                </c:pt>
                <c:pt idx="21">
                  <c:v>Wrexham</c:v>
                </c:pt>
              </c:strCache>
            </c:strRef>
          </c:cat>
          <c:val>
            <c:numRef>
              <c:f>' Covid Cases by MSOA'!$K$82:$K$103</c:f>
              <c:numCache>
                <c:formatCode>General</c:formatCode>
                <c:ptCount val="22"/>
                <c:pt idx="0">
                  <c:v>978</c:v>
                </c:pt>
                <c:pt idx="1">
                  <c:v>1672</c:v>
                </c:pt>
                <c:pt idx="2">
                  <c:v>2148</c:v>
                </c:pt>
                <c:pt idx="3">
                  <c:v>4263</c:v>
                </c:pt>
                <c:pt idx="4">
                  <c:v>8135</c:v>
                </c:pt>
                <c:pt idx="5">
                  <c:v>3472</c:v>
                </c:pt>
                <c:pt idx="6">
                  <c:v>990</c:v>
                </c:pt>
                <c:pt idx="7">
                  <c:v>1435</c:v>
                </c:pt>
                <c:pt idx="8">
                  <c:v>1652</c:v>
                </c:pt>
                <c:pt idx="9">
                  <c:v>1858</c:v>
                </c:pt>
                <c:pt idx="10">
                  <c:v>1650</c:v>
                </c:pt>
                <c:pt idx="11">
                  <c:v>994</c:v>
                </c:pt>
                <c:pt idx="12">
                  <c:v>1731</c:v>
                </c:pt>
                <c:pt idx="13">
                  <c:v>3154</c:v>
                </c:pt>
                <c:pt idx="14">
                  <c:v>3055</c:v>
                </c:pt>
                <c:pt idx="15">
                  <c:v>2760</c:v>
                </c:pt>
                <c:pt idx="16">
                  <c:v>2174</c:v>
                </c:pt>
                <c:pt idx="17">
                  <c:v>4342</c:v>
                </c:pt>
                <c:pt idx="18">
                  <c:v>4251</c:v>
                </c:pt>
                <c:pt idx="19">
                  <c:v>3154</c:v>
                </c:pt>
                <c:pt idx="20">
                  <c:v>2471</c:v>
                </c:pt>
                <c:pt idx="21">
                  <c:v>1589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E57-46EF-8BB3-64A369FF9E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21239807"/>
        <c:axId val="321249375"/>
        <c:axId val="572443023"/>
      </c:area3DChart>
      <c:catAx>
        <c:axId val="32123980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1249375"/>
        <c:crosses val="autoZero"/>
        <c:auto val="1"/>
        <c:lblAlgn val="ctr"/>
        <c:lblOffset val="100"/>
        <c:noMultiLvlLbl val="0"/>
      </c:catAx>
      <c:valAx>
        <c:axId val="32124937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1239807"/>
        <c:crosses val="autoZero"/>
        <c:crossBetween val="midCat"/>
      </c:valAx>
      <c:serAx>
        <c:axId val="572443023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crossAx val="321249375"/>
        <c:crosses val="autoZero"/>
      </c:serAx>
      <c:spPr>
        <a:solidFill>
          <a:schemeClr val="lt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7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7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2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plotArea>
  <cs:plotArea3D>
    <cs:lnRef idx="0"/>
    <cs:fillRef idx="0"/>
    <cs:effectRef idx="0"/>
    <cs:fontRef idx="minor">
      <a:schemeClr val="dk1"/>
    </cs:fontRef>
    <cs:spPr>
      <a:solidFill>
        <a:schemeClr val="lt1"/>
      </a:solidFill>
    </cs:spPr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  <cs:spPr>
      <a:pattFill prst="ltDnDiag">
        <a:fgClr>
          <a:schemeClr val="dk1">
            <a:lumMod val="15000"/>
            <a:lumOff val="85000"/>
          </a:schemeClr>
        </a:fgClr>
        <a:bgClr>
          <a:schemeClr val="lt1"/>
        </a:bgClr>
      </a:pattFill>
    </cs:spPr>
  </cs:wall>
</cs:chartStyle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Gelati (2112906)</dc:creator>
  <cp:keywords/>
  <dc:description/>
  <cp:lastModifiedBy>Federico Gelati (2112906)</cp:lastModifiedBy>
  <cp:revision>55</cp:revision>
  <dcterms:created xsi:type="dcterms:W3CDTF">2022-03-22T12:59:00Z</dcterms:created>
  <dcterms:modified xsi:type="dcterms:W3CDTF">2022-03-24T13:15:00Z</dcterms:modified>
</cp:coreProperties>
</file>