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0F70441" w:rsidR="7908378C" w:rsidRDefault="7908378C" w:rsidP="33572C6E">
            <w:pPr>
              <w:ind w:right="237"/>
              <w:rPr>
                <w:b/>
                <w:bCs/>
                <w:color w:val="auto"/>
                <w:sz w:val="32"/>
                <w:szCs w:val="32"/>
              </w:rPr>
            </w:pPr>
            <w:r w:rsidRPr="33572C6E">
              <w:rPr>
                <w:b/>
                <w:bCs/>
                <w:color w:val="auto"/>
                <w:sz w:val="32"/>
                <w:szCs w:val="32"/>
              </w:rPr>
              <w:t xml:space="preserve">Learner name: </w:t>
            </w:r>
            <w:r w:rsidR="00CB6D76">
              <w:rPr>
                <w:b/>
                <w:bCs/>
                <w:color w:val="auto"/>
                <w:sz w:val="32"/>
                <w:szCs w:val="32"/>
              </w:rPr>
              <w:t xml:space="preserve">Mollie Jenkins </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1D86F74A" w14:textId="2F41179F" w:rsidR="33572C6E" w:rsidRDefault="00CB6D76" w:rsidP="33572C6E">
            <w:pPr>
              <w:ind w:right="237"/>
              <w:rPr>
                <w:b/>
                <w:bCs/>
                <w:color w:val="auto"/>
                <w:sz w:val="32"/>
                <w:szCs w:val="32"/>
              </w:rPr>
            </w:pPr>
            <w:r>
              <w:rPr>
                <w:b/>
                <w:bCs/>
                <w:color w:val="auto"/>
                <w:sz w:val="32"/>
                <w:szCs w:val="32"/>
              </w:rPr>
              <w:t xml:space="preserve">2222273 </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CB1A479"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180ADD"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36A2F701" w14:textId="77777777" w:rsidR="00CB6D76" w:rsidRDefault="00CB6D76" w:rsidP="5B843AF0">
      <w:pPr>
        <w:ind w:right="237"/>
        <w:jc w:val="both"/>
        <w:rPr>
          <w:rFonts w:eastAsia="Arial"/>
          <w:b/>
          <w:bCs/>
          <w:color w:val="000000" w:themeColor="text1"/>
          <w:sz w:val="24"/>
          <w:szCs w:val="24"/>
        </w:rPr>
      </w:pPr>
    </w:p>
    <w:p w14:paraId="7027DE7E" w14:textId="431F7546" w:rsidR="00CB6D76" w:rsidRPr="00180ADD" w:rsidRDefault="00CB6D76" w:rsidP="00CB6D76">
      <w:r w:rsidRPr="00180ADD">
        <w:t>Within my role as a detective constable in Criminal Investigation Department, I have managed a few investigations which have been complex in nature. In relation to the investigation, I am referring to for this essay I will refer to them as victim and defendant for anonymity purposes. The investigation was based on a sexual activity with a child whereby the victim was 14 years old, and the defendant was 23 years old. The defendant is a registered sex offender with previous convictions for sexual offences. Due to the nature of offence and the age of the victim it was critical that I supported the victim in a professional and appropriate</w:t>
      </w:r>
      <w:r w:rsidR="00844D70" w:rsidRPr="00180ADD">
        <w:t xml:space="preserve"> manner to</w:t>
      </w:r>
      <w:r w:rsidRPr="00180ADD">
        <w:t xml:space="preserve"> assist the needs of the victim. </w:t>
      </w:r>
    </w:p>
    <w:p w14:paraId="448F71DF" w14:textId="77777777" w:rsidR="00CB6D76" w:rsidRPr="00180ADD" w:rsidRDefault="00CB6D76" w:rsidP="00CB6D76"/>
    <w:p w14:paraId="4E1059A5" w14:textId="77777777" w:rsidR="00CB6D76" w:rsidRPr="00180ADD" w:rsidRDefault="00CB6D76" w:rsidP="00CB6D76">
      <w:r w:rsidRPr="00180ADD">
        <w:t>The victim within this investigation was a child which immediately raised the need to ensure that all safeguarding measures were met from the outset of the investigation and was reviewed throughout the investigation.</w:t>
      </w:r>
    </w:p>
    <w:p w14:paraId="644BDC6A" w14:textId="77777777" w:rsidR="00CB6D76" w:rsidRPr="00180ADD" w:rsidRDefault="00CB6D76" w:rsidP="00CB6D76"/>
    <w:p w14:paraId="4D53C7AB" w14:textId="77777777" w:rsidR="00CB6D76" w:rsidRPr="00180ADD" w:rsidRDefault="00CB6D76" w:rsidP="00CB6D76">
      <w:pPr>
        <w:rPr>
          <w:rFonts w:eastAsia="Arial"/>
          <w:color w:val="000000" w:themeColor="text1"/>
          <w:lang w:val="en-US"/>
        </w:rPr>
      </w:pPr>
      <w:r w:rsidRPr="00180ADD">
        <w:rPr>
          <w:rFonts w:eastAsia="Arial"/>
          <w:color w:val="000000" w:themeColor="text1"/>
          <w:lang w:val="en-US"/>
        </w:rPr>
        <w:t xml:space="preserve">The victim within this case was unaware that she was a victim of engaging in sexual activity with a child. The report came from the defendant’s probation worker because of the defendant making disclosures when in an appointment with the probation worker. It was imperative as the officer in charge of the investigation to ensure I took a an ethically appropriate approach to the disclosure decision and manage the harm to the victim within the investigation. </w:t>
      </w:r>
    </w:p>
    <w:p w14:paraId="221FB9F3" w14:textId="77777777" w:rsidR="00CB6D76" w:rsidRPr="00180ADD" w:rsidRDefault="00CB6D76" w:rsidP="00CB6D76">
      <w:pPr>
        <w:rPr>
          <w:rFonts w:eastAsia="Arial"/>
          <w:color w:val="000000" w:themeColor="text1"/>
          <w:lang w:val="en-US"/>
        </w:rPr>
      </w:pPr>
    </w:p>
    <w:p w14:paraId="362D560D" w14:textId="19F1A1C3" w:rsidR="00CB6D76" w:rsidRPr="00180ADD" w:rsidRDefault="00CB6D76" w:rsidP="00CB6D76">
      <w:pPr>
        <w:rPr>
          <w:rFonts w:eastAsia="Arial"/>
          <w:color w:val="000000" w:themeColor="text1"/>
          <w:lang w:val="en-US"/>
        </w:rPr>
      </w:pPr>
      <w:r w:rsidRPr="00180ADD">
        <w:rPr>
          <w:rFonts w:eastAsia="Arial"/>
          <w:color w:val="000000" w:themeColor="text1"/>
          <w:lang w:val="en-US"/>
        </w:rPr>
        <w:t>Ost and Gillepsie (2014), conducted a study which explored the situation where a victim who has been identified during a</w:t>
      </w:r>
      <w:r w:rsidR="00844D70" w:rsidRPr="00180ADD">
        <w:rPr>
          <w:rFonts w:eastAsia="Arial"/>
          <w:color w:val="000000" w:themeColor="text1"/>
          <w:lang w:val="en-US"/>
        </w:rPr>
        <w:t xml:space="preserve">n </w:t>
      </w:r>
      <w:r w:rsidRPr="00180ADD">
        <w:rPr>
          <w:rFonts w:eastAsia="Arial"/>
          <w:color w:val="000000" w:themeColor="text1"/>
          <w:lang w:val="en-US"/>
        </w:rPr>
        <w:t xml:space="preserve">investigation is unaware of the crime committed against them. Within this incident, the victim has denied engaging in sexual activity with the defendant and states when she fell asleep in the company of the defendant, she does not know what happened, but woke up and felt different and thought that something had potentially happened to her but did not know what. </w:t>
      </w:r>
    </w:p>
    <w:p w14:paraId="044B0219" w14:textId="77777777" w:rsidR="00CB6D76" w:rsidRPr="00180ADD" w:rsidRDefault="00CB6D76" w:rsidP="00CB6D76">
      <w:pPr>
        <w:rPr>
          <w:rFonts w:eastAsia="Arial"/>
          <w:color w:val="000000" w:themeColor="text1"/>
          <w:lang w:val="en-US"/>
        </w:rPr>
      </w:pPr>
    </w:p>
    <w:p w14:paraId="4C9C3699" w14:textId="26E7ED75" w:rsidR="00CB6D76" w:rsidRPr="00180ADD" w:rsidRDefault="00CB6D76" w:rsidP="00CB6D76">
      <w:pPr>
        <w:overflowPunct/>
        <w:autoSpaceDE/>
        <w:autoSpaceDN/>
        <w:adjustRightInd/>
        <w:textAlignment w:val="auto"/>
        <w:rPr>
          <w:color w:val="auto"/>
        </w:rPr>
      </w:pPr>
      <w:r w:rsidRPr="00180ADD">
        <w:rPr>
          <w:rFonts w:eastAsia="Arial"/>
          <w:color w:val="000000" w:themeColor="text1"/>
          <w:lang w:val="en-US"/>
        </w:rPr>
        <w:t xml:space="preserve">Ost and Gillepsie (2014) examined the effects on the victim discovering their victim status </w:t>
      </w:r>
      <w:r w:rsidR="00844D70" w:rsidRPr="00180ADD">
        <w:rPr>
          <w:rFonts w:eastAsia="Arial"/>
          <w:color w:val="000000" w:themeColor="text1"/>
          <w:lang w:val="en-US"/>
        </w:rPr>
        <w:t>is</w:t>
      </w:r>
      <w:r w:rsidRPr="00180ADD">
        <w:rPr>
          <w:rFonts w:eastAsia="Arial"/>
          <w:color w:val="000000" w:themeColor="text1"/>
          <w:lang w:val="en-US"/>
        </w:rPr>
        <w:t xml:space="preserve"> highly likely to have harmful effects. </w:t>
      </w:r>
      <w:r w:rsidRPr="00180ADD">
        <w:rPr>
          <w:color w:val="auto"/>
        </w:rPr>
        <w:t xml:space="preserve">The National Decision Model (NDM) is the focal point of all decision-making, </w:t>
      </w:r>
      <w:r w:rsidR="00844D70" w:rsidRPr="00180ADD">
        <w:rPr>
          <w:color w:val="auto"/>
        </w:rPr>
        <w:t>t</w:t>
      </w:r>
      <w:r w:rsidRPr="00180ADD">
        <w:rPr>
          <w:color w:val="auto"/>
        </w:rPr>
        <w:t xml:space="preserve">herefore, Ost and Gillepsie address how constables can act in compliance with the NDM when having cause to suspect that a victim is unaware and must make a disclosure decision. </w:t>
      </w:r>
    </w:p>
    <w:p w14:paraId="1FE76A4B" w14:textId="77777777" w:rsidR="00CB6D76" w:rsidRPr="00180ADD" w:rsidRDefault="00CB6D76" w:rsidP="00CB6D76">
      <w:pPr>
        <w:rPr>
          <w:rFonts w:eastAsia="Arial"/>
          <w:color w:val="000000" w:themeColor="text1"/>
          <w:lang w:val="en-US"/>
        </w:rPr>
      </w:pPr>
    </w:p>
    <w:p w14:paraId="0BE58981" w14:textId="6FCF5C2B" w:rsidR="00CB6D76" w:rsidRPr="00180ADD" w:rsidRDefault="00CB6D76" w:rsidP="00CB6D76">
      <w:pPr>
        <w:overflowPunct/>
        <w:autoSpaceDE/>
        <w:autoSpaceDN/>
        <w:adjustRightInd/>
        <w:textAlignment w:val="auto"/>
        <w:rPr>
          <w:color w:val="auto"/>
        </w:rPr>
      </w:pPr>
      <w:r w:rsidRPr="00180ADD">
        <w:lastRenderedPageBreak/>
        <w:t>Risan et al., (2017) explored the idea of therapeutic jurisprudence, which is a</w:t>
      </w:r>
      <w:r w:rsidR="00844D70" w:rsidRPr="00180ADD">
        <w:t xml:space="preserve"> </w:t>
      </w:r>
      <w:r w:rsidRPr="00180ADD">
        <w:rPr>
          <w:color w:val="auto"/>
        </w:rPr>
        <w:t>method which evaluates how the law affects the psychological and emotional experiences of all people who interact with the legal system. It is sometimes referred to as a theory but what sets it apart is the idea that the law is a "therapeutic agent."</w:t>
      </w:r>
    </w:p>
    <w:p w14:paraId="7FD8CD8F" w14:textId="77777777" w:rsidR="00CB6D76" w:rsidRPr="00180ADD" w:rsidRDefault="00CB6D76" w:rsidP="00CB6D76">
      <w:pPr>
        <w:rPr>
          <w:rFonts w:eastAsia="Arial"/>
        </w:rPr>
      </w:pPr>
    </w:p>
    <w:p w14:paraId="3B52F3E4" w14:textId="77777777" w:rsidR="00CB6D76" w:rsidRPr="00180ADD" w:rsidRDefault="00CB6D76" w:rsidP="00CB6D76">
      <w:pPr>
        <w:overflowPunct/>
        <w:autoSpaceDE/>
        <w:autoSpaceDN/>
        <w:adjustRightInd/>
        <w:textAlignment w:val="auto"/>
        <w:rPr>
          <w:color w:val="auto"/>
        </w:rPr>
      </w:pPr>
      <w:r w:rsidRPr="00180ADD">
        <w:rPr>
          <w:rFonts w:eastAsia="Arial"/>
          <w:color w:val="000000" w:themeColor="text1"/>
          <w:lang w:val="en-US"/>
        </w:rPr>
        <w:t xml:space="preserve">Ost and Gillepsie (2014) states that </w:t>
      </w:r>
      <w:r w:rsidRPr="00180ADD">
        <w:rPr>
          <w:color w:val="auto"/>
        </w:rPr>
        <w:t>a therapeutic jurisprudence approach would prioritise participant empowerment and self-determination as a fundamental component of its focus on emotional well-being (King, 2008). Notably, disclosing information to an unaware victim empowers them since they can take charge of a previously unknown life experience (e.g., by deciding to give evidence against the offender in court) and possibly find some closure as a result.</w:t>
      </w:r>
    </w:p>
    <w:p w14:paraId="78633EED" w14:textId="77777777" w:rsidR="00CB6D76" w:rsidRPr="00180ADD" w:rsidRDefault="00CB6D76" w:rsidP="00CB6D76">
      <w:pPr>
        <w:rPr>
          <w:rFonts w:eastAsia="Arial"/>
          <w:color w:val="000000" w:themeColor="text1"/>
          <w:lang w:val="en-US"/>
        </w:rPr>
      </w:pPr>
    </w:p>
    <w:p w14:paraId="127206C8" w14:textId="2331041F" w:rsidR="00CB6D76" w:rsidRPr="00180ADD" w:rsidRDefault="00CB6D76" w:rsidP="00CB6D76">
      <w:pPr>
        <w:rPr>
          <w:rFonts w:eastAsia="Arial"/>
          <w:color w:val="000000" w:themeColor="text1"/>
          <w:lang w:val="en-US"/>
        </w:rPr>
      </w:pPr>
      <w:r w:rsidRPr="00180ADD">
        <w:rPr>
          <w:rFonts w:eastAsia="Arial"/>
          <w:color w:val="000000" w:themeColor="text1"/>
          <w:lang w:val="en-US"/>
        </w:rPr>
        <w:t>Consequently, when referring this incident, it was important to take a therapeutic jurisprudence approach to the victim to support when engaging with the victim initially. When I first visited the victim and had a conversation with them around the incident and they stated that they were aware of who the suspect was and states they were out with that person the night before the report came in. Although, when given the victim the opportunity to explain what had happened the victim stated that they did not know, they fell asleep and was unaware of what had happened but did feel different when they woke.</w:t>
      </w:r>
    </w:p>
    <w:p w14:paraId="3B7AE3B9" w14:textId="77777777" w:rsidR="00CB6D76" w:rsidRPr="00180ADD" w:rsidRDefault="00CB6D76" w:rsidP="00CB6D76">
      <w:pPr>
        <w:rPr>
          <w:rFonts w:eastAsia="Arial"/>
          <w:color w:val="000000" w:themeColor="text1"/>
          <w:lang w:val="en-US"/>
        </w:rPr>
      </w:pPr>
    </w:p>
    <w:p w14:paraId="747F0B78" w14:textId="77777777" w:rsidR="00CB6D76" w:rsidRPr="00180ADD" w:rsidRDefault="00CB6D76" w:rsidP="00CB6D76">
      <w:pPr>
        <w:rPr>
          <w:rFonts w:eastAsia="Arial"/>
          <w:color w:val="000000" w:themeColor="text1"/>
          <w:lang w:val="en-US"/>
        </w:rPr>
      </w:pPr>
      <w:r w:rsidRPr="00180ADD">
        <w:rPr>
          <w:rFonts w:eastAsia="Arial"/>
          <w:color w:val="000000" w:themeColor="text1"/>
          <w:lang w:val="en-US"/>
        </w:rPr>
        <w:t xml:space="preserve">It became apparent from the initial stages of the investigation that to get further information and for the victim to trust myself as the investigator, a rapport between us needed to be built. A key identifier just to begin that trust between us I believed was having a single point of contact between the victim and the police and providing regular and consistent updates to the victim. This was extremely important as the OIC in the investigation as I wanted to empower the victim to feel that they could trust me and be open and manage and reduce the harm to the victim, specifically in relation to the early stage of the investigation where they were unaware of the disclosures the suspect had made. </w:t>
      </w:r>
    </w:p>
    <w:p w14:paraId="48E7DD93" w14:textId="77777777" w:rsidR="00CB6D76" w:rsidRPr="00180ADD" w:rsidRDefault="00CB6D76" w:rsidP="00CB6D76"/>
    <w:p w14:paraId="022C284C" w14:textId="77777777" w:rsidR="00CB6D76" w:rsidRPr="00180ADD" w:rsidRDefault="00CB6D76" w:rsidP="00CB6D76">
      <w:r w:rsidRPr="00180ADD">
        <w:t xml:space="preserve">Another key consideration within this case was around the protection and support of the victim due to the nature of the crime and the victim being a child. The risk of harm towards the victim throughout the investigation was huge and it was important to ensure that as an organisation we managed the victim and imposed a supportive network for them. Prior to the suspect pleading guilty to the offence, there was the chance that the case was going to go to trial and that the effect of that could have a massive impact on the victim if the correct support was not put in place. </w:t>
      </w:r>
    </w:p>
    <w:p w14:paraId="7312A18E" w14:textId="77777777" w:rsidR="00CB6D76" w:rsidRPr="00180ADD" w:rsidRDefault="00CB6D76" w:rsidP="00CB6D76"/>
    <w:p w14:paraId="2CCCBC66" w14:textId="77777777" w:rsidR="00CB6D76" w:rsidRPr="00180ADD" w:rsidRDefault="00CB6D76" w:rsidP="00CB6D76">
      <w:pPr>
        <w:overflowPunct/>
        <w:autoSpaceDE/>
        <w:autoSpaceDN/>
        <w:adjustRightInd/>
        <w:textAlignment w:val="auto"/>
        <w:rPr>
          <w:color w:val="auto"/>
        </w:rPr>
      </w:pPr>
      <w:r w:rsidRPr="00180ADD">
        <w:t xml:space="preserve">Special measures are paramount in an investigation which involves vulnerable people and children. Youth Justice and Criminal Evidence Act (1999) provides witnesses and victims who are eligible for special measures, in relation to this victim, they are eligible for special measures under section 16 and section 17.4. Section 16 applies to children under 18 and vulnerable adults with mental disorders, physical disability, and learning difficulties. In addition, to section 17.4 which relates to victims of sexual offences. The Crown Prosecution (2023) discuss special measures and their purpose, </w:t>
      </w:r>
      <w:r w:rsidRPr="00180ADD">
        <w:rPr>
          <w:color w:val="auto"/>
        </w:rPr>
        <w:t xml:space="preserve">Special measures refer to a set of regulations designed to assist witnesses and victims who are feel anxious or worried about giving evidence in court and to lessen the stress that comes with it. </w:t>
      </w:r>
    </w:p>
    <w:p w14:paraId="4564708B" w14:textId="77777777" w:rsidR="00CB6D76" w:rsidRPr="00180ADD" w:rsidRDefault="00CB6D76" w:rsidP="00CB6D76"/>
    <w:p w14:paraId="393E5605" w14:textId="77777777" w:rsidR="00CB6D76" w:rsidRPr="00180ADD" w:rsidRDefault="00CB6D76" w:rsidP="00CB6D76">
      <w:pPr>
        <w:rPr>
          <w:color w:val="auto"/>
          <w:shd w:val="clear" w:color="auto" w:fill="FFFFFF"/>
        </w:rPr>
      </w:pPr>
      <w:r w:rsidRPr="00180ADD">
        <w:rPr>
          <w:rFonts w:eastAsia="Arial"/>
          <w:color w:val="000000" w:themeColor="text1"/>
          <w:lang w:val="en-US"/>
        </w:rPr>
        <w:t xml:space="preserve">There are a variety of special measures that can be used to support victims such as removal of wigs and gowns, giving evidence in private and screens around the victim in court. In relation to this investigation as the victim came under both section 16 and 17.4 of the YJCEA 1999 they were eligible for </w:t>
      </w:r>
      <w:r w:rsidRPr="00180ADD">
        <w:rPr>
          <w:rFonts w:eastAsia="Arial"/>
          <w:color w:val="auto"/>
          <w:lang w:val="en-US"/>
        </w:rPr>
        <w:t>their evidence to be given by a pre-recorded video where an officer can interview them on video and this becomes their</w:t>
      </w:r>
      <w:r w:rsidRPr="00180ADD">
        <w:rPr>
          <w:color w:val="auto"/>
          <w:shd w:val="clear" w:color="auto" w:fill="FFFFFF"/>
        </w:rPr>
        <w:t xml:space="preserve"> examination-in-chief evidence. Victims who are eligible for these means can opt out if they are happy to provide their evidence in court and do not feel it is needed, however within this case the victim was anxious around the idea of attending court and having to give their evidence. Therefore, after a lengthy conversation it was decided that the best course of action to support the victim fully was to adopt the video recorded evidence in chief. </w:t>
      </w:r>
    </w:p>
    <w:p w14:paraId="2776C945" w14:textId="77777777" w:rsidR="00CB6D76" w:rsidRPr="00180ADD" w:rsidRDefault="00CB6D76" w:rsidP="00CB6D76">
      <w:pPr>
        <w:rPr>
          <w:color w:val="444444"/>
          <w:shd w:val="clear" w:color="auto" w:fill="FFFFFF"/>
        </w:rPr>
      </w:pPr>
    </w:p>
    <w:p w14:paraId="13143289" w14:textId="77777777" w:rsidR="00CB6D76" w:rsidRPr="00180ADD" w:rsidRDefault="00CB6D76" w:rsidP="00CB6D76">
      <w:pPr>
        <w:overflowPunct/>
        <w:autoSpaceDE/>
        <w:autoSpaceDN/>
        <w:adjustRightInd/>
        <w:textAlignment w:val="auto"/>
        <w:rPr>
          <w:color w:val="auto"/>
        </w:rPr>
      </w:pPr>
      <w:r w:rsidRPr="00180ADD">
        <w:rPr>
          <w:rFonts w:eastAsia="Arial"/>
          <w:color w:val="000000" w:themeColor="text1"/>
          <w:lang w:val="en-US"/>
        </w:rPr>
        <w:t xml:space="preserve">Burton </w:t>
      </w:r>
      <w:r w:rsidRPr="00180ADD">
        <w:rPr>
          <w:rFonts w:eastAsia="Arial"/>
          <w:i/>
          <w:iCs/>
          <w:color w:val="000000" w:themeColor="text1"/>
          <w:lang w:val="en-US"/>
        </w:rPr>
        <w:t>et al</w:t>
      </w:r>
      <w:r w:rsidRPr="00180ADD">
        <w:rPr>
          <w:rFonts w:eastAsia="Arial"/>
          <w:color w:val="000000" w:themeColor="text1"/>
          <w:lang w:val="en-US"/>
        </w:rPr>
        <w:t xml:space="preserve"> (2006) conducted research on the effectiveness of special measures specifically video recorded evidence in relation to child witnesses and victims. It found that one of the main advantages of video interview </w:t>
      </w:r>
      <w:r w:rsidRPr="00180ADD">
        <w:rPr>
          <w:color w:val="auto"/>
        </w:rPr>
        <w:t xml:space="preserve">is that it may result in a more thorough and accurate statement than would be presented in court because it allows evidence to be recorded in a timely manner after the complaint has been made. Within this case, the victim was interviewed after the disclosures had been made to them about the offence, this allowed them to recall the incident. </w:t>
      </w:r>
    </w:p>
    <w:p w14:paraId="08E37CC7" w14:textId="77777777" w:rsidR="00CB6D76" w:rsidRPr="00180ADD" w:rsidRDefault="00CB6D76" w:rsidP="00CB6D76"/>
    <w:p w14:paraId="1A368AF4" w14:textId="77777777" w:rsidR="00CB6D76" w:rsidRPr="00180ADD" w:rsidRDefault="00CB6D76" w:rsidP="00CB6D76">
      <w:pPr>
        <w:overflowPunct/>
        <w:autoSpaceDE/>
        <w:autoSpaceDN/>
        <w:adjustRightInd/>
        <w:spacing w:after="240"/>
        <w:textAlignment w:val="auto"/>
        <w:rPr>
          <w:color w:val="auto"/>
        </w:rPr>
      </w:pPr>
      <w:r w:rsidRPr="00180ADD">
        <w:lastRenderedPageBreak/>
        <w:t xml:space="preserve">In addition, the process of taken a written statement from a child is a formal process which can be intimidating for a child. In order to ensure that victim feels comfortable and supported it is important as investigators we ensure we provide all measures to empower them to feel comfortable to talk about an incident which may be daunting. </w:t>
      </w:r>
      <w:r w:rsidRPr="00180ADD">
        <w:rPr>
          <w:rFonts w:eastAsia="Arial"/>
          <w:color w:val="000000" w:themeColor="text1"/>
          <w:lang w:val="en-US"/>
        </w:rPr>
        <w:t>Home Office (2006) did however note that there were disadvantages to the process, stating that some prosecutors had made the argument that video recorded evidence has less of impact rather than live evidence. Although, it had not been noted that it led to a lower conviction rate.</w:t>
      </w:r>
      <w:r w:rsidRPr="00180ADD">
        <w:t xml:space="preserve"> </w:t>
      </w:r>
      <w:r w:rsidRPr="00180ADD">
        <w:rPr>
          <w:color w:val="auto"/>
        </w:rPr>
        <w:t xml:space="preserve">Although jurors exhibit a preference for live evidence, Davies (1999) concludes that they do not seem to let this preference affect their judgement. Studies that Davies cites demonstrate that the overall proportion of guilty verdicts was unaffected by the mode of evidence presented. </w:t>
      </w:r>
    </w:p>
    <w:p w14:paraId="397D7002" w14:textId="77777777" w:rsidR="00CB6D76" w:rsidRPr="00180ADD" w:rsidRDefault="00CB6D76" w:rsidP="00CB6D76">
      <w:pPr>
        <w:overflowPunct/>
        <w:autoSpaceDE/>
        <w:autoSpaceDN/>
        <w:adjustRightInd/>
        <w:spacing w:after="240"/>
        <w:textAlignment w:val="auto"/>
        <w:rPr>
          <w:color w:val="auto"/>
        </w:rPr>
      </w:pPr>
      <w:r w:rsidRPr="00180ADD">
        <w:rPr>
          <w:color w:val="auto"/>
        </w:rPr>
        <w:t xml:space="preserve">When researching the effectiveness of special measures there were limited articles and research papers which highlights that there is not a myriad of research which suggests whether or not special measures are working for victims and are meeting their support needs throughout an investigation. </w:t>
      </w:r>
    </w:p>
    <w:p w14:paraId="1C3ECD80" w14:textId="77777777" w:rsidR="00CB6D76" w:rsidRPr="00180ADD" w:rsidRDefault="00CB6D76" w:rsidP="00CB6D76">
      <w:pPr>
        <w:overflowPunct/>
        <w:autoSpaceDE/>
        <w:autoSpaceDN/>
        <w:adjustRightInd/>
        <w:textAlignment w:val="auto"/>
        <w:rPr>
          <w:color w:val="auto"/>
        </w:rPr>
      </w:pPr>
      <w:r w:rsidRPr="00180ADD">
        <w:rPr>
          <w:rFonts w:eastAsia="Arial"/>
          <w:color w:val="000000" w:themeColor="text1"/>
          <w:lang w:val="en-US"/>
        </w:rPr>
        <w:t xml:space="preserve">Another approach which was effective within the investigation is providing the victim with an Independent Sexual Violence Advocate (ISVA). ISVA are an external and independent agency from the police, Women’s, and Girl Network (2024) outlines the role of an ISVA </w:t>
      </w:r>
      <w:r w:rsidRPr="00180ADD">
        <w:rPr>
          <w:color w:val="auto"/>
        </w:rPr>
        <w:t xml:space="preserve">due to the ISVA being independent from the criminal justice system, it indicates that the support is their primary priority. Their role is to provide the victim with the knowledge and assistance they need to make the best decision for themselves, not to dictate to the victim what to do. </w:t>
      </w:r>
      <w:r w:rsidRPr="00180ADD">
        <w:rPr>
          <w:color w:val="auto"/>
        </w:rPr>
        <w:br/>
      </w:r>
    </w:p>
    <w:p w14:paraId="305E79FF" w14:textId="77777777" w:rsidR="00CB6D76" w:rsidRPr="00180ADD" w:rsidRDefault="00CB6D76" w:rsidP="00CB6D76">
      <w:pPr>
        <w:overflowPunct/>
        <w:autoSpaceDE/>
        <w:autoSpaceDN/>
        <w:adjustRightInd/>
        <w:textAlignment w:val="auto"/>
        <w:rPr>
          <w:color w:val="auto"/>
        </w:rPr>
      </w:pPr>
      <w:r w:rsidRPr="00180ADD">
        <w:rPr>
          <w:color w:val="auto"/>
        </w:rPr>
        <w:t xml:space="preserve">It was imperative that the victim within this case had an ISVA. When evaluating the appropriateness of this agency, the agency supported the victim further than the police could through the investigation via the access they had to external agencies and services such as group therapy and counselling. The victim withing this case had ongoing struggles with their mental health therefore it was paramount to ensure that they felt fully supported and ISVA could provide this support for them via their agency or other’s. </w:t>
      </w:r>
    </w:p>
    <w:p w14:paraId="337B04F4" w14:textId="77777777" w:rsidR="00CB6D76" w:rsidRPr="00180ADD" w:rsidRDefault="00CB6D76" w:rsidP="00CB6D76"/>
    <w:p w14:paraId="1179CBE7" w14:textId="77777777" w:rsidR="00CB6D76" w:rsidRPr="00180ADD" w:rsidRDefault="00CB6D76" w:rsidP="00CB6D76">
      <w:r w:rsidRPr="00180ADD">
        <w:t xml:space="preserve">Repeat victimisation and repeat offending plays a massive role within the criminal justice system, it is important to ensure throughout investigation as an OIC I address this issue and put support in place from the outset. </w:t>
      </w:r>
    </w:p>
    <w:p w14:paraId="0890066F" w14:textId="77777777" w:rsidR="00CB6D76" w:rsidRPr="00180ADD" w:rsidRDefault="00CB6D76" w:rsidP="00CB6D76"/>
    <w:p w14:paraId="18537591" w14:textId="0372FC8A" w:rsidR="00CB6D76" w:rsidRPr="00180ADD" w:rsidRDefault="00CB6D76" w:rsidP="00CB6D76">
      <w:pPr>
        <w:overflowPunct/>
        <w:autoSpaceDE/>
        <w:autoSpaceDN/>
        <w:adjustRightInd/>
        <w:textAlignment w:val="auto"/>
        <w:rPr>
          <w:color w:val="auto"/>
        </w:rPr>
      </w:pPr>
      <w:r w:rsidRPr="00180ADD">
        <w:t xml:space="preserve">Grove and Farrell (2012) conducted research on the prevention of repeat victimisation, the study looked at how the same perpetrators often commit repeats, and this is as a result of learning how to manipulate and successfully victimise a target. Within this investigation, the defendant was a repeat perpetrator for sexual offences where they were already a registered sex offender before this offence occurred. Targeting repeat offending for the similar offences is extremely important as the offending can escalate. Ministry of Justice (2023) conducted research on the escalation in the severity of offending behaviour, specially looking at sexual offences. </w:t>
      </w:r>
      <w:r w:rsidRPr="00180ADD">
        <w:rPr>
          <w:color w:val="auto"/>
        </w:rPr>
        <w:t xml:space="preserve">The findings show that, for men with a history of sexual offences, there are both significant positive and negative correlations between the escalation of previous sexual offences to major sexual assault. Child victim sexual assault was a common offence with a high positive correlation (363/219 case/control ratio and odds ratio of 1.82). Direct sexual activity (133/82 case/control ratio) with children under the age of 13 has been linked to a higher risk of developing into serious sexual assault. </w:t>
      </w:r>
    </w:p>
    <w:p w14:paraId="54D1F9B7" w14:textId="77777777" w:rsidR="00CB6D76" w:rsidRPr="00180ADD" w:rsidRDefault="00CB6D76" w:rsidP="00CB6D76"/>
    <w:p w14:paraId="1665CA9C" w14:textId="77777777" w:rsidR="00CB6D76" w:rsidRPr="00180ADD" w:rsidRDefault="00CB6D76" w:rsidP="00CB6D76">
      <w:pPr>
        <w:overflowPunct/>
        <w:autoSpaceDE/>
        <w:autoSpaceDN/>
        <w:adjustRightInd/>
        <w:textAlignment w:val="auto"/>
        <w:rPr>
          <w:color w:val="auto"/>
        </w:rPr>
      </w:pPr>
      <w:r w:rsidRPr="00180ADD">
        <w:t xml:space="preserve">This suggests that specifically male sex offenders who have offended against child victim sexual assaults have a positive correlation with escalated offences. Therefore, within this investigation it was paramount to tackle reoffending and one way in which this was tackled was by requesting a Sexual Harm Prevention Order to the courts. Sentencing Council (2024) </w:t>
      </w:r>
      <w:r w:rsidRPr="00180ADD">
        <w:rPr>
          <w:color w:val="auto"/>
        </w:rPr>
        <w:t xml:space="preserve">explains that if a person has been found guilty of an offence covered by Schedule 3 or Schedule 5 of the Sexual Offences Act 2003, either domestically in the UK or abroad, Sexual Harm Prevention Orders (SHPO) may be issued in their case. Although, a SHPO can also be issued where person is not found guilty due to reason of insanity or to be found under a disability. </w:t>
      </w:r>
    </w:p>
    <w:p w14:paraId="5A1A7014" w14:textId="77777777" w:rsidR="00CB6D76" w:rsidRPr="00180ADD" w:rsidRDefault="00CB6D76" w:rsidP="00CB6D76"/>
    <w:p w14:paraId="2453E8D6" w14:textId="393AB5A7" w:rsidR="00CB6D76" w:rsidRPr="00180ADD" w:rsidRDefault="00CB6D76" w:rsidP="00180ADD">
      <w:pPr>
        <w:overflowPunct/>
        <w:autoSpaceDE/>
        <w:autoSpaceDN/>
        <w:adjustRightInd/>
        <w:textAlignment w:val="auto"/>
        <w:rPr>
          <w:color w:val="auto"/>
        </w:rPr>
      </w:pPr>
      <w:r w:rsidRPr="00180ADD">
        <w:t xml:space="preserve">Within this investigation, in order to prevent the re-offending and to safeguard the victim I deemed it a necessity to place a SHPO on the defendant. When considering the prohibitions, it was important to identify what would be appropriate and effective within this case rather than placing ‘blanket’ prohibitions which do not fit needs of this specific investigation. </w:t>
      </w:r>
      <w:r w:rsidRPr="00180ADD">
        <w:rPr>
          <w:color w:val="auto"/>
        </w:rPr>
        <w:t xml:space="preserve">In the 2011 case of R v Smith and Others [2011] EWCA Crim 1772, which focused on SOPOs instead of SHPOs but applied general </w:t>
      </w:r>
      <w:r w:rsidRPr="00180ADD">
        <w:rPr>
          <w:color w:val="auto"/>
        </w:rPr>
        <w:lastRenderedPageBreak/>
        <w:t>principles nonetheless, the court underlined the necessity of an order's provisions being tailored to the particular needs of the case. Therefore, I reviewed all the aspects of this offence linked in with specific departments within the police who work with registered sex offenders to ascertain what would be the most effective and appropriate prohibitions</w:t>
      </w:r>
      <w:r w:rsidR="00180ADD" w:rsidRPr="00180ADD">
        <w:rPr>
          <w:color w:val="auto"/>
        </w:rPr>
        <w:t xml:space="preserve"> and applied for these within the SHPO. </w:t>
      </w:r>
    </w:p>
    <w:p w14:paraId="421812C3" w14:textId="77777777" w:rsidR="00CB6D76" w:rsidRPr="00180ADD" w:rsidRDefault="00CB6D76" w:rsidP="00CB6D76"/>
    <w:p w14:paraId="3094A572" w14:textId="27127B56" w:rsidR="00CB6D76" w:rsidRPr="00180ADD" w:rsidRDefault="00CB6D76" w:rsidP="00CB6D76">
      <w:r w:rsidRPr="00180ADD">
        <w:t xml:space="preserve">In conclusion, placing the victim at the centre of the investigation is key and it should be focal point of an investigation. When reflecting on this investigation, it was imperative to provide the victim with all the support they needed, and I think from reflecting back on the investigation I think it is important to seek help from external agencies who are specifically trained to support </w:t>
      </w:r>
      <w:r w:rsidR="00B60B44" w:rsidRPr="00180ADD">
        <w:t>victims’</w:t>
      </w:r>
      <w:r w:rsidRPr="00180ADD">
        <w:t xml:space="preserve"> specific needs and work with them to ensure that the victim needs are satisfied. </w:t>
      </w:r>
    </w:p>
    <w:p w14:paraId="519BE1C0" w14:textId="77777777" w:rsidR="00CB6D76" w:rsidRPr="00180ADD" w:rsidRDefault="00CB6D76" w:rsidP="00CB6D76"/>
    <w:p w14:paraId="64306CB2" w14:textId="77777777" w:rsidR="00CB6D76" w:rsidRPr="00180ADD" w:rsidRDefault="00CB6D76" w:rsidP="00CB6D76"/>
    <w:p w14:paraId="58793576" w14:textId="77777777" w:rsidR="00CB6D76" w:rsidRPr="00180ADD" w:rsidRDefault="00CB6D76" w:rsidP="5B843AF0">
      <w:pPr>
        <w:ind w:right="237"/>
        <w:jc w:val="both"/>
        <w:rPr>
          <w:rFonts w:eastAsia="Arial"/>
          <w:color w:val="000000" w:themeColor="text1"/>
          <w:sz w:val="24"/>
          <w:szCs w:val="24"/>
        </w:rPr>
      </w:pPr>
    </w:p>
    <w:p w14:paraId="4BBC525A" w14:textId="2C62A870" w:rsidR="5B843AF0" w:rsidRPr="00180ADD" w:rsidRDefault="5B843AF0" w:rsidP="5B843AF0">
      <w:pPr>
        <w:ind w:right="237"/>
        <w:jc w:val="both"/>
        <w:rPr>
          <w:rFonts w:eastAsia="Arial"/>
          <w:color w:val="000000" w:themeColor="text1"/>
          <w:sz w:val="24"/>
          <w:szCs w:val="24"/>
        </w:rPr>
      </w:pPr>
    </w:p>
    <w:p w14:paraId="1E96D16A" w14:textId="302F013D" w:rsidR="5B843AF0" w:rsidRPr="00180ADD" w:rsidRDefault="5B843AF0" w:rsidP="5B843AF0">
      <w:pPr>
        <w:ind w:right="237"/>
        <w:jc w:val="center"/>
        <w:rPr>
          <w:b/>
          <w:bCs/>
          <w:sz w:val="24"/>
          <w:szCs w:val="24"/>
        </w:rPr>
      </w:pPr>
    </w:p>
    <w:p w14:paraId="06491356" w14:textId="3815DDF0" w:rsidR="00A221AB" w:rsidRPr="00180ADD" w:rsidRDefault="00A221AB" w:rsidP="00211695">
      <w:pPr>
        <w:overflowPunct/>
        <w:autoSpaceDE/>
        <w:autoSpaceDN/>
        <w:adjustRightInd/>
        <w:textAlignment w:val="auto"/>
        <w:rPr>
          <w:b/>
          <w:bCs/>
          <w:sz w:val="24"/>
          <w:szCs w:val="24"/>
        </w:rPr>
      </w:pPr>
    </w:p>
    <w:p w14:paraId="39F004BF" w14:textId="47F2F4F1" w:rsidR="00211695" w:rsidRDefault="00211695" w:rsidP="00211695">
      <w:pPr>
        <w:overflowPunct/>
        <w:autoSpaceDE/>
        <w:autoSpaceDN/>
        <w:adjustRightInd/>
        <w:textAlignment w:val="auto"/>
        <w:rPr>
          <w:b/>
          <w:bCs/>
          <w:sz w:val="24"/>
          <w:szCs w:val="24"/>
        </w:rPr>
      </w:pPr>
    </w:p>
    <w:p w14:paraId="4EABAE6C" w14:textId="2B4F3C27" w:rsidR="00211695" w:rsidRDefault="00211695" w:rsidP="00211695">
      <w:pPr>
        <w:overflowPunct/>
        <w:autoSpaceDE/>
        <w:autoSpaceDN/>
        <w:adjustRightInd/>
        <w:textAlignment w:val="auto"/>
        <w:rPr>
          <w:b/>
          <w:bCs/>
          <w:sz w:val="24"/>
          <w:szCs w:val="24"/>
        </w:rPr>
      </w:pPr>
    </w:p>
    <w:p w14:paraId="19C3729F" w14:textId="7A10F80D" w:rsidR="00211695" w:rsidRDefault="00211695" w:rsidP="00211695">
      <w:pPr>
        <w:overflowPunct/>
        <w:autoSpaceDE/>
        <w:autoSpaceDN/>
        <w:adjustRightInd/>
        <w:textAlignment w:val="auto"/>
        <w:rPr>
          <w:b/>
          <w:bCs/>
          <w:sz w:val="24"/>
          <w:szCs w:val="24"/>
        </w:rPr>
      </w:pPr>
    </w:p>
    <w:p w14:paraId="7809170F" w14:textId="0FC6A2E6" w:rsidR="00211695" w:rsidRDefault="00211695" w:rsidP="00211695">
      <w:pPr>
        <w:overflowPunct/>
        <w:autoSpaceDE/>
        <w:autoSpaceDN/>
        <w:adjustRightInd/>
        <w:textAlignment w:val="auto"/>
        <w:rPr>
          <w:b/>
          <w:bCs/>
          <w:sz w:val="24"/>
          <w:szCs w:val="24"/>
        </w:rPr>
      </w:pPr>
    </w:p>
    <w:p w14:paraId="5263FC30" w14:textId="60CEA4D6" w:rsidR="00211695" w:rsidRDefault="00211695" w:rsidP="00211695">
      <w:pPr>
        <w:overflowPunct/>
        <w:autoSpaceDE/>
        <w:autoSpaceDN/>
        <w:adjustRightInd/>
        <w:textAlignment w:val="auto"/>
        <w:rPr>
          <w:b/>
          <w:bCs/>
          <w:sz w:val="24"/>
          <w:szCs w:val="24"/>
        </w:rPr>
      </w:pPr>
    </w:p>
    <w:p w14:paraId="7296990E" w14:textId="167A9CD5" w:rsidR="00211695" w:rsidRDefault="00211695" w:rsidP="00211695">
      <w:pPr>
        <w:overflowPunct/>
        <w:autoSpaceDE/>
        <w:autoSpaceDN/>
        <w:adjustRightInd/>
        <w:textAlignment w:val="auto"/>
        <w:rPr>
          <w:b/>
          <w:bCs/>
          <w:sz w:val="24"/>
          <w:szCs w:val="24"/>
        </w:rPr>
      </w:pPr>
    </w:p>
    <w:p w14:paraId="78DF5CD6" w14:textId="2BF96632" w:rsidR="00211695" w:rsidRDefault="00211695" w:rsidP="00211695">
      <w:pPr>
        <w:overflowPunct/>
        <w:autoSpaceDE/>
        <w:autoSpaceDN/>
        <w:adjustRightInd/>
        <w:textAlignment w:val="auto"/>
        <w:rPr>
          <w:b/>
          <w:bCs/>
          <w:sz w:val="24"/>
          <w:szCs w:val="24"/>
        </w:rPr>
      </w:pPr>
    </w:p>
    <w:p w14:paraId="19D247BC" w14:textId="3316BA49" w:rsidR="00211695" w:rsidRDefault="00211695" w:rsidP="00211695">
      <w:pPr>
        <w:overflowPunct/>
        <w:autoSpaceDE/>
        <w:autoSpaceDN/>
        <w:adjustRightInd/>
        <w:textAlignment w:val="auto"/>
        <w:rPr>
          <w:b/>
          <w:bCs/>
          <w:sz w:val="24"/>
          <w:szCs w:val="24"/>
        </w:rPr>
      </w:pPr>
    </w:p>
    <w:p w14:paraId="09F544D6" w14:textId="215E6FB4" w:rsidR="00211695" w:rsidRDefault="00211695" w:rsidP="00211695">
      <w:pPr>
        <w:overflowPunct/>
        <w:autoSpaceDE/>
        <w:autoSpaceDN/>
        <w:adjustRightInd/>
        <w:textAlignment w:val="auto"/>
        <w:rPr>
          <w:b/>
          <w:bCs/>
          <w:sz w:val="24"/>
          <w:szCs w:val="24"/>
        </w:rPr>
      </w:pPr>
    </w:p>
    <w:p w14:paraId="3EF01B71" w14:textId="1C5989BB" w:rsidR="00211695" w:rsidRDefault="00211695" w:rsidP="00211695">
      <w:pPr>
        <w:overflowPunct/>
        <w:autoSpaceDE/>
        <w:autoSpaceDN/>
        <w:adjustRightInd/>
        <w:textAlignment w:val="auto"/>
        <w:rPr>
          <w:b/>
          <w:bCs/>
          <w:sz w:val="24"/>
          <w:szCs w:val="24"/>
        </w:rPr>
      </w:pPr>
    </w:p>
    <w:p w14:paraId="32058FF2" w14:textId="1A6FF58F" w:rsidR="00211695" w:rsidRDefault="00211695" w:rsidP="00211695">
      <w:pPr>
        <w:overflowPunct/>
        <w:autoSpaceDE/>
        <w:autoSpaceDN/>
        <w:adjustRightInd/>
        <w:textAlignment w:val="auto"/>
        <w:rPr>
          <w:b/>
          <w:bCs/>
          <w:sz w:val="24"/>
          <w:szCs w:val="24"/>
        </w:rPr>
      </w:pPr>
    </w:p>
    <w:p w14:paraId="542C1CBB" w14:textId="3B570B19" w:rsidR="00211695" w:rsidRDefault="00211695" w:rsidP="00211695">
      <w:pPr>
        <w:overflowPunct/>
        <w:autoSpaceDE/>
        <w:autoSpaceDN/>
        <w:adjustRightInd/>
        <w:textAlignment w:val="auto"/>
        <w:rPr>
          <w:b/>
          <w:bCs/>
          <w:sz w:val="24"/>
          <w:szCs w:val="24"/>
        </w:rPr>
      </w:pPr>
    </w:p>
    <w:p w14:paraId="15519DC5" w14:textId="771E4051" w:rsidR="00211695" w:rsidRDefault="00211695" w:rsidP="00211695">
      <w:pPr>
        <w:overflowPunct/>
        <w:autoSpaceDE/>
        <w:autoSpaceDN/>
        <w:adjustRightInd/>
        <w:textAlignment w:val="auto"/>
        <w:rPr>
          <w:b/>
          <w:bCs/>
          <w:sz w:val="24"/>
          <w:szCs w:val="24"/>
        </w:rPr>
      </w:pPr>
    </w:p>
    <w:p w14:paraId="5E9654A4" w14:textId="483A031A" w:rsidR="00211695" w:rsidRDefault="00211695" w:rsidP="00211695">
      <w:pPr>
        <w:overflowPunct/>
        <w:autoSpaceDE/>
        <w:autoSpaceDN/>
        <w:adjustRightInd/>
        <w:textAlignment w:val="auto"/>
        <w:rPr>
          <w:b/>
          <w:bCs/>
          <w:sz w:val="24"/>
          <w:szCs w:val="24"/>
        </w:rPr>
      </w:pPr>
    </w:p>
    <w:p w14:paraId="7495C905" w14:textId="314DB715" w:rsidR="00211695" w:rsidRDefault="00211695" w:rsidP="00211695">
      <w:pPr>
        <w:overflowPunct/>
        <w:autoSpaceDE/>
        <w:autoSpaceDN/>
        <w:adjustRightInd/>
        <w:textAlignment w:val="auto"/>
        <w:rPr>
          <w:b/>
          <w:bCs/>
          <w:sz w:val="24"/>
          <w:szCs w:val="24"/>
        </w:rPr>
      </w:pPr>
    </w:p>
    <w:p w14:paraId="63EA6FCA" w14:textId="77777777" w:rsidR="003132AF" w:rsidRDefault="003132AF" w:rsidP="00211695">
      <w:pPr>
        <w:overflowPunct/>
        <w:autoSpaceDE/>
        <w:autoSpaceDN/>
        <w:adjustRightInd/>
        <w:textAlignment w:val="auto"/>
        <w:rPr>
          <w:b/>
          <w:bCs/>
          <w:sz w:val="24"/>
          <w:szCs w:val="24"/>
        </w:rPr>
      </w:pPr>
    </w:p>
    <w:p w14:paraId="3D8DCAA1" w14:textId="77777777" w:rsidR="003132AF" w:rsidRDefault="003132AF" w:rsidP="00211695">
      <w:pPr>
        <w:overflowPunct/>
        <w:autoSpaceDE/>
        <w:autoSpaceDN/>
        <w:adjustRightInd/>
        <w:textAlignment w:val="auto"/>
        <w:rPr>
          <w:b/>
          <w:bCs/>
          <w:sz w:val="24"/>
          <w:szCs w:val="24"/>
        </w:rPr>
      </w:pPr>
    </w:p>
    <w:p w14:paraId="2F2ABC65" w14:textId="77777777" w:rsidR="003132AF" w:rsidRDefault="003132AF" w:rsidP="00211695">
      <w:pPr>
        <w:overflowPunct/>
        <w:autoSpaceDE/>
        <w:autoSpaceDN/>
        <w:adjustRightInd/>
        <w:textAlignment w:val="auto"/>
        <w:rPr>
          <w:b/>
          <w:bCs/>
          <w:sz w:val="24"/>
          <w:szCs w:val="24"/>
        </w:rPr>
      </w:pPr>
    </w:p>
    <w:p w14:paraId="70954E8C" w14:textId="77777777" w:rsidR="003132AF" w:rsidRDefault="003132AF" w:rsidP="00211695">
      <w:pPr>
        <w:overflowPunct/>
        <w:autoSpaceDE/>
        <w:autoSpaceDN/>
        <w:adjustRightInd/>
        <w:textAlignment w:val="auto"/>
        <w:rPr>
          <w:b/>
          <w:bCs/>
          <w:sz w:val="24"/>
          <w:szCs w:val="24"/>
        </w:rPr>
      </w:pPr>
    </w:p>
    <w:p w14:paraId="51FE35A1" w14:textId="77777777" w:rsidR="003132AF" w:rsidRDefault="003132AF" w:rsidP="00211695">
      <w:pPr>
        <w:overflowPunct/>
        <w:autoSpaceDE/>
        <w:autoSpaceDN/>
        <w:adjustRightInd/>
        <w:textAlignment w:val="auto"/>
        <w:rPr>
          <w:b/>
          <w:bCs/>
          <w:sz w:val="24"/>
          <w:szCs w:val="24"/>
        </w:rPr>
      </w:pPr>
    </w:p>
    <w:p w14:paraId="0F5F600B" w14:textId="77777777" w:rsidR="003132AF" w:rsidRDefault="003132AF" w:rsidP="00211695">
      <w:pPr>
        <w:overflowPunct/>
        <w:autoSpaceDE/>
        <w:autoSpaceDN/>
        <w:adjustRightInd/>
        <w:textAlignment w:val="auto"/>
        <w:rPr>
          <w:b/>
          <w:bCs/>
          <w:sz w:val="24"/>
          <w:szCs w:val="24"/>
        </w:rPr>
      </w:pPr>
    </w:p>
    <w:p w14:paraId="0D757A9F" w14:textId="6EEDDF01" w:rsidR="00211695" w:rsidRDefault="00211695" w:rsidP="00211695">
      <w:pPr>
        <w:overflowPunct/>
        <w:autoSpaceDE/>
        <w:autoSpaceDN/>
        <w:adjustRightInd/>
        <w:textAlignment w:val="auto"/>
        <w:rPr>
          <w:b/>
          <w:bCs/>
          <w:sz w:val="24"/>
          <w:szCs w:val="24"/>
        </w:rPr>
      </w:pPr>
    </w:p>
    <w:p w14:paraId="369120E0" w14:textId="78A7006C" w:rsidR="00211695" w:rsidRDefault="00211695" w:rsidP="00211695">
      <w:pPr>
        <w:overflowPunct/>
        <w:autoSpaceDE/>
        <w:autoSpaceDN/>
        <w:adjustRightInd/>
        <w:textAlignment w:val="auto"/>
        <w:rPr>
          <w:b/>
          <w:bCs/>
          <w:sz w:val="24"/>
          <w:szCs w:val="24"/>
        </w:rPr>
      </w:pPr>
    </w:p>
    <w:p w14:paraId="39C82147" w14:textId="4DB165F4" w:rsidR="00211695" w:rsidRDefault="00211695" w:rsidP="00211695">
      <w:pPr>
        <w:overflowPunct/>
        <w:autoSpaceDE/>
        <w:autoSpaceDN/>
        <w:adjustRightInd/>
        <w:textAlignment w:val="auto"/>
        <w:rPr>
          <w:b/>
          <w:bCs/>
          <w:sz w:val="24"/>
          <w:szCs w:val="24"/>
        </w:rPr>
      </w:pPr>
    </w:p>
    <w:p w14:paraId="29A10E38" w14:textId="77777777" w:rsidR="00211695" w:rsidRPr="00211695" w:rsidRDefault="00211695" w:rsidP="00211695">
      <w:pPr>
        <w:overflowPunct/>
        <w:autoSpaceDE/>
        <w:autoSpaceDN/>
        <w:adjustRightInd/>
        <w:textAlignment w:val="auto"/>
        <w:rPr>
          <w:b/>
          <w:bCs/>
          <w:sz w:val="24"/>
          <w:szCs w:val="24"/>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77E31362" w14:textId="29BEE203" w:rsidR="0FF883D4" w:rsidRDefault="0FF883D4" w:rsidP="0FF883D4">
      <w:pPr>
        <w:ind w:right="237"/>
        <w:jc w:val="both"/>
        <w:rPr>
          <w:b/>
          <w:bCs/>
          <w:color w:val="000000" w:themeColor="text1"/>
          <w:sz w:val="24"/>
          <w:szCs w:val="24"/>
        </w:rPr>
      </w:pPr>
    </w:p>
    <w:p w14:paraId="5270FEEA" w14:textId="77777777" w:rsidR="00180ADD" w:rsidRDefault="00180ADD" w:rsidP="0FF883D4">
      <w:pPr>
        <w:ind w:right="237"/>
        <w:jc w:val="both"/>
        <w:rPr>
          <w:b/>
          <w:bCs/>
          <w:color w:val="000000" w:themeColor="text1"/>
          <w:sz w:val="24"/>
          <w:szCs w:val="24"/>
        </w:rPr>
      </w:pPr>
    </w:p>
    <w:p w14:paraId="41A879D5" w14:textId="77777777" w:rsidR="00180ADD" w:rsidRDefault="00180ADD" w:rsidP="0FF883D4">
      <w:pPr>
        <w:ind w:right="237"/>
        <w:jc w:val="both"/>
        <w:rPr>
          <w:b/>
          <w:bCs/>
          <w:color w:val="000000" w:themeColor="text1"/>
          <w:sz w:val="24"/>
          <w:szCs w:val="24"/>
        </w:rPr>
      </w:pPr>
    </w:p>
    <w:p w14:paraId="52196BB5" w14:textId="77777777" w:rsidR="00180ADD" w:rsidRDefault="00180ADD" w:rsidP="0FF883D4">
      <w:pPr>
        <w:ind w:right="237"/>
        <w:jc w:val="both"/>
        <w:rPr>
          <w:b/>
          <w:bCs/>
          <w:color w:val="000000" w:themeColor="text1"/>
          <w:sz w:val="24"/>
          <w:szCs w:val="24"/>
        </w:rPr>
      </w:pPr>
    </w:p>
    <w:p w14:paraId="7A41E678" w14:textId="77777777" w:rsidR="00180ADD" w:rsidRDefault="00180ADD" w:rsidP="0FF883D4">
      <w:pPr>
        <w:ind w:right="237"/>
        <w:jc w:val="both"/>
        <w:rPr>
          <w:b/>
          <w:bCs/>
          <w:color w:val="000000" w:themeColor="text1"/>
          <w:sz w:val="24"/>
          <w:szCs w:val="24"/>
        </w:rPr>
      </w:pPr>
    </w:p>
    <w:p w14:paraId="4BCFF927" w14:textId="77777777" w:rsidR="00180ADD" w:rsidRDefault="00180ADD" w:rsidP="0FF883D4">
      <w:pPr>
        <w:ind w:right="237"/>
        <w:jc w:val="both"/>
        <w:rPr>
          <w:b/>
          <w:bCs/>
          <w:color w:val="000000" w:themeColor="text1"/>
          <w:sz w:val="24"/>
          <w:szCs w:val="24"/>
        </w:rPr>
      </w:pPr>
    </w:p>
    <w:p w14:paraId="0DB13CEE" w14:textId="77777777" w:rsidR="00180ADD" w:rsidRDefault="00180ADD"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386B9E52" w14:textId="71D07E3F" w:rsidR="02D63252" w:rsidRDefault="02D63252" w:rsidP="5CE196A1">
      <w:pPr>
        <w:ind w:right="237"/>
        <w:jc w:val="both"/>
        <w:rPr>
          <w:b/>
          <w:bCs/>
          <w:color w:val="000000" w:themeColor="text1"/>
          <w:sz w:val="24"/>
          <w:szCs w:val="24"/>
        </w:rPr>
      </w:pPr>
    </w:p>
    <w:p w14:paraId="58751063" w14:textId="56C51CE5"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w:t>
      </w:r>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59E0B4CB" w14:textId="77777777" w:rsidR="00B60B44" w:rsidRDefault="00B60B44" w:rsidP="0FF883D4">
      <w:pPr>
        <w:ind w:right="237"/>
        <w:jc w:val="both"/>
        <w:rPr>
          <w:color w:val="000000" w:themeColor="text1"/>
          <w:sz w:val="24"/>
          <w:szCs w:val="24"/>
        </w:rPr>
      </w:pPr>
    </w:p>
    <w:p w14:paraId="76B6FAAC" w14:textId="10D53C5C"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5F79612C" w14:textId="4E91C753" w:rsidR="009370AE" w:rsidRDefault="009370AE" w:rsidP="009370AE">
      <w:pPr>
        <w:ind w:right="237"/>
        <w:jc w:val="both"/>
        <w:rPr>
          <w:b/>
          <w:bCs/>
          <w:color w:val="000000" w:themeColor="text1"/>
          <w:sz w:val="28"/>
          <w:szCs w:val="28"/>
        </w:rPr>
      </w:pPr>
    </w:p>
    <w:p w14:paraId="358CF34E" w14:textId="77777777" w:rsidR="003132AF" w:rsidRPr="00180ADD" w:rsidRDefault="003132AF" w:rsidP="003132AF">
      <w:pPr>
        <w:ind w:right="237"/>
        <w:jc w:val="both"/>
      </w:pPr>
      <w:r w:rsidRPr="00180ADD">
        <w:t xml:space="preserve">Within my role as a detective constable in Criminal Investigation Department, I have dealt with a variety of complex investigations. </w:t>
      </w:r>
    </w:p>
    <w:p w14:paraId="7B5ED6CB" w14:textId="77777777" w:rsidR="003132AF" w:rsidRPr="00180ADD" w:rsidRDefault="003132AF" w:rsidP="003132AF">
      <w:pPr>
        <w:ind w:right="237"/>
        <w:jc w:val="both"/>
      </w:pPr>
    </w:p>
    <w:p w14:paraId="00631353" w14:textId="77777777" w:rsidR="003132AF" w:rsidRPr="00180ADD" w:rsidRDefault="003132AF" w:rsidP="003132AF">
      <w:pPr>
        <w:ind w:right="237"/>
        <w:jc w:val="both"/>
      </w:pPr>
      <w:r w:rsidRPr="00180ADD">
        <w:t xml:space="preserve">Within this essay I will refer to the following investigation involving a robbery which has taken place and the defendant in the case was a child at the time of the offence. I was the officer in the case for this investigation and therefore conducted all enquiries and actions. </w:t>
      </w:r>
    </w:p>
    <w:p w14:paraId="73E90814" w14:textId="77777777" w:rsidR="003132AF" w:rsidRPr="00180ADD" w:rsidRDefault="003132AF" w:rsidP="003132AF">
      <w:pPr>
        <w:ind w:right="237"/>
        <w:jc w:val="both"/>
      </w:pPr>
    </w:p>
    <w:p w14:paraId="4DE7D88F" w14:textId="64F376E7" w:rsidR="003132AF" w:rsidRPr="00180ADD" w:rsidRDefault="003132AF" w:rsidP="003132AF">
      <w:pPr>
        <w:ind w:right="237"/>
        <w:jc w:val="both"/>
      </w:pPr>
      <w:r w:rsidRPr="00180ADD">
        <w:t>When reflecting on this investigation, there were fast-track actions which were imperative to conduct early on in the investigation to ensure that the case progressed effectively.  The circumstances of the incident are the victim ha</w:t>
      </w:r>
      <w:r w:rsidR="00180ADD" w:rsidRPr="00180ADD">
        <w:t>d</w:t>
      </w:r>
      <w:r w:rsidRPr="00180ADD">
        <w:t xml:space="preserve"> ridden his electric bike down a lane and the suspect has stopped the male in the lane blocking his exit from the lane. The suspect has threatened the victim to give the electric bike to which the victim has declined and tried to escape. As a result, the suspect has assaulted the victim and produce a knife from his clothing and stabbed the victim in the back. The victim sustained injuries to his back with a puncture wound from the knife. </w:t>
      </w:r>
    </w:p>
    <w:p w14:paraId="526BC063" w14:textId="77777777" w:rsidR="003132AF" w:rsidRPr="00180ADD" w:rsidRDefault="003132AF" w:rsidP="003132AF">
      <w:pPr>
        <w:ind w:right="237"/>
        <w:jc w:val="both"/>
        <w:rPr>
          <w:rFonts w:eastAsia="Arial"/>
          <w:color w:val="000000" w:themeColor="text1"/>
        </w:rPr>
      </w:pPr>
    </w:p>
    <w:p w14:paraId="0AC07906" w14:textId="77777777" w:rsidR="003132AF" w:rsidRPr="00180ADD" w:rsidRDefault="003132AF" w:rsidP="003132AF">
      <w:pPr>
        <w:ind w:right="237"/>
        <w:jc w:val="both"/>
        <w:rPr>
          <w:rFonts w:eastAsia="Arial"/>
          <w:color w:val="000000" w:themeColor="text1"/>
        </w:rPr>
      </w:pPr>
      <w:r w:rsidRPr="00180ADD">
        <w:rPr>
          <w:rFonts w:eastAsia="Arial"/>
          <w:color w:val="000000" w:themeColor="text1"/>
        </w:rPr>
        <w:t>When a live investigation is ongoing, it is imperative to outline what the fast-track actions are going to be key to the investigation early on. Fast track actions are actions which can be done in the initial stage of a police investigation which can help to identify suspects.</w:t>
      </w:r>
    </w:p>
    <w:p w14:paraId="14EF939B" w14:textId="77777777" w:rsidR="003132AF" w:rsidRPr="00180ADD" w:rsidRDefault="003132AF" w:rsidP="003132AF">
      <w:pPr>
        <w:ind w:right="237"/>
        <w:jc w:val="both"/>
        <w:rPr>
          <w:rFonts w:eastAsia="Arial"/>
          <w:color w:val="000000" w:themeColor="text1"/>
        </w:rPr>
      </w:pPr>
    </w:p>
    <w:p w14:paraId="45FE4C2B" w14:textId="1479EC94" w:rsidR="003132AF" w:rsidRPr="00180ADD" w:rsidRDefault="003132AF" w:rsidP="003132AF">
      <w:pPr>
        <w:ind w:right="237"/>
        <w:jc w:val="both"/>
        <w:rPr>
          <w:rFonts w:eastAsia="Arial"/>
          <w:color w:val="000000" w:themeColor="text1"/>
        </w:rPr>
      </w:pPr>
      <w:r w:rsidRPr="00180ADD">
        <w:rPr>
          <w:rFonts w:eastAsia="Arial"/>
          <w:color w:val="000000" w:themeColor="text1"/>
        </w:rPr>
        <w:t xml:space="preserve">Within the investigation I have chosen, ensuring I maximised the forensic opportunities in their entirety was crucial as there were outstanding suspects which the victim did not know the </w:t>
      </w:r>
      <w:r w:rsidR="00180ADD" w:rsidRPr="00180ADD">
        <w:rPr>
          <w:rFonts w:eastAsia="Arial"/>
          <w:color w:val="000000" w:themeColor="text1"/>
        </w:rPr>
        <w:t>identity</w:t>
      </w:r>
      <w:r w:rsidRPr="00180ADD">
        <w:rPr>
          <w:rFonts w:eastAsia="Arial"/>
          <w:color w:val="000000" w:themeColor="text1"/>
        </w:rPr>
        <w:t xml:space="preserve"> of. Initial forensic consideration was identifying the scenes. The first scene was the location of where the incident took place, this was locked down immediately and cordons were put in place from the entrance and exit of the lane in which the offence occurred. Miller (2002) discusses the importance of scene management and scene preservation in order to maximise forensic opportunities, Miller (2002) studies crime scene investigation models and states that as first responders to scene it is vital to ensure that the victim is main focus and officers assist them immediately.</w:t>
      </w:r>
    </w:p>
    <w:p w14:paraId="47BCE390" w14:textId="77777777" w:rsidR="003132AF" w:rsidRPr="00180ADD" w:rsidRDefault="003132AF" w:rsidP="003132AF">
      <w:pPr>
        <w:ind w:right="237"/>
        <w:jc w:val="both"/>
        <w:rPr>
          <w:rFonts w:eastAsia="Arial"/>
          <w:color w:val="000000" w:themeColor="text1"/>
        </w:rPr>
      </w:pPr>
    </w:p>
    <w:p w14:paraId="3472F244" w14:textId="77777777" w:rsidR="003132AF" w:rsidRPr="00180ADD" w:rsidRDefault="003132AF" w:rsidP="003132AF">
      <w:pPr>
        <w:overflowPunct/>
        <w:autoSpaceDE/>
        <w:autoSpaceDN/>
        <w:adjustRightInd/>
        <w:spacing w:after="240"/>
        <w:rPr>
          <w:color w:val="auto"/>
        </w:rPr>
      </w:pPr>
      <w:r w:rsidRPr="00180ADD">
        <w:rPr>
          <w:rFonts w:eastAsia="Arial"/>
          <w:color w:val="000000" w:themeColor="text1"/>
        </w:rPr>
        <w:t xml:space="preserve">College of Policing (2019) discussed the police duty of care, and it states that the preservation of life is vital and should be considered over anything else which aligns with the crime scene investigation model from Miller </w:t>
      </w:r>
      <w:r w:rsidRPr="00180ADD">
        <w:rPr>
          <w:color w:val="auto"/>
        </w:rPr>
        <w:t xml:space="preserve">(2002). Within this instance, there was no immediate risk to life regarding the victim and therefore the overarching principle to protect life and limb before securing and preserving evidence did not need to be considered, as the injuries the victim received were not life threatening. </w:t>
      </w:r>
    </w:p>
    <w:p w14:paraId="38C4E435" w14:textId="77777777" w:rsidR="003132AF" w:rsidRPr="00180ADD" w:rsidRDefault="003132AF" w:rsidP="003132AF">
      <w:pPr>
        <w:overflowPunct/>
        <w:autoSpaceDE/>
        <w:autoSpaceDN/>
        <w:adjustRightInd/>
        <w:spacing w:after="240"/>
        <w:rPr>
          <w:color w:val="auto"/>
        </w:rPr>
      </w:pPr>
      <w:r w:rsidRPr="00180ADD">
        <w:rPr>
          <w:color w:val="auto"/>
        </w:rPr>
        <w:t xml:space="preserve">After ensuring that preservation of life has been addressed and the victims are supported and taken care of, the forensic opportunities are now the main focus. Within this case, the weapon which was used was key to find to recover and secure evidence. In order to search for this, the scene needed to be cordon off as soon as possible to avoid cross-contamination. As mentioned, the lane in which the offence occurred was cordon off with crime scene tape and official police vehicle’s both sides. </w:t>
      </w:r>
    </w:p>
    <w:p w14:paraId="7473A65C" w14:textId="77777777" w:rsidR="003132AF" w:rsidRPr="00180ADD" w:rsidRDefault="003132AF" w:rsidP="003132AF">
      <w:pPr>
        <w:overflowPunct/>
        <w:autoSpaceDE/>
        <w:autoSpaceDN/>
        <w:adjustRightInd/>
        <w:spacing w:after="240"/>
        <w:rPr>
          <w:color w:val="auto"/>
        </w:rPr>
      </w:pPr>
      <w:r w:rsidRPr="00180ADD">
        <w:rPr>
          <w:color w:val="auto"/>
        </w:rPr>
        <w:t xml:space="preserve">Using Gibbs reflective model to consider what was effective, I have noted that at the time of setting the cordon’s up I set the boundaries to the exit and entrance points of the lane based on the information I had at the time suggested this is where the full offence took place. However, upon reflection when further statements were taken by officers from the victims and witnesses identified, it was apparent that the incident had followed on down further passed the lane only by a few yards. Consequently, I do believe that at the time I made the cordon too small and that I should’ve made the cordon bigger. In future, through this learning I will make the cordon big at the first opportunity and then as more information and evidence is fed and there is a clearer picture on what has happened, I can adjust the cordons to be smaller, as there may have been forensic opportunities missed. </w:t>
      </w:r>
    </w:p>
    <w:p w14:paraId="13C200D9" w14:textId="77777777" w:rsidR="003132AF" w:rsidRPr="00180ADD" w:rsidRDefault="003132AF" w:rsidP="003132AF">
      <w:pPr>
        <w:overflowPunct/>
        <w:autoSpaceDE/>
        <w:autoSpaceDN/>
        <w:adjustRightInd/>
        <w:rPr>
          <w:color w:val="auto"/>
        </w:rPr>
      </w:pPr>
      <w:r w:rsidRPr="00180ADD">
        <w:rPr>
          <w:rStyle w:val="Emphasis"/>
          <w:i w:val="0"/>
          <w:iCs w:val="0"/>
        </w:rPr>
        <w:t xml:space="preserve">Through these initial fast track forensic opportunities, Crime Scene Investigator (CSI) were tasked to attend the scene for imaging. Whilst at the scene, a weapon which matched the description provided by the victim was found and seized. This was sent for forensic examination for DNA examination and fingerprint examination. Prior to the attendance of CSI, it was important that a scene log was initiated, and a common approach path was created. Forensic Science Regulator (2023) states that the access to the scene should be </w:t>
      </w:r>
      <w:r w:rsidRPr="00180ADD">
        <w:t xml:space="preserve">a common approach path should be constructed, and access to the scene should be regulated as a single point of entry. In rare circumstances, having two access points could be preferable if it allows employees to avoid moving between clearly defined zones. </w:t>
      </w:r>
    </w:p>
    <w:p w14:paraId="14A74E31" w14:textId="77777777" w:rsidR="003132AF" w:rsidRPr="00180ADD" w:rsidRDefault="003132AF" w:rsidP="003132AF">
      <w:pPr>
        <w:ind w:right="237"/>
        <w:jc w:val="both"/>
        <w:rPr>
          <w:rStyle w:val="Emphasis"/>
          <w:i w:val="0"/>
          <w:iCs w:val="0"/>
        </w:rPr>
      </w:pPr>
    </w:p>
    <w:p w14:paraId="716F5A9B" w14:textId="77777777" w:rsidR="003132AF" w:rsidRPr="00180ADD" w:rsidRDefault="003132AF" w:rsidP="003132AF">
      <w:pPr>
        <w:overflowPunct/>
        <w:autoSpaceDE/>
        <w:autoSpaceDN/>
        <w:adjustRightInd/>
        <w:rPr>
          <w:color w:val="auto"/>
        </w:rPr>
      </w:pPr>
      <w:r w:rsidRPr="00180ADD">
        <w:rPr>
          <w:rStyle w:val="Emphasis"/>
          <w:i w:val="0"/>
          <w:iCs w:val="0"/>
        </w:rPr>
        <w:t>Another fast-track action which was imperative in the initial stage of the investigation was house to house and CCTV enquiries. College of Policing (2020) explores the house-to-house strategy in place and discusses the importance of</w:t>
      </w:r>
      <w:r w:rsidRPr="00180ADD">
        <w:rPr>
          <w:rStyle w:val="Emphasis"/>
        </w:rPr>
        <w:t xml:space="preserve"> </w:t>
      </w:r>
      <w:r w:rsidRPr="00180ADD">
        <w:rPr>
          <w:color w:val="auto"/>
        </w:rPr>
        <w:t xml:space="preserve">setting clear goals is essential for giving direction to a research project that could require a lot of resources. House-to-house inquiries can be used for identifying witnesses and suspects. In addition to house-to-house enquiries, CCTV opportunities are key and can be identified simultaneously with house-to-house enquiries. With technology advancing more and more homes are now fitted with Ring Doorbell cameras or CCTV which covers their home address which can have a great impact on cases. The incident took place between a lane which links two streets, this allowed me to conduct house-to-house enquiries and CCTV opportunities to identify any suspects who enter the lane just before the material time frame. </w:t>
      </w:r>
    </w:p>
    <w:p w14:paraId="57F3DDF9" w14:textId="77777777" w:rsidR="003132AF" w:rsidRPr="00180ADD" w:rsidRDefault="003132AF" w:rsidP="003132AF">
      <w:pPr>
        <w:overflowPunct/>
        <w:autoSpaceDE/>
        <w:autoSpaceDN/>
        <w:adjustRightInd/>
      </w:pPr>
    </w:p>
    <w:p w14:paraId="4197886D" w14:textId="77777777" w:rsidR="003132AF" w:rsidRPr="00180ADD" w:rsidRDefault="003132AF" w:rsidP="003132AF">
      <w:pPr>
        <w:ind w:right="237"/>
        <w:jc w:val="both"/>
        <w:rPr>
          <w:rStyle w:val="Emphasis"/>
          <w:i w:val="0"/>
          <w:iCs w:val="0"/>
        </w:rPr>
      </w:pPr>
      <w:r w:rsidRPr="00180ADD">
        <w:rPr>
          <w:rStyle w:val="Emphasis"/>
          <w:i w:val="0"/>
          <w:iCs w:val="0"/>
        </w:rPr>
        <w:t>Within the early stages of an investigation, it was important to identify the suspect immediately for them to be arrested and to safeguard victims. Victims are the heart of investigations and should be prioritised. The Victims Code under the Domestic Violence, Crime and Victims (2004) outlines the twelve victims’ rights which applies to all criminal justice agencies, including the police. When appointed the role of the officer in the case (OIC), it is the OIC’s responsibility to ensure that the victim’s within the investigation are being treated in accordance with the victim’s code. One of the key rights within the victim’s code of practice was the option for the victim to make a victim personal statement, (VPS).</w:t>
      </w:r>
    </w:p>
    <w:p w14:paraId="6D5997CF" w14:textId="77777777" w:rsidR="003132AF" w:rsidRPr="00180ADD" w:rsidRDefault="003132AF" w:rsidP="003132AF">
      <w:pPr>
        <w:ind w:right="237"/>
        <w:jc w:val="both"/>
        <w:rPr>
          <w:rStyle w:val="Emphasis"/>
          <w:i w:val="0"/>
          <w:iCs w:val="0"/>
        </w:rPr>
      </w:pPr>
    </w:p>
    <w:p w14:paraId="2121D4B7" w14:textId="467DDB60" w:rsidR="003132AF" w:rsidRPr="00180ADD" w:rsidRDefault="003132AF" w:rsidP="003132AF">
      <w:pPr>
        <w:overflowPunct/>
        <w:autoSpaceDE/>
        <w:autoSpaceDN/>
        <w:adjustRightInd/>
        <w:rPr>
          <w:color w:val="auto"/>
        </w:rPr>
      </w:pPr>
      <w:r w:rsidRPr="00180ADD">
        <w:rPr>
          <w:rStyle w:val="Emphasis"/>
          <w:i w:val="0"/>
          <w:iCs w:val="0"/>
        </w:rPr>
        <w:t>Ministry of Justice (2023) discusses the importance of a VPS, stating that ev</w:t>
      </w:r>
      <w:r w:rsidRPr="00180ADD">
        <w:rPr>
          <w:color w:val="auto"/>
        </w:rPr>
        <w:t xml:space="preserve">ery victim who reports a crime has the right to speak with the police as a witness and to provide a victim personal statement at the same time. The VPS is a crucial document that provides victims with a voice in the criminal justice system by </w:t>
      </w:r>
      <w:r w:rsidR="00180ADD">
        <w:rPr>
          <w:color w:val="auto"/>
        </w:rPr>
        <w:t>explaining</w:t>
      </w:r>
      <w:r w:rsidRPr="00180ADD">
        <w:rPr>
          <w:color w:val="auto"/>
        </w:rPr>
        <w:t xml:space="preserve"> the impact of the crime on the victim, rather than just the events.</w:t>
      </w:r>
    </w:p>
    <w:p w14:paraId="29EA3557" w14:textId="77777777" w:rsidR="003132AF" w:rsidRPr="00180ADD" w:rsidRDefault="003132AF" w:rsidP="003132AF">
      <w:pPr>
        <w:overflowPunct/>
        <w:autoSpaceDE/>
        <w:autoSpaceDN/>
        <w:adjustRightInd/>
        <w:rPr>
          <w:color w:val="auto"/>
        </w:rPr>
      </w:pPr>
    </w:p>
    <w:p w14:paraId="190D21AD" w14:textId="77777777" w:rsidR="003132AF" w:rsidRPr="00180ADD" w:rsidRDefault="003132AF" w:rsidP="003132AF">
      <w:pPr>
        <w:overflowPunct/>
        <w:autoSpaceDE/>
        <w:autoSpaceDN/>
        <w:adjustRightInd/>
        <w:rPr>
          <w:color w:val="auto"/>
        </w:rPr>
      </w:pPr>
      <w:r w:rsidRPr="00180ADD">
        <w:rPr>
          <w:color w:val="auto"/>
        </w:rPr>
        <w:t xml:space="preserve">It was importance as the OIC in the investigation to ensure the victim felt like their voice was heard and they could explain how the offence has had an impact on their everyday life. It is imperative to give the victim a voice in an investigation and ensure they feel supported. When reflecting and </w:t>
      </w:r>
      <w:r w:rsidRPr="00180ADD">
        <w:rPr>
          <w:color w:val="auto"/>
        </w:rPr>
        <w:lastRenderedPageBreak/>
        <w:t xml:space="preserve">evaluating the process in which the victim provided the VPS, at the time I attended their home and explained the VPS to the victim verbally. However, upon reflection and further research there are a lot of resources on the victim’s code such as videos and leaflets which may have been appropriate and informative to the victim. </w:t>
      </w:r>
    </w:p>
    <w:p w14:paraId="27D19FDF" w14:textId="77777777" w:rsidR="003132AF" w:rsidRPr="00180ADD" w:rsidRDefault="003132AF" w:rsidP="003132AF">
      <w:pPr>
        <w:overflowPunct/>
        <w:autoSpaceDE/>
        <w:autoSpaceDN/>
        <w:adjustRightInd/>
        <w:rPr>
          <w:color w:val="auto"/>
        </w:rPr>
      </w:pPr>
    </w:p>
    <w:p w14:paraId="2FEF066E" w14:textId="77777777" w:rsidR="003132AF" w:rsidRPr="00180ADD" w:rsidRDefault="003132AF" w:rsidP="003132AF">
      <w:pPr>
        <w:overflowPunct/>
        <w:autoSpaceDE/>
        <w:autoSpaceDN/>
        <w:adjustRightInd/>
        <w:rPr>
          <w:color w:val="auto"/>
        </w:rPr>
      </w:pPr>
      <w:r w:rsidRPr="00180ADD">
        <w:rPr>
          <w:color w:val="auto"/>
        </w:rPr>
        <w:t>Upon reflection, it is easy to forget that a lot of victims do not come in contact with the criminal justice system frequently and do not have the understanding on how the process works. It can be overwhelming for a person to take in all the information that is being given to them regarding the court process and navigating through it all. It may have been more beneficial to provide the victim with links to the victim code page which has an easy help guide and video on the process, specifically in this case the process of the VPS.</w:t>
      </w:r>
    </w:p>
    <w:p w14:paraId="7FD66A52" w14:textId="77777777" w:rsidR="003132AF" w:rsidRPr="00180ADD" w:rsidRDefault="003132AF" w:rsidP="003132AF">
      <w:pPr>
        <w:ind w:right="237"/>
        <w:jc w:val="both"/>
        <w:rPr>
          <w:color w:val="auto"/>
        </w:rPr>
      </w:pPr>
    </w:p>
    <w:p w14:paraId="5FB9CD1D" w14:textId="77777777" w:rsidR="003132AF" w:rsidRPr="00180ADD" w:rsidRDefault="003132AF" w:rsidP="003132AF">
      <w:pPr>
        <w:ind w:right="237"/>
        <w:jc w:val="both"/>
      </w:pPr>
      <w:r w:rsidRPr="00180ADD">
        <w:rPr>
          <w:color w:val="auto"/>
        </w:rPr>
        <w:t xml:space="preserve">Whilst supporting victims is paramount to the investigation, witnesses are key evidence to offences and ensuring they are supported is equally as important. South Wales Police (2023) state that all witnesses of crime have the right to have an assessment to check their needs, and special measures can be considered if they are vulnerable or intimidated witnesses. </w:t>
      </w:r>
    </w:p>
    <w:p w14:paraId="75FEBF27" w14:textId="77777777" w:rsidR="003132AF" w:rsidRPr="00180ADD" w:rsidRDefault="003132AF" w:rsidP="003132AF">
      <w:pPr>
        <w:ind w:right="237"/>
        <w:jc w:val="both"/>
      </w:pPr>
    </w:p>
    <w:p w14:paraId="48F83168" w14:textId="77777777" w:rsidR="003132AF" w:rsidRPr="00180ADD" w:rsidRDefault="003132AF" w:rsidP="003132AF">
      <w:pPr>
        <w:ind w:right="237"/>
        <w:jc w:val="both"/>
        <w:rPr>
          <w:color w:val="auto"/>
        </w:rPr>
      </w:pPr>
      <w:r w:rsidRPr="00180ADD">
        <w:rPr>
          <w:color w:val="auto"/>
        </w:rPr>
        <w:t xml:space="preserve">Within this case, the witness to the offence was under eighteen years old, this would deem them eligible for special measures under section 16 of Youth Justice and Criminal Evidence Act 1999, (YJECA). Gov (1999) states that the primary ruling is a witness who is under the age of 18 is deemed to be a vulnerable witness and is given the option to give their evidence by a pre-recorded video interview. Although, individuals are able to opt out of this and can provide their evidence in court if they wish. Within this case, myself as the OIC had a discussion with the witness and discussed this option and provide them in detail of how the video interview would proceed to which the witness agreed to. </w:t>
      </w:r>
    </w:p>
    <w:p w14:paraId="748C2E88" w14:textId="77777777" w:rsidR="003132AF" w:rsidRPr="00180ADD" w:rsidRDefault="003132AF" w:rsidP="003132AF">
      <w:pPr>
        <w:ind w:right="237"/>
        <w:jc w:val="both"/>
        <w:rPr>
          <w:color w:val="auto"/>
        </w:rPr>
      </w:pPr>
    </w:p>
    <w:p w14:paraId="40E209BF" w14:textId="4D882900" w:rsidR="003132AF" w:rsidRPr="00180ADD" w:rsidRDefault="003132AF" w:rsidP="003132AF">
      <w:pPr>
        <w:ind w:right="237"/>
        <w:jc w:val="both"/>
        <w:rPr>
          <w:color w:val="222222"/>
          <w:shd w:val="clear" w:color="auto" w:fill="FFFFFF"/>
        </w:rPr>
      </w:pPr>
      <w:r w:rsidRPr="00180ADD">
        <w:rPr>
          <w:color w:val="auto"/>
        </w:rPr>
        <w:t xml:space="preserve">Davies (2010) conducted research into </w:t>
      </w:r>
      <w:r w:rsidR="00180ADD">
        <w:rPr>
          <w:color w:val="222222"/>
          <w:shd w:val="clear" w:color="auto" w:fill="FFFFFF"/>
        </w:rPr>
        <w:t>s</w:t>
      </w:r>
      <w:r w:rsidRPr="00180ADD">
        <w:rPr>
          <w:color w:val="222222"/>
          <w:shd w:val="clear" w:color="auto" w:fill="FFFFFF"/>
        </w:rPr>
        <w:t xml:space="preserve">afeguarding vulnerable and intimidated witnesses at court and how effective special measures are. Findings illustrated that special measure had assisted in many cases supporting witnesses to tell their story at court via video recorded evidence in chief, although it did highlight that the issues vulnerable and intimidated witnesses experience do not stop at court. It found that there is still worry that witnesses are facing before the court hearing and after the hearing. When reflecting and evaluating the support I had given the witness within this investigation, although the persons needed were met regarding giving evidence and the court procedure, moving forward a consideration would be to link in with the witness to understand any other concerns they may have. In addition, understanding that although special measures are able to support regarding the court procedure are there any other worries they may have and whether as the OIC I can I link in with other external agencies to best support the witness. </w:t>
      </w:r>
    </w:p>
    <w:p w14:paraId="37476D1C" w14:textId="77777777" w:rsidR="0080391C" w:rsidRPr="00180ADD" w:rsidRDefault="0080391C" w:rsidP="003132AF">
      <w:pPr>
        <w:ind w:right="237"/>
        <w:jc w:val="both"/>
        <w:rPr>
          <w:rStyle w:val="Emphasis"/>
          <w:i w:val="0"/>
          <w:iCs w:val="0"/>
          <w:color w:val="222222"/>
          <w:shd w:val="clear" w:color="auto" w:fill="FFFFFF"/>
        </w:rPr>
      </w:pPr>
    </w:p>
    <w:p w14:paraId="3A9CC56B" w14:textId="77777777" w:rsidR="003132AF" w:rsidRPr="00180ADD" w:rsidRDefault="003132AF" w:rsidP="003132AF">
      <w:pPr>
        <w:ind w:right="237"/>
        <w:jc w:val="both"/>
        <w:rPr>
          <w:rFonts w:eastAsia="Arial"/>
          <w:color w:val="000000" w:themeColor="text1"/>
        </w:rPr>
      </w:pPr>
      <w:r w:rsidRPr="00180ADD">
        <w:rPr>
          <w:rFonts w:eastAsia="Arial"/>
          <w:color w:val="000000" w:themeColor="text1"/>
        </w:rPr>
        <w:t xml:space="preserve">To conclude, when reviewing the serious and complex investigation which I was the officer in the case for it is vital to outline the fast-track actions in the initial stage of the investigation in order to prioritise and secure and preserve evidence for the case. Whilst, securing and preserving evidence is key in order to get convictions, ensuring the victim, witness and offenders within the case are supported and safeguarded is paramount. Without the co-operation of victims and witnesses a case can fall through, so it is key to ensure all safeguarding measures are in place for victims and witnesses and that as the OIC exploring all avenues of support measures. In addition, you are linking with third party agencies who can assist with the support and care of the victims and witnesses. </w:t>
      </w:r>
    </w:p>
    <w:p w14:paraId="2B4E7C54" w14:textId="77777777" w:rsidR="003132AF" w:rsidRDefault="003132AF" w:rsidP="003132AF">
      <w:pPr>
        <w:ind w:right="237"/>
        <w:jc w:val="both"/>
        <w:rPr>
          <w:rFonts w:eastAsia="Arial"/>
          <w:b/>
          <w:bCs/>
          <w:color w:val="000000" w:themeColor="text1"/>
          <w:sz w:val="24"/>
          <w:szCs w:val="24"/>
        </w:rPr>
      </w:pPr>
    </w:p>
    <w:p w14:paraId="7D046FEA" w14:textId="77777777" w:rsidR="003132AF" w:rsidRDefault="003132AF" w:rsidP="003132AF">
      <w:pPr>
        <w:ind w:right="237"/>
        <w:jc w:val="both"/>
        <w:rPr>
          <w:rFonts w:eastAsia="Arial"/>
          <w:b/>
          <w:bCs/>
          <w:color w:val="000000" w:themeColor="text1"/>
          <w:sz w:val="24"/>
          <w:szCs w:val="24"/>
        </w:rPr>
      </w:pPr>
    </w:p>
    <w:p w14:paraId="485749D3" w14:textId="77777777" w:rsidR="00B60B44" w:rsidRDefault="00B60B44" w:rsidP="009370AE">
      <w:pPr>
        <w:ind w:right="237"/>
        <w:jc w:val="both"/>
        <w:rPr>
          <w:b/>
          <w:bCs/>
          <w:color w:val="000000" w:themeColor="text1"/>
          <w:sz w:val="28"/>
          <w:szCs w:val="28"/>
        </w:rPr>
      </w:pPr>
    </w:p>
    <w:p w14:paraId="49989C09" w14:textId="77777777" w:rsidR="009370AE" w:rsidRPr="009370AE" w:rsidRDefault="009370AE" w:rsidP="009370AE">
      <w:pPr>
        <w:ind w:right="237"/>
        <w:jc w:val="both"/>
        <w:rPr>
          <w:b/>
          <w:bCs/>
          <w:color w:val="000000" w:themeColor="text1"/>
          <w:sz w:val="28"/>
          <w:szCs w:val="28"/>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354F6301" w:rsidR="0FF883D4" w:rsidRDefault="5CE196A1" w:rsidP="5CE196A1">
      <w:r w:rsidRPr="5CE196A1">
        <w:rPr>
          <w:rFonts w:eastAsia="Arial"/>
          <w:b/>
          <w:bCs/>
          <w:color w:val="000000" w:themeColor="text1"/>
          <w:sz w:val="24"/>
          <w:szCs w:val="24"/>
        </w:rPr>
        <w:t xml:space="preserve">Signed: </w:t>
      </w:r>
      <w:r w:rsidR="003132AF">
        <w:rPr>
          <w:rFonts w:eastAsia="Arial"/>
          <w:b/>
          <w:bCs/>
          <w:color w:val="000000" w:themeColor="text1"/>
          <w:sz w:val="24"/>
          <w:szCs w:val="24"/>
        </w:rPr>
        <w:t>Mollie Jenkins</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ABFA3DA" w:rsidR="0FF883D4" w:rsidRDefault="5CE196A1" w:rsidP="5CE196A1">
      <w:r w:rsidRPr="5CE196A1">
        <w:rPr>
          <w:rFonts w:eastAsia="Arial"/>
          <w:b/>
          <w:bCs/>
          <w:color w:val="000000" w:themeColor="text1"/>
          <w:sz w:val="24"/>
          <w:szCs w:val="24"/>
        </w:rPr>
        <w:t>Date:</w:t>
      </w:r>
      <w:r w:rsidR="003132AF">
        <w:rPr>
          <w:rFonts w:eastAsia="Arial"/>
          <w:b/>
          <w:bCs/>
          <w:color w:val="000000" w:themeColor="text1"/>
          <w:sz w:val="24"/>
          <w:szCs w:val="24"/>
        </w:rPr>
        <w:t xml:space="preserve"> 29/04/2024</w:t>
      </w:r>
    </w:p>
    <w:p w14:paraId="624E3C8B" w14:textId="77777777" w:rsidR="0FF883D4" w:rsidRDefault="0FF883D4" w:rsidP="003132AF">
      <w:pPr>
        <w:ind w:right="225"/>
        <w:rPr>
          <w:b/>
          <w:bCs/>
          <w:sz w:val="24"/>
          <w:szCs w:val="24"/>
          <w:lang w:eastAsia="zh-TW"/>
        </w:rPr>
      </w:pPr>
    </w:p>
    <w:p w14:paraId="482B2B3A" w14:textId="58CD1802" w:rsidR="003132AF" w:rsidRDefault="003132AF" w:rsidP="003132AF">
      <w:pPr>
        <w:ind w:right="225"/>
        <w:rPr>
          <w:b/>
          <w:bCs/>
          <w:sz w:val="24"/>
          <w:szCs w:val="24"/>
          <w:lang w:eastAsia="zh-TW"/>
        </w:rPr>
        <w:sectPr w:rsidR="003132AF"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56A96787" w14:textId="77777777" w:rsidR="003132AF" w:rsidRPr="00AB0382" w:rsidRDefault="003132AF" w:rsidP="003132AF">
      <w:pPr>
        <w:shd w:val="clear" w:color="auto" w:fill="FFFFFF"/>
        <w:overflowPunct/>
        <w:autoSpaceDE/>
        <w:autoSpaceDN/>
        <w:adjustRightInd/>
        <w:spacing w:before="100" w:beforeAutospacing="1" w:after="100" w:afterAutospacing="1"/>
        <w:textAlignment w:val="auto"/>
      </w:pPr>
    </w:p>
    <w:p w14:paraId="3BF59649" w14:textId="77777777" w:rsidR="003132AF" w:rsidRPr="00AB0382" w:rsidRDefault="003132AF" w:rsidP="003132AF">
      <w:pPr>
        <w:shd w:val="clear" w:color="auto" w:fill="FFFFFF"/>
        <w:overflowPunct/>
        <w:autoSpaceDE/>
        <w:autoSpaceDN/>
        <w:adjustRightInd/>
        <w:spacing w:before="100" w:beforeAutospacing="1" w:after="100" w:afterAutospacing="1"/>
        <w:textAlignment w:val="auto"/>
      </w:pPr>
      <w:r w:rsidRPr="00AB0382">
        <w:t xml:space="preserve">Burton., M, Evans., R and Sander., A (2006) </w:t>
      </w:r>
      <w:r w:rsidRPr="00AB0382">
        <w:rPr>
          <w:i/>
          <w:iCs/>
        </w:rPr>
        <w:t xml:space="preserve">Are special measures for vulnerable and intimidated witnesses working? Evidence from criminal justice agencies. </w:t>
      </w:r>
      <w:r w:rsidRPr="00AB0382">
        <w:t xml:space="preserve">Home Office. Available at: </w:t>
      </w:r>
      <w:hyperlink r:id="rId21" w:history="1">
        <w:r w:rsidRPr="00AB0382">
          <w:rPr>
            <w:rStyle w:val="Hyperlink"/>
          </w:rPr>
          <w:t>https://citeseerx.ist.p</w:t>
        </w:r>
        <w:r w:rsidRPr="00AB0382">
          <w:rPr>
            <w:rStyle w:val="Hyperlink"/>
          </w:rPr>
          <w:t>s</w:t>
        </w:r>
        <w:r w:rsidRPr="00AB0382">
          <w:rPr>
            <w:rStyle w:val="Hyperlink"/>
          </w:rPr>
          <w:t>u.edu/document?repid=rep1&amp;type=pdf&amp;doi=0f4904e7bce5d337da7cb2e776e32e8c294c1e4a</w:t>
        </w:r>
      </w:hyperlink>
      <w:r w:rsidRPr="00AB0382">
        <w:t xml:space="preserve"> (Accessed: 4</w:t>
      </w:r>
      <w:r w:rsidRPr="00AB0382">
        <w:rPr>
          <w:vertAlign w:val="superscript"/>
        </w:rPr>
        <w:t>th</w:t>
      </w:r>
      <w:r w:rsidRPr="00AB0382">
        <w:t xml:space="preserve"> April 2024)</w:t>
      </w:r>
    </w:p>
    <w:p w14:paraId="57934C1B" w14:textId="77777777" w:rsidR="003132AF" w:rsidRPr="00AB0382" w:rsidRDefault="003132AF" w:rsidP="003132AF">
      <w:pPr>
        <w:shd w:val="clear" w:color="auto" w:fill="FFFFFF"/>
        <w:overflowPunct/>
        <w:autoSpaceDE/>
        <w:autoSpaceDN/>
        <w:adjustRightInd/>
        <w:spacing w:before="100" w:beforeAutospacing="1" w:after="100" w:afterAutospacing="1"/>
        <w:textAlignment w:val="auto"/>
      </w:pPr>
    </w:p>
    <w:p w14:paraId="48DB7CA1" w14:textId="77777777" w:rsidR="003132AF" w:rsidRPr="00AB0382" w:rsidRDefault="003132AF" w:rsidP="003132AF">
      <w:pPr>
        <w:shd w:val="clear" w:color="auto" w:fill="FFFFFF"/>
        <w:overflowPunct/>
        <w:autoSpaceDE/>
        <w:autoSpaceDN/>
        <w:adjustRightInd/>
        <w:spacing w:before="100" w:beforeAutospacing="1" w:after="100" w:afterAutospacing="1"/>
        <w:textAlignment w:val="auto"/>
      </w:pPr>
      <w:r w:rsidRPr="00AB0382">
        <w:t xml:space="preserve">Barrett, EC &amp; Hamilton-Giachritsis, C 2013, 'The victim as a means to an end: detective decision making in a simulated investigation of attempted rape', Journal of Investigative Psychology and Offender Profiling, vol. 10, no. 2, pp. 200-218. Available at: </w:t>
      </w:r>
      <w:hyperlink r:id="rId22" w:history="1">
        <w:r w:rsidRPr="00AB0382">
          <w:rPr>
            <w:rStyle w:val="Hyperlink"/>
          </w:rPr>
          <w:t>https://purehost.bath.ac.uk/ws/portalfiles/portal/145648484/A_Means_to_an_End_Revision_Oct_2012.pdf</w:t>
        </w:r>
      </w:hyperlink>
      <w:r w:rsidRPr="00AB0382">
        <w:t xml:space="preserve"> (Accessed: 4</w:t>
      </w:r>
      <w:r w:rsidRPr="00AB0382">
        <w:rPr>
          <w:vertAlign w:val="superscript"/>
        </w:rPr>
        <w:t>th</w:t>
      </w:r>
      <w:r w:rsidRPr="00AB0382">
        <w:t xml:space="preserve"> April 2024)</w:t>
      </w:r>
    </w:p>
    <w:p w14:paraId="2748F7A5" w14:textId="77777777" w:rsidR="003132AF" w:rsidRDefault="003132AF" w:rsidP="003132AF">
      <w:pPr>
        <w:shd w:val="clear" w:color="auto" w:fill="FFFFFF"/>
        <w:overflowPunct/>
        <w:autoSpaceDE/>
        <w:autoSpaceDN/>
        <w:adjustRightInd/>
        <w:spacing w:before="100" w:beforeAutospacing="1" w:after="100" w:afterAutospacing="1"/>
        <w:textAlignment w:val="auto"/>
      </w:pPr>
    </w:p>
    <w:p w14:paraId="58FD3AE2" w14:textId="77777777" w:rsidR="003132AF" w:rsidRDefault="003132AF" w:rsidP="003132AF">
      <w:pPr>
        <w:ind w:right="237"/>
        <w:jc w:val="both"/>
        <w:rPr>
          <w:color w:val="auto"/>
          <w:spacing w:val="3"/>
          <w:sz w:val="24"/>
          <w:szCs w:val="24"/>
        </w:rPr>
      </w:pPr>
    </w:p>
    <w:p w14:paraId="05C8C3C3" w14:textId="77777777" w:rsidR="003132AF" w:rsidRPr="00921DC5" w:rsidRDefault="003132AF" w:rsidP="003132AF">
      <w:pPr>
        <w:rPr>
          <w:color w:val="auto"/>
        </w:rPr>
      </w:pPr>
      <w:r w:rsidRPr="00921DC5">
        <w:t xml:space="preserve">College of Policing., (2020) </w:t>
      </w:r>
      <w:r w:rsidRPr="00921DC5">
        <w:rPr>
          <w:i/>
          <w:iCs/>
        </w:rPr>
        <w:t>House-to-house enquiries</w:t>
      </w:r>
      <w:r w:rsidRPr="00921DC5">
        <w:t xml:space="preserve">. Available at: </w:t>
      </w:r>
      <w:hyperlink r:id="rId23" w:history="1">
        <w:r w:rsidRPr="00921DC5">
          <w:rPr>
            <w:rStyle w:val="Hyperlink"/>
          </w:rPr>
          <w:t>https://www.app.college.police.uk/app-content/investigations/investigative-strategies/house-to-house-enquiries</w:t>
        </w:r>
      </w:hyperlink>
      <w:r w:rsidRPr="00921DC5">
        <w:t xml:space="preserve"> (Accessed: 1st April 2024). </w:t>
      </w:r>
    </w:p>
    <w:p w14:paraId="020ACEEF" w14:textId="77777777" w:rsidR="003132AF" w:rsidRPr="00921DC5" w:rsidRDefault="003132AF" w:rsidP="003132AF">
      <w:pPr>
        <w:ind w:right="237"/>
        <w:jc w:val="both"/>
      </w:pPr>
    </w:p>
    <w:p w14:paraId="73B1580D" w14:textId="77777777" w:rsidR="003132AF" w:rsidRPr="00921DC5" w:rsidRDefault="003132AF" w:rsidP="003132AF">
      <w:pPr>
        <w:ind w:right="237"/>
        <w:jc w:val="both"/>
      </w:pPr>
    </w:p>
    <w:p w14:paraId="758BD186" w14:textId="77777777" w:rsidR="003132AF" w:rsidRPr="00921DC5" w:rsidRDefault="003132AF" w:rsidP="003132AF">
      <w:pPr>
        <w:ind w:right="237"/>
        <w:jc w:val="both"/>
      </w:pPr>
    </w:p>
    <w:p w14:paraId="0FF1FAB1" w14:textId="77777777" w:rsidR="003132AF" w:rsidRPr="00921DC5" w:rsidRDefault="003132AF" w:rsidP="003132AF">
      <w:pPr>
        <w:ind w:right="237"/>
        <w:jc w:val="both"/>
      </w:pPr>
      <w:r w:rsidRPr="00921DC5">
        <w:t xml:space="preserve">College of Policing., (2024) </w:t>
      </w:r>
      <w:r w:rsidRPr="00921DC5">
        <w:rPr>
          <w:i/>
          <w:iCs/>
        </w:rPr>
        <w:t>Response</w:t>
      </w:r>
      <w:r w:rsidRPr="00921DC5">
        <w:t xml:space="preserve">. Available at: </w:t>
      </w:r>
      <w:hyperlink r:id="rId24" w:anchor="first-officer-at-scene-9c59e058-f233-48ab-be27-e18881889d03" w:history="1">
        <w:r w:rsidRPr="00921DC5">
          <w:rPr>
            <w:rStyle w:val="Hyperlink"/>
          </w:rPr>
          <w:t>https://www.college.police.uk/app/civil-emergencies/civil-contingencies/response#first-officer-at-scene-9c59e058-f233-48ab-be27-e18881889d03</w:t>
        </w:r>
      </w:hyperlink>
      <w:r w:rsidRPr="00921DC5">
        <w:t xml:space="preserve"> (Accessed: 1</w:t>
      </w:r>
      <w:r w:rsidRPr="00921DC5">
        <w:rPr>
          <w:vertAlign w:val="superscript"/>
        </w:rPr>
        <w:t>st</w:t>
      </w:r>
      <w:r w:rsidRPr="00921DC5">
        <w:t xml:space="preserve"> April 2024).</w:t>
      </w:r>
    </w:p>
    <w:p w14:paraId="512B1943" w14:textId="77777777" w:rsidR="003132AF" w:rsidRPr="00921DC5" w:rsidRDefault="003132AF" w:rsidP="003132AF">
      <w:pPr>
        <w:ind w:right="237"/>
        <w:jc w:val="both"/>
      </w:pPr>
    </w:p>
    <w:p w14:paraId="7D750BAF" w14:textId="77777777" w:rsidR="003132AF" w:rsidRPr="00921DC5" w:rsidRDefault="003132AF" w:rsidP="003132AF">
      <w:pPr>
        <w:ind w:right="237"/>
        <w:jc w:val="both"/>
        <w:rPr>
          <w:rStyle w:val="Emphasis"/>
          <w:i w:val="0"/>
          <w:iCs w:val="0"/>
        </w:rPr>
      </w:pPr>
    </w:p>
    <w:p w14:paraId="0E4E2B71" w14:textId="77777777" w:rsidR="003132AF" w:rsidRPr="00921DC5" w:rsidRDefault="003132AF" w:rsidP="003132AF">
      <w:pPr>
        <w:ind w:right="237"/>
        <w:jc w:val="both"/>
        <w:rPr>
          <w:color w:val="222222"/>
          <w:shd w:val="clear" w:color="auto" w:fill="FFFFFF"/>
        </w:rPr>
      </w:pPr>
      <w:r w:rsidRPr="00921DC5">
        <w:rPr>
          <w:color w:val="222222"/>
          <w:shd w:val="clear" w:color="auto" w:fill="FFFFFF"/>
        </w:rPr>
        <w:t>Davies, G.M., (2010). Safeguarding vulnerable and intimidated witnesses at court: are the ‘special measures’ working? In </w:t>
      </w:r>
      <w:r w:rsidRPr="00921DC5">
        <w:rPr>
          <w:i/>
          <w:iCs/>
          <w:color w:val="222222"/>
          <w:shd w:val="clear" w:color="auto" w:fill="FFFFFF"/>
        </w:rPr>
        <w:t>Forensic Psychology</w:t>
      </w:r>
      <w:r w:rsidRPr="00921DC5">
        <w:rPr>
          <w:color w:val="222222"/>
          <w:shd w:val="clear" w:color="auto" w:fill="FFFFFF"/>
        </w:rPr>
        <w:t> (pp. 213-230). Willan.</w:t>
      </w:r>
    </w:p>
    <w:p w14:paraId="67E5530F" w14:textId="77777777" w:rsidR="003132AF" w:rsidRPr="00921DC5" w:rsidRDefault="003132AF" w:rsidP="003132AF">
      <w:pPr>
        <w:ind w:right="237"/>
        <w:jc w:val="both"/>
      </w:pPr>
    </w:p>
    <w:p w14:paraId="5BABC388" w14:textId="77777777" w:rsidR="003132AF" w:rsidRPr="00AB0382" w:rsidRDefault="003132AF" w:rsidP="003132AF">
      <w:pPr>
        <w:shd w:val="clear" w:color="auto" w:fill="FFFFFF"/>
        <w:overflowPunct/>
        <w:autoSpaceDE/>
        <w:autoSpaceDN/>
        <w:adjustRightInd/>
        <w:spacing w:before="100" w:beforeAutospacing="1" w:after="100" w:afterAutospacing="1"/>
        <w:textAlignment w:val="auto"/>
      </w:pPr>
    </w:p>
    <w:p w14:paraId="35512F89" w14:textId="77777777" w:rsidR="003132AF" w:rsidRDefault="003132AF" w:rsidP="003132AF">
      <w:pPr>
        <w:shd w:val="clear" w:color="auto" w:fill="FFFFFF"/>
        <w:overflowPunct/>
        <w:autoSpaceDE/>
        <w:autoSpaceDN/>
        <w:adjustRightInd/>
        <w:spacing w:before="100" w:beforeAutospacing="1" w:after="100" w:afterAutospacing="1"/>
        <w:textAlignment w:val="auto"/>
      </w:pPr>
      <w:r w:rsidRPr="00AB0382">
        <w:t>Davies, G. (1999) ‘The impact of television on the presentation and reception of children’s testimony.’ International Journal of Law and Psychiatry, 22, 241-256.</w:t>
      </w:r>
    </w:p>
    <w:p w14:paraId="2B5345D6" w14:textId="77777777" w:rsidR="003132AF" w:rsidRPr="00AB0382" w:rsidRDefault="003132AF" w:rsidP="003132AF">
      <w:pPr>
        <w:shd w:val="clear" w:color="auto" w:fill="FFFFFF"/>
        <w:overflowPunct/>
        <w:autoSpaceDE/>
        <w:autoSpaceDN/>
        <w:adjustRightInd/>
        <w:spacing w:before="100" w:beforeAutospacing="1" w:after="100" w:afterAutospacing="1"/>
        <w:textAlignment w:val="auto"/>
      </w:pPr>
    </w:p>
    <w:p w14:paraId="06997643" w14:textId="77777777" w:rsidR="003132AF" w:rsidRPr="00AB0382" w:rsidRDefault="003132AF" w:rsidP="003132AF"/>
    <w:p w14:paraId="485A9380" w14:textId="77777777" w:rsidR="003132AF" w:rsidRDefault="003132AF" w:rsidP="003132AF">
      <w:r w:rsidRPr="00AB0382">
        <w:t>King MS (2008) Restorative justice, therapeutic jurisprudence and the rise of emotionally intelligent justice. Melbourne University Law Review 32: 1096–1126.</w:t>
      </w:r>
    </w:p>
    <w:p w14:paraId="1B391961" w14:textId="77777777" w:rsidR="003132AF" w:rsidRDefault="003132AF" w:rsidP="003132AF"/>
    <w:p w14:paraId="05DD73F9" w14:textId="77777777" w:rsidR="003132AF" w:rsidRDefault="003132AF" w:rsidP="003132AF"/>
    <w:p w14:paraId="0F4D4C2A" w14:textId="77777777" w:rsidR="003132AF" w:rsidRPr="00921DC5" w:rsidRDefault="003132AF" w:rsidP="003132AF">
      <w:pPr>
        <w:ind w:right="237"/>
        <w:jc w:val="both"/>
      </w:pPr>
    </w:p>
    <w:p w14:paraId="236F9950" w14:textId="77777777" w:rsidR="003132AF" w:rsidRPr="00921DC5" w:rsidRDefault="003132AF" w:rsidP="003132AF">
      <w:pPr>
        <w:ind w:right="237"/>
        <w:jc w:val="both"/>
        <w:rPr>
          <w:color w:val="222222"/>
          <w:shd w:val="clear" w:color="auto" w:fill="FFFFFF"/>
        </w:rPr>
      </w:pPr>
      <w:r w:rsidRPr="00921DC5">
        <w:rPr>
          <w:color w:val="222222"/>
          <w:shd w:val="clear" w:color="auto" w:fill="FFFFFF"/>
        </w:rPr>
        <w:t>Metson, J. and Willmott, D., (2024). Victim Care or Defendant Rights? Assessing Public Attitudes towards Special Measures Designed to Support Vulnerable Witnesses at Trial. </w:t>
      </w:r>
      <w:r w:rsidRPr="00921DC5">
        <w:rPr>
          <w:i/>
          <w:iCs/>
          <w:color w:val="222222"/>
          <w:shd w:val="clear" w:color="auto" w:fill="FFFFFF"/>
        </w:rPr>
        <w:t>Social Sciences</w:t>
      </w:r>
      <w:r w:rsidRPr="00921DC5">
        <w:rPr>
          <w:color w:val="222222"/>
          <w:shd w:val="clear" w:color="auto" w:fill="FFFFFF"/>
        </w:rPr>
        <w:t>, </w:t>
      </w:r>
      <w:r w:rsidRPr="00921DC5">
        <w:rPr>
          <w:i/>
          <w:iCs/>
          <w:color w:val="222222"/>
          <w:shd w:val="clear" w:color="auto" w:fill="FFFFFF"/>
        </w:rPr>
        <w:t>13</w:t>
      </w:r>
      <w:r w:rsidRPr="00921DC5">
        <w:rPr>
          <w:color w:val="222222"/>
          <w:shd w:val="clear" w:color="auto" w:fill="FFFFFF"/>
        </w:rPr>
        <w:t xml:space="preserve">(4), p.198. </w:t>
      </w:r>
    </w:p>
    <w:p w14:paraId="0B59526E" w14:textId="77777777" w:rsidR="003132AF" w:rsidRPr="00921DC5" w:rsidRDefault="003132AF" w:rsidP="003132AF">
      <w:pPr>
        <w:ind w:right="237"/>
        <w:jc w:val="both"/>
        <w:rPr>
          <w:rStyle w:val="Emphasis"/>
          <w:i w:val="0"/>
          <w:iCs w:val="0"/>
        </w:rPr>
      </w:pPr>
    </w:p>
    <w:p w14:paraId="7CBBFA8F" w14:textId="77777777" w:rsidR="003132AF" w:rsidRPr="00921DC5" w:rsidRDefault="003132AF" w:rsidP="003132AF">
      <w:pPr>
        <w:ind w:right="237"/>
        <w:rPr>
          <w:color w:val="222222"/>
          <w:shd w:val="clear" w:color="auto" w:fill="FFFFFF"/>
        </w:rPr>
      </w:pPr>
      <w:r w:rsidRPr="00921DC5">
        <w:rPr>
          <w:color w:val="222222"/>
          <w:shd w:val="clear" w:color="auto" w:fill="FFFFFF"/>
        </w:rPr>
        <w:t>Miller, M.T., (2002). Crime scene investigation. In </w:t>
      </w:r>
      <w:r w:rsidRPr="00921DC5">
        <w:rPr>
          <w:i/>
          <w:iCs/>
          <w:color w:val="222222"/>
          <w:shd w:val="clear" w:color="auto" w:fill="FFFFFF"/>
        </w:rPr>
        <w:t>Forensic science</w:t>
      </w:r>
      <w:r w:rsidRPr="00921DC5">
        <w:rPr>
          <w:color w:val="222222"/>
          <w:shd w:val="clear" w:color="auto" w:fill="FFFFFF"/>
        </w:rPr>
        <w:t> (pp. 143-164). CRC Press.</w:t>
      </w:r>
    </w:p>
    <w:p w14:paraId="52882D6B" w14:textId="77777777" w:rsidR="003132AF" w:rsidRPr="00921DC5" w:rsidRDefault="003132AF" w:rsidP="003132AF">
      <w:pPr>
        <w:ind w:right="237"/>
        <w:rPr>
          <w:color w:val="222222"/>
          <w:shd w:val="clear" w:color="auto" w:fill="FFFFFF"/>
        </w:rPr>
      </w:pPr>
    </w:p>
    <w:p w14:paraId="4D434A3F" w14:textId="77777777" w:rsidR="003132AF" w:rsidRPr="00921DC5" w:rsidRDefault="003132AF" w:rsidP="003132AF"/>
    <w:p w14:paraId="29842DB4" w14:textId="77777777" w:rsidR="003132AF" w:rsidRPr="00921DC5" w:rsidRDefault="003132AF" w:rsidP="003132AF">
      <w:r w:rsidRPr="00921DC5">
        <w:t xml:space="preserve">Ministry of Justice., (2023) </w:t>
      </w:r>
      <w:r w:rsidRPr="00921DC5">
        <w:rPr>
          <w:i/>
          <w:iCs/>
        </w:rPr>
        <w:t>Victim Personal Statement.</w:t>
      </w:r>
      <w:r w:rsidRPr="00921DC5">
        <w:t xml:space="preserve"> Available at: </w:t>
      </w:r>
      <w:hyperlink r:id="rId25" w:history="1">
        <w:r w:rsidRPr="00921DC5">
          <w:rPr>
            <w:rStyle w:val="Hyperlink"/>
          </w:rPr>
          <w:t>https://www.gov.uk/government/publications/victim-personal-statement</w:t>
        </w:r>
      </w:hyperlink>
      <w:r w:rsidRPr="00921DC5">
        <w:t xml:space="preserve"> (Accessed: 2</w:t>
      </w:r>
      <w:r w:rsidRPr="00921DC5">
        <w:rPr>
          <w:vertAlign w:val="superscript"/>
        </w:rPr>
        <w:t>nd</w:t>
      </w:r>
      <w:r w:rsidRPr="00921DC5">
        <w:t xml:space="preserve"> April 2024).</w:t>
      </w:r>
    </w:p>
    <w:p w14:paraId="512EE67E" w14:textId="77777777" w:rsidR="003132AF" w:rsidRPr="00AB0382" w:rsidRDefault="003132AF" w:rsidP="003132AF"/>
    <w:p w14:paraId="55D960F4" w14:textId="77777777" w:rsidR="003132AF" w:rsidRPr="00AB0382" w:rsidRDefault="003132AF" w:rsidP="003132AF"/>
    <w:p w14:paraId="0F69471C" w14:textId="77777777" w:rsidR="003132AF" w:rsidRDefault="003132AF" w:rsidP="003132AF">
      <w:r w:rsidRPr="00AB0382">
        <w:t xml:space="preserve">Ost, S. and Gillespie, A.A. (2023) ‘Disclosure to unknowing victims in criminal justice investigations: Questions of vulnerability, ethics and practice’, </w:t>
      </w:r>
      <w:r w:rsidRPr="00AB0382">
        <w:rPr>
          <w:i/>
          <w:iCs/>
        </w:rPr>
        <w:t>International Journal of Police Science &amp;amp; Management</w:t>
      </w:r>
      <w:r w:rsidRPr="00AB0382">
        <w:t xml:space="preserve">, 26(1), pp. 25–36. </w:t>
      </w:r>
    </w:p>
    <w:p w14:paraId="2C6FB477" w14:textId="77777777" w:rsidR="003132AF" w:rsidRDefault="003132AF" w:rsidP="003132AF"/>
    <w:p w14:paraId="7B91DD15" w14:textId="77777777" w:rsidR="003132AF" w:rsidRPr="00921DC5" w:rsidRDefault="003132AF" w:rsidP="003132AF">
      <w:pPr>
        <w:ind w:right="237"/>
        <w:jc w:val="both"/>
        <w:rPr>
          <w:color w:val="222222"/>
          <w:shd w:val="clear" w:color="auto" w:fill="FFFFFF"/>
        </w:rPr>
      </w:pPr>
    </w:p>
    <w:p w14:paraId="25DB5A3A" w14:textId="77777777" w:rsidR="003132AF" w:rsidRPr="00921DC5" w:rsidRDefault="003132AF" w:rsidP="003132AF">
      <w:pPr>
        <w:ind w:right="237"/>
        <w:jc w:val="both"/>
        <w:rPr>
          <w:color w:val="auto"/>
          <w:spacing w:val="3"/>
        </w:rPr>
      </w:pPr>
      <w:r w:rsidRPr="00921DC5">
        <w:rPr>
          <w:color w:val="auto"/>
          <w:spacing w:val="3"/>
        </w:rPr>
        <w:t>Piza, E. L., Welsh, B. C., Farrington, D. P., &amp; Thomas, A. L. (2019) '</w:t>
      </w:r>
      <w:hyperlink r:id="rId26" w:history="1">
        <w:r w:rsidRPr="00921DC5">
          <w:rPr>
            <w:rStyle w:val="Hyperlink"/>
            <w:color w:val="auto"/>
            <w:spacing w:val="3"/>
          </w:rPr>
          <w:t>CCTV surveillance for crime prevention: A 40</w:t>
        </w:r>
        <w:r w:rsidRPr="00921DC5">
          <w:rPr>
            <w:rStyle w:val="Hyperlink"/>
            <w:rFonts w:ascii="Cambria Math" w:hAnsi="Cambria Math" w:cs="Cambria Math"/>
            <w:color w:val="auto"/>
            <w:spacing w:val="3"/>
          </w:rPr>
          <w:t>‐</w:t>
        </w:r>
        <w:r w:rsidRPr="00921DC5">
          <w:rPr>
            <w:rStyle w:val="Hyperlink"/>
            <w:color w:val="auto"/>
            <w:spacing w:val="3"/>
          </w:rPr>
          <w:t>year systematic review with meta</w:t>
        </w:r>
        <w:r w:rsidRPr="00921DC5">
          <w:rPr>
            <w:rStyle w:val="Hyperlink"/>
            <w:rFonts w:ascii="Cambria Math" w:hAnsi="Cambria Math" w:cs="Cambria Math"/>
            <w:color w:val="auto"/>
            <w:spacing w:val="3"/>
          </w:rPr>
          <w:t>‐</w:t>
        </w:r>
        <w:r w:rsidRPr="00921DC5">
          <w:rPr>
            <w:rStyle w:val="Hyperlink"/>
            <w:color w:val="auto"/>
            <w:spacing w:val="3"/>
          </w:rPr>
          <w:t>analysis'</w:t>
        </w:r>
        <w:r w:rsidRPr="00921DC5">
          <w:rPr>
            <w:rStyle w:val="visually-hidden"/>
            <w:color w:val="auto"/>
            <w:spacing w:val="3"/>
          </w:rPr>
          <w:t>(opens an external website in the same tab)</w:t>
        </w:r>
      </w:hyperlink>
      <w:r w:rsidRPr="00921DC5">
        <w:rPr>
          <w:color w:val="auto"/>
          <w:spacing w:val="3"/>
        </w:rPr>
        <w:t>, Criminology &amp; Public Policy, 18(1), 135-159. </w:t>
      </w:r>
    </w:p>
    <w:p w14:paraId="6B21369D" w14:textId="77777777" w:rsidR="003132AF" w:rsidRPr="00921DC5" w:rsidRDefault="003132AF" w:rsidP="003132AF">
      <w:pPr>
        <w:ind w:right="237"/>
        <w:jc w:val="both"/>
        <w:rPr>
          <w:color w:val="auto"/>
          <w:spacing w:val="3"/>
        </w:rPr>
      </w:pPr>
    </w:p>
    <w:p w14:paraId="2934FD51" w14:textId="77777777" w:rsidR="003132AF" w:rsidRPr="00AB0382" w:rsidRDefault="003132AF" w:rsidP="003132AF">
      <w:pPr>
        <w:rPr>
          <w:color w:val="auto"/>
        </w:rPr>
      </w:pPr>
    </w:p>
    <w:p w14:paraId="54D9C82D" w14:textId="77777777" w:rsidR="003132AF" w:rsidRPr="00AB0382" w:rsidRDefault="003132AF" w:rsidP="003132AF"/>
    <w:p w14:paraId="41E1395E" w14:textId="77777777" w:rsidR="003132AF" w:rsidRDefault="003132AF" w:rsidP="003132AF">
      <w:r w:rsidRPr="00AB0382">
        <w:t>Risan P, Binder P-E and Milne RJ (2017) Establishing and maintaining rapport in investigative interviews of traumatized victims: a qualitative study. Policing: A Journal of Policy and Practice 12(4): 372–287</w:t>
      </w:r>
    </w:p>
    <w:p w14:paraId="6544CE90" w14:textId="77777777" w:rsidR="003132AF" w:rsidRDefault="003132AF" w:rsidP="003132AF"/>
    <w:p w14:paraId="16CD3DC5" w14:textId="77777777" w:rsidR="003132AF" w:rsidRDefault="003132AF" w:rsidP="003132AF"/>
    <w:p w14:paraId="3008BAA6" w14:textId="77777777" w:rsidR="003132AF" w:rsidRPr="00AB0382" w:rsidRDefault="003132AF" w:rsidP="003132AF"/>
    <w:p w14:paraId="7862AEE0" w14:textId="77777777" w:rsidR="003132AF" w:rsidRDefault="003132AF" w:rsidP="003132AF">
      <w:pPr>
        <w:pStyle w:val="NormalWeb"/>
        <w:rPr>
          <w:rFonts w:ascii="Arial" w:hAnsi="Arial" w:cs="Arial"/>
          <w:sz w:val="20"/>
          <w:szCs w:val="20"/>
        </w:rPr>
      </w:pPr>
      <w:r w:rsidRPr="00AB0382">
        <w:rPr>
          <w:rFonts w:ascii="Arial" w:hAnsi="Arial" w:cs="Arial"/>
          <w:sz w:val="20"/>
          <w:szCs w:val="20"/>
        </w:rPr>
        <w:t xml:space="preserve">Sentencing Council. (2024) </w:t>
      </w:r>
      <w:r w:rsidRPr="00AB0382">
        <w:rPr>
          <w:rFonts w:ascii="Arial" w:hAnsi="Arial" w:cs="Arial"/>
          <w:i/>
          <w:iCs/>
          <w:sz w:val="20"/>
          <w:szCs w:val="20"/>
        </w:rPr>
        <w:t>Sexual Harm Prevention Orders</w:t>
      </w:r>
      <w:r w:rsidRPr="00AB0382">
        <w:rPr>
          <w:rFonts w:ascii="Arial" w:hAnsi="Arial" w:cs="Arial"/>
          <w:sz w:val="20"/>
          <w:szCs w:val="20"/>
        </w:rPr>
        <w:t xml:space="preserve">. Available at: https://www.sentencingcouncil.org.uk/explanatory-material/magistrates-court/item/ancillary-orders/22-sexual-harm-prevention-orders/ (Accessed: 11 April 2024). </w:t>
      </w:r>
    </w:p>
    <w:p w14:paraId="03AB37E8" w14:textId="77777777" w:rsidR="003132AF" w:rsidRDefault="003132AF" w:rsidP="003132AF">
      <w:pPr>
        <w:pStyle w:val="NormalWeb"/>
        <w:rPr>
          <w:rFonts w:ascii="Arial" w:hAnsi="Arial" w:cs="Arial"/>
          <w:sz w:val="20"/>
          <w:szCs w:val="20"/>
        </w:rPr>
      </w:pPr>
    </w:p>
    <w:p w14:paraId="6234C994" w14:textId="77777777" w:rsidR="003132AF" w:rsidRPr="00921DC5" w:rsidRDefault="003132AF" w:rsidP="003132AF">
      <w:r w:rsidRPr="00921DC5">
        <w:t xml:space="preserve">South Wales Police., (2024) </w:t>
      </w:r>
      <w:r w:rsidRPr="00921DC5">
        <w:rPr>
          <w:i/>
          <w:iCs/>
        </w:rPr>
        <w:t>Support for victims and witnesses of crime</w:t>
      </w:r>
      <w:r w:rsidRPr="00921DC5">
        <w:t xml:space="preserve">. Available at: </w:t>
      </w:r>
      <w:hyperlink r:id="rId27" w:history="1">
        <w:r w:rsidRPr="00921DC5">
          <w:rPr>
            <w:rStyle w:val="Hyperlink"/>
          </w:rPr>
          <w:t>https://www.south-wales.police.uk/advice/advice-and-information/victim-support/victim-witness-support/</w:t>
        </w:r>
      </w:hyperlink>
      <w:r w:rsidRPr="00921DC5">
        <w:t xml:space="preserve"> (Accessed: 3</w:t>
      </w:r>
      <w:r w:rsidRPr="00921DC5">
        <w:rPr>
          <w:vertAlign w:val="superscript"/>
        </w:rPr>
        <w:t>rd</w:t>
      </w:r>
      <w:r w:rsidRPr="00921DC5">
        <w:t xml:space="preserve"> April 2024).</w:t>
      </w:r>
    </w:p>
    <w:p w14:paraId="1E26172C" w14:textId="77777777" w:rsidR="003132AF" w:rsidRPr="00921DC5" w:rsidRDefault="003132AF" w:rsidP="003132AF">
      <w:pPr>
        <w:ind w:right="237"/>
        <w:jc w:val="both"/>
        <w:rPr>
          <w:color w:val="auto"/>
          <w:spacing w:val="3"/>
        </w:rPr>
      </w:pPr>
    </w:p>
    <w:p w14:paraId="1986529D" w14:textId="77777777" w:rsidR="003132AF" w:rsidRPr="00AB0382" w:rsidRDefault="003132AF" w:rsidP="003132AF">
      <w:pPr>
        <w:pStyle w:val="NormalWeb"/>
        <w:rPr>
          <w:rFonts w:ascii="Arial" w:hAnsi="Arial" w:cs="Arial"/>
          <w:sz w:val="20"/>
          <w:szCs w:val="20"/>
        </w:rPr>
      </w:pPr>
    </w:p>
    <w:p w14:paraId="7CDBBE82" w14:textId="77777777" w:rsidR="003132AF" w:rsidRDefault="003132AF" w:rsidP="003132AF">
      <w:pPr>
        <w:shd w:val="clear" w:color="auto" w:fill="FFFFFF"/>
        <w:overflowPunct/>
        <w:autoSpaceDE/>
        <w:autoSpaceDN/>
        <w:adjustRightInd/>
        <w:spacing w:before="100" w:beforeAutospacing="1" w:after="100" w:afterAutospacing="1"/>
        <w:textAlignment w:val="auto"/>
      </w:pPr>
      <w:r w:rsidRPr="00AB0382">
        <w:t xml:space="preserve">The Crown Prosecution Service., (2023) </w:t>
      </w:r>
      <w:r w:rsidRPr="00AB0382">
        <w:rPr>
          <w:i/>
          <w:iCs/>
        </w:rPr>
        <w:t>Special Measures</w:t>
      </w:r>
      <w:r w:rsidRPr="00AB0382">
        <w:t xml:space="preserve">. Available at: </w:t>
      </w:r>
      <w:hyperlink r:id="rId28" w:history="1">
        <w:r w:rsidRPr="00AB0382">
          <w:rPr>
            <w:rStyle w:val="Hyperlink"/>
          </w:rPr>
          <w:t>https://www.cps.gov.uk/legal-guidance/special-measures</w:t>
        </w:r>
      </w:hyperlink>
      <w:r w:rsidRPr="00AB0382">
        <w:t xml:space="preserve"> (Accessed: 4</w:t>
      </w:r>
      <w:r w:rsidRPr="00AB0382">
        <w:rPr>
          <w:vertAlign w:val="superscript"/>
        </w:rPr>
        <w:t>th</w:t>
      </w:r>
      <w:r w:rsidRPr="00AB0382">
        <w:t xml:space="preserve"> April 2024)</w:t>
      </w:r>
    </w:p>
    <w:p w14:paraId="0F3BEA92" w14:textId="77777777" w:rsidR="003132AF" w:rsidRPr="00AB0382" w:rsidRDefault="003132AF" w:rsidP="003132AF">
      <w:pPr>
        <w:shd w:val="clear" w:color="auto" w:fill="FFFFFF"/>
        <w:overflowPunct/>
        <w:autoSpaceDE/>
        <w:autoSpaceDN/>
        <w:adjustRightInd/>
        <w:spacing w:before="100" w:beforeAutospacing="1" w:after="100" w:afterAutospacing="1"/>
        <w:textAlignment w:val="auto"/>
      </w:pPr>
    </w:p>
    <w:p w14:paraId="15287A3D" w14:textId="77777777" w:rsidR="003132AF" w:rsidRPr="00AB0382" w:rsidRDefault="003132AF" w:rsidP="003132AF">
      <w:pPr>
        <w:shd w:val="clear" w:color="auto" w:fill="FFFFFF"/>
        <w:overflowPunct/>
        <w:autoSpaceDE/>
        <w:autoSpaceDN/>
        <w:adjustRightInd/>
        <w:spacing w:before="100" w:beforeAutospacing="1" w:after="100" w:afterAutospacing="1"/>
        <w:textAlignment w:val="auto"/>
      </w:pPr>
      <w:r w:rsidRPr="00AB0382">
        <w:t xml:space="preserve">Women’s and Girls Network. (2024) </w:t>
      </w:r>
      <w:r w:rsidRPr="00AB0382">
        <w:rPr>
          <w:i/>
          <w:iCs/>
        </w:rPr>
        <w:t>Independent Sexual Violence Advocate.</w:t>
      </w:r>
      <w:r w:rsidRPr="00AB0382">
        <w:t xml:space="preserve"> Available at: </w:t>
      </w:r>
      <w:hyperlink r:id="rId29" w:history="1">
        <w:r w:rsidRPr="00AB0382">
          <w:rPr>
            <w:rStyle w:val="Hyperlink"/>
          </w:rPr>
          <w:t>https://www.wgn.org.uk/our-services/practical-support-and-advocacy/independent-sexual-violence-advocate</w:t>
        </w:r>
      </w:hyperlink>
      <w:r w:rsidRPr="00AB0382">
        <w:t xml:space="preserve"> (Accessed: 4</w:t>
      </w:r>
      <w:r w:rsidRPr="00AB0382">
        <w:rPr>
          <w:vertAlign w:val="superscript"/>
        </w:rPr>
        <w:t>th</w:t>
      </w:r>
      <w:r w:rsidRPr="00AB0382">
        <w:t xml:space="preserve"> April 2024)</w:t>
      </w:r>
    </w:p>
    <w:p w14:paraId="166E2346" w14:textId="725C77D9" w:rsidR="003132AF" w:rsidRPr="003132AF" w:rsidRDefault="003132AF" w:rsidP="003132AF">
      <w:pPr>
        <w:shd w:val="clear" w:color="auto" w:fill="FFFFFF"/>
        <w:overflowPunct/>
        <w:autoSpaceDE/>
        <w:autoSpaceDN/>
        <w:adjustRightInd/>
        <w:spacing w:before="100" w:beforeAutospacing="1" w:after="100" w:afterAutospacing="1"/>
        <w:textAlignment w:val="auto"/>
        <w:rPr>
          <w:rStyle w:val="Emphasis"/>
          <w:i w:val="0"/>
          <w:iCs w:val="0"/>
          <w:color w:val="333333"/>
          <w:sz w:val="16"/>
          <w:szCs w:val="16"/>
        </w:rPr>
      </w:pPr>
    </w:p>
    <w:p w14:paraId="1A4BE3B6" w14:textId="77777777" w:rsidR="003132AF" w:rsidRPr="00921DC5" w:rsidRDefault="003132AF" w:rsidP="003132AF">
      <w:pPr>
        <w:ind w:right="237"/>
        <w:jc w:val="both"/>
      </w:pPr>
    </w:p>
    <w:p w14:paraId="6C6B8831" w14:textId="77777777" w:rsidR="003132AF" w:rsidRDefault="003132AF" w:rsidP="003132AF">
      <w:r w:rsidRPr="00921DC5">
        <w:t xml:space="preserve">Youth Justice and Criminal Evidence Act 1999. (c23). [Online]. London: The National Archives. Available at: </w:t>
      </w:r>
      <w:hyperlink r:id="rId30" w:history="1">
        <w:r w:rsidRPr="00921DC5">
          <w:rPr>
            <w:rStyle w:val="Hyperlink"/>
          </w:rPr>
          <w:t>https://www.legislation.gov.uk/ukpga/1999/23/section/16</w:t>
        </w:r>
      </w:hyperlink>
      <w:r w:rsidRPr="00921DC5">
        <w:t xml:space="preserve">  (Accessed: 3</w:t>
      </w:r>
      <w:r w:rsidRPr="00921DC5">
        <w:rPr>
          <w:vertAlign w:val="superscript"/>
        </w:rPr>
        <w:t>rd</w:t>
      </w:r>
      <w:r w:rsidRPr="00921DC5">
        <w:t xml:space="preserve"> April 2024).</w:t>
      </w:r>
    </w:p>
    <w:p w14:paraId="732E0C63" w14:textId="77777777" w:rsidR="00EF01ED" w:rsidRDefault="00EF01ED" w:rsidP="003132AF"/>
    <w:p w14:paraId="78CC23CB" w14:textId="77777777" w:rsidR="00EF01ED" w:rsidRDefault="00EF01ED" w:rsidP="003132AF"/>
    <w:p w14:paraId="183C6757" w14:textId="77777777" w:rsidR="00EF01ED" w:rsidRDefault="00EF01ED" w:rsidP="003132AF"/>
    <w:p w14:paraId="3D122942" w14:textId="77777777" w:rsidR="00EF01ED" w:rsidRDefault="00EF01ED" w:rsidP="003132AF"/>
    <w:p w14:paraId="46824C66" w14:textId="77777777" w:rsidR="00EF01ED" w:rsidRDefault="00EF01ED" w:rsidP="003132AF"/>
    <w:p w14:paraId="62283C85" w14:textId="77777777" w:rsidR="00EF01ED" w:rsidRDefault="00EF01ED" w:rsidP="003132AF"/>
    <w:p w14:paraId="5F603F40" w14:textId="77777777" w:rsidR="00EF01ED" w:rsidRDefault="00EF01ED" w:rsidP="003132AF"/>
    <w:p w14:paraId="3C70213B" w14:textId="77777777" w:rsidR="00EF01ED" w:rsidRDefault="00EF01ED" w:rsidP="003132AF"/>
    <w:p w14:paraId="0446D4E2" w14:textId="77777777" w:rsidR="00EF01ED" w:rsidRDefault="00EF01ED" w:rsidP="003132AF"/>
    <w:p w14:paraId="373E1A3B" w14:textId="77777777" w:rsidR="00EF01ED" w:rsidRDefault="00EF01ED" w:rsidP="003132AF"/>
    <w:p w14:paraId="483BD139" w14:textId="77777777" w:rsidR="00EF01ED" w:rsidRDefault="00EF01ED" w:rsidP="003132AF"/>
    <w:p w14:paraId="6F50AA87" w14:textId="77777777" w:rsidR="00EF01ED" w:rsidRDefault="00EF01ED" w:rsidP="003132AF"/>
    <w:p w14:paraId="2C0A8AEF" w14:textId="77777777" w:rsidR="00EF01ED" w:rsidRDefault="00EF01ED" w:rsidP="003132AF"/>
    <w:p w14:paraId="1A820966" w14:textId="0A0274D7" w:rsidR="00EF01ED" w:rsidRDefault="00EF01ED" w:rsidP="00EF01ED">
      <w:pPr>
        <w:keepNext/>
        <w:spacing w:before="240" w:after="60"/>
        <w:ind w:right="237"/>
        <w:jc w:val="both"/>
      </w:pPr>
    </w:p>
    <w:sectPr w:rsidR="00EF01E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D746FD" w14:textId="77777777" w:rsidR="0009784E" w:rsidRDefault="0009784E">
      <w:r>
        <w:separator/>
      </w:r>
    </w:p>
  </w:endnote>
  <w:endnote w:type="continuationSeparator" w:id="0">
    <w:p w14:paraId="4D3EB51F" w14:textId="77777777" w:rsidR="0009784E" w:rsidRDefault="00097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0980D" w14:textId="77777777" w:rsidR="0009784E" w:rsidRDefault="0009784E">
      <w:r>
        <w:separator/>
      </w:r>
    </w:p>
  </w:footnote>
  <w:footnote w:type="continuationSeparator" w:id="0">
    <w:p w14:paraId="086C8A19" w14:textId="77777777" w:rsidR="0009784E" w:rsidRDefault="000978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7"/>
  </w:num>
  <w:num w:numId="2" w16cid:durableId="417675724">
    <w:abstractNumId w:val="10"/>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2"/>
  </w:num>
  <w:num w:numId="5" w16cid:durableId="292910358">
    <w:abstractNumId w:val="44"/>
  </w:num>
  <w:num w:numId="6" w16cid:durableId="1535117422">
    <w:abstractNumId w:val="46"/>
  </w:num>
  <w:num w:numId="7" w16cid:durableId="497159976">
    <w:abstractNumId w:val="34"/>
  </w:num>
  <w:num w:numId="8" w16cid:durableId="1969892037">
    <w:abstractNumId w:val="32"/>
  </w:num>
  <w:num w:numId="9" w16cid:durableId="1373725377">
    <w:abstractNumId w:val="29"/>
  </w:num>
  <w:num w:numId="10" w16cid:durableId="825324590">
    <w:abstractNumId w:val="30"/>
  </w:num>
  <w:num w:numId="11" w16cid:durableId="813445957">
    <w:abstractNumId w:val="9"/>
  </w:num>
  <w:num w:numId="12" w16cid:durableId="232394586">
    <w:abstractNumId w:val="33"/>
  </w:num>
  <w:num w:numId="13" w16cid:durableId="1039740215">
    <w:abstractNumId w:val="17"/>
  </w:num>
  <w:num w:numId="14" w16cid:durableId="1170288507">
    <w:abstractNumId w:val="16"/>
  </w:num>
  <w:num w:numId="15" w16cid:durableId="456804283">
    <w:abstractNumId w:val="26"/>
  </w:num>
  <w:num w:numId="16" w16cid:durableId="647825036">
    <w:abstractNumId w:val="7"/>
  </w:num>
  <w:num w:numId="17" w16cid:durableId="431701502">
    <w:abstractNumId w:val="25"/>
  </w:num>
  <w:num w:numId="18" w16cid:durableId="55593141">
    <w:abstractNumId w:val="15"/>
  </w:num>
  <w:num w:numId="19" w16cid:durableId="514465446">
    <w:abstractNumId w:val="13"/>
  </w:num>
  <w:num w:numId="20" w16cid:durableId="49160329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3"/>
  </w:num>
  <w:num w:numId="22" w16cid:durableId="2142264046">
    <w:abstractNumId w:val="18"/>
  </w:num>
  <w:num w:numId="23" w16cid:durableId="137846151">
    <w:abstractNumId w:val="14"/>
  </w:num>
  <w:num w:numId="24" w16cid:durableId="1914271120">
    <w:abstractNumId w:val="11"/>
  </w:num>
  <w:num w:numId="25" w16cid:durableId="885063891">
    <w:abstractNumId w:val="27"/>
  </w:num>
  <w:num w:numId="26" w16cid:durableId="236403065">
    <w:abstractNumId w:val="19"/>
  </w:num>
  <w:num w:numId="27" w16cid:durableId="1573000687">
    <w:abstractNumId w:val="40"/>
  </w:num>
  <w:num w:numId="28" w16cid:durableId="66197777">
    <w:abstractNumId w:val="35"/>
  </w:num>
  <w:num w:numId="29" w16cid:durableId="1127815727">
    <w:abstractNumId w:val="39"/>
  </w:num>
  <w:num w:numId="30" w16cid:durableId="1139540040">
    <w:abstractNumId w:val="20"/>
  </w:num>
  <w:num w:numId="31" w16cid:durableId="34090301">
    <w:abstractNumId w:val="42"/>
  </w:num>
  <w:num w:numId="32" w16cid:durableId="222646112">
    <w:abstractNumId w:val="31"/>
  </w:num>
  <w:num w:numId="33" w16cid:durableId="2043940194">
    <w:abstractNumId w:val="12"/>
  </w:num>
  <w:num w:numId="34" w16cid:durableId="1879196244">
    <w:abstractNumId w:val="43"/>
  </w:num>
  <w:num w:numId="35" w16cid:durableId="682361466">
    <w:abstractNumId w:val="38"/>
  </w:num>
  <w:num w:numId="36" w16cid:durableId="1977442909">
    <w:abstractNumId w:val="4"/>
  </w:num>
  <w:num w:numId="37" w16cid:durableId="1583488633">
    <w:abstractNumId w:val="45"/>
  </w:num>
  <w:num w:numId="38" w16cid:durableId="440271129">
    <w:abstractNumId w:val="41"/>
  </w:num>
  <w:num w:numId="39" w16cid:durableId="738553744">
    <w:abstractNumId w:val="36"/>
  </w:num>
  <w:num w:numId="40" w16cid:durableId="1665820156">
    <w:abstractNumId w:val="37"/>
  </w:num>
  <w:num w:numId="41" w16cid:durableId="180051086">
    <w:abstractNumId w:val="3"/>
  </w:num>
  <w:num w:numId="42" w16cid:durableId="659695053">
    <w:abstractNumId w:val="5"/>
  </w:num>
  <w:num w:numId="43" w16cid:durableId="799807383">
    <w:abstractNumId w:val="24"/>
  </w:num>
  <w:num w:numId="44" w16cid:durableId="1438983801">
    <w:abstractNumId w:val="6"/>
  </w:num>
  <w:num w:numId="45" w16cid:durableId="3284368">
    <w:abstractNumId w:val="2"/>
  </w:num>
  <w:num w:numId="46" w16cid:durableId="397748815">
    <w:abstractNumId w:val="0"/>
  </w:num>
  <w:num w:numId="47" w16cid:durableId="220332332">
    <w:abstractNumId w:val="21"/>
  </w:num>
  <w:num w:numId="48" w16cid:durableId="504830301">
    <w:abstractNumId w:val="28"/>
  </w:num>
  <w:num w:numId="49" w16cid:durableId="5459262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84E"/>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80ADD"/>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695"/>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5E7"/>
    <w:rsid w:val="002D2F29"/>
    <w:rsid w:val="002D2FD3"/>
    <w:rsid w:val="002E7017"/>
    <w:rsid w:val="002F4F6E"/>
    <w:rsid w:val="003015C3"/>
    <w:rsid w:val="0030698D"/>
    <w:rsid w:val="003132AF"/>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C3F19"/>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6425"/>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0391C"/>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70"/>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00EC"/>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370AE"/>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0B44"/>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6D76"/>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08B3"/>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EF01E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3132A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3132AF"/>
    <w:rPr>
      <w:color w:val="954F72" w:themeColor="followedHyperlink"/>
      <w:u w:val="single"/>
    </w:rPr>
  </w:style>
  <w:style w:type="character" w:styleId="Emphasis">
    <w:name w:val="Emphasis"/>
    <w:basedOn w:val="DefaultParagraphFont"/>
    <w:uiPriority w:val="20"/>
    <w:qFormat/>
    <w:rsid w:val="003132AF"/>
    <w:rPr>
      <w:i/>
      <w:iCs/>
    </w:rPr>
  </w:style>
  <w:style w:type="character" w:customStyle="1" w:styleId="visually-hidden">
    <w:name w:val="visually-hidden"/>
    <w:basedOn w:val="DefaultParagraphFont"/>
    <w:rsid w:val="003132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onlinelibrary.wiley.com/doi/10.1111/1745-9133.12419" TargetMode="External"/><Relationship Id="rId3" Type="http://schemas.openxmlformats.org/officeDocument/2006/relationships/customXml" Target="../customXml/item3.xml"/><Relationship Id="rId21" Type="http://schemas.openxmlformats.org/officeDocument/2006/relationships/hyperlink" Target="https://citeseerx.ist.psu.edu/document?repid=rep1&amp;type=pdf&amp;doi=0f4904e7bce5d337da7cb2e776e32e8c294c1e4a"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gov.uk/government/publications/victim-personal-statement" TargetMode="External"/><Relationship Id="rId33"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wgn.org.uk/our-services/practical-support-and-advocacy/independent-sexual-violence-advocat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civil-emergencies/civil-contingencies/response"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app.college.police.uk/app-content/investigations/investigative-strategies/house-to-house-enquiries" TargetMode="External"/><Relationship Id="rId28" Type="http://schemas.openxmlformats.org/officeDocument/2006/relationships/hyperlink" Target="https://www.cps.gov.uk/legal-guidance/special-measures"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purehost.bath.ac.uk/ws/portalfiles/portal/145648484/A_Means_to_an_End_Revision_Oct_2012.pdf" TargetMode="External"/><Relationship Id="rId27" Type="http://schemas.openxmlformats.org/officeDocument/2006/relationships/hyperlink" Target="https://www.south-wales.police.uk/advice/advice-and-information/victim-support/victim-witness-support/" TargetMode="External"/><Relationship Id="rId30" Type="http://schemas.openxmlformats.org/officeDocument/2006/relationships/hyperlink" Target="https://www.legislation.gov.uk/ukpga/1999/23/section/16"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16</Pages>
  <Words>5461</Words>
  <Characters>31609</Characters>
  <Application>Microsoft Office Word</Application>
  <DocSecurity>0</DocSecurity>
  <Lines>263</Lines>
  <Paragraphs>73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Jenkins,Mollie swp8494</cp:lastModifiedBy>
  <cp:revision>3</cp:revision>
  <cp:lastPrinted>2014-08-26T08:55:00Z</cp:lastPrinted>
  <dcterms:created xsi:type="dcterms:W3CDTF">2024-04-29T08:22:00Z</dcterms:created>
  <dcterms:modified xsi:type="dcterms:W3CDTF">2024-04-29T17:15:00Z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