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E7EB334" w14:textId="20A868A2" w:rsidR="00F16855" w:rsidRPr="00FD495D" w:rsidRDefault="00F16855" w:rsidP="00FD495D">
      <w:pPr>
        <w:spacing w:line="360" w:lineRule="auto"/>
        <w:jc w:val="both"/>
        <w:rPr>
          <w:rFonts w:ascii="Times New Roman" w:hAnsi="Times New Roman" w:cs="Times New Roman"/>
        </w:rPr>
      </w:pPr>
      <w:r w:rsidRPr="00FD495D">
        <w:rPr>
          <w:rFonts w:ascii="Times New Roman" w:hAnsi="Times New Roman" w:cs="Times New Roman"/>
          <w:lang w:val="ro-RO"/>
        </w:rPr>
        <w:t xml:space="preserve">STUDENT NAME </w:t>
      </w:r>
      <w:r w:rsidRPr="00FD495D">
        <w:rPr>
          <w:rFonts w:ascii="Times New Roman" w:hAnsi="Times New Roman" w:cs="Times New Roman"/>
        </w:rPr>
        <w:t>:</w:t>
      </w:r>
      <w:r w:rsidR="006D13E1">
        <w:rPr>
          <w:rFonts w:ascii="Times New Roman" w:hAnsi="Times New Roman" w:cs="Times New Roman"/>
        </w:rPr>
        <w:t xml:space="preserve">  ION CARAMAN </w:t>
      </w:r>
    </w:p>
    <w:p w14:paraId="5B1A432D" w14:textId="5C38C995" w:rsidR="00F16855" w:rsidRPr="00FD495D" w:rsidRDefault="00F16855" w:rsidP="00FD495D">
      <w:pPr>
        <w:spacing w:line="360" w:lineRule="auto"/>
        <w:jc w:val="both"/>
        <w:rPr>
          <w:rFonts w:ascii="Times New Roman" w:hAnsi="Times New Roman" w:cs="Times New Roman"/>
        </w:rPr>
      </w:pPr>
      <w:r w:rsidRPr="00FD495D">
        <w:rPr>
          <w:rFonts w:ascii="Times New Roman" w:hAnsi="Times New Roman" w:cs="Times New Roman"/>
        </w:rPr>
        <w:t>STUDENT ID:</w:t>
      </w:r>
      <w:r w:rsidR="006D13E1">
        <w:rPr>
          <w:rFonts w:ascii="Times New Roman" w:hAnsi="Times New Roman" w:cs="Times New Roman"/>
        </w:rPr>
        <w:t xml:space="preserve"> 2213755</w:t>
      </w:r>
    </w:p>
    <w:p w14:paraId="227EC106" w14:textId="26DD1FF5" w:rsidR="00F16855" w:rsidRPr="00FD495D" w:rsidRDefault="00F16855" w:rsidP="00FD495D">
      <w:pPr>
        <w:spacing w:line="360" w:lineRule="auto"/>
        <w:jc w:val="both"/>
        <w:rPr>
          <w:rFonts w:ascii="Times New Roman" w:hAnsi="Times New Roman" w:cs="Times New Roman"/>
        </w:rPr>
      </w:pPr>
      <w:r w:rsidRPr="00FD495D">
        <w:rPr>
          <w:rFonts w:ascii="Times New Roman" w:hAnsi="Times New Roman" w:cs="Times New Roman"/>
        </w:rPr>
        <w:t>MODULE CODE: LCBB5010</w:t>
      </w:r>
    </w:p>
    <w:p w14:paraId="178DFCA7" w14:textId="77777777" w:rsidR="006D13E1" w:rsidRDefault="00F16855" w:rsidP="00FD495D">
      <w:pPr>
        <w:spacing w:line="360" w:lineRule="auto"/>
        <w:jc w:val="both"/>
        <w:rPr>
          <w:rFonts w:ascii="Times New Roman" w:hAnsi="Times New Roman" w:cs="Times New Roman"/>
        </w:rPr>
      </w:pPr>
      <w:r w:rsidRPr="00FD495D">
        <w:rPr>
          <w:rFonts w:ascii="Times New Roman" w:hAnsi="Times New Roman" w:cs="Times New Roman"/>
        </w:rPr>
        <w:t>LECTURE NAME: PATRICK YEBOAH</w:t>
      </w:r>
    </w:p>
    <w:p w14:paraId="4BB55181" w14:textId="77777777" w:rsidR="006D13E1" w:rsidRDefault="006D13E1" w:rsidP="00FD495D">
      <w:pPr>
        <w:spacing w:line="360" w:lineRule="auto"/>
        <w:jc w:val="both"/>
        <w:rPr>
          <w:rFonts w:ascii="Times New Roman" w:hAnsi="Times New Roman" w:cs="Times New Roman"/>
        </w:rPr>
      </w:pPr>
      <w:r>
        <w:rPr>
          <w:rFonts w:ascii="Times New Roman" w:hAnsi="Times New Roman" w:cs="Times New Roman"/>
        </w:rPr>
        <w:t xml:space="preserve"> COMPONENT 1 </w:t>
      </w:r>
    </w:p>
    <w:p w14:paraId="1245D7C0" w14:textId="43198D94" w:rsidR="006D13E1" w:rsidRPr="00FD495D" w:rsidRDefault="006D13E1" w:rsidP="00FD495D">
      <w:pPr>
        <w:spacing w:line="360" w:lineRule="auto"/>
        <w:jc w:val="both"/>
        <w:rPr>
          <w:rFonts w:ascii="Times New Roman" w:hAnsi="Times New Roman" w:cs="Times New Roman"/>
        </w:rPr>
      </w:pPr>
      <w:r>
        <w:rPr>
          <w:rFonts w:ascii="Times New Roman" w:hAnsi="Times New Roman" w:cs="Times New Roman"/>
        </w:rPr>
        <w:t xml:space="preserve">  2000 WORDS </w:t>
      </w:r>
      <w:r w:rsidR="00E13FEC">
        <w:rPr>
          <w:rFonts w:ascii="Times New Roman" w:hAnsi="Times New Roman" w:cs="Times New Roman"/>
        </w:rPr>
        <w:t>( TESLA )</w:t>
      </w:r>
    </w:p>
    <w:p w14:paraId="7F0947B4" w14:textId="77777777" w:rsidR="00F16855" w:rsidRPr="00FD495D" w:rsidRDefault="00F16855" w:rsidP="00FD495D">
      <w:pPr>
        <w:spacing w:line="360" w:lineRule="auto"/>
        <w:jc w:val="both"/>
        <w:rPr>
          <w:rFonts w:ascii="Times New Roman" w:hAnsi="Times New Roman" w:cs="Times New Roman"/>
        </w:rPr>
      </w:pPr>
    </w:p>
    <w:p w14:paraId="7A35B73C" w14:textId="77777777" w:rsidR="00F16855" w:rsidRPr="00FD495D" w:rsidRDefault="00F16855" w:rsidP="00FD495D">
      <w:pPr>
        <w:spacing w:line="360" w:lineRule="auto"/>
        <w:jc w:val="both"/>
        <w:rPr>
          <w:rFonts w:ascii="Times New Roman" w:hAnsi="Times New Roman" w:cs="Times New Roman"/>
        </w:rPr>
      </w:pPr>
    </w:p>
    <w:p w14:paraId="5BBADEAC" w14:textId="77777777" w:rsidR="00F16855" w:rsidRPr="00FD495D" w:rsidRDefault="00F16855" w:rsidP="00FD495D">
      <w:pPr>
        <w:spacing w:line="360" w:lineRule="auto"/>
        <w:jc w:val="both"/>
        <w:rPr>
          <w:rFonts w:ascii="Times New Roman" w:hAnsi="Times New Roman" w:cs="Times New Roman"/>
        </w:rPr>
      </w:pPr>
    </w:p>
    <w:p w14:paraId="54DE0907" w14:textId="77777777" w:rsidR="00F16855" w:rsidRPr="00FD495D" w:rsidRDefault="00F16855" w:rsidP="00FD495D">
      <w:pPr>
        <w:spacing w:line="360" w:lineRule="auto"/>
        <w:jc w:val="both"/>
        <w:rPr>
          <w:rFonts w:ascii="Times New Roman" w:hAnsi="Times New Roman" w:cs="Times New Roman"/>
        </w:rPr>
      </w:pPr>
    </w:p>
    <w:p w14:paraId="43E7700D" w14:textId="77777777" w:rsidR="00F16855" w:rsidRPr="00FD495D" w:rsidRDefault="00F16855" w:rsidP="00FD495D">
      <w:pPr>
        <w:spacing w:line="360" w:lineRule="auto"/>
        <w:jc w:val="both"/>
        <w:rPr>
          <w:rFonts w:ascii="Times New Roman" w:hAnsi="Times New Roman" w:cs="Times New Roman"/>
        </w:rPr>
      </w:pPr>
    </w:p>
    <w:p w14:paraId="60BB6BC6" w14:textId="77777777" w:rsidR="00F16855" w:rsidRPr="00FD495D" w:rsidRDefault="00F16855" w:rsidP="00FD495D">
      <w:pPr>
        <w:spacing w:line="360" w:lineRule="auto"/>
        <w:jc w:val="both"/>
        <w:rPr>
          <w:rFonts w:ascii="Times New Roman" w:hAnsi="Times New Roman" w:cs="Times New Roman"/>
        </w:rPr>
      </w:pPr>
    </w:p>
    <w:p w14:paraId="74493424" w14:textId="77777777" w:rsidR="00F16855" w:rsidRPr="00FD495D" w:rsidRDefault="00F16855" w:rsidP="00FD495D">
      <w:pPr>
        <w:spacing w:line="360" w:lineRule="auto"/>
        <w:jc w:val="both"/>
        <w:rPr>
          <w:rFonts w:ascii="Times New Roman" w:hAnsi="Times New Roman" w:cs="Times New Roman"/>
        </w:rPr>
      </w:pPr>
    </w:p>
    <w:p w14:paraId="51EF91E7" w14:textId="77777777" w:rsidR="00F16855" w:rsidRPr="00FD495D" w:rsidRDefault="00F16855" w:rsidP="00FD495D">
      <w:pPr>
        <w:spacing w:line="360" w:lineRule="auto"/>
        <w:jc w:val="both"/>
        <w:rPr>
          <w:rFonts w:ascii="Times New Roman" w:hAnsi="Times New Roman" w:cs="Times New Roman"/>
        </w:rPr>
      </w:pPr>
    </w:p>
    <w:p w14:paraId="678BAB6A" w14:textId="77777777" w:rsidR="00F16855" w:rsidRPr="00FD495D" w:rsidRDefault="00F16855" w:rsidP="00FD495D">
      <w:pPr>
        <w:spacing w:line="360" w:lineRule="auto"/>
        <w:jc w:val="both"/>
        <w:rPr>
          <w:rFonts w:ascii="Times New Roman" w:hAnsi="Times New Roman" w:cs="Times New Roman"/>
        </w:rPr>
      </w:pPr>
    </w:p>
    <w:p w14:paraId="3D14B50C" w14:textId="77777777" w:rsidR="00F16855" w:rsidRPr="00FD495D" w:rsidRDefault="00F16855" w:rsidP="00FD495D">
      <w:pPr>
        <w:spacing w:line="360" w:lineRule="auto"/>
        <w:jc w:val="both"/>
        <w:rPr>
          <w:rFonts w:ascii="Times New Roman" w:hAnsi="Times New Roman" w:cs="Times New Roman"/>
        </w:rPr>
      </w:pPr>
    </w:p>
    <w:p w14:paraId="6718D3BF" w14:textId="77777777" w:rsidR="00F16855" w:rsidRPr="00FD495D" w:rsidRDefault="00F16855" w:rsidP="00FD495D">
      <w:pPr>
        <w:spacing w:line="360" w:lineRule="auto"/>
        <w:jc w:val="both"/>
        <w:rPr>
          <w:rFonts w:ascii="Times New Roman" w:hAnsi="Times New Roman" w:cs="Times New Roman"/>
        </w:rPr>
      </w:pPr>
    </w:p>
    <w:p w14:paraId="5912ACAF" w14:textId="77777777" w:rsidR="00F16855" w:rsidRPr="00FD495D" w:rsidRDefault="00F16855" w:rsidP="00FD495D">
      <w:pPr>
        <w:spacing w:line="360" w:lineRule="auto"/>
        <w:jc w:val="both"/>
        <w:rPr>
          <w:rFonts w:ascii="Times New Roman" w:hAnsi="Times New Roman" w:cs="Times New Roman"/>
        </w:rPr>
      </w:pPr>
    </w:p>
    <w:p w14:paraId="5244217D" w14:textId="77777777" w:rsidR="00F16855" w:rsidRPr="00FD495D" w:rsidRDefault="00F16855" w:rsidP="00FD495D">
      <w:pPr>
        <w:spacing w:line="360" w:lineRule="auto"/>
        <w:jc w:val="both"/>
        <w:rPr>
          <w:rFonts w:ascii="Times New Roman" w:hAnsi="Times New Roman" w:cs="Times New Roman"/>
        </w:rPr>
      </w:pPr>
    </w:p>
    <w:p w14:paraId="2A09A198" w14:textId="77777777" w:rsidR="00F16855" w:rsidRPr="00FD495D" w:rsidRDefault="00F16855" w:rsidP="00FD495D">
      <w:pPr>
        <w:spacing w:line="360" w:lineRule="auto"/>
        <w:jc w:val="both"/>
        <w:rPr>
          <w:rFonts w:ascii="Times New Roman" w:hAnsi="Times New Roman" w:cs="Times New Roman"/>
        </w:rPr>
      </w:pPr>
    </w:p>
    <w:p w14:paraId="7AFD1204" w14:textId="77777777" w:rsidR="00F16855" w:rsidRPr="00FD495D" w:rsidRDefault="00F16855" w:rsidP="00FD495D">
      <w:pPr>
        <w:spacing w:line="360" w:lineRule="auto"/>
        <w:jc w:val="both"/>
        <w:rPr>
          <w:rFonts w:ascii="Times New Roman" w:hAnsi="Times New Roman" w:cs="Times New Roman"/>
        </w:rPr>
      </w:pPr>
    </w:p>
    <w:p w14:paraId="4AB25FCB" w14:textId="77777777" w:rsidR="00F16855" w:rsidRPr="00FD495D" w:rsidRDefault="00F16855" w:rsidP="00FD495D">
      <w:pPr>
        <w:spacing w:line="360" w:lineRule="auto"/>
        <w:jc w:val="both"/>
        <w:rPr>
          <w:rFonts w:ascii="Times New Roman" w:hAnsi="Times New Roman" w:cs="Times New Roman"/>
        </w:rPr>
      </w:pPr>
    </w:p>
    <w:p w14:paraId="1CC1DA3F" w14:textId="77777777" w:rsidR="00F16855" w:rsidRPr="00FD495D" w:rsidRDefault="00F16855" w:rsidP="00FD495D">
      <w:pPr>
        <w:spacing w:line="360" w:lineRule="auto"/>
        <w:jc w:val="both"/>
        <w:rPr>
          <w:rFonts w:ascii="Times New Roman" w:hAnsi="Times New Roman" w:cs="Times New Roman"/>
        </w:rPr>
      </w:pPr>
    </w:p>
    <w:p w14:paraId="13DA9D01" w14:textId="77777777" w:rsidR="00F16855" w:rsidRPr="00FD495D" w:rsidRDefault="00F16855" w:rsidP="00FD495D">
      <w:pPr>
        <w:spacing w:line="360" w:lineRule="auto"/>
        <w:jc w:val="both"/>
        <w:rPr>
          <w:rFonts w:ascii="Times New Roman" w:hAnsi="Times New Roman" w:cs="Times New Roman"/>
        </w:rPr>
      </w:pPr>
    </w:p>
    <w:sdt>
      <w:sdtPr>
        <w:rPr>
          <w:rFonts w:asciiTheme="minorHAnsi" w:eastAsiaTheme="minorHAnsi" w:hAnsiTheme="minorHAnsi" w:cstheme="minorBidi"/>
          <w:color w:val="auto"/>
          <w:kern w:val="2"/>
          <w:sz w:val="24"/>
          <w:szCs w:val="24"/>
          <w:lang w:eastAsia="en-US"/>
          <w14:ligatures w14:val="standardContextual"/>
        </w:rPr>
        <w:id w:val="-750588256"/>
        <w:docPartObj>
          <w:docPartGallery w:val="Table of Contents"/>
          <w:docPartUnique/>
        </w:docPartObj>
      </w:sdtPr>
      <w:sdtEndPr>
        <w:rPr>
          <w:b/>
          <w:bCs/>
        </w:rPr>
      </w:sdtEndPr>
      <w:sdtContent>
        <w:p w14:paraId="5378AF18" w14:textId="6C75433E" w:rsidR="00E13FEC" w:rsidRDefault="00E13FEC">
          <w:pPr>
            <w:pStyle w:val="TOCHeading"/>
          </w:pPr>
          <w:r>
            <w:t>Table of Contents</w:t>
          </w:r>
        </w:p>
        <w:p w14:paraId="1F47D916" w14:textId="0A4021D3" w:rsidR="00E13FEC" w:rsidRDefault="00E13FEC">
          <w:pPr>
            <w:pStyle w:val="TOC1"/>
            <w:tabs>
              <w:tab w:val="right" w:leader="dot" w:pos="9016"/>
            </w:tabs>
            <w:rPr>
              <w:noProof/>
            </w:rPr>
          </w:pPr>
          <w:r>
            <w:fldChar w:fldCharType="begin"/>
          </w:r>
          <w:r>
            <w:instrText xml:space="preserve"> TOC \o "1-3" \h \z \u </w:instrText>
          </w:r>
          <w:r>
            <w:fldChar w:fldCharType="separate"/>
          </w:r>
          <w:hyperlink w:anchor="_Toc211338366" w:history="1">
            <w:r w:rsidRPr="002F3E0E">
              <w:rPr>
                <w:rStyle w:val="Hyperlink"/>
                <w:noProof/>
              </w:rPr>
              <w:t>Introduction</w:t>
            </w:r>
            <w:r>
              <w:rPr>
                <w:noProof/>
                <w:webHidden/>
              </w:rPr>
              <w:tab/>
            </w:r>
            <w:r>
              <w:rPr>
                <w:noProof/>
                <w:webHidden/>
              </w:rPr>
              <w:fldChar w:fldCharType="begin"/>
            </w:r>
            <w:r>
              <w:rPr>
                <w:noProof/>
                <w:webHidden/>
              </w:rPr>
              <w:instrText xml:space="preserve"> PAGEREF _Toc211338366 \h </w:instrText>
            </w:r>
            <w:r>
              <w:rPr>
                <w:noProof/>
                <w:webHidden/>
              </w:rPr>
            </w:r>
            <w:r>
              <w:rPr>
                <w:noProof/>
                <w:webHidden/>
              </w:rPr>
              <w:fldChar w:fldCharType="separate"/>
            </w:r>
            <w:r>
              <w:rPr>
                <w:noProof/>
                <w:webHidden/>
              </w:rPr>
              <w:t>3</w:t>
            </w:r>
            <w:r>
              <w:rPr>
                <w:noProof/>
                <w:webHidden/>
              </w:rPr>
              <w:fldChar w:fldCharType="end"/>
            </w:r>
          </w:hyperlink>
        </w:p>
        <w:p w14:paraId="225FD19F" w14:textId="14617BE5" w:rsidR="00E13FEC" w:rsidRDefault="00E13FEC">
          <w:pPr>
            <w:pStyle w:val="TOC1"/>
            <w:tabs>
              <w:tab w:val="right" w:leader="dot" w:pos="9016"/>
            </w:tabs>
            <w:rPr>
              <w:noProof/>
            </w:rPr>
          </w:pPr>
          <w:hyperlink w:anchor="_Toc211338367" w:history="1">
            <w:r w:rsidRPr="002F3E0E">
              <w:rPr>
                <w:rStyle w:val="Hyperlink"/>
                <w:noProof/>
              </w:rPr>
              <w:t>Cost Analysis and Business Model</w:t>
            </w:r>
            <w:r>
              <w:rPr>
                <w:noProof/>
                <w:webHidden/>
              </w:rPr>
              <w:tab/>
            </w:r>
            <w:r>
              <w:rPr>
                <w:noProof/>
                <w:webHidden/>
              </w:rPr>
              <w:fldChar w:fldCharType="begin"/>
            </w:r>
            <w:r>
              <w:rPr>
                <w:noProof/>
                <w:webHidden/>
              </w:rPr>
              <w:instrText xml:space="preserve"> PAGEREF _Toc211338367 \h </w:instrText>
            </w:r>
            <w:r>
              <w:rPr>
                <w:noProof/>
                <w:webHidden/>
              </w:rPr>
            </w:r>
            <w:r>
              <w:rPr>
                <w:noProof/>
                <w:webHidden/>
              </w:rPr>
              <w:fldChar w:fldCharType="separate"/>
            </w:r>
            <w:r>
              <w:rPr>
                <w:noProof/>
                <w:webHidden/>
              </w:rPr>
              <w:t>4</w:t>
            </w:r>
            <w:r>
              <w:rPr>
                <w:noProof/>
                <w:webHidden/>
              </w:rPr>
              <w:fldChar w:fldCharType="end"/>
            </w:r>
          </w:hyperlink>
        </w:p>
        <w:p w14:paraId="50F9962E" w14:textId="31BE6938" w:rsidR="00E13FEC" w:rsidRDefault="00E13FEC">
          <w:pPr>
            <w:pStyle w:val="TOC1"/>
            <w:tabs>
              <w:tab w:val="right" w:leader="dot" w:pos="9016"/>
            </w:tabs>
            <w:rPr>
              <w:noProof/>
            </w:rPr>
          </w:pPr>
          <w:hyperlink w:anchor="_Toc211338368" w:history="1">
            <w:r w:rsidRPr="002F3E0E">
              <w:rPr>
                <w:rStyle w:val="Hyperlink"/>
                <w:noProof/>
              </w:rPr>
              <w:t>Cost Structures – Fixed vs Variable Costs</w:t>
            </w:r>
            <w:r>
              <w:rPr>
                <w:noProof/>
                <w:webHidden/>
              </w:rPr>
              <w:tab/>
            </w:r>
            <w:r>
              <w:rPr>
                <w:noProof/>
                <w:webHidden/>
              </w:rPr>
              <w:fldChar w:fldCharType="begin"/>
            </w:r>
            <w:r>
              <w:rPr>
                <w:noProof/>
                <w:webHidden/>
              </w:rPr>
              <w:instrText xml:space="preserve"> PAGEREF _Toc211338368 \h </w:instrText>
            </w:r>
            <w:r>
              <w:rPr>
                <w:noProof/>
                <w:webHidden/>
              </w:rPr>
            </w:r>
            <w:r>
              <w:rPr>
                <w:noProof/>
                <w:webHidden/>
              </w:rPr>
              <w:fldChar w:fldCharType="separate"/>
            </w:r>
            <w:r>
              <w:rPr>
                <w:noProof/>
                <w:webHidden/>
              </w:rPr>
              <w:t>6</w:t>
            </w:r>
            <w:r>
              <w:rPr>
                <w:noProof/>
                <w:webHidden/>
              </w:rPr>
              <w:fldChar w:fldCharType="end"/>
            </w:r>
          </w:hyperlink>
        </w:p>
        <w:p w14:paraId="12033F40" w14:textId="0FE86C10" w:rsidR="00E13FEC" w:rsidRDefault="00E13FEC">
          <w:pPr>
            <w:pStyle w:val="TOC1"/>
            <w:tabs>
              <w:tab w:val="right" w:leader="dot" w:pos="9016"/>
            </w:tabs>
            <w:rPr>
              <w:noProof/>
            </w:rPr>
          </w:pPr>
          <w:hyperlink w:anchor="_Toc211338369" w:history="1">
            <w:r w:rsidRPr="002F3E0E">
              <w:rPr>
                <w:rStyle w:val="Hyperlink"/>
                <w:noProof/>
              </w:rPr>
              <w:t>Budgeting and Financial Planning</w:t>
            </w:r>
            <w:r>
              <w:rPr>
                <w:noProof/>
                <w:webHidden/>
              </w:rPr>
              <w:tab/>
            </w:r>
            <w:r>
              <w:rPr>
                <w:noProof/>
                <w:webHidden/>
              </w:rPr>
              <w:fldChar w:fldCharType="begin"/>
            </w:r>
            <w:r>
              <w:rPr>
                <w:noProof/>
                <w:webHidden/>
              </w:rPr>
              <w:instrText xml:space="preserve"> PAGEREF _Toc211338369 \h </w:instrText>
            </w:r>
            <w:r>
              <w:rPr>
                <w:noProof/>
                <w:webHidden/>
              </w:rPr>
            </w:r>
            <w:r>
              <w:rPr>
                <w:noProof/>
                <w:webHidden/>
              </w:rPr>
              <w:fldChar w:fldCharType="separate"/>
            </w:r>
            <w:r>
              <w:rPr>
                <w:noProof/>
                <w:webHidden/>
              </w:rPr>
              <w:t>8</w:t>
            </w:r>
            <w:r>
              <w:rPr>
                <w:noProof/>
                <w:webHidden/>
              </w:rPr>
              <w:fldChar w:fldCharType="end"/>
            </w:r>
          </w:hyperlink>
        </w:p>
        <w:p w14:paraId="219E3A3E" w14:textId="5796BD23" w:rsidR="00E13FEC" w:rsidRDefault="00E13FEC">
          <w:pPr>
            <w:pStyle w:val="TOC1"/>
            <w:tabs>
              <w:tab w:val="right" w:leader="dot" w:pos="9016"/>
            </w:tabs>
            <w:rPr>
              <w:noProof/>
            </w:rPr>
          </w:pPr>
          <w:hyperlink w:anchor="_Toc211338370" w:history="1">
            <w:r w:rsidRPr="002F3E0E">
              <w:rPr>
                <w:rStyle w:val="Hyperlink"/>
                <w:noProof/>
              </w:rPr>
              <w:t>Performance Measurement and Decision-Making</w:t>
            </w:r>
            <w:r>
              <w:rPr>
                <w:noProof/>
                <w:webHidden/>
              </w:rPr>
              <w:tab/>
            </w:r>
            <w:r>
              <w:rPr>
                <w:noProof/>
                <w:webHidden/>
              </w:rPr>
              <w:fldChar w:fldCharType="begin"/>
            </w:r>
            <w:r>
              <w:rPr>
                <w:noProof/>
                <w:webHidden/>
              </w:rPr>
              <w:instrText xml:space="preserve"> PAGEREF _Toc211338370 \h </w:instrText>
            </w:r>
            <w:r>
              <w:rPr>
                <w:noProof/>
                <w:webHidden/>
              </w:rPr>
            </w:r>
            <w:r>
              <w:rPr>
                <w:noProof/>
                <w:webHidden/>
              </w:rPr>
              <w:fldChar w:fldCharType="separate"/>
            </w:r>
            <w:r>
              <w:rPr>
                <w:noProof/>
                <w:webHidden/>
              </w:rPr>
              <w:t>10</w:t>
            </w:r>
            <w:r>
              <w:rPr>
                <w:noProof/>
                <w:webHidden/>
              </w:rPr>
              <w:fldChar w:fldCharType="end"/>
            </w:r>
          </w:hyperlink>
        </w:p>
        <w:p w14:paraId="4E2D14A5" w14:textId="360AC983" w:rsidR="00E13FEC" w:rsidRDefault="00E13FEC">
          <w:pPr>
            <w:pStyle w:val="TOC1"/>
            <w:tabs>
              <w:tab w:val="right" w:leader="dot" w:pos="9016"/>
            </w:tabs>
            <w:rPr>
              <w:noProof/>
            </w:rPr>
          </w:pPr>
          <w:hyperlink w:anchor="_Toc211338371" w:history="1">
            <w:r w:rsidRPr="002F3E0E">
              <w:rPr>
                <w:rStyle w:val="Hyperlink"/>
                <w:noProof/>
              </w:rPr>
              <w:t>Sustainability and Ethical Considerations</w:t>
            </w:r>
            <w:r>
              <w:rPr>
                <w:noProof/>
                <w:webHidden/>
              </w:rPr>
              <w:tab/>
            </w:r>
            <w:r>
              <w:rPr>
                <w:noProof/>
                <w:webHidden/>
              </w:rPr>
              <w:fldChar w:fldCharType="begin"/>
            </w:r>
            <w:r>
              <w:rPr>
                <w:noProof/>
                <w:webHidden/>
              </w:rPr>
              <w:instrText xml:space="preserve"> PAGEREF _Toc211338371 \h </w:instrText>
            </w:r>
            <w:r>
              <w:rPr>
                <w:noProof/>
                <w:webHidden/>
              </w:rPr>
            </w:r>
            <w:r>
              <w:rPr>
                <w:noProof/>
                <w:webHidden/>
              </w:rPr>
              <w:fldChar w:fldCharType="separate"/>
            </w:r>
            <w:r>
              <w:rPr>
                <w:noProof/>
                <w:webHidden/>
              </w:rPr>
              <w:t>12</w:t>
            </w:r>
            <w:r>
              <w:rPr>
                <w:noProof/>
                <w:webHidden/>
              </w:rPr>
              <w:fldChar w:fldCharType="end"/>
            </w:r>
          </w:hyperlink>
        </w:p>
        <w:p w14:paraId="327DD9A8" w14:textId="23005988" w:rsidR="00E13FEC" w:rsidRDefault="00E13FEC">
          <w:pPr>
            <w:pStyle w:val="TOC1"/>
            <w:tabs>
              <w:tab w:val="right" w:leader="dot" w:pos="9016"/>
            </w:tabs>
            <w:rPr>
              <w:noProof/>
            </w:rPr>
          </w:pPr>
          <w:hyperlink w:anchor="_Toc211338372" w:history="1">
            <w:r w:rsidRPr="002F3E0E">
              <w:rPr>
                <w:rStyle w:val="Hyperlink"/>
                <w:noProof/>
              </w:rPr>
              <w:t>Conclusion and Recommendations</w:t>
            </w:r>
            <w:r>
              <w:rPr>
                <w:noProof/>
                <w:webHidden/>
              </w:rPr>
              <w:tab/>
            </w:r>
            <w:r>
              <w:rPr>
                <w:noProof/>
                <w:webHidden/>
              </w:rPr>
              <w:fldChar w:fldCharType="begin"/>
            </w:r>
            <w:r>
              <w:rPr>
                <w:noProof/>
                <w:webHidden/>
              </w:rPr>
              <w:instrText xml:space="preserve"> PAGEREF _Toc211338372 \h </w:instrText>
            </w:r>
            <w:r>
              <w:rPr>
                <w:noProof/>
                <w:webHidden/>
              </w:rPr>
            </w:r>
            <w:r>
              <w:rPr>
                <w:noProof/>
                <w:webHidden/>
              </w:rPr>
              <w:fldChar w:fldCharType="separate"/>
            </w:r>
            <w:r>
              <w:rPr>
                <w:noProof/>
                <w:webHidden/>
              </w:rPr>
              <w:t>14</w:t>
            </w:r>
            <w:r>
              <w:rPr>
                <w:noProof/>
                <w:webHidden/>
              </w:rPr>
              <w:fldChar w:fldCharType="end"/>
            </w:r>
          </w:hyperlink>
        </w:p>
        <w:p w14:paraId="2113C219" w14:textId="0827DB19" w:rsidR="00E13FEC" w:rsidRDefault="00E13FEC">
          <w:pPr>
            <w:pStyle w:val="TOC1"/>
            <w:tabs>
              <w:tab w:val="right" w:leader="dot" w:pos="9016"/>
            </w:tabs>
            <w:rPr>
              <w:noProof/>
            </w:rPr>
          </w:pPr>
          <w:hyperlink w:anchor="_Toc211338373" w:history="1">
            <w:r w:rsidRPr="002F3E0E">
              <w:rPr>
                <w:rStyle w:val="Hyperlink"/>
                <w:noProof/>
              </w:rPr>
              <w:t>Future Recommendations for Tesla</w:t>
            </w:r>
            <w:r>
              <w:rPr>
                <w:noProof/>
                <w:webHidden/>
              </w:rPr>
              <w:tab/>
            </w:r>
            <w:r>
              <w:rPr>
                <w:noProof/>
                <w:webHidden/>
              </w:rPr>
              <w:fldChar w:fldCharType="begin"/>
            </w:r>
            <w:r>
              <w:rPr>
                <w:noProof/>
                <w:webHidden/>
              </w:rPr>
              <w:instrText xml:space="preserve"> PAGEREF _Toc211338373 \h </w:instrText>
            </w:r>
            <w:r>
              <w:rPr>
                <w:noProof/>
                <w:webHidden/>
              </w:rPr>
            </w:r>
            <w:r>
              <w:rPr>
                <w:noProof/>
                <w:webHidden/>
              </w:rPr>
              <w:fldChar w:fldCharType="separate"/>
            </w:r>
            <w:r>
              <w:rPr>
                <w:noProof/>
                <w:webHidden/>
              </w:rPr>
              <w:t>14</w:t>
            </w:r>
            <w:r>
              <w:rPr>
                <w:noProof/>
                <w:webHidden/>
              </w:rPr>
              <w:fldChar w:fldCharType="end"/>
            </w:r>
          </w:hyperlink>
        </w:p>
        <w:p w14:paraId="0E09F82D" w14:textId="1A749773" w:rsidR="00E13FEC" w:rsidRDefault="00E13FEC">
          <w:pPr>
            <w:pStyle w:val="TOC1"/>
            <w:tabs>
              <w:tab w:val="right" w:leader="dot" w:pos="9016"/>
            </w:tabs>
            <w:rPr>
              <w:noProof/>
            </w:rPr>
          </w:pPr>
          <w:hyperlink w:anchor="_Toc211338374" w:history="1">
            <w:r w:rsidRPr="002F3E0E">
              <w:rPr>
                <w:rStyle w:val="Hyperlink"/>
                <w:noProof/>
              </w:rPr>
              <w:t>References:</w:t>
            </w:r>
            <w:r>
              <w:rPr>
                <w:noProof/>
                <w:webHidden/>
              </w:rPr>
              <w:tab/>
            </w:r>
            <w:r>
              <w:rPr>
                <w:noProof/>
                <w:webHidden/>
              </w:rPr>
              <w:fldChar w:fldCharType="begin"/>
            </w:r>
            <w:r>
              <w:rPr>
                <w:noProof/>
                <w:webHidden/>
              </w:rPr>
              <w:instrText xml:space="preserve"> PAGEREF _Toc211338374 \h </w:instrText>
            </w:r>
            <w:r>
              <w:rPr>
                <w:noProof/>
                <w:webHidden/>
              </w:rPr>
            </w:r>
            <w:r>
              <w:rPr>
                <w:noProof/>
                <w:webHidden/>
              </w:rPr>
              <w:fldChar w:fldCharType="separate"/>
            </w:r>
            <w:r>
              <w:rPr>
                <w:noProof/>
                <w:webHidden/>
              </w:rPr>
              <w:t>15</w:t>
            </w:r>
            <w:r>
              <w:rPr>
                <w:noProof/>
                <w:webHidden/>
              </w:rPr>
              <w:fldChar w:fldCharType="end"/>
            </w:r>
          </w:hyperlink>
        </w:p>
        <w:p w14:paraId="57E20D80" w14:textId="05E2E4EE" w:rsidR="00E13FEC" w:rsidRDefault="00E13FEC">
          <w:r>
            <w:rPr>
              <w:b/>
              <w:bCs/>
            </w:rPr>
            <w:fldChar w:fldCharType="end"/>
          </w:r>
        </w:p>
      </w:sdtContent>
    </w:sdt>
    <w:p w14:paraId="764E8744" w14:textId="77777777" w:rsidR="00F16855" w:rsidRPr="00FD495D" w:rsidRDefault="00F16855" w:rsidP="00FD495D">
      <w:pPr>
        <w:spacing w:line="360" w:lineRule="auto"/>
        <w:jc w:val="both"/>
        <w:rPr>
          <w:rFonts w:ascii="Times New Roman" w:hAnsi="Times New Roman" w:cs="Times New Roman"/>
        </w:rPr>
      </w:pPr>
    </w:p>
    <w:p w14:paraId="796B2C79" w14:textId="77777777" w:rsidR="00F16855" w:rsidRPr="00FD495D" w:rsidRDefault="00F16855" w:rsidP="00FD495D">
      <w:pPr>
        <w:spacing w:line="360" w:lineRule="auto"/>
        <w:jc w:val="both"/>
        <w:rPr>
          <w:rFonts w:ascii="Times New Roman" w:hAnsi="Times New Roman" w:cs="Times New Roman"/>
        </w:rPr>
      </w:pPr>
    </w:p>
    <w:p w14:paraId="5A0A9F81" w14:textId="77777777" w:rsidR="00F16855" w:rsidRPr="00FD495D" w:rsidRDefault="00F16855" w:rsidP="00FD495D">
      <w:pPr>
        <w:spacing w:line="360" w:lineRule="auto"/>
        <w:jc w:val="both"/>
        <w:rPr>
          <w:rFonts w:ascii="Times New Roman" w:hAnsi="Times New Roman" w:cs="Times New Roman"/>
        </w:rPr>
      </w:pPr>
    </w:p>
    <w:p w14:paraId="68D367A3" w14:textId="77777777" w:rsidR="00F16855" w:rsidRPr="00FD495D" w:rsidRDefault="00F16855" w:rsidP="00FD495D">
      <w:pPr>
        <w:spacing w:line="360" w:lineRule="auto"/>
        <w:jc w:val="both"/>
        <w:rPr>
          <w:rFonts w:ascii="Times New Roman" w:hAnsi="Times New Roman" w:cs="Times New Roman"/>
        </w:rPr>
      </w:pPr>
    </w:p>
    <w:p w14:paraId="3C275DDE" w14:textId="77777777" w:rsidR="00F16855" w:rsidRPr="00FD495D" w:rsidRDefault="00F16855" w:rsidP="00FD495D">
      <w:pPr>
        <w:spacing w:line="360" w:lineRule="auto"/>
        <w:jc w:val="both"/>
        <w:rPr>
          <w:rFonts w:ascii="Times New Roman" w:hAnsi="Times New Roman" w:cs="Times New Roman"/>
        </w:rPr>
      </w:pPr>
    </w:p>
    <w:p w14:paraId="00C019C4" w14:textId="77777777" w:rsidR="00F16855" w:rsidRPr="00FD495D" w:rsidRDefault="00F16855" w:rsidP="00FD495D">
      <w:pPr>
        <w:spacing w:line="360" w:lineRule="auto"/>
        <w:jc w:val="both"/>
        <w:rPr>
          <w:rFonts w:ascii="Times New Roman" w:hAnsi="Times New Roman" w:cs="Times New Roman"/>
        </w:rPr>
      </w:pPr>
    </w:p>
    <w:p w14:paraId="4A9A5668" w14:textId="77777777" w:rsidR="00F16855" w:rsidRPr="00FD495D" w:rsidRDefault="00F16855" w:rsidP="00FD495D">
      <w:pPr>
        <w:spacing w:line="360" w:lineRule="auto"/>
        <w:jc w:val="both"/>
        <w:rPr>
          <w:rFonts w:ascii="Times New Roman" w:hAnsi="Times New Roman" w:cs="Times New Roman"/>
        </w:rPr>
      </w:pPr>
    </w:p>
    <w:p w14:paraId="5C567628" w14:textId="77777777" w:rsidR="00F16855" w:rsidRPr="00FD495D" w:rsidRDefault="00F16855" w:rsidP="00FD495D">
      <w:pPr>
        <w:spacing w:line="360" w:lineRule="auto"/>
        <w:jc w:val="both"/>
        <w:rPr>
          <w:rFonts w:ascii="Times New Roman" w:hAnsi="Times New Roman" w:cs="Times New Roman"/>
        </w:rPr>
      </w:pPr>
    </w:p>
    <w:p w14:paraId="1CAAE4AF" w14:textId="77777777" w:rsidR="00F16855" w:rsidRPr="00FD495D" w:rsidRDefault="00F16855" w:rsidP="00FD495D">
      <w:pPr>
        <w:spacing w:line="360" w:lineRule="auto"/>
        <w:jc w:val="both"/>
        <w:rPr>
          <w:rFonts w:ascii="Times New Roman" w:hAnsi="Times New Roman" w:cs="Times New Roman"/>
        </w:rPr>
      </w:pPr>
    </w:p>
    <w:p w14:paraId="0C3D2F38" w14:textId="77777777" w:rsidR="00F16855" w:rsidRPr="00FD495D" w:rsidRDefault="00F16855" w:rsidP="00FD495D">
      <w:pPr>
        <w:spacing w:line="360" w:lineRule="auto"/>
        <w:jc w:val="both"/>
        <w:rPr>
          <w:rFonts w:ascii="Times New Roman" w:hAnsi="Times New Roman" w:cs="Times New Roman"/>
        </w:rPr>
      </w:pPr>
    </w:p>
    <w:p w14:paraId="6DC2B786" w14:textId="77777777" w:rsidR="00F16855" w:rsidRPr="00FD495D" w:rsidRDefault="00F16855" w:rsidP="00FD495D">
      <w:pPr>
        <w:spacing w:line="360" w:lineRule="auto"/>
        <w:jc w:val="both"/>
        <w:rPr>
          <w:rFonts w:ascii="Times New Roman" w:hAnsi="Times New Roman" w:cs="Times New Roman"/>
        </w:rPr>
      </w:pPr>
    </w:p>
    <w:p w14:paraId="573EA1D0" w14:textId="77777777" w:rsidR="00F16855" w:rsidRPr="00FD495D" w:rsidRDefault="00F16855" w:rsidP="00FD495D">
      <w:pPr>
        <w:spacing w:line="360" w:lineRule="auto"/>
        <w:jc w:val="both"/>
        <w:rPr>
          <w:rFonts w:ascii="Times New Roman" w:hAnsi="Times New Roman" w:cs="Times New Roman"/>
        </w:rPr>
      </w:pPr>
    </w:p>
    <w:p w14:paraId="60AA8686" w14:textId="77777777" w:rsidR="00F16855" w:rsidRPr="00FD495D" w:rsidRDefault="00F16855" w:rsidP="00FD495D">
      <w:pPr>
        <w:spacing w:line="360" w:lineRule="auto"/>
        <w:jc w:val="both"/>
        <w:rPr>
          <w:rFonts w:ascii="Times New Roman" w:hAnsi="Times New Roman" w:cs="Times New Roman"/>
        </w:rPr>
      </w:pPr>
    </w:p>
    <w:p w14:paraId="23750FDB" w14:textId="77777777" w:rsidR="00F16855" w:rsidRPr="00FD495D" w:rsidRDefault="00F16855" w:rsidP="00FD495D">
      <w:pPr>
        <w:spacing w:line="360" w:lineRule="auto"/>
        <w:jc w:val="both"/>
        <w:rPr>
          <w:rFonts w:ascii="Times New Roman" w:hAnsi="Times New Roman" w:cs="Times New Roman"/>
        </w:rPr>
      </w:pPr>
    </w:p>
    <w:p w14:paraId="3087E07C" w14:textId="77777777" w:rsidR="00F16855" w:rsidRPr="00FD495D" w:rsidRDefault="00F16855" w:rsidP="00FD495D">
      <w:pPr>
        <w:spacing w:line="360" w:lineRule="auto"/>
        <w:jc w:val="both"/>
        <w:rPr>
          <w:rFonts w:ascii="Times New Roman" w:hAnsi="Times New Roman" w:cs="Times New Roman"/>
        </w:rPr>
      </w:pPr>
    </w:p>
    <w:p w14:paraId="7C3BCFA9" w14:textId="77777777" w:rsidR="00F16855" w:rsidRPr="00FD495D" w:rsidRDefault="00F16855" w:rsidP="00FD495D">
      <w:pPr>
        <w:spacing w:line="360" w:lineRule="auto"/>
        <w:jc w:val="both"/>
        <w:rPr>
          <w:rFonts w:ascii="Times New Roman" w:hAnsi="Times New Roman" w:cs="Times New Roman"/>
        </w:rPr>
      </w:pPr>
    </w:p>
    <w:p w14:paraId="039EF722" w14:textId="1D365986" w:rsidR="00F16855" w:rsidRPr="00FD495D" w:rsidRDefault="00F16855" w:rsidP="00E13FEC">
      <w:pPr>
        <w:pStyle w:val="Heading1"/>
      </w:pPr>
      <w:r w:rsidRPr="00FD495D">
        <w:lastRenderedPageBreak/>
        <w:t xml:space="preserve"> </w:t>
      </w:r>
      <w:bookmarkStart w:id="0" w:name="_Toc211338366"/>
      <w:r w:rsidRPr="00FD495D">
        <w:t>Introduction</w:t>
      </w:r>
      <w:bookmarkEnd w:id="0"/>
      <w:r w:rsidRPr="00FD495D">
        <w:t xml:space="preserve"> </w:t>
      </w:r>
    </w:p>
    <w:p w14:paraId="047B773F" w14:textId="77777777" w:rsidR="00F16855" w:rsidRPr="00FD495D" w:rsidRDefault="00F16855" w:rsidP="00FD495D">
      <w:pPr>
        <w:spacing w:line="360" w:lineRule="auto"/>
        <w:jc w:val="both"/>
        <w:rPr>
          <w:rFonts w:ascii="Times New Roman" w:hAnsi="Times New Roman" w:cs="Times New Roman"/>
        </w:rPr>
      </w:pPr>
    </w:p>
    <w:p w14:paraId="0F9A5F97" w14:textId="0240659C" w:rsidR="00F16855" w:rsidRPr="00FD495D" w:rsidRDefault="00F16855" w:rsidP="00FD495D">
      <w:pPr>
        <w:spacing w:line="360" w:lineRule="auto"/>
        <w:jc w:val="both"/>
        <w:rPr>
          <w:rFonts w:ascii="Times New Roman" w:hAnsi="Times New Roman" w:cs="Times New Roman"/>
        </w:rPr>
      </w:pPr>
      <w:r w:rsidRPr="00FD495D">
        <w:rPr>
          <w:rFonts w:ascii="Times New Roman" w:hAnsi="Times New Roman" w:cs="Times New Roman"/>
        </w:rPr>
        <w:t>Tesla, Inc. is a leading electric vehicle (EV) and sustainable energy company operating globally, including the UK market. Founded in 2003, Tesla is vertically integrated designing, manufacturing, and selling electric cars (Model S, Model 3, Model X, Model Y, and upcoming vehicles), as well as energy storage systems (Powerwall, Megapack) and solar products. With revenues in the tens of billions (USD), Tesla has scaled rapidly over the past decade and competes in the automotive, energy, and technology sectors (Tesla 2024 10-K).</w:t>
      </w:r>
    </w:p>
    <w:p w14:paraId="3051E412" w14:textId="4A20CBE5" w:rsidR="00F16855" w:rsidRDefault="00A56479" w:rsidP="00FD495D">
      <w:pPr>
        <w:spacing w:line="360" w:lineRule="auto"/>
        <w:jc w:val="both"/>
        <w:rPr>
          <w:rFonts w:ascii="Times New Roman" w:hAnsi="Times New Roman" w:cs="Times New Roman"/>
        </w:rPr>
      </w:pPr>
      <w:r w:rsidRPr="00A56479">
        <w:rPr>
          <w:rFonts w:ascii="Times New Roman" w:hAnsi="Times New Roman" w:cs="Times New Roman"/>
        </w:rPr>
        <w:t>In the current competitive and volatile world, decision makers are in need of adequate support from management accounting. Management accounting (unlike financial accounting) aimed at providing forward-looking and detailed cost, budget and performance related information specifically for internal use.(Drury 2013) For Tesla which is research heavy, has massive scale in global manufacturing and has the battle of the elements from inputs (and managing regulation), cost accounting provides control, allocation of resources, measurement of performance and strategic choice – e.g. price it or expand capacity. In the UK, management accounting is also useful for evaluating regulation incentives (e.g., EV subsidies) and profitability of local market.</w:t>
      </w:r>
    </w:p>
    <w:p w14:paraId="582132BE" w14:textId="77777777" w:rsidR="00D20BAD" w:rsidRDefault="00D20BAD" w:rsidP="00FD495D">
      <w:pPr>
        <w:spacing w:line="360" w:lineRule="auto"/>
        <w:jc w:val="both"/>
        <w:rPr>
          <w:rFonts w:ascii="Times New Roman" w:hAnsi="Times New Roman" w:cs="Times New Roman"/>
        </w:rPr>
      </w:pPr>
    </w:p>
    <w:p w14:paraId="21398F36" w14:textId="77777777" w:rsidR="00D20BAD" w:rsidRDefault="00D20BAD" w:rsidP="00FD495D">
      <w:pPr>
        <w:spacing w:line="360" w:lineRule="auto"/>
        <w:jc w:val="both"/>
        <w:rPr>
          <w:rFonts w:ascii="Times New Roman" w:hAnsi="Times New Roman" w:cs="Times New Roman"/>
        </w:rPr>
      </w:pPr>
    </w:p>
    <w:p w14:paraId="523BBA13" w14:textId="77777777" w:rsidR="00D20BAD" w:rsidRDefault="00D20BAD" w:rsidP="00FD495D">
      <w:pPr>
        <w:spacing w:line="360" w:lineRule="auto"/>
        <w:jc w:val="both"/>
        <w:rPr>
          <w:rFonts w:ascii="Times New Roman" w:hAnsi="Times New Roman" w:cs="Times New Roman"/>
        </w:rPr>
      </w:pPr>
    </w:p>
    <w:p w14:paraId="32C2473B" w14:textId="77777777" w:rsidR="00D20BAD" w:rsidRDefault="00D20BAD" w:rsidP="00FD495D">
      <w:pPr>
        <w:spacing w:line="360" w:lineRule="auto"/>
        <w:jc w:val="both"/>
        <w:rPr>
          <w:rFonts w:ascii="Times New Roman" w:hAnsi="Times New Roman" w:cs="Times New Roman"/>
        </w:rPr>
      </w:pPr>
    </w:p>
    <w:p w14:paraId="6CA655ED" w14:textId="77777777" w:rsidR="00D20BAD" w:rsidRDefault="00D20BAD" w:rsidP="00FD495D">
      <w:pPr>
        <w:spacing w:line="360" w:lineRule="auto"/>
        <w:jc w:val="both"/>
        <w:rPr>
          <w:rFonts w:ascii="Times New Roman" w:hAnsi="Times New Roman" w:cs="Times New Roman"/>
        </w:rPr>
      </w:pPr>
    </w:p>
    <w:p w14:paraId="33E3E127" w14:textId="77777777" w:rsidR="00D20BAD" w:rsidRDefault="00D20BAD" w:rsidP="00FD495D">
      <w:pPr>
        <w:spacing w:line="360" w:lineRule="auto"/>
        <w:jc w:val="both"/>
        <w:rPr>
          <w:rFonts w:ascii="Times New Roman" w:hAnsi="Times New Roman" w:cs="Times New Roman"/>
        </w:rPr>
      </w:pPr>
    </w:p>
    <w:p w14:paraId="121E47F6" w14:textId="77777777" w:rsidR="00D20BAD" w:rsidRDefault="00D20BAD" w:rsidP="00FD495D">
      <w:pPr>
        <w:spacing w:line="360" w:lineRule="auto"/>
        <w:jc w:val="both"/>
        <w:rPr>
          <w:rFonts w:ascii="Times New Roman" w:hAnsi="Times New Roman" w:cs="Times New Roman"/>
        </w:rPr>
      </w:pPr>
    </w:p>
    <w:p w14:paraId="172EACAA" w14:textId="77777777" w:rsidR="00D20BAD" w:rsidRDefault="00D20BAD" w:rsidP="00FD495D">
      <w:pPr>
        <w:spacing w:line="360" w:lineRule="auto"/>
        <w:jc w:val="both"/>
        <w:rPr>
          <w:rFonts w:ascii="Times New Roman" w:hAnsi="Times New Roman" w:cs="Times New Roman"/>
        </w:rPr>
      </w:pPr>
    </w:p>
    <w:p w14:paraId="2A70B3F1" w14:textId="77777777" w:rsidR="006D13E1" w:rsidRPr="00FD495D" w:rsidRDefault="006D13E1" w:rsidP="00FD495D">
      <w:pPr>
        <w:spacing w:line="360" w:lineRule="auto"/>
        <w:jc w:val="both"/>
        <w:rPr>
          <w:rFonts w:ascii="Times New Roman" w:hAnsi="Times New Roman" w:cs="Times New Roman"/>
        </w:rPr>
      </w:pPr>
    </w:p>
    <w:p w14:paraId="020C55E0" w14:textId="1712371B" w:rsidR="00BA39F6" w:rsidRPr="00FD495D" w:rsidRDefault="00F16855" w:rsidP="00E13FEC">
      <w:pPr>
        <w:pStyle w:val="Heading1"/>
      </w:pPr>
      <w:bookmarkStart w:id="1" w:name="_Toc211338367"/>
      <w:r w:rsidRPr="00FD495D">
        <w:lastRenderedPageBreak/>
        <w:t>Cost Analysis and Business Model</w:t>
      </w:r>
      <w:bookmarkEnd w:id="1"/>
      <w:r w:rsidRPr="00FD495D">
        <w:t xml:space="preserve"> </w:t>
      </w:r>
    </w:p>
    <w:p w14:paraId="3202E74F" w14:textId="67D4CDA4" w:rsidR="00F16855" w:rsidRDefault="00F16855" w:rsidP="00FD495D">
      <w:pPr>
        <w:spacing w:line="360" w:lineRule="auto"/>
        <w:jc w:val="both"/>
        <w:rPr>
          <w:rFonts w:ascii="Times New Roman" w:hAnsi="Times New Roman" w:cs="Times New Roman"/>
        </w:rPr>
      </w:pPr>
      <w:r w:rsidRPr="00FD495D">
        <w:rPr>
          <w:rFonts w:ascii="Times New Roman" w:hAnsi="Times New Roman" w:cs="Times New Roman"/>
        </w:rPr>
        <w:t xml:space="preserve">Revenue </w:t>
      </w:r>
      <w:r w:rsidR="003F09C3" w:rsidRPr="00FD495D">
        <w:rPr>
          <w:rFonts w:ascii="Times New Roman" w:hAnsi="Times New Roman" w:cs="Times New Roman"/>
        </w:rPr>
        <w:t xml:space="preserve">model </w:t>
      </w:r>
    </w:p>
    <w:p w14:paraId="684B267B" w14:textId="2185A0F6" w:rsidR="007F1202" w:rsidRDefault="007F1202" w:rsidP="00FD495D">
      <w:pPr>
        <w:spacing w:line="360" w:lineRule="auto"/>
        <w:jc w:val="both"/>
        <w:rPr>
          <w:rFonts w:ascii="Times New Roman" w:hAnsi="Times New Roman" w:cs="Times New Roman"/>
        </w:rPr>
      </w:pPr>
      <w:r>
        <w:rPr>
          <w:rFonts w:ascii="Times New Roman" w:hAnsi="Times New Roman" w:cs="Times New Roman"/>
          <w:noProof/>
        </w:rPr>
        <w:drawing>
          <wp:inline distT="0" distB="0" distL="0" distR="0" wp14:anchorId="1E7CC54D" wp14:editId="70A01ECB">
            <wp:extent cx="4736517" cy="2575560"/>
            <wp:effectExtent l="0" t="0" r="6985" b="0"/>
            <wp:docPr id="1828710452" name="Picture 1" descr="A graph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8710452" name="Picture 1" descr="A graph of a graph&#10;&#10;AI-generated content may be incorrect."/>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4753271" cy="2584670"/>
                    </a:xfrm>
                    <a:prstGeom prst="rect">
                      <a:avLst/>
                    </a:prstGeom>
                    <a:noFill/>
                    <a:ln>
                      <a:noFill/>
                    </a:ln>
                  </pic:spPr>
                </pic:pic>
              </a:graphicData>
            </a:graphic>
          </wp:inline>
        </w:drawing>
      </w:r>
    </w:p>
    <w:p w14:paraId="1DC750A8" w14:textId="5039B124" w:rsidR="007F1202" w:rsidRPr="00FD495D" w:rsidRDefault="007F1202" w:rsidP="00FD495D">
      <w:pPr>
        <w:spacing w:line="360" w:lineRule="auto"/>
        <w:jc w:val="both"/>
        <w:rPr>
          <w:rFonts w:ascii="Times New Roman" w:hAnsi="Times New Roman" w:cs="Times New Roman"/>
        </w:rPr>
      </w:pPr>
    </w:p>
    <w:p w14:paraId="79539B3F" w14:textId="77777777" w:rsidR="00F16855" w:rsidRDefault="00F16855" w:rsidP="00FD495D">
      <w:pPr>
        <w:spacing w:line="360" w:lineRule="auto"/>
        <w:jc w:val="both"/>
        <w:rPr>
          <w:rFonts w:ascii="Times New Roman" w:hAnsi="Times New Roman" w:cs="Times New Roman"/>
        </w:rPr>
      </w:pPr>
      <w:r w:rsidRPr="00F16855">
        <w:rPr>
          <w:rFonts w:ascii="Times New Roman" w:hAnsi="Times New Roman" w:cs="Times New Roman"/>
        </w:rPr>
        <w:t>Tesla, Inc. has developed a multifaceted revenue model that strategically integrates multiple income streams to support its operations and long-term growth. The company’s core revenue continues to stem from the direct sale of electric vehicles (EVs) to consumers, bypassing the traditional franchised dealership model and thereby capturing greater value per unit sold (Mangram, 2012; Tesla, 2024). This direct-to-consumer approach enhances customer relationships and provides Tesla with tighter control over pricing, inventory, and user experience.</w:t>
      </w:r>
    </w:p>
    <w:p w14:paraId="1C90B465" w14:textId="26B2574D" w:rsidR="00E075A9" w:rsidRDefault="00E075A9" w:rsidP="00FD495D">
      <w:pPr>
        <w:spacing w:line="360" w:lineRule="auto"/>
        <w:jc w:val="both"/>
        <w:rPr>
          <w:rFonts w:ascii="Times New Roman" w:hAnsi="Times New Roman" w:cs="Times New Roman"/>
        </w:rPr>
      </w:pPr>
      <w:r w:rsidRPr="00E075A9">
        <w:rPr>
          <w:rFonts w:ascii="Times New Roman" w:hAnsi="Times New Roman" w:cs="Times New Roman"/>
        </w:rPr>
        <w:t xml:space="preserve"> Tesla makes an appreciable amount of revenue on leases and financing, which gives consumers and businesses the opportunity to own one of their vehicles without putting up the full purchase price upfront. These financial products generate a consistent revenue channel and expand the average customer base of Tesla, as it enhances vehicle affordability (Tesla, 2024). Energy generation and storage, which consists of the sale of solar panels, solar roofs and energy storage products such as the Powerwall, Powerpack and Megapack has been a growing business for Tesla. This is in line with Tesla’s overarching objective to expedite the world’s move to sustainable </w:t>
      </w:r>
      <w:r w:rsidR="00D20BAD" w:rsidRPr="00E075A9">
        <w:rPr>
          <w:rFonts w:ascii="Times New Roman" w:hAnsi="Times New Roman" w:cs="Times New Roman"/>
        </w:rPr>
        <w:t>energy and</w:t>
      </w:r>
      <w:r w:rsidRPr="00E075A9">
        <w:rPr>
          <w:rFonts w:ascii="Times New Roman" w:hAnsi="Times New Roman" w:cs="Times New Roman"/>
        </w:rPr>
        <w:t xml:space="preserve"> has taken on increasing significance as Tesla endeavours to expand its revenue streams beyond automotive sales (IEA, 2024; Tesla, 2024). Tesla Energy, for example, has secured multiple utility-scale contracts emphasizing that the Powerpack is commercially attractive. Another high-margin line of business is software and services (i.e., take rates from </w:t>
      </w:r>
      <w:r w:rsidRPr="00E075A9">
        <w:rPr>
          <w:rFonts w:ascii="Times New Roman" w:hAnsi="Times New Roman" w:cs="Times New Roman"/>
        </w:rPr>
        <w:lastRenderedPageBreak/>
        <w:t>the FSD package, over-the-air software updates, connectivity services revenue, and access to its proprietary Supercharger network). The Tesla software scenario allows for ongoing monetization after the car sale, similar enough to tech firms’ recurring revenue model (Hannah, 2023). This vertical also experiences network effects and is quite accretive to Tesla’s margins given the low marginal cost (importantly digital) of services.</w:t>
      </w:r>
    </w:p>
    <w:p w14:paraId="258F1FA0" w14:textId="77777777" w:rsidR="00E075A9" w:rsidRPr="00F16855" w:rsidRDefault="00E075A9" w:rsidP="00FD495D">
      <w:pPr>
        <w:spacing w:line="360" w:lineRule="auto"/>
        <w:jc w:val="both"/>
        <w:rPr>
          <w:rFonts w:ascii="Times New Roman" w:hAnsi="Times New Roman" w:cs="Times New Roman"/>
        </w:rPr>
      </w:pPr>
    </w:p>
    <w:p w14:paraId="4FFDBD7A" w14:textId="17675DF5" w:rsidR="007F1202" w:rsidRDefault="007F1202" w:rsidP="00FD495D">
      <w:pPr>
        <w:spacing w:line="360" w:lineRule="auto"/>
        <w:jc w:val="both"/>
        <w:rPr>
          <w:rFonts w:ascii="Times New Roman" w:hAnsi="Times New Roman" w:cs="Times New Roman"/>
        </w:rPr>
      </w:pPr>
      <w:r>
        <w:rPr>
          <w:rFonts w:ascii="Times New Roman" w:hAnsi="Times New Roman" w:cs="Times New Roman"/>
          <w:noProof/>
        </w:rPr>
        <w:drawing>
          <wp:inline distT="0" distB="0" distL="0" distR="0" wp14:anchorId="738C3CC5" wp14:editId="21A58731">
            <wp:extent cx="5072180" cy="2583180"/>
            <wp:effectExtent l="0" t="0" r="0" b="7620"/>
            <wp:docPr id="76312477" name="Picture 2" descr="A graph showing a green l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312477" name="Picture 2" descr="A graph showing a green line&#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091041" cy="2592785"/>
                    </a:xfrm>
                    <a:prstGeom prst="rect">
                      <a:avLst/>
                    </a:prstGeom>
                    <a:noFill/>
                    <a:ln>
                      <a:noFill/>
                    </a:ln>
                  </pic:spPr>
                </pic:pic>
              </a:graphicData>
            </a:graphic>
          </wp:inline>
        </w:drawing>
      </w:r>
    </w:p>
    <w:p w14:paraId="131A5704" w14:textId="05129939" w:rsidR="007F1202" w:rsidRDefault="00E075A9" w:rsidP="00FD495D">
      <w:pPr>
        <w:spacing w:line="360" w:lineRule="auto"/>
        <w:jc w:val="both"/>
        <w:rPr>
          <w:rFonts w:ascii="Times New Roman" w:hAnsi="Times New Roman" w:cs="Times New Roman"/>
        </w:rPr>
      </w:pPr>
      <w:r w:rsidRPr="00E075A9">
        <w:rPr>
          <w:rFonts w:ascii="Times New Roman" w:hAnsi="Times New Roman" w:cs="Times New Roman"/>
        </w:rPr>
        <w:t xml:space="preserve">Tesla also generates revenue from the sale of regulatory credits to other automakers. If you manufacture cars in a market that has tight emissions rules, as California and the European Union do, these carmakers must meet a quota for zero-emission vehicles. Tesla, the electric vehicle-only manufacturer, produces excess credits which it sells to competitors who </w:t>
      </w:r>
      <w:r w:rsidR="00D20BAD" w:rsidRPr="00E075A9">
        <w:rPr>
          <w:rFonts w:ascii="Times New Roman" w:hAnsi="Times New Roman" w:cs="Times New Roman"/>
        </w:rPr>
        <w:t>can’t</w:t>
      </w:r>
      <w:r w:rsidRPr="00E075A9">
        <w:rPr>
          <w:rFonts w:ascii="Times New Roman" w:hAnsi="Times New Roman" w:cs="Times New Roman"/>
        </w:rPr>
        <w:t xml:space="preserve"> satisfy their requirements (Lambert, 2021). Regulatory credit sales are not a central part of its long-term strategy, but they have given Tesla hundreds of millions of dollars in extra revenue and helped pave the way to profitability in past years. Tesla's multi-line revenue model is not only diversified but well-thought out in terms of integration. For example, the software and regulatory credit businesses with high margins can use their profits to finance the less marginate vehicle production or energy services installation. This cross-subsidisation enables Tesla to maintain competitive pricing whilst investing in developments and infrastructure growth (Tesla, 2024). Diversification also helps uncouple from any one revenue stream, reducing financial risk and improving flexibility.</w:t>
      </w:r>
    </w:p>
    <w:p w14:paraId="6E7797CC" w14:textId="77777777" w:rsidR="00E075A9" w:rsidRDefault="00E075A9" w:rsidP="00FD495D">
      <w:pPr>
        <w:spacing w:line="360" w:lineRule="auto"/>
        <w:jc w:val="both"/>
        <w:rPr>
          <w:rFonts w:ascii="Times New Roman" w:hAnsi="Times New Roman" w:cs="Times New Roman"/>
        </w:rPr>
      </w:pPr>
    </w:p>
    <w:p w14:paraId="2684DE61" w14:textId="77777777" w:rsidR="00E075A9" w:rsidRPr="00F16855" w:rsidRDefault="00E075A9" w:rsidP="00FD495D">
      <w:pPr>
        <w:spacing w:line="360" w:lineRule="auto"/>
        <w:jc w:val="both"/>
        <w:rPr>
          <w:rFonts w:ascii="Times New Roman" w:hAnsi="Times New Roman" w:cs="Times New Roman"/>
        </w:rPr>
      </w:pPr>
    </w:p>
    <w:p w14:paraId="5E519A8E" w14:textId="77777777" w:rsidR="00F16855" w:rsidRPr="00FD495D" w:rsidRDefault="00F16855" w:rsidP="00E13FEC">
      <w:pPr>
        <w:pStyle w:val="Heading1"/>
      </w:pPr>
      <w:bookmarkStart w:id="2" w:name="_Toc211338368"/>
      <w:r w:rsidRPr="00FD495D">
        <w:lastRenderedPageBreak/>
        <w:t>Cost Structures – Fixed vs Variable Costs</w:t>
      </w:r>
      <w:bookmarkEnd w:id="2"/>
    </w:p>
    <w:p w14:paraId="498D69A0" w14:textId="77777777" w:rsidR="007F1202" w:rsidRDefault="007F1202" w:rsidP="00FD495D">
      <w:pPr>
        <w:spacing w:line="360" w:lineRule="auto"/>
        <w:jc w:val="both"/>
        <w:rPr>
          <w:rFonts w:ascii="Times New Roman" w:hAnsi="Times New Roman" w:cs="Times New Roman"/>
        </w:rPr>
      </w:pPr>
    </w:p>
    <w:p w14:paraId="6B2EFBE2" w14:textId="37B71E39" w:rsidR="007F1202" w:rsidRPr="00FD495D" w:rsidRDefault="007F1202" w:rsidP="00FD495D">
      <w:pPr>
        <w:spacing w:line="360" w:lineRule="auto"/>
        <w:jc w:val="both"/>
        <w:rPr>
          <w:rFonts w:ascii="Times New Roman" w:hAnsi="Times New Roman" w:cs="Times New Roman"/>
        </w:rPr>
      </w:pPr>
      <w:r>
        <w:rPr>
          <w:rFonts w:ascii="Times New Roman" w:hAnsi="Times New Roman" w:cs="Times New Roman"/>
          <w:noProof/>
        </w:rPr>
        <w:drawing>
          <wp:inline distT="0" distB="0" distL="0" distR="0" wp14:anchorId="6967D830" wp14:editId="0D32CAF0">
            <wp:extent cx="3116580" cy="3116580"/>
            <wp:effectExtent l="0" t="0" r="7620" b="7620"/>
            <wp:docPr id="193205919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116580" cy="3116580"/>
                    </a:xfrm>
                    <a:prstGeom prst="rect">
                      <a:avLst/>
                    </a:prstGeom>
                    <a:noFill/>
                    <a:ln>
                      <a:noFill/>
                    </a:ln>
                  </pic:spPr>
                </pic:pic>
              </a:graphicData>
            </a:graphic>
          </wp:inline>
        </w:drawing>
      </w:r>
    </w:p>
    <w:p w14:paraId="3A412D5D" w14:textId="77777777" w:rsidR="00F16855" w:rsidRDefault="00F16855" w:rsidP="00FD495D">
      <w:pPr>
        <w:spacing w:line="360" w:lineRule="auto"/>
        <w:jc w:val="both"/>
        <w:rPr>
          <w:rFonts w:ascii="Times New Roman" w:hAnsi="Times New Roman" w:cs="Times New Roman"/>
        </w:rPr>
      </w:pPr>
      <w:r w:rsidRPr="00FD495D">
        <w:rPr>
          <w:rFonts w:ascii="Times New Roman" w:hAnsi="Times New Roman" w:cs="Times New Roman"/>
        </w:rPr>
        <w:t>Tesla’s cost structure includes a mix of fixed and variable costs, with a strong capital-intensive nature:</w:t>
      </w:r>
    </w:p>
    <w:p w14:paraId="0D7E1A3D" w14:textId="5881F9AE" w:rsidR="00E075A9" w:rsidRPr="00FD495D" w:rsidRDefault="00E075A9" w:rsidP="00FD495D">
      <w:pPr>
        <w:spacing w:line="360" w:lineRule="auto"/>
        <w:jc w:val="both"/>
        <w:rPr>
          <w:rFonts w:ascii="Times New Roman" w:hAnsi="Times New Roman" w:cs="Times New Roman"/>
        </w:rPr>
      </w:pPr>
      <w:r w:rsidRPr="00E075A9">
        <w:rPr>
          <w:rFonts w:ascii="Times New Roman" w:hAnsi="Times New Roman" w:cs="Times New Roman"/>
        </w:rPr>
        <w:t>Fixed costs Depreciation, amortisation, and facility costs: Tesla has significant investments in gigafactories (including construction), manufacturing facilities, battery cell lines and production tooling. The above does not (very) depend on the short-term production quantity. R&amp;D and engineering overheads: Big research programmes (autonomous driving, new vehicle platforms) carry fixed costs already before commercialisation. Salaries and admin overheads: A lot of your permanent staff and support roles, corporate, management etc. work irrespective of output. Maintenance of capital: Plant facilities and equipment maintenance is mostly fixed. Variable costs Raw materials and components: Batteries, semiconductors, steel, wiring harnesses these multiply at every unit of production. Direct labour (assembly line): Factory hourly production labour, varies with volume. Logistics, shipping and delivery: Movement of parts or automobiles is volumetric costly. Energy use: Production electricity and utilities vary with usage. Warranty, service and parts: Certain service expenses rise with the number of vehicles in use. Due to high fixed costs, Tesla enjoys great economies of scale: the higher production is, fixed costs per unit falls. It is therefore important to use the capacity efficiently.</w:t>
      </w:r>
    </w:p>
    <w:p w14:paraId="64CB0D6D" w14:textId="3819715D" w:rsidR="00F16855" w:rsidRPr="00FD495D" w:rsidRDefault="00F16855" w:rsidP="00FD495D">
      <w:pPr>
        <w:spacing w:line="360" w:lineRule="auto"/>
        <w:jc w:val="both"/>
        <w:rPr>
          <w:rFonts w:ascii="Times New Roman" w:hAnsi="Times New Roman" w:cs="Times New Roman"/>
        </w:rPr>
      </w:pPr>
      <w:r w:rsidRPr="00FD495D">
        <w:rPr>
          <w:rFonts w:ascii="Times New Roman" w:hAnsi="Times New Roman" w:cs="Times New Roman"/>
        </w:rPr>
        <w:lastRenderedPageBreak/>
        <w:t>In the UK context, Tesla must factor in import costs, regulatory compliance (e.g. emissions, safety standards), and local distribution/charging infrastructure costs. When selling in the UK, additional costs include import duties, transport from European factories (e.g. Gigafactory Berlin or Shanghai exports), local charging network investments, and government incentive programmes.</w:t>
      </w:r>
    </w:p>
    <w:p w14:paraId="5CCF05A8" w14:textId="4A2DD908" w:rsidR="00F16855" w:rsidRPr="00FD495D" w:rsidRDefault="00F16855" w:rsidP="00FD495D">
      <w:pPr>
        <w:spacing w:line="360" w:lineRule="auto"/>
        <w:jc w:val="both"/>
        <w:rPr>
          <w:rFonts w:ascii="Times New Roman" w:hAnsi="Times New Roman" w:cs="Times New Roman"/>
        </w:rPr>
      </w:pPr>
      <w:r w:rsidRPr="00FD495D">
        <w:rPr>
          <w:rFonts w:ascii="Times New Roman" w:hAnsi="Times New Roman" w:cs="Times New Roman"/>
        </w:rPr>
        <w:t xml:space="preserve">From a management accounting perspective, Tesla likely employs absorption costing (allocating fixed manufacturing overheads to units) combined with activity-based costing (ABC) for more refined allocation of overheads (especially in R&amp;D, service, software). This allows better cost attribution to </w:t>
      </w:r>
      <w:r w:rsidR="00F71462" w:rsidRPr="00FD495D">
        <w:rPr>
          <w:rFonts w:ascii="Times New Roman" w:hAnsi="Times New Roman" w:cs="Times New Roman"/>
        </w:rPr>
        <w:t>models</w:t>
      </w:r>
      <w:r w:rsidRPr="00FD495D">
        <w:rPr>
          <w:rFonts w:ascii="Times New Roman" w:hAnsi="Times New Roman" w:cs="Times New Roman"/>
        </w:rPr>
        <w:t xml:space="preserve"> or functions (e.g. FSD division, battery division) and supports more informed decisions.</w:t>
      </w:r>
    </w:p>
    <w:p w14:paraId="0D18EFED" w14:textId="77777777" w:rsidR="00F16855" w:rsidRPr="00FD495D" w:rsidRDefault="00F16855" w:rsidP="00FD495D">
      <w:pPr>
        <w:spacing w:line="360" w:lineRule="auto"/>
        <w:jc w:val="both"/>
        <w:rPr>
          <w:rFonts w:ascii="Times New Roman" w:hAnsi="Times New Roman" w:cs="Times New Roman"/>
        </w:rPr>
      </w:pPr>
    </w:p>
    <w:p w14:paraId="10B90E2C" w14:textId="245DD862" w:rsidR="00F16855" w:rsidRPr="00FD495D" w:rsidRDefault="00F16855" w:rsidP="00FD495D">
      <w:pPr>
        <w:spacing w:line="360" w:lineRule="auto"/>
        <w:jc w:val="both"/>
        <w:rPr>
          <w:rFonts w:ascii="Times New Roman" w:hAnsi="Times New Roman" w:cs="Times New Roman"/>
        </w:rPr>
      </w:pPr>
      <w:r w:rsidRPr="00FD495D">
        <w:rPr>
          <w:rFonts w:ascii="Times New Roman" w:hAnsi="Times New Roman" w:cs="Times New Roman"/>
        </w:rPr>
        <w:t xml:space="preserve">Tesla’s cost sensitivity to commodity price fluctuations (e.g. lithium, cobalt) means that the company must hedge or monitor raw material markets </w:t>
      </w:r>
      <w:r w:rsidR="00FD495D" w:rsidRPr="00FD495D">
        <w:rPr>
          <w:rFonts w:ascii="Times New Roman" w:hAnsi="Times New Roman" w:cs="Times New Roman"/>
        </w:rPr>
        <w:t>closely and</w:t>
      </w:r>
      <w:r w:rsidRPr="00FD495D">
        <w:rPr>
          <w:rFonts w:ascii="Times New Roman" w:hAnsi="Times New Roman" w:cs="Times New Roman"/>
        </w:rPr>
        <w:t xml:space="preserve"> incorporate variance analysis to flag cost overruns or </w:t>
      </w:r>
      <w:r w:rsidR="00F71462" w:rsidRPr="00FD495D">
        <w:rPr>
          <w:rFonts w:ascii="Times New Roman" w:hAnsi="Times New Roman" w:cs="Times New Roman"/>
        </w:rPr>
        <w:t>favourable</w:t>
      </w:r>
      <w:r w:rsidRPr="00FD495D">
        <w:rPr>
          <w:rFonts w:ascii="Times New Roman" w:hAnsi="Times New Roman" w:cs="Times New Roman"/>
        </w:rPr>
        <w:t xml:space="preserve"> variances.</w:t>
      </w:r>
    </w:p>
    <w:p w14:paraId="266174DE" w14:textId="77777777" w:rsidR="00F16855" w:rsidRDefault="00F16855" w:rsidP="00FD495D">
      <w:pPr>
        <w:spacing w:line="360" w:lineRule="auto"/>
        <w:jc w:val="both"/>
        <w:rPr>
          <w:rFonts w:ascii="Times New Roman" w:hAnsi="Times New Roman" w:cs="Times New Roman"/>
        </w:rPr>
      </w:pPr>
    </w:p>
    <w:p w14:paraId="7CEB1231" w14:textId="77777777" w:rsidR="00BA39F6" w:rsidRDefault="00BA39F6" w:rsidP="00FD495D">
      <w:pPr>
        <w:spacing w:line="360" w:lineRule="auto"/>
        <w:jc w:val="both"/>
        <w:rPr>
          <w:rFonts w:ascii="Times New Roman" w:hAnsi="Times New Roman" w:cs="Times New Roman"/>
        </w:rPr>
      </w:pPr>
    </w:p>
    <w:p w14:paraId="030ECCB3" w14:textId="77777777" w:rsidR="00BA39F6" w:rsidRDefault="00BA39F6" w:rsidP="00FD495D">
      <w:pPr>
        <w:spacing w:line="360" w:lineRule="auto"/>
        <w:jc w:val="both"/>
        <w:rPr>
          <w:rFonts w:ascii="Times New Roman" w:hAnsi="Times New Roman" w:cs="Times New Roman"/>
        </w:rPr>
      </w:pPr>
    </w:p>
    <w:p w14:paraId="5FBF07D6" w14:textId="77777777" w:rsidR="00BA39F6" w:rsidRDefault="00BA39F6" w:rsidP="00FD495D">
      <w:pPr>
        <w:spacing w:line="360" w:lineRule="auto"/>
        <w:jc w:val="both"/>
        <w:rPr>
          <w:rFonts w:ascii="Times New Roman" w:hAnsi="Times New Roman" w:cs="Times New Roman"/>
        </w:rPr>
      </w:pPr>
    </w:p>
    <w:p w14:paraId="13E57F26" w14:textId="77777777" w:rsidR="00BA39F6" w:rsidRDefault="00BA39F6" w:rsidP="00FD495D">
      <w:pPr>
        <w:spacing w:line="360" w:lineRule="auto"/>
        <w:jc w:val="both"/>
        <w:rPr>
          <w:rFonts w:ascii="Times New Roman" w:hAnsi="Times New Roman" w:cs="Times New Roman"/>
        </w:rPr>
      </w:pPr>
    </w:p>
    <w:p w14:paraId="7B6A3BCE" w14:textId="77777777" w:rsidR="00BA39F6" w:rsidRDefault="00BA39F6" w:rsidP="00FD495D">
      <w:pPr>
        <w:spacing w:line="360" w:lineRule="auto"/>
        <w:jc w:val="both"/>
        <w:rPr>
          <w:rFonts w:ascii="Times New Roman" w:hAnsi="Times New Roman" w:cs="Times New Roman"/>
        </w:rPr>
      </w:pPr>
    </w:p>
    <w:p w14:paraId="7B3C47A1" w14:textId="77777777" w:rsidR="00E075A9" w:rsidRDefault="00E075A9" w:rsidP="00FD495D">
      <w:pPr>
        <w:spacing w:line="360" w:lineRule="auto"/>
        <w:jc w:val="both"/>
        <w:rPr>
          <w:rFonts w:ascii="Times New Roman" w:hAnsi="Times New Roman" w:cs="Times New Roman"/>
        </w:rPr>
      </w:pPr>
    </w:p>
    <w:p w14:paraId="369B719E" w14:textId="77777777" w:rsidR="00E075A9" w:rsidRDefault="00E075A9" w:rsidP="00FD495D">
      <w:pPr>
        <w:spacing w:line="360" w:lineRule="auto"/>
        <w:jc w:val="both"/>
        <w:rPr>
          <w:rFonts w:ascii="Times New Roman" w:hAnsi="Times New Roman" w:cs="Times New Roman"/>
        </w:rPr>
      </w:pPr>
    </w:p>
    <w:p w14:paraId="52E6B077" w14:textId="77777777" w:rsidR="00E075A9" w:rsidRDefault="00E075A9" w:rsidP="00FD495D">
      <w:pPr>
        <w:spacing w:line="360" w:lineRule="auto"/>
        <w:jc w:val="both"/>
        <w:rPr>
          <w:rFonts w:ascii="Times New Roman" w:hAnsi="Times New Roman" w:cs="Times New Roman"/>
        </w:rPr>
      </w:pPr>
    </w:p>
    <w:p w14:paraId="3905F54F" w14:textId="77777777" w:rsidR="00E075A9" w:rsidRDefault="00E075A9" w:rsidP="00FD495D">
      <w:pPr>
        <w:spacing w:line="360" w:lineRule="auto"/>
        <w:jc w:val="both"/>
        <w:rPr>
          <w:rFonts w:ascii="Times New Roman" w:hAnsi="Times New Roman" w:cs="Times New Roman"/>
        </w:rPr>
      </w:pPr>
    </w:p>
    <w:p w14:paraId="120D20B9" w14:textId="77777777" w:rsidR="00E075A9" w:rsidRDefault="00E075A9" w:rsidP="00FD495D">
      <w:pPr>
        <w:spacing w:line="360" w:lineRule="auto"/>
        <w:jc w:val="both"/>
        <w:rPr>
          <w:rFonts w:ascii="Times New Roman" w:hAnsi="Times New Roman" w:cs="Times New Roman"/>
        </w:rPr>
      </w:pPr>
    </w:p>
    <w:p w14:paraId="38DA4412" w14:textId="77777777" w:rsidR="00E075A9" w:rsidRPr="00FD495D" w:rsidRDefault="00E075A9" w:rsidP="00FD495D">
      <w:pPr>
        <w:spacing w:line="360" w:lineRule="auto"/>
        <w:jc w:val="both"/>
        <w:rPr>
          <w:rFonts w:ascii="Times New Roman" w:hAnsi="Times New Roman" w:cs="Times New Roman"/>
        </w:rPr>
      </w:pPr>
    </w:p>
    <w:p w14:paraId="73855234" w14:textId="08AAACEA" w:rsidR="00F16855" w:rsidRPr="00FD495D" w:rsidRDefault="00F16855" w:rsidP="00FD495D">
      <w:pPr>
        <w:spacing w:line="360" w:lineRule="auto"/>
        <w:jc w:val="both"/>
        <w:rPr>
          <w:rFonts w:ascii="Times New Roman" w:hAnsi="Times New Roman" w:cs="Times New Roman"/>
        </w:rPr>
      </w:pPr>
    </w:p>
    <w:p w14:paraId="5CAF776B" w14:textId="26670D93" w:rsidR="00F16855" w:rsidRDefault="00F16855" w:rsidP="00E13FEC">
      <w:pPr>
        <w:pStyle w:val="Heading1"/>
      </w:pPr>
      <w:bookmarkStart w:id="3" w:name="_Toc211338369"/>
      <w:r w:rsidRPr="00FD495D">
        <w:lastRenderedPageBreak/>
        <w:t>Budgeting and Financial Planning</w:t>
      </w:r>
      <w:bookmarkEnd w:id="3"/>
      <w:r w:rsidRPr="00FD495D">
        <w:t xml:space="preserve"> </w:t>
      </w:r>
    </w:p>
    <w:p w14:paraId="21153B0A" w14:textId="77777777" w:rsidR="007F1202" w:rsidRDefault="007F1202" w:rsidP="00FD495D">
      <w:pPr>
        <w:spacing w:line="360" w:lineRule="auto"/>
        <w:jc w:val="both"/>
        <w:rPr>
          <w:rFonts w:ascii="Times New Roman" w:hAnsi="Times New Roman" w:cs="Times New Roman"/>
        </w:rPr>
      </w:pPr>
    </w:p>
    <w:p w14:paraId="46A5A5C6" w14:textId="3A9A2973" w:rsidR="007F1202" w:rsidRPr="00FD495D" w:rsidRDefault="007F1202" w:rsidP="00FD495D">
      <w:pPr>
        <w:spacing w:line="360" w:lineRule="auto"/>
        <w:jc w:val="both"/>
        <w:rPr>
          <w:rFonts w:ascii="Times New Roman" w:hAnsi="Times New Roman" w:cs="Times New Roman"/>
        </w:rPr>
      </w:pPr>
      <w:r>
        <w:rPr>
          <w:rFonts w:ascii="Times New Roman" w:hAnsi="Times New Roman" w:cs="Times New Roman"/>
          <w:noProof/>
        </w:rPr>
        <w:drawing>
          <wp:inline distT="0" distB="0" distL="0" distR="0" wp14:anchorId="04946C1C" wp14:editId="6483B6C7">
            <wp:extent cx="2834485" cy="2796540"/>
            <wp:effectExtent l="0" t="0" r="4445" b="3810"/>
            <wp:docPr id="107955478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843444" cy="2805379"/>
                    </a:xfrm>
                    <a:prstGeom prst="rect">
                      <a:avLst/>
                    </a:prstGeom>
                    <a:noFill/>
                    <a:ln>
                      <a:noFill/>
                    </a:ln>
                  </pic:spPr>
                </pic:pic>
              </a:graphicData>
            </a:graphic>
          </wp:inline>
        </w:drawing>
      </w:r>
    </w:p>
    <w:p w14:paraId="67D0EF6F" w14:textId="77FE7330" w:rsidR="00E075A9" w:rsidRPr="00E075A9" w:rsidRDefault="00E075A9" w:rsidP="00E075A9">
      <w:pPr>
        <w:spacing w:line="360" w:lineRule="auto"/>
        <w:jc w:val="both"/>
        <w:rPr>
          <w:rFonts w:ascii="Times New Roman" w:hAnsi="Times New Roman" w:cs="Times New Roman"/>
        </w:rPr>
      </w:pPr>
      <w:r w:rsidRPr="00E075A9">
        <w:rPr>
          <w:rFonts w:ascii="Times New Roman" w:hAnsi="Times New Roman" w:cs="Times New Roman"/>
        </w:rPr>
        <w:t xml:space="preserve">Budgeting is a fundamental practice in Tesla’s corporate governance and operational strategy that enables the translation of strategic goals into financial goals, coordination of interdepartmental execution, and performance measurement. In the context of Tesla, budgets set boundaries and directions for capital deployment (e.g. factories, R&amp;D), operating expenses (e.g. SG&amp;A, sales, marketing) and allocations between segments (automotive, energy, services). Budgets allow Tesla's management to a) get ahead of resource issues, b) align incentives between divisions (e.g. Gigafactories; energy business), and c) produce variance analyses that initiate corrective actions when spending occurs in an </w:t>
      </w:r>
      <w:r w:rsidR="00D20BAD" w:rsidRPr="00E075A9">
        <w:rPr>
          <w:rFonts w:ascii="Times New Roman" w:hAnsi="Times New Roman" w:cs="Times New Roman"/>
        </w:rPr>
        <w:t>off-step</w:t>
      </w:r>
      <w:r w:rsidRPr="00E075A9">
        <w:rPr>
          <w:rFonts w:ascii="Times New Roman" w:hAnsi="Times New Roman" w:cs="Times New Roman"/>
        </w:rPr>
        <w:t xml:space="preserve"> manner.</w:t>
      </w:r>
    </w:p>
    <w:p w14:paraId="557E595A" w14:textId="1D050232" w:rsidR="00E075A9" w:rsidRPr="00E075A9" w:rsidRDefault="00E075A9" w:rsidP="00E075A9">
      <w:pPr>
        <w:spacing w:line="360" w:lineRule="auto"/>
        <w:jc w:val="both"/>
        <w:rPr>
          <w:rFonts w:ascii="Times New Roman" w:hAnsi="Times New Roman" w:cs="Times New Roman"/>
        </w:rPr>
      </w:pPr>
      <w:r w:rsidRPr="00E075A9">
        <w:rPr>
          <w:rFonts w:ascii="Times New Roman" w:hAnsi="Times New Roman" w:cs="Times New Roman"/>
        </w:rPr>
        <w:t>Based on the recently published figures, Tesla's 2024 operating expenses were about US$ 90.614 bn –higher than in 2023 (3.11% YoY increase). In the latest trailing twelve months (LTM) period to March 2025, total operating expenses were approximately US$88.743 billion (and slightly down), a retreat of about year over year. In addition, for the quarter ended June 30, 2025, Tesla reported operating expenses of US$21.57 billion, up approximately 9.72% from last year. These trends imply that Tesla management has decisively introduced measures to keep expense growth below break-even in 2025 after running expenses higher than breakeven in 2024.</w:t>
      </w:r>
    </w:p>
    <w:p w14:paraId="6B36BE57" w14:textId="54A32EF5" w:rsidR="00E075A9" w:rsidRPr="00E075A9" w:rsidRDefault="00E075A9" w:rsidP="00E075A9">
      <w:pPr>
        <w:spacing w:line="360" w:lineRule="auto"/>
        <w:jc w:val="both"/>
        <w:rPr>
          <w:rFonts w:ascii="Times New Roman" w:hAnsi="Times New Roman" w:cs="Times New Roman"/>
        </w:rPr>
      </w:pPr>
      <w:r w:rsidRPr="00E075A9">
        <w:rPr>
          <w:rFonts w:ascii="Times New Roman" w:hAnsi="Times New Roman" w:cs="Times New Roman"/>
        </w:rPr>
        <w:t xml:space="preserve">To investigate what impacted these shifts internally, one </w:t>
      </w:r>
      <w:r w:rsidR="006D13E1" w:rsidRPr="00E075A9">
        <w:rPr>
          <w:rFonts w:ascii="Times New Roman" w:hAnsi="Times New Roman" w:cs="Times New Roman"/>
        </w:rPr>
        <w:t>must</w:t>
      </w:r>
      <w:r w:rsidRPr="00E075A9">
        <w:rPr>
          <w:rFonts w:ascii="Times New Roman" w:hAnsi="Times New Roman" w:cs="Times New Roman"/>
        </w:rPr>
        <w:t xml:space="preserve"> analyse Tesla’s segment and disclosures. R&amp;D expenditure increased by US$ 571 million (14%) compared to 2023 in 2024 </w:t>
      </w:r>
      <w:r w:rsidRPr="00E075A9">
        <w:rPr>
          <w:rFonts w:ascii="Times New Roman" w:hAnsi="Times New Roman" w:cs="Times New Roman"/>
        </w:rPr>
        <w:lastRenderedPageBreak/>
        <w:t>with growth primarily stemming from the stepped-up investment in AI development and technology platforms. This is indicative of a management policy to invest heavily in R&amp;D and new product lines at the cost of high operating expenses. Meanwhile, Selling, General &amp; Administrative (SG&amp;A) costs rose US$ 350 million (+7 %), primarily reflecting inflation in facility costs, labour and marketing spend. In 2024, Tesla also reported restructuring and termination costs of US$ 583 million due to internal cost cutting measures.</w:t>
      </w:r>
    </w:p>
    <w:p w14:paraId="5E89727F" w14:textId="77777777" w:rsidR="007F1202" w:rsidRDefault="007F1202" w:rsidP="00FD495D">
      <w:pPr>
        <w:spacing w:line="360" w:lineRule="auto"/>
        <w:jc w:val="both"/>
        <w:rPr>
          <w:rFonts w:ascii="Times New Roman" w:hAnsi="Times New Roman" w:cs="Times New Roman"/>
        </w:rPr>
      </w:pPr>
    </w:p>
    <w:p w14:paraId="72DCC081" w14:textId="35B799FB" w:rsidR="007F1202" w:rsidRPr="00FD495D" w:rsidRDefault="007F1202" w:rsidP="00FD495D">
      <w:pPr>
        <w:spacing w:line="360" w:lineRule="auto"/>
        <w:jc w:val="both"/>
        <w:rPr>
          <w:rFonts w:ascii="Times New Roman" w:hAnsi="Times New Roman" w:cs="Times New Roman"/>
        </w:rPr>
      </w:pPr>
      <w:r>
        <w:rPr>
          <w:rFonts w:ascii="Times New Roman" w:hAnsi="Times New Roman" w:cs="Times New Roman"/>
          <w:noProof/>
        </w:rPr>
        <w:drawing>
          <wp:inline distT="0" distB="0" distL="0" distR="0" wp14:anchorId="2F249F72" wp14:editId="640ACBA1">
            <wp:extent cx="3360420" cy="3414044"/>
            <wp:effectExtent l="0" t="0" r="0" b="0"/>
            <wp:docPr id="1758329700"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370666" cy="3424454"/>
                    </a:xfrm>
                    <a:prstGeom prst="rect">
                      <a:avLst/>
                    </a:prstGeom>
                    <a:noFill/>
                    <a:ln>
                      <a:noFill/>
                    </a:ln>
                  </pic:spPr>
                </pic:pic>
              </a:graphicData>
            </a:graphic>
          </wp:inline>
        </w:drawing>
      </w:r>
    </w:p>
    <w:p w14:paraId="3B484D74" w14:textId="77777777" w:rsidR="00D20BAD" w:rsidRPr="00D20BAD" w:rsidRDefault="00D20BAD" w:rsidP="00D20BAD">
      <w:pPr>
        <w:spacing w:line="360" w:lineRule="auto"/>
        <w:jc w:val="both"/>
        <w:rPr>
          <w:rFonts w:ascii="Times New Roman" w:hAnsi="Times New Roman" w:cs="Times New Roman"/>
        </w:rPr>
      </w:pPr>
      <w:r w:rsidRPr="00D20BAD">
        <w:rPr>
          <w:rFonts w:ascii="Times New Roman" w:hAnsi="Times New Roman" w:cs="Times New Roman"/>
        </w:rPr>
        <w:t>Management seems to have turned in 2025 to a higher emphasis on cost discipline. During Q1 2025 (vs Q1 2024), Tesla's R&amp;D spending grew by 22 % (US$ 258m) as funding into AI programs persist, offsetting that the SG&amp;A expenditure decreased over this period by a sound 9 % (or US$123m) driven largely by the reduction in labour costs, facilities-related expenses, marketing and stock-based compensation. This means the internal budget rules were changed so overheads could be shaved while maintaining investment in 'strategic' technology. Tesla’s leadership probably looked at departmental budgets halfway through the year, pulled in discretionary spends (travel, marketing campaigns), consolidated on shared services and cut less incremental/sample headcount hiring except for core R&amp;D teams.</w:t>
      </w:r>
    </w:p>
    <w:p w14:paraId="29183EAA" w14:textId="134D3F21" w:rsidR="00F16855" w:rsidRPr="00FD495D" w:rsidRDefault="00D20BAD" w:rsidP="00FD495D">
      <w:pPr>
        <w:spacing w:line="360" w:lineRule="auto"/>
        <w:jc w:val="both"/>
        <w:rPr>
          <w:rFonts w:ascii="Times New Roman" w:hAnsi="Times New Roman" w:cs="Times New Roman"/>
        </w:rPr>
      </w:pPr>
      <w:r w:rsidRPr="00D20BAD">
        <w:rPr>
          <w:rFonts w:ascii="Times New Roman" w:hAnsi="Times New Roman" w:cs="Times New Roman"/>
        </w:rPr>
        <w:t xml:space="preserve">The Tesla budget process serves a dual function: It facilitates ambitious growth capital investments (most notably in R&amp;D and capacity) while ensuring cost control over what it can control. On a comparative basis between 2024 and 2025, there is tactical shift: while internal </w:t>
      </w:r>
      <w:r w:rsidRPr="00D20BAD">
        <w:rPr>
          <w:rFonts w:ascii="Times New Roman" w:hAnsi="Times New Roman" w:cs="Times New Roman"/>
        </w:rPr>
        <w:lastRenderedPageBreak/>
        <w:t>decisions in 2024 were biased toward expansion and restructuring, in 2025 they are all about defending SG&amp;A territory with sharper containment of operating cost without giving away the strategy of R&amp;D momentum. These findings support the view of budgets, not as fixed performances standards, but as flexible instruments that management can use to navigate cost behaviour modifiers in response to shifts in operating and market environments.</w:t>
      </w:r>
    </w:p>
    <w:p w14:paraId="38125DFC" w14:textId="77777777" w:rsidR="00F16855" w:rsidRPr="00FD495D" w:rsidRDefault="00F16855" w:rsidP="00FD495D">
      <w:pPr>
        <w:spacing w:line="360" w:lineRule="auto"/>
        <w:jc w:val="both"/>
        <w:rPr>
          <w:rFonts w:ascii="Times New Roman" w:hAnsi="Times New Roman" w:cs="Times New Roman"/>
        </w:rPr>
      </w:pPr>
    </w:p>
    <w:p w14:paraId="33AC6B1C" w14:textId="3FA209BB" w:rsidR="00F16855" w:rsidRPr="00FD495D" w:rsidRDefault="00F16855" w:rsidP="00E13FEC">
      <w:pPr>
        <w:pStyle w:val="Heading1"/>
      </w:pPr>
      <w:r w:rsidRPr="00FD495D">
        <w:t xml:space="preserve"> </w:t>
      </w:r>
      <w:bookmarkStart w:id="4" w:name="_Toc211338370"/>
      <w:r w:rsidRPr="00FD495D">
        <w:t>Performance Measurement and Decision-Making</w:t>
      </w:r>
      <w:bookmarkEnd w:id="4"/>
      <w:r w:rsidRPr="00FD495D">
        <w:t xml:space="preserve"> </w:t>
      </w:r>
    </w:p>
    <w:p w14:paraId="5CBA7217" w14:textId="77777777" w:rsidR="00BA39F6" w:rsidRDefault="00BA39F6" w:rsidP="00FD495D">
      <w:pPr>
        <w:spacing w:line="360" w:lineRule="auto"/>
        <w:jc w:val="both"/>
        <w:rPr>
          <w:rFonts w:ascii="Times New Roman" w:hAnsi="Times New Roman" w:cs="Times New Roman"/>
        </w:rPr>
      </w:pPr>
    </w:p>
    <w:p w14:paraId="6272D8AE" w14:textId="77777777" w:rsidR="00BA39F6" w:rsidRDefault="00BA39F6" w:rsidP="00FD495D">
      <w:pPr>
        <w:spacing w:line="360" w:lineRule="auto"/>
        <w:jc w:val="both"/>
        <w:rPr>
          <w:rFonts w:ascii="Times New Roman" w:hAnsi="Times New Roman" w:cs="Times New Roman"/>
        </w:rPr>
      </w:pPr>
    </w:p>
    <w:p w14:paraId="01D87DCA" w14:textId="16F34B5B" w:rsidR="00BA39F6" w:rsidRPr="00FD495D" w:rsidRDefault="00BA39F6" w:rsidP="00FD495D">
      <w:pPr>
        <w:spacing w:line="360" w:lineRule="auto"/>
        <w:jc w:val="both"/>
        <w:rPr>
          <w:rFonts w:ascii="Times New Roman" w:hAnsi="Times New Roman" w:cs="Times New Roman"/>
        </w:rPr>
      </w:pPr>
      <w:r>
        <w:rPr>
          <w:rFonts w:ascii="Times New Roman" w:hAnsi="Times New Roman" w:cs="Times New Roman"/>
          <w:noProof/>
        </w:rPr>
        <w:drawing>
          <wp:inline distT="0" distB="0" distL="0" distR="0" wp14:anchorId="1D27F49A" wp14:editId="55A98972">
            <wp:extent cx="4785360" cy="2690972"/>
            <wp:effectExtent l="0" t="0" r="0" b="0"/>
            <wp:docPr id="1849034549"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4802282" cy="2700488"/>
                    </a:xfrm>
                    <a:prstGeom prst="rect">
                      <a:avLst/>
                    </a:prstGeom>
                    <a:noFill/>
                    <a:ln>
                      <a:noFill/>
                    </a:ln>
                  </pic:spPr>
                </pic:pic>
              </a:graphicData>
            </a:graphic>
          </wp:inline>
        </w:drawing>
      </w:r>
    </w:p>
    <w:p w14:paraId="1A04C589" w14:textId="77777777" w:rsidR="00F71462" w:rsidRPr="00FD495D" w:rsidRDefault="00F71462" w:rsidP="00FD495D">
      <w:pPr>
        <w:spacing w:line="360" w:lineRule="auto"/>
        <w:jc w:val="both"/>
        <w:rPr>
          <w:rFonts w:ascii="Times New Roman" w:hAnsi="Times New Roman" w:cs="Times New Roman"/>
        </w:rPr>
      </w:pPr>
      <w:r w:rsidRPr="00FD495D">
        <w:rPr>
          <w:rFonts w:ascii="Times New Roman" w:hAnsi="Times New Roman" w:cs="Times New Roman"/>
        </w:rPr>
        <w:t>Tesla monitors a mix of financial and non-financial Key Performance Indicators (KPIs) to guide strategy, evaluate performance, and trigger internal managerial actions. Below are five salient KPIs (with ratio measures), followed by how Tesla uses them in decision-making.</w:t>
      </w:r>
    </w:p>
    <w:p w14:paraId="441ADC5B" w14:textId="77777777" w:rsidR="00F71462" w:rsidRPr="00FD495D" w:rsidRDefault="00F71462" w:rsidP="00FD495D">
      <w:pPr>
        <w:spacing w:line="360" w:lineRule="auto"/>
        <w:jc w:val="both"/>
        <w:rPr>
          <w:rFonts w:ascii="Times New Roman" w:hAnsi="Times New Roman" w:cs="Times New Roman"/>
        </w:rPr>
      </w:pPr>
    </w:p>
    <w:p w14:paraId="558462C1" w14:textId="77777777" w:rsidR="00F71462" w:rsidRPr="00E13FEC" w:rsidRDefault="00F71462" w:rsidP="00FD495D">
      <w:pPr>
        <w:spacing w:line="360" w:lineRule="auto"/>
        <w:jc w:val="both"/>
        <w:rPr>
          <w:rStyle w:val="Strong"/>
        </w:rPr>
      </w:pPr>
      <w:r w:rsidRPr="00E13FEC">
        <w:rPr>
          <w:rStyle w:val="Strong"/>
        </w:rPr>
        <w:t>Key KPIs and Ratios</w:t>
      </w:r>
    </w:p>
    <w:p w14:paraId="52CD5BD5" w14:textId="762E9BD5" w:rsidR="00F71462" w:rsidRPr="00FD495D" w:rsidRDefault="00F71462" w:rsidP="00FD495D">
      <w:pPr>
        <w:spacing w:line="360" w:lineRule="auto"/>
        <w:jc w:val="both"/>
        <w:rPr>
          <w:rFonts w:ascii="Times New Roman" w:hAnsi="Times New Roman" w:cs="Times New Roman"/>
        </w:rPr>
      </w:pPr>
      <w:r w:rsidRPr="00FD495D">
        <w:rPr>
          <w:rFonts w:ascii="Times New Roman" w:hAnsi="Times New Roman" w:cs="Times New Roman"/>
        </w:rPr>
        <w:t>Gross Margin (financial) This is calculated as Gross Profit ÷ Revenue. In 2024, Tesla’s gross margin stood at 17.9% (down from 18.2% in 2023) reflecting pricing pressure and cost increases (Tesla 2024 10-K; see medium analysis).</w:t>
      </w:r>
    </w:p>
    <w:p w14:paraId="2B48CC6D" w14:textId="330C2E8C" w:rsidR="00F71462" w:rsidRPr="00FD495D" w:rsidRDefault="00F71462" w:rsidP="00FD495D">
      <w:pPr>
        <w:spacing w:line="360" w:lineRule="auto"/>
        <w:jc w:val="both"/>
        <w:rPr>
          <w:rFonts w:ascii="Times New Roman" w:hAnsi="Times New Roman" w:cs="Times New Roman"/>
        </w:rPr>
      </w:pPr>
      <w:r w:rsidRPr="00FD495D">
        <w:rPr>
          <w:rFonts w:ascii="Times New Roman" w:hAnsi="Times New Roman" w:cs="Times New Roman"/>
        </w:rPr>
        <w:lastRenderedPageBreak/>
        <w:t xml:space="preserve">Operating Margin (financial) Operating Income ÷ Revenue. Tesla’s operating margin in 2024 was about 7.2% (down from 9.2% in 2023). Macrotrends also tracks Tesla’s operating margin, showing 7.24 % at December 2024.  </w:t>
      </w:r>
    </w:p>
    <w:p w14:paraId="22D74778" w14:textId="3D179DE1" w:rsidR="00F71462" w:rsidRPr="00FD495D" w:rsidRDefault="00F71462" w:rsidP="00FD495D">
      <w:pPr>
        <w:spacing w:line="360" w:lineRule="auto"/>
        <w:jc w:val="both"/>
        <w:rPr>
          <w:rFonts w:ascii="Times New Roman" w:hAnsi="Times New Roman" w:cs="Times New Roman"/>
        </w:rPr>
      </w:pPr>
      <w:r w:rsidRPr="00FD495D">
        <w:rPr>
          <w:rFonts w:ascii="Times New Roman" w:hAnsi="Times New Roman" w:cs="Times New Roman"/>
        </w:rPr>
        <w:tab/>
        <w:t>Operating Expense Ratio (financial) Operating expenses (SG&amp;A + R&amp;D + other) as a percentage of revenue. In 2024, Tesla’s operating expenses were 10.6 % of revenues (versus 9.1 % in 2023), signalling that expense growth outpaced revenue growth.</w:t>
      </w:r>
    </w:p>
    <w:p w14:paraId="37DD8037" w14:textId="3E9E2115" w:rsidR="00F71462" w:rsidRPr="00FD495D" w:rsidRDefault="00F71462" w:rsidP="00FD495D">
      <w:pPr>
        <w:spacing w:line="360" w:lineRule="auto"/>
        <w:jc w:val="both"/>
        <w:rPr>
          <w:rFonts w:ascii="Times New Roman" w:hAnsi="Times New Roman" w:cs="Times New Roman"/>
        </w:rPr>
      </w:pPr>
      <w:r w:rsidRPr="00FD495D">
        <w:rPr>
          <w:rFonts w:ascii="Times New Roman" w:hAnsi="Times New Roman" w:cs="Times New Roman"/>
        </w:rPr>
        <w:tab/>
        <w:t xml:space="preserve">Vehicle Deliveries / Production Volume (non-financial) Number of vehicles delivered or produced, often year-on-year growth. In Q4 2024, Tesla delivered 484,507 vehicles, a 20% increase over the same quarter in 2023, while production rose 13% to 494,989 units.  </w:t>
      </w:r>
    </w:p>
    <w:p w14:paraId="478C8B9B" w14:textId="1A3F9DF0" w:rsidR="00F71462" w:rsidRPr="00FD495D" w:rsidRDefault="00F71462" w:rsidP="00FD495D">
      <w:pPr>
        <w:spacing w:line="360" w:lineRule="auto"/>
        <w:jc w:val="both"/>
        <w:rPr>
          <w:rFonts w:ascii="Times New Roman" w:hAnsi="Times New Roman" w:cs="Times New Roman"/>
        </w:rPr>
      </w:pPr>
      <w:r w:rsidRPr="00FD495D">
        <w:rPr>
          <w:rFonts w:ascii="Times New Roman" w:hAnsi="Times New Roman" w:cs="Times New Roman"/>
        </w:rPr>
        <w:tab/>
        <w:t>R&amp;D Expense Ratio (financial/non-financial) R&amp;D expenditure as a percentage of total revenue. In mid-2024, R&amp;D expense increased 14% year-on-year, and R&amp;D as a percentage of revenue ranged from 4% to 5% (e.g. 4% in Q2 2024).</w:t>
      </w:r>
    </w:p>
    <w:p w14:paraId="75D49A0A" w14:textId="77777777" w:rsidR="00F71462" w:rsidRPr="00FD495D" w:rsidRDefault="00F71462" w:rsidP="00FD495D">
      <w:pPr>
        <w:spacing w:line="360" w:lineRule="auto"/>
        <w:jc w:val="both"/>
        <w:rPr>
          <w:rFonts w:ascii="Times New Roman" w:hAnsi="Times New Roman" w:cs="Times New Roman"/>
        </w:rPr>
      </w:pPr>
    </w:p>
    <w:p w14:paraId="2031D466" w14:textId="751D3509" w:rsidR="00F71462" w:rsidRPr="00FD495D" w:rsidRDefault="00F71462" w:rsidP="00FD495D">
      <w:pPr>
        <w:spacing w:line="360" w:lineRule="auto"/>
        <w:jc w:val="both"/>
        <w:rPr>
          <w:rFonts w:ascii="Times New Roman" w:hAnsi="Times New Roman" w:cs="Times New Roman"/>
        </w:rPr>
      </w:pPr>
      <w:r w:rsidRPr="00FD495D">
        <w:rPr>
          <w:rFonts w:ascii="Times New Roman" w:hAnsi="Times New Roman" w:cs="Times New Roman"/>
        </w:rPr>
        <w:t>Other useful metrics include net profit margin (Net Income ÷ Revenue), which fell substantially in 2024 (Net margin 7.3%) due to lower profitability, and current ratio or debt ratios (e.g. Debt/Equity) from Tesla’s financial disclosures (Tesla’s current ratio 2.02 in recent years).</w:t>
      </w:r>
    </w:p>
    <w:p w14:paraId="32AE0CD2" w14:textId="77777777" w:rsidR="00F71462" w:rsidRPr="00FD495D" w:rsidRDefault="00F71462" w:rsidP="00FD495D">
      <w:pPr>
        <w:spacing w:line="360" w:lineRule="auto"/>
        <w:jc w:val="both"/>
        <w:rPr>
          <w:rFonts w:ascii="Times New Roman" w:hAnsi="Times New Roman" w:cs="Times New Roman"/>
        </w:rPr>
      </w:pPr>
      <w:r w:rsidRPr="00FD495D">
        <w:rPr>
          <w:rFonts w:ascii="Times New Roman" w:hAnsi="Times New Roman" w:cs="Times New Roman"/>
        </w:rPr>
        <w:t>Tesla’s management uses these KPIs as levers to influence corporate strategy and operations:</w:t>
      </w:r>
    </w:p>
    <w:p w14:paraId="5A2E9DDE" w14:textId="410A2F54" w:rsidR="00F71462" w:rsidRPr="00FD495D" w:rsidRDefault="00F71462" w:rsidP="00FD495D">
      <w:pPr>
        <w:spacing w:line="360" w:lineRule="auto"/>
        <w:jc w:val="both"/>
        <w:rPr>
          <w:rFonts w:ascii="Times New Roman" w:hAnsi="Times New Roman" w:cs="Times New Roman"/>
        </w:rPr>
      </w:pPr>
      <w:r w:rsidRPr="00FD495D">
        <w:rPr>
          <w:rFonts w:ascii="Times New Roman" w:hAnsi="Times New Roman" w:cs="Times New Roman"/>
        </w:rPr>
        <w:tab/>
        <w:t xml:space="preserve">Pricing adjustments to boost volume: Observing softness in deliveries, Tesla has reduced vehicle prices to stimulate demand. However, this depresses gross margin and thus shows up in the downward trend in margin metrics (18.9% auto margin in Q4 2024 versus 25.9% a year earlier) </w:t>
      </w:r>
    </w:p>
    <w:p w14:paraId="496B35B9" w14:textId="0CC718EB" w:rsidR="00F71462" w:rsidRPr="00FD495D" w:rsidRDefault="00F71462" w:rsidP="00FD495D">
      <w:pPr>
        <w:spacing w:line="360" w:lineRule="auto"/>
        <w:jc w:val="both"/>
        <w:rPr>
          <w:rFonts w:ascii="Times New Roman" w:hAnsi="Times New Roman" w:cs="Times New Roman"/>
        </w:rPr>
      </w:pPr>
      <w:r w:rsidRPr="00FD495D">
        <w:rPr>
          <w:rFonts w:ascii="Times New Roman" w:hAnsi="Times New Roman" w:cs="Times New Roman"/>
        </w:rPr>
        <w:tab/>
        <w:t>Expense control and overhead discipline: Given the rising operating expense ratio (10.6% in 2024), Tesla has had to restrain growth in SG&amp;A and other discretionary costs to prevent erosion of operating margins. Internal revisions to departmental budgets and efficiency efforts are implied responses to this KPI pressure.</w:t>
      </w:r>
    </w:p>
    <w:p w14:paraId="30F8DF83" w14:textId="0095F30C" w:rsidR="00F71462" w:rsidRPr="00FD495D" w:rsidRDefault="00F71462" w:rsidP="00FD495D">
      <w:pPr>
        <w:spacing w:line="360" w:lineRule="auto"/>
        <w:jc w:val="both"/>
        <w:rPr>
          <w:rFonts w:ascii="Times New Roman" w:hAnsi="Times New Roman" w:cs="Times New Roman"/>
        </w:rPr>
      </w:pPr>
      <w:r w:rsidRPr="00FD495D">
        <w:rPr>
          <w:rFonts w:ascii="Times New Roman" w:hAnsi="Times New Roman" w:cs="Times New Roman"/>
        </w:rPr>
        <w:tab/>
        <w:t>Strategic investment in R&amp;D despite headwinds: Even as margins compress, Tesla continues to commit to R&amp;D spending (maintaining 4–5% of revenue), signalling a belief that technological differentiation (autonomy, battery tech) will pay off in future returns.</w:t>
      </w:r>
    </w:p>
    <w:p w14:paraId="56A36E3E" w14:textId="0AAF8821" w:rsidR="00F71462" w:rsidRPr="00FD495D" w:rsidRDefault="00F71462" w:rsidP="00FD495D">
      <w:pPr>
        <w:spacing w:line="360" w:lineRule="auto"/>
        <w:jc w:val="both"/>
        <w:rPr>
          <w:rFonts w:ascii="Times New Roman" w:hAnsi="Times New Roman" w:cs="Times New Roman"/>
        </w:rPr>
      </w:pPr>
      <w:r w:rsidRPr="00FD495D">
        <w:rPr>
          <w:rFonts w:ascii="Times New Roman" w:hAnsi="Times New Roman" w:cs="Times New Roman"/>
        </w:rPr>
        <w:lastRenderedPageBreak/>
        <w:tab/>
        <w:t>Capacity expansion and scaling: To leverage the deliveries / production KPI, Tesla has accelerated plant builds (Gigafactories in Texas, Berlin, Shanghai) to gain scale and reduce unit costs thereby supporting volume growth even if margins are under pressure.</w:t>
      </w:r>
    </w:p>
    <w:p w14:paraId="56C92F91" w14:textId="46E6A651" w:rsidR="00F71462" w:rsidRPr="00FD495D" w:rsidRDefault="00F71462" w:rsidP="00FD495D">
      <w:pPr>
        <w:spacing w:line="360" w:lineRule="auto"/>
        <w:jc w:val="both"/>
        <w:rPr>
          <w:rFonts w:ascii="Times New Roman" w:hAnsi="Times New Roman" w:cs="Times New Roman"/>
        </w:rPr>
      </w:pPr>
      <w:r w:rsidRPr="00FD495D">
        <w:rPr>
          <w:rFonts w:ascii="Times New Roman" w:hAnsi="Times New Roman" w:cs="Times New Roman"/>
        </w:rPr>
        <w:tab/>
      </w:r>
      <w:r w:rsidRPr="00FD495D">
        <w:rPr>
          <w:rFonts w:ascii="Times New Roman" w:hAnsi="Times New Roman" w:cs="Times New Roman"/>
        </w:rPr>
        <w:tab/>
        <w:t>Diversification and energy growth: Observing constraints in auto profitability, Tesla has pushed more into its energy generation &amp; storage business. In mid-2024, energy segment revenues grew 53% y/y, and gross margins in energy rose significantly (from 18.4% to 24.6%). This shift helps reduce dependence on automotive margins.</w:t>
      </w:r>
    </w:p>
    <w:p w14:paraId="06A16D67" w14:textId="77777777" w:rsidR="00BA39F6" w:rsidRPr="00FD495D" w:rsidRDefault="00BA39F6" w:rsidP="00FD495D">
      <w:pPr>
        <w:spacing w:line="360" w:lineRule="auto"/>
        <w:jc w:val="both"/>
        <w:rPr>
          <w:rFonts w:ascii="Times New Roman" w:hAnsi="Times New Roman" w:cs="Times New Roman"/>
        </w:rPr>
      </w:pPr>
    </w:p>
    <w:p w14:paraId="57016D0C" w14:textId="348CE358" w:rsidR="00BA39F6" w:rsidRDefault="00F16855" w:rsidP="00E13FEC">
      <w:pPr>
        <w:pStyle w:val="Heading1"/>
      </w:pPr>
      <w:bookmarkStart w:id="5" w:name="_Toc211338371"/>
      <w:r w:rsidRPr="00FD495D">
        <w:t>Sustainability and Ethical Considerations</w:t>
      </w:r>
      <w:bookmarkEnd w:id="5"/>
    </w:p>
    <w:p w14:paraId="4C7A1B02" w14:textId="77777777" w:rsidR="00BA39F6" w:rsidRDefault="00BA39F6" w:rsidP="00FD495D">
      <w:pPr>
        <w:spacing w:line="360" w:lineRule="auto"/>
        <w:jc w:val="both"/>
        <w:rPr>
          <w:rFonts w:ascii="Times New Roman" w:hAnsi="Times New Roman" w:cs="Times New Roman"/>
        </w:rPr>
      </w:pPr>
    </w:p>
    <w:p w14:paraId="30799DD8" w14:textId="2AC62B54" w:rsidR="00BA39F6" w:rsidRPr="00FD495D" w:rsidRDefault="00BA39F6" w:rsidP="00FD495D">
      <w:pPr>
        <w:spacing w:line="360" w:lineRule="auto"/>
        <w:jc w:val="both"/>
        <w:rPr>
          <w:rFonts w:ascii="Times New Roman" w:hAnsi="Times New Roman" w:cs="Times New Roman"/>
        </w:rPr>
      </w:pPr>
      <w:r>
        <w:rPr>
          <w:rFonts w:ascii="Times New Roman" w:hAnsi="Times New Roman" w:cs="Times New Roman"/>
          <w:noProof/>
        </w:rPr>
        <w:drawing>
          <wp:inline distT="0" distB="0" distL="0" distR="0" wp14:anchorId="6215FA7E" wp14:editId="47C11759">
            <wp:extent cx="4739640" cy="3468959"/>
            <wp:effectExtent l="0" t="0" r="3810" b="0"/>
            <wp:docPr id="1579843841"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4795259" cy="3509667"/>
                    </a:xfrm>
                    <a:prstGeom prst="rect">
                      <a:avLst/>
                    </a:prstGeom>
                    <a:noFill/>
                    <a:ln>
                      <a:noFill/>
                    </a:ln>
                  </pic:spPr>
                </pic:pic>
              </a:graphicData>
            </a:graphic>
          </wp:inline>
        </w:drawing>
      </w:r>
    </w:p>
    <w:p w14:paraId="2730C5D9" w14:textId="5D356313" w:rsidR="00F16855" w:rsidRPr="00FD495D" w:rsidRDefault="00F16855" w:rsidP="00FD495D">
      <w:pPr>
        <w:spacing w:line="360" w:lineRule="auto"/>
        <w:jc w:val="both"/>
        <w:rPr>
          <w:rFonts w:ascii="Times New Roman" w:hAnsi="Times New Roman" w:cs="Times New Roman"/>
        </w:rPr>
      </w:pPr>
      <w:r w:rsidRPr="00FD495D">
        <w:rPr>
          <w:rFonts w:ascii="Times New Roman" w:hAnsi="Times New Roman" w:cs="Times New Roman"/>
        </w:rPr>
        <w:t xml:space="preserve">Tesla positions itself as a pioneer in sustainable energy, embedding environmental and ethical concerns into its strategy and financial decision-making. The company publishes an Impact Report (e.g. Tesla 2021 Impact Report) that presents metrics such as CO₂ emissions avoided through EV usage, energy storage deployment, and solar installations.  </w:t>
      </w:r>
    </w:p>
    <w:p w14:paraId="1522E183" w14:textId="77777777" w:rsidR="00F16855" w:rsidRPr="00FD495D" w:rsidRDefault="00F16855" w:rsidP="00FD495D">
      <w:pPr>
        <w:spacing w:line="360" w:lineRule="auto"/>
        <w:jc w:val="both"/>
        <w:rPr>
          <w:rFonts w:ascii="Times New Roman" w:hAnsi="Times New Roman" w:cs="Times New Roman"/>
        </w:rPr>
      </w:pPr>
    </w:p>
    <w:p w14:paraId="7C8C8995" w14:textId="69F2A52A" w:rsidR="00F16855" w:rsidRPr="00FD495D" w:rsidRDefault="00F16855" w:rsidP="00FD495D">
      <w:pPr>
        <w:spacing w:line="360" w:lineRule="auto"/>
        <w:jc w:val="both"/>
        <w:rPr>
          <w:rFonts w:ascii="Times New Roman" w:hAnsi="Times New Roman" w:cs="Times New Roman"/>
        </w:rPr>
      </w:pPr>
      <w:r w:rsidRPr="00FD495D">
        <w:rPr>
          <w:rFonts w:ascii="Times New Roman" w:hAnsi="Times New Roman" w:cs="Times New Roman"/>
        </w:rPr>
        <w:tab/>
      </w:r>
    </w:p>
    <w:p w14:paraId="368713A3" w14:textId="6482E652" w:rsidR="00F16855" w:rsidRPr="00FD495D" w:rsidRDefault="00F16855" w:rsidP="00FD495D">
      <w:pPr>
        <w:spacing w:line="360" w:lineRule="auto"/>
        <w:jc w:val="both"/>
        <w:rPr>
          <w:rFonts w:ascii="Times New Roman" w:hAnsi="Times New Roman" w:cs="Times New Roman"/>
        </w:rPr>
      </w:pPr>
      <w:r w:rsidRPr="00FD495D">
        <w:rPr>
          <w:rFonts w:ascii="Times New Roman" w:hAnsi="Times New Roman" w:cs="Times New Roman"/>
        </w:rPr>
        <w:lastRenderedPageBreak/>
        <w:t>Life cycle costing and total cost of ownership: For vehicles and battery systems, Tesla can use lifecycle cost models accounting for maintenance, energy use, disposal, and residual value, rather than only upfront cost. This helps in pricing decisions and project selection.</w:t>
      </w:r>
    </w:p>
    <w:p w14:paraId="77092D74" w14:textId="38711016" w:rsidR="00F16855" w:rsidRPr="00FD495D" w:rsidRDefault="00F16855" w:rsidP="00FD495D">
      <w:pPr>
        <w:spacing w:line="360" w:lineRule="auto"/>
        <w:jc w:val="both"/>
        <w:rPr>
          <w:rFonts w:ascii="Times New Roman" w:hAnsi="Times New Roman" w:cs="Times New Roman"/>
        </w:rPr>
      </w:pPr>
      <w:r w:rsidRPr="00FD495D">
        <w:rPr>
          <w:rFonts w:ascii="Times New Roman" w:hAnsi="Times New Roman" w:cs="Times New Roman"/>
        </w:rPr>
        <w:t>Sustainability-driven pricing / product features: Tesla might choose slightly lower margins or slower ROI on green product lines (e.g. energy storage, solar) as part of long-term positioning or to influence regulation (e.g. access to subsidies).</w:t>
      </w:r>
    </w:p>
    <w:p w14:paraId="3621A1CB" w14:textId="480D11CF" w:rsidR="00F16855" w:rsidRPr="00FD495D" w:rsidRDefault="00F16855" w:rsidP="00FD495D">
      <w:pPr>
        <w:spacing w:line="360" w:lineRule="auto"/>
        <w:jc w:val="both"/>
        <w:rPr>
          <w:rFonts w:ascii="Times New Roman" w:hAnsi="Times New Roman" w:cs="Times New Roman"/>
        </w:rPr>
      </w:pPr>
      <w:r w:rsidRPr="00FD495D">
        <w:rPr>
          <w:rFonts w:ascii="Times New Roman" w:hAnsi="Times New Roman" w:cs="Times New Roman"/>
        </w:rPr>
        <w:t>Financing tied to ESG metrics: Tesla may issue green bonds or sustainability-linked financing, where cost of capital is partly linked to achieving emissions or sustainability KPIs (though public evidence is limited).</w:t>
      </w:r>
    </w:p>
    <w:p w14:paraId="4348BCE4" w14:textId="77777777" w:rsidR="00F16855" w:rsidRPr="00FD495D" w:rsidRDefault="00F16855" w:rsidP="00FD495D">
      <w:pPr>
        <w:spacing w:line="360" w:lineRule="auto"/>
        <w:jc w:val="both"/>
        <w:rPr>
          <w:rFonts w:ascii="Times New Roman" w:hAnsi="Times New Roman" w:cs="Times New Roman"/>
        </w:rPr>
      </w:pPr>
    </w:p>
    <w:p w14:paraId="58834FFE" w14:textId="77777777" w:rsidR="00F16855" w:rsidRPr="00FD495D" w:rsidRDefault="00F16855" w:rsidP="00FD495D">
      <w:pPr>
        <w:spacing w:line="360" w:lineRule="auto"/>
        <w:jc w:val="both"/>
        <w:rPr>
          <w:rFonts w:ascii="Times New Roman" w:hAnsi="Times New Roman" w:cs="Times New Roman"/>
        </w:rPr>
      </w:pPr>
      <w:r w:rsidRPr="00FD495D">
        <w:rPr>
          <w:rFonts w:ascii="Times New Roman" w:hAnsi="Times New Roman" w:cs="Times New Roman"/>
        </w:rPr>
        <w:t>Ethical Considerations in Cost Management and Pricing</w:t>
      </w:r>
    </w:p>
    <w:p w14:paraId="40A0A2F5" w14:textId="3E331082" w:rsidR="00F16855" w:rsidRPr="00FD495D" w:rsidRDefault="00F16855" w:rsidP="00FD495D">
      <w:pPr>
        <w:spacing w:line="360" w:lineRule="auto"/>
        <w:jc w:val="both"/>
        <w:rPr>
          <w:rFonts w:ascii="Times New Roman" w:hAnsi="Times New Roman" w:cs="Times New Roman"/>
        </w:rPr>
      </w:pPr>
      <w:r w:rsidRPr="00FD495D">
        <w:rPr>
          <w:rFonts w:ascii="Times New Roman" w:hAnsi="Times New Roman" w:cs="Times New Roman"/>
        </w:rPr>
        <w:t>Transparency and fairness: Ethically, Tesla must balance aggressive cost-cutting (e.g. layoffs or supplier negotiations) with fair labour practices, employee rights, and supplier ethics (safe working conditions, fair wages).</w:t>
      </w:r>
    </w:p>
    <w:p w14:paraId="6D98691E" w14:textId="416640C2" w:rsidR="00F16855" w:rsidRPr="00FD495D" w:rsidRDefault="00F16855" w:rsidP="00FD495D">
      <w:pPr>
        <w:spacing w:line="360" w:lineRule="auto"/>
        <w:jc w:val="both"/>
        <w:rPr>
          <w:rFonts w:ascii="Times New Roman" w:hAnsi="Times New Roman" w:cs="Times New Roman"/>
        </w:rPr>
      </w:pPr>
      <w:r w:rsidRPr="00FD495D">
        <w:rPr>
          <w:rFonts w:ascii="Times New Roman" w:hAnsi="Times New Roman" w:cs="Times New Roman"/>
        </w:rPr>
        <w:t>Avoiding cost-shifting to consumers: High fixed cost burdens may tempt management to raise prices or fees (e.g. software, charging) in a way that exploits captive customers Tesla should ensure pricing remains justifiable and not exploitative.</w:t>
      </w:r>
    </w:p>
    <w:p w14:paraId="0B05951E" w14:textId="49CFA67E" w:rsidR="00F16855" w:rsidRPr="00FD495D" w:rsidRDefault="00F16855" w:rsidP="00FD495D">
      <w:pPr>
        <w:spacing w:line="360" w:lineRule="auto"/>
        <w:jc w:val="both"/>
        <w:rPr>
          <w:rFonts w:ascii="Times New Roman" w:hAnsi="Times New Roman" w:cs="Times New Roman"/>
        </w:rPr>
      </w:pPr>
      <w:r w:rsidRPr="00FD495D">
        <w:rPr>
          <w:rFonts w:ascii="Times New Roman" w:hAnsi="Times New Roman" w:cs="Times New Roman"/>
        </w:rPr>
        <w:t>Access and equity: Tesla’s premium pricing may limit access to EVs among lower-income groups. Ethical pricing strategies and subsidy alignment (especially in the UK) should consider equitable access to sustainable technologies.</w:t>
      </w:r>
    </w:p>
    <w:p w14:paraId="71CFBD06" w14:textId="4785AF67" w:rsidR="00F16855" w:rsidRDefault="00F16855" w:rsidP="00D20BAD">
      <w:pPr>
        <w:spacing w:line="360" w:lineRule="auto"/>
        <w:jc w:val="both"/>
        <w:rPr>
          <w:rFonts w:ascii="Times New Roman" w:hAnsi="Times New Roman" w:cs="Times New Roman"/>
        </w:rPr>
      </w:pPr>
      <w:r w:rsidRPr="00FD495D">
        <w:rPr>
          <w:rFonts w:ascii="Times New Roman" w:hAnsi="Times New Roman" w:cs="Times New Roman"/>
        </w:rPr>
        <w:tab/>
      </w:r>
      <w:r w:rsidRPr="00FD495D">
        <w:rPr>
          <w:rFonts w:ascii="Times New Roman" w:hAnsi="Times New Roman" w:cs="Times New Roman"/>
        </w:rPr>
        <w:tab/>
      </w:r>
    </w:p>
    <w:p w14:paraId="113A4EB7" w14:textId="77777777" w:rsidR="00D20BAD" w:rsidRDefault="00D20BAD" w:rsidP="00D20BAD">
      <w:pPr>
        <w:spacing w:line="360" w:lineRule="auto"/>
        <w:jc w:val="both"/>
        <w:rPr>
          <w:rFonts w:ascii="Times New Roman" w:hAnsi="Times New Roman" w:cs="Times New Roman"/>
        </w:rPr>
      </w:pPr>
    </w:p>
    <w:p w14:paraId="30D05448" w14:textId="77777777" w:rsidR="00D20BAD" w:rsidRDefault="00D20BAD" w:rsidP="00D20BAD">
      <w:pPr>
        <w:spacing w:line="360" w:lineRule="auto"/>
        <w:jc w:val="both"/>
        <w:rPr>
          <w:rFonts w:ascii="Times New Roman" w:hAnsi="Times New Roman" w:cs="Times New Roman"/>
        </w:rPr>
      </w:pPr>
    </w:p>
    <w:p w14:paraId="56356609" w14:textId="77777777" w:rsidR="006D13E1" w:rsidRDefault="006D13E1" w:rsidP="00D20BAD">
      <w:pPr>
        <w:spacing w:line="360" w:lineRule="auto"/>
        <w:jc w:val="both"/>
        <w:rPr>
          <w:rFonts w:ascii="Times New Roman" w:hAnsi="Times New Roman" w:cs="Times New Roman"/>
        </w:rPr>
      </w:pPr>
    </w:p>
    <w:p w14:paraId="40CD236E" w14:textId="77777777" w:rsidR="006D13E1" w:rsidRPr="00FD495D" w:rsidRDefault="006D13E1" w:rsidP="00D20BAD">
      <w:pPr>
        <w:spacing w:line="360" w:lineRule="auto"/>
        <w:jc w:val="both"/>
        <w:rPr>
          <w:rFonts w:ascii="Times New Roman" w:hAnsi="Times New Roman" w:cs="Times New Roman"/>
        </w:rPr>
      </w:pPr>
    </w:p>
    <w:p w14:paraId="2C006B51" w14:textId="5C4BA63D" w:rsidR="00F16855" w:rsidRPr="00FD495D" w:rsidRDefault="00F16855" w:rsidP="00E13FEC">
      <w:pPr>
        <w:pStyle w:val="Heading1"/>
      </w:pPr>
      <w:r w:rsidRPr="00FD495D">
        <w:lastRenderedPageBreak/>
        <w:t xml:space="preserve"> </w:t>
      </w:r>
      <w:bookmarkStart w:id="6" w:name="_Toc211338372"/>
      <w:r w:rsidRPr="00FD495D">
        <w:t>Conclusion and Recommendations</w:t>
      </w:r>
      <w:bookmarkEnd w:id="6"/>
      <w:r w:rsidRPr="00FD495D">
        <w:t xml:space="preserve"> </w:t>
      </w:r>
    </w:p>
    <w:p w14:paraId="2721CF4E" w14:textId="77777777" w:rsidR="00F16855" w:rsidRPr="00FD495D" w:rsidRDefault="00F16855" w:rsidP="00E13FEC">
      <w:pPr>
        <w:pStyle w:val="Heading1"/>
      </w:pPr>
    </w:p>
    <w:p w14:paraId="14B6C1D3" w14:textId="77777777" w:rsidR="00E13FEC" w:rsidRPr="00E13FEC" w:rsidRDefault="00E13FEC" w:rsidP="00E13FEC">
      <w:pPr>
        <w:spacing w:line="360" w:lineRule="auto"/>
        <w:jc w:val="both"/>
        <w:rPr>
          <w:rFonts w:ascii="Times New Roman" w:hAnsi="Times New Roman" w:cs="Times New Roman"/>
        </w:rPr>
      </w:pPr>
      <w:r w:rsidRPr="00E13FEC">
        <w:rPr>
          <w:rFonts w:ascii="Times New Roman" w:hAnsi="Times New Roman" w:cs="Times New Roman"/>
        </w:rPr>
        <w:t>Another aspect to be noted is that Tesla’s success hinges on a diversified revenue model consisting of vehicle sales, software, energy products and regulatory credits along with an expensive cost structure which is very asset heavy with large portion being fixed costs. Accounting tools such as budgeting, variance analysis and KPI dashboards are essential in overseeing Tesla’s aggressive scale up, cost management and strategic choices. As an example, you can see the interplay between financial and non-financial data in company decisions (for example, expansion/lay-offs, pricing incentives or pacing of R&amp;D).</w:t>
      </w:r>
    </w:p>
    <w:p w14:paraId="42367C9E" w14:textId="77777777" w:rsidR="00E13FEC" w:rsidRPr="00E13FEC" w:rsidRDefault="00E13FEC" w:rsidP="00E13FEC">
      <w:pPr>
        <w:pStyle w:val="Heading1"/>
      </w:pPr>
      <w:bookmarkStart w:id="7" w:name="_Toc211338373"/>
      <w:r w:rsidRPr="00E13FEC">
        <w:t>Future Recommendations for Tesla</w:t>
      </w:r>
      <w:bookmarkEnd w:id="7"/>
    </w:p>
    <w:p w14:paraId="3F577F62" w14:textId="0DC842DA" w:rsidR="00E13FEC" w:rsidRPr="00E13FEC" w:rsidRDefault="00E13FEC" w:rsidP="00E13FEC">
      <w:pPr>
        <w:spacing w:line="360" w:lineRule="auto"/>
        <w:jc w:val="both"/>
        <w:rPr>
          <w:rFonts w:ascii="Times New Roman" w:hAnsi="Times New Roman" w:cs="Times New Roman"/>
        </w:rPr>
      </w:pPr>
      <w:r w:rsidRPr="00E13FEC">
        <w:rPr>
          <w:rFonts w:ascii="Times New Roman" w:hAnsi="Times New Roman" w:cs="Times New Roman"/>
        </w:rPr>
        <w:t>For competitive edge retention as well as financial firmness, Tesla should make it a point to diversify beyond just car manufacturing and venture in energy storage and grid integration so that they manage stabilisation of revenue streams (Liu and Meng, 2024). Further investment on artificial intelligence, automation and next-generation battery technology will support the innovation leadership (Zhou, Li and Cheng, 2023). Tesla needs to improve cost management systems to cut margins and retain global scalability (Drury, 2018). And lastly, incorporating ESG-crafted measures in strategic planning and design will benefit transparency as well as investor commitment while ensuring long-run integrative sustainability performance (Tesla Inc., 2024).</w:t>
      </w:r>
    </w:p>
    <w:p w14:paraId="570ACD60" w14:textId="77777777" w:rsidR="00FD495D" w:rsidRDefault="00FD495D" w:rsidP="00FD495D">
      <w:pPr>
        <w:spacing w:line="360" w:lineRule="auto"/>
        <w:jc w:val="both"/>
        <w:rPr>
          <w:rFonts w:ascii="Times New Roman" w:hAnsi="Times New Roman" w:cs="Times New Roman"/>
        </w:rPr>
      </w:pPr>
    </w:p>
    <w:p w14:paraId="30E912F7" w14:textId="77777777" w:rsidR="00D20BAD" w:rsidRDefault="00D20BAD" w:rsidP="00FD495D">
      <w:pPr>
        <w:spacing w:line="360" w:lineRule="auto"/>
        <w:jc w:val="both"/>
        <w:rPr>
          <w:rFonts w:ascii="Times New Roman" w:hAnsi="Times New Roman" w:cs="Times New Roman"/>
        </w:rPr>
      </w:pPr>
    </w:p>
    <w:p w14:paraId="4A48BE5B" w14:textId="77777777" w:rsidR="00D20BAD" w:rsidRDefault="00D20BAD" w:rsidP="00FD495D">
      <w:pPr>
        <w:spacing w:line="360" w:lineRule="auto"/>
        <w:jc w:val="both"/>
        <w:rPr>
          <w:rFonts w:ascii="Times New Roman" w:hAnsi="Times New Roman" w:cs="Times New Roman"/>
        </w:rPr>
      </w:pPr>
    </w:p>
    <w:p w14:paraId="2EA1A04F" w14:textId="77777777" w:rsidR="00D20BAD" w:rsidRDefault="00D20BAD" w:rsidP="00FD495D">
      <w:pPr>
        <w:spacing w:line="360" w:lineRule="auto"/>
        <w:jc w:val="both"/>
        <w:rPr>
          <w:rFonts w:ascii="Times New Roman" w:hAnsi="Times New Roman" w:cs="Times New Roman"/>
        </w:rPr>
      </w:pPr>
    </w:p>
    <w:p w14:paraId="41221D18" w14:textId="77777777" w:rsidR="006D13E1" w:rsidRDefault="006D13E1" w:rsidP="00FD495D">
      <w:pPr>
        <w:spacing w:line="360" w:lineRule="auto"/>
        <w:jc w:val="both"/>
        <w:rPr>
          <w:rFonts w:ascii="Times New Roman" w:hAnsi="Times New Roman" w:cs="Times New Roman"/>
        </w:rPr>
      </w:pPr>
    </w:p>
    <w:p w14:paraId="542B91CC" w14:textId="77777777" w:rsidR="006D13E1" w:rsidRDefault="006D13E1" w:rsidP="00FD495D">
      <w:pPr>
        <w:spacing w:line="360" w:lineRule="auto"/>
        <w:jc w:val="both"/>
        <w:rPr>
          <w:rFonts w:ascii="Times New Roman" w:hAnsi="Times New Roman" w:cs="Times New Roman"/>
        </w:rPr>
      </w:pPr>
    </w:p>
    <w:p w14:paraId="6D2910D6" w14:textId="77777777" w:rsidR="00D20BAD" w:rsidRDefault="00D20BAD" w:rsidP="00E13FEC">
      <w:pPr>
        <w:pStyle w:val="Heading1"/>
      </w:pPr>
    </w:p>
    <w:p w14:paraId="44BA48C7" w14:textId="1C911522" w:rsidR="00FD495D" w:rsidRDefault="00FD495D" w:rsidP="00E13FEC">
      <w:pPr>
        <w:pStyle w:val="Heading1"/>
      </w:pPr>
      <w:bookmarkStart w:id="8" w:name="_Toc211338374"/>
      <w:r>
        <w:t>References:</w:t>
      </w:r>
      <w:bookmarkEnd w:id="8"/>
    </w:p>
    <w:p w14:paraId="3AC28CA4" w14:textId="77777777" w:rsidR="00FD495D" w:rsidRPr="00FD495D" w:rsidRDefault="00FD495D" w:rsidP="00FD495D">
      <w:pPr>
        <w:spacing w:line="360" w:lineRule="auto"/>
        <w:jc w:val="both"/>
        <w:rPr>
          <w:rFonts w:ascii="Times New Roman" w:hAnsi="Times New Roman" w:cs="Times New Roman"/>
        </w:rPr>
      </w:pPr>
      <w:r w:rsidRPr="00FD495D">
        <w:rPr>
          <w:rFonts w:ascii="Times New Roman" w:hAnsi="Times New Roman" w:cs="Times New Roman"/>
        </w:rPr>
        <w:t>1.</w:t>
      </w:r>
      <w:r w:rsidRPr="00FD495D">
        <w:rPr>
          <w:rFonts w:ascii="Times New Roman" w:hAnsi="Times New Roman" w:cs="Times New Roman"/>
        </w:rPr>
        <w:tab/>
        <w:t>Barney, J.B. (2020) Gaining and Sustaining Competitive Advantage. 5th ed. Harlow: Pearson Education.</w:t>
      </w:r>
    </w:p>
    <w:p w14:paraId="549A363C" w14:textId="77777777" w:rsidR="00FD495D" w:rsidRPr="00FD495D" w:rsidRDefault="00FD495D" w:rsidP="00FD495D">
      <w:pPr>
        <w:spacing w:line="360" w:lineRule="auto"/>
        <w:jc w:val="both"/>
        <w:rPr>
          <w:rFonts w:ascii="Times New Roman" w:hAnsi="Times New Roman" w:cs="Times New Roman"/>
        </w:rPr>
      </w:pPr>
      <w:r w:rsidRPr="00FD495D">
        <w:rPr>
          <w:rFonts w:ascii="Times New Roman" w:hAnsi="Times New Roman" w:cs="Times New Roman"/>
        </w:rPr>
        <w:tab/>
        <w:t>2.</w:t>
      </w:r>
      <w:r w:rsidRPr="00FD495D">
        <w:rPr>
          <w:rFonts w:ascii="Times New Roman" w:hAnsi="Times New Roman" w:cs="Times New Roman"/>
        </w:rPr>
        <w:tab/>
        <w:t>Kaplan, R.S. and Norton, D.P. (1996) The Balanced Scorecard: Translating Strategy into Action. Boston, MA: Harvard Business School Press.</w:t>
      </w:r>
    </w:p>
    <w:p w14:paraId="3B1F80A7" w14:textId="77777777" w:rsidR="00FD495D" w:rsidRPr="00FD495D" w:rsidRDefault="00FD495D" w:rsidP="00FD495D">
      <w:pPr>
        <w:spacing w:line="360" w:lineRule="auto"/>
        <w:jc w:val="both"/>
        <w:rPr>
          <w:rFonts w:ascii="Times New Roman" w:hAnsi="Times New Roman" w:cs="Times New Roman"/>
        </w:rPr>
      </w:pPr>
      <w:r w:rsidRPr="00FD495D">
        <w:rPr>
          <w:rFonts w:ascii="Times New Roman" w:hAnsi="Times New Roman" w:cs="Times New Roman"/>
        </w:rPr>
        <w:tab/>
        <w:t>3.</w:t>
      </w:r>
      <w:r w:rsidRPr="00FD495D">
        <w:rPr>
          <w:rFonts w:ascii="Times New Roman" w:hAnsi="Times New Roman" w:cs="Times New Roman"/>
        </w:rPr>
        <w:tab/>
        <w:t>Porter, M.E. (2008) ‘The five competitive forces that shape strategy’, Harvard Business Review, 86(1), pp. 78–93.</w:t>
      </w:r>
    </w:p>
    <w:p w14:paraId="42974CE0" w14:textId="29939904" w:rsidR="00FD495D" w:rsidRPr="00FD495D" w:rsidRDefault="00FD495D" w:rsidP="00FD495D">
      <w:pPr>
        <w:spacing w:line="360" w:lineRule="auto"/>
        <w:jc w:val="both"/>
        <w:rPr>
          <w:rFonts w:ascii="Times New Roman" w:hAnsi="Times New Roman" w:cs="Times New Roman"/>
        </w:rPr>
      </w:pPr>
      <w:r w:rsidRPr="00FD495D">
        <w:rPr>
          <w:rFonts w:ascii="Times New Roman" w:hAnsi="Times New Roman" w:cs="Times New Roman"/>
        </w:rPr>
        <w:tab/>
        <w:t>4.</w:t>
      </w:r>
      <w:r w:rsidRPr="00FD495D">
        <w:rPr>
          <w:rFonts w:ascii="Times New Roman" w:hAnsi="Times New Roman" w:cs="Times New Roman"/>
        </w:rPr>
        <w:tab/>
        <w:t xml:space="preserve">Statista (2025) Tesla Inc. – Financial Performance Indicators 2020–2025. </w:t>
      </w:r>
    </w:p>
    <w:p w14:paraId="416D0EC8" w14:textId="1E61FC28" w:rsidR="00FD495D" w:rsidRPr="00FD495D" w:rsidRDefault="00FD495D" w:rsidP="00FD495D">
      <w:pPr>
        <w:spacing w:line="360" w:lineRule="auto"/>
        <w:jc w:val="both"/>
        <w:rPr>
          <w:rFonts w:ascii="Times New Roman" w:hAnsi="Times New Roman" w:cs="Times New Roman"/>
        </w:rPr>
      </w:pPr>
      <w:r w:rsidRPr="00FD495D">
        <w:rPr>
          <w:rFonts w:ascii="Times New Roman" w:hAnsi="Times New Roman" w:cs="Times New Roman"/>
        </w:rPr>
        <w:tab/>
        <w:t>5.</w:t>
      </w:r>
      <w:r w:rsidRPr="00FD495D">
        <w:rPr>
          <w:rFonts w:ascii="Times New Roman" w:hAnsi="Times New Roman" w:cs="Times New Roman"/>
        </w:rPr>
        <w:tab/>
        <w:t xml:space="preserve">Reuters (2025) ‘Tesla’s 2025 strategic outlook: cost reduction and AI-driven production expansion’. Reuters News Service, 10 March. </w:t>
      </w:r>
    </w:p>
    <w:p w14:paraId="459130FA" w14:textId="0FDCED98" w:rsidR="00FD495D" w:rsidRPr="00FD495D" w:rsidRDefault="00FD495D" w:rsidP="00FD495D">
      <w:pPr>
        <w:spacing w:line="360" w:lineRule="auto"/>
        <w:jc w:val="both"/>
        <w:rPr>
          <w:rFonts w:ascii="Times New Roman" w:hAnsi="Times New Roman" w:cs="Times New Roman"/>
        </w:rPr>
      </w:pPr>
      <w:r w:rsidRPr="00FD495D">
        <w:rPr>
          <w:rFonts w:ascii="Times New Roman" w:hAnsi="Times New Roman" w:cs="Times New Roman"/>
        </w:rPr>
        <w:tab/>
        <w:t>6.</w:t>
      </w:r>
      <w:r w:rsidRPr="00FD495D">
        <w:rPr>
          <w:rFonts w:ascii="Times New Roman" w:hAnsi="Times New Roman" w:cs="Times New Roman"/>
        </w:rPr>
        <w:tab/>
        <w:t>International Energy Agency (IEA) (2024) Global EV Outlook 2024: Accelerating the Transition. Paris: OECD/IEA.</w:t>
      </w:r>
    </w:p>
    <w:p w14:paraId="7E31AD24" w14:textId="0078E3FA" w:rsidR="00FD495D" w:rsidRPr="00FD495D" w:rsidRDefault="00FD495D" w:rsidP="00FD495D">
      <w:pPr>
        <w:spacing w:line="360" w:lineRule="auto"/>
        <w:jc w:val="both"/>
        <w:rPr>
          <w:rFonts w:ascii="Times New Roman" w:hAnsi="Times New Roman" w:cs="Times New Roman"/>
        </w:rPr>
      </w:pPr>
      <w:r w:rsidRPr="00FD495D">
        <w:rPr>
          <w:rFonts w:ascii="Times New Roman" w:hAnsi="Times New Roman" w:cs="Times New Roman"/>
        </w:rPr>
        <w:t xml:space="preserve">             7.  Drury, C. (2018) Management and Cost Accounting. 10th ed. London: Cengage Learning.</w:t>
      </w:r>
    </w:p>
    <w:p w14:paraId="7D9B6336" w14:textId="18881AD2" w:rsidR="00FD495D" w:rsidRPr="00FD495D" w:rsidRDefault="00FD495D" w:rsidP="00FD495D">
      <w:pPr>
        <w:spacing w:line="360" w:lineRule="auto"/>
        <w:jc w:val="both"/>
        <w:rPr>
          <w:rFonts w:ascii="Times New Roman" w:hAnsi="Times New Roman" w:cs="Times New Roman"/>
        </w:rPr>
      </w:pPr>
      <w:r w:rsidRPr="00FD495D">
        <w:rPr>
          <w:rFonts w:ascii="Times New Roman" w:hAnsi="Times New Roman" w:cs="Times New Roman"/>
        </w:rPr>
        <w:t xml:space="preserve">           8.     Liu, X. and Meng, T. (2024) ‘Sustainability transitions in electric vehicle markets’, Journal of Cleaner Production, 485(2), pp. 114–126.</w:t>
      </w:r>
    </w:p>
    <w:p w14:paraId="471B02D4" w14:textId="12AF457D" w:rsidR="00FD495D" w:rsidRPr="00FD495D" w:rsidRDefault="00FD495D" w:rsidP="00FD495D">
      <w:pPr>
        <w:spacing w:line="360" w:lineRule="auto"/>
        <w:jc w:val="both"/>
        <w:rPr>
          <w:rFonts w:ascii="Times New Roman" w:hAnsi="Times New Roman" w:cs="Times New Roman"/>
        </w:rPr>
      </w:pPr>
      <w:r w:rsidRPr="00FD495D">
        <w:rPr>
          <w:rFonts w:ascii="Times New Roman" w:hAnsi="Times New Roman" w:cs="Times New Roman"/>
        </w:rPr>
        <w:t xml:space="preserve">             9.              Tesla Inc. (2024) Annual Report 2024. Palo Alto: Tesla Investor Relations.</w:t>
      </w:r>
    </w:p>
    <w:p w14:paraId="6F526C78" w14:textId="3262E6A4" w:rsidR="00FD495D" w:rsidRPr="00FD495D" w:rsidRDefault="00FD495D" w:rsidP="00FD495D">
      <w:pPr>
        <w:spacing w:line="360" w:lineRule="auto"/>
        <w:jc w:val="both"/>
        <w:rPr>
          <w:rFonts w:ascii="Times New Roman" w:hAnsi="Times New Roman" w:cs="Times New Roman"/>
        </w:rPr>
      </w:pPr>
      <w:r w:rsidRPr="00FD495D">
        <w:rPr>
          <w:rFonts w:ascii="Times New Roman" w:hAnsi="Times New Roman" w:cs="Times New Roman"/>
        </w:rPr>
        <w:t xml:space="preserve">            10.             Zhou, Y., Li, H. and Cheng, R. (2023) ‘AI manufacturing in the EV sector’, </w:t>
      </w:r>
      <w:r w:rsidR="00BA39F6" w:rsidRPr="00FD495D">
        <w:rPr>
          <w:rFonts w:ascii="Times New Roman" w:hAnsi="Times New Roman" w:cs="Times New Roman"/>
        </w:rPr>
        <w:t>Technovation</w:t>
      </w:r>
      <w:r w:rsidRPr="00FD495D">
        <w:rPr>
          <w:rFonts w:ascii="Times New Roman" w:hAnsi="Times New Roman" w:cs="Times New Roman"/>
        </w:rPr>
        <w:t>, 122, pp. 1–9.</w:t>
      </w:r>
    </w:p>
    <w:sectPr w:rsidR="00FD495D" w:rsidRPr="00FD495D">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316831E" w14:textId="77777777" w:rsidR="00635F8E" w:rsidRDefault="00635F8E" w:rsidP="00F71462">
      <w:pPr>
        <w:spacing w:after="0" w:line="240" w:lineRule="auto"/>
      </w:pPr>
      <w:r>
        <w:separator/>
      </w:r>
    </w:p>
  </w:endnote>
  <w:endnote w:type="continuationSeparator" w:id="0">
    <w:p w14:paraId="47E4F121" w14:textId="77777777" w:rsidR="00635F8E" w:rsidRDefault="00635F8E" w:rsidP="00F7146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03154321"/>
      <w:docPartObj>
        <w:docPartGallery w:val="Page Numbers (Bottom of Page)"/>
        <w:docPartUnique/>
      </w:docPartObj>
    </w:sdtPr>
    <w:sdtContent>
      <w:p w14:paraId="1F687D89" w14:textId="7A373D44" w:rsidR="00E13FEC" w:rsidRDefault="00E13FEC">
        <w:pPr>
          <w:pStyle w:val="Footer"/>
          <w:jc w:val="center"/>
        </w:pPr>
        <w:r>
          <w:fldChar w:fldCharType="begin"/>
        </w:r>
        <w:r>
          <w:instrText>PAGE   \* MERGEFORMAT</w:instrText>
        </w:r>
        <w:r>
          <w:fldChar w:fldCharType="separate"/>
        </w:r>
        <w:r>
          <w:t>2</w:t>
        </w:r>
        <w:r>
          <w:fldChar w:fldCharType="end"/>
        </w:r>
      </w:p>
    </w:sdtContent>
  </w:sdt>
  <w:p w14:paraId="6A6511DE" w14:textId="77777777" w:rsidR="00E13FEC" w:rsidRDefault="00E13FE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F2B448D" w14:textId="77777777" w:rsidR="00635F8E" w:rsidRDefault="00635F8E" w:rsidP="00F71462">
      <w:pPr>
        <w:spacing w:after="0" w:line="240" w:lineRule="auto"/>
      </w:pPr>
      <w:r>
        <w:separator/>
      </w:r>
    </w:p>
  </w:footnote>
  <w:footnote w:type="continuationSeparator" w:id="0">
    <w:p w14:paraId="10895E8D" w14:textId="77777777" w:rsidR="00635F8E" w:rsidRDefault="00635F8E" w:rsidP="00F7146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6855"/>
    <w:rsid w:val="00180047"/>
    <w:rsid w:val="001F3076"/>
    <w:rsid w:val="00205C33"/>
    <w:rsid w:val="00341070"/>
    <w:rsid w:val="003F09C3"/>
    <w:rsid w:val="00635F8E"/>
    <w:rsid w:val="006D13E1"/>
    <w:rsid w:val="007F1202"/>
    <w:rsid w:val="00951857"/>
    <w:rsid w:val="00A56479"/>
    <w:rsid w:val="00A929BF"/>
    <w:rsid w:val="00B04D22"/>
    <w:rsid w:val="00BA39F6"/>
    <w:rsid w:val="00D20BAD"/>
    <w:rsid w:val="00E075A9"/>
    <w:rsid w:val="00E13FEC"/>
    <w:rsid w:val="00F16855"/>
    <w:rsid w:val="00F71462"/>
    <w:rsid w:val="00FD49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89CA94"/>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929BF"/>
  </w:style>
  <w:style w:type="paragraph" w:styleId="Heading1">
    <w:name w:val="heading 1"/>
    <w:basedOn w:val="Normal"/>
    <w:next w:val="Normal"/>
    <w:link w:val="Heading1Char"/>
    <w:uiPriority w:val="9"/>
    <w:qFormat/>
    <w:rsid w:val="00A929B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929B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929B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929B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929B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929B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929B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929B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929B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929B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929B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929B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929B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929B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929B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929B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929B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929BF"/>
    <w:rPr>
      <w:rFonts w:eastAsiaTheme="majorEastAsia" w:cstheme="majorBidi"/>
      <w:color w:val="272727" w:themeColor="text1" w:themeTint="D8"/>
    </w:rPr>
  </w:style>
  <w:style w:type="paragraph" w:styleId="Title">
    <w:name w:val="Title"/>
    <w:basedOn w:val="Normal"/>
    <w:next w:val="Normal"/>
    <w:link w:val="TitleChar"/>
    <w:uiPriority w:val="10"/>
    <w:qFormat/>
    <w:rsid w:val="00A929B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929B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929B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929BF"/>
    <w:rPr>
      <w:rFonts w:eastAsiaTheme="majorEastAsia" w:cstheme="majorBidi"/>
      <w:color w:val="595959" w:themeColor="text1" w:themeTint="A6"/>
      <w:spacing w:val="15"/>
      <w:sz w:val="28"/>
      <w:szCs w:val="28"/>
    </w:rPr>
  </w:style>
  <w:style w:type="paragraph" w:styleId="ListParagraph">
    <w:name w:val="List Paragraph"/>
    <w:basedOn w:val="Normal"/>
    <w:uiPriority w:val="34"/>
    <w:qFormat/>
    <w:rsid w:val="00A929BF"/>
    <w:pPr>
      <w:ind w:left="720"/>
      <w:contextualSpacing/>
    </w:pPr>
  </w:style>
  <w:style w:type="paragraph" w:styleId="Quote">
    <w:name w:val="Quote"/>
    <w:basedOn w:val="Normal"/>
    <w:next w:val="Normal"/>
    <w:link w:val="QuoteChar"/>
    <w:uiPriority w:val="29"/>
    <w:qFormat/>
    <w:rsid w:val="00A929BF"/>
    <w:pPr>
      <w:spacing w:before="160"/>
      <w:jc w:val="center"/>
    </w:pPr>
    <w:rPr>
      <w:i/>
      <w:iCs/>
      <w:color w:val="404040" w:themeColor="text1" w:themeTint="BF"/>
    </w:rPr>
  </w:style>
  <w:style w:type="character" w:customStyle="1" w:styleId="QuoteChar">
    <w:name w:val="Quote Char"/>
    <w:basedOn w:val="DefaultParagraphFont"/>
    <w:link w:val="Quote"/>
    <w:uiPriority w:val="29"/>
    <w:rsid w:val="00A929BF"/>
    <w:rPr>
      <w:i/>
      <w:iCs/>
      <w:color w:val="404040" w:themeColor="text1" w:themeTint="BF"/>
    </w:rPr>
  </w:style>
  <w:style w:type="paragraph" w:styleId="IntenseQuote">
    <w:name w:val="Intense Quote"/>
    <w:basedOn w:val="Normal"/>
    <w:next w:val="Normal"/>
    <w:link w:val="IntenseQuoteChar"/>
    <w:uiPriority w:val="30"/>
    <w:qFormat/>
    <w:rsid w:val="00A929B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929BF"/>
    <w:rPr>
      <w:i/>
      <w:iCs/>
      <w:color w:val="0F4761" w:themeColor="accent1" w:themeShade="BF"/>
    </w:rPr>
  </w:style>
  <w:style w:type="character" w:styleId="IntenseEmphasis">
    <w:name w:val="Intense Emphasis"/>
    <w:basedOn w:val="DefaultParagraphFont"/>
    <w:uiPriority w:val="21"/>
    <w:qFormat/>
    <w:rsid w:val="00A929BF"/>
    <w:rPr>
      <w:i/>
      <w:iCs/>
      <w:color w:val="0F4761" w:themeColor="accent1" w:themeShade="BF"/>
    </w:rPr>
  </w:style>
  <w:style w:type="character" w:styleId="IntenseReference">
    <w:name w:val="Intense Reference"/>
    <w:basedOn w:val="DefaultParagraphFont"/>
    <w:uiPriority w:val="32"/>
    <w:qFormat/>
    <w:rsid w:val="00A929BF"/>
    <w:rPr>
      <w:b/>
      <w:bCs/>
      <w:smallCaps/>
      <w:color w:val="0F4761" w:themeColor="accent1" w:themeShade="BF"/>
      <w:spacing w:val="5"/>
    </w:rPr>
  </w:style>
  <w:style w:type="paragraph" w:styleId="Header">
    <w:name w:val="header"/>
    <w:basedOn w:val="Normal"/>
    <w:link w:val="HeaderChar"/>
    <w:uiPriority w:val="99"/>
    <w:unhideWhenUsed/>
    <w:rsid w:val="00F71462"/>
    <w:pPr>
      <w:tabs>
        <w:tab w:val="center" w:pos="4513"/>
        <w:tab w:val="right" w:pos="9026"/>
      </w:tabs>
      <w:spacing w:after="0" w:line="240" w:lineRule="auto"/>
    </w:pPr>
  </w:style>
  <w:style w:type="character" w:customStyle="1" w:styleId="HeaderChar">
    <w:name w:val="Header Char"/>
    <w:basedOn w:val="DefaultParagraphFont"/>
    <w:link w:val="Header"/>
    <w:uiPriority w:val="99"/>
    <w:rsid w:val="00F71462"/>
  </w:style>
  <w:style w:type="paragraph" w:styleId="Footer">
    <w:name w:val="footer"/>
    <w:basedOn w:val="Normal"/>
    <w:link w:val="FooterChar"/>
    <w:uiPriority w:val="99"/>
    <w:unhideWhenUsed/>
    <w:rsid w:val="00F71462"/>
    <w:pPr>
      <w:tabs>
        <w:tab w:val="center" w:pos="4513"/>
        <w:tab w:val="right" w:pos="9026"/>
      </w:tabs>
      <w:spacing w:after="0" w:line="240" w:lineRule="auto"/>
    </w:pPr>
  </w:style>
  <w:style w:type="character" w:customStyle="1" w:styleId="FooterChar">
    <w:name w:val="Footer Char"/>
    <w:basedOn w:val="DefaultParagraphFont"/>
    <w:link w:val="Footer"/>
    <w:uiPriority w:val="99"/>
    <w:rsid w:val="00F71462"/>
  </w:style>
  <w:style w:type="character" w:styleId="Strong">
    <w:name w:val="Strong"/>
    <w:basedOn w:val="DefaultParagraphFont"/>
    <w:uiPriority w:val="22"/>
    <w:qFormat/>
    <w:rsid w:val="00E13FEC"/>
    <w:rPr>
      <w:b/>
      <w:bCs/>
    </w:rPr>
  </w:style>
  <w:style w:type="paragraph" w:styleId="TOCHeading">
    <w:name w:val="TOC Heading"/>
    <w:basedOn w:val="Heading1"/>
    <w:next w:val="Normal"/>
    <w:uiPriority w:val="39"/>
    <w:unhideWhenUsed/>
    <w:qFormat/>
    <w:rsid w:val="00E13FEC"/>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E13FEC"/>
    <w:pPr>
      <w:spacing w:after="100"/>
    </w:pPr>
  </w:style>
  <w:style w:type="character" w:styleId="Hyperlink">
    <w:name w:val="Hyperlink"/>
    <w:basedOn w:val="DefaultParagraphFont"/>
    <w:uiPriority w:val="99"/>
    <w:unhideWhenUsed/>
    <w:rsid w:val="00E13FEC"/>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jpeg"/><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media/image6.jpe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7520BEA-23D2-47E7-89F6-B5752C23700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2924</Words>
  <Characters>16667</Characters>
  <Application>Microsoft Office Word</Application>
  <DocSecurity>0</DocSecurity>
  <Lines>138</Lines>
  <Paragraphs>39</Paragraphs>
  <ScaleCrop>false</ScaleCrop>
  <Company/>
  <LinksUpToDate>false</LinksUpToDate>
  <CharactersWithSpaces>19552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2025-10-14T11:47:00Z</dcterms:created>
  <dcterms:modified xsi:type="dcterms:W3CDTF">2025-10-14T11:47:00Z</dcterms:modified>
</cp:coreProperties>
</file>