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056F8" w14:textId="5EFE9C24" w:rsidR="003B2945" w:rsidRDefault="00FD3751">
      <w:pPr>
        <w:rPr>
          <w:rFonts w:ascii="Times New Roman" w:hAnsi="Times New Roman" w:cs="Times New Roman"/>
          <w:b/>
          <w:sz w:val="24"/>
          <w:szCs w:val="24"/>
        </w:rPr>
      </w:pPr>
      <w:r w:rsidRPr="00FD3751">
        <w:rPr>
          <w:rFonts w:ascii="Times New Roman" w:hAnsi="Times New Roman" w:cs="Times New Roman"/>
          <w:b/>
          <w:sz w:val="24"/>
          <w:szCs w:val="24"/>
        </w:rPr>
        <w:t xml:space="preserve">Lex de </w:t>
      </w:r>
      <w:proofErr w:type="spellStart"/>
      <w:r w:rsidRPr="00FD3751">
        <w:rPr>
          <w:rFonts w:ascii="Times New Roman" w:hAnsi="Times New Roman" w:cs="Times New Roman"/>
          <w:b/>
          <w:sz w:val="24"/>
          <w:szCs w:val="24"/>
        </w:rPr>
        <w:t>colonia</w:t>
      </w:r>
      <w:proofErr w:type="spellEnd"/>
      <w:r w:rsidRPr="00FD3751">
        <w:rPr>
          <w:rFonts w:ascii="Times New Roman" w:hAnsi="Times New Roman" w:cs="Times New Roman"/>
          <w:b/>
          <w:sz w:val="24"/>
          <w:szCs w:val="24"/>
        </w:rPr>
        <w:t xml:space="preserve"> </w:t>
      </w:r>
      <w:proofErr w:type="spellStart"/>
      <w:r w:rsidRPr="00FD3751">
        <w:rPr>
          <w:rFonts w:ascii="Times New Roman" w:hAnsi="Times New Roman" w:cs="Times New Roman"/>
          <w:b/>
          <w:sz w:val="24"/>
          <w:szCs w:val="24"/>
        </w:rPr>
        <w:t>Genetiva</w:t>
      </w:r>
      <w:proofErr w:type="spellEnd"/>
      <w:r w:rsidRPr="00FD3751">
        <w:rPr>
          <w:rFonts w:ascii="Times New Roman" w:hAnsi="Times New Roman" w:cs="Times New Roman"/>
          <w:b/>
          <w:sz w:val="24"/>
          <w:szCs w:val="24"/>
        </w:rPr>
        <w:t xml:space="preserve"> Julia exercises</w:t>
      </w:r>
    </w:p>
    <w:p w14:paraId="68B8E752" w14:textId="188F1141" w:rsidR="00FD3751" w:rsidRDefault="00FD3751">
      <w:pPr>
        <w:rPr>
          <w:rFonts w:ascii="Times New Roman" w:hAnsi="Times New Roman" w:cs="Times New Roman"/>
          <w:b/>
          <w:sz w:val="24"/>
          <w:szCs w:val="24"/>
        </w:rPr>
      </w:pPr>
    </w:p>
    <w:p w14:paraId="4395A3A2" w14:textId="474327F2" w:rsidR="00FD3751" w:rsidRDefault="00FD3751" w:rsidP="006F60B5">
      <w:pPr>
        <w:spacing w:line="480" w:lineRule="auto"/>
        <w:rPr>
          <w:rFonts w:ascii="Times New Roman" w:hAnsi="Times New Roman" w:cs="Times New Roman"/>
          <w:sz w:val="24"/>
          <w:szCs w:val="24"/>
        </w:rPr>
      </w:pPr>
      <w:r>
        <w:rPr>
          <w:rFonts w:ascii="Times New Roman" w:hAnsi="Times New Roman" w:cs="Times New Roman"/>
          <w:sz w:val="24"/>
          <w:szCs w:val="24"/>
        </w:rPr>
        <w:t xml:space="preserve">Taken together the </w:t>
      </w:r>
      <w:proofErr w:type="spellStart"/>
      <w:r w:rsidRPr="00FD3751">
        <w:rPr>
          <w:rFonts w:ascii="Times New Roman" w:hAnsi="Times New Roman" w:cs="Times New Roman"/>
          <w:i/>
          <w:sz w:val="24"/>
          <w:szCs w:val="24"/>
        </w:rPr>
        <w:t>lex</w:t>
      </w:r>
      <w:proofErr w:type="spellEnd"/>
      <w:r w:rsidRPr="00FD3751">
        <w:rPr>
          <w:rFonts w:ascii="Times New Roman" w:hAnsi="Times New Roman" w:cs="Times New Roman"/>
          <w:i/>
          <w:sz w:val="24"/>
          <w:szCs w:val="24"/>
        </w:rPr>
        <w:t xml:space="preserve"> </w:t>
      </w:r>
      <w:r>
        <w:rPr>
          <w:rFonts w:ascii="Times New Roman" w:hAnsi="Times New Roman" w:cs="Times New Roman"/>
          <w:sz w:val="24"/>
          <w:szCs w:val="24"/>
        </w:rPr>
        <w:t xml:space="preserve">and the inscriptions suggest that religious activity in the colony was multi-layered and multi-faceted. The </w:t>
      </w:r>
      <w:proofErr w:type="spellStart"/>
      <w:r w:rsidRPr="00FD3751">
        <w:rPr>
          <w:rFonts w:ascii="Times New Roman" w:hAnsi="Times New Roman" w:cs="Times New Roman"/>
          <w:i/>
          <w:sz w:val="24"/>
          <w:szCs w:val="24"/>
        </w:rPr>
        <w:t>lex</w:t>
      </w:r>
      <w:proofErr w:type="spellEnd"/>
      <w:r>
        <w:rPr>
          <w:rFonts w:ascii="Times New Roman" w:hAnsi="Times New Roman" w:cs="Times New Roman"/>
          <w:sz w:val="24"/>
          <w:szCs w:val="24"/>
        </w:rPr>
        <w:t xml:space="preserve"> itself deals with centrally managed aspects of religion on behalf of the community as a whole. The </w:t>
      </w:r>
      <w:r w:rsidRPr="00FD3751">
        <w:rPr>
          <w:rFonts w:ascii="Times New Roman" w:hAnsi="Times New Roman" w:cs="Times New Roman"/>
          <w:i/>
          <w:sz w:val="24"/>
          <w:szCs w:val="24"/>
        </w:rPr>
        <w:t>du</w:t>
      </w:r>
      <w:r>
        <w:rPr>
          <w:rFonts w:ascii="Times New Roman" w:hAnsi="Times New Roman" w:cs="Times New Roman"/>
          <w:i/>
          <w:sz w:val="24"/>
          <w:szCs w:val="24"/>
        </w:rPr>
        <w:t>um</w:t>
      </w:r>
      <w:r w:rsidRPr="00FD3751">
        <w:rPr>
          <w:rFonts w:ascii="Times New Roman" w:hAnsi="Times New Roman" w:cs="Times New Roman"/>
          <w:i/>
          <w:sz w:val="24"/>
          <w:szCs w:val="24"/>
        </w:rPr>
        <w:t>viri</w:t>
      </w:r>
      <w:r>
        <w:rPr>
          <w:rFonts w:ascii="Times New Roman" w:hAnsi="Times New Roman" w:cs="Times New Roman"/>
          <w:sz w:val="24"/>
          <w:szCs w:val="24"/>
        </w:rPr>
        <w:t xml:space="preserve"> and </w:t>
      </w:r>
      <w:r w:rsidRPr="00FD3751">
        <w:rPr>
          <w:rFonts w:ascii="Times New Roman" w:hAnsi="Times New Roman" w:cs="Times New Roman"/>
          <w:i/>
          <w:sz w:val="24"/>
          <w:szCs w:val="24"/>
        </w:rPr>
        <w:t>aediles</w:t>
      </w:r>
      <w:r>
        <w:rPr>
          <w:rFonts w:ascii="Times New Roman" w:hAnsi="Times New Roman" w:cs="Times New Roman"/>
          <w:sz w:val="24"/>
          <w:szCs w:val="24"/>
        </w:rPr>
        <w:t xml:space="preserve"> as magistrates have responsibility for the provision of festivals, games and other spectacles in honour of Jupiter, Juno, Minerva and other unspecified gods and goddesses. The </w:t>
      </w:r>
      <w:r w:rsidRPr="00FD3751">
        <w:rPr>
          <w:rFonts w:ascii="Times New Roman" w:hAnsi="Times New Roman" w:cs="Times New Roman"/>
          <w:i/>
          <w:sz w:val="24"/>
          <w:szCs w:val="24"/>
        </w:rPr>
        <w:t>aediles</w:t>
      </w:r>
      <w:r>
        <w:rPr>
          <w:rFonts w:ascii="Times New Roman" w:hAnsi="Times New Roman" w:cs="Times New Roman"/>
          <w:sz w:val="24"/>
          <w:szCs w:val="24"/>
        </w:rPr>
        <w:t xml:space="preserve"> have additional responsibility for games in honour of Venus. The</w:t>
      </w:r>
      <w:r w:rsidR="006F60B5">
        <w:rPr>
          <w:rFonts w:ascii="Times New Roman" w:hAnsi="Times New Roman" w:cs="Times New Roman"/>
          <w:sz w:val="24"/>
          <w:szCs w:val="24"/>
        </w:rPr>
        <w:t>se</w:t>
      </w:r>
      <w:r>
        <w:rPr>
          <w:rFonts w:ascii="Times New Roman" w:hAnsi="Times New Roman" w:cs="Times New Roman"/>
          <w:sz w:val="24"/>
          <w:szCs w:val="24"/>
        </w:rPr>
        <w:t xml:space="preserve"> magistrates also have responsibility for the appointment of </w:t>
      </w:r>
      <w:r w:rsidRPr="00FD3751">
        <w:rPr>
          <w:rFonts w:ascii="Times New Roman" w:hAnsi="Times New Roman" w:cs="Times New Roman"/>
          <w:i/>
          <w:sz w:val="24"/>
          <w:szCs w:val="24"/>
        </w:rPr>
        <w:t>pontifices</w:t>
      </w:r>
      <w:r>
        <w:rPr>
          <w:rFonts w:ascii="Times New Roman" w:hAnsi="Times New Roman" w:cs="Times New Roman"/>
          <w:sz w:val="24"/>
          <w:szCs w:val="24"/>
        </w:rPr>
        <w:t xml:space="preserve"> and </w:t>
      </w:r>
      <w:proofErr w:type="spellStart"/>
      <w:r w:rsidRPr="00FD3751">
        <w:rPr>
          <w:rFonts w:ascii="Times New Roman" w:hAnsi="Times New Roman" w:cs="Times New Roman"/>
          <w:i/>
          <w:sz w:val="24"/>
          <w:szCs w:val="24"/>
        </w:rPr>
        <w:t>augures</w:t>
      </w:r>
      <w:proofErr w:type="spellEnd"/>
      <w:r>
        <w:rPr>
          <w:rFonts w:ascii="Times New Roman" w:hAnsi="Times New Roman" w:cs="Times New Roman"/>
          <w:i/>
          <w:sz w:val="24"/>
          <w:szCs w:val="24"/>
        </w:rPr>
        <w:t>.</w:t>
      </w:r>
      <w:r>
        <w:rPr>
          <w:rFonts w:ascii="Times New Roman" w:hAnsi="Times New Roman" w:cs="Times New Roman"/>
          <w:sz w:val="24"/>
          <w:szCs w:val="24"/>
        </w:rPr>
        <w:t xml:space="preserve"> Little is said about the specific activities of these two roles. The festivals and games are managed by those holding political office, and are partially funded out of the public purse. </w:t>
      </w:r>
      <w:r w:rsidRPr="00304234">
        <w:rPr>
          <w:rFonts w:ascii="Times New Roman" w:hAnsi="Times New Roman" w:cs="Times New Roman"/>
          <w:i/>
          <w:sz w:val="24"/>
          <w:szCs w:val="24"/>
        </w:rPr>
        <w:t>Po</w:t>
      </w:r>
      <w:r w:rsidR="00304234" w:rsidRPr="00304234">
        <w:rPr>
          <w:rFonts w:ascii="Times New Roman" w:hAnsi="Times New Roman" w:cs="Times New Roman"/>
          <w:i/>
          <w:sz w:val="24"/>
          <w:szCs w:val="24"/>
        </w:rPr>
        <w:t>n</w:t>
      </w:r>
      <w:r w:rsidRPr="00304234">
        <w:rPr>
          <w:rFonts w:ascii="Times New Roman" w:hAnsi="Times New Roman" w:cs="Times New Roman"/>
          <w:i/>
          <w:sz w:val="24"/>
          <w:szCs w:val="24"/>
        </w:rPr>
        <w:t>tifices</w:t>
      </w:r>
      <w:r>
        <w:rPr>
          <w:rFonts w:ascii="Times New Roman" w:hAnsi="Times New Roman" w:cs="Times New Roman"/>
          <w:sz w:val="24"/>
          <w:szCs w:val="24"/>
        </w:rPr>
        <w:t xml:space="preserve"> and </w:t>
      </w:r>
      <w:proofErr w:type="spellStart"/>
      <w:r w:rsidRPr="00304234">
        <w:rPr>
          <w:rFonts w:ascii="Times New Roman" w:hAnsi="Times New Roman" w:cs="Times New Roman"/>
          <w:i/>
          <w:sz w:val="24"/>
          <w:szCs w:val="24"/>
        </w:rPr>
        <w:t>augures</w:t>
      </w:r>
      <w:proofErr w:type="spellEnd"/>
      <w:r>
        <w:rPr>
          <w:rFonts w:ascii="Times New Roman" w:hAnsi="Times New Roman" w:cs="Times New Roman"/>
          <w:sz w:val="24"/>
          <w:szCs w:val="24"/>
        </w:rPr>
        <w:t xml:space="preserve"> are also paid for from public funds. In these aspects it is clear that </w:t>
      </w:r>
      <w:r w:rsidR="00304234">
        <w:rPr>
          <w:rFonts w:ascii="Times New Roman" w:hAnsi="Times New Roman" w:cs="Times New Roman"/>
          <w:sz w:val="24"/>
          <w:szCs w:val="24"/>
        </w:rPr>
        <w:t>control of religious activities and the appointment of senior religious figures are in the hands of the political authorities.</w:t>
      </w:r>
    </w:p>
    <w:p w14:paraId="274CDEA6" w14:textId="4B065547" w:rsidR="00304234" w:rsidRDefault="00304234" w:rsidP="006F60B5">
      <w:pPr>
        <w:spacing w:line="480" w:lineRule="auto"/>
        <w:rPr>
          <w:rFonts w:ascii="Times New Roman" w:hAnsi="Times New Roman" w:cs="Times New Roman"/>
          <w:sz w:val="24"/>
          <w:szCs w:val="24"/>
        </w:rPr>
      </w:pPr>
    </w:p>
    <w:p w14:paraId="33C8015B" w14:textId="7D39715A" w:rsidR="00304234" w:rsidRDefault="00304234" w:rsidP="006F60B5">
      <w:pPr>
        <w:spacing w:line="480" w:lineRule="auto"/>
        <w:rPr>
          <w:rFonts w:ascii="Times New Roman" w:hAnsi="Times New Roman" w:cs="Times New Roman"/>
          <w:sz w:val="24"/>
          <w:szCs w:val="24"/>
        </w:rPr>
      </w:pPr>
      <w:r>
        <w:rPr>
          <w:rFonts w:ascii="Times New Roman" w:hAnsi="Times New Roman" w:cs="Times New Roman"/>
          <w:sz w:val="24"/>
          <w:szCs w:val="24"/>
        </w:rPr>
        <w:t>The inscriptions show religious activity at a different, more personal, level.  Those making the dedications are bot</w:t>
      </w:r>
      <w:r w:rsidR="007076BC">
        <w:rPr>
          <w:rFonts w:ascii="Times New Roman" w:hAnsi="Times New Roman" w:cs="Times New Roman"/>
          <w:sz w:val="24"/>
          <w:szCs w:val="24"/>
        </w:rPr>
        <w:t>h</w:t>
      </w:r>
      <w:r>
        <w:rPr>
          <w:rFonts w:ascii="Times New Roman" w:hAnsi="Times New Roman" w:cs="Times New Roman"/>
          <w:sz w:val="24"/>
          <w:szCs w:val="24"/>
        </w:rPr>
        <w:t xml:space="preserve"> Roman citizens and non-citizens</w:t>
      </w:r>
      <w:r w:rsidR="006F60B5">
        <w:rPr>
          <w:rFonts w:ascii="Times New Roman" w:hAnsi="Times New Roman" w:cs="Times New Roman"/>
          <w:sz w:val="24"/>
          <w:szCs w:val="24"/>
        </w:rPr>
        <w:t>, and both male and female.</w:t>
      </w:r>
      <w:r>
        <w:rPr>
          <w:rFonts w:ascii="Times New Roman" w:hAnsi="Times New Roman" w:cs="Times New Roman"/>
          <w:sz w:val="24"/>
          <w:szCs w:val="24"/>
        </w:rPr>
        <w:t xml:space="preserve"> </w:t>
      </w:r>
      <w:r w:rsidR="00FB5A5C">
        <w:rPr>
          <w:rFonts w:ascii="Times New Roman" w:hAnsi="Times New Roman" w:cs="Times New Roman"/>
          <w:sz w:val="24"/>
          <w:szCs w:val="24"/>
        </w:rPr>
        <w:t>Two are</w:t>
      </w:r>
      <w:r>
        <w:rPr>
          <w:rFonts w:ascii="Times New Roman" w:hAnsi="Times New Roman" w:cs="Times New Roman"/>
          <w:sz w:val="24"/>
          <w:szCs w:val="24"/>
        </w:rPr>
        <w:t xml:space="preserve"> </w:t>
      </w:r>
      <w:r w:rsidRPr="00120A09">
        <w:rPr>
          <w:rFonts w:ascii="Times New Roman" w:hAnsi="Times New Roman" w:cs="Times New Roman"/>
          <w:i/>
          <w:sz w:val="24"/>
          <w:szCs w:val="24"/>
        </w:rPr>
        <w:t>duumvir</w:t>
      </w:r>
      <w:r w:rsidR="00120A09" w:rsidRPr="00120A09">
        <w:rPr>
          <w:rFonts w:ascii="Times New Roman" w:hAnsi="Times New Roman" w:cs="Times New Roman"/>
          <w:i/>
          <w:sz w:val="24"/>
          <w:szCs w:val="24"/>
        </w:rPr>
        <w:t>i</w:t>
      </w:r>
      <w:r>
        <w:rPr>
          <w:rFonts w:ascii="Times New Roman" w:hAnsi="Times New Roman" w:cs="Times New Roman"/>
          <w:sz w:val="24"/>
          <w:szCs w:val="24"/>
        </w:rPr>
        <w:t xml:space="preserve"> and one a pontifex – the same people responsible for organising the festivals mentioned in the </w:t>
      </w:r>
      <w:proofErr w:type="spellStart"/>
      <w:r w:rsidR="007076BC" w:rsidRPr="00120A09">
        <w:rPr>
          <w:rFonts w:ascii="Times New Roman" w:hAnsi="Times New Roman" w:cs="Times New Roman"/>
          <w:i/>
          <w:sz w:val="24"/>
          <w:szCs w:val="24"/>
        </w:rPr>
        <w:t>lex</w:t>
      </w:r>
      <w:proofErr w:type="spellEnd"/>
      <w:r w:rsidR="00120A09">
        <w:rPr>
          <w:rFonts w:ascii="Times New Roman" w:hAnsi="Times New Roman" w:cs="Times New Roman"/>
          <w:sz w:val="24"/>
          <w:szCs w:val="24"/>
        </w:rPr>
        <w:t>.</w:t>
      </w:r>
      <w:r w:rsidR="007076BC">
        <w:rPr>
          <w:rFonts w:ascii="Times New Roman" w:hAnsi="Times New Roman" w:cs="Times New Roman"/>
          <w:sz w:val="24"/>
          <w:szCs w:val="24"/>
        </w:rPr>
        <w:t xml:space="preserve"> </w:t>
      </w:r>
      <w:r w:rsidR="00120A09">
        <w:rPr>
          <w:rFonts w:ascii="Times New Roman" w:hAnsi="Times New Roman" w:cs="Times New Roman"/>
          <w:sz w:val="24"/>
          <w:szCs w:val="24"/>
        </w:rPr>
        <w:t xml:space="preserve">Roman gods are </w:t>
      </w:r>
      <w:r w:rsidR="00CF793E">
        <w:rPr>
          <w:rFonts w:ascii="Times New Roman" w:hAnsi="Times New Roman" w:cs="Times New Roman"/>
          <w:sz w:val="24"/>
          <w:szCs w:val="24"/>
        </w:rPr>
        <w:t xml:space="preserve">in </w:t>
      </w:r>
      <w:r w:rsidR="00120A09">
        <w:rPr>
          <w:rFonts w:ascii="Times New Roman" w:hAnsi="Times New Roman" w:cs="Times New Roman"/>
          <w:sz w:val="24"/>
          <w:szCs w:val="24"/>
        </w:rPr>
        <w:t>evidence – Apollo, Ceres, but also Cybele who was viewed with some suspicion by the authorities</w:t>
      </w:r>
      <w:r w:rsidR="006F60B5">
        <w:rPr>
          <w:rFonts w:ascii="Times New Roman" w:hAnsi="Times New Roman" w:cs="Times New Roman"/>
          <w:sz w:val="24"/>
          <w:szCs w:val="24"/>
        </w:rPr>
        <w:t>.</w:t>
      </w:r>
      <w:r w:rsidR="00120A09">
        <w:rPr>
          <w:rStyle w:val="FootnoteReference"/>
          <w:rFonts w:ascii="Times New Roman" w:hAnsi="Times New Roman" w:cs="Times New Roman"/>
          <w:sz w:val="24"/>
          <w:szCs w:val="24"/>
        </w:rPr>
        <w:footnoteReference w:id="1"/>
      </w:r>
      <w:r w:rsidR="00120A09">
        <w:rPr>
          <w:rFonts w:ascii="Times New Roman" w:hAnsi="Times New Roman" w:cs="Times New Roman"/>
          <w:sz w:val="24"/>
          <w:szCs w:val="24"/>
        </w:rPr>
        <w:t xml:space="preserve"> An unknown name – </w:t>
      </w:r>
      <w:proofErr w:type="spellStart"/>
      <w:r w:rsidR="00120A09">
        <w:rPr>
          <w:rFonts w:ascii="Times New Roman" w:hAnsi="Times New Roman" w:cs="Times New Roman"/>
          <w:sz w:val="24"/>
          <w:szCs w:val="24"/>
        </w:rPr>
        <w:t>Tisipatana</w:t>
      </w:r>
      <w:proofErr w:type="spellEnd"/>
      <w:r w:rsidR="00120A09">
        <w:rPr>
          <w:rFonts w:ascii="Times New Roman" w:hAnsi="Times New Roman" w:cs="Times New Roman"/>
          <w:sz w:val="24"/>
          <w:szCs w:val="24"/>
        </w:rPr>
        <w:t xml:space="preserve"> </w:t>
      </w:r>
      <w:r w:rsidR="006F60B5">
        <w:rPr>
          <w:rFonts w:ascii="Times New Roman" w:hAnsi="Times New Roman" w:cs="Times New Roman"/>
          <w:sz w:val="24"/>
          <w:szCs w:val="24"/>
        </w:rPr>
        <w:t>–</w:t>
      </w:r>
      <w:r w:rsidR="00120A09">
        <w:rPr>
          <w:rFonts w:ascii="Times New Roman" w:hAnsi="Times New Roman" w:cs="Times New Roman"/>
          <w:sz w:val="24"/>
          <w:szCs w:val="24"/>
        </w:rPr>
        <w:t xml:space="preserve"> is</w:t>
      </w:r>
      <w:r w:rsidR="006F60B5">
        <w:rPr>
          <w:rFonts w:ascii="Times New Roman" w:hAnsi="Times New Roman" w:cs="Times New Roman"/>
          <w:sz w:val="24"/>
          <w:szCs w:val="24"/>
        </w:rPr>
        <w:t xml:space="preserve"> </w:t>
      </w:r>
      <w:r w:rsidR="00120A09">
        <w:rPr>
          <w:rFonts w:ascii="Times New Roman" w:hAnsi="Times New Roman" w:cs="Times New Roman"/>
          <w:sz w:val="24"/>
          <w:szCs w:val="24"/>
        </w:rPr>
        <w:t xml:space="preserve">perhaps a </w:t>
      </w:r>
      <w:r w:rsidR="006F60B5">
        <w:rPr>
          <w:rFonts w:ascii="Times New Roman" w:hAnsi="Times New Roman" w:cs="Times New Roman"/>
          <w:sz w:val="24"/>
          <w:szCs w:val="24"/>
        </w:rPr>
        <w:t>female Celtic</w:t>
      </w:r>
      <w:r w:rsidR="00120A09">
        <w:rPr>
          <w:rFonts w:ascii="Times New Roman" w:hAnsi="Times New Roman" w:cs="Times New Roman"/>
          <w:sz w:val="24"/>
          <w:szCs w:val="24"/>
        </w:rPr>
        <w:t xml:space="preserve"> divinity, </w:t>
      </w:r>
      <w:r w:rsidR="006F60B5">
        <w:rPr>
          <w:rFonts w:ascii="Times New Roman" w:hAnsi="Times New Roman" w:cs="Times New Roman"/>
          <w:sz w:val="24"/>
          <w:szCs w:val="24"/>
        </w:rPr>
        <w:t>who</w:t>
      </w:r>
      <w:r w:rsidR="00120A09">
        <w:rPr>
          <w:rFonts w:ascii="Times New Roman" w:hAnsi="Times New Roman" w:cs="Times New Roman"/>
          <w:sz w:val="24"/>
          <w:szCs w:val="24"/>
        </w:rPr>
        <w:t xml:space="preserve"> appears to have a </w:t>
      </w:r>
      <w:r w:rsidR="006F60B5">
        <w:rPr>
          <w:rFonts w:ascii="Times New Roman" w:hAnsi="Times New Roman" w:cs="Times New Roman"/>
          <w:sz w:val="24"/>
          <w:szCs w:val="24"/>
        </w:rPr>
        <w:t xml:space="preserve">lifelong priest associated with her.  Yet another tradition (if I have translated the inscription correctly) appears to be to a holy tree, perhaps also another Celtic influence. </w:t>
      </w:r>
    </w:p>
    <w:p w14:paraId="6EE2C1EB" w14:textId="10E9A50A" w:rsidR="00304234" w:rsidRDefault="006F60B5" w:rsidP="006F60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Does the </w:t>
      </w:r>
      <w:proofErr w:type="spellStart"/>
      <w:r w:rsidRPr="006F60B5">
        <w:rPr>
          <w:rFonts w:ascii="Times New Roman" w:hAnsi="Times New Roman" w:cs="Times New Roman"/>
          <w:i/>
          <w:sz w:val="24"/>
          <w:szCs w:val="24"/>
        </w:rPr>
        <w:t>lex</w:t>
      </w:r>
      <w:proofErr w:type="spellEnd"/>
      <w:r>
        <w:rPr>
          <w:rFonts w:ascii="Times New Roman" w:hAnsi="Times New Roman" w:cs="Times New Roman"/>
          <w:sz w:val="24"/>
          <w:szCs w:val="24"/>
        </w:rPr>
        <w:t xml:space="preserve"> suggest that we see</w:t>
      </w:r>
      <w:r w:rsidRPr="0004369D">
        <w:rPr>
          <w:rFonts w:ascii="Times New Roman" w:hAnsi="Times New Roman" w:cs="Times New Roman"/>
          <w:i/>
          <w:sz w:val="24"/>
          <w:szCs w:val="24"/>
        </w:rPr>
        <w:t xml:space="preserve"> polis</w:t>
      </w:r>
      <w:r>
        <w:rPr>
          <w:rFonts w:ascii="Times New Roman" w:hAnsi="Times New Roman" w:cs="Times New Roman"/>
          <w:sz w:val="24"/>
          <w:szCs w:val="24"/>
        </w:rPr>
        <w:t xml:space="preserve"> religion is operating in the colony?  </w:t>
      </w:r>
      <w:proofErr w:type="spellStart"/>
      <w:r>
        <w:rPr>
          <w:rFonts w:ascii="Times New Roman" w:hAnsi="Times New Roman" w:cs="Times New Roman"/>
          <w:sz w:val="24"/>
          <w:szCs w:val="24"/>
        </w:rPr>
        <w:t>Sourvinou</w:t>
      </w:r>
      <w:proofErr w:type="spellEnd"/>
      <w:r>
        <w:rPr>
          <w:rFonts w:ascii="Times New Roman" w:hAnsi="Times New Roman" w:cs="Times New Roman"/>
          <w:sz w:val="24"/>
          <w:szCs w:val="24"/>
        </w:rPr>
        <w:t>-Inwood writing about the Gre</w:t>
      </w:r>
      <w:r w:rsidR="0004369D">
        <w:rPr>
          <w:rFonts w:ascii="Times New Roman" w:hAnsi="Times New Roman" w:cs="Times New Roman"/>
          <w:sz w:val="24"/>
          <w:szCs w:val="24"/>
        </w:rPr>
        <w:t>e</w:t>
      </w:r>
      <w:r>
        <w:rPr>
          <w:rFonts w:ascii="Times New Roman" w:hAnsi="Times New Roman" w:cs="Times New Roman"/>
          <w:sz w:val="24"/>
          <w:szCs w:val="24"/>
        </w:rPr>
        <w:t xml:space="preserve">k </w:t>
      </w:r>
      <w:r w:rsidRPr="0004369D">
        <w:rPr>
          <w:rFonts w:ascii="Times New Roman" w:hAnsi="Times New Roman" w:cs="Times New Roman"/>
          <w:i/>
          <w:sz w:val="24"/>
          <w:szCs w:val="24"/>
        </w:rPr>
        <w:t>polis</w:t>
      </w:r>
      <w:r>
        <w:rPr>
          <w:rFonts w:ascii="Times New Roman" w:hAnsi="Times New Roman" w:cs="Times New Roman"/>
          <w:sz w:val="24"/>
          <w:szCs w:val="24"/>
        </w:rPr>
        <w:t xml:space="preserve"> argued that “the </w:t>
      </w:r>
      <w:r w:rsidRPr="0004369D">
        <w:rPr>
          <w:rFonts w:ascii="Times New Roman" w:hAnsi="Times New Roman" w:cs="Times New Roman"/>
          <w:i/>
          <w:sz w:val="24"/>
          <w:szCs w:val="24"/>
        </w:rPr>
        <w:t>polis</w:t>
      </w:r>
      <w:r>
        <w:rPr>
          <w:rFonts w:ascii="Times New Roman" w:hAnsi="Times New Roman" w:cs="Times New Roman"/>
          <w:sz w:val="24"/>
          <w:szCs w:val="24"/>
        </w:rPr>
        <w:t xml:space="preserve"> anchored, legitimate</w:t>
      </w:r>
      <w:r w:rsidR="00CF793E">
        <w:rPr>
          <w:rFonts w:ascii="Times New Roman" w:hAnsi="Times New Roman" w:cs="Times New Roman"/>
          <w:sz w:val="24"/>
          <w:szCs w:val="24"/>
        </w:rPr>
        <w:t>d</w:t>
      </w:r>
      <w:r>
        <w:rPr>
          <w:rFonts w:ascii="Times New Roman" w:hAnsi="Times New Roman" w:cs="Times New Roman"/>
          <w:sz w:val="24"/>
          <w:szCs w:val="24"/>
        </w:rPr>
        <w:t xml:space="preserve"> and mediated all religious activity. </w:t>
      </w:r>
      <w:r w:rsidR="0004369D">
        <w:rPr>
          <w:rStyle w:val="FootnoteReference"/>
          <w:rFonts w:ascii="Times New Roman" w:hAnsi="Times New Roman" w:cs="Times New Roman"/>
          <w:sz w:val="24"/>
          <w:szCs w:val="24"/>
        </w:rPr>
        <w:footnoteReference w:id="2"/>
      </w:r>
      <w:r w:rsidR="0004369D">
        <w:rPr>
          <w:rFonts w:ascii="Times New Roman" w:hAnsi="Times New Roman" w:cs="Times New Roman"/>
          <w:sz w:val="24"/>
          <w:szCs w:val="24"/>
        </w:rPr>
        <w:t xml:space="preserve"> In return it was religious activity which gave the </w:t>
      </w:r>
      <w:r w:rsidR="0004369D" w:rsidRPr="0004369D">
        <w:rPr>
          <w:rFonts w:ascii="Times New Roman" w:hAnsi="Times New Roman" w:cs="Times New Roman"/>
          <w:i/>
          <w:sz w:val="24"/>
          <w:szCs w:val="24"/>
        </w:rPr>
        <w:t>polis</w:t>
      </w:r>
      <w:r w:rsidR="0004369D">
        <w:rPr>
          <w:rFonts w:ascii="Times New Roman" w:hAnsi="Times New Roman" w:cs="Times New Roman"/>
          <w:sz w:val="24"/>
          <w:szCs w:val="24"/>
        </w:rPr>
        <w:t xml:space="preserve"> its meaning – the two were inseparable.</w:t>
      </w:r>
      <w:r w:rsidR="0004369D">
        <w:rPr>
          <w:rStyle w:val="FootnoteReference"/>
          <w:rFonts w:ascii="Times New Roman" w:hAnsi="Times New Roman" w:cs="Times New Roman"/>
          <w:sz w:val="24"/>
          <w:szCs w:val="24"/>
        </w:rPr>
        <w:footnoteReference w:id="3"/>
      </w:r>
      <w:r w:rsidR="0004369D">
        <w:rPr>
          <w:rFonts w:ascii="Times New Roman" w:hAnsi="Times New Roman" w:cs="Times New Roman"/>
          <w:sz w:val="24"/>
          <w:szCs w:val="24"/>
        </w:rPr>
        <w:t xml:space="preserve"> The</w:t>
      </w:r>
      <w:r w:rsidR="0004369D" w:rsidRPr="0004369D">
        <w:rPr>
          <w:rFonts w:ascii="Times New Roman" w:hAnsi="Times New Roman" w:cs="Times New Roman"/>
          <w:i/>
          <w:sz w:val="24"/>
          <w:szCs w:val="24"/>
        </w:rPr>
        <w:t xml:space="preserve"> </w:t>
      </w:r>
      <w:proofErr w:type="spellStart"/>
      <w:r w:rsidR="0004369D" w:rsidRPr="0004369D">
        <w:rPr>
          <w:rFonts w:ascii="Times New Roman" w:hAnsi="Times New Roman" w:cs="Times New Roman"/>
          <w:i/>
          <w:sz w:val="24"/>
          <w:szCs w:val="24"/>
        </w:rPr>
        <w:t>lex</w:t>
      </w:r>
      <w:proofErr w:type="spellEnd"/>
      <w:r w:rsidR="0004369D">
        <w:rPr>
          <w:rFonts w:ascii="Times New Roman" w:hAnsi="Times New Roman" w:cs="Times New Roman"/>
          <w:sz w:val="24"/>
          <w:szCs w:val="24"/>
        </w:rPr>
        <w:t xml:space="preserve"> demonstrates a similar closeness. Some, </w:t>
      </w:r>
      <w:r w:rsidR="00CF793E">
        <w:rPr>
          <w:rFonts w:ascii="Times New Roman" w:hAnsi="Times New Roman" w:cs="Times New Roman"/>
          <w:sz w:val="24"/>
          <w:szCs w:val="24"/>
        </w:rPr>
        <w:t>perhaps the most important</w:t>
      </w:r>
      <w:r w:rsidR="0004369D">
        <w:rPr>
          <w:rFonts w:ascii="Times New Roman" w:hAnsi="Times New Roman" w:cs="Times New Roman"/>
          <w:sz w:val="24"/>
          <w:szCs w:val="24"/>
        </w:rPr>
        <w:t xml:space="preserve"> religious activity</w:t>
      </w:r>
      <w:r w:rsidR="00CF793E">
        <w:rPr>
          <w:rFonts w:ascii="Times New Roman" w:hAnsi="Times New Roman" w:cs="Times New Roman"/>
          <w:sz w:val="24"/>
          <w:szCs w:val="24"/>
        </w:rPr>
        <w:t xml:space="preserve"> from the perspective of the local authorities,</w:t>
      </w:r>
      <w:r w:rsidR="0004369D">
        <w:rPr>
          <w:rFonts w:ascii="Times New Roman" w:hAnsi="Times New Roman" w:cs="Times New Roman"/>
          <w:sz w:val="24"/>
          <w:szCs w:val="24"/>
        </w:rPr>
        <w:t xml:space="preserve"> is led and controlled by men in political roles. However, the individual inscriptions also provide evidence for an alternative situation which, according to Rives, emerged as the Roma</w:t>
      </w:r>
      <w:r w:rsidR="00CF793E">
        <w:rPr>
          <w:rFonts w:ascii="Times New Roman" w:hAnsi="Times New Roman" w:cs="Times New Roman"/>
          <w:sz w:val="24"/>
          <w:szCs w:val="24"/>
        </w:rPr>
        <w:t>n</w:t>
      </w:r>
      <w:r w:rsidR="0004369D">
        <w:rPr>
          <w:rFonts w:ascii="Times New Roman" w:hAnsi="Times New Roman" w:cs="Times New Roman"/>
          <w:sz w:val="24"/>
          <w:szCs w:val="24"/>
        </w:rPr>
        <w:t xml:space="preserve"> </w:t>
      </w:r>
      <w:r w:rsidR="00CF793E">
        <w:rPr>
          <w:rFonts w:ascii="Times New Roman" w:hAnsi="Times New Roman" w:cs="Times New Roman"/>
          <w:sz w:val="24"/>
          <w:szCs w:val="24"/>
        </w:rPr>
        <w:t>republic acquired more territory.</w:t>
      </w:r>
      <w:r w:rsidR="0004369D">
        <w:rPr>
          <w:rFonts w:ascii="Times New Roman" w:hAnsi="Times New Roman" w:cs="Times New Roman"/>
          <w:sz w:val="24"/>
          <w:szCs w:val="24"/>
        </w:rPr>
        <w:t xml:space="preserve"> </w:t>
      </w:r>
      <w:r w:rsidR="00CF793E">
        <w:rPr>
          <w:rFonts w:ascii="Times New Roman" w:hAnsi="Times New Roman" w:cs="Times New Roman"/>
          <w:sz w:val="24"/>
          <w:szCs w:val="24"/>
        </w:rPr>
        <w:t>The conquered peoples</w:t>
      </w:r>
      <w:r w:rsidR="0004369D">
        <w:rPr>
          <w:rFonts w:ascii="Times New Roman" w:hAnsi="Times New Roman" w:cs="Times New Roman"/>
          <w:sz w:val="24"/>
          <w:szCs w:val="24"/>
        </w:rPr>
        <w:t xml:space="preserve"> brought in practices and local beliefs which did not fit wit</w:t>
      </w:r>
      <w:r w:rsidR="00CF793E">
        <w:rPr>
          <w:rFonts w:ascii="Times New Roman" w:hAnsi="Times New Roman" w:cs="Times New Roman"/>
          <w:sz w:val="24"/>
          <w:szCs w:val="24"/>
        </w:rPr>
        <w:t>h</w:t>
      </w:r>
      <w:r w:rsidR="0004369D">
        <w:rPr>
          <w:rFonts w:ascii="Times New Roman" w:hAnsi="Times New Roman" w:cs="Times New Roman"/>
          <w:sz w:val="24"/>
          <w:szCs w:val="24"/>
        </w:rPr>
        <w:t xml:space="preserve"> this model and </w:t>
      </w:r>
      <w:r w:rsidR="00CF793E">
        <w:rPr>
          <w:rFonts w:ascii="Times New Roman" w:hAnsi="Times New Roman" w:cs="Times New Roman"/>
          <w:sz w:val="24"/>
          <w:szCs w:val="24"/>
        </w:rPr>
        <w:t>created greater diversity and plurality of cults and actions.</w:t>
      </w:r>
      <w:r w:rsidR="00CF793E">
        <w:rPr>
          <w:rStyle w:val="FootnoteReference"/>
          <w:rFonts w:ascii="Times New Roman" w:hAnsi="Times New Roman" w:cs="Times New Roman"/>
          <w:sz w:val="24"/>
          <w:szCs w:val="24"/>
        </w:rPr>
        <w:footnoteReference w:id="4"/>
      </w:r>
      <w:r w:rsidR="00CF793E">
        <w:rPr>
          <w:rFonts w:ascii="Times New Roman" w:hAnsi="Times New Roman" w:cs="Times New Roman"/>
          <w:sz w:val="24"/>
          <w:szCs w:val="24"/>
        </w:rPr>
        <w:t xml:space="preserve"> </w:t>
      </w:r>
    </w:p>
    <w:p w14:paraId="4D11E3AF" w14:textId="7660430E" w:rsidR="00CF793E" w:rsidRDefault="00CF793E" w:rsidP="006F60B5">
      <w:pPr>
        <w:spacing w:line="480" w:lineRule="auto"/>
        <w:rPr>
          <w:rFonts w:ascii="Times New Roman" w:hAnsi="Times New Roman" w:cs="Times New Roman"/>
          <w:sz w:val="24"/>
          <w:szCs w:val="24"/>
        </w:rPr>
      </w:pPr>
      <w:r>
        <w:rPr>
          <w:rFonts w:ascii="Times New Roman" w:hAnsi="Times New Roman" w:cs="Times New Roman"/>
          <w:sz w:val="24"/>
          <w:szCs w:val="24"/>
        </w:rPr>
        <w:t xml:space="preserve">In summary, the two sets of evidence seem to show that some aspects of </w:t>
      </w:r>
      <w:r w:rsidRPr="00CF793E">
        <w:rPr>
          <w:rFonts w:ascii="Times New Roman" w:hAnsi="Times New Roman" w:cs="Times New Roman"/>
          <w:i/>
          <w:sz w:val="24"/>
          <w:szCs w:val="24"/>
        </w:rPr>
        <w:t>polis</w:t>
      </w:r>
      <w:r>
        <w:rPr>
          <w:rFonts w:ascii="Times New Roman" w:hAnsi="Times New Roman" w:cs="Times New Roman"/>
          <w:sz w:val="24"/>
          <w:szCs w:val="24"/>
        </w:rPr>
        <w:t xml:space="preserve"> religion exist alongside other, local practices. The evidence suggests that some participants operated in both public and private arenas. It is less clear if those honouring local deities acted exclusively within their own tradition or whether they also participated in </w:t>
      </w:r>
      <w:r w:rsidR="007A48A6">
        <w:rPr>
          <w:rFonts w:ascii="Times New Roman" w:hAnsi="Times New Roman" w:cs="Times New Roman"/>
          <w:sz w:val="24"/>
          <w:szCs w:val="24"/>
        </w:rPr>
        <w:t>civic</w:t>
      </w:r>
      <w:r>
        <w:rPr>
          <w:rFonts w:ascii="Times New Roman" w:hAnsi="Times New Roman" w:cs="Times New Roman"/>
          <w:sz w:val="24"/>
          <w:szCs w:val="24"/>
        </w:rPr>
        <w:t xml:space="preserve"> religious activity.</w:t>
      </w:r>
    </w:p>
    <w:p w14:paraId="520CEDCC" w14:textId="550B8DF0" w:rsidR="00FD3751" w:rsidRDefault="00FD3751" w:rsidP="006F60B5">
      <w:pPr>
        <w:spacing w:line="480" w:lineRule="auto"/>
        <w:rPr>
          <w:rFonts w:ascii="Times New Roman" w:hAnsi="Times New Roman" w:cs="Times New Roman"/>
          <w:sz w:val="24"/>
          <w:szCs w:val="24"/>
        </w:rPr>
      </w:pPr>
    </w:p>
    <w:p w14:paraId="3751206E" w14:textId="5865D06B" w:rsidR="00FD3751" w:rsidRPr="007A48A6" w:rsidRDefault="007A48A6" w:rsidP="006F60B5">
      <w:pPr>
        <w:spacing w:line="480" w:lineRule="auto"/>
        <w:rPr>
          <w:rFonts w:ascii="Times New Roman" w:hAnsi="Times New Roman" w:cs="Times New Roman"/>
          <w:b/>
          <w:sz w:val="24"/>
          <w:szCs w:val="24"/>
        </w:rPr>
      </w:pPr>
      <w:r w:rsidRPr="007A48A6">
        <w:rPr>
          <w:rFonts w:ascii="Times New Roman" w:hAnsi="Times New Roman" w:cs="Times New Roman"/>
          <w:b/>
          <w:sz w:val="24"/>
          <w:szCs w:val="24"/>
        </w:rPr>
        <w:t>References</w:t>
      </w:r>
    </w:p>
    <w:p w14:paraId="54F96D8A" w14:textId="12080585" w:rsidR="007A48A6" w:rsidRDefault="007A48A6" w:rsidP="007A48A6">
      <w:pPr>
        <w:spacing w:line="276" w:lineRule="auto"/>
        <w:rPr>
          <w:rFonts w:ascii="Times New Roman" w:hAnsi="Times New Roman" w:cs="Times New Roman"/>
          <w:sz w:val="24"/>
          <w:szCs w:val="24"/>
        </w:rPr>
      </w:pPr>
      <w:r>
        <w:rPr>
          <w:rFonts w:ascii="Times New Roman" w:hAnsi="Times New Roman" w:cs="Times New Roman"/>
          <w:sz w:val="24"/>
          <w:szCs w:val="24"/>
        </w:rPr>
        <w:t xml:space="preserve">Beard, M., North, J and Price, C. 1998. </w:t>
      </w:r>
      <w:r w:rsidRPr="007A48A6">
        <w:rPr>
          <w:rFonts w:ascii="Times New Roman" w:hAnsi="Times New Roman" w:cs="Times New Roman"/>
          <w:i/>
          <w:sz w:val="24"/>
          <w:szCs w:val="24"/>
        </w:rPr>
        <w:t>Religions of Rome</w:t>
      </w:r>
      <w:r>
        <w:rPr>
          <w:rFonts w:ascii="Times New Roman" w:hAnsi="Times New Roman" w:cs="Times New Roman"/>
          <w:sz w:val="24"/>
          <w:szCs w:val="24"/>
        </w:rPr>
        <w:t xml:space="preserve">. Cambridge: Cambridge University Press. Volume 1. </w:t>
      </w:r>
    </w:p>
    <w:p w14:paraId="12658118" w14:textId="20891DA6" w:rsidR="007A48A6" w:rsidRDefault="007A48A6" w:rsidP="007A48A6">
      <w:pPr>
        <w:spacing w:line="276" w:lineRule="auto"/>
        <w:rPr>
          <w:rFonts w:ascii="Times New Roman" w:hAnsi="Times New Roman" w:cs="Times New Roman"/>
          <w:sz w:val="24"/>
          <w:szCs w:val="24"/>
        </w:rPr>
      </w:pPr>
      <w:r>
        <w:rPr>
          <w:rFonts w:ascii="Times New Roman" w:hAnsi="Times New Roman" w:cs="Times New Roman"/>
          <w:sz w:val="24"/>
          <w:szCs w:val="24"/>
        </w:rPr>
        <w:t xml:space="preserve">Rives, J. B. 2010. ‘Graeco-Roman religion in the Roman Empire: old assumptions and new approaches.’ </w:t>
      </w:r>
      <w:r w:rsidRPr="007A48A6">
        <w:rPr>
          <w:rFonts w:ascii="Times New Roman" w:hAnsi="Times New Roman" w:cs="Times New Roman"/>
          <w:i/>
          <w:sz w:val="24"/>
          <w:szCs w:val="24"/>
        </w:rPr>
        <w:t>Currents in Biblical Research</w:t>
      </w:r>
      <w:r>
        <w:rPr>
          <w:rFonts w:ascii="Times New Roman" w:hAnsi="Times New Roman" w:cs="Times New Roman"/>
          <w:sz w:val="24"/>
          <w:szCs w:val="24"/>
        </w:rPr>
        <w:t xml:space="preserve"> 8.2, 240-299</w:t>
      </w:r>
    </w:p>
    <w:p w14:paraId="0C76E7AF" w14:textId="03E8B8D9" w:rsidR="007A48A6" w:rsidRPr="00FD3751" w:rsidRDefault="007A48A6" w:rsidP="007A48A6">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Sourvinou</w:t>
      </w:r>
      <w:proofErr w:type="spellEnd"/>
      <w:r>
        <w:rPr>
          <w:rFonts w:ascii="Times New Roman" w:hAnsi="Times New Roman" w:cs="Times New Roman"/>
          <w:sz w:val="24"/>
          <w:szCs w:val="24"/>
        </w:rPr>
        <w:t xml:space="preserve">-Inwood, C. 1990. ‘What is polis religion?’ in O. Murray </w:t>
      </w:r>
      <w:bookmarkStart w:id="0" w:name="_GoBack"/>
      <w:r>
        <w:rPr>
          <w:rFonts w:ascii="Times New Roman" w:hAnsi="Times New Roman" w:cs="Times New Roman"/>
          <w:sz w:val="24"/>
          <w:szCs w:val="24"/>
        </w:rPr>
        <w:t xml:space="preserve">and Price, S.(eds.). </w:t>
      </w:r>
      <w:r w:rsidRPr="007A48A6">
        <w:rPr>
          <w:rFonts w:ascii="Times New Roman" w:hAnsi="Times New Roman" w:cs="Times New Roman"/>
          <w:i/>
          <w:sz w:val="24"/>
          <w:szCs w:val="24"/>
        </w:rPr>
        <w:t>The Greek city from Alexander to Home</w:t>
      </w:r>
      <w:r>
        <w:rPr>
          <w:rFonts w:ascii="Times New Roman" w:hAnsi="Times New Roman" w:cs="Times New Roman"/>
          <w:sz w:val="24"/>
          <w:szCs w:val="24"/>
        </w:rPr>
        <w:t>r. Oxford: Clarendon Press, 295-</w:t>
      </w:r>
      <w:bookmarkEnd w:id="0"/>
      <w:r>
        <w:rPr>
          <w:rFonts w:ascii="Times New Roman" w:hAnsi="Times New Roman" w:cs="Times New Roman"/>
          <w:sz w:val="24"/>
          <w:szCs w:val="24"/>
        </w:rPr>
        <w:t>322</w:t>
      </w:r>
    </w:p>
    <w:sectPr w:rsidR="007A48A6" w:rsidRPr="00FD37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22616" w14:textId="77777777" w:rsidR="005711B4" w:rsidRDefault="005711B4" w:rsidP="00120A09">
      <w:pPr>
        <w:spacing w:after="0" w:line="240" w:lineRule="auto"/>
      </w:pPr>
      <w:r>
        <w:separator/>
      </w:r>
    </w:p>
  </w:endnote>
  <w:endnote w:type="continuationSeparator" w:id="0">
    <w:p w14:paraId="51A5D88A" w14:textId="77777777" w:rsidR="005711B4" w:rsidRDefault="005711B4" w:rsidP="00120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EE3E5" w14:textId="77777777" w:rsidR="005711B4" w:rsidRDefault="005711B4" w:rsidP="00120A09">
      <w:pPr>
        <w:spacing w:after="0" w:line="240" w:lineRule="auto"/>
      </w:pPr>
      <w:r>
        <w:separator/>
      </w:r>
    </w:p>
  </w:footnote>
  <w:footnote w:type="continuationSeparator" w:id="0">
    <w:p w14:paraId="413E18A1" w14:textId="77777777" w:rsidR="005711B4" w:rsidRDefault="005711B4" w:rsidP="00120A09">
      <w:pPr>
        <w:spacing w:after="0" w:line="240" w:lineRule="auto"/>
      </w:pPr>
      <w:r>
        <w:continuationSeparator/>
      </w:r>
    </w:p>
  </w:footnote>
  <w:footnote w:id="1">
    <w:p w14:paraId="43D77B51" w14:textId="46435614" w:rsidR="00120A09" w:rsidRDefault="00120A09">
      <w:pPr>
        <w:pStyle w:val="FootnoteText"/>
      </w:pPr>
      <w:r>
        <w:rPr>
          <w:rStyle w:val="FootnoteReference"/>
        </w:rPr>
        <w:footnoteRef/>
      </w:r>
      <w:r>
        <w:t xml:space="preserve"> Bear</w:t>
      </w:r>
      <w:r w:rsidR="0004369D">
        <w:t>d</w:t>
      </w:r>
      <w:r>
        <w:t xml:space="preserve"> &amp; North1998:97</w:t>
      </w:r>
    </w:p>
  </w:footnote>
  <w:footnote w:id="2">
    <w:p w14:paraId="7C2ED4D5" w14:textId="215D8990" w:rsidR="0004369D" w:rsidRDefault="0004369D">
      <w:pPr>
        <w:pStyle w:val="FootnoteText"/>
      </w:pPr>
      <w:r>
        <w:rPr>
          <w:rStyle w:val="FootnoteReference"/>
        </w:rPr>
        <w:footnoteRef/>
      </w:r>
      <w:r>
        <w:t xml:space="preserve"> </w:t>
      </w:r>
      <w:proofErr w:type="spellStart"/>
      <w:r>
        <w:t>Sourvinou</w:t>
      </w:r>
      <w:proofErr w:type="spellEnd"/>
      <w:r>
        <w:t>-Inwood 1990: 295</w:t>
      </w:r>
    </w:p>
  </w:footnote>
  <w:footnote w:id="3">
    <w:p w14:paraId="759C67BE" w14:textId="36ADD7FA" w:rsidR="0004369D" w:rsidRDefault="0004369D">
      <w:pPr>
        <w:pStyle w:val="FootnoteText"/>
      </w:pPr>
      <w:r>
        <w:rPr>
          <w:rStyle w:val="FootnoteReference"/>
        </w:rPr>
        <w:footnoteRef/>
      </w:r>
      <w:r>
        <w:t xml:space="preserve"> Rives 2010: 268</w:t>
      </w:r>
    </w:p>
  </w:footnote>
  <w:footnote w:id="4">
    <w:p w14:paraId="23373684" w14:textId="12EFFB1D" w:rsidR="00CF793E" w:rsidRDefault="00CF793E">
      <w:pPr>
        <w:pStyle w:val="FootnoteText"/>
      </w:pPr>
      <w:r>
        <w:rPr>
          <w:rStyle w:val="FootnoteReference"/>
        </w:rPr>
        <w:footnoteRef/>
      </w:r>
      <w:r>
        <w:t xml:space="preserve"> Rives 2010: 273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51"/>
    <w:rsid w:val="0004369D"/>
    <w:rsid w:val="00120A09"/>
    <w:rsid w:val="00304234"/>
    <w:rsid w:val="003B2945"/>
    <w:rsid w:val="005711B4"/>
    <w:rsid w:val="006F60B5"/>
    <w:rsid w:val="007076BC"/>
    <w:rsid w:val="007A48A6"/>
    <w:rsid w:val="00CF793E"/>
    <w:rsid w:val="00FB5A5C"/>
    <w:rsid w:val="00FD3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7EAA"/>
  <w15:chartTrackingRefBased/>
  <w15:docId w15:val="{3C3FB5D6-ABB6-4391-AE11-E75BDA8C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0A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0A09"/>
    <w:rPr>
      <w:sz w:val="20"/>
      <w:szCs w:val="20"/>
    </w:rPr>
  </w:style>
  <w:style w:type="character" w:styleId="FootnoteReference">
    <w:name w:val="footnote reference"/>
    <w:basedOn w:val="DefaultParagraphFont"/>
    <w:uiPriority w:val="99"/>
    <w:semiHidden/>
    <w:unhideWhenUsed/>
    <w:rsid w:val="00120A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273F5-DC10-4389-9F54-46BA3E757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499</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Lawrence</dc:creator>
  <cp:keywords/>
  <dc:description/>
  <cp:lastModifiedBy>Jane Lawrence</cp:lastModifiedBy>
  <cp:revision>2</cp:revision>
  <dcterms:created xsi:type="dcterms:W3CDTF">2019-02-02T11:46:00Z</dcterms:created>
  <dcterms:modified xsi:type="dcterms:W3CDTF">2019-02-02T13:08:00Z</dcterms:modified>
</cp:coreProperties>
</file>