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2D8D502" wp14:paraId="5E5787A5" wp14:textId="3FE6C04A">
      <w:pPr>
        <w:pStyle w:val="Normal"/>
      </w:pPr>
      <w:r w:rsidR="52301455">
        <w:drawing>
          <wp:inline xmlns:wp14="http://schemas.microsoft.com/office/word/2010/wordprocessingDrawing" wp14:editId="792529E9" wp14:anchorId="3B7B328A">
            <wp:extent cx="2619375" cy="1162050"/>
            <wp:effectExtent l="0" t="0" r="0" b="0"/>
            <wp:docPr id="1118676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8676190" name="Picture 1118676190"/>
                    <pic:cNvPicPr/>
                  </pic:nvPicPr>
                  <pic:blipFill>
                    <a:blip xmlns:r="http://schemas.openxmlformats.org/officeDocument/2006/relationships" r:embed="rId50163403">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rsidR="22D8D502" w:rsidP="22D8D502" w:rsidRDefault="22D8D502" w14:paraId="67AF0EB3" w14:textId="7836501A">
      <w:pPr>
        <w:pStyle w:val="Normal"/>
      </w:pPr>
    </w:p>
    <w:p w:rsidR="52301455" w:rsidP="22D8D502" w:rsidRDefault="52301455" w14:paraId="234124ED" w14:textId="48A6A6D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2301455">
        <w:rPr>
          <w:rFonts w:ascii="Arial" w:hAnsi="Arial" w:eastAsia="Arial" w:cs="Arial"/>
          <w:b w:val="1"/>
          <w:bCs w:val="1"/>
          <w:i w:val="0"/>
          <w:iCs w:val="0"/>
          <w:caps w:val="0"/>
          <w:smallCaps w:val="0"/>
          <w:noProof w:val="0"/>
          <w:color w:val="000000" w:themeColor="text1" w:themeTint="FF" w:themeShade="FF"/>
          <w:sz w:val="22"/>
          <w:szCs w:val="22"/>
          <w:lang w:val="en-GB"/>
        </w:rPr>
        <w:t>Name:</w:t>
      </w:r>
      <w:r w:rsidRPr="22D8D502" w:rsidR="52301455">
        <w:rPr>
          <w:rFonts w:ascii="Arial" w:hAnsi="Arial" w:eastAsia="Arial" w:cs="Arial"/>
          <w:b w:val="0"/>
          <w:bCs w:val="0"/>
          <w:i w:val="0"/>
          <w:iCs w:val="0"/>
          <w:caps w:val="0"/>
          <w:smallCaps w:val="0"/>
          <w:noProof w:val="0"/>
          <w:color w:val="000000" w:themeColor="text1" w:themeTint="FF" w:themeShade="FF"/>
          <w:sz w:val="22"/>
          <w:szCs w:val="22"/>
          <w:lang w:val="en-GB"/>
        </w:rPr>
        <w:t xml:space="preserve"> Silvia Iroguehi Iroguehi</w:t>
      </w:r>
    </w:p>
    <w:p w:rsidR="52301455" w:rsidP="22D8D502" w:rsidRDefault="52301455" w14:paraId="5BE7EC5D" w14:textId="0E827A48">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2301455">
        <w:rPr>
          <w:rFonts w:ascii="Arial" w:hAnsi="Arial" w:eastAsia="Arial" w:cs="Arial"/>
          <w:b w:val="1"/>
          <w:bCs w:val="1"/>
          <w:i w:val="0"/>
          <w:iCs w:val="0"/>
          <w:caps w:val="0"/>
          <w:smallCaps w:val="0"/>
          <w:noProof w:val="0"/>
          <w:color w:val="000000" w:themeColor="text1" w:themeTint="FF" w:themeShade="FF"/>
          <w:sz w:val="22"/>
          <w:szCs w:val="22"/>
          <w:lang w:val="en-GB"/>
        </w:rPr>
        <w:t>Student ID:</w:t>
      </w:r>
      <w:r w:rsidRPr="22D8D502" w:rsidR="52301455">
        <w:rPr>
          <w:rFonts w:ascii="Arial" w:hAnsi="Arial" w:eastAsia="Arial" w:cs="Arial"/>
          <w:b w:val="0"/>
          <w:bCs w:val="0"/>
          <w:i w:val="0"/>
          <w:iCs w:val="0"/>
          <w:caps w:val="0"/>
          <w:smallCaps w:val="0"/>
          <w:noProof w:val="0"/>
          <w:color w:val="000000" w:themeColor="text1" w:themeTint="FF" w:themeShade="FF"/>
          <w:sz w:val="22"/>
          <w:szCs w:val="22"/>
          <w:lang w:val="en-GB"/>
        </w:rPr>
        <w:t xml:space="preserve"> 2541271</w:t>
      </w:r>
    </w:p>
    <w:p w:rsidR="52301455" w:rsidP="22D8D502" w:rsidRDefault="52301455" w14:paraId="3C02D948" w14:textId="5F0EF3C9">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2301455">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22D8D502" w:rsidR="52301455">
        <w:rPr>
          <w:rFonts w:ascii="Arial" w:hAnsi="Arial" w:eastAsia="Arial" w:cs="Arial"/>
          <w:b w:val="0"/>
          <w:bCs w:val="0"/>
          <w:i w:val="0"/>
          <w:iCs w:val="0"/>
          <w:caps w:val="0"/>
          <w:smallCaps w:val="0"/>
          <w:noProof w:val="0"/>
          <w:color w:val="000000" w:themeColor="text1" w:themeTint="FF" w:themeShade="FF"/>
          <w:sz w:val="22"/>
          <w:szCs w:val="22"/>
          <w:lang w:val="en-GB"/>
        </w:rPr>
        <w:t xml:space="preserve"> LCHS4003</w:t>
      </w:r>
    </w:p>
    <w:p w:rsidR="52301455" w:rsidP="22D8D502" w:rsidRDefault="52301455" w14:paraId="1E6CBBF1" w14:textId="785C5F14">
      <w:pPr>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2301455">
        <w:rPr>
          <w:rFonts w:ascii="Arial" w:hAnsi="Arial" w:eastAsia="Arial" w:cs="Arial"/>
          <w:b w:val="1"/>
          <w:bCs w:val="1"/>
          <w:i w:val="0"/>
          <w:iCs w:val="0"/>
          <w:caps w:val="0"/>
          <w:smallCaps w:val="0"/>
          <w:noProof w:val="0"/>
          <w:color w:val="000000" w:themeColor="text1" w:themeTint="FF" w:themeShade="FF"/>
          <w:sz w:val="22"/>
          <w:szCs w:val="22"/>
          <w:lang w:val="en-GB"/>
        </w:rPr>
        <w:t xml:space="preserve">Module Title: </w:t>
      </w:r>
      <w:r w:rsidRPr="22D8D502" w:rsidR="52301455">
        <w:rPr>
          <w:rFonts w:ascii="Arial" w:hAnsi="Arial" w:eastAsia="Arial" w:cs="Arial"/>
          <w:b w:val="0"/>
          <w:bCs w:val="0"/>
          <w:i w:val="0"/>
          <w:iCs w:val="0"/>
          <w:caps w:val="0"/>
          <w:smallCaps w:val="0"/>
          <w:noProof w:val="0"/>
          <w:color w:val="000000" w:themeColor="text1" w:themeTint="FF" w:themeShade="FF"/>
          <w:sz w:val="22"/>
          <w:szCs w:val="22"/>
          <w:lang w:val="en-GB"/>
        </w:rPr>
        <w:t>Introduction to</w:t>
      </w:r>
      <w:r w:rsidRPr="22D8D502" w:rsidR="5230145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2D8D502" w:rsidR="52301455">
        <w:rPr>
          <w:rFonts w:ascii="Arial" w:hAnsi="Arial" w:eastAsia="Arial" w:cs="Arial"/>
          <w:b w:val="0"/>
          <w:bCs w:val="0"/>
          <w:i w:val="0"/>
          <w:iCs w:val="0"/>
          <w:caps w:val="0"/>
          <w:smallCaps w:val="0"/>
          <w:noProof w:val="0"/>
          <w:color w:val="000000" w:themeColor="text1" w:themeTint="FF" w:themeShade="FF"/>
          <w:sz w:val="22"/>
          <w:szCs w:val="22"/>
          <w:lang w:val="en-GB"/>
        </w:rPr>
        <w:t>Health and Social Care</w:t>
      </w:r>
    </w:p>
    <w:p w:rsidR="52301455" w:rsidP="22D8D502" w:rsidRDefault="52301455" w14:paraId="01F007A3" w14:textId="1825244B">
      <w:pPr>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2301455">
        <w:rPr>
          <w:rFonts w:ascii="Arial" w:hAnsi="Arial" w:eastAsia="Arial" w:cs="Arial"/>
          <w:b w:val="1"/>
          <w:bCs w:val="1"/>
          <w:i w:val="0"/>
          <w:iCs w:val="0"/>
          <w:caps w:val="0"/>
          <w:smallCaps w:val="0"/>
          <w:noProof w:val="0"/>
          <w:color w:val="000000" w:themeColor="text1" w:themeTint="FF" w:themeShade="FF"/>
          <w:sz w:val="22"/>
          <w:szCs w:val="22"/>
          <w:lang w:val="en-GB"/>
        </w:rPr>
        <w:t>Lecturer Name:</w:t>
      </w:r>
      <w:r w:rsidRPr="22D8D502" w:rsidR="52301455">
        <w:rPr>
          <w:rFonts w:ascii="Arial" w:hAnsi="Arial" w:eastAsia="Arial" w:cs="Arial"/>
          <w:b w:val="0"/>
          <w:bCs w:val="0"/>
          <w:i w:val="0"/>
          <w:iCs w:val="0"/>
          <w:caps w:val="0"/>
          <w:smallCaps w:val="0"/>
          <w:noProof w:val="0"/>
          <w:color w:val="000000" w:themeColor="text1" w:themeTint="FF" w:themeShade="FF"/>
          <w:sz w:val="22"/>
          <w:szCs w:val="22"/>
          <w:lang w:val="en-GB"/>
        </w:rPr>
        <w:t xml:space="preserve"> Zarah Ahmed</w:t>
      </w:r>
    </w:p>
    <w:p w:rsidR="52301455" w:rsidP="22D8D502" w:rsidRDefault="52301455" w14:paraId="1C35920E" w14:textId="21EF2B7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2301455">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22D8D502" w:rsidR="52301455">
        <w:rPr>
          <w:rFonts w:ascii="Arial" w:hAnsi="Arial" w:eastAsia="Arial" w:cs="Arial"/>
          <w:b w:val="0"/>
          <w:bCs w:val="0"/>
          <w:i w:val="0"/>
          <w:iCs w:val="0"/>
          <w:caps w:val="0"/>
          <w:smallCaps w:val="0"/>
          <w:noProof w:val="0"/>
          <w:color w:val="000000" w:themeColor="text1" w:themeTint="FF" w:themeShade="FF"/>
          <w:sz w:val="22"/>
          <w:szCs w:val="22"/>
          <w:lang w:val="en-GB"/>
        </w:rPr>
        <w:t>Written Assignment</w:t>
      </w:r>
    </w:p>
    <w:p w:rsidR="22D8D502" w:rsidP="22D8D502" w:rsidRDefault="22D8D502" w14:paraId="4054FB0E" w14:textId="77E4A668">
      <w:pPr>
        <w:pStyle w:val="Normal"/>
      </w:pPr>
    </w:p>
    <w:p w:rsidR="22D8D502" w:rsidP="22D8D502" w:rsidRDefault="22D8D502" w14:paraId="5169B06A" w14:textId="1B1D693F">
      <w:pPr>
        <w:pStyle w:val="Normal"/>
      </w:pPr>
    </w:p>
    <w:p w:rsidR="52301455" w:rsidP="22D8D502" w:rsidRDefault="52301455" w14:paraId="438B7200" w14:textId="68ACA223">
      <w:pPr>
        <w:pStyle w:val="Normal"/>
      </w:pPr>
      <w:r w:rsidR="52301455">
        <w:rPr/>
        <w:t xml:space="preserve">          </w:t>
      </w:r>
      <w:r w:rsidRPr="22D8D502" w:rsidR="52301455">
        <w:rPr>
          <w:rFonts w:ascii="Arial" w:hAnsi="Arial" w:eastAsia="Arial" w:cs="Arial"/>
          <w:b w:val="1"/>
          <w:bCs w:val="1"/>
          <w:i w:val="0"/>
          <w:iCs w:val="0"/>
          <w:caps w:val="0"/>
          <w:smallCaps w:val="0"/>
          <w:noProof w:val="0"/>
          <w:color w:val="000000" w:themeColor="text1" w:themeTint="FF" w:themeShade="FF"/>
          <w:sz w:val="22"/>
          <w:szCs w:val="22"/>
          <w:lang w:val="en-GB"/>
        </w:rPr>
        <w:t>Submitted On:</w:t>
      </w:r>
    </w:p>
    <w:p w:rsidR="22D8D502" w:rsidP="22D8D502" w:rsidRDefault="22D8D502" w14:paraId="69C95958" w14:textId="63EEA71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18B309F5" w14:textId="2001E72D">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58B7EC26" w14:textId="3489F42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4BC5C77A" w14:textId="658AF0C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53E25711" w14:textId="18E2852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6F5B31FA" w14:textId="5969A42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0CAB11CE" w14:textId="0F0E8C8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78E1FA99" w14:textId="096DD4CD">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003B518D" w14:textId="31A9B8DA">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3055A418" w14:textId="7CA7B78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74322F62" w14:textId="3214083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6C5F2CD5" w14:textId="344CC13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281DEB66" w14:textId="7A13D07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1528CFAB" w14:textId="5CCCF87F">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4168E786" w14:textId="6E5A9770">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427768F2" w14:textId="4060DE73">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0E31BF5A" w:rsidP="22D8D502" w:rsidRDefault="0E31BF5A" w14:paraId="57D8D3B1" w14:textId="016DF89A">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INTRODUCTION </w:t>
      </w:r>
    </w:p>
    <w:p w:rsidR="0E31BF5A" w:rsidP="22D8D502" w:rsidRDefault="0E31BF5A" w14:paraId="3991CFA5" w14:textId="0AE6D42B">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76F03EEF" w14:textId="7CBF695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Effective communication,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administration, and collaborative working are the three cornerstones of safe, person-centred care. When these three elements work well together, they protect service users, improve health outcomes, and uphold personal dignity. When they fail, the results can be harmful as shown in the case of Mr O’Connor. Mr O’Connor is a 91-year-old man living alone in a retirement bungalow, recovering from hospital treatment for chronic heart failure. He receives daily domiciliary care to help with medication and meals. He also has age-related hearing loss and mild cognitive impairment, and his daughter visits regularly to support him. Recently, a medication change was not recorded clearly, causing him to miss his prescribed diuretic for two days. As a result, he became breathless and developed swollen ankles. This report examines how better communication, precise record-keeping, and stronger multi-agency teamwork could prevent similar incidents in future. It draws on key legislation including the Equality Act 2010 and the Data Protection Act 2018, alongside established models and frameworks used in health and social care practice.</w:t>
      </w:r>
    </w:p>
    <w:p w:rsidR="0E31BF5A" w:rsidP="22D8D502" w:rsidRDefault="0E31BF5A" w14:paraId="4EFF42D5" w14:textId="1D822035">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4B1E7316" w14:textId="62DC0CCA">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1. EFFECTIVE COMMUNICATION IN MR O'CONNOR'S CARE </w:t>
      </w:r>
    </w:p>
    <w:p w:rsidR="0E31BF5A" w:rsidP="22D8D502" w:rsidRDefault="0E31BF5A" w14:paraId="06A4E156" w14:textId="718A7900">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Why Effective Communication Matters</w:t>
      </w:r>
      <w:r w:rsidRPr="22D8D502" w:rsidR="7753A652">
        <w:rPr>
          <w:rFonts w:ascii="Arial" w:hAnsi="Arial" w:eastAsia="Arial" w:cs="Arial"/>
          <w:b w:val="1"/>
          <w:bCs w:val="1"/>
          <w:i w:val="0"/>
          <w:iCs w:val="0"/>
          <w:caps w:val="0"/>
          <w:smallCaps w:val="0"/>
          <w:noProof w:val="0"/>
          <w:color w:val="000000" w:themeColor="text1" w:themeTint="FF" w:themeShade="FF"/>
          <w:sz w:val="22"/>
          <w:szCs w:val="22"/>
          <w:lang w:val="en-GB"/>
        </w:rPr>
        <w:t>:</w:t>
      </w:r>
    </w:p>
    <w:p w:rsidR="0E31BF5A" w:rsidP="22D8D502" w:rsidRDefault="0E31BF5A" w14:paraId="647D3C4F" w14:textId="10291F6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is more than just speaking it is the process of sharing information, understanding needs, and building trust. In health and social care, it is the foundation of safe practice.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Good communication</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ensures service users understand their treatment and can express their concerns; it ensures family members are kept informed where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appropriate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and it ensures professionals share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important details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accurately (NHS, 2024). When communication breaks down, misunderstandings happen, information is lost, and mistakes can occur. For someone like Mr O’Connor, who has both hearing loss and mild cognitive impairment, communication barriers can quickly lead to serious risks to his health.</w:t>
      </w:r>
    </w:p>
    <w:p w:rsidR="0E31BF5A" w:rsidP="22D8D502" w:rsidRDefault="0E31BF5A" w14:paraId="25D4FDEA" w14:textId="3EA320CA">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3ECF92E0" w14:textId="061412F6">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Communicating with Mr O'Connor</w:t>
      </w:r>
    </w:p>
    <w:p w:rsidR="0E31BF5A" w:rsidP="22D8D502" w:rsidRDefault="0E31BF5A" w14:paraId="78BD4B89" w14:textId="516834AD">
      <w:pPr>
        <w:pStyle w:val="Normal"/>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Because Mr O’Connor has hearing loss, care workers and professionals must adapt how they communicate with him. This means facing him directly when speaking, ensuring the room is well-li</w:t>
      </w:r>
      <w:r w:rsidRPr="22D8D502" w:rsidR="3E33879E">
        <w:rPr>
          <w:rFonts w:ascii="Arial" w:hAnsi="Arial" w:eastAsia="Arial" w:cs="Arial"/>
          <w:b w:val="0"/>
          <w:bCs w:val="0"/>
          <w:i w:val="0"/>
          <w:iCs w:val="0"/>
          <w:caps w:val="0"/>
          <w:smallCaps w:val="0"/>
          <w:noProof w:val="0"/>
          <w:color w:val="000000" w:themeColor="text1" w:themeTint="FF" w:themeShade="FF"/>
          <w:sz w:val="22"/>
          <w:szCs w:val="22"/>
          <w:lang w:val="en-GB"/>
        </w:rPr>
        <w:t>ght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so he can see facial expressions and lip movements, and reducing background noise such as radios or televisions (Royal College of Nursing, 2023). Professionals should speak clearly and at a steady pace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they should not shout, as shouting can distort speech and make it harder to understand. Sentences should be short and simple, and questions should be asked one at a time rather than in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 long list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24241AC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Because Mr O’Connor also has mild cognitive impairment, information should be given in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small amounts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rather than all at once. Key points should be repeated gently and written down in large, clear writing so he can </w:t>
      </w:r>
      <w:bookmarkStart w:name="_Int_ShAhN2ye" w:id="1795016259"/>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refer back</w:t>
      </w:r>
      <w:bookmarkEnd w:id="1795016259"/>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to them later. It is also important to allow him enough time to process what has been said and to respond rushing a conversation means he may nod in agreement without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truly understanding</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what is being agreed upon. Checking understanding is essential; professionals should not</w:t>
      </w: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assume he has followed the</w:t>
      </w: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conversation just because he has not asked questions.</w:t>
      </w:r>
    </w:p>
    <w:p w:rsidR="0E31BF5A" w:rsidP="22D8D502" w:rsidRDefault="0E31BF5A" w14:paraId="43136C9D" w14:textId="65EB2040">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2D826459" w14:textId="1D780A05">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Communicating with His Family</w:t>
      </w:r>
    </w:p>
    <w:p w:rsidR="0E31BF5A" w:rsidP="22D8D502" w:rsidRDefault="0E31BF5A" w14:paraId="279AC50A" w14:textId="20C5400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Mr O’Connor’s daughter is an important part of his support network. She visits regularly and helps care for him, so keeping her informed with Mr O’Connor’s consent is vital. The Care Act 2014 recognises the role of carers and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states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they should be involved in planning and reviewing care wherever possible. However, professionals must remember that Mr O’Connor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retains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the right to make his own decisions where he has capacity, and his daughter should support his choices rather than making decisions for him. Confidentiality must still be respected, and information should only be shared with others when Mr O’Connor has given permission, or where there is a legal basis to do so (Care Quality Commission, 2024).</w:t>
      </w:r>
    </w:p>
    <w:p w:rsidR="0E31BF5A" w:rsidP="22D8D502" w:rsidRDefault="0E31BF5A" w14:paraId="4A0F87B4" w14:textId="5D2E1719">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7F7EACE1" w14:textId="30892479">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The Equality Act 2010</w:t>
      </w:r>
    </w:p>
    <w:p w:rsidR="0E31BF5A" w:rsidP="22D8D502" w:rsidRDefault="0E31BF5A" w14:paraId="2E1F5BD2" w14:textId="6E5121B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The Equality Act 2010 is a key piece of legislation that protects people from discrimination. It places a legal duty on care providers to make ‘reasonable adjustments’ so that people with disabilities can access services as easily as anyone else. Hearing loss is recognised as a disability under the Act. This means care workers cannot simply say they ‘do not have time’ to speak clearly or write things down — they must actively adapt their communication style to meet Mr O’Connor’s needs (Gov.uk, 2025). Failing to do so is not just poor practice; it is unlawful discrimination. The Act also protects against discrimination based on age, which is particularly relevant given Mr O’Connor is in his 90s and may be more vulnerable to assumptions being made about his abilities.</w:t>
      </w:r>
    </w:p>
    <w:p w:rsidR="0E31BF5A" w:rsidP="22D8D502" w:rsidRDefault="0E31BF5A" w14:paraId="5B265ACB" w14:textId="2055B03E">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7878BBF5" w14:textId="10EA8FBF">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Argyle’s Communication Cycle</w:t>
      </w:r>
    </w:p>
    <w:p w:rsidR="0E31BF5A" w:rsidP="22D8D502" w:rsidRDefault="0E31BF5A" w14:paraId="0CCA9150" w14:textId="37E2B0D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One helpful model to guide practice is Argyle’s Communication Cycle (1972). It describes communication not as a one-way message, but as a six-step </w:t>
      </w:r>
      <w:r w:rsidRPr="22D8D502" w:rsidR="428E508F">
        <w:rPr>
          <w:rFonts w:ascii="Arial" w:hAnsi="Arial" w:eastAsia="Arial" w:cs="Arial"/>
          <w:b w:val="0"/>
          <w:bCs w:val="0"/>
          <w:i w:val="0"/>
          <w:iCs w:val="0"/>
          <w:caps w:val="0"/>
          <w:smallCaps w:val="0"/>
          <w:noProof w:val="0"/>
          <w:color w:val="000000" w:themeColor="text1" w:themeTint="FF" w:themeShade="FF"/>
          <w:sz w:val="22"/>
          <w:szCs w:val="22"/>
          <w:lang w:val="en-GB"/>
        </w:rPr>
        <w:t>pattern</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w:t>
      </w:r>
    </w:p>
    <w:p w:rsidR="0E31BF5A" w:rsidP="22D8D502" w:rsidRDefault="0E31BF5A" w14:paraId="5310F956" w14:textId="015FA17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1. An idea forms </w:t>
      </w:r>
      <w:r w:rsidRPr="22D8D502" w:rsidR="60C34831">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the professional thinks about what they need to say</w:t>
      </w:r>
    </w:p>
    <w:p w:rsidR="0E31BF5A" w:rsidP="22D8D502" w:rsidRDefault="0E31BF5A" w14:paraId="617D7C49" w14:textId="297273C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2. The message is encoded </w:t>
      </w:r>
      <w:r w:rsidRPr="22D8D502" w:rsidR="0D744A33">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choosing words, tone of voice, and method</w:t>
      </w:r>
    </w:p>
    <w:p w:rsidR="0E31BF5A" w:rsidP="22D8D502" w:rsidRDefault="0E31BF5A" w14:paraId="6F714882" w14:textId="0B5BD14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3. The message is sent </w:t>
      </w:r>
      <w:r w:rsidRPr="22D8D502" w:rsidR="51F7015D">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speaking, writing, or using gestures</w:t>
      </w:r>
    </w:p>
    <w:p w:rsidR="0E31BF5A" w:rsidP="22D8D502" w:rsidRDefault="0E31BF5A" w14:paraId="61524F15" w14:textId="1AEF0C3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4. The message is received and interpreted </w:t>
      </w:r>
      <w:r w:rsidRPr="22D8D502" w:rsidR="61B34202">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Mr O’Connor hears and tries to understand</w:t>
      </w:r>
    </w:p>
    <w:p w:rsidR="0E31BF5A" w:rsidP="22D8D502" w:rsidRDefault="0E31BF5A" w14:paraId="2FC3438E" w14:textId="3B21600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5. Feedback is given </w:t>
      </w:r>
      <w:r w:rsidRPr="22D8D502" w:rsidR="07D52DBD">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Mr O’Connor responds or asks questions</w:t>
      </w:r>
    </w:p>
    <w:p w:rsidR="0E31BF5A" w:rsidP="22D8D502" w:rsidRDefault="0E31BF5A" w14:paraId="0032AF0A" w14:textId="7ECAF7F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6. The cycle repeats </w:t>
      </w:r>
      <w:r w:rsidRPr="22D8D502" w:rsidR="535ABE7B">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confirming the message was understood</w:t>
      </w:r>
    </w:p>
    <w:p w:rsidR="0E31BF5A" w:rsidP="22D8D502" w:rsidRDefault="0E31BF5A" w14:paraId="21412DAB" w14:textId="3AC5892F">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296758D9" w14:textId="6EF11A45">
      <w:pPr>
        <w:pStyle w:val="Normal"/>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In Mr O’Connor’s case, step five</w:t>
      </w:r>
      <w:r w:rsidRPr="22D8D502" w:rsidR="3E266682">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getting feedback is the most critical and most easily overlooked. If professionals speak and then walk away without checking, they may never realise he did not understand. Following this cycle would encourage staff</w:t>
      </w: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to pause, ask</w:t>
      </w: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open questions, and ensure clarity before finishing a conversation (Macleod Clark et al., 2021). Using this model consistently could have helped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misunderstandings early and prevented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important information</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from being missed.</w:t>
      </w:r>
    </w:p>
    <w:p w:rsidR="0E31BF5A" w:rsidP="22D8D502" w:rsidRDefault="0E31BF5A" w14:paraId="043AB5D6" w14:textId="45DF5D5F">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57AAB1BC" w14:textId="05EA9929">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2. ADMINISTRATION SKILLS, RECORD KEEPING AND THE DATA PROTECTION ACT 2018 </w:t>
      </w:r>
    </w:p>
    <w:p w:rsidR="0E31BF5A" w:rsidP="22D8D502" w:rsidRDefault="0E31BF5A" w14:paraId="119AC699" w14:textId="7FB27DE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Why Record Keeping Matters</w:t>
      </w:r>
      <w:r w:rsidRPr="22D8D502" w:rsidR="149150EA">
        <w:rPr>
          <w:rFonts w:ascii="Arial" w:hAnsi="Arial" w:eastAsia="Arial" w:cs="Arial"/>
          <w:b w:val="1"/>
          <w:bCs w:val="1"/>
          <w:i w:val="0"/>
          <w:iCs w:val="0"/>
          <w:caps w:val="0"/>
          <w:smallCaps w:val="0"/>
          <w:noProof w:val="0"/>
          <w:color w:val="000000" w:themeColor="text1" w:themeTint="FF" w:themeShade="FF"/>
          <w:sz w:val="22"/>
          <w:szCs w:val="22"/>
          <w:lang w:val="en-GB"/>
        </w:rPr>
        <w:t>:</w:t>
      </w:r>
      <w:r w:rsidRPr="22D8D502" w:rsidR="3D8546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Record keeping is not an optional extra it is an essential part of providing safe care. Care records are the permanent, shared memory of a person’s care journey. They document what has happened, what has been agreed, what care has been given, and what needs to happen next. When different </w:t>
      </w:r>
      <w:r w:rsidRPr="22D8D502" w:rsidR="3A136883">
        <w:rPr>
          <w:rFonts w:ascii="Arial" w:hAnsi="Arial" w:eastAsia="Arial" w:cs="Arial"/>
          <w:b w:val="0"/>
          <w:bCs w:val="0"/>
          <w:i w:val="0"/>
          <w:iCs w:val="0"/>
          <w:caps w:val="0"/>
          <w:smallCaps w:val="0"/>
          <w:noProof w:val="0"/>
          <w:color w:val="000000" w:themeColor="text1" w:themeTint="FF" w:themeShade="FF"/>
          <w:sz w:val="22"/>
          <w:szCs w:val="22"/>
          <w:lang w:val="en-GB"/>
        </w:rPr>
        <w:t>professional's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doctors, nurses, and care workers all use the same record, everyone works from the same information. This continuity is especially important when care is provided by several people across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different times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of the day.</w:t>
      </w:r>
    </w:p>
    <w:p w:rsidR="0E31BF5A" w:rsidP="22D8D502" w:rsidRDefault="0E31BF5A" w14:paraId="428D51A4" w14:textId="400CBB8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In Mr O’Connor’s case, the medication error happened because a change in his prescription was not clearly recorded. The hospital or GP may have updated his medication list, but the domiciliary care team who visit him daily were not properly informed. Without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up-to-date records, each professional is working blind. Good record keeping means every entry is written clearly, at the time the event happens, and signed and dated by the person making it. Records must be factual describing exactly what was seen, said, or done rather than including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personal opinions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or assumptions (Nursing and Midwifery Council, 2024).</w:t>
      </w:r>
    </w:p>
    <w:p w:rsidR="0E31BF5A" w:rsidP="22D8D502" w:rsidRDefault="0E31BF5A" w14:paraId="397E6135" w14:textId="7C47EEA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Well-kept records also protect the service user, their family, and the professionals themselves. They provide evidence of what care was delivered and when. If concerns are raised or incidents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occur such</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as the missed medication in this case </w:t>
      </w:r>
      <w:r w:rsidRPr="22D8D502" w:rsidR="32477E1C">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the first question asked is always: ‘What does the record show?’ Without reliable records, it becomes difficult to understand exactly what happened and how to prevent it happening again.</w:t>
      </w:r>
    </w:p>
    <w:p w:rsidR="0E31BF5A" w:rsidP="22D8D502" w:rsidRDefault="0E31BF5A" w14:paraId="1F1BC023" w14:textId="7684A287">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The Data Protection Act 2018</w:t>
      </w:r>
    </w:p>
    <w:p w:rsidR="0E31BF5A" w:rsidP="22D8D502" w:rsidRDefault="0E31BF5A" w14:paraId="0691AA09" w14:textId="52C274D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Personal care information is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highly sensitive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and there are strict laws governing how it must be stored and shared. The Data Protection Act 2018, which sits alongside the UK General Data Protection Regulation, sets out six key principles that apply to all personal information, including health and social care records:</w:t>
      </w:r>
    </w:p>
    <w:p w:rsidR="0E31BF5A" w:rsidP="22D8D502" w:rsidRDefault="0E31BF5A" w14:paraId="3C0DCD33" w14:textId="0BBDB63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Lawfulness,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fairness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transparency </w:t>
      </w:r>
      <w:r w:rsidRPr="22D8D502" w:rsidR="0DC964D6">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information</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must be used </w:t>
      </w:r>
      <w:r w:rsidRPr="22D8D502" w:rsidR="611CC397">
        <w:rPr>
          <w:rFonts w:ascii="Arial" w:hAnsi="Arial" w:eastAsia="Arial" w:cs="Arial"/>
          <w:b w:val="0"/>
          <w:bCs w:val="0"/>
          <w:i w:val="0"/>
          <w:iCs w:val="0"/>
          <w:caps w:val="0"/>
          <w:smallCaps w:val="0"/>
          <w:noProof w:val="0"/>
          <w:color w:val="000000" w:themeColor="text1" w:themeTint="FF" w:themeShade="FF"/>
          <w:sz w:val="22"/>
          <w:szCs w:val="22"/>
          <w:lang w:val="en-GB"/>
        </w:rPr>
        <w:t>legally,</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and people must know how their data is being used</w:t>
      </w:r>
    </w:p>
    <w:p w:rsidR="0E31BF5A" w:rsidP="22D8D502" w:rsidRDefault="0E31BF5A" w14:paraId="10729251" w14:textId="7CAF580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Purpose limitation </w:t>
      </w:r>
      <w:r w:rsidRPr="22D8D502" w:rsidR="239C501A">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data should only be used for the reason it was collected</w:t>
      </w:r>
    </w:p>
    <w:p w:rsidR="0E31BF5A" w:rsidP="22D8D502" w:rsidRDefault="0E31BF5A" w14:paraId="6C4D6681" w14:textId="2F851DC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Data minimisation </w:t>
      </w:r>
      <w:r w:rsidRPr="22D8D502" w:rsidR="0A3D7504">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only record what is necessary; do not collect excessive or unnecessary details</w:t>
      </w:r>
    </w:p>
    <w:p w:rsidR="0E31BF5A" w:rsidP="22D8D502" w:rsidRDefault="0E31BF5A" w14:paraId="553D0601" w14:textId="017214E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Accuracy </w:t>
      </w:r>
      <w:r w:rsidRPr="22D8D502" w:rsidR="6E275B68">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records must be correct and kept up to date; errors must be corrected promptly</w:t>
      </w:r>
    </w:p>
    <w:p w:rsidR="0E31BF5A" w:rsidP="22D8D502" w:rsidRDefault="0E31BF5A" w14:paraId="04D408D2" w14:textId="033639B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Storage limitation </w:t>
      </w:r>
      <w:r w:rsidRPr="22D8D502" w:rsidR="1B9B0512">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keep records only for as long as they are needed, then dispose of them securely</w:t>
      </w:r>
    </w:p>
    <w:p w:rsidR="0E31BF5A" w:rsidP="22D8D502" w:rsidRDefault="0E31BF5A" w14:paraId="170D8695" w14:textId="6E308BE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Integrity and confidentiality </w:t>
      </w:r>
      <w:r w:rsidRPr="22D8D502" w:rsidR="6027994D">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keep information safe from unauthorised access, loss, or damage (Gov.uk, 2024)</w:t>
      </w:r>
    </w:p>
    <w:p w:rsidR="0E31BF5A" w:rsidP="22D8D502" w:rsidRDefault="0E31BF5A" w14:paraId="2A72C29F" w14:textId="0446DC3E">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3386F828" w14:textId="1DDB8DF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In Mr O’Connor’s situation, the principle of accuracy is particularly relevant. His medication record was not updated, meaning the information held was incorrect. Under the Act, organisations must have procedures in place to ensure records are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and to allow individuals to request corrections. At the same time, the principle of integrity and confidentiality means his records must also be kept secure — only those directly involved in his care should have access to them, whether in paper or digital form.</w:t>
      </w:r>
    </w:p>
    <w:p w:rsidR="0E31BF5A" w:rsidP="22D8D502" w:rsidRDefault="0E31BF5A" w14:paraId="1C2CA978" w14:textId="65DC45D8">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Professional Standards and Policies</w:t>
      </w:r>
    </w:p>
    <w:p w:rsidR="0E31BF5A" w:rsidP="22D8D502" w:rsidRDefault="0E31BF5A" w14:paraId="1CB848C0" w14:textId="4D51D14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Legislation sets the legal framework, but professional bodies and regulators provide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standards that guide daily practice. The Care Quality Commission (CQC), which regulates health and social care in England, requires all registered providers to keep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complete, and accessible records as part of its Fundamental Standards (Care Quality Commission, 2025). The Nursing and Midwifery Council (NMC) Code also states that nurses must keep clear, accurate, and truthful records of their work (Nursing and Midwifery Council, 2024).</w:t>
      </w:r>
      <w:r w:rsidRPr="22D8D502" w:rsidR="1F33E5A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Care providers should also have their own internal policies that explain how these laws apply in practice. These typically include a Record Keeping Policy explaining what to write and how, a Confidentiality Policy explaining who can see information, and a Medicines Management Policy explaining how medications are prescribed, administered, and recorded. When these policies are followed properly, changes such as a new prescription or a stopped medication should be communicated clearly, recorded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and acknowledged by those delivering care. In Mr O’Connor’s case, a stronger system for updating and signing off medication records could have prevented the error.</w:t>
      </w:r>
    </w:p>
    <w:p w:rsidR="22D8D502" w:rsidP="22D8D502" w:rsidRDefault="22D8D502" w14:paraId="38FA3CE0" w14:textId="253559F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0E31BF5A" w:rsidP="22D8D502" w:rsidRDefault="0E31BF5A" w14:paraId="0BE5CCC5" w14:textId="4D4FB798">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3. WORKING COLLABORATIVELY IN MR O'CONNOR'S CARE </w:t>
      </w:r>
    </w:p>
    <w:p w:rsidR="0E31BF5A" w:rsidP="22D8D502" w:rsidRDefault="0E31BF5A" w14:paraId="2CDB3FD0" w14:textId="4CCBF596">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Why Multi-Agency Working Is Essential</w:t>
      </w:r>
      <w:r w:rsidRPr="22D8D502" w:rsidR="153BDA88">
        <w:rPr>
          <w:rFonts w:ascii="Arial" w:hAnsi="Arial" w:eastAsia="Arial" w:cs="Arial"/>
          <w:b w:val="1"/>
          <w:bCs w:val="1"/>
          <w:i w:val="0"/>
          <w:iCs w:val="0"/>
          <w:caps w:val="0"/>
          <w:smallCaps w:val="0"/>
          <w:noProof w:val="0"/>
          <w:color w:val="000000" w:themeColor="text1" w:themeTint="FF" w:themeShade="FF"/>
          <w:sz w:val="22"/>
          <w:szCs w:val="22"/>
          <w:lang w:val="en-GB"/>
        </w:rPr>
        <w:t>:</w:t>
      </w:r>
    </w:p>
    <w:p w:rsidR="0E31BF5A" w:rsidP="22D8D502" w:rsidRDefault="0E31BF5A" w14:paraId="76EFDD35" w14:textId="42F3D4D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Mr O’Connor’s care involves many different people and organisations: his GP who manages his overall health, the community nurse who monitors his heart failure, the domiciliary care workers who visit him each day, the hospital team who treated him, his daughter who supports him at home, and the pharmacist who supplies his medication. Each has different responsibilities and different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but all are working towards the same goal: ensuring Mr O’Connor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remains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safe, well, and as independent as possible.</w:t>
      </w:r>
    </w:p>
    <w:p w:rsidR="0E31BF5A" w:rsidP="22D8D502" w:rsidRDefault="0E31BF5A" w14:paraId="546CCD2A" w14:textId="66E525A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When these professionals work well together, information flows smoothly, risks are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quickly, and care feels </w:t>
      </w:r>
      <w:r w:rsidRPr="22D8D502" w:rsidR="397569C6">
        <w:rPr>
          <w:rFonts w:ascii="Arial" w:hAnsi="Arial" w:eastAsia="Arial" w:cs="Arial"/>
          <w:b w:val="0"/>
          <w:bCs w:val="0"/>
          <w:i w:val="0"/>
          <w:iCs w:val="0"/>
          <w:caps w:val="0"/>
          <w:smallCaps w:val="0"/>
          <w:noProof w:val="0"/>
          <w:color w:val="000000" w:themeColor="text1" w:themeTint="FF" w:themeShade="FF"/>
          <w:sz w:val="22"/>
          <w:szCs w:val="22"/>
          <w:lang w:val="en-GB"/>
        </w:rPr>
        <w:t>joined up</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rather than fragmented. When they do not,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important details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fall through the gaps between services. The medication incident shows exactly this: the decision to change his medication was made in one setting, but the people administering it were not effectively informed. This is a classic example of what is known as a ‘communication breakdown’ between agencies (NHS Confederation, 2023).</w:t>
      </w:r>
    </w:p>
    <w:p w:rsidR="22D8D502" w:rsidP="22D8D502" w:rsidRDefault="22D8D502" w14:paraId="145A3D11" w14:textId="6D68DA4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0E31BF5A" w:rsidP="22D8D502" w:rsidRDefault="0E31BF5A" w14:paraId="528E8807" w14:textId="40C108AD">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Approaches to Effective Collaboration</w:t>
      </w:r>
    </w:p>
    <w:p w:rsidR="0E31BF5A" w:rsidP="22D8D502" w:rsidRDefault="0E31BF5A" w14:paraId="5771307E" w14:textId="2EE65F33">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Good multi-agency working does not happen by chance </w:t>
      </w:r>
      <w:r w:rsidRPr="22D8D502" w:rsidR="69C5D6FD">
        <w:rPr>
          <w:rFonts w:ascii="Arial" w:hAnsi="Arial" w:eastAsia="Arial" w:cs="Arial"/>
          <w:b w:val="1"/>
          <w:bCs w:val="1"/>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it requires intentional effort. Key approaches include:</w:t>
      </w:r>
    </w:p>
    <w:p w:rsidR="0E31BF5A" w:rsidP="22D8D502" w:rsidRDefault="0E31BF5A" w14:paraId="77BF79B3" w14:textId="20CB2101">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1C93EB51" w14:textId="5389721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Shared Care Planning: All professionals and the family work from the same care plan. Everyone knows what their role is and what everyone else is doing</w:t>
      </w:r>
    </w:p>
    <w:p w:rsidR="0E31BF5A" w:rsidP="22D8D502" w:rsidRDefault="0E31BF5A" w14:paraId="0D376925" w14:textId="1853F27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Clear Communication Channels: Having a reliable way to update the team — whether that is a shared digital system, regular handover meetings, or clear notification procedures when medication changes</w:t>
      </w:r>
    </w:p>
    <w:p w:rsidR="0E31BF5A" w:rsidP="22D8D502" w:rsidRDefault="0E31BF5A" w14:paraId="68982DC2" w14:textId="60F5AD1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Named Lead Professional: Where several agencies are involved, it helps to have one person identified as the main point of contact. For Mr O’Connor, this might be his GP or community nurse</w:t>
      </w:r>
    </w:p>
    <w:p w:rsidR="0E31BF5A" w:rsidP="22D8D502" w:rsidRDefault="0E31BF5A" w14:paraId="6FF73B4C" w14:textId="147725F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Respect and Valuing Expertise: Recognising that care workers often see the service user every day and may notice changes before a doctor does. Their observations should be valued and acted upon (Social Care Institute for Excellence, 2024)</w:t>
      </w:r>
    </w:p>
    <w:p w:rsidR="22D8D502" w:rsidP="22D8D502" w:rsidRDefault="22D8D502" w14:paraId="048E8273" w14:textId="76BCD48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0E31BF5A" w:rsidP="22D8D502" w:rsidRDefault="0E31BF5A" w14:paraId="683926A7" w14:textId="0F2EBF42">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Common Challenges and Solutions</w:t>
      </w: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59C7B055" w14:textId="5AF386E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Working across different organisations brings challenges. Professionals may be busy at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different times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use different record systems, or speak slightly different professional languages. Sometimes people assume someone else will pass on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important information</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To overcome these barriers, regular multi-disciplinary reviews</w:t>
      </w:r>
      <w:r w:rsidRPr="22D8D502" w:rsidR="278118AA">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perhaps every</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few months or following hospital discharge can help align everyone. Standardised handover forms also ensure that whenever information is shared, key points including medication changes are not forgotten. Most importantly, there should be a culture where it is safe to ask: ‘Has everyone been told about this change?’ </w:t>
      </w:r>
      <w:r w:rsidRPr="22D8D502" w:rsidR="5F5ADCB2">
        <w:rPr>
          <w:rFonts w:ascii="Arial" w:hAnsi="Arial" w:eastAsia="Arial" w:cs="Arial"/>
          <w:b w:val="0"/>
          <w:bCs w:val="0"/>
          <w:i w:val="0"/>
          <w:iCs w:val="0"/>
          <w:caps w:val="0"/>
          <w:smallCaps w:val="0"/>
          <w:noProof w:val="0"/>
          <w:color w:val="000000" w:themeColor="text1" w:themeTint="FF" w:themeShade="FF"/>
          <w:sz w:val="22"/>
          <w:szCs w:val="22"/>
          <w:lang w:val="en-GB"/>
        </w:rPr>
        <w:t>R</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ather than assuming they have bee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n</w:t>
      </w:r>
      <w:r w:rsidRPr="22D8D502" w:rsidR="79E9947B">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(Social Care Institute for Excellence, 2024).</w:t>
      </w:r>
    </w:p>
    <w:p w:rsidR="0E31BF5A" w:rsidP="22D8D502" w:rsidRDefault="0E31BF5A" w14:paraId="271FA8F1" w14:textId="1A5E0009">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E31BF5A" w:rsidP="22D8D502" w:rsidRDefault="0E31BF5A" w14:paraId="35BEC649" w14:textId="66F90EA8">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CONCLUSION </w:t>
      </w:r>
    </w:p>
    <w:p w:rsidR="0E31BF5A" w:rsidP="22D8D502" w:rsidRDefault="0E31BF5A" w14:paraId="1445C11C" w14:textId="785D822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The case of Mr O’Connor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clearly that safe care depends on more than medical treatment alone</w:t>
      </w:r>
      <w:r w:rsidRPr="22D8D502" w:rsidR="7DAEAF9A">
        <w:rPr>
          <w:rFonts w:ascii="Arial" w:hAnsi="Arial" w:eastAsia="Arial" w:cs="Arial"/>
          <w:b w:val="0"/>
          <w:bCs w:val="0"/>
          <w:i w:val="0"/>
          <w:iCs w:val="0"/>
          <w:caps w:val="0"/>
          <w:smallCaps w:val="0"/>
          <w:noProof w:val="0"/>
          <w:color w:val="000000" w:themeColor="text1" w:themeTint="FF" w:themeShade="FF"/>
          <w:sz w:val="22"/>
          <w:szCs w:val="22"/>
          <w:lang w:val="en-GB"/>
        </w:rPr>
        <w: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D8D502" w:rsidR="5AA1B6EC">
        <w:rPr>
          <w:rFonts w:ascii="Arial" w:hAnsi="Arial" w:eastAsia="Arial" w:cs="Arial"/>
          <w:b w:val="0"/>
          <w:bCs w:val="0"/>
          <w:i w:val="0"/>
          <w:iCs w:val="0"/>
          <w:caps w:val="0"/>
          <w:smallCaps w:val="0"/>
          <w:noProof w:val="0"/>
          <w:color w:val="000000" w:themeColor="text1" w:themeTint="FF" w:themeShade="FF"/>
          <w:sz w:val="22"/>
          <w:szCs w:val="22"/>
          <w:lang w:val="en-GB"/>
        </w:rPr>
        <w:t>I</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t also requires effective communication,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record keeping, and strong teamwork. Each area is connected: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good communication</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ensures Mr O’Connor understands his care and is heard;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administration ensures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important details</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medication changes are recorded legally and reliably; and collaborative working ensures all those involved in his care share information consistently. Legislation such as the Equality Act 2010 and the Data Protection Act 2018 provide the legal framework, but it is how these laws and principles are applied in daily practice that keeps service users safe. The medication incident was not just one person’s mistake</w:t>
      </w:r>
      <w:r w:rsidRPr="22D8D502" w:rsidR="5320225E">
        <w:rPr>
          <w:rFonts w:ascii="Arial" w:hAnsi="Arial" w:eastAsia="Arial" w:cs="Arial"/>
          <w:b w:val="0"/>
          <w:bCs w:val="0"/>
          <w:i w:val="0"/>
          <w:iCs w:val="0"/>
          <w:caps w:val="0"/>
          <w:smallCaps w:val="0"/>
          <w:noProof w:val="0"/>
          <w:color w:val="000000" w:themeColor="text1" w:themeTint="FF" w:themeShade="FF"/>
          <w:sz w:val="22"/>
          <w:szCs w:val="22"/>
          <w:lang w:val="en-GB"/>
        </w:rPr>
        <w:t xml:space="preserve"> but,</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it was a failure across these three critical areas. By strengthening communication, improving administrative systems, and building better partnerships between professionals, future incidents can be prevented. </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Ultimately, good</w:t>
      </w:r>
      <w:r w:rsidRPr="22D8D502" w:rsidR="0E31BF5A">
        <w:rPr>
          <w:rFonts w:ascii="Arial" w:hAnsi="Arial" w:eastAsia="Arial" w:cs="Arial"/>
          <w:b w:val="0"/>
          <w:bCs w:val="0"/>
          <w:i w:val="0"/>
          <w:iCs w:val="0"/>
          <w:caps w:val="0"/>
          <w:smallCaps w:val="0"/>
          <w:noProof w:val="0"/>
          <w:color w:val="000000" w:themeColor="text1" w:themeTint="FF" w:themeShade="FF"/>
          <w:sz w:val="22"/>
          <w:szCs w:val="22"/>
          <w:lang w:val="en-GB"/>
        </w:rPr>
        <w:t xml:space="preserve"> practice in these areas protects not just the health but the dignity of vulnerable people like Mr </w:t>
      </w:r>
      <w:r w:rsidRPr="22D8D502" w:rsidR="18987F08">
        <w:rPr>
          <w:rFonts w:ascii="Arial" w:hAnsi="Arial" w:eastAsia="Arial" w:cs="Arial"/>
          <w:b w:val="0"/>
          <w:bCs w:val="0"/>
          <w:i w:val="0"/>
          <w:iCs w:val="0"/>
          <w:caps w:val="0"/>
          <w:smallCaps w:val="0"/>
          <w:noProof w:val="0"/>
          <w:color w:val="000000" w:themeColor="text1" w:themeTint="FF" w:themeShade="FF"/>
          <w:sz w:val="22"/>
          <w:szCs w:val="22"/>
          <w:lang w:val="en-GB"/>
        </w:rPr>
        <w:t>O'Connor.</w:t>
      </w:r>
    </w:p>
    <w:p w:rsidR="0E31BF5A" w:rsidP="22D8D502" w:rsidRDefault="0E31BF5A" w14:paraId="68949025" w14:textId="55BF406E">
      <w:pPr>
        <w:pStyle w:val="Normal"/>
      </w:pPr>
      <w:r w:rsidRPr="22D8D502" w:rsidR="0E31BF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2D8D502" w:rsidP="22D8D502" w:rsidRDefault="22D8D502" w14:paraId="5AEAC2AC" w14:textId="0D8FD73B">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22D8D502" w:rsidP="22D8D502" w:rsidRDefault="22D8D502" w14:paraId="6EE6EA42" w14:textId="18947B6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5DC9D720" w:rsidP="22D8D502" w:rsidRDefault="5DC9D720" w14:paraId="2CB2FA09" w14:textId="769B161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 xml:space="preserve">1. Care Quality Commission (2024). Record keeping in health and social care. Available at: </w:t>
      </w:r>
      <w:hyperlink r:id="R70311e20460049a5">
        <w:r w:rsidRPr="22D8D502" w:rsidR="5DC9D720">
          <w:rPr>
            <w:rStyle w:val="Hyperlink"/>
            <w:b w:val="0"/>
            <w:bCs w:val="0"/>
            <w:i w:val="0"/>
            <w:iCs w:val="0"/>
            <w:caps w:val="0"/>
            <w:smallCaps w:val="0"/>
            <w:strike w:val="0"/>
            <w:dstrike w:val="0"/>
            <w:noProof w:val="0"/>
            <w:lang w:val="en-GB"/>
          </w:rPr>
          <w:t>https://www.cqc.org.uk/guidance-providers/regulations-enforcement/regulation-17-good-governance</w:t>
        </w:r>
      </w:hyperlink>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DC9D720" w:rsidP="22D8D502" w:rsidRDefault="5DC9D720" w14:paraId="1715D479" w14:textId="430D191D">
      <w:pPr>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2. Care Quality Commission (2025). Fundamental standards of care. Available at: https://www</w:t>
      </w:r>
      <w:hyperlink r:id="Rbf41104aec5a499a">
        <w:r w:rsidRPr="22D8D502" w:rsidR="5DC9D720">
          <w:rPr>
            <w:rStyle w:val="Hyperlink"/>
            <w:b w:val="0"/>
            <w:bCs w:val="0"/>
            <w:i w:val="0"/>
            <w:iCs w:val="0"/>
            <w:caps w:val="0"/>
            <w:smallCaps w:val="0"/>
            <w:strike w:val="0"/>
            <w:dstrike w:val="0"/>
            <w:noProof w:val="0"/>
            <w:lang w:val="en-GB"/>
          </w:rPr>
          <w:t>Search - Care Quality Commission</w:t>
        </w:r>
      </w:hyperlink>
    </w:p>
    <w:p w:rsidR="5DC9D720" w:rsidP="22D8D502" w:rsidRDefault="5DC9D720" w14:paraId="5AD023C4" w14:textId="6E46E90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 xml:space="preserve">3. Gov.uk (2024). Data Protection Act 2018: guidance. Available at: </w:t>
      </w:r>
      <w:hyperlink r:id="R3c9971cf07fe4d84">
        <w:r w:rsidRPr="22D8D502" w:rsidR="5DC9D720">
          <w:rPr>
            <w:rStyle w:val="Hyperlink"/>
            <w:b w:val="0"/>
            <w:bCs w:val="0"/>
            <w:i w:val="0"/>
            <w:iCs w:val="0"/>
            <w:caps w:val="0"/>
            <w:smallCaps w:val="0"/>
            <w:strike w:val="0"/>
            <w:dstrike w:val="0"/>
            <w:noProof w:val="0"/>
            <w:lang w:val="en-GB"/>
          </w:rPr>
          <w:t>https://www.gov.uk/government/publications/data-protection-act-2018-overview</w:t>
        </w:r>
      </w:hyperlink>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DC9D720" w:rsidP="22D8D502" w:rsidRDefault="5DC9D720" w14:paraId="305E2046" w14:textId="360DA17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 xml:space="preserve">4. Gov.uk (2025). Equality Act 2010: reasonable adjustments for disabled people. Available at: </w:t>
      </w:r>
      <w:hyperlink r:id="Rff4a1170c3ed4000">
        <w:r w:rsidRPr="22D8D502" w:rsidR="5DC9D720">
          <w:rPr>
            <w:rStyle w:val="Hyperlink"/>
            <w:b w:val="0"/>
            <w:bCs w:val="0"/>
            <w:i w:val="0"/>
            <w:iCs w:val="0"/>
            <w:caps w:val="0"/>
            <w:smallCaps w:val="0"/>
            <w:strike w:val="0"/>
            <w:dstrike w:val="0"/>
            <w:noProof w:val="0"/>
            <w:lang w:val="en-GB"/>
          </w:rPr>
          <w:t>reasonable adjustments for disabled people - Search - GOV.UK</w:t>
        </w:r>
      </w:hyperlink>
    </w:p>
    <w:p w:rsidR="5DC9D720" w:rsidP="22D8D502" w:rsidRDefault="5DC9D720" w14:paraId="094CB12A" w14:textId="523B980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 xml:space="preserve"> 5. Macleod Clark, J., Holland, K. and Rafferty, A.M. (2021). </w:t>
      </w:r>
      <w:r w:rsidRPr="22D8D502" w:rsidR="5DC9D720">
        <w:rPr>
          <w:rFonts w:ascii="Arial" w:hAnsi="Arial" w:eastAsia="Arial" w:cs="Arial"/>
          <w:b w:val="0"/>
          <w:bCs w:val="0"/>
          <w:i w:val="1"/>
          <w:iCs w:val="1"/>
          <w:caps w:val="0"/>
          <w:smallCaps w:val="0"/>
          <w:noProof w:val="0"/>
          <w:color w:val="000000" w:themeColor="text1" w:themeTint="FF" w:themeShade="FF"/>
          <w:sz w:val="22"/>
          <w:szCs w:val="22"/>
          <w:lang w:val="en-GB"/>
        </w:rPr>
        <w:t>Communication and interpersonal skills in nursing.</w:t>
      </w:r>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 xml:space="preserve"> 4th edn. Edinburgh: Elsevier. </w:t>
      </w:r>
    </w:p>
    <w:p w:rsidR="5DC9D720" w:rsidP="22D8D502" w:rsidRDefault="5DC9D720" w14:paraId="35C3F818" w14:textId="10339C0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6. NHS (2024). Communicating effectively with people who have sensory loss. Available at: https://www.</w:t>
      </w:r>
      <w:hyperlink r:id="Rba96037ea26c498c">
        <w:r w:rsidRPr="22D8D502" w:rsidR="5DC9D720">
          <w:rPr>
            <w:rStyle w:val="Hyperlink"/>
            <w:b w:val="0"/>
            <w:bCs w:val="0"/>
            <w:i w:val="0"/>
            <w:iCs w:val="0"/>
            <w:caps w:val="0"/>
            <w:smallCaps w:val="0"/>
            <w:strike w:val="0"/>
            <w:dstrike w:val="0"/>
            <w:noProof w:val="0"/>
            <w:lang w:val="en-GB"/>
          </w:rPr>
          <w:t>Hearing loss - NHS</w:t>
        </w:r>
      </w:hyperlink>
    </w:p>
    <w:p w:rsidR="5DC9D720" w:rsidP="22D8D502" w:rsidRDefault="5DC9D720" w14:paraId="11F8ED89" w14:textId="21AE02F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7. NHS Confederation (2023). Multi-agency working in health and social care. Available at: https://www.</w:t>
      </w:r>
      <w:hyperlink r:id="R5ecea9e037544be7">
        <w:r w:rsidRPr="22D8D502" w:rsidR="5DC9D720">
          <w:rPr>
            <w:rStyle w:val="Hyperlink"/>
            <w:b w:val="0"/>
            <w:bCs w:val="0"/>
            <w:i w:val="0"/>
            <w:iCs w:val="0"/>
            <w:caps w:val="0"/>
            <w:smallCaps w:val="0"/>
            <w:strike w:val="0"/>
            <w:dstrike w:val="0"/>
            <w:noProof w:val="0"/>
            <w:lang w:val="en-GB"/>
          </w:rPr>
          <w:t>Search results for Multi-agency working in health and social care - NHS</w:t>
        </w:r>
      </w:hyperlink>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31B69E" w:rsidP="22D8D502" w:rsidRDefault="1231B69E" w14:paraId="30C44FCD" w14:textId="7F18FF0A">
      <w:pPr>
        <w:pStyle w:val="Normal"/>
        <w:spacing w:before="240" w:beforeAutospacing="off" w:after="240" w:afterAutospacing="off"/>
        <w:rPr>
          <w:rFonts w:ascii="Arial" w:hAnsi="Arial" w:eastAsia="Arial" w:cs="Arial"/>
          <w:noProof w:val="0"/>
          <w:sz w:val="22"/>
          <w:szCs w:val="22"/>
          <w:lang w:val="en-GB"/>
        </w:rPr>
      </w:pPr>
      <w:r w:rsidRPr="22D8D502" w:rsidR="1231B69E">
        <w:rPr>
          <w:rFonts w:ascii="Arial" w:hAnsi="Arial" w:eastAsia="Arial" w:cs="Arial"/>
          <w:b w:val="0"/>
          <w:bCs w:val="0"/>
          <w:i w:val="0"/>
          <w:iCs w:val="0"/>
          <w:caps w:val="0"/>
          <w:smallCaps w:val="0"/>
          <w:noProof w:val="0"/>
          <w:color w:val="000000" w:themeColor="text1" w:themeTint="FF" w:themeShade="FF"/>
          <w:sz w:val="22"/>
          <w:szCs w:val="22"/>
          <w:lang w:val="en-GB"/>
        </w:rPr>
        <w:t xml:space="preserve">8. </w:t>
      </w:r>
      <w:r w:rsidRPr="22D8D502" w:rsidR="1231B69E">
        <w:rPr>
          <w:rFonts w:ascii="Arial" w:hAnsi="Arial" w:eastAsia="Arial" w:cs="Arial"/>
          <w:b w:val="0"/>
          <w:bCs w:val="0"/>
          <w:i w:val="0"/>
          <w:iCs w:val="0"/>
          <w:caps w:val="0"/>
          <w:smallCaps w:val="0"/>
          <w:noProof w:val="0"/>
          <w:color w:val="000000" w:themeColor="text1" w:themeTint="FF" w:themeShade="FF"/>
          <w:sz w:val="22"/>
          <w:szCs w:val="22"/>
          <w:lang w:val="en-GB"/>
        </w:rPr>
        <w:t>Nursing and Midwifery Council (2024). The Code: professional standards of practice and behaviour. Available at: https://www.</w:t>
      </w:r>
      <w:hyperlink r:id="Rb4cbcab006c24d42">
        <w:r w:rsidRPr="22D8D502" w:rsidR="4BA4DED5">
          <w:rPr>
            <w:rStyle w:val="Hyperlink"/>
            <w:noProof w:val="0"/>
            <w:lang w:val="en-GB"/>
          </w:rPr>
          <w:t>Search - The Nursing and Midwifery Council</w:t>
        </w:r>
      </w:hyperlink>
    </w:p>
    <w:p w:rsidR="4BA4DED5" w:rsidP="22D8D502" w:rsidRDefault="4BA4DED5" w14:paraId="7EC25118" w14:textId="4A467FCA">
      <w:pPr>
        <w:pStyle w:val="Normal"/>
        <w:suppressLineNumbers w:val="0"/>
        <w:bidi w:val="0"/>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2D8D502" w:rsidR="4BA4DED5">
        <w:rPr>
          <w:rFonts w:ascii="Arial" w:hAnsi="Arial" w:eastAsia="Arial" w:cs="Arial"/>
          <w:b w:val="0"/>
          <w:bCs w:val="0"/>
          <w:i w:val="0"/>
          <w:iCs w:val="0"/>
          <w:caps w:val="0"/>
          <w:smallCaps w:val="0"/>
          <w:noProof w:val="0"/>
          <w:color w:val="000000" w:themeColor="text1" w:themeTint="FF" w:themeShade="FF"/>
          <w:sz w:val="22"/>
          <w:szCs w:val="22"/>
          <w:lang w:val="en-GB"/>
        </w:rPr>
        <w:t>9</w:t>
      </w:r>
      <w:r w:rsidRPr="22D8D502" w:rsidR="5DC9D720">
        <w:rPr>
          <w:rFonts w:ascii="Arial" w:hAnsi="Arial" w:eastAsia="Arial" w:cs="Arial"/>
          <w:b w:val="0"/>
          <w:bCs w:val="0"/>
          <w:i w:val="0"/>
          <w:iCs w:val="0"/>
          <w:caps w:val="0"/>
          <w:smallCaps w:val="0"/>
          <w:noProof w:val="0"/>
          <w:color w:val="000000" w:themeColor="text1" w:themeTint="FF" w:themeShade="FF"/>
          <w:sz w:val="22"/>
          <w:szCs w:val="22"/>
          <w:lang w:val="en-GB"/>
        </w:rPr>
        <w:t>. Royal College of Nursing (2023). Communication in nursing practice. Available at: https://www.</w:t>
      </w:r>
      <w:hyperlink r:id="Rc04382f847204502">
        <w:r w:rsidRPr="22D8D502" w:rsidR="5DC9D720">
          <w:rPr>
            <w:rStyle w:val="Hyperlink"/>
            <w:b w:val="0"/>
            <w:bCs w:val="0"/>
            <w:i w:val="0"/>
            <w:iCs w:val="0"/>
            <w:caps w:val="0"/>
            <w:smallCaps w:val="0"/>
            <w:strike w:val="0"/>
            <w:dstrike w:val="0"/>
            <w:noProof w:val="0"/>
            <w:lang w:val="en-GB"/>
          </w:rPr>
          <w:t>Search results | Royal College of Nursing</w:t>
        </w:r>
      </w:hyperlink>
    </w:p>
    <w:p w:rsidR="22D8D502" w:rsidP="22D8D502" w:rsidRDefault="22D8D502" w14:paraId="31B894B7" w14:textId="64161947">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930c6910b7ff47e5"/>
      <w:footerReference w:type="default" r:id="Re50c7cd7f60e41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D8D502" w:rsidTr="22D8D502" w14:paraId="258F56D2">
      <w:trPr>
        <w:trHeight w:val="300"/>
      </w:trPr>
      <w:tc>
        <w:tcPr>
          <w:tcW w:w="3005" w:type="dxa"/>
          <w:tcMar/>
        </w:tcPr>
        <w:p w:rsidR="22D8D502" w:rsidP="22D8D502" w:rsidRDefault="22D8D502" w14:paraId="69EDCCDB" w14:textId="2BA77104">
          <w:pPr>
            <w:pStyle w:val="Header"/>
            <w:bidi w:val="0"/>
            <w:ind w:left="-115"/>
            <w:jc w:val="left"/>
          </w:pPr>
        </w:p>
      </w:tc>
      <w:tc>
        <w:tcPr>
          <w:tcW w:w="3005" w:type="dxa"/>
          <w:tcMar/>
        </w:tcPr>
        <w:p w:rsidR="22D8D502" w:rsidP="22D8D502" w:rsidRDefault="22D8D502" w14:paraId="0E57A3A5" w14:textId="5A53BA1C">
          <w:pPr>
            <w:pStyle w:val="Header"/>
            <w:bidi w:val="0"/>
            <w:jc w:val="center"/>
          </w:pPr>
        </w:p>
      </w:tc>
      <w:tc>
        <w:tcPr>
          <w:tcW w:w="3005" w:type="dxa"/>
          <w:tcMar/>
        </w:tcPr>
        <w:p w:rsidR="22D8D502" w:rsidP="22D8D502" w:rsidRDefault="22D8D502" w14:paraId="42EC4431" w14:textId="59DB0C61">
          <w:pPr>
            <w:pStyle w:val="Header"/>
            <w:bidi w:val="0"/>
            <w:ind w:right="-115"/>
            <w:jc w:val="right"/>
          </w:pPr>
        </w:p>
      </w:tc>
    </w:tr>
  </w:tbl>
  <w:p w:rsidR="22D8D502" w:rsidP="22D8D502" w:rsidRDefault="22D8D502" w14:paraId="2306953E" w14:textId="76C3C8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D8D502" w:rsidTr="22D8D502" w14:paraId="4439718E">
      <w:trPr>
        <w:trHeight w:val="300"/>
      </w:trPr>
      <w:tc>
        <w:tcPr>
          <w:tcW w:w="3005" w:type="dxa"/>
          <w:tcMar/>
        </w:tcPr>
        <w:p w:rsidR="22D8D502" w:rsidP="22D8D502" w:rsidRDefault="22D8D502" w14:paraId="11034EB7" w14:textId="23F250A5">
          <w:pPr>
            <w:pStyle w:val="Header"/>
            <w:bidi w:val="0"/>
            <w:ind w:left="-115"/>
            <w:jc w:val="left"/>
          </w:pPr>
        </w:p>
      </w:tc>
      <w:tc>
        <w:tcPr>
          <w:tcW w:w="3005" w:type="dxa"/>
          <w:tcMar/>
        </w:tcPr>
        <w:p w:rsidR="22D8D502" w:rsidP="22D8D502" w:rsidRDefault="22D8D502" w14:paraId="1A423725" w14:textId="6077D349">
          <w:pPr>
            <w:pStyle w:val="Header"/>
            <w:bidi w:val="0"/>
            <w:jc w:val="center"/>
          </w:pPr>
        </w:p>
      </w:tc>
      <w:tc>
        <w:tcPr>
          <w:tcW w:w="3005" w:type="dxa"/>
          <w:tcMar/>
        </w:tcPr>
        <w:p w:rsidR="22D8D502" w:rsidP="22D8D502" w:rsidRDefault="22D8D502" w14:paraId="38193ABF" w14:textId="360D7487">
          <w:pPr>
            <w:pStyle w:val="Header"/>
            <w:bidi w:val="0"/>
            <w:ind w:right="-115"/>
            <w:jc w:val="right"/>
          </w:pPr>
        </w:p>
      </w:tc>
    </w:tr>
  </w:tbl>
  <w:p w:rsidR="22D8D502" w:rsidP="22D8D502" w:rsidRDefault="22D8D502" w14:paraId="6BFB9936" w14:textId="29D53A74">
    <w:pPr>
      <w:pStyle w:val="Header"/>
      <w:bidi w:val="0"/>
    </w:pPr>
  </w:p>
</w:hdr>
</file>

<file path=word/intelligence2.xml><?xml version="1.0" encoding="utf-8"?>
<int2:intelligence xmlns:int2="http://schemas.microsoft.com/office/intelligence/2020/intelligence">
  <int2:observations>
    <int2:bookmark int2:bookmarkName="_Int_ShAhN2ye" int2:invalidationBookmarkName="" int2:hashCode="v6zN+6+RNEpYTg" int2:id="nHVsZEfs">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C8E364"/>
    <w:rsid w:val="025F6BEB"/>
    <w:rsid w:val="0480E335"/>
    <w:rsid w:val="06D84052"/>
    <w:rsid w:val="07D52DBD"/>
    <w:rsid w:val="083FD714"/>
    <w:rsid w:val="0A3D7504"/>
    <w:rsid w:val="0C4D21D2"/>
    <w:rsid w:val="0D744A33"/>
    <w:rsid w:val="0DC964D6"/>
    <w:rsid w:val="0E31BF5A"/>
    <w:rsid w:val="0F2D5FF4"/>
    <w:rsid w:val="1231B69E"/>
    <w:rsid w:val="123F7BFD"/>
    <w:rsid w:val="12D41B1F"/>
    <w:rsid w:val="14148ADB"/>
    <w:rsid w:val="149150EA"/>
    <w:rsid w:val="153BDA88"/>
    <w:rsid w:val="18987F08"/>
    <w:rsid w:val="1B9B0512"/>
    <w:rsid w:val="1C0042C5"/>
    <w:rsid w:val="1CCBF1E2"/>
    <w:rsid w:val="1E035B01"/>
    <w:rsid w:val="1EEF3443"/>
    <w:rsid w:val="1F33E5A2"/>
    <w:rsid w:val="20CB5968"/>
    <w:rsid w:val="22D8D502"/>
    <w:rsid w:val="239C501A"/>
    <w:rsid w:val="239E14A3"/>
    <w:rsid w:val="24241AC4"/>
    <w:rsid w:val="278118AA"/>
    <w:rsid w:val="27F8BD96"/>
    <w:rsid w:val="28109F58"/>
    <w:rsid w:val="2EF74FA0"/>
    <w:rsid w:val="32477E1C"/>
    <w:rsid w:val="32533C24"/>
    <w:rsid w:val="35CB5204"/>
    <w:rsid w:val="3623AFC4"/>
    <w:rsid w:val="3850CF6C"/>
    <w:rsid w:val="397569C6"/>
    <w:rsid w:val="3A136883"/>
    <w:rsid w:val="3B6E8D61"/>
    <w:rsid w:val="3D854692"/>
    <w:rsid w:val="3E266682"/>
    <w:rsid w:val="3E33879E"/>
    <w:rsid w:val="3ED53784"/>
    <w:rsid w:val="3F9BB423"/>
    <w:rsid w:val="428E508F"/>
    <w:rsid w:val="453A34BB"/>
    <w:rsid w:val="478E192E"/>
    <w:rsid w:val="494CA5BD"/>
    <w:rsid w:val="4A950B7A"/>
    <w:rsid w:val="4BA4DED5"/>
    <w:rsid w:val="4D9E1817"/>
    <w:rsid w:val="4FC5EBF0"/>
    <w:rsid w:val="515ED619"/>
    <w:rsid w:val="51F7015D"/>
    <w:rsid w:val="52301455"/>
    <w:rsid w:val="53067C6A"/>
    <w:rsid w:val="5320225E"/>
    <w:rsid w:val="535ABE7B"/>
    <w:rsid w:val="546E825B"/>
    <w:rsid w:val="57AA0D1F"/>
    <w:rsid w:val="5970BF5A"/>
    <w:rsid w:val="59DE3F1E"/>
    <w:rsid w:val="5AA1B6EC"/>
    <w:rsid w:val="5AF8DD27"/>
    <w:rsid w:val="5B0A1F5C"/>
    <w:rsid w:val="5CBE4D67"/>
    <w:rsid w:val="5DC9D720"/>
    <w:rsid w:val="5F591999"/>
    <w:rsid w:val="5F5ADCB2"/>
    <w:rsid w:val="6027994D"/>
    <w:rsid w:val="60C34831"/>
    <w:rsid w:val="611CC397"/>
    <w:rsid w:val="61B34202"/>
    <w:rsid w:val="6276BA75"/>
    <w:rsid w:val="64E4F491"/>
    <w:rsid w:val="65C8E364"/>
    <w:rsid w:val="67BE7F10"/>
    <w:rsid w:val="68A4CDC3"/>
    <w:rsid w:val="68C22860"/>
    <w:rsid w:val="6933F59E"/>
    <w:rsid w:val="69C5D6FD"/>
    <w:rsid w:val="6B961F8A"/>
    <w:rsid w:val="6BD50F04"/>
    <w:rsid w:val="6C5FAB05"/>
    <w:rsid w:val="6D9FE469"/>
    <w:rsid w:val="6E1BA728"/>
    <w:rsid w:val="6E275B68"/>
    <w:rsid w:val="70504BEE"/>
    <w:rsid w:val="725A01E0"/>
    <w:rsid w:val="7753A652"/>
    <w:rsid w:val="79BE571E"/>
    <w:rsid w:val="79E9947B"/>
    <w:rsid w:val="7C372F3D"/>
    <w:rsid w:val="7DAEAF9A"/>
    <w:rsid w:val="7E61513F"/>
    <w:rsid w:val="7E791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3EB4D"/>
  <w15:chartTrackingRefBased/>
  <w15:docId w15:val="{AAEDD552-9925-45C7-B22C-F09D918815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2D8D502"/>
    <w:rPr>
      <w:color w:val="467886"/>
      <w:u w:val="single"/>
    </w:rPr>
  </w:style>
  <w:style w:type="paragraph" w:styleId="Header">
    <w:uiPriority w:val="99"/>
    <w:name w:val="header"/>
    <w:basedOn w:val="Normal"/>
    <w:unhideWhenUsed/>
    <w:rsid w:val="22D8D502"/>
    <w:pPr>
      <w:tabs>
        <w:tab w:val="center" w:leader="none" w:pos="4680"/>
        <w:tab w:val="right" w:leader="none" w:pos="9360"/>
      </w:tabs>
      <w:spacing w:after="0" w:line="240" w:lineRule="auto"/>
    </w:pPr>
  </w:style>
  <w:style w:type="paragraph" w:styleId="Footer">
    <w:uiPriority w:val="99"/>
    <w:name w:val="footer"/>
    <w:basedOn w:val="Normal"/>
    <w:unhideWhenUsed/>
    <w:rsid w:val="22D8D50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0163403" /><Relationship Type="http://schemas.openxmlformats.org/officeDocument/2006/relationships/hyperlink" Target="https://www.cqc.org.uk/guidance-providers/regulations-enforcement/regulation-17-good-governance" TargetMode="External" Id="R70311e20460049a5" /><Relationship Type="http://schemas.openxmlformats.org/officeDocument/2006/relationships/hyperlink" Target="https://www.cqc.org.uk/search/site?fulltext=Fundamental%20standards%20of%20care" TargetMode="External" Id="Rbf41104aec5a499a" /><Relationship Type="http://schemas.openxmlformats.org/officeDocument/2006/relationships/hyperlink" Target="https://www.gov.uk/government/publications/data-protection-act-2018-overview" TargetMode="External" Id="R3c9971cf07fe4d84" /><Relationship Type="http://schemas.openxmlformats.org/officeDocument/2006/relationships/hyperlink" Target="https://www.gov.uk/search/all?keywords=reasonable+adjustments+for+disabled+people" TargetMode="External" Id="Rff4a1170c3ed4000" /><Relationship Type="http://schemas.openxmlformats.org/officeDocument/2006/relationships/hyperlink" Target="https://www.nhs.uk/conditions/hearing-loss/" TargetMode="External" Id="Rba96037ea26c498c" /><Relationship Type="http://schemas.openxmlformats.org/officeDocument/2006/relationships/hyperlink" Target="https://www.nhs.uk/search/results?q=Multi-agency+working+in+health+and+social+care" TargetMode="External" Id="R5ecea9e037544be7" /><Relationship Type="http://schemas.openxmlformats.org/officeDocument/2006/relationships/hyperlink" Target="https://www.nmc.org.uk/search/?q=The+Code%3A+professional+standards+of+practice+and+behaviour" TargetMode="External" Id="Rb4cbcab006c24d42" /><Relationship Type="http://schemas.openxmlformats.org/officeDocument/2006/relationships/hyperlink" Target="https://www.rcn.org.uk/search?Q=Royal%20College%20of%20Nursing%20(2023).&amp;Sort=RelevanceAsc&amp;Scope=Global" TargetMode="External" Id="Rc04382f847204502" /><Relationship Type="http://schemas.openxmlformats.org/officeDocument/2006/relationships/header" Target="/word/header.xml" Id="R930c6910b7ff47e5" /><Relationship Type="http://schemas.openxmlformats.org/officeDocument/2006/relationships/footer" Target="/word/footer.xml" Id="Re50c7cd7f60e41f4" /><Relationship Type="http://schemas.microsoft.com/office/2020/10/relationships/intelligence" Target="/word/intelligence2.xml" Id="R809a2195311548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Silvia Iroguehi Iroguehi (2541271)</dc:creator>
  <keywords/>
  <dc:description/>
  <lastModifiedBy>Silvia Iroguehi Iroguehi (2541271)</lastModifiedBy>
  <revision>2</revision>
  <dcterms:created xsi:type="dcterms:W3CDTF">2026-10-26T13:16:41.1062904Z</dcterms:created>
  <dcterms:modified xsi:type="dcterms:W3CDTF">2026-10-26T14:14:28.3223386Z</dcterms:modified>
</coreProperties>
</file>