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57A1EAB5" w14:textId="716F4726" w:rsidR="000655EF" w:rsidRPr="00827B28" w:rsidRDefault="000655EF" w:rsidP="021F216E">
      <w:pPr>
        <w:jc w:val="center"/>
        <w:rPr>
          <w:rFonts w:ascii="Arial Nova" w:eastAsia="Arial Nova" w:hAnsi="Arial Nova" w:cs="Arial Nova"/>
          <w:bCs/>
          <w:sz w:val="44"/>
          <w:szCs w:val="44"/>
        </w:rPr>
      </w:pPr>
      <w:r>
        <w:rPr>
          <w:rFonts w:ascii="Arial Nova" w:eastAsia="Arial Nova" w:hAnsi="Arial Nova" w:cs="Arial Nova"/>
          <w:sz w:val="44"/>
          <w:szCs w:val="44"/>
        </w:rPr>
        <w:t xml:space="preserve">Module: </w:t>
      </w:r>
      <w:r w:rsidRPr="00827B28">
        <w:rPr>
          <w:rFonts w:ascii="Arial Nova" w:eastAsia="Arial Nova" w:hAnsi="Arial Nova" w:cs="Arial Nova"/>
          <w:bCs/>
          <w:sz w:val="44"/>
          <w:szCs w:val="44"/>
        </w:rPr>
        <w:t xml:space="preserve">Changemakers: Building your Personal Brand for Sustainable Employment   </w:t>
      </w:r>
    </w:p>
    <w:p w14:paraId="62AF89D1" w14:textId="2763847E" w:rsidR="000655EF" w:rsidRPr="00827B28" w:rsidRDefault="000655EF" w:rsidP="021F216E">
      <w:pPr>
        <w:jc w:val="center"/>
        <w:rPr>
          <w:rFonts w:ascii="Arial Nova" w:eastAsia="Arial Nova" w:hAnsi="Arial Nova" w:cs="Arial Nova"/>
          <w:bCs/>
          <w:sz w:val="44"/>
          <w:szCs w:val="44"/>
        </w:rPr>
      </w:pPr>
      <w:r w:rsidRPr="00827B28">
        <w:rPr>
          <w:rFonts w:ascii="Arial Nova" w:eastAsia="Arial Nova" w:hAnsi="Arial Nova" w:cs="Arial Nova"/>
          <w:bCs/>
          <w:sz w:val="44"/>
          <w:szCs w:val="44"/>
        </w:rPr>
        <w:t>Module Code: BMHP5015</w:t>
      </w:r>
    </w:p>
    <w:p w14:paraId="70B126E6" w14:textId="7D81B5FF" w:rsidR="000655EF" w:rsidRDefault="000655EF" w:rsidP="021F216E">
      <w:pPr>
        <w:jc w:val="center"/>
        <w:rPr>
          <w:rFonts w:ascii="Arial Nova" w:eastAsia="Arial Nova" w:hAnsi="Arial Nova" w:cs="Arial Nova"/>
          <w:sz w:val="44"/>
          <w:szCs w:val="44"/>
        </w:rPr>
      </w:pPr>
      <w:r w:rsidRPr="00827B28">
        <w:rPr>
          <w:rFonts w:ascii="Arial Nova" w:eastAsia="Arial Nova" w:hAnsi="Arial Nova" w:cs="Arial Nova"/>
          <w:bCs/>
          <w:sz w:val="44"/>
          <w:szCs w:val="44"/>
        </w:rPr>
        <w:t>Component 1: Online Portfolio</w:t>
      </w:r>
    </w:p>
    <w:p w14:paraId="34453FAB" w14:textId="6777B79C" w:rsidR="00D31885" w:rsidRDefault="00D31885" w:rsidP="000655EF">
      <w:pPr>
        <w:spacing w:line="360" w:lineRule="auto"/>
        <w:jc w:val="center"/>
        <w:rPr>
          <w:rFonts w:ascii="Arial Nova" w:eastAsia="Arial Nova" w:hAnsi="Arial Nova" w:cs="Arial Nova"/>
          <w:sz w:val="44"/>
          <w:szCs w:val="44"/>
        </w:rPr>
      </w:pPr>
      <w:r>
        <w:rPr>
          <w:rFonts w:ascii="Arial Nova" w:eastAsia="Arial Nova" w:hAnsi="Arial Nova" w:cs="Arial Nova"/>
          <w:sz w:val="44"/>
          <w:szCs w:val="44"/>
        </w:rPr>
        <w:t>Student Name: Rim Abdulhamid</w:t>
      </w:r>
      <w:r>
        <w:rPr>
          <w:rFonts w:ascii="Arial Nova" w:eastAsia="Arial Nova" w:hAnsi="Arial Nova" w:cs="Arial Nova"/>
          <w:sz w:val="44"/>
          <w:szCs w:val="44"/>
        </w:rPr>
        <w:br/>
        <w:t xml:space="preserve">Student </w:t>
      </w:r>
      <w:r w:rsidR="000655EF">
        <w:rPr>
          <w:rFonts w:ascii="Arial Nova" w:eastAsia="Arial Nova" w:hAnsi="Arial Nova" w:cs="Arial Nova"/>
          <w:sz w:val="44"/>
          <w:szCs w:val="44"/>
        </w:rPr>
        <w:t>ID</w:t>
      </w:r>
      <w:r>
        <w:rPr>
          <w:rFonts w:ascii="Arial Nova" w:eastAsia="Arial Nova" w:hAnsi="Arial Nova" w:cs="Arial Nova"/>
          <w:sz w:val="44"/>
          <w:szCs w:val="44"/>
        </w:rPr>
        <w:t>: 2321169</w:t>
      </w:r>
    </w:p>
    <w:p w14:paraId="26F37D34" w14:textId="23A6A636" w:rsidR="00A72E27" w:rsidRPr="0074551A" w:rsidRDefault="00A72E27" w:rsidP="000655EF">
      <w:pPr>
        <w:spacing w:line="360" w:lineRule="auto"/>
        <w:jc w:val="center"/>
        <w:rPr>
          <w:rFonts w:ascii="Arial Nova" w:eastAsia="Arial Nova" w:hAnsi="Arial Nova" w:cs="Arial Nova"/>
          <w:sz w:val="44"/>
          <w:szCs w:val="44"/>
        </w:rPr>
      </w:pPr>
      <w:r>
        <w:rPr>
          <w:rFonts w:ascii="Arial Nova" w:eastAsia="Arial Nova" w:hAnsi="Arial Nova" w:cs="Arial Nova"/>
          <w:sz w:val="44"/>
          <w:szCs w:val="44"/>
        </w:rPr>
        <w:t>Lecturer’s Name</w:t>
      </w:r>
      <w:r w:rsidR="00F91C62">
        <w:rPr>
          <w:rFonts w:ascii="Arial Nova" w:eastAsia="Arial Nova" w:hAnsi="Arial Nova" w:cs="Arial Nova"/>
          <w:sz w:val="44"/>
          <w:szCs w:val="44"/>
        </w:rPr>
        <w:t xml:space="preserve">: </w:t>
      </w:r>
      <w:r w:rsidR="00F91C62" w:rsidRPr="00A72E27">
        <w:rPr>
          <w:rFonts w:ascii="Arial Nova" w:eastAsia="Arial Nova" w:hAnsi="Arial Nova" w:cs="Arial Nova"/>
          <w:sz w:val="44"/>
          <w:szCs w:val="44"/>
        </w:rPr>
        <w:t>Parese</w:t>
      </w:r>
      <w:r w:rsidRPr="00A72E27">
        <w:rPr>
          <w:rFonts w:ascii="Arial Nova" w:eastAsia="Arial Nova" w:hAnsi="Arial Nova" w:cs="Arial Nova"/>
          <w:sz w:val="44"/>
          <w:szCs w:val="44"/>
        </w:rPr>
        <w:t xml:space="preserve"> Ahmed</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sdt>
      <w:sdtPr>
        <w:rPr>
          <w:rFonts w:asciiTheme="minorHAnsi" w:eastAsiaTheme="minorEastAsia" w:hAnsiTheme="minorHAnsi" w:cstheme="minorBidi"/>
          <w:color w:val="auto"/>
          <w:sz w:val="24"/>
          <w:szCs w:val="24"/>
          <w:lang w:eastAsia="ja-JP"/>
        </w:rPr>
        <w:id w:val="-1984843463"/>
        <w:docPartObj>
          <w:docPartGallery w:val="Table of Contents"/>
          <w:docPartUnique/>
        </w:docPartObj>
      </w:sdtPr>
      <w:sdtEndPr>
        <w:rPr>
          <w:b/>
          <w:bCs/>
          <w:noProof/>
        </w:rPr>
      </w:sdtEndPr>
      <w:sdtContent>
        <w:p w14:paraId="0215FA72" w14:textId="6DF56525" w:rsidR="00C5040A" w:rsidRDefault="00C5040A" w:rsidP="00C5040A">
          <w:pPr>
            <w:pStyle w:val="TOCHeading"/>
            <w:spacing w:line="480" w:lineRule="auto"/>
          </w:pPr>
          <w:r>
            <w:t>Contents</w:t>
          </w:r>
        </w:p>
        <w:p w14:paraId="6A51957C" w14:textId="72E22BB7" w:rsidR="00C5040A" w:rsidRDefault="00C5040A" w:rsidP="00C5040A">
          <w:pPr>
            <w:pStyle w:val="TOC1"/>
            <w:tabs>
              <w:tab w:val="right" w:leader="dot" w:pos="9350"/>
            </w:tabs>
            <w:spacing w:line="480" w:lineRule="auto"/>
            <w:rPr>
              <w:noProof/>
              <w:kern w:val="2"/>
              <w:lang w:val="en-GB" w:eastAsia="en-GB"/>
              <w14:ligatures w14:val="standardContextual"/>
            </w:rPr>
          </w:pPr>
          <w:r>
            <w:fldChar w:fldCharType="begin"/>
          </w:r>
          <w:r>
            <w:instrText xml:space="preserve"> TOC \o "1-3" \h \z \u </w:instrText>
          </w:r>
          <w:r>
            <w:fldChar w:fldCharType="separate"/>
          </w:r>
          <w:hyperlink w:anchor="_Toc210251190" w:history="1">
            <w:r w:rsidRPr="00DC0D5D">
              <w:rPr>
                <w:rStyle w:val="Hyperlink"/>
                <w:noProof/>
              </w:rPr>
              <w:t>Task 1 – Personal Brand</w:t>
            </w:r>
            <w:r>
              <w:rPr>
                <w:noProof/>
                <w:webHidden/>
              </w:rPr>
              <w:tab/>
            </w:r>
            <w:r>
              <w:rPr>
                <w:noProof/>
                <w:webHidden/>
              </w:rPr>
              <w:fldChar w:fldCharType="begin"/>
            </w:r>
            <w:r>
              <w:rPr>
                <w:noProof/>
                <w:webHidden/>
              </w:rPr>
              <w:instrText xml:space="preserve"> PAGEREF _Toc210251190 \h </w:instrText>
            </w:r>
            <w:r>
              <w:rPr>
                <w:noProof/>
                <w:webHidden/>
              </w:rPr>
            </w:r>
            <w:r>
              <w:rPr>
                <w:noProof/>
                <w:webHidden/>
              </w:rPr>
              <w:fldChar w:fldCharType="separate"/>
            </w:r>
            <w:r>
              <w:rPr>
                <w:noProof/>
                <w:webHidden/>
              </w:rPr>
              <w:t>3</w:t>
            </w:r>
            <w:r>
              <w:rPr>
                <w:noProof/>
                <w:webHidden/>
              </w:rPr>
              <w:fldChar w:fldCharType="end"/>
            </w:r>
          </w:hyperlink>
        </w:p>
        <w:p w14:paraId="56E0A7C9" w14:textId="39E0B987"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1" w:history="1">
            <w:r w:rsidRPr="00DC0D5D">
              <w:rPr>
                <w:rStyle w:val="Hyperlink"/>
                <w:noProof/>
              </w:rPr>
              <w:t>Task 2 - Network Map and Rationale</w:t>
            </w:r>
            <w:r>
              <w:rPr>
                <w:noProof/>
                <w:webHidden/>
              </w:rPr>
              <w:tab/>
            </w:r>
            <w:r>
              <w:rPr>
                <w:noProof/>
                <w:webHidden/>
              </w:rPr>
              <w:fldChar w:fldCharType="begin"/>
            </w:r>
            <w:r>
              <w:rPr>
                <w:noProof/>
                <w:webHidden/>
              </w:rPr>
              <w:instrText xml:space="preserve"> PAGEREF _Toc210251191 \h </w:instrText>
            </w:r>
            <w:r>
              <w:rPr>
                <w:noProof/>
                <w:webHidden/>
              </w:rPr>
            </w:r>
            <w:r>
              <w:rPr>
                <w:noProof/>
                <w:webHidden/>
              </w:rPr>
              <w:fldChar w:fldCharType="separate"/>
            </w:r>
            <w:r>
              <w:rPr>
                <w:noProof/>
                <w:webHidden/>
              </w:rPr>
              <w:t>4</w:t>
            </w:r>
            <w:r>
              <w:rPr>
                <w:noProof/>
                <w:webHidden/>
              </w:rPr>
              <w:fldChar w:fldCharType="end"/>
            </w:r>
          </w:hyperlink>
        </w:p>
        <w:p w14:paraId="0391BFE3" w14:textId="3FBB5A13"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2" w:history="1">
            <w:r w:rsidRPr="00DC0D5D">
              <w:rPr>
                <w:rStyle w:val="Hyperlink"/>
                <w:noProof/>
              </w:rPr>
              <w:t>Task 3- Blog</w:t>
            </w:r>
            <w:r>
              <w:rPr>
                <w:noProof/>
                <w:webHidden/>
              </w:rPr>
              <w:tab/>
            </w:r>
            <w:r>
              <w:rPr>
                <w:noProof/>
                <w:webHidden/>
              </w:rPr>
              <w:fldChar w:fldCharType="begin"/>
            </w:r>
            <w:r>
              <w:rPr>
                <w:noProof/>
                <w:webHidden/>
              </w:rPr>
              <w:instrText xml:space="preserve"> PAGEREF _Toc210251192 \h </w:instrText>
            </w:r>
            <w:r>
              <w:rPr>
                <w:noProof/>
                <w:webHidden/>
              </w:rPr>
            </w:r>
            <w:r>
              <w:rPr>
                <w:noProof/>
                <w:webHidden/>
              </w:rPr>
              <w:fldChar w:fldCharType="separate"/>
            </w:r>
            <w:r>
              <w:rPr>
                <w:noProof/>
                <w:webHidden/>
              </w:rPr>
              <w:t>6</w:t>
            </w:r>
            <w:r>
              <w:rPr>
                <w:noProof/>
                <w:webHidden/>
              </w:rPr>
              <w:fldChar w:fldCharType="end"/>
            </w:r>
          </w:hyperlink>
        </w:p>
        <w:p w14:paraId="097B103B" w14:textId="48194492"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3" w:history="1">
            <w:r w:rsidRPr="00DC0D5D">
              <w:rPr>
                <w:rStyle w:val="Hyperlink"/>
                <w:noProof/>
              </w:rPr>
              <w:t>Task 4- NHS Equality, Diversity and Inclusion Quiz (250 words equivalent)</w:t>
            </w:r>
            <w:r>
              <w:rPr>
                <w:noProof/>
                <w:webHidden/>
              </w:rPr>
              <w:tab/>
            </w:r>
            <w:r>
              <w:rPr>
                <w:noProof/>
                <w:webHidden/>
              </w:rPr>
              <w:fldChar w:fldCharType="begin"/>
            </w:r>
            <w:r>
              <w:rPr>
                <w:noProof/>
                <w:webHidden/>
              </w:rPr>
              <w:instrText xml:space="preserve"> PAGEREF _Toc210251193 \h </w:instrText>
            </w:r>
            <w:r>
              <w:rPr>
                <w:noProof/>
                <w:webHidden/>
              </w:rPr>
            </w:r>
            <w:r>
              <w:rPr>
                <w:noProof/>
                <w:webHidden/>
              </w:rPr>
              <w:fldChar w:fldCharType="separate"/>
            </w:r>
            <w:r>
              <w:rPr>
                <w:noProof/>
                <w:webHidden/>
              </w:rPr>
              <w:t>8</w:t>
            </w:r>
            <w:r>
              <w:rPr>
                <w:noProof/>
                <w:webHidden/>
              </w:rPr>
              <w:fldChar w:fldCharType="end"/>
            </w:r>
          </w:hyperlink>
        </w:p>
        <w:p w14:paraId="512A53B7" w14:textId="1F1BEC46"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4" w:history="1">
            <w:r w:rsidRPr="00DC0D5D">
              <w:rPr>
                <w:rStyle w:val="Hyperlink"/>
                <w:noProof/>
              </w:rPr>
              <w:t>Task 5- A Letter to Yourself</w:t>
            </w:r>
            <w:r>
              <w:rPr>
                <w:noProof/>
                <w:webHidden/>
              </w:rPr>
              <w:tab/>
            </w:r>
            <w:r>
              <w:rPr>
                <w:noProof/>
                <w:webHidden/>
              </w:rPr>
              <w:fldChar w:fldCharType="begin"/>
            </w:r>
            <w:r>
              <w:rPr>
                <w:noProof/>
                <w:webHidden/>
              </w:rPr>
              <w:instrText xml:space="preserve"> PAGEREF _Toc210251194 \h </w:instrText>
            </w:r>
            <w:r>
              <w:rPr>
                <w:noProof/>
                <w:webHidden/>
              </w:rPr>
            </w:r>
            <w:r>
              <w:rPr>
                <w:noProof/>
                <w:webHidden/>
              </w:rPr>
              <w:fldChar w:fldCharType="separate"/>
            </w:r>
            <w:r>
              <w:rPr>
                <w:noProof/>
                <w:webHidden/>
              </w:rPr>
              <w:t>11</w:t>
            </w:r>
            <w:r>
              <w:rPr>
                <w:noProof/>
                <w:webHidden/>
              </w:rPr>
              <w:fldChar w:fldCharType="end"/>
            </w:r>
          </w:hyperlink>
        </w:p>
        <w:p w14:paraId="5FDA7ABB" w14:textId="02688C02"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5" w:history="1">
            <w:r w:rsidRPr="00DC0D5D">
              <w:rPr>
                <w:rStyle w:val="Hyperlink"/>
                <w:noProof/>
              </w:rPr>
              <w:t>Task 6- GANTT Chart (200 words equivalent)</w:t>
            </w:r>
            <w:r>
              <w:rPr>
                <w:noProof/>
                <w:webHidden/>
              </w:rPr>
              <w:tab/>
            </w:r>
            <w:r>
              <w:rPr>
                <w:noProof/>
                <w:webHidden/>
              </w:rPr>
              <w:fldChar w:fldCharType="begin"/>
            </w:r>
            <w:r>
              <w:rPr>
                <w:noProof/>
                <w:webHidden/>
              </w:rPr>
              <w:instrText xml:space="preserve"> PAGEREF _Toc210251195 \h </w:instrText>
            </w:r>
            <w:r>
              <w:rPr>
                <w:noProof/>
                <w:webHidden/>
              </w:rPr>
            </w:r>
            <w:r>
              <w:rPr>
                <w:noProof/>
                <w:webHidden/>
              </w:rPr>
              <w:fldChar w:fldCharType="separate"/>
            </w:r>
            <w:r>
              <w:rPr>
                <w:noProof/>
                <w:webHidden/>
              </w:rPr>
              <w:t>12</w:t>
            </w:r>
            <w:r>
              <w:rPr>
                <w:noProof/>
                <w:webHidden/>
              </w:rPr>
              <w:fldChar w:fldCharType="end"/>
            </w:r>
          </w:hyperlink>
        </w:p>
        <w:p w14:paraId="5BA33D4F" w14:textId="64848576"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6" w:history="1">
            <w:r w:rsidRPr="00DC0D5D">
              <w:rPr>
                <w:rStyle w:val="Hyperlink"/>
                <w:noProof/>
              </w:rPr>
              <w:t>Task 7- Making Changes- Report</w:t>
            </w:r>
            <w:r>
              <w:rPr>
                <w:noProof/>
                <w:webHidden/>
              </w:rPr>
              <w:tab/>
            </w:r>
            <w:r>
              <w:rPr>
                <w:noProof/>
                <w:webHidden/>
              </w:rPr>
              <w:fldChar w:fldCharType="begin"/>
            </w:r>
            <w:r>
              <w:rPr>
                <w:noProof/>
                <w:webHidden/>
              </w:rPr>
              <w:instrText xml:space="preserve"> PAGEREF _Toc210251196 \h </w:instrText>
            </w:r>
            <w:r>
              <w:rPr>
                <w:noProof/>
                <w:webHidden/>
              </w:rPr>
            </w:r>
            <w:r>
              <w:rPr>
                <w:noProof/>
                <w:webHidden/>
              </w:rPr>
              <w:fldChar w:fldCharType="separate"/>
            </w:r>
            <w:r>
              <w:rPr>
                <w:noProof/>
                <w:webHidden/>
              </w:rPr>
              <w:t>13</w:t>
            </w:r>
            <w:r>
              <w:rPr>
                <w:noProof/>
                <w:webHidden/>
              </w:rPr>
              <w:fldChar w:fldCharType="end"/>
            </w:r>
          </w:hyperlink>
        </w:p>
        <w:p w14:paraId="2073F6B0" w14:textId="7ABE05A6"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7" w:history="1">
            <w:r w:rsidRPr="00DC0D5D">
              <w:rPr>
                <w:rStyle w:val="Hyperlink"/>
                <w:noProof/>
              </w:rPr>
              <w:t>Task 8- Self-Reflection</w:t>
            </w:r>
            <w:r>
              <w:rPr>
                <w:noProof/>
                <w:webHidden/>
              </w:rPr>
              <w:tab/>
            </w:r>
            <w:r>
              <w:rPr>
                <w:noProof/>
                <w:webHidden/>
              </w:rPr>
              <w:fldChar w:fldCharType="begin"/>
            </w:r>
            <w:r>
              <w:rPr>
                <w:noProof/>
                <w:webHidden/>
              </w:rPr>
              <w:instrText xml:space="preserve"> PAGEREF _Toc210251197 \h </w:instrText>
            </w:r>
            <w:r>
              <w:rPr>
                <w:noProof/>
                <w:webHidden/>
              </w:rPr>
            </w:r>
            <w:r>
              <w:rPr>
                <w:noProof/>
                <w:webHidden/>
              </w:rPr>
              <w:fldChar w:fldCharType="separate"/>
            </w:r>
            <w:r>
              <w:rPr>
                <w:noProof/>
                <w:webHidden/>
              </w:rPr>
              <w:t>15</w:t>
            </w:r>
            <w:r>
              <w:rPr>
                <w:noProof/>
                <w:webHidden/>
              </w:rPr>
              <w:fldChar w:fldCharType="end"/>
            </w:r>
          </w:hyperlink>
        </w:p>
        <w:p w14:paraId="1BCB8280" w14:textId="773FC56C" w:rsidR="00C5040A" w:rsidRDefault="00C5040A" w:rsidP="00C5040A">
          <w:pPr>
            <w:pStyle w:val="TOC1"/>
            <w:tabs>
              <w:tab w:val="right" w:leader="dot" w:pos="9350"/>
            </w:tabs>
            <w:spacing w:line="480" w:lineRule="auto"/>
            <w:rPr>
              <w:noProof/>
              <w:kern w:val="2"/>
              <w:lang w:val="en-GB" w:eastAsia="en-GB"/>
              <w14:ligatures w14:val="standardContextual"/>
            </w:rPr>
          </w:pPr>
          <w:hyperlink w:anchor="_Toc210251198" w:history="1">
            <w:r w:rsidRPr="00DC0D5D">
              <w:rPr>
                <w:rStyle w:val="Hyperlink"/>
                <w:noProof/>
              </w:rPr>
              <w:t>Reference List</w:t>
            </w:r>
            <w:r>
              <w:rPr>
                <w:noProof/>
                <w:webHidden/>
              </w:rPr>
              <w:tab/>
            </w:r>
            <w:r>
              <w:rPr>
                <w:noProof/>
                <w:webHidden/>
              </w:rPr>
              <w:fldChar w:fldCharType="begin"/>
            </w:r>
            <w:r>
              <w:rPr>
                <w:noProof/>
                <w:webHidden/>
              </w:rPr>
              <w:instrText xml:space="preserve"> PAGEREF _Toc210251198 \h </w:instrText>
            </w:r>
            <w:r>
              <w:rPr>
                <w:noProof/>
                <w:webHidden/>
              </w:rPr>
            </w:r>
            <w:r>
              <w:rPr>
                <w:noProof/>
                <w:webHidden/>
              </w:rPr>
              <w:fldChar w:fldCharType="separate"/>
            </w:r>
            <w:r>
              <w:rPr>
                <w:noProof/>
                <w:webHidden/>
              </w:rPr>
              <w:t>17</w:t>
            </w:r>
            <w:r>
              <w:rPr>
                <w:noProof/>
                <w:webHidden/>
              </w:rPr>
              <w:fldChar w:fldCharType="end"/>
            </w:r>
          </w:hyperlink>
        </w:p>
        <w:p w14:paraId="2035A6A8" w14:textId="695A23B1" w:rsidR="00C5040A" w:rsidRDefault="00C5040A" w:rsidP="00C5040A">
          <w:pPr>
            <w:spacing w:line="480" w:lineRule="auto"/>
          </w:pPr>
          <w:r>
            <w:rPr>
              <w:b/>
              <w:bCs/>
              <w:noProof/>
            </w:rPr>
            <w:fldChar w:fldCharType="end"/>
          </w:r>
        </w:p>
      </w:sdtContent>
    </w:sdt>
    <w:p w14:paraId="25279DC3" w14:textId="77777777" w:rsidR="00C5040A" w:rsidRDefault="00C5040A">
      <w:pPr>
        <w:rPr>
          <w:rFonts w:asciiTheme="majorHAnsi" w:eastAsiaTheme="majorEastAsia" w:hAnsiTheme="majorHAnsi" w:cstheme="majorBidi"/>
          <w:color w:val="0F4761" w:themeColor="accent1" w:themeShade="BF"/>
          <w:sz w:val="40"/>
          <w:szCs w:val="40"/>
        </w:rPr>
      </w:pPr>
      <w:r>
        <w:br w:type="page"/>
      </w:r>
    </w:p>
    <w:p w14:paraId="5ED067C8" w14:textId="7ECD4D9E" w:rsidR="32ADAAF6" w:rsidRDefault="32ADAAF6" w:rsidP="00C5040A">
      <w:pPr>
        <w:pStyle w:val="Heading1"/>
        <w:rPr>
          <w:sz w:val="72"/>
          <w:szCs w:val="72"/>
        </w:rPr>
      </w:pPr>
      <w:bookmarkStart w:id="0" w:name="_Toc210251190"/>
      <w:r w:rsidRPr="021F216E">
        <w:lastRenderedPageBreak/>
        <w:t xml:space="preserve">Task 1 – </w:t>
      </w:r>
      <w:r w:rsidR="00B7418E">
        <w:t>Personal Brand</w:t>
      </w:r>
      <w:bookmarkEnd w:id="0"/>
    </w:p>
    <w:p w14:paraId="0BC7D9FC" w14:textId="48CBA279"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401CC7FF" w14:textId="77777777" w:rsidR="008A24F2" w:rsidRPr="004B7711" w:rsidRDefault="008A24F2" w:rsidP="008A24F2"/>
    <w:p w14:paraId="2B316538" w14:textId="77777777" w:rsidR="008A24F2" w:rsidRPr="004B7711" w:rsidRDefault="008A24F2" w:rsidP="008A24F2">
      <w:pPr>
        <w:spacing w:line="360" w:lineRule="auto"/>
        <w:jc w:val="both"/>
        <w:rPr>
          <w:rFonts w:ascii="Arial" w:hAnsi="Arial"/>
        </w:rPr>
      </w:pPr>
      <w:r w:rsidRPr="004B7711">
        <w:rPr>
          <w:rFonts w:ascii="Arial" w:hAnsi="Arial"/>
        </w:rPr>
        <w:t>Personal branding is the way I present myself to others, showing my values, skills, and unique qualities in a professional setting. In health and social care, this is important because employers value candidates who demonstrate reliability, empathy, and commitment to professional identity (Fitzgerald, 2020).</w:t>
      </w:r>
    </w:p>
    <w:p w14:paraId="2104D82F" w14:textId="77777777" w:rsidR="008A24F2" w:rsidRPr="004B7711" w:rsidRDefault="008A24F2" w:rsidP="008A24F2">
      <w:pPr>
        <w:spacing w:line="360" w:lineRule="auto"/>
        <w:jc w:val="both"/>
        <w:rPr>
          <w:rFonts w:ascii="Arial" w:hAnsi="Arial"/>
        </w:rPr>
      </w:pPr>
      <w:r w:rsidRPr="004B7711">
        <w:rPr>
          <w:rFonts w:ascii="Arial" w:hAnsi="Arial"/>
        </w:rPr>
        <w:t>At present, I see my personal brand as grounded in compassion, adaptability, and strong communication. I am often recognised by colleagues for being approachable and supportive, qualities that are vital when working with vulnerable groups. My academic journey has also strengthened my resilience and ability to manage competing responsibilities, which aligns with the need for employability skills highlighted in this module (Pawar and Gandhi, 2016).</w:t>
      </w:r>
    </w:p>
    <w:p w14:paraId="51E63773" w14:textId="77777777" w:rsidR="008A24F2" w:rsidRPr="004B7711" w:rsidRDefault="008A24F2" w:rsidP="008A24F2">
      <w:pPr>
        <w:spacing w:line="360" w:lineRule="auto"/>
        <w:jc w:val="both"/>
        <w:rPr>
          <w:rFonts w:ascii="Arial" w:hAnsi="Arial"/>
        </w:rPr>
      </w:pPr>
      <w:r w:rsidRPr="004B7711">
        <w:rPr>
          <w:rFonts w:ascii="Arial" w:hAnsi="Arial"/>
        </w:rPr>
        <w:t>However, I know that to reach my long-term goal of becoming a professional within health and social care, I must develop further. I need to improve my confidence in leadership roles and gain more experience in collaborative decision-making. Strengthening these areas will enhance my professional identity and demonstrate that I can take initiative and lead in complex environments.</w:t>
      </w:r>
    </w:p>
    <w:p w14:paraId="07EA0F59" w14:textId="77777777" w:rsidR="008A24F2" w:rsidRDefault="008A24F2" w:rsidP="008A24F2">
      <w:pPr>
        <w:spacing w:line="360" w:lineRule="auto"/>
        <w:jc w:val="both"/>
        <w:rPr>
          <w:rFonts w:ascii="Arial" w:hAnsi="Arial"/>
        </w:rPr>
      </w:pPr>
      <w:r w:rsidRPr="004B7711">
        <w:rPr>
          <w:rFonts w:ascii="Arial" w:hAnsi="Arial"/>
        </w:rPr>
        <w:t>By continually reflecting on and refining my personal brand, I believe I can position myself as a credible, trustworthy, and employable professional ready to achieve my future career goals.</w:t>
      </w:r>
    </w:p>
    <w:p w14:paraId="395B7145" w14:textId="77777777" w:rsidR="008A24F2" w:rsidRDefault="008A24F2" w:rsidP="008A24F2">
      <w:pPr>
        <w:rPr>
          <w:rFonts w:ascii="Arial" w:hAnsi="Arial"/>
        </w:rPr>
      </w:pPr>
      <w:r>
        <w:rPr>
          <w:rFonts w:ascii="Arial" w:hAnsi="Arial"/>
        </w:rPr>
        <w:br w:type="page"/>
      </w:r>
    </w:p>
    <w:p w14:paraId="78587690" w14:textId="3EB6BFB2" w:rsidR="32ADAAF6" w:rsidRDefault="00B7418E" w:rsidP="00C5040A">
      <w:pPr>
        <w:pStyle w:val="Heading1"/>
      </w:pPr>
      <w:bookmarkStart w:id="1" w:name="_Toc210251191"/>
      <w:r>
        <w:lastRenderedPageBreak/>
        <w:t xml:space="preserve">Task 2 - </w:t>
      </w:r>
      <w:r w:rsidRPr="00B7418E">
        <w:t>Network Map and Rationale</w:t>
      </w:r>
      <w:bookmarkEnd w:id="1"/>
    </w:p>
    <w:p w14:paraId="2FDFC4D6" w14:textId="137B2F84"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(200 words- 2 referenced sources).</w:t>
      </w:r>
    </w:p>
    <w:p w14:paraId="6F342F1A" w14:textId="69F6D187" w:rsidR="008A24F2" w:rsidRDefault="008A24F2" w:rsidP="021F216E">
      <w:pPr>
        <w:rPr>
          <w:rFonts w:ascii="Arial Nova" w:eastAsia="Arial Nova" w:hAnsi="Arial Nova" w:cs="Arial Nova"/>
          <w:i/>
          <w:iCs/>
          <w:color w:val="000000" w:themeColor="text1"/>
          <w:lang w:val="en-GB"/>
        </w:rPr>
      </w:pPr>
      <w:r>
        <w:rPr>
          <w:noProof/>
        </w:rPr>
        <w:drawing>
          <wp:inline distT="0" distB="0" distL="0" distR="0" wp14:anchorId="3CD117E9" wp14:editId="504CAA90">
            <wp:extent cx="5733333" cy="4419048"/>
            <wp:effectExtent l="0" t="0" r="1270" b="635"/>
            <wp:docPr id="300687983" name="Picture 1"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87983" name="Picture 1" descr="A diagram of a network&#10;&#10;AI-generated content may be incorrect."/>
                    <pic:cNvPicPr/>
                  </pic:nvPicPr>
                  <pic:blipFill>
                    <a:blip r:embed="rId9"/>
                    <a:stretch>
                      <a:fillRect/>
                    </a:stretch>
                  </pic:blipFill>
                  <pic:spPr>
                    <a:xfrm>
                      <a:off x="0" y="0"/>
                      <a:ext cx="5733333" cy="4419048"/>
                    </a:xfrm>
                    <a:prstGeom prst="rect">
                      <a:avLst/>
                    </a:prstGeom>
                  </pic:spPr>
                </pic:pic>
              </a:graphicData>
            </a:graphic>
          </wp:inline>
        </w:drawing>
      </w:r>
    </w:p>
    <w:p w14:paraId="1B32812C" w14:textId="77777777" w:rsidR="008A24F2" w:rsidRPr="008A24F2" w:rsidRDefault="008A24F2" w:rsidP="008A24F2">
      <w:pPr>
        <w:rPr>
          <w:rFonts w:ascii="Arial Nova" w:eastAsia="Arial Nova" w:hAnsi="Arial Nova" w:cs="Arial Nova"/>
          <w:i/>
          <w:iCs/>
          <w:color w:val="000000" w:themeColor="text1"/>
          <w:lang w:val="en-GB"/>
        </w:rPr>
      </w:pPr>
      <w:r w:rsidRPr="008A24F2">
        <w:rPr>
          <w:rFonts w:ascii="Arial Nova" w:eastAsia="Arial Nova" w:hAnsi="Arial Nova" w:cs="Arial Nova"/>
          <w:i/>
          <w:iCs/>
          <w:color w:val="000000" w:themeColor="text1"/>
          <w:lang w:val="en-GB"/>
        </w:rPr>
        <w:t>Figure 1: Network Map Illustrating My Career, Social, Support, and Community Connections</w:t>
      </w:r>
    </w:p>
    <w:p w14:paraId="7B922FA6" w14:textId="77777777" w:rsidR="008A24F2" w:rsidRPr="008A24F2" w:rsidRDefault="008A24F2" w:rsidP="008A24F2">
      <w:pPr>
        <w:rPr>
          <w:rFonts w:ascii="Arial Nova" w:eastAsia="Arial Nova" w:hAnsi="Arial Nova" w:cs="Arial Nova"/>
          <w:i/>
          <w:iCs/>
          <w:color w:val="000000" w:themeColor="text1"/>
          <w:lang w:val="en-GB"/>
        </w:rPr>
      </w:pPr>
    </w:p>
    <w:p w14:paraId="323AFC20" w14:textId="77777777" w:rsidR="008A24F2" w:rsidRPr="008A24F2" w:rsidRDefault="008A24F2" w:rsidP="008A24F2">
      <w:pPr>
        <w:rPr>
          <w:rFonts w:ascii="Arial Nova" w:eastAsia="Arial Nova" w:hAnsi="Arial Nova" w:cs="Arial Nova"/>
          <w:i/>
          <w:iCs/>
          <w:color w:val="000000" w:themeColor="text1"/>
          <w:lang w:val="en-GB"/>
        </w:rPr>
      </w:pPr>
    </w:p>
    <w:p w14:paraId="1BE7252E"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 xml:space="preserve">My network can be described as a hybrid network, with strong family and social ties but also some emerging professional and community connections. In the career dimension, I engage with tutors, peers, and mentors who support my academic and professional growth. My support network is strongest, including close family and friends who provide encouragement and stability. The social dimension overlaps with this, consisting of peers </w:t>
      </w:r>
      <w:r w:rsidRPr="008A24F2">
        <w:rPr>
          <w:rFonts w:ascii="Arial" w:eastAsia="Arial Nova" w:hAnsi="Arial" w:cs="Arial Nova"/>
          <w:color w:val="000000" w:themeColor="text1"/>
          <w:lang w:val="en-GB"/>
        </w:rPr>
        <w:lastRenderedPageBreak/>
        <w:t>and acquaintances with whom I share values and experiences. In the community dimension, I participate in volunteering and local activities, though these ties are weaker compared to other areas.</w:t>
      </w:r>
    </w:p>
    <w:p w14:paraId="0D8A091D"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From a social capital perspective, I have strong bonding capital, built on trust and reciprocity with family and close friends (Putnam, 1993). However, my bridging capital—connections with people from different social groups or professions—is limited, restricting my exposure to diverse opportunities. Similarly, my linking capital with organisations or individuals in positions of influence is underdeveloped (Phillips and Ellinas, 2014). This reflects areas I need to strengthen to support my personal brand, which emphasises adaptability, empathy, and professional growth</w:t>
      </w:r>
    </w:p>
    <w:p w14:paraId="038C683E"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Moving forward, I aim to expand bridging and linking ties by joining professional associations, attending networking events, and engaging more actively in community initiatives. This will enhance my employability, resilience, and future career prospects.</w:t>
      </w:r>
    </w:p>
    <w:p w14:paraId="0AD497DD" w14:textId="77777777" w:rsidR="008A24F2" w:rsidRPr="006E6679" w:rsidRDefault="008A24F2" w:rsidP="021F216E">
      <w:pPr>
        <w:rPr>
          <w:rFonts w:ascii="Arial Nova" w:eastAsia="Arial Nova" w:hAnsi="Arial Nova" w:cs="Arial Nova"/>
          <w:i/>
          <w:iCs/>
          <w:color w:val="000000" w:themeColor="text1"/>
          <w:lang w:val="en-GB"/>
        </w:rPr>
      </w:pPr>
    </w:p>
    <w:p w14:paraId="0FE39BA5" w14:textId="590105E7" w:rsidR="021F216E" w:rsidRDefault="021F216E"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3D8E9ECA" w14:textId="511034D3" w:rsidR="32ADAAF6" w:rsidRDefault="00B7418E" w:rsidP="00C5040A">
      <w:pPr>
        <w:pStyle w:val="Heading1"/>
      </w:pPr>
      <w:bookmarkStart w:id="2" w:name="_Toc210251192"/>
      <w:r>
        <w:lastRenderedPageBreak/>
        <w:t>Task 3- Blog</w:t>
      </w:r>
      <w:bookmarkEnd w:id="2"/>
    </w:p>
    <w:p w14:paraId="668F8137" w14:textId="02BD408E" w:rsidR="021F216E"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304C754A" w14:textId="77777777" w:rsidR="008A24F2" w:rsidRPr="008A24F2" w:rsidRDefault="008A24F2" w:rsidP="008A24F2">
      <w:pPr>
        <w:spacing w:line="360" w:lineRule="auto"/>
        <w:jc w:val="both"/>
        <w:rPr>
          <w:rFonts w:ascii="Arial" w:eastAsia="Arial Nova" w:hAnsi="Arial" w:cs="Arial Nova"/>
          <w:b/>
          <w:bCs/>
          <w:color w:val="000000" w:themeColor="text1"/>
          <w:lang w:val="en-GB"/>
        </w:rPr>
      </w:pPr>
      <w:r w:rsidRPr="008A24F2">
        <w:rPr>
          <w:rFonts w:ascii="Arial" w:eastAsia="Arial Nova" w:hAnsi="Arial" w:cs="Arial Nova"/>
          <w:b/>
          <w:bCs/>
          <w:color w:val="000000" w:themeColor="text1"/>
          <w:lang w:val="en-GB"/>
        </w:rPr>
        <w:t>Bridging the Digital Divide in UK Health and Social Care</w:t>
      </w:r>
    </w:p>
    <w:p w14:paraId="003C76F9"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In today’s digital era, technology is transforming health and social care. From online prescriptions to virtual wards, digital tools promise faster, safer, and more efficient care. Yet not everyone is benefitting equally. For many vulnerable people—particularly older adults and those living in rural or deprived areas—digital exclusion is a growing barrier to accessing essential services (Good Things Foundation, 2024).</w:t>
      </w:r>
    </w:p>
    <w:p w14:paraId="2AACCED4"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Take the example of Mr. Jones, a 75-year-old living in a rural village. With diabetes and arthritis, he needs regular monitoring. But without internet access or digital skills, he struggles to use online GP appointments and prescription services. As a result, he risks missed care and delayed treatments, highlighting how digital exclusion can deepen health inequalities (Ofcom, 2025; NHS, 2022).</w:t>
      </w:r>
    </w:p>
    <w:p w14:paraId="4287607A"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This issue matters for health and social care professionals. The NHS Long-Term Plan emphasises digital-first services, but 7% of UK adults remain digitally excluded, with higher rates among older people and low-income families (NHS England, 2023). If these gaps are not addressed, thousands risk being left behind in a system increasingly dependent on technology.</w:t>
      </w:r>
    </w:p>
    <w:p w14:paraId="5E8CF8CB" w14:textId="77777777" w:rsidR="008A24F2" w:rsidRPr="008A24F2" w:rsidRDefault="008A24F2" w:rsidP="008A24F2">
      <w:pPr>
        <w:spacing w:line="360" w:lineRule="auto"/>
        <w:jc w:val="both"/>
        <w:rPr>
          <w:rFonts w:ascii="Arial" w:eastAsia="Arial Nova" w:hAnsi="Arial" w:cs="Arial Nova"/>
          <w:color w:val="000000" w:themeColor="text1"/>
          <w:lang w:val="en-GB"/>
        </w:rPr>
      </w:pPr>
      <w:r w:rsidRPr="008A24F2">
        <w:rPr>
          <w:rFonts w:ascii="Arial" w:eastAsia="Arial Nova" w:hAnsi="Arial" w:cs="Arial Nova"/>
          <w:color w:val="000000" w:themeColor="text1"/>
          <w:lang w:val="en-GB"/>
        </w:rPr>
        <w:t>Practical solutions exist. Local digital literacy programmes, community support groups, and hybrid services combining online and face-to-face care can make healthcare more inclusive. Health professionals also play a role by recognising patients’ individual needs, providing guidance, and signposting support.</w:t>
      </w:r>
    </w:p>
    <w:p w14:paraId="1422809C" w14:textId="613160BB" w:rsidR="021F216E" w:rsidRPr="008A24F2" w:rsidRDefault="008A24F2" w:rsidP="008A24F2">
      <w:pPr>
        <w:spacing w:line="360" w:lineRule="auto"/>
        <w:jc w:val="both"/>
        <w:rPr>
          <w:rFonts w:ascii="Arial" w:eastAsia="Arial Nova" w:hAnsi="Arial" w:cs="Arial Nova"/>
          <w:color w:val="000000" w:themeColor="text1"/>
        </w:rPr>
      </w:pPr>
      <w:r w:rsidRPr="008A24F2">
        <w:rPr>
          <w:rFonts w:ascii="Arial" w:eastAsia="Arial Nova" w:hAnsi="Arial" w:cs="Arial Nova"/>
          <w:color w:val="000000" w:themeColor="text1"/>
          <w:lang w:val="en-GB"/>
        </w:rPr>
        <w:t>As future practitioners, we must champion digital inclusion while staying true to our values of empathy and adaptability. Ensuring technology empowers rather than excludes people will be essential to building a fairer, more person-centred health and social care system. Together, we can bridge the digital divide and create a healthcare system that works for everyone.</w:t>
      </w:r>
    </w:p>
    <w:p w14:paraId="7E7EEBF1" w14:textId="194E46FC" w:rsidR="79E626CA" w:rsidRDefault="79E626CA" w:rsidP="00C5040A">
      <w:pPr>
        <w:pStyle w:val="Heading1"/>
      </w:pPr>
      <w:bookmarkStart w:id="3" w:name="_Toc210251193"/>
      <w:r w:rsidRPr="021F216E">
        <w:lastRenderedPageBreak/>
        <w:t>Task</w:t>
      </w:r>
      <w:r w:rsidR="00B7418E">
        <w:t xml:space="preserve"> 4- </w:t>
      </w:r>
      <w:r w:rsidR="00B7418E" w:rsidRPr="00B7418E">
        <w:t>NHS Equality, Diversity and Inclusion Quiz</w:t>
      </w:r>
      <w:r w:rsidR="003D2038">
        <w:t xml:space="preserve"> </w:t>
      </w:r>
      <w:r w:rsidR="003D2038" w:rsidRPr="003D2038">
        <w:rPr>
          <w:sz w:val="32"/>
          <w:szCs w:val="32"/>
        </w:rPr>
        <w:t>(250 words equivalent)</w:t>
      </w:r>
      <w:bookmarkEnd w:id="3"/>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45748364" w14:textId="77777777" w:rsidR="008A24F2" w:rsidRDefault="008A24F2" w:rsidP="008A24F2">
      <w:pPr>
        <w:pStyle w:val="ListParagraph"/>
        <w:spacing w:line="360" w:lineRule="auto"/>
        <w:rPr>
          <w:rFonts w:ascii="Arial" w:eastAsia="Arial Nova" w:hAnsi="Arial" w:cs="Arial Nova"/>
          <w:bCs/>
          <w:color w:val="000000" w:themeColor="text1"/>
          <w:szCs w:val="44"/>
          <w:lang w:val="en-GB"/>
        </w:rPr>
      </w:pPr>
    </w:p>
    <w:p w14:paraId="17762088" w14:textId="250EE0A1" w:rsidR="0074551A" w:rsidRPr="008A24F2" w:rsidRDefault="008A24F2" w:rsidP="008A24F2">
      <w:pPr>
        <w:pStyle w:val="ListParagraph"/>
        <w:spacing w:line="360" w:lineRule="auto"/>
        <w:rPr>
          <w:rFonts w:ascii="Arial" w:eastAsia="Arial Nova" w:hAnsi="Arial" w:cs="Arial Nova"/>
          <w:bCs/>
          <w:color w:val="000000" w:themeColor="text1"/>
          <w:szCs w:val="44"/>
          <w:lang w:val="en-GB"/>
        </w:rPr>
      </w:pPr>
      <w:r w:rsidRPr="008A24F2">
        <w:rPr>
          <w:rFonts w:ascii="Arial" w:eastAsia="Arial Nova" w:hAnsi="Arial" w:cs="Arial Nova"/>
          <w:bCs/>
          <w:color w:val="000000" w:themeColor="text1"/>
          <w:szCs w:val="44"/>
          <w:lang w:val="en-GB"/>
        </w:rPr>
        <w:t>To create an inclusive NHS workplace where all staff feel a sense of belonging, free from discrimination, so they can thrive and provide the best care for patients.</w:t>
      </w:r>
      <w:r>
        <w:rPr>
          <w:rFonts w:ascii="Arial" w:eastAsia="Arial Nova" w:hAnsi="Arial" w:cs="Arial Nova"/>
          <w:bCs/>
          <w:color w:val="000000" w:themeColor="text1"/>
          <w:szCs w:val="44"/>
          <w:lang w:val="en-GB"/>
        </w:rPr>
        <w:br/>
      </w:r>
    </w:p>
    <w:p w14:paraId="29CAC9B7"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8A0E812" w14:textId="77777777" w:rsidR="008A24F2" w:rsidRDefault="008A24F2" w:rsidP="008A24F2">
      <w:pPr>
        <w:pStyle w:val="ListParagraph"/>
        <w:spacing w:before="100" w:beforeAutospacing="1" w:after="100" w:afterAutospacing="1" w:line="240" w:lineRule="auto"/>
        <w:rPr>
          <w:rFonts w:ascii="Arial" w:eastAsia="Arial Nova" w:hAnsi="Arial" w:cs="Arial Nova"/>
          <w:bCs/>
          <w:color w:val="000000" w:themeColor="text1"/>
          <w:szCs w:val="44"/>
          <w:lang w:val="en-GB"/>
        </w:rPr>
      </w:pPr>
    </w:p>
    <w:p w14:paraId="06D9F4CC" w14:textId="1FF3ACF8" w:rsidR="008A24F2" w:rsidRPr="00186C85" w:rsidRDefault="008A24F2" w:rsidP="008A24F2">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t xml:space="preserve">By implementing the </w:t>
      </w:r>
      <w:r w:rsidRPr="00281BE6">
        <w:rPr>
          <w:rFonts w:ascii="Arial" w:eastAsia="Arial Nova" w:hAnsi="Arial" w:cs="Arial Nova"/>
          <w:bCs/>
          <w:i/>
          <w:iCs/>
          <w:color w:val="000000" w:themeColor="text1"/>
          <w:szCs w:val="44"/>
          <w:lang w:val="en-GB"/>
        </w:rPr>
        <w:t>Mend the Gap</w:t>
      </w:r>
      <w:r w:rsidRPr="00281BE6">
        <w:rPr>
          <w:rFonts w:ascii="Arial" w:eastAsia="Arial Nova" w:hAnsi="Arial" w:cs="Arial Nova"/>
          <w:bCs/>
          <w:color w:val="000000" w:themeColor="text1"/>
          <w:szCs w:val="44"/>
          <w:lang w:val="en-GB"/>
        </w:rPr>
        <w:t xml:space="preserve"> review recommendations, analysing pay data, and promoting flexible working to reduce gender, race, and disability pay inequalities</w:t>
      </w:r>
      <w:r>
        <w:rPr>
          <w:rFonts w:ascii="Arial" w:eastAsia="Arial Nova" w:hAnsi="Arial" w:cs="Arial Nova"/>
          <w:bCs/>
          <w:color w:val="000000" w:themeColor="text1"/>
          <w:szCs w:val="44"/>
          <w:lang w:val="en-GB"/>
        </w:rPr>
        <w:t>.</w:t>
      </w:r>
      <w:r>
        <w:rPr>
          <w:rFonts w:ascii="Arial" w:eastAsia="Arial Nova" w:hAnsi="Arial" w:cs="Arial Nova"/>
          <w:bCs/>
          <w:color w:val="000000" w:themeColor="text1"/>
          <w:szCs w:val="44"/>
          <w:lang w:val="en-GB"/>
        </w:rPr>
        <w:br/>
      </w:r>
    </w:p>
    <w:p w14:paraId="47986C62"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6FD34CD" w14:textId="77777777" w:rsidR="008A24F2" w:rsidRDefault="008A24F2" w:rsidP="008A24F2">
      <w:pPr>
        <w:pStyle w:val="ListParagraph"/>
        <w:spacing w:before="100" w:beforeAutospacing="1" w:after="100" w:afterAutospacing="1" w:line="240" w:lineRule="auto"/>
        <w:rPr>
          <w:rFonts w:asciiTheme="minorBidi" w:eastAsia="Times New Roman" w:hAnsiTheme="minorBidi"/>
          <w:b/>
          <w:bCs/>
        </w:rPr>
      </w:pPr>
    </w:p>
    <w:p w14:paraId="24F3C47A" w14:textId="6B93A8BA" w:rsidR="008A24F2" w:rsidRPr="00186C85" w:rsidRDefault="008A24F2" w:rsidP="008A24F2">
      <w:pPr>
        <w:pStyle w:val="ListParagraph"/>
        <w:spacing w:before="100" w:beforeAutospacing="1" w:after="100" w:afterAutospacing="1" w:line="360" w:lineRule="auto"/>
        <w:rPr>
          <w:rFonts w:asciiTheme="minorBidi" w:eastAsia="Times New Roman" w:hAnsiTheme="minorBidi"/>
        </w:rPr>
      </w:pPr>
      <w:r w:rsidRPr="00281BE6">
        <w:rPr>
          <w:rFonts w:ascii="Arial" w:eastAsia="Arial Nova" w:hAnsi="Arial" w:cs="Arial Nova"/>
          <w:bCs/>
          <w:color w:val="000000" w:themeColor="text1"/>
          <w:szCs w:val="44"/>
          <w:lang w:val="en-GB"/>
        </w:rPr>
        <w:t>Intersectionality recognises that people have multiple, overlapping identities, and that inequalities or disadvantages often combine to create unique barriers</w:t>
      </w:r>
      <w:r>
        <w:rPr>
          <w:rFonts w:ascii="Arial" w:eastAsia="Arial Nova" w:hAnsi="Arial" w:cs="Arial Nova"/>
          <w:bCs/>
          <w:color w:val="000000" w:themeColor="text1"/>
          <w:szCs w:val="44"/>
          <w:lang w:val="en-GB"/>
        </w:rPr>
        <w:t>.</w:t>
      </w:r>
      <w:r>
        <w:rPr>
          <w:rFonts w:ascii="Arial" w:eastAsia="Arial Nova" w:hAnsi="Arial" w:cs="Arial Nova"/>
          <w:bCs/>
          <w:color w:val="000000" w:themeColor="text1"/>
          <w:szCs w:val="44"/>
          <w:lang w:val="en-GB"/>
        </w:rPr>
        <w:br/>
      </w:r>
    </w:p>
    <w:p w14:paraId="02012AF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1C1B306E" w:rsidR="0074551A" w:rsidRPr="007C3164" w:rsidRDefault="008A24F2" w:rsidP="008A24F2">
      <w:pPr>
        <w:pStyle w:val="ListParagraph"/>
        <w:spacing w:before="100" w:beforeAutospacing="1" w:after="100" w:afterAutospacing="1" w:line="360" w:lineRule="auto"/>
        <w:rPr>
          <w:rFonts w:asciiTheme="minorBidi" w:eastAsia="Times New Roman" w:hAnsiTheme="minorBidi"/>
        </w:rPr>
      </w:pPr>
      <w:r w:rsidRPr="00281BE6">
        <w:rPr>
          <w:rFonts w:ascii="Arial" w:eastAsia="Arial Nova" w:hAnsi="Arial" w:cs="Arial Nova"/>
          <w:bCs/>
          <w:color w:val="000000" w:themeColor="text1"/>
          <w:szCs w:val="44"/>
          <w:lang w:val="en-GB"/>
        </w:rPr>
        <w:t>Because it allows staff to speak up, admit mistakes, and raise concerns without fear, leading to better morale, safer care, and improved patient outcomes</w:t>
      </w:r>
      <w:r>
        <w:rPr>
          <w:rFonts w:ascii="Arial" w:eastAsia="Arial Nova" w:hAnsi="Arial" w:cs="Arial Nova"/>
          <w:bCs/>
          <w:color w:val="000000" w:themeColor="text1"/>
          <w:szCs w:val="44"/>
          <w:lang w:val="en-GB"/>
        </w:rPr>
        <w:t>.</w:t>
      </w:r>
      <w:r>
        <w:rPr>
          <w:rFonts w:ascii="Arial" w:eastAsia="Arial Nova" w:hAnsi="Arial" w:cs="Arial Nova"/>
          <w:bCs/>
          <w:color w:val="000000" w:themeColor="text1"/>
          <w:szCs w:val="44"/>
          <w:lang w:val="en-GB"/>
        </w:rPr>
        <w:br/>
      </w:r>
    </w:p>
    <w:p w14:paraId="2D37105B" w14:textId="77777777" w:rsidR="0074551A" w:rsidRPr="00747A88"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441749" w14:textId="77777777" w:rsidR="00747A88" w:rsidRPr="008A24F2" w:rsidRDefault="00747A88" w:rsidP="00747A88">
      <w:pPr>
        <w:pStyle w:val="ListParagraph"/>
        <w:spacing w:before="100" w:beforeAutospacing="1" w:after="100" w:afterAutospacing="1" w:line="240" w:lineRule="auto"/>
        <w:rPr>
          <w:rFonts w:asciiTheme="minorBidi" w:eastAsia="Times New Roman" w:hAnsiTheme="minorBidi"/>
        </w:rPr>
      </w:pPr>
    </w:p>
    <w:p w14:paraId="536C0743" w14:textId="77777777" w:rsidR="008A24F2" w:rsidRPr="008A24F2" w:rsidRDefault="008A24F2" w:rsidP="008A24F2">
      <w:pPr>
        <w:pStyle w:val="ListParagraph"/>
        <w:spacing w:line="360" w:lineRule="auto"/>
        <w:jc w:val="both"/>
        <w:rPr>
          <w:rFonts w:ascii="Arial" w:eastAsia="Arial Nova" w:hAnsi="Arial" w:cs="Arial Nova"/>
          <w:bCs/>
          <w:color w:val="000000" w:themeColor="text1"/>
          <w:szCs w:val="44"/>
          <w:lang w:val="en-GB"/>
        </w:rPr>
      </w:pPr>
      <w:r w:rsidRPr="008A24F2">
        <w:rPr>
          <w:rFonts w:ascii="Arial" w:eastAsia="Arial Nova" w:hAnsi="Arial" w:cs="Arial Nova"/>
          <w:bCs/>
          <w:color w:val="000000" w:themeColor="text1"/>
          <w:szCs w:val="44"/>
          <w:lang w:val="en-GB"/>
        </w:rPr>
        <w:lastRenderedPageBreak/>
        <w:t>Through comprehensive induction, onboarding, pastoral support, cultural awareness in teams, and equal access to career development opportunities.</w:t>
      </w:r>
    </w:p>
    <w:p w14:paraId="6DD9B119" w14:textId="77777777" w:rsidR="008A24F2" w:rsidRPr="00186C85" w:rsidRDefault="008A24F2" w:rsidP="008A24F2">
      <w:pPr>
        <w:pStyle w:val="ListParagraph"/>
        <w:spacing w:before="100" w:beforeAutospacing="1" w:after="100" w:afterAutospacing="1" w:line="240" w:lineRule="auto"/>
        <w:rPr>
          <w:rFonts w:asciiTheme="minorBidi" w:eastAsia="Times New Roman" w:hAnsiTheme="minorBidi"/>
        </w:rPr>
      </w:pPr>
    </w:p>
    <w:p w14:paraId="6B0F6E95"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020D868" w14:textId="77777777" w:rsidR="008A24F2" w:rsidRDefault="008A24F2" w:rsidP="008A24F2">
      <w:pPr>
        <w:pStyle w:val="ListParagraph"/>
        <w:spacing w:before="100" w:beforeAutospacing="1" w:after="100" w:afterAutospacing="1" w:line="240" w:lineRule="auto"/>
        <w:rPr>
          <w:rFonts w:ascii="Arial" w:eastAsia="Arial Nova" w:hAnsi="Arial" w:cs="Arial Nova"/>
          <w:bCs/>
          <w:color w:val="000000" w:themeColor="text1"/>
          <w:szCs w:val="44"/>
          <w:lang w:val="en-GB"/>
        </w:rPr>
      </w:pPr>
    </w:p>
    <w:p w14:paraId="7C982128" w14:textId="6690E7FE" w:rsidR="008A24F2" w:rsidRPr="00174F75" w:rsidRDefault="008A24F2" w:rsidP="008A24F2">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t>Leaders set the culture and are held accountable for specific EDI objectives, ensuring inclusive behaviours are embedded across NHS organisations</w:t>
      </w:r>
      <w:r>
        <w:rPr>
          <w:rFonts w:ascii="Arial" w:eastAsia="Arial Nova" w:hAnsi="Arial" w:cs="Arial Nova"/>
          <w:bCs/>
          <w:color w:val="000000" w:themeColor="text1"/>
          <w:szCs w:val="44"/>
          <w:lang w:val="en-GB"/>
        </w:rPr>
        <w: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EA5FA9C" w14:textId="77777777" w:rsidR="008A24F2" w:rsidRDefault="008A24F2" w:rsidP="008A24F2">
      <w:pPr>
        <w:pStyle w:val="ListParagraph"/>
        <w:spacing w:before="100" w:beforeAutospacing="1" w:after="100" w:afterAutospacing="1" w:line="240" w:lineRule="auto"/>
        <w:rPr>
          <w:rFonts w:asciiTheme="minorBidi" w:eastAsia="Times New Roman" w:hAnsiTheme="minorBidi"/>
          <w:b/>
          <w:bCs/>
        </w:rPr>
      </w:pPr>
    </w:p>
    <w:p w14:paraId="37D44EBF" w14:textId="66DDBE4A" w:rsidR="008A24F2" w:rsidRPr="00186C85" w:rsidRDefault="008A24F2" w:rsidP="008A24F2">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t>By reducing bullying and harassment, promoting staff wellbeing, and working with community partners to support fair employment and social mobility.</w:t>
      </w:r>
    </w:p>
    <w:p w14:paraId="362C11E4"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2A8172C1" w14:textId="77777777" w:rsidR="0074551A" w:rsidRPr="008A24F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03102954" w14:textId="77777777" w:rsidR="008A24F2" w:rsidRDefault="008A24F2" w:rsidP="008A24F2">
      <w:pPr>
        <w:pStyle w:val="ListParagraph"/>
        <w:spacing w:before="100" w:beforeAutospacing="1" w:after="100" w:afterAutospacing="1" w:line="240" w:lineRule="auto"/>
        <w:rPr>
          <w:rFonts w:ascii="Arial" w:eastAsia="Arial Nova" w:hAnsi="Arial" w:cs="Arial Nova"/>
          <w:bCs/>
          <w:color w:val="000000" w:themeColor="text1"/>
          <w:szCs w:val="44"/>
          <w:lang w:val="en-GB"/>
        </w:rPr>
      </w:pPr>
    </w:p>
    <w:p w14:paraId="530B291A" w14:textId="377E4B01" w:rsidR="008A24F2" w:rsidRPr="00174F75" w:rsidRDefault="008A24F2" w:rsidP="008A24F2">
      <w:pPr>
        <w:pStyle w:val="ListParagraph"/>
        <w:spacing w:before="100" w:beforeAutospacing="1" w:after="100" w:afterAutospacing="1" w:line="360" w:lineRule="auto"/>
        <w:rPr>
          <w:rFonts w:asciiTheme="minorBidi" w:eastAsia="Times New Roman" w:hAnsiTheme="minorBidi"/>
        </w:rPr>
      </w:pPr>
      <w:r w:rsidRPr="00281BE6">
        <w:rPr>
          <w:rFonts w:ascii="Arial" w:eastAsia="Arial Nova" w:hAnsi="Arial" w:cs="Arial Nova"/>
          <w:bCs/>
          <w:color w:val="000000" w:themeColor="text1"/>
          <w:szCs w:val="44"/>
          <w:lang w:val="en-GB"/>
        </w:rPr>
        <w:t>Because reliable data helps identify inequalities, monitor progress, and ensure accountability in improving staff experiences and outcomes</w:t>
      </w:r>
      <w:r>
        <w:rPr>
          <w:rFonts w:ascii="Arial" w:eastAsia="Arial Nova" w:hAnsi="Arial" w:cs="Arial Nova"/>
          <w:bCs/>
          <w:color w:val="000000" w:themeColor="text1"/>
          <w:szCs w:val="44"/>
          <w:lang w:val="en-GB"/>
        </w:rPr>
        <w:t>.</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E82A4B3" w14:textId="74F553E5" w:rsidR="008A24F2" w:rsidRDefault="008A24F2" w:rsidP="008A24F2">
      <w:pPr>
        <w:pStyle w:val="ListParagraph"/>
        <w:spacing w:before="100" w:beforeAutospacing="1" w:after="100" w:afterAutospacing="1" w:line="360" w:lineRule="auto"/>
        <w:jc w:val="both"/>
        <w:rPr>
          <w:rFonts w:ascii="Arial" w:eastAsia="Arial Nova" w:hAnsi="Arial" w:cs="Arial Nova"/>
          <w:bCs/>
          <w:color w:val="000000" w:themeColor="text1"/>
          <w:szCs w:val="44"/>
          <w:lang w:val="en-GB"/>
        </w:rPr>
      </w:pPr>
      <w:r w:rsidRPr="00281BE6">
        <w:rPr>
          <w:rFonts w:ascii="Arial" w:eastAsia="Arial Nova" w:hAnsi="Arial" w:cs="Arial Nova"/>
          <w:bCs/>
          <w:color w:val="000000" w:themeColor="text1"/>
          <w:szCs w:val="44"/>
          <w:lang w:val="en-GB"/>
        </w:rPr>
        <w:t>Flexible working supports work–life balance, helps staff manage caring responsibilities, and improves retention by making roles accessible to a wider, more diverse workforce</w:t>
      </w:r>
      <w:r>
        <w:rPr>
          <w:rFonts w:ascii="Arial" w:eastAsia="Arial Nova" w:hAnsi="Arial" w:cs="Arial Nova"/>
          <w:bCs/>
          <w:color w:val="000000" w:themeColor="text1"/>
          <w:szCs w:val="44"/>
          <w:lang w:val="en-GB"/>
        </w:rPr>
        <w:t>.</w:t>
      </w:r>
    </w:p>
    <w:p w14:paraId="2334E7DA" w14:textId="77777777" w:rsidR="008A24F2" w:rsidRPr="007C3164" w:rsidRDefault="008A24F2" w:rsidP="008A24F2">
      <w:pPr>
        <w:pStyle w:val="ListParagraph"/>
        <w:spacing w:before="100" w:beforeAutospacing="1" w:after="100" w:afterAutospacing="1" w:line="360" w:lineRule="auto"/>
        <w:jc w:val="both"/>
        <w:rPr>
          <w:rFonts w:asciiTheme="minorBidi" w:eastAsia="Times New Roman" w:hAnsiTheme="minorBidi"/>
        </w:rPr>
      </w:pPr>
    </w:p>
    <w:p w14:paraId="416D31DA" w14:textId="77777777" w:rsidR="0074551A" w:rsidRPr="00F91C6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B3FDBB2" w14:textId="77777777" w:rsidR="00F91C62" w:rsidRPr="008A24F2" w:rsidRDefault="00F91C62" w:rsidP="00F91C62">
      <w:pPr>
        <w:pStyle w:val="ListParagraph"/>
        <w:spacing w:before="100" w:beforeAutospacing="1" w:after="100" w:afterAutospacing="1" w:line="240" w:lineRule="auto"/>
        <w:rPr>
          <w:rFonts w:asciiTheme="minorBidi" w:eastAsia="Times New Roman" w:hAnsiTheme="minorBidi"/>
        </w:rPr>
      </w:pPr>
    </w:p>
    <w:p w14:paraId="0DDFC666" w14:textId="5CCADEB1" w:rsidR="008A24F2" w:rsidRPr="00186C85" w:rsidRDefault="008A24F2" w:rsidP="0077469F">
      <w:pPr>
        <w:pStyle w:val="ListParagraph"/>
        <w:spacing w:before="100" w:beforeAutospacing="1" w:after="100" w:afterAutospacing="1" w:line="360" w:lineRule="auto"/>
        <w:jc w:val="both"/>
        <w:rPr>
          <w:rFonts w:asciiTheme="minorBidi" w:eastAsia="Times New Roman" w:hAnsiTheme="minorBidi"/>
        </w:rPr>
      </w:pPr>
      <w:r w:rsidRPr="00281BE6">
        <w:rPr>
          <w:rFonts w:ascii="Arial" w:eastAsia="Arial Nova" w:hAnsi="Arial" w:cs="Arial Nova"/>
          <w:bCs/>
          <w:color w:val="000000" w:themeColor="text1"/>
          <w:szCs w:val="44"/>
          <w:lang w:val="en-GB"/>
        </w:rPr>
        <w:lastRenderedPageBreak/>
        <w:t>The plan requires proactive interventions such as reviewing staff survey data, setting reduction targets, offering psychological support, and creating safe mechanisms for raising concerns</w:t>
      </w:r>
    </w:p>
    <w:p w14:paraId="6578F6D8" w14:textId="687B7DC4" w:rsidR="021F216E" w:rsidRPr="0074551A" w:rsidRDefault="021F216E" w:rsidP="021F216E">
      <w:pPr>
        <w:rPr>
          <w:rFonts w:ascii="Arial Nova" w:eastAsia="Arial Nova" w:hAnsi="Arial Nova" w:cs="Arial Nova"/>
          <w:color w:val="000000" w:themeColor="text1"/>
        </w:rPr>
      </w:pPr>
    </w:p>
    <w:p w14:paraId="5D9E58E1" w14:textId="1EC49AD0" w:rsidR="00747A88" w:rsidRDefault="00747A88">
      <w:pPr>
        <w:rPr>
          <w:rFonts w:asciiTheme="majorHAnsi" w:eastAsiaTheme="majorEastAsia" w:hAnsiTheme="majorHAnsi" w:cstheme="majorBidi"/>
          <w:color w:val="0F4761" w:themeColor="accent1" w:themeShade="BF"/>
          <w:sz w:val="40"/>
          <w:szCs w:val="40"/>
        </w:rPr>
      </w:pPr>
      <w:bookmarkStart w:id="4" w:name="_Toc210251194"/>
      <w:r>
        <w:br w:type="page"/>
      </w:r>
    </w:p>
    <w:p w14:paraId="2BCA736C" w14:textId="1EC49AD0" w:rsidR="79E626CA" w:rsidRDefault="0074551A" w:rsidP="00C5040A">
      <w:pPr>
        <w:pStyle w:val="Heading1"/>
      </w:pPr>
      <w:r>
        <w:lastRenderedPageBreak/>
        <w:t>Task 5- A Letter to Yourself</w:t>
      </w:r>
      <w:bookmarkEnd w:id="4"/>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21F216E">
      <w:pPr>
        <w:spacing w:after="0"/>
        <w:rPr>
          <w:rFonts w:ascii="Arial Nova" w:eastAsia="Arial Nova" w:hAnsi="Arial Nova" w:cs="Arial Nova"/>
          <w:i/>
          <w:iCs/>
          <w:color w:val="000000" w:themeColor="text1"/>
        </w:rPr>
      </w:pPr>
    </w:p>
    <w:p w14:paraId="46F82EC3" w14:textId="77777777" w:rsidR="00273079" w:rsidRPr="008571FE" w:rsidRDefault="00273079" w:rsidP="00273079">
      <w:pPr>
        <w:spacing w:line="360" w:lineRule="auto"/>
        <w:jc w:val="both"/>
        <w:rPr>
          <w:rFonts w:ascii="Arial" w:hAnsi="Arial"/>
        </w:rPr>
      </w:pPr>
      <w:r w:rsidRPr="008571FE">
        <w:rPr>
          <w:rFonts w:ascii="Arial" w:hAnsi="Arial"/>
        </w:rPr>
        <w:t>Dear Younger Me,</w:t>
      </w:r>
    </w:p>
    <w:p w14:paraId="3A26BAAB" w14:textId="77777777" w:rsidR="00273079" w:rsidRPr="008571FE" w:rsidRDefault="00273079" w:rsidP="00273079">
      <w:pPr>
        <w:spacing w:line="360" w:lineRule="auto"/>
        <w:jc w:val="both"/>
        <w:rPr>
          <w:rFonts w:ascii="Arial" w:hAnsi="Arial"/>
        </w:rPr>
      </w:pPr>
      <w:r w:rsidRPr="008571FE">
        <w:rPr>
          <w:rFonts w:ascii="Arial" w:hAnsi="Arial"/>
        </w:rPr>
        <w:t>I remember the period when you felt overwhelmed by academic pressures and personal challenges. You often neglected your wellbeing, thinking that pushing through without rest was the only way to succeed. What you didn’t realise then is that emotional intelligence and resilience could have helped you cope more effectively.</w:t>
      </w:r>
    </w:p>
    <w:p w14:paraId="7AD40510" w14:textId="77777777" w:rsidR="00273079" w:rsidRPr="008571FE" w:rsidRDefault="00273079" w:rsidP="00273079">
      <w:pPr>
        <w:spacing w:line="360" w:lineRule="auto"/>
        <w:jc w:val="both"/>
        <w:rPr>
          <w:rFonts w:ascii="Arial" w:hAnsi="Arial"/>
        </w:rPr>
      </w:pPr>
      <w:r w:rsidRPr="008571FE">
        <w:rPr>
          <w:rFonts w:ascii="Arial" w:hAnsi="Arial"/>
        </w:rPr>
        <w:t>Emotional intelligence involves recognising and managing your own emotions, while also understanding those of others (Wadkar, 2023). If you had paused to label your feelings instead of bottling them up, you could have made clearer decisions and built stronger connections with those around you. For example, showing empathy and self-regulation would have reduced conflict and improved your confidence (Lewis &amp; Bolton, 2023).</w:t>
      </w:r>
    </w:p>
    <w:p w14:paraId="32D339F0" w14:textId="77777777" w:rsidR="00273079" w:rsidRPr="008571FE" w:rsidRDefault="00273079" w:rsidP="00273079">
      <w:pPr>
        <w:spacing w:line="360" w:lineRule="auto"/>
        <w:jc w:val="both"/>
        <w:rPr>
          <w:rFonts w:ascii="Arial" w:hAnsi="Arial"/>
        </w:rPr>
      </w:pPr>
      <w:r w:rsidRPr="008571FE">
        <w:rPr>
          <w:rFonts w:ascii="Arial" w:hAnsi="Arial"/>
        </w:rPr>
        <w:t>Resilience, too, would have been invaluable. It is not just about “toughing it out” but about adapting positively to challenges (Herrman et al., 2021). By using strategies like problem-solving, seeking support, and maintaining perspective (Skills for Care, 2020), you could have recovered faster from setbacks instead of doubting your abilities. Even simple wellbeing practices such as regular exercise, relaxation, and setting work-life boundaries would have helped you maintain balance (World Health Organization, 2023).</w:t>
      </w:r>
    </w:p>
    <w:p w14:paraId="6C62813B" w14:textId="77777777" w:rsidR="00273079" w:rsidRPr="008571FE" w:rsidRDefault="00273079" w:rsidP="00273079">
      <w:pPr>
        <w:spacing w:line="360" w:lineRule="auto"/>
        <w:jc w:val="both"/>
        <w:rPr>
          <w:rFonts w:ascii="Arial" w:hAnsi="Arial"/>
        </w:rPr>
      </w:pPr>
      <w:r w:rsidRPr="008571FE">
        <w:rPr>
          <w:rFonts w:ascii="Arial" w:hAnsi="Arial"/>
        </w:rPr>
        <w:t>If you had embraced these skills earlier, you would have seen struggles not as failures but as opportunities for growth. Remember, resilience is contagious, and developing emotional intelligence equips you to thrive both personally and professionally.</w:t>
      </w:r>
    </w:p>
    <w:p w14:paraId="1A04947F" w14:textId="77777777" w:rsidR="00273079" w:rsidRPr="008571FE" w:rsidRDefault="00273079" w:rsidP="00273079">
      <w:pPr>
        <w:spacing w:line="360" w:lineRule="auto"/>
        <w:jc w:val="both"/>
        <w:rPr>
          <w:rFonts w:ascii="Arial" w:hAnsi="Arial"/>
        </w:rPr>
      </w:pPr>
      <w:r w:rsidRPr="008571FE">
        <w:rPr>
          <w:rFonts w:ascii="Arial" w:hAnsi="Arial"/>
        </w:rPr>
        <w:t>With compassion and encouragement,</w:t>
      </w:r>
    </w:p>
    <w:p w14:paraId="7C58E8EF" w14:textId="3CC17A85" w:rsidR="0074551A" w:rsidRDefault="00273079" w:rsidP="00273079">
      <w:pPr>
        <w:spacing w:after="0"/>
        <w:rPr>
          <w:rFonts w:ascii="Arial Nova" w:eastAsia="Arial Nova" w:hAnsi="Arial Nova" w:cs="Arial Nova"/>
          <w:i/>
          <w:iCs/>
          <w:color w:val="000000" w:themeColor="text1"/>
        </w:rPr>
      </w:pPr>
      <w:r w:rsidRPr="008571FE">
        <w:rPr>
          <w:rFonts w:ascii="Arial" w:hAnsi="Arial"/>
        </w:rPr>
        <w:t>Your Older Self</w:t>
      </w:r>
    </w:p>
    <w:p w14:paraId="197E20EE" w14:textId="77777777" w:rsidR="0074551A" w:rsidRDefault="0074551A" w:rsidP="021F216E">
      <w:pPr>
        <w:spacing w:after="0"/>
        <w:rPr>
          <w:rFonts w:ascii="Arial Nova" w:eastAsia="Arial Nova" w:hAnsi="Arial Nova" w:cs="Arial Nova"/>
          <w:i/>
          <w:iCs/>
          <w:color w:val="000000" w:themeColor="text1"/>
        </w:rPr>
      </w:pPr>
    </w:p>
    <w:p w14:paraId="405FAE50" w14:textId="1E9D05EE" w:rsidR="00D17D41" w:rsidRDefault="0074551A" w:rsidP="00C5040A">
      <w:pPr>
        <w:pStyle w:val="Heading1"/>
        <w:rPr>
          <w:i/>
          <w:iCs/>
          <w:color w:val="FF0000"/>
        </w:rPr>
      </w:pPr>
      <w:bookmarkStart w:id="5" w:name="_Toc210251195"/>
      <w:r>
        <w:lastRenderedPageBreak/>
        <w:t>Task 6- GANTT Chart</w:t>
      </w:r>
      <w:r w:rsidR="00D17D41">
        <w:t xml:space="preserve"> (200 words equivalent)</w:t>
      </w:r>
      <w:bookmarkEnd w:id="5"/>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Compile a Gantt chart which illustrates the tasks you have to complete to achieve your future employment goals</w:t>
      </w:r>
    </w:p>
    <w:p w14:paraId="4BE2102F" w14:textId="77777777" w:rsidR="00AE1D30" w:rsidRPr="00AE1D30" w:rsidRDefault="00AE1D30" w:rsidP="00AE1D30">
      <w:pPr>
        <w:rPr>
          <w:rFonts w:ascii="Arial" w:eastAsia="Arial Nova" w:hAnsi="Arial" w:cs="Arial Nova"/>
        </w:rPr>
      </w:pPr>
      <w:r w:rsidRPr="00AE1D30">
        <w:rPr>
          <w:rFonts w:ascii="Arial" w:eastAsia="Arial Nova" w:hAnsi="Arial" w:cs="Arial Nova"/>
        </w:rPr>
        <w:t>Planned Activities and Timeline for Career Development in Health and Social Care</w:t>
      </w:r>
    </w:p>
    <w:p w14:paraId="3A93C852" w14:textId="77777777" w:rsidR="00AE1D30" w:rsidRPr="00D17D41" w:rsidRDefault="00AE1D30" w:rsidP="00AE1D30">
      <w:pPr>
        <w:rPr>
          <w:rFonts w:ascii="Arial Nova" w:eastAsia="Arial Nova" w:hAnsi="Arial Nova" w:cs="Arial Nova"/>
          <w:i/>
          <w:iCs/>
          <w:color w:val="FF0000"/>
        </w:rPr>
      </w:pPr>
    </w:p>
    <w:p w14:paraId="5278C52F" w14:textId="77777777" w:rsidR="00AE1D30" w:rsidRDefault="00AE1D30" w:rsidP="00AE1D30">
      <w:pPr>
        <w:keepNext/>
      </w:pPr>
      <w:r>
        <w:rPr>
          <w:noProof/>
          <w14:ligatures w14:val="standardContextual"/>
        </w:rPr>
        <w:drawing>
          <wp:inline distT="0" distB="0" distL="0" distR="0" wp14:anchorId="4B79B8B0" wp14:editId="17AF0C62">
            <wp:extent cx="5571429" cy="3219048"/>
            <wp:effectExtent l="0" t="0" r="0" b="635"/>
            <wp:docPr id="50326985" name="Picture 1"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6985" name="Picture 1" descr="A graph with orange lines&#10;&#10;AI-generated content may be incorrect."/>
                    <pic:cNvPicPr/>
                  </pic:nvPicPr>
                  <pic:blipFill>
                    <a:blip r:embed="rId10"/>
                    <a:stretch>
                      <a:fillRect/>
                    </a:stretch>
                  </pic:blipFill>
                  <pic:spPr>
                    <a:xfrm>
                      <a:off x="0" y="0"/>
                      <a:ext cx="5571429" cy="3219048"/>
                    </a:xfrm>
                    <a:prstGeom prst="rect">
                      <a:avLst/>
                    </a:prstGeom>
                  </pic:spPr>
                </pic:pic>
              </a:graphicData>
            </a:graphic>
          </wp:inline>
        </w:drawing>
      </w:r>
    </w:p>
    <w:p w14:paraId="239951C1" w14:textId="7EFE2599" w:rsidR="00AE1D30" w:rsidRPr="006C7ABF" w:rsidRDefault="00AE1D30" w:rsidP="00AE1D30">
      <w:pPr>
        <w:rPr>
          <w:i/>
          <w:iCs/>
          <w:color w:val="156082" w:themeColor="accent1"/>
          <w:sz w:val="22"/>
          <w:szCs w:val="22"/>
        </w:rPr>
      </w:pPr>
      <w:r w:rsidRPr="006C7ABF">
        <w:rPr>
          <w:i/>
          <w:iCs/>
          <w:color w:val="156082" w:themeColor="accent1"/>
          <w:sz w:val="22"/>
          <w:szCs w:val="22"/>
        </w:rPr>
        <w:t xml:space="preserve">Figure </w:t>
      </w:r>
      <w:r w:rsidRPr="006C7ABF">
        <w:rPr>
          <w:i/>
          <w:iCs/>
          <w:color w:val="156082" w:themeColor="accent1"/>
          <w:sz w:val="22"/>
          <w:szCs w:val="22"/>
        </w:rPr>
        <w:fldChar w:fldCharType="begin"/>
      </w:r>
      <w:r w:rsidRPr="006C7ABF">
        <w:rPr>
          <w:i/>
          <w:iCs/>
          <w:color w:val="156082" w:themeColor="accent1"/>
          <w:sz w:val="22"/>
          <w:szCs w:val="22"/>
        </w:rPr>
        <w:instrText xml:space="preserve"> SEQ Figure \* ARABIC </w:instrText>
      </w:r>
      <w:r w:rsidRPr="006C7ABF">
        <w:rPr>
          <w:i/>
          <w:iCs/>
          <w:color w:val="156082" w:themeColor="accent1"/>
          <w:sz w:val="22"/>
          <w:szCs w:val="22"/>
        </w:rPr>
        <w:fldChar w:fldCharType="separate"/>
      </w:r>
      <w:r w:rsidRPr="006C7ABF">
        <w:rPr>
          <w:i/>
          <w:iCs/>
          <w:noProof/>
          <w:color w:val="156082" w:themeColor="accent1"/>
          <w:sz w:val="22"/>
          <w:szCs w:val="22"/>
        </w:rPr>
        <w:t>1</w:t>
      </w:r>
      <w:r w:rsidRPr="006C7ABF">
        <w:rPr>
          <w:i/>
          <w:iCs/>
          <w:color w:val="156082" w:themeColor="accent1"/>
          <w:sz w:val="22"/>
          <w:szCs w:val="22"/>
        </w:rPr>
        <w:fldChar w:fldCharType="end"/>
      </w:r>
      <w:r w:rsidRPr="006C7ABF">
        <w:rPr>
          <w:i/>
          <w:iCs/>
          <w:color w:val="156082" w:themeColor="accent1"/>
          <w:sz w:val="22"/>
          <w:szCs w:val="22"/>
        </w:rPr>
        <w:t xml:space="preserve">:Gantt chart illustrating the key tasks and timeline for achieving my future employment goals in Health and Social Care. </w:t>
      </w:r>
    </w:p>
    <w:p w14:paraId="20833621" w14:textId="4D4C30EF" w:rsidR="006C7ABF" w:rsidRPr="006C7ABF" w:rsidRDefault="006C7ABF" w:rsidP="006C7ABF">
      <w:pPr>
        <w:jc w:val="both"/>
        <w:rPr>
          <w:rFonts w:ascii="Arial" w:hAnsi="Arial"/>
          <w:lang w:val="en-GB"/>
        </w:rPr>
      </w:pPr>
      <w:r w:rsidRPr="006C7ABF">
        <w:rPr>
          <w:rFonts w:ascii="Arial" w:hAnsi="Arial"/>
          <w:lang w:val="en-GB"/>
        </w:rPr>
        <w:t xml:space="preserve">The Gantt chart </w:t>
      </w:r>
      <w:r w:rsidRPr="006C7ABF">
        <w:rPr>
          <w:rFonts w:ascii="Arial" w:hAnsi="Arial"/>
          <w:lang w:val="en-GB"/>
        </w:rPr>
        <w:t>above</w:t>
      </w:r>
      <w:r w:rsidRPr="006C7ABF">
        <w:rPr>
          <w:rFonts w:ascii="Arial" w:hAnsi="Arial"/>
          <w:lang w:val="en-GB"/>
        </w:rPr>
        <w:t xml:space="preserve"> shows my plan for achieving my career goals in the health and social care sector. It outlines key steps and the timeline I will follow over the next 12 months to develop my personal and professional skills.</w:t>
      </w:r>
    </w:p>
    <w:p w14:paraId="64C0470F" w14:textId="77777777" w:rsidR="006C7ABF" w:rsidRPr="006C7ABF" w:rsidRDefault="006C7ABF" w:rsidP="006C7ABF">
      <w:pPr>
        <w:jc w:val="both"/>
        <w:rPr>
          <w:rFonts w:ascii="Arial" w:hAnsi="Arial"/>
          <w:lang w:val="en-GB"/>
        </w:rPr>
      </w:pPr>
      <w:r w:rsidRPr="006C7ABF">
        <w:rPr>
          <w:rFonts w:ascii="Arial" w:hAnsi="Arial"/>
          <w:lang w:val="en-GB"/>
        </w:rPr>
        <w:t>In the first two months, my focus will be on self-assessment and personal branding, where I will update my CV, create a professional LinkedIn profile, and reflect on my strengths and areas for improvement. From month 3 to 6, I will work on skill development, completing short courses in communication, teamwork, and safeguarding to enhance my employability.</w:t>
      </w:r>
    </w:p>
    <w:p w14:paraId="3F72F7B2" w14:textId="77777777" w:rsidR="006C7ABF" w:rsidRPr="006C7ABF" w:rsidRDefault="006C7ABF" w:rsidP="006C7ABF">
      <w:pPr>
        <w:jc w:val="both"/>
        <w:rPr>
          <w:rFonts w:ascii="Arial" w:hAnsi="Arial"/>
          <w:lang w:val="en-GB"/>
        </w:rPr>
      </w:pPr>
      <w:r w:rsidRPr="006C7ABF">
        <w:rPr>
          <w:rFonts w:ascii="Arial" w:hAnsi="Arial"/>
          <w:lang w:val="en-GB"/>
        </w:rPr>
        <w:t>Between months 6 and 9, I plan to expand my professional network by attending career fairs, joining professional associations, and seeking voluntary or part-time experience in a care setting. During months 9 to 11, I will focus on job search and applications, tailoring my CV and cover letters to relevant entry-level health and social care roles.</w:t>
      </w:r>
    </w:p>
    <w:p w14:paraId="38953B0F" w14:textId="77777777" w:rsidR="006C7ABF" w:rsidRPr="006C7ABF" w:rsidRDefault="006C7ABF" w:rsidP="006C7ABF">
      <w:pPr>
        <w:jc w:val="both"/>
        <w:rPr>
          <w:rFonts w:ascii="Arial" w:hAnsi="Arial"/>
          <w:lang w:val="en-GB"/>
        </w:rPr>
      </w:pPr>
      <w:r w:rsidRPr="006C7ABF">
        <w:rPr>
          <w:rFonts w:ascii="Arial" w:hAnsi="Arial"/>
          <w:lang w:val="en-GB"/>
        </w:rPr>
        <w:lastRenderedPageBreak/>
        <w:t>Finally, in month 12, I aim to secure a suitable role and begin my continuing professional development (CPD) by attending training and reflecting on workplace learning.</w:t>
      </w:r>
    </w:p>
    <w:p w14:paraId="50078EA8" w14:textId="77777777" w:rsidR="006C7ABF" w:rsidRPr="006C7ABF" w:rsidRDefault="006C7ABF" w:rsidP="006C7ABF">
      <w:pPr>
        <w:jc w:val="both"/>
        <w:rPr>
          <w:lang w:val="en-GB"/>
        </w:rPr>
      </w:pPr>
      <w:r w:rsidRPr="006C7ABF">
        <w:rPr>
          <w:rFonts w:ascii="Arial" w:hAnsi="Arial"/>
          <w:lang w:val="en-GB"/>
        </w:rPr>
        <w:t>This structured plan helps me stay organised, monitor my progress, and stay motivated towards achieving my long-term career goals.</w:t>
      </w:r>
    </w:p>
    <w:p w14:paraId="6CD6835C" w14:textId="0BAA246E" w:rsidR="021F216E" w:rsidRPr="006C7ABF" w:rsidRDefault="021F216E" w:rsidP="021F216E">
      <w:pPr>
        <w:rPr>
          <w:rFonts w:ascii="Arial" w:eastAsia="Arial Nova" w:hAnsi="Arial" w:cs="Arial"/>
        </w:rPr>
      </w:pPr>
    </w:p>
    <w:p w14:paraId="3AD05CBE" w14:textId="1B23617A" w:rsidR="009D58BA" w:rsidRDefault="009D58BA">
      <w:pPr>
        <w:rPr>
          <w:rFonts w:ascii="Arial" w:eastAsia="Arial Nova" w:hAnsi="Arial" w:cs="Arial"/>
        </w:rPr>
      </w:pPr>
      <w:r>
        <w:rPr>
          <w:rFonts w:ascii="Arial" w:eastAsia="Arial Nova" w:hAnsi="Arial" w:cs="Arial"/>
        </w:rPr>
        <w:br w:type="page"/>
      </w:r>
    </w:p>
    <w:p w14:paraId="156F27C2" w14:textId="7F28726D" w:rsidR="021F216E" w:rsidRPr="0074551A" w:rsidRDefault="0074551A" w:rsidP="00C5040A">
      <w:pPr>
        <w:pStyle w:val="Heading1"/>
      </w:pPr>
      <w:bookmarkStart w:id="6" w:name="_Toc210251196"/>
      <w:r>
        <w:lastRenderedPageBreak/>
        <w:t>Task 7- Making Changes- Report</w:t>
      </w:r>
      <w:bookmarkEnd w:id="6"/>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7299DEB3" w14:textId="77777777" w:rsidR="00D168D7" w:rsidRPr="00C5040A" w:rsidRDefault="00D168D7" w:rsidP="00D168D7">
      <w:pPr>
        <w:spacing w:line="360" w:lineRule="auto"/>
        <w:jc w:val="both"/>
        <w:rPr>
          <w:rFonts w:ascii="Arial" w:hAnsi="Arial"/>
          <w:b/>
          <w:bCs/>
        </w:rPr>
      </w:pPr>
      <w:r w:rsidRPr="00C5040A">
        <w:rPr>
          <w:rFonts w:ascii="Arial" w:hAnsi="Arial"/>
          <w:b/>
          <w:bCs/>
        </w:rPr>
        <w:t>Brief change report: introduce a digital care-planning &amp; eMAR system</w:t>
      </w:r>
    </w:p>
    <w:p w14:paraId="14017988" w14:textId="77777777" w:rsidR="00D168D7" w:rsidRDefault="00D168D7" w:rsidP="00D168D7">
      <w:pPr>
        <w:spacing w:line="360" w:lineRule="auto"/>
        <w:jc w:val="both"/>
        <w:rPr>
          <w:rFonts w:ascii="Arial" w:hAnsi="Arial"/>
          <w:b/>
          <w:bCs/>
        </w:rPr>
      </w:pPr>
    </w:p>
    <w:p w14:paraId="17A01DAA" w14:textId="77777777" w:rsidR="00D168D7" w:rsidRPr="00AB765D" w:rsidRDefault="00D168D7" w:rsidP="00D168D7">
      <w:pPr>
        <w:spacing w:line="360" w:lineRule="auto"/>
        <w:jc w:val="both"/>
        <w:rPr>
          <w:rFonts w:ascii="Arial" w:hAnsi="Arial"/>
          <w:b/>
          <w:bCs/>
        </w:rPr>
      </w:pPr>
      <w:r w:rsidRPr="00AB765D">
        <w:rPr>
          <w:rFonts w:ascii="Arial" w:hAnsi="Arial"/>
          <w:b/>
          <w:bCs/>
        </w:rPr>
        <w:t>Introduction</w:t>
      </w:r>
    </w:p>
    <w:p w14:paraId="749ED2A1" w14:textId="77777777" w:rsidR="00D168D7" w:rsidRPr="00AB765D" w:rsidRDefault="00D168D7" w:rsidP="00D168D7">
      <w:pPr>
        <w:spacing w:line="360" w:lineRule="auto"/>
        <w:jc w:val="both"/>
        <w:rPr>
          <w:rFonts w:ascii="Arial" w:hAnsi="Arial"/>
        </w:rPr>
      </w:pPr>
      <w:r w:rsidRPr="00AB765D">
        <w:rPr>
          <w:rFonts w:ascii="Arial" w:hAnsi="Arial"/>
        </w:rPr>
        <w:t>As manager of a 40-bed care home, I will implement a digital care-planning and electronic Medication Administration Record (eMAR) system to improve safety, compliance and continuity of care. This aligns with national strategies to digitise adult social care (DHSC, 2022).</w:t>
      </w:r>
    </w:p>
    <w:p w14:paraId="0C035C75" w14:textId="77777777" w:rsidR="00D168D7" w:rsidRPr="00AB765D" w:rsidRDefault="00D168D7" w:rsidP="00D168D7">
      <w:pPr>
        <w:spacing w:line="360" w:lineRule="auto"/>
        <w:jc w:val="both"/>
        <w:rPr>
          <w:rFonts w:ascii="Arial" w:hAnsi="Arial"/>
          <w:b/>
          <w:bCs/>
        </w:rPr>
      </w:pPr>
      <w:r w:rsidRPr="00AB765D">
        <w:rPr>
          <w:rFonts w:ascii="Arial" w:hAnsi="Arial"/>
          <w:b/>
          <w:bCs/>
        </w:rPr>
        <w:t>Plan (guided by Kotter)</w:t>
      </w:r>
    </w:p>
    <w:p w14:paraId="77FEB29E" w14:textId="77777777" w:rsidR="00D168D7" w:rsidRPr="00AB765D" w:rsidRDefault="00D168D7" w:rsidP="00D168D7">
      <w:pPr>
        <w:spacing w:line="360" w:lineRule="auto"/>
        <w:jc w:val="both"/>
        <w:rPr>
          <w:rFonts w:ascii="Arial" w:hAnsi="Arial"/>
        </w:rPr>
      </w:pPr>
      <w:r w:rsidRPr="00AB765D">
        <w:rPr>
          <w:rFonts w:ascii="Arial" w:hAnsi="Arial"/>
        </w:rPr>
        <w:t>Create urgency using incident/ audit data and CQC expectations; 2) Form a guiding coalition (nurse lead, senior carer, IT, pharmacist); 3) Define and communicate a clear vision—“right care, first time, paperless by default”; 4) Enable action via training, ‘super-users’, and revised SOPs; 5) Short-term wins—pilot on one unit within 8 weeks; 6) Consolidate—extend home-wide at 12 weeks; 7) Anchor—embed in induction, appraisals and audits. Change activities will follow a structured people-centred process to maximise adoption (Prosci, 2022) and draw on healthcare evidence using Kotter effectively (Harrison et al., 2021; Ravi et al., 2022).</w:t>
      </w:r>
    </w:p>
    <w:p w14:paraId="0117477F" w14:textId="77777777" w:rsidR="00D168D7" w:rsidRPr="00AB765D" w:rsidRDefault="00D168D7" w:rsidP="00D168D7">
      <w:pPr>
        <w:spacing w:line="360" w:lineRule="auto"/>
        <w:jc w:val="both"/>
        <w:rPr>
          <w:rFonts w:ascii="Arial" w:hAnsi="Arial"/>
          <w:b/>
          <w:bCs/>
        </w:rPr>
      </w:pPr>
      <w:r w:rsidRPr="00AB765D">
        <w:rPr>
          <w:rFonts w:ascii="Arial" w:hAnsi="Arial"/>
          <w:b/>
          <w:bCs/>
        </w:rPr>
        <w:t>Skills required</w:t>
      </w:r>
    </w:p>
    <w:p w14:paraId="751E7C6B" w14:textId="77777777" w:rsidR="00D168D7" w:rsidRPr="00AB765D" w:rsidRDefault="00D168D7" w:rsidP="00D168D7">
      <w:pPr>
        <w:spacing w:line="360" w:lineRule="auto"/>
        <w:jc w:val="both"/>
        <w:rPr>
          <w:rFonts w:ascii="Arial" w:hAnsi="Arial"/>
        </w:rPr>
      </w:pPr>
      <w:r w:rsidRPr="00AB765D">
        <w:rPr>
          <w:rFonts w:ascii="Arial" w:hAnsi="Arial"/>
        </w:rPr>
        <w:t>Key capabilities include inclusive leadership, clear communication, coaching, data literacy, risk management and emotional intelligence to sustain engagement and teamwork. Evidence links emotionally intelligent leadership with better team behaviours and outcomes (Coronado-Maldonado et al., 2023).</w:t>
      </w:r>
    </w:p>
    <w:p w14:paraId="38AF3584" w14:textId="77777777" w:rsidR="00C5040A" w:rsidRDefault="00C5040A">
      <w:pPr>
        <w:rPr>
          <w:rFonts w:ascii="Arial" w:hAnsi="Arial"/>
          <w:b/>
          <w:bCs/>
        </w:rPr>
      </w:pPr>
      <w:r>
        <w:rPr>
          <w:rFonts w:ascii="Arial" w:hAnsi="Arial"/>
          <w:b/>
          <w:bCs/>
        </w:rPr>
        <w:br w:type="page"/>
      </w:r>
    </w:p>
    <w:p w14:paraId="2D98184C" w14:textId="37E3C953" w:rsidR="00D168D7" w:rsidRPr="00AB765D" w:rsidRDefault="00D168D7" w:rsidP="00D168D7">
      <w:pPr>
        <w:spacing w:line="360" w:lineRule="auto"/>
        <w:jc w:val="both"/>
        <w:rPr>
          <w:rFonts w:ascii="Arial" w:hAnsi="Arial"/>
          <w:b/>
          <w:bCs/>
        </w:rPr>
      </w:pPr>
      <w:r w:rsidRPr="00AB765D">
        <w:rPr>
          <w:rFonts w:ascii="Arial" w:hAnsi="Arial"/>
          <w:b/>
          <w:bCs/>
        </w:rPr>
        <w:lastRenderedPageBreak/>
        <w:t>Barriers and solutions</w:t>
      </w:r>
    </w:p>
    <w:p w14:paraId="3EE8F18D" w14:textId="77777777" w:rsidR="00D168D7" w:rsidRPr="00AB765D" w:rsidRDefault="00D168D7" w:rsidP="00D168D7">
      <w:pPr>
        <w:spacing w:line="360" w:lineRule="auto"/>
        <w:jc w:val="both"/>
        <w:rPr>
          <w:rFonts w:ascii="Arial" w:hAnsi="Arial"/>
        </w:rPr>
      </w:pPr>
      <w:r w:rsidRPr="00AB765D">
        <w:rPr>
          <w:rFonts w:ascii="Arial" w:hAnsi="Arial"/>
        </w:rPr>
        <w:t>Likely barriers: resistance to change, digital skills gaps, and time/resource pressures. Mitigations: co-design with frontline staff; hands-on training and protected practice time; super-user support; iterative feedback; and aligning the case for change with the national digital programme and local quality goals (DHSC, 2022; Prosci, 2022).</w:t>
      </w:r>
    </w:p>
    <w:p w14:paraId="0987952E" w14:textId="77777777" w:rsidR="00D168D7" w:rsidRDefault="00D168D7" w:rsidP="00D168D7">
      <w:pPr>
        <w:spacing w:line="360" w:lineRule="auto"/>
        <w:jc w:val="both"/>
        <w:rPr>
          <w:rFonts w:ascii="Arial" w:hAnsi="Arial"/>
          <w:b/>
          <w:bCs/>
        </w:rPr>
      </w:pPr>
    </w:p>
    <w:p w14:paraId="3172A8DB" w14:textId="77777777" w:rsidR="00D168D7" w:rsidRPr="00AB765D" w:rsidRDefault="00D168D7" w:rsidP="00C06327">
      <w:pPr>
        <w:spacing w:line="360" w:lineRule="auto"/>
        <w:jc w:val="both"/>
        <w:rPr>
          <w:rFonts w:ascii="Arial" w:hAnsi="Arial"/>
          <w:b/>
          <w:bCs/>
        </w:rPr>
      </w:pPr>
      <w:r w:rsidRPr="00AB765D">
        <w:rPr>
          <w:rFonts w:ascii="Arial" w:hAnsi="Arial"/>
          <w:b/>
          <w:bCs/>
        </w:rPr>
        <w:t>Conclusion</w:t>
      </w:r>
    </w:p>
    <w:p w14:paraId="06C8C088" w14:textId="16C4944E" w:rsidR="021F216E" w:rsidRDefault="00D168D7" w:rsidP="00C06327">
      <w:pPr>
        <w:spacing w:line="360" w:lineRule="auto"/>
        <w:rPr>
          <w:rFonts w:ascii="Arial Nova" w:eastAsia="Arial Nova" w:hAnsi="Arial Nova" w:cs="Arial Nova"/>
          <w:i/>
          <w:iCs/>
          <w:color w:val="000000" w:themeColor="text1"/>
        </w:rPr>
      </w:pPr>
      <w:r w:rsidRPr="00AB765D">
        <w:rPr>
          <w:rFonts w:ascii="Arial" w:hAnsi="Arial"/>
        </w:rPr>
        <w:t>Using a structured change model, focused leadership skills and targeted mitigations, the digital care-planning/eMAR rollout should deliver safer, more efficient care and become business-as-usual within one quarter.</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11710E1B" w14:textId="6AFE9FDB" w:rsidR="021F216E" w:rsidRDefault="0074551A" w:rsidP="00C5040A">
      <w:pPr>
        <w:pStyle w:val="Heading1"/>
      </w:pPr>
      <w:bookmarkStart w:id="7" w:name="_Toc210251197"/>
      <w:r>
        <w:lastRenderedPageBreak/>
        <w:t xml:space="preserve">Task 8- </w:t>
      </w:r>
      <w:r w:rsidR="17E92B46" w:rsidRPr="021F216E">
        <w:t>Self-Reflection</w:t>
      </w:r>
      <w:bookmarkEnd w:id="7"/>
      <w:r w:rsidR="17E92B46" w:rsidRPr="021F216E">
        <w:t xml:space="preserve"> </w:t>
      </w:r>
    </w:p>
    <w:p w14:paraId="659BB497" w14:textId="78C62F70" w:rsid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257F003B" w14:textId="77777777" w:rsidR="00D168D7" w:rsidRPr="009F0814" w:rsidRDefault="00D168D7" w:rsidP="00D168D7">
      <w:pPr>
        <w:spacing w:line="360" w:lineRule="auto"/>
        <w:jc w:val="both"/>
        <w:rPr>
          <w:rFonts w:ascii="Arial" w:hAnsi="Arial"/>
        </w:rPr>
      </w:pPr>
      <w:r w:rsidRPr="009F0814">
        <w:rPr>
          <w:rFonts w:ascii="Arial" w:hAnsi="Arial"/>
          <w:b/>
          <w:bCs/>
        </w:rPr>
        <w:t>Self-Reflection using Gibbs’ Reflective Cycle</w:t>
      </w:r>
    </w:p>
    <w:p w14:paraId="14388F42" w14:textId="77777777" w:rsidR="00D168D7" w:rsidRPr="009F0814" w:rsidRDefault="00D168D7" w:rsidP="00D168D7">
      <w:pPr>
        <w:spacing w:line="360" w:lineRule="auto"/>
        <w:jc w:val="both"/>
        <w:rPr>
          <w:rFonts w:ascii="Arial" w:hAnsi="Arial"/>
        </w:rPr>
      </w:pPr>
      <w:r w:rsidRPr="009F0814">
        <w:rPr>
          <w:rFonts w:ascii="Arial" w:hAnsi="Arial"/>
        </w:rPr>
        <w:t>During this module, one key learning moment for me was engaging with the topic of reflective practice. Initially, I felt uncertain about applying theory to my own experiences, but gradually I realised how structured reflection can enhance both learning and professional growth.</w:t>
      </w:r>
    </w:p>
    <w:p w14:paraId="58DC96D0" w14:textId="77777777" w:rsidR="00D168D7" w:rsidRPr="009F0814" w:rsidRDefault="00D168D7" w:rsidP="00D168D7">
      <w:pPr>
        <w:spacing w:line="360" w:lineRule="auto"/>
        <w:jc w:val="both"/>
        <w:rPr>
          <w:rFonts w:ascii="Arial" w:hAnsi="Arial"/>
        </w:rPr>
      </w:pPr>
      <w:r w:rsidRPr="009F0814">
        <w:rPr>
          <w:rFonts w:ascii="Arial" w:hAnsi="Arial"/>
        </w:rPr>
        <w:t>At first, I felt slightly anxious about sharing personal insights, as reflection required openness and honesty. However, I also felt motivated, recognising the value it could bring to my development.</w:t>
      </w:r>
    </w:p>
    <w:p w14:paraId="2192A07A" w14:textId="77777777" w:rsidR="00D168D7" w:rsidRPr="009F0814" w:rsidRDefault="00D168D7" w:rsidP="00D168D7">
      <w:pPr>
        <w:spacing w:line="360" w:lineRule="auto"/>
        <w:jc w:val="both"/>
        <w:rPr>
          <w:rFonts w:ascii="Arial" w:hAnsi="Arial"/>
        </w:rPr>
      </w:pPr>
      <w:r w:rsidRPr="009F0814">
        <w:rPr>
          <w:rFonts w:ascii="Arial" w:hAnsi="Arial"/>
        </w:rPr>
        <w:t>Through the activities, I identified that I was able to analyse my strengths, such as communication and adaptability, while also noticing areas that needed improvement, particularly time management and confidence when tackling unfamiliar tasks.</w:t>
      </w:r>
    </w:p>
    <w:p w14:paraId="112325EA" w14:textId="77777777" w:rsidR="00D168D7" w:rsidRPr="009F0814" w:rsidRDefault="00D168D7" w:rsidP="00D168D7">
      <w:pPr>
        <w:spacing w:line="360" w:lineRule="auto"/>
        <w:jc w:val="both"/>
        <w:rPr>
          <w:rFonts w:ascii="Arial" w:hAnsi="Arial"/>
        </w:rPr>
      </w:pPr>
      <w:r w:rsidRPr="009F0814">
        <w:rPr>
          <w:rFonts w:ascii="Arial" w:hAnsi="Arial"/>
        </w:rPr>
        <w:t>This mattered because it revealed how reflection helps transform experiences into meaningful learning. I recognised that reflection is not just about looking back but about making sense of challenges and planning improvements (Jasper et al., 2021). It also connected with the wider module themes of identity, wellbeing, and problem solving, showing me that self-awareness is key to professional effectiveness.</w:t>
      </w:r>
    </w:p>
    <w:p w14:paraId="0C724153" w14:textId="77777777" w:rsidR="00D168D7" w:rsidRPr="009F0814" w:rsidRDefault="00D168D7" w:rsidP="00D168D7">
      <w:pPr>
        <w:spacing w:line="360" w:lineRule="auto"/>
        <w:jc w:val="both"/>
        <w:rPr>
          <w:rFonts w:ascii="Arial" w:hAnsi="Arial"/>
        </w:rPr>
      </w:pPr>
      <w:r w:rsidRPr="009F0814">
        <w:rPr>
          <w:rFonts w:ascii="Arial" w:hAnsi="Arial"/>
        </w:rPr>
        <w:t>In conclusion, I could have engaged more deeply with feedback earlier in the process. Doing so might have helped me identify and address skill gaps sooner.</w:t>
      </w:r>
    </w:p>
    <w:p w14:paraId="06F6AC41" w14:textId="1640D34A" w:rsidR="021F216E" w:rsidRDefault="00D168D7" w:rsidP="00C5040A">
      <w:pPr>
        <w:spacing w:line="360" w:lineRule="auto"/>
        <w:jc w:val="both"/>
        <w:rPr>
          <w:rFonts w:ascii="Arial Nova" w:eastAsia="Arial Nova" w:hAnsi="Arial Nova" w:cs="Arial Nova"/>
          <w:i/>
          <w:iCs/>
          <w:color w:val="000000" w:themeColor="text1"/>
        </w:rPr>
      </w:pPr>
      <w:r w:rsidRPr="009F0814">
        <w:rPr>
          <w:rFonts w:ascii="Arial" w:hAnsi="Arial"/>
        </w:rPr>
        <w:t>Looking ahead, I plan to use Gibbs’ Cycle regularly in my studies and future practice. By systematically reflecting, I aim to build resilience, improve problem-solving, and ensure continuous professional growth (Brockbank &amp; McGill, 2020).</w:t>
      </w:r>
    </w:p>
    <w:p w14:paraId="65849103" w14:textId="77777777" w:rsidR="00C5040A" w:rsidRDefault="00C5040A">
      <w:pPr>
        <w:rPr>
          <w:rFonts w:asciiTheme="majorHAnsi" w:eastAsiaTheme="majorEastAsia" w:hAnsiTheme="majorHAnsi" w:cstheme="majorBidi"/>
          <w:color w:val="0F4761" w:themeColor="accent1" w:themeShade="BF"/>
          <w:sz w:val="32"/>
          <w:szCs w:val="32"/>
        </w:rPr>
      </w:pPr>
      <w:r>
        <w:br w:type="page"/>
      </w:r>
    </w:p>
    <w:p w14:paraId="5E2803DD" w14:textId="18969FFE" w:rsidR="3EA1690F" w:rsidRDefault="3EA1690F" w:rsidP="00C5040A">
      <w:pPr>
        <w:pStyle w:val="Heading1"/>
      </w:pPr>
      <w:bookmarkStart w:id="8" w:name="_Toc210251198"/>
      <w:r w:rsidRPr="021F216E">
        <w:lastRenderedPageBreak/>
        <w:t>Reference List</w:t>
      </w:r>
      <w:bookmarkEnd w:id="8"/>
    </w:p>
    <w:p w14:paraId="7348B74B" w14:textId="77777777" w:rsidR="00C5040A" w:rsidRPr="00C5040A" w:rsidRDefault="00C5040A" w:rsidP="00C5040A"/>
    <w:p w14:paraId="72F62619" w14:textId="77777777" w:rsidR="00353527" w:rsidRDefault="00353527" w:rsidP="001C288B">
      <w:pPr>
        <w:spacing w:line="360" w:lineRule="auto"/>
        <w:rPr>
          <w:rFonts w:ascii="Arial" w:hAnsi="Arial"/>
        </w:rPr>
      </w:pPr>
      <w:r w:rsidRPr="009F0814">
        <w:rPr>
          <w:rFonts w:ascii="Arial" w:hAnsi="Arial"/>
        </w:rPr>
        <w:t xml:space="preserve">Brockbank, A. and McGill, I. (2020) </w:t>
      </w:r>
      <w:r w:rsidRPr="009F0814">
        <w:rPr>
          <w:rFonts w:ascii="Arial" w:hAnsi="Arial"/>
          <w:i/>
          <w:iCs/>
        </w:rPr>
        <w:t>Facilitating Reflective Learning: Coaching, Mentoring and Supervision</w:t>
      </w:r>
      <w:r w:rsidRPr="009F0814">
        <w:rPr>
          <w:rFonts w:ascii="Arial" w:hAnsi="Arial"/>
        </w:rPr>
        <w:t>. London: Routledge.</w:t>
      </w:r>
    </w:p>
    <w:p w14:paraId="6820795A" w14:textId="77777777" w:rsidR="00353527" w:rsidRPr="00AB765D" w:rsidRDefault="00353527" w:rsidP="001C288B">
      <w:pPr>
        <w:spacing w:line="360" w:lineRule="auto"/>
        <w:rPr>
          <w:rFonts w:ascii="Arial" w:hAnsi="Arial"/>
        </w:rPr>
      </w:pPr>
      <w:r w:rsidRPr="00AB765D">
        <w:rPr>
          <w:rFonts w:ascii="Arial" w:hAnsi="Arial"/>
        </w:rPr>
        <w:t>Coronado-Maldonado, I., 2023. Emotional intelligence, leadership, and work teams. International Journal of Environmental Research and Public Health, 20(17).</w:t>
      </w:r>
    </w:p>
    <w:p w14:paraId="40DC5DAB" w14:textId="77777777" w:rsidR="00353527" w:rsidRPr="00AB765D" w:rsidRDefault="00353527" w:rsidP="001C288B">
      <w:pPr>
        <w:spacing w:line="360" w:lineRule="auto"/>
        <w:rPr>
          <w:rFonts w:ascii="Arial" w:hAnsi="Arial"/>
        </w:rPr>
      </w:pPr>
      <w:r w:rsidRPr="00AB765D">
        <w:rPr>
          <w:rFonts w:ascii="Arial" w:hAnsi="Arial"/>
        </w:rPr>
        <w:t>Department of Health &amp; Social Care (DHSC), 2022. A plan for digital health and social care. Gov.UK.</w:t>
      </w:r>
    </w:p>
    <w:p w14:paraId="61023925" w14:textId="77777777" w:rsidR="00353527" w:rsidRPr="008A24F2" w:rsidRDefault="00353527" w:rsidP="001C288B">
      <w:pPr>
        <w:spacing w:line="360" w:lineRule="auto"/>
        <w:rPr>
          <w:rFonts w:ascii="Arial" w:hAnsi="Arial"/>
        </w:rPr>
      </w:pPr>
      <w:r w:rsidRPr="008A24F2">
        <w:rPr>
          <w:rFonts w:ascii="Arial" w:hAnsi="Arial"/>
        </w:rPr>
        <w:t xml:space="preserve">Fitzgerald, A. (2020) ‘Professional identity: a concept analysis’, </w:t>
      </w:r>
      <w:r w:rsidRPr="008A24F2">
        <w:rPr>
          <w:rFonts w:ascii="Arial" w:hAnsi="Arial"/>
          <w:i/>
          <w:iCs/>
        </w:rPr>
        <w:t>Nursing Forum</w:t>
      </w:r>
      <w:r w:rsidRPr="008A24F2">
        <w:rPr>
          <w:rFonts w:ascii="Arial" w:hAnsi="Arial"/>
        </w:rPr>
        <w:t>, 55(1), pp. 1–26.</w:t>
      </w:r>
      <w:r w:rsidRPr="008A24F2">
        <w:rPr>
          <w:rFonts w:ascii="Arial" w:hAnsi="Arial"/>
        </w:rPr>
        <w:br/>
        <w:t xml:space="preserve">Pawar, A. and Gandhi, R. (2016) ‘The power of personal branding’, </w:t>
      </w:r>
      <w:r w:rsidRPr="008A24F2">
        <w:rPr>
          <w:rFonts w:ascii="Arial" w:hAnsi="Arial"/>
          <w:i/>
          <w:iCs/>
        </w:rPr>
        <w:t>International Journal of Engineering and Management Research</w:t>
      </w:r>
      <w:r w:rsidRPr="008A24F2">
        <w:rPr>
          <w:rFonts w:ascii="Arial" w:hAnsi="Arial"/>
        </w:rPr>
        <w:t>, 6(1), pp. 840–847.</w:t>
      </w:r>
    </w:p>
    <w:p w14:paraId="2D5719FB" w14:textId="77777777" w:rsidR="00353527" w:rsidRDefault="00353527" w:rsidP="001C288B">
      <w:pPr>
        <w:spacing w:line="360" w:lineRule="auto"/>
        <w:rPr>
          <w:rFonts w:ascii="Arial" w:eastAsia="Aptos" w:hAnsi="Arial" w:cs="Aptos"/>
          <w:color w:val="000000" w:themeColor="text1"/>
          <w:szCs w:val="44"/>
        </w:rPr>
      </w:pPr>
      <w:r w:rsidRPr="008A24F2">
        <w:rPr>
          <w:rFonts w:ascii="Arial" w:eastAsia="Aptos" w:hAnsi="Arial" w:cs="Aptos"/>
          <w:color w:val="000000" w:themeColor="text1"/>
          <w:szCs w:val="44"/>
        </w:rPr>
        <w:t xml:space="preserve">Good Things Foundation (2024) </w:t>
      </w:r>
      <w:r w:rsidRPr="008A24F2">
        <w:rPr>
          <w:rFonts w:ascii="Arial" w:eastAsia="Aptos" w:hAnsi="Arial" w:cs="Aptos"/>
          <w:i/>
          <w:iCs/>
          <w:color w:val="000000" w:themeColor="text1"/>
          <w:szCs w:val="44"/>
        </w:rPr>
        <w:t>Digital inclusion: What the main UK datasets tell us</w:t>
      </w:r>
      <w:r w:rsidRPr="008A24F2">
        <w:rPr>
          <w:rFonts w:ascii="Arial" w:eastAsia="Aptos" w:hAnsi="Arial" w:cs="Aptos"/>
          <w:color w:val="000000" w:themeColor="text1"/>
          <w:szCs w:val="44"/>
        </w:rPr>
        <w:t>. Available at: https://www.goodthingsfoundation.org (Accessed: 20 Sept 2025).</w:t>
      </w:r>
    </w:p>
    <w:p w14:paraId="018C8E59" w14:textId="77777777" w:rsidR="00353527" w:rsidRPr="00AB765D" w:rsidRDefault="00353527" w:rsidP="001C288B">
      <w:pPr>
        <w:spacing w:line="360" w:lineRule="auto"/>
        <w:rPr>
          <w:rFonts w:ascii="Arial" w:hAnsi="Arial"/>
        </w:rPr>
      </w:pPr>
      <w:r w:rsidRPr="00AB765D">
        <w:rPr>
          <w:rFonts w:ascii="Arial" w:hAnsi="Arial"/>
        </w:rPr>
        <w:t>Harrison, R. et al., 2021. Where Do Models for Change Management, Improvement and Implementation Meet? International Journal for Quality in Health Care, 33(2).</w:t>
      </w:r>
    </w:p>
    <w:p w14:paraId="083DAFD9" w14:textId="77777777" w:rsidR="00353527" w:rsidRPr="008571FE" w:rsidRDefault="00353527" w:rsidP="001C288B">
      <w:pPr>
        <w:spacing w:line="360" w:lineRule="auto"/>
        <w:rPr>
          <w:rFonts w:ascii="Arial" w:hAnsi="Arial"/>
        </w:rPr>
      </w:pPr>
      <w:r w:rsidRPr="008571FE">
        <w:rPr>
          <w:rFonts w:ascii="Arial" w:hAnsi="Arial"/>
        </w:rPr>
        <w:t xml:space="preserve">Herrman, H., Stewart, D. E., Diaz-Granados, N., Berger, E. L., Jackson, B., &amp; Yuen, T. (2021) ‘What is Resilience’. </w:t>
      </w:r>
      <w:r w:rsidRPr="008571FE">
        <w:rPr>
          <w:rFonts w:ascii="Arial" w:hAnsi="Arial"/>
          <w:i/>
          <w:iCs/>
        </w:rPr>
        <w:t>Canadian Journal of Psychiatry</w:t>
      </w:r>
      <w:r w:rsidRPr="008571FE">
        <w:rPr>
          <w:rFonts w:ascii="Arial" w:hAnsi="Arial"/>
        </w:rPr>
        <w:t>, 66(5), pp. 258–265.</w:t>
      </w:r>
    </w:p>
    <w:p w14:paraId="418FBE32" w14:textId="575490ED" w:rsidR="00353527" w:rsidRPr="008A24F2" w:rsidRDefault="00353527" w:rsidP="001C288B">
      <w:pPr>
        <w:spacing w:line="360" w:lineRule="auto"/>
        <w:rPr>
          <w:rFonts w:ascii="Arial" w:eastAsia="Aptos" w:hAnsi="Arial" w:cs="Aptos"/>
          <w:color w:val="000000" w:themeColor="text1"/>
          <w:szCs w:val="44"/>
        </w:rPr>
      </w:pPr>
      <w:r w:rsidRPr="009F0814">
        <w:rPr>
          <w:rFonts w:ascii="Arial" w:hAnsi="Arial"/>
        </w:rPr>
        <w:t xml:space="preserve">Jasper, M., Mooney, G. and Rosser, M. (2021) </w:t>
      </w:r>
      <w:r w:rsidRPr="009F0814">
        <w:rPr>
          <w:rFonts w:ascii="Arial" w:hAnsi="Arial"/>
          <w:i/>
          <w:iCs/>
        </w:rPr>
        <w:t>Professional Development, Reflection and Decision-Making in Nursing and Healthcare</w:t>
      </w:r>
      <w:r w:rsidRPr="009F0814">
        <w:rPr>
          <w:rFonts w:ascii="Arial" w:hAnsi="Arial"/>
        </w:rPr>
        <w:t>. 3rd ed. London: Wiley.</w:t>
      </w:r>
      <w:r w:rsidRPr="009F0814">
        <w:rPr>
          <w:rFonts w:ascii="Arial" w:hAnsi="Arial"/>
        </w:rPr>
        <w:br/>
        <w:t xml:space="preserve">Gibbs, G. (1988) </w:t>
      </w:r>
      <w:r w:rsidRPr="009F0814">
        <w:rPr>
          <w:rFonts w:ascii="Arial" w:hAnsi="Arial"/>
          <w:i/>
          <w:iCs/>
        </w:rPr>
        <w:t>Learning by Doing: A Guide to Teaching and Learning Methods</w:t>
      </w:r>
      <w:r w:rsidRPr="009F0814">
        <w:rPr>
          <w:rFonts w:ascii="Arial" w:hAnsi="Arial"/>
        </w:rPr>
        <w:t>. Oxford: Oxford Polytechnic.</w:t>
      </w:r>
    </w:p>
    <w:p w14:paraId="42806981" w14:textId="77777777" w:rsidR="00353527" w:rsidRPr="008571FE" w:rsidRDefault="00353527" w:rsidP="001C288B">
      <w:pPr>
        <w:spacing w:line="360" w:lineRule="auto"/>
        <w:rPr>
          <w:rFonts w:ascii="Arial" w:hAnsi="Arial"/>
        </w:rPr>
      </w:pPr>
      <w:r w:rsidRPr="008571FE">
        <w:rPr>
          <w:rFonts w:ascii="Arial" w:hAnsi="Arial"/>
        </w:rPr>
        <w:t xml:space="preserve">Lewis, J. &amp; Bolton, P. (2023) </w:t>
      </w:r>
      <w:r w:rsidRPr="008571FE">
        <w:rPr>
          <w:rFonts w:ascii="Arial" w:hAnsi="Arial"/>
          <w:i/>
          <w:iCs/>
        </w:rPr>
        <w:t>Student Mental Health in England: Statistics, Policy, and Guidance</w:t>
      </w:r>
      <w:r w:rsidRPr="008571FE">
        <w:rPr>
          <w:rFonts w:ascii="Arial" w:hAnsi="Arial"/>
        </w:rPr>
        <w:t>. House of Commons Library.</w:t>
      </w:r>
    </w:p>
    <w:p w14:paraId="715BE561" w14:textId="77777777" w:rsidR="00353527" w:rsidRDefault="00353527" w:rsidP="001C288B">
      <w:pPr>
        <w:spacing w:line="360" w:lineRule="auto"/>
        <w:rPr>
          <w:rFonts w:ascii="Arial" w:eastAsia="Aptos" w:hAnsi="Arial" w:cs="Aptos"/>
          <w:color w:val="000000" w:themeColor="text1"/>
          <w:szCs w:val="44"/>
        </w:rPr>
      </w:pPr>
      <w:r w:rsidRPr="008A24F2">
        <w:rPr>
          <w:rFonts w:ascii="Arial" w:eastAsia="Aptos" w:hAnsi="Arial" w:cs="Aptos"/>
          <w:color w:val="000000" w:themeColor="text1"/>
          <w:szCs w:val="44"/>
        </w:rPr>
        <w:t xml:space="preserve">NHS (2022) </w:t>
      </w:r>
      <w:r w:rsidRPr="008A24F2">
        <w:rPr>
          <w:rFonts w:ascii="Arial" w:eastAsia="Aptos" w:hAnsi="Arial" w:cs="Aptos"/>
          <w:i/>
          <w:iCs/>
          <w:color w:val="000000" w:themeColor="text1"/>
          <w:szCs w:val="44"/>
        </w:rPr>
        <w:t>Why Digital Inclusion Matters to Health and Social Care</w:t>
      </w:r>
      <w:r w:rsidRPr="008A24F2">
        <w:rPr>
          <w:rFonts w:ascii="Arial" w:eastAsia="Aptos" w:hAnsi="Arial" w:cs="Aptos"/>
          <w:color w:val="000000" w:themeColor="text1"/>
          <w:szCs w:val="44"/>
        </w:rPr>
        <w:t>. Available at: https://digital.nhs.uk (Accessed: 22 Sept 2025).</w:t>
      </w:r>
      <w:r w:rsidRPr="008A24F2">
        <w:rPr>
          <w:rFonts w:ascii="Arial" w:eastAsia="Aptos" w:hAnsi="Arial" w:cs="Aptos"/>
          <w:color w:val="000000" w:themeColor="text1"/>
          <w:szCs w:val="44"/>
        </w:rPr>
        <w:br/>
      </w:r>
    </w:p>
    <w:p w14:paraId="18FE06D0" w14:textId="40B29CA9" w:rsidR="00353527" w:rsidRDefault="00353527" w:rsidP="001C288B">
      <w:pPr>
        <w:spacing w:line="360" w:lineRule="auto"/>
        <w:rPr>
          <w:rFonts w:ascii="Arial" w:eastAsia="Aptos" w:hAnsi="Arial" w:cs="Aptos"/>
          <w:color w:val="000000" w:themeColor="text1"/>
          <w:szCs w:val="44"/>
        </w:rPr>
      </w:pPr>
      <w:r w:rsidRPr="008A24F2">
        <w:rPr>
          <w:rFonts w:ascii="Arial" w:eastAsia="Aptos" w:hAnsi="Arial" w:cs="Aptos"/>
          <w:color w:val="000000" w:themeColor="text1"/>
          <w:szCs w:val="44"/>
        </w:rPr>
        <w:lastRenderedPageBreak/>
        <w:t xml:space="preserve">NHS England (2023) </w:t>
      </w:r>
      <w:r w:rsidRPr="008A24F2">
        <w:rPr>
          <w:rFonts w:ascii="Arial" w:eastAsia="Aptos" w:hAnsi="Arial" w:cs="Aptos"/>
          <w:i/>
          <w:iCs/>
          <w:color w:val="000000" w:themeColor="text1"/>
          <w:szCs w:val="44"/>
        </w:rPr>
        <w:t>NHS Long Term Workforce Plan</w:t>
      </w:r>
      <w:r w:rsidRPr="008A24F2">
        <w:rPr>
          <w:rFonts w:ascii="Arial" w:eastAsia="Aptos" w:hAnsi="Arial" w:cs="Aptos"/>
          <w:color w:val="000000" w:themeColor="text1"/>
          <w:szCs w:val="44"/>
        </w:rPr>
        <w:t>. Available at: https://www.england.nhs.uk (Accessed: 20 Sept 2025).</w:t>
      </w:r>
      <w:r w:rsidRPr="008A24F2">
        <w:rPr>
          <w:rFonts w:ascii="Arial" w:eastAsia="Aptos" w:hAnsi="Arial" w:cs="Aptos"/>
          <w:color w:val="000000" w:themeColor="text1"/>
          <w:szCs w:val="44"/>
        </w:rPr>
        <w:br/>
        <w:t xml:space="preserve">Ofcom (2025) </w:t>
      </w:r>
      <w:r w:rsidRPr="008A24F2">
        <w:rPr>
          <w:rFonts w:ascii="Arial" w:eastAsia="Aptos" w:hAnsi="Arial" w:cs="Aptos"/>
          <w:i/>
          <w:iCs/>
          <w:color w:val="000000" w:themeColor="text1"/>
          <w:szCs w:val="44"/>
        </w:rPr>
        <w:t>Adults’ Media Use and Attitudes</w:t>
      </w:r>
      <w:r w:rsidRPr="008A24F2">
        <w:rPr>
          <w:rFonts w:ascii="Arial" w:eastAsia="Aptos" w:hAnsi="Arial" w:cs="Aptos"/>
          <w:color w:val="000000" w:themeColor="text1"/>
          <w:szCs w:val="44"/>
        </w:rPr>
        <w:t xml:space="preserve">. Available at: </w:t>
      </w:r>
      <w:r w:rsidRPr="00353527">
        <w:rPr>
          <w:rFonts w:ascii="Arial" w:eastAsia="Aptos" w:hAnsi="Arial" w:cs="Aptos"/>
          <w:color w:val="000000" w:themeColor="text1"/>
          <w:szCs w:val="44"/>
        </w:rPr>
        <w:t>https://www.ofcom.org.uk/media-use-and-attitudes/media-habits-adults/adults-media-use-and-attitudes-2025-interactive-report</w:t>
      </w:r>
      <w:r w:rsidRPr="008A24F2">
        <w:rPr>
          <w:rFonts w:ascii="Arial" w:eastAsia="Aptos" w:hAnsi="Arial" w:cs="Aptos"/>
          <w:color w:val="000000" w:themeColor="text1"/>
          <w:szCs w:val="44"/>
        </w:rPr>
        <w:t xml:space="preserve"> (Accessed: 20 Sept 2025).</w:t>
      </w:r>
    </w:p>
    <w:p w14:paraId="645825B0" w14:textId="77777777" w:rsidR="00353527" w:rsidRPr="008A24F2" w:rsidRDefault="00353527" w:rsidP="001C288B">
      <w:pPr>
        <w:spacing w:line="360" w:lineRule="auto"/>
        <w:rPr>
          <w:rFonts w:ascii="Arial" w:hAnsi="Arial"/>
        </w:rPr>
      </w:pPr>
      <w:r w:rsidRPr="008A24F2">
        <w:rPr>
          <w:rFonts w:ascii="Arial" w:hAnsi="Arial"/>
        </w:rPr>
        <w:t xml:space="preserve">Phillips, S. and Ellinas, S. (2014). </w:t>
      </w:r>
      <w:r w:rsidRPr="008A24F2">
        <w:rPr>
          <w:rFonts w:ascii="Arial" w:hAnsi="Arial"/>
          <w:i/>
          <w:iCs/>
        </w:rPr>
        <w:t>The complete guide to professional networking: the secrets of online and offline success.</w:t>
      </w:r>
      <w:r w:rsidRPr="008A24F2">
        <w:rPr>
          <w:rFonts w:ascii="Arial" w:hAnsi="Arial"/>
        </w:rPr>
        <w:t xml:space="preserve"> London: Kogan Page.</w:t>
      </w:r>
    </w:p>
    <w:p w14:paraId="24AABFC2" w14:textId="77777777" w:rsidR="00353527" w:rsidRPr="00AB765D" w:rsidRDefault="00353527" w:rsidP="001C288B">
      <w:pPr>
        <w:spacing w:line="360" w:lineRule="auto"/>
        <w:rPr>
          <w:rFonts w:ascii="Arial" w:hAnsi="Arial"/>
        </w:rPr>
      </w:pPr>
      <w:r w:rsidRPr="00AB765D">
        <w:rPr>
          <w:rFonts w:ascii="Arial" w:hAnsi="Arial"/>
        </w:rPr>
        <w:t>Prosci, 2022. Definition of change management. Prosci.</w:t>
      </w:r>
    </w:p>
    <w:p w14:paraId="458B41C1" w14:textId="77777777" w:rsidR="00353527" w:rsidRPr="008A24F2" w:rsidRDefault="00353527" w:rsidP="001C288B">
      <w:pPr>
        <w:spacing w:line="360" w:lineRule="auto"/>
        <w:rPr>
          <w:rFonts w:ascii="Arial" w:hAnsi="Arial"/>
        </w:rPr>
      </w:pPr>
      <w:r w:rsidRPr="008A24F2">
        <w:rPr>
          <w:rFonts w:ascii="Arial" w:hAnsi="Arial"/>
        </w:rPr>
        <w:t xml:space="preserve">Putnam, R., Leonardi, R. and Nanetti, R. (1993). </w:t>
      </w:r>
      <w:r w:rsidRPr="008A24F2">
        <w:rPr>
          <w:rFonts w:ascii="Arial" w:hAnsi="Arial"/>
          <w:i/>
          <w:iCs/>
        </w:rPr>
        <w:t>Making Democracy Work: Civic Traditions in Modern Italy.</w:t>
      </w:r>
      <w:r w:rsidRPr="008A24F2">
        <w:rPr>
          <w:rFonts w:ascii="Arial" w:hAnsi="Arial"/>
        </w:rPr>
        <w:t xml:space="preserve"> Princeton: Princeton University Press.</w:t>
      </w:r>
    </w:p>
    <w:p w14:paraId="0A665F82" w14:textId="77777777" w:rsidR="00353527" w:rsidRPr="008571FE" w:rsidRDefault="00353527" w:rsidP="001C288B">
      <w:pPr>
        <w:spacing w:line="360" w:lineRule="auto"/>
        <w:rPr>
          <w:rFonts w:ascii="Arial" w:hAnsi="Arial"/>
        </w:rPr>
      </w:pPr>
      <w:r w:rsidRPr="00AB765D">
        <w:rPr>
          <w:rFonts w:ascii="Arial" w:hAnsi="Arial"/>
        </w:rPr>
        <w:t>Ravi, S. et al., 2022. Kotter’s 8 stages of change: implementation of clinical pathway during COVID-19. BMJ Leader.</w:t>
      </w:r>
    </w:p>
    <w:p w14:paraId="146AC244" w14:textId="77777777" w:rsidR="00353527" w:rsidRPr="008571FE" w:rsidRDefault="00353527" w:rsidP="001C288B">
      <w:pPr>
        <w:spacing w:line="360" w:lineRule="auto"/>
        <w:rPr>
          <w:rFonts w:ascii="Arial" w:hAnsi="Arial"/>
        </w:rPr>
      </w:pPr>
      <w:r w:rsidRPr="008571FE">
        <w:rPr>
          <w:rFonts w:ascii="Arial" w:hAnsi="Arial"/>
        </w:rPr>
        <w:t xml:space="preserve">Skills for Care (2020) </w:t>
      </w:r>
      <w:r w:rsidRPr="008571FE">
        <w:rPr>
          <w:rFonts w:ascii="Arial" w:hAnsi="Arial"/>
          <w:i/>
          <w:iCs/>
        </w:rPr>
        <w:t>Building Your Own Resilience</w:t>
      </w:r>
      <w:r w:rsidRPr="008571FE">
        <w:rPr>
          <w:rFonts w:ascii="Arial" w:hAnsi="Arial"/>
        </w:rPr>
        <w:t xml:space="preserve">. Available at: https://www.skillsforcare.org.uk/ (Accessed: </w:t>
      </w:r>
      <w:r>
        <w:rPr>
          <w:rFonts w:ascii="Arial" w:hAnsi="Arial"/>
        </w:rPr>
        <w:t>30</w:t>
      </w:r>
      <w:r w:rsidRPr="008571FE">
        <w:rPr>
          <w:rFonts w:ascii="Arial" w:hAnsi="Arial"/>
        </w:rPr>
        <w:t xml:space="preserve"> September 2025).</w:t>
      </w:r>
    </w:p>
    <w:p w14:paraId="5EAB5B7B" w14:textId="77777777" w:rsidR="00353527" w:rsidRPr="008571FE" w:rsidRDefault="00353527" w:rsidP="001C288B">
      <w:pPr>
        <w:spacing w:line="360" w:lineRule="auto"/>
        <w:rPr>
          <w:rFonts w:ascii="Arial" w:hAnsi="Arial"/>
        </w:rPr>
      </w:pPr>
      <w:r w:rsidRPr="008571FE">
        <w:rPr>
          <w:rFonts w:ascii="Arial" w:hAnsi="Arial"/>
        </w:rPr>
        <w:t xml:space="preserve">Wadkar, A. (2023) </w:t>
      </w:r>
      <w:r w:rsidRPr="008571FE">
        <w:rPr>
          <w:rFonts w:ascii="Arial" w:hAnsi="Arial"/>
          <w:i/>
          <w:iCs/>
        </w:rPr>
        <w:t>Strategies to Enhance Emotional Intelligence: Life Skills for Success</w:t>
      </w:r>
      <w:r w:rsidRPr="008571FE">
        <w:rPr>
          <w:rFonts w:ascii="Arial" w:hAnsi="Arial"/>
        </w:rPr>
        <w:t>. Sage.</w:t>
      </w:r>
    </w:p>
    <w:p w14:paraId="6EE16109" w14:textId="3EE891ED" w:rsidR="00353527" w:rsidRDefault="00353527" w:rsidP="001C288B">
      <w:pPr>
        <w:spacing w:line="360" w:lineRule="auto"/>
        <w:rPr>
          <w:rFonts w:ascii="Arial" w:hAnsi="Arial"/>
        </w:rPr>
      </w:pPr>
      <w:r w:rsidRPr="008571FE">
        <w:rPr>
          <w:rFonts w:ascii="Arial" w:hAnsi="Arial"/>
        </w:rPr>
        <w:t xml:space="preserve">World Health Organization (2023) </w:t>
      </w:r>
      <w:r w:rsidRPr="008571FE">
        <w:rPr>
          <w:rFonts w:ascii="Arial" w:hAnsi="Arial"/>
          <w:i/>
          <w:iCs/>
        </w:rPr>
        <w:t>Health and Wellbeing</w:t>
      </w:r>
      <w:r w:rsidRPr="008571FE">
        <w:rPr>
          <w:rFonts w:ascii="Arial" w:hAnsi="Arial"/>
        </w:rPr>
        <w:t xml:space="preserve">. Available at: </w:t>
      </w:r>
      <w:r w:rsidRPr="00353527">
        <w:rPr>
          <w:rFonts w:ascii="Arial" w:hAnsi="Arial"/>
        </w:rPr>
        <w:t>https://www.who.int/data/gho/data/major-themes/health-and-well-being</w:t>
      </w:r>
      <w:r w:rsidRPr="008571FE">
        <w:rPr>
          <w:rFonts w:ascii="Arial" w:hAnsi="Arial"/>
        </w:rPr>
        <w:t xml:space="preserve"> (Accessed: </w:t>
      </w:r>
      <w:r>
        <w:rPr>
          <w:rFonts w:ascii="Arial" w:hAnsi="Arial"/>
        </w:rPr>
        <w:t>29</w:t>
      </w:r>
      <w:r w:rsidRPr="008571FE">
        <w:rPr>
          <w:rFonts w:ascii="Arial" w:hAnsi="Arial"/>
        </w:rPr>
        <w:t xml:space="preserve"> September 2025).</w:t>
      </w:r>
    </w:p>
    <w:sectPr w:rsidR="0035352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11B6E" w14:textId="77777777" w:rsidR="002E2D65" w:rsidRDefault="002E2D65">
      <w:pPr>
        <w:spacing w:after="0" w:line="240" w:lineRule="auto"/>
      </w:pPr>
    </w:p>
  </w:endnote>
  <w:endnote w:type="continuationSeparator" w:id="0">
    <w:p w14:paraId="5D4E8D97" w14:textId="77777777" w:rsidR="002E2D65" w:rsidRDefault="002E2D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9E1ED" w14:textId="77777777" w:rsidR="002E2D65" w:rsidRDefault="002E2D65">
      <w:pPr>
        <w:spacing w:after="0" w:line="240" w:lineRule="auto"/>
      </w:pPr>
    </w:p>
  </w:footnote>
  <w:footnote w:type="continuationSeparator" w:id="0">
    <w:p w14:paraId="1893AAD3" w14:textId="77777777" w:rsidR="002E2D65" w:rsidRDefault="002E2D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655EF"/>
    <w:rsid w:val="001C288B"/>
    <w:rsid w:val="001E6F1E"/>
    <w:rsid w:val="002530D6"/>
    <w:rsid w:val="00256733"/>
    <w:rsid w:val="00273079"/>
    <w:rsid w:val="002E2D65"/>
    <w:rsid w:val="00353527"/>
    <w:rsid w:val="003D2038"/>
    <w:rsid w:val="00434A4E"/>
    <w:rsid w:val="00577423"/>
    <w:rsid w:val="00632F8B"/>
    <w:rsid w:val="006C7ABF"/>
    <w:rsid w:val="006E6679"/>
    <w:rsid w:val="0074551A"/>
    <w:rsid w:val="00747A88"/>
    <w:rsid w:val="0077469F"/>
    <w:rsid w:val="007D3AD0"/>
    <w:rsid w:val="00827B28"/>
    <w:rsid w:val="008A24F2"/>
    <w:rsid w:val="00903517"/>
    <w:rsid w:val="009D58BA"/>
    <w:rsid w:val="00A72E27"/>
    <w:rsid w:val="00AC3EDF"/>
    <w:rsid w:val="00AE1D30"/>
    <w:rsid w:val="00B7418E"/>
    <w:rsid w:val="00BE7777"/>
    <w:rsid w:val="00C06327"/>
    <w:rsid w:val="00C5040A"/>
    <w:rsid w:val="00C838DF"/>
    <w:rsid w:val="00D00B1D"/>
    <w:rsid w:val="00D168D7"/>
    <w:rsid w:val="00D17D41"/>
    <w:rsid w:val="00D26EEF"/>
    <w:rsid w:val="00D31885"/>
    <w:rsid w:val="00D618AB"/>
    <w:rsid w:val="00D86E28"/>
    <w:rsid w:val="00E154E2"/>
    <w:rsid w:val="00E15B9B"/>
    <w:rsid w:val="00F91C62"/>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TOCHeading">
    <w:name w:val="TOC Heading"/>
    <w:basedOn w:val="Heading1"/>
    <w:next w:val="Normal"/>
    <w:uiPriority w:val="39"/>
    <w:unhideWhenUsed/>
    <w:qFormat/>
    <w:rsid w:val="00C5040A"/>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C5040A"/>
    <w:pPr>
      <w:spacing w:after="100"/>
    </w:pPr>
  </w:style>
  <w:style w:type="paragraph" w:styleId="TOC2">
    <w:name w:val="toc 2"/>
    <w:basedOn w:val="Normal"/>
    <w:next w:val="Normal"/>
    <w:autoRedefine/>
    <w:uiPriority w:val="39"/>
    <w:unhideWhenUsed/>
    <w:rsid w:val="00C5040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C31CB-818D-41ED-AF92-70C383F2D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17</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Iftekhar Rashid</cp:lastModifiedBy>
  <cp:revision>20</cp:revision>
  <dcterms:created xsi:type="dcterms:W3CDTF">2025-10-01T21:22:00Z</dcterms:created>
  <dcterms:modified xsi:type="dcterms:W3CDTF">2025-11-02T20:26:00Z</dcterms:modified>
</cp:coreProperties>
</file>