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F2CFEB" w14:textId="3CED13E1" w:rsidR="00493D50" w:rsidRPr="00267030" w:rsidRDefault="00267030" w:rsidP="00267030">
      <w:pPr>
        <w:rPr>
          <w:sz w:val="28"/>
          <w:u w:val="single"/>
        </w:rPr>
      </w:pPr>
      <w:r w:rsidRPr="00267030">
        <w:rPr>
          <w:sz w:val="28"/>
          <w:u w:val="single"/>
        </w:rPr>
        <w:t xml:space="preserve">A. </w:t>
      </w:r>
      <w:proofErr w:type="spellStart"/>
      <w:r w:rsidR="00493D50" w:rsidRPr="00267030">
        <w:rPr>
          <w:sz w:val="28"/>
          <w:u w:val="single"/>
        </w:rPr>
        <w:t>Chugg</w:t>
      </w:r>
      <w:proofErr w:type="spellEnd"/>
      <w:r w:rsidR="00493D50" w:rsidRPr="00267030">
        <w:rPr>
          <w:sz w:val="28"/>
          <w:u w:val="single"/>
        </w:rPr>
        <w:t xml:space="preserve">, 2002. ‘The Sarcophagus of Alexander the Great?’, in </w:t>
      </w:r>
      <w:r w:rsidR="00493D50" w:rsidRPr="00267030">
        <w:rPr>
          <w:i/>
          <w:sz w:val="28"/>
          <w:u w:val="single"/>
        </w:rPr>
        <w:t>Greece and Rome</w:t>
      </w:r>
      <w:r w:rsidR="00493D50" w:rsidRPr="00267030">
        <w:rPr>
          <w:sz w:val="28"/>
          <w:u w:val="single"/>
        </w:rPr>
        <w:t>, 49</w:t>
      </w:r>
      <w:r w:rsidR="000B6646">
        <w:rPr>
          <w:sz w:val="28"/>
          <w:u w:val="single"/>
        </w:rPr>
        <w:t>(1)</w:t>
      </w:r>
      <w:r w:rsidR="00493D50" w:rsidRPr="00267030">
        <w:rPr>
          <w:sz w:val="28"/>
          <w:u w:val="single"/>
        </w:rPr>
        <w:t>, pp. 8 – 26</w:t>
      </w:r>
    </w:p>
    <w:p w14:paraId="0B3DD5FF" w14:textId="5E475AEC" w:rsidR="00566EAF" w:rsidRDefault="00566EAF" w:rsidP="00566EAF">
      <w:pPr>
        <w:rPr>
          <w:sz w:val="28"/>
        </w:rPr>
      </w:pPr>
    </w:p>
    <w:p w14:paraId="02D31310" w14:textId="77ED2715" w:rsidR="00566EAF" w:rsidRDefault="00142A34" w:rsidP="00566EAF">
      <w:pPr>
        <w:rPr>
          <w:sz w:val="28"/>
        </w:rPr>
      </w:pPr>
      <w:r>
        <w:rPr>
          <w:i/>
          <w:sz w:val="28"/>
        </w:rPr>
        <w:t>‘The Sarcophagus of Alexander the Great?’</w:t>
      </w:r>
      <w:r>
        <w:rPr>
          <w:sz w:val="28"/>
        </w:rPr>
        <w:t xml:space="preserve">, by Andrew </w:t>
      </w:r>
      <w:proofErr w:type="spellStart"/>
      <w:r>
        <w:rPr>
          <w:sz w:val="28"/>
        </w:rPr>
        <w:t>Chugg</w:t>
      </w:r>
      <w:proofErr w:type="spellEnd"/>
      <w:r>
        <w:rPr>
          <w:sz w:val="28"/>
        </w:rPr>
        <w:t xml:space="preserve">, explores a variety </w:t>
      </w:r>
      <w:r w:rsidR="00F87BB3">
        <w:rPr>
          <w:sz w:val="28"/>
        </w:rPr>
        <w:t xml:space="preserve">of ancient and modern accounts and theories to examine the provenance and authenticity of what was initially believed to be the sarcophagus of Alexander the Great, now known as the “conglomerate sarcophagus of </w:t>
      </w:r>
      <w:proofErr w:type="spellStart"/>
      <w:r w:rsidR="00F87BB3">
        <w:rPr>
          <w:sz w:val="28"/>
        </w:rPr>
        <w:t>Nectanebo</w:t>
      </w:r>
      <w:proofErr w:type="spellEnd"/>
      <w:r w:rsidR="00F87BB3">
        <w:rPr>
          <w:sz w:val="28"/>
        </w:rPr>
        <w:t xml:space="preserve"> II.”</w:t>
      </w:r>
      <w:r w:rsidR="00F87BB3">
        <w:rPr>
          <w:rStyle w:val="FootnoteReference"/>
          <w:sz w:val="28"/>
        </w:rPr>
        <w:footnoteReference w:id="1"/>
      </w:r>
      <w:r w:rsidR="00F87BB3">
        <w:rPr>
          <w:sz w:val="28"/>
        </w:rPr>
        <w:t xml:space="preserve"> As a result of </w:t>
      </w:r>
      <w:proofErr w:type="spellStart"/>
      <w:r w:rsidR="00F87BB3">
        <w:rPr>
          <w:sz w:val="28"/>
        </w:rPr>
        <w:t>Chugg’s</w:t>
      </w:r>
      <w:proofErr w:type="spellEnd"/>
      <w:r w:rsidR="00F87BB3">
        <w:rPr>
          <w:sz w:val="28"/>
        </w:rPr>
        <w:t xml:space="preserve"> anecdotal style his argument is not explicit, however he does conclude that the sarcophagus found in the courtyard of the </w:t>
      </w:r>
      <w:proofErr w:type="spellStart"/>
      <w:r w:rsidR="00F87BB3">
        <w:rPr>
          <w:sz w:val="28"/>
        </w:rPr>
        <w:t>Attarine</w:t>
      </w:r>
      <w:proofErr w:type="spellEnd"/>
      <w:r w:rsidR="00F87BB3">
        <w:rPr>
          <w:sz w:val="28"/>
        </w:rPr>
        <w:t xml:space="preserve"> Mosque is Alexander’s sarcophagus, despite disputing views from other scholars.</w:t>
      </w:r>
    </w:p>
    <w:p w14:paraId="60013E06" w14:textId="131161D0" w:rsidR="00F87BB3" w:rsidRDefault="00F87BB3" w:rsidP="00566EAF">
      <w:pPr>
        <w:rPr>
          <w:sz w:val="28"/>
        </w:rPr>
      </w:pPr>
    </w:p>
    <w:p w14:paraId="57A196C9" w14:textId="38CCEF64" w:rsidR="008F6926" w:rsidRDefault="00F87BB3" w:rsidP="00566EAF">
      <w:pPr>
        <w:rPr>
          <w:sz w:val="28"/>
        </w:rPr>
      </w:pPr>
      <w:r>
        <w:rPr>
          <w:sz w:val="28"/>
        </w:rPr>
        <w:t xml:space="preserve">In the first section </w:t>
      </w:r>
      <w:proofErr w:type="spellStart"/>
      <w:r>
        <w:rPr>
          <w:sz w:val="28"/>
        </w:rPr>
        <w:t>Chugg</w:t>
      </w:r>
      <w:proofErr w:type="spellEnd"/>
      <w:r>
        <w:rPr>
          <w:sz w:val="28"/>
        </w:rPr>
        <w:t xml:space="preserve"> discusses Napoleon Bonaparte’s discovery of the sarcophagus in 1798 and the findings of Bonaparte’s “leading scholar in the team” Vivant Denon,</w:t>
      </w:r>
      <w:r w:rsidR="00133D37">
        <w:rPr>
          <w:rStyle w:val="FootnoteReference"/>
          <w:sz w:val="28"/>
        </w:rPr>
        <w:footnoteReference w:id="2"/>
      </w:r>
      <w:r>
        <w:rPr>
          <w:sz w:val="28"/>
        </w:rPr>
        <w:t xml:space="preserve"> as well as the 1805 dissertation of the British scholar Edward Daniel Clarke, who brought the sarcophagus back from Alexandria to the British museum. Clarke’s dissertation, which contains an account of the recovery of the sarcophagus is dismissed by </w:t>
      </w:r>
      <w:proofErr w:type="spellStart"/>
      <w:r>
        <w:rPr>
          <w:sz w:val="28"/>
        </w:rPr>
        <w:t>Chugg</w:t>
      </w:r>
      <w:proofErr w:type="spellEnd"/>
      <w:r>
        <w:rPr>
          <w:sz w:val="28"/>
        </w:rPr>
        <w:t xml:space="preserve"> on the ground that Clarke does not provide adequate evidence to that which had already been contributed by Denon.</w:t>
      </w:r>
      <w:r>
        <w:rPr>
          <w:rStyle w:val="FootnoteReference"/>
          <w:sz w:val="28"/>
        </w:rPr>
        <w:footnoteReference w:id="3"/>
      </w:r>
    </w:p>
    <w:p w14:paraId="0741A6BC" w14:textId="7CA63111" w:rsidR="00624307" w:rsidRDefault="00624307" w:rsidP="00566EAF">
      <w:pPr>
        <w:rPr>
          <w:sz w:val="28"/>
        </w:rPr>
      </w:pPr>
    </w:p>
    <w:p w14:paraId="1185C6F2" w14:textId="6902904F" w:rsidR="009B1AFE" w:rsidRDefault="00624307" w:rsidP="00566EAF">
      <w:pPr>
        <w:rPr>
          <w:sz w:val="28"/>
        </w:rPr>
      </w:pPr>
      <w:r>
        <w:rPr>
          <w:sz w:val="28"/>
        </w:rPr>
        <w:t xml:space="preserve">The second section </w:t>
      </w:r>
      <w:r w:rsidR="00B5467D">
        <w:rPr>
          <w:sz w:val="28"/>
        </w:rPr>
        <w:t xml:space="preserve">examines the analyses of the sarcophagus, and the hieroglyphs on it. This is the first mention of the sarcophagus belonging to </w:t>
      </w:r>
      <w:proofErr w:type="spellStart"/>
      <w:r w:rsidR="00B5467D">
        <w:rPr>
          <w:sz w:val="28"/>
        </w:rPr>
        <w:t>Nectanebo</w:t>
      </w:r>
      <w:proofErr w:type="spellEnd"/>
      <w:r w:rsidR="00B5467D">
        <w:rPr>
          <w:sz w:val="28"/>
        </w:rPr>
        <w:t xml:space="preserve"> II.</w:t>
      </w:r>
      <w:r w:rsidR="001D0E53">
        <w:rPr>
          <w:rStyle w:val="FootnoteReference"/>
          <w:sz w:val="28"/>
        </w:rPr>
        <w:footnoteReference w:id="4"/>
      </w:r>
      <w:r w:rsidR="003D44F2">
        <w:rPr>
          <w:sz w:val="28"/>
        </w:rPr>
        <w:t xml:space="preserve"> </w:t>
      </w:r>
      <w:proofErr w:type="spellStart"/>
      <w:r w:rsidR="008217DA">
        <w:rPr>
          <w:sz w:val="28"/>
        </w:rPr>
        <w:t>Chugg</w:t>
      </w:r>
      <w:proofErr w:type="spellEnd"/>
      <w:r w:rsidR="008217DA">
        <w:rPr>
          <w:sz w:val="28"/>
        </w:rPr>
        <w:t xml:space="preserve"> </w:t>
      </w:r>
      <w:r w:rsidR="00B62533">
        <w:rPr>
          <w:sz w:val="28"/>
        </w:rPr>
        <w:t xml:space="preserve">uses parts </w:t>
      </w:r>
      <w:r w:rsidR="00D7474C">
        <w:rPr>
          <w:sz w:val="28"/>
        </w:rPr>
        <w:t>of Wace’s</w:t>
      </w:r>
      <w:r w:rsidR="00B62533">
        <w:rPr>
          <w:sz w:val="28"/>
        </w:rPr>
        <w:t xml:space="preserve"> argument, and Diodorus’ ancient account to back up his own to create an explanation for </w:t>
      </w:r>
      <w:r w:rsidR="00B72335">
        <w:rPr>
          <w:sz w:val="28"/>
        </w:rPr>
        <w:t>this sarcophagus to be connected to Alexander</w:t>
      </w:r>
      <w:r w:rsidR="005C4C7D">
        <w:rPr>
          <w:sz w:val="28"/>
        </w:rPr>
        <w:t>,</w:t>
      </w:r>
      <w:r w:rsidR="00D7474C">
        <w:rPr>
          <w:sz w:val="28"/>
        </w:rPr>
        <w:t xml:space="preserve"> however, he disagrees with Wace’s last main point </w:t>
      </w:r>
      <w:r w:rsidR="00C54136">
        <w:rPr>
          <w:sz w:val="28"/>
        </w:rPr>
        <w:t xml:space="preserve">about the town of </w:t>
      </w:r>
      <w:proofErr w:type="spellStart"/>
      <w:r w:rsidR="00C54136">
        <w:rPr>
          <w:sz w:val="28"/>
        </w:rPr>
        <w:t>Rhakotis</w:t>
      </w:r>
      <w:proofErr w:type="spellEnd"/>
      <w:r w:rsidR="00C54136">
        <w:rPr>
          <w:sz w:val="28"/>
        </w:rPr>
        <w:t xml:space="preserve"> pre-existing Alexandria, but he manages to strengthen his disagreement with archaeological evidence.</w:t>
      </w:r>
      <w:r w:rsidR="009B1AFE">
        <w:rPr>
          <w:rStyle w:val="FootnoteReference"/>
          <w:sz w:val="28"/>
        </w:rPr>
        <w:footnoteReference w:id="5"/>
      </w:r>
      <w:r w:rsidR="00C54136">
        <w:rPr>
          <w:sz w:val="28"/>
        </w:rPr>
        <w:t xml:space="preserve"> I agree with these points in the fact that the sarcophagus of </w:t>
      </w:r>
      <w:proofErr w:type="spellStart"/>
      <w:r w:rsidR="00C54136">
        <w:rPr>
          <w:sz w:val="28"/>
        </w:rPr>
        <w:t>Nectanebo</w:t>
      </w:r>
      <w:proofErr w:type="spellEnd"/>
      <w:r w:rsidR="00C54136">
        <w:rPr>
          <w:sz w:val="28"/>
        </w:rPr>
        <w:t xml:space="preserve"> II was not filled by him, and therefore, could have been available for Alexander when he was transported to Alexandria.</w:t>
      </w:r>
    </w:p>
    <w:p w14:paraId="2267264E" w14:textId="77777777" w:rsidR="00C54136" w:rsidRDefault="00C54136" w:rsidP="00566EAF">
      <w:pPr>
        <w:rPr>
          <w:sz w:val="28"/>
        </w:rPr>
      </w:pPr>
    </w:p>
    <w:p w14:paraId="032A17F3" w14:textId="708D0402" w:rsidR="009B1AFE" w:rsidRDefault="00C54136" w:rsidP="00566EAF">
      <w:pPr>
        <w:rPr>
          <w:sz w:val="28"/>
        </w:rPr>
      </w:pPr>
      <w:r>
        <w:rPr>
          <w:sz w:val="28"/>
        </w:rPr>
        <w:t xml:space="preserve">Section three starts with many ancient sources supporting </w:t>
      </w:r>
      <w:r w:rsidR="009B1AFE">
        <w:rPr>
          <w:sz w:val="28"/>
        </w:rPr>
        <w:t>the point that Alexander was buried in Alexandria</w:t>
      </w:r>
      <w:r>
        <w:rPr>
          <w:sz w:val="28"/>
        </w:rPr>
        <w:t>;</w:t>
      </w:r>
      <w:r w:rsidR="009B1AFE">
        <w:rPr>
          <w:rStyle w:val="FootnoteReference"/>
          <w:sz w:val="28"/>
        </w:rPr>
        <w:footnoteReference w:id="6"/>
      </w:r>
      <w:r w:rsidR="00926F52">
        <w:rPr>
          <w:sz w:val="28"/>
        </w:rPr>
        <w:t xml:space="preserve"> however, he also mentions Pausanias and </w:t>
      </w:r>
      <w:r w:rsidR="00926F52">
        <w:rPr>
          <w:sz w:val="28"/>
        </w:rPr>
        <w:lastRenderedPageBreak/>
        <w:t xml:space="preserve">his views that Alexander was buried at Memphis first, before being moved to </w:t>
      </w:r>
      <w:r w:rsidR="003F3337">
        <w:rPr>
          <w:sz w:val="28"/>
        </w:rPr>
        <w:t>Alexandria.</w:t>
      </w:r>
      <w:r w:rsidR="003F3337">
        <w:rPr>
          <w:rStyle w:val="FootnoteReference"/>
          <w:sz w:val="28"/>
        </w:rPr>
        <w:footnoteReference w:id="7"/>
      </w:r>
      <w:r w:rsidR="0065224D">
        <w:rPr>
          <w:sz w:val="28"/>
        </w:rPr>
        <w:t xml:space="preserve"> This point is further </w:t>
      </w:r>
      <w:r>
        <w:rPr>
          <w:sz w:val="28"/>
        </w:rPr>
        <w:t>supported</w:t>
      </w:r>
      <w:r w:rsidR="0065224D">
        <w:rPr>
          <w:sz w:val="28"/>
        </w:rPr>
        <w:t xml:space="preserve"> by a fragment from the Parian Marble</w:t>
      </w:r>
      <w:r w:rsidR="00D05CDF">
        <w:rPr>
          <w:sz w:val="28"/>
        </w:rPr>
        <w:t>.</w:t>
      </w:r>
      <w:r w:rsidR="0065224D">
        <w:rPr>
          <w:rStyle w:val="FootnoteReference"/>
          <w:sz w:val="28"/>
        </w:rPr>
        <w:footnoteReference w:id="8"/>
      </w:r>
      <w:r w:rsidR="00D05CDF">
        <w:rPr>
          <w:sz w:val="28"/>
        </w:rPr>
        <w:t xml:space="preserve"> </w:t>
      </w:r>
      <w:r w:rsidR="006B179A">
        <w:rPr>
          <w:sz w:val="28"/>
        </w:rPr>
        <w:t xml:space="preserve">This is the point in the article where I start to disagree with </w:t>
      </w:r>
      <w:proofErr w:type="spellStart"/>
      <w:r w:rsidR="006B179A">
        <w:rPr>
          <w:sz w:val="28"/>
        </w:rPr>
        <w:t>Chugg</w:t>
      </w:r>
      <w:proofErr w:type="spellEnd"/>
      <w:r w:rsidR="006B179A">
        <w:rPr>
          <w:sz w:val="28"/>
        </w:rPr>
        <w:t xml:space="preserve"> and how he is forming his article; especially in the way that he completely disregards the </w:t>
      </w:r>
      <w:r w:rsidR="006B179A">
        <w:rPr>
          <w:sz w:val="28"/>
        </w:rPr>
        <w:t>fragments of the Parian Marble because he disagrees with it and believes that the sculptor purposefully missed out information to perplex the readers of it.</w:t>
      </w:r>
      <w:r w:rsidR="006B179A">
        <w:rPr>
          <w:rStyle w:val="FootnoteReference"/>
          <w:sz w:val="28"/>
        </w:rPr>
        <w:footnoteReference w:id="9"/>
      </w:r>
      <w:r w:rsidR="006B179A">
        <w:rPr>
          <w:sz w:val="28"/>
        </w:rPr>
        <w:t xml:space="preserve"> </w:t>
      </w:r>
      <w:proofErr w:type="spellStart"/>
      <w:r w:rsidR="00FB4E6F">
        <w:rPr>
          <w:sz w:val="28"/>
        </w:rPr>
        <w:t>Chugg</w:t>
      </w:r>
      <w:proofErr w:type="spellEnd"/>
      <w:r w:rsidR="00FB4E6F">
        <w:rPr>
          <w:sz w:val="28"/>
        </w:rPr>
        <w:t xml:space="preserve"> examines different scholars</w:t>
      </w:r>
      <w:r w:rsidR="00355433">
        <w:rPr>
          <w:sz w:val="28"/>
        </w:rPr>
        <w:t>’</w:t>
      </w:r>
      <w:r w:rsidR="00FB4E6F">
        <w:rPr>
          <w:sz w:val="28"/>
        </w:rPr>
        <w:t xml:space="preserve"> arguments on where the sarcophagus would have been buried at Memphis</w:t>
      </w:r>
      <w:r w:rsidR="004A70ED">
        <w:rPr>
          <w:sz w:val="28"/>
        </w:rPr>
        <w:t>.</w:t>
      </w:r>
      <w:r>
        <w:rPr>
          <w:sz w:val="28"/>
        </w:rPr>
        <w:t xml:space="preserve"> </w:t>
      </w:r>
      <w:proofErr w:type="spellStart"/>
      <w:r w:rsidR="004A70ED">
        <w:rPr>
          <w:sz w:val="28"/>
        </w:rPr>
        <w:t>Chugg</w:t>
      </w:r>
      <w:proofErr w:type="spellEnd"/>
      <w:r w:rsidR="004A70ED">
        <w:rPr>
          <w:sz w:val="28"/>
        </w:rPr>
        <w:t xml:space="preserve"> argues that Alexander and </w:t>
      </w:r>
      <w:proofErr w:type="spellStart"/>
      <w:r w:rsidR="004A70ED">
        <w:rPr>
          <w:sz w:val="28"/>
        </w:rPr>
        <w:t>Nectanebo</w:t>
      </w:r>
      <w:proofErr w:type="spellEnd"/>
      <w:r w:rsidR="004A70ED">
        <w:rPr>
          <w:sz w:val="28"/>
        </w:rPr>
        <w:t xml:space="preserve"> had some sort of connection, as he writes that when buried at Memphis, Alexander is placed in the </w:t>
      </w:r>
      <w:proofErr w:type="spellStart"/>
      <w:r w:rsidR="004A70ED">
        <w:rPr>
          <w:sz w:val="28"/>
        </w:rPr>
        <w:t>Nectanebo</w:t>
      </w:r>
      <w:proofErr w:type="spellEnd"/>
      <w:r w:rsidR="004A70ED">
        <w:rPr>
          <w:sz w:val="28"/>
        </w:rPr>
        <w:t xml:space="preserve"> temple</w:t>
      </w:r>
      <w:r w:rsidR="00DB73EB">
        <w:rPr>
          <w:sz w:val="28"/>
        </w:rPr>
        <w:t>.</w:t>
      </w:r>
      <w:r w:rsidR="004A70ED">
        <w:rPr>
          <w:rStyle w:val="FootnoteReference"/>
          <w:sz w:val="28"/>
        </w:rPr>
        <w:footnoteReference w:id="10"/>
      </w:r>
      <w:r w:rsidR="00DB73EB">
        <w:rPr>
          <w:sz w:val="28"/>
        </w:rPr>
        <w:t xml:space="preserve"> Specifically at the entrance</w:t>
      </w:r>
      <w:r w:rsidR="00FB4E6F">
        <w:rPr>
          <w:sz w:val="28"/>
        </w:rPr>
        <w:t xml:space="preserve"> surrounded by </w:t>
      </w:r>
      <w:r w:rsidR="00DB73EB">
        <w:rPr>
          <w:sz w:val="28"/>
        </w:rPr>
        <w:t>a semi-circle of marble statues representing important Greeks,</w:t>
      </w:r>
      <w:r w:rsidR="00FB4E6F">
        <w:rPr>
          <w:sz w:val="28"/>
        </w:rPr>
        <w:t xml:space="preserve"> which </w:t>
      </w:r>
      <w:proofErr w:type="spellStart"/>
      <w:r w:rsidR="00FB4E6F">
        <w:rPr>
          <w:sz w:val="28"/>
        </w:rPr>
        <w:t>Thompsan</w:t>
      </w:r>
      <w:proofErr w:type="spellEnd"/>
      <w:r w:rsidR="00F07255">
        <w:rPr>
          <w:rStyle w:val="FootnoteReference"/>
          <w:sz w:val="28"/>
        </w:rPr>
        <w:footnoteReference w:id="11"/>
      </w:r>
      <w:r w:rsidR="00FB4E6F">
        <w:rPr>
          <w:sz w:val="28"/>
        </w:rPr>
        <w:t xml:space="preserve"> describes as </w:t>
      </w:r>
      <w:r w:rsidR="00DB73EB">
        <w:rPr>
          <w:sz w:val="28"/>
        </w:rPr>
        <w:t>“guarding a shrine of some importance.”</w:t>
      </w:r>
      <w:r w:rsidR="00DB73EB">
        <w:rPr>
          <w:rStyle w:val="FootnoteReference"/>
          <w:sz w:val="28"/>
        </w:rPr>
        <w:footnoteReference w:id="12"/>
      </w:r>
      <w:r w:rsidR="00FB4E6F">
        <w:rPr>
          <w:sz w:val="28"/>
        </w:rPr>
        <w:t xml:space="preserve"> The last part of this section uses </w:t>
      </w:r>
      <w:r w:rsidR="00096291">
        <w:rPr>
          <w:sz w:val="28"/>
        </w:rPr>
        <w:t>“reputable authorities”</w:t>
      </w:r>
      <w:r w:rsidR="00FB4E6F">
        <w:rPr>
          <w:sz w:val="28"/>
        </w:rPr>
        <w:t xml:space="preserve"> to make a counter argument </w:t>
      </w:r>
      <w:r w:rsidR="00096291">
        <w:rPr>
          <w:sz w:val="28"/>
        </w:rPr>
        <w:t xml:space="preserve">that Alexander would not have been buried in the </w:t>
      </w:r>
      <w:proofErr w:type="spellStart"/>
      <w:r w:rsidR="00096291">
        <w:rPr>
          <w:sz w:val="28"/>
        </w:rPr>
        <w:t>Nectanebo</w:t>
      </w:r>
      <w:proofErr w:type="spellEnd"/>
      <w:r w:rsidR="00096291">
        <w:rPr>
          <w:sz w:val="28"/>
        </w:rPr>
        <w:t xml:space="preserve"> sarcophagus at Memphis</w:t>
      </w:r>
      <w:r w:rsidR="00FB4E6F">
        <w:rPr>
          <w:sz w:val="28"/>
        </w:rPr>
        <w:t>.</w:t>
      </w:r>
      <w:r w:rsidR="00096291">
        <w:rPr>
          <w:rStyle w:val="FootnoteReference"/>
          <w:sz w:val="28"/>
        </w:rPr>
        <w:footnoteReference w:id="13"/>
      </w:r>
      <w:r w:rsidR="00FB4E6F">
        <w:rPr>
          <w:sz w:val="28"/>
        </w:rPr>
        <w:t xml:space="preserve"> </w:t>
      </w:r>
      <w:proofErr w:type="spellStart"/>
      <w:r w:rsidR="00FB4E6F">
        <w:rPr>
          <w:sz w:val="28"/>
        </w:rPr>
        <w:t>Chugg</w:t>
      </w:r>
      <w:proofErr w:type="spellEnd"/>
      <w:r w:rsidR="00FB4E6F">
        <w:rPr>
          <w:sz w:val="28"/>
        </w:rPr>
        <w:t xml:space="preserve"> does not state his final thoughts at the end of this section, but rather rounds it off with the fact that these arguments provide a “possible context for the Memphite tomb.”</w:t>
      </w:r>
      <w:r w:rsidR="00FB4E6F">
        <w:rPr>
          <w:rStyle w:val="FootnoteReference"/>
          <w:sz w:val="28"/>
        </w:rPr>
        <w:footnoteReference w:id="14"/>
      </w:r>
      <w:r w:rsidR="00FB4E6F">
        <w:rPr>
          <w:sz w:val="28"/>
        </w:rPr>
        <w:t xml:space="preserve"> </w:t>
      </w:r>
      <w:r w:rsidR="0007083D">
        <w:rPr>
          <w:sz w:val="28"/>
        </w:rPr>
        <w:t xml:space="preserve">As the location of the sarcophagus at Memphis was never specified in the ancient texts and there is no archaeological evidence to support </w:t>
      </w:r>
      <w:proofErr w:type="spellStart"/>
      <w:r w:rsidR="0007083D">
        <w:rPr>
          <w:sz w:val="28"/>
        </w:rPr>
        <w:t>Thompsan’s</w:t>
      </w:r>
      <w:proofErr w:type="spellEnd"/>
      <w:r w:rsidR="0007083D">
        <w:rPr>
          <w:sz w:val="28"/>
        </w:rPr>
        <w:t xml:space="preserve"> argument falls short, and can only be thought of as a theory. Again, whilst </w:t>
      </w:r>
      <w:proofErr w:type="spellStart"/>
      <w:r w:rsidR="0007083D">
        <w:rPr>
          <w:sz w:val="28"/>
        </w:rPr>
        <w:t>Chugg’s</w:t>
      </w:r>
      <w:proofErr w:type="spellEnd"/>
      <w:r w:rsidR="0007083D">
        <w:rPr>
          <w:sz w:val="28"/>
        </w:rPr>
        <w:t xml:space="preserve"> association of </w:t>
      </w:r>
      <w:proofErr w:type="spellStart"/>
      <w:r w:rsidR="0007083D">
        <w:rPr>
          <w:sz w:val="28"/>
        </w:rPr>
        <w:t>Nectanebo</w:t>
      </w:r>
      <w:proofErr w:type="spellEnd"/>
      <w:r w:rsidR="0007083D">
        <w:rPr>
          <w:sz w:val="28"/>
        </w:rPr>
        <w:t xml:space="preserve"> II and Alexander is supported by ancient texts they do not mention that Alexander’s resting place at Memphis was this </w:t>
      </w:r>
      <w:proofErr w:type="spellStart"/>
      <w:r w:rsidR="0007083D">
        <w:rPr>
          <w:sz w:val="28"/>
        </w:rPr>
        <w:t>Nectanebo</w:t>
      </w:r>
      <w:proofErr w:type="spellEnd"/>
      <w:r w:rsidR="0007083D">
        <w:rPr>
          <w:sz w:val="28"/>
        </w:rPr>
        <w:t xml:space="preserve"> temple that </w:t>
      </w:r>
      <w:proofErr w:type="spellStart"/>
      <w:r w:rsidR="0007083D">
        <w:rPr>
          <w:sz w:val="28"/>
        </w:rPr>
        <w:t>Chugg</w:t>
      </w:r>
      <w:proofErr w:type="spellEnd"/>
      <w:r w:rsidR="0007083D">
        <w:rPr>
          <w:sz w:val="28"/>
        </w:rPr>
        <w:t xml:space="preserve"> mentions.</w:t>
      </w:r>
    </w:p>
    <w:p w14:paraId="7DE30B37" w14:textId="0A323851" w:rsidR="00D567AF" w:rsidRDefault="00D567AF" w:rsidP="00566EAF">
      <w:pPr>
        <w:rPr>
          <w:sz w:val="28"/>
        </w:rPr>
      </w:pPr>
    </w:p>
    <w:p w14:paraId="43A72E4D" w14:textId="70FC29FA" w:rsidR="00D567AF" w:rsidRDefault="00D567AF" w:rsidP="00566EAF">
      <w:pPr>
        <w:rPr>
          <w:sz w:val="28"/>
        </w:rPr>
      </w:pPr>
      <w:proofErr w:type="spellStart"/>
      <w:r>
        <w:rPr>
          <w:sz w:val="28"/>
        </w:rPr>
        <w:t>Chugg</w:t>
      </w:r>
      <w:proofErr w:type="spellEnd"/>
      <w:r>
        <w:rPr>
          <w:sz w:val="28"/>
        </w:rPr>
        <w:t xml:space="preserve"> starts the fourth section with a question asking whether or not there were other </w:t>
      </w:r>
      <w:r w:rsidR="00C94F18">
        <w:rPr>
          <w:sz w:val="28"/>
        </w:rPr>
        <w:t>records pre-Napoleon associating this sarcophagus with Alexander’s tomb. In response to his own question he brings up the report of Leo Africanus from 1550</w:t>
      </w:r>
      <w:r w:rsidR="00D23039">
        <w:rPr>
          <w:sz w:val="28"/>
        </w:rPr>
        <w:t>, which is a report on the tomb of Alexander in the city</w:t>
      </w:r>
      <w:r w:rsidR="00C94F18">
        <w:rPr>
          <w:sz w:val="28"/>
        </w:rPr>
        <w:t>.</w:t>
      </w:r>
      <w:r w:rsidR="00C94F18">
        <w:rPr>
          <w:rStyle w:val="FootnoteReference"/>
          <w:sz w:val="28"/>
        </w:rPr>
        <w:footnoteReference w:id="15"/>
      </w:r>
      <w:r w:rsidR="001C2A49">
        <w:rPr>
          <w:sz w:val="28"/>
        </w:rPr>
        <w:t xml:space="preserve"> Based on his readings, </w:t>
      </w:r>
      <w:proofErr w:type="spellStart"/>
      <w:r w:rsidR="001C2A49">
        <w:rPr>
          <w:sz w:val="28"/>
        </w:rPr>
        <w:t>Chugg</w:t>
      </w:r>
      <w:proofErr w:type="spellEnd"/>
      <w:r w:rsidR="001C2A49">
        <w:rPr>
          <w:sz w:val="28"/>
        </w:rPr>
        <w:t xml:space="preserve"> makes the connection back to the </w:t>
      </w:r>
      <w:proofErr w:type="spellStart"/>
      <w:r w:rsidR="001C2A49">
        <w:rPr>
          <w:sz w:val="28"/>
        </w:rPr>
        <w:t>Attarine</w:t>
      </w:r>
      <w:proofErr w:type="spellEnd"/>
      <w:r w:rsidR="001C2A49">
        <w:rPr>
          <w:sz w:val="28"/>
        </w:rPr>
        <w:t xml:space="preserve"> Mosque, however mentioning that there are also arguments saying it could be discussing another mosque not overly far away.</w:t>
      </w:r>
      <w:r w:rsidR="001C2A49">
        <w:rPr>
          <w:rStyle w:val="FootnoteReference"/>
          <w:sz w:val="28"/>
        </w:rPr>
        <w:footnoteReference w:id="16"/>
      </w:r>
      <w:r w:rsidR="0024380B">
        <w:rPr>
          <w:sz w:val="28"/>
        </w:rPr>
        <w:t xml:space="preserve"> </w:t>
      </w:r>
      <w:r w:rsidR="00A2516C">
        <w:rPr>
          <w:sz w:val="28"/>
        </w:rPr>
        <w:t xml:space="preserve">Using the Braun &amp; </w:t>
      </w:r>
      <w:proofErr w:type="spellStart"/>
      <w:r w:rsidR="00A2516C">
        <w:rPr>
          <w:sz w:val="28"/>
        </w:rPr>
        <w:t>Hogenberg</w:t>
      </w:r>
      <w:proofErr w:type="spellEnd"/>
      <w:r w:rsidR="00A2516C">
        <w:rPr>
          <w:sz w:val="28"/>
        </w:rPr>
        <w:t xml:space="preserve"> map of Alexandria, </w:t>
      </w:r>
      <w:proofErr w:type="spellStart"/>
      <w:r w:rsidR="00A2516C">
        <w:rPr>
          <w:sz w:val="28"/>
        </w:rPr>
        <w:t>Chugg</w:t>
      </w:r>
      <w:proofErr w:type="spellEnd"/>
      <w:r w:rsidR="00A2516C">
        <w:rPr>
          <w:sz w:val="28"/>
        </w:rPr>
        <w:t xml:space="preserve"> solidifies his argument with this </w:t>
      </w:r>
      <w:r w:rsidR="00A2516C">
        <w:rPr>
          <w:sz w:val="28"/>
        </w:rPr>
        <w:lastRenderedPageBreak/>
        <w:t>topographic evidence.</w:t>
      </w:r>
      <w:r w:rsidR="00A2516C">
        <w:rPr>
          <w:rStyle w:val="FootnoteReference"/>
          <w:sz w:val="28"/>
        </w:rPr>
        <w:footnoteReference w:id="17"/>
      </w:r>
      <w:r w:rsidR="009C5903">
        <w:rPr>
          <w:sz w:val="28"/>
        </w:rPr>
        <w:t xml:space="preserve"> Within this section </w:t>
      </w:r>
      <w:proofErr w:type="spellStart"/>
      <w:r w:rsidR="009B0126">
        <w:rPr>
          <w:sz w:val="28"/>
        </w:rPr>
        <w:t>Chugg</w:t>
      </w:r>
      <w:proofErr w:type="spellEnd"/>
      <w:r w:rsidR="009B0126">
        <w:rPr>
          <w:sz w:val="28"/>
        </w:rPr>
        <w:t xml:space="preserve"> uses a lot of loaded words</w:t>
      </w:r>
      <w:r w:rsidR="009B0126">
        <w:rPr>
          <w:rStyle w:val="FootnoteReference"/>
          <w:sz w:val="28"/>
        </w:rPr>
        <w:footnoteReference w:id="18"/>
      </w:r>
      <w:r w:rsidR="009B0126">
        <w:rPr>
          <w:sz w:val="28"/>
        </w:rPr>
        <w:t xml:space="preserve"> and assumptions based on his personal argument which seems to get clearer through the article.</w:t>
      </w:r>
      <w:r w:rsidR="0052137B">
        <w:rPr>
          <w:sz w:val="28"/>
        </w:rPr>
        <w:t xml:space="preserve"> </w:t>
      </w:r>
    </w:p>
    <w:p w14:paraId="49B2403F" w14:textId="2DC2AE42" w:rsidR="007C77D5" w:rsidRDefault="007C77D5" w:rsidP="00566EAF">
      <w:pPr>
        <w:rPr>
          <w:sz w:val="28"/>
        </w:rPr>
      </w:pPr>
    </w:p>
    <w:p w14:paraId="20A3D4A6" w14:textId="5316DB1E" w:rsidR="00C81823" w:rsidRDefault="00571A72" w:rsidP="00566EAF">
      <w:pPr>
        <w:rPr>
          <w:sz w:val="28"/>
        </w:rPr>
      </w:pPr>
      <w:r>
        <w:rPr>
          <w:sz w:val="28"/>
        </w:rPr>
        <w:t xml:space="preserve">Section five is </w:t>
      </w:r>
      <w:r w:rsidR="0052137B">
        <w:rPr>
          <w:sz w:val="28"/>
        </w:rPr>
        <w:t>an</w:t>
      </w:r>
      <w:r>
        <w:rPr>
          <w:sz w:val="28"/>
        </w:rPr>
        <w:t xml:space="preserve"> examination of The Church of St. Athanasius</w:t>
      </w:r>
      <w:r w:rsidR="00A2516C">
        <w:rPr>
          <w:sz w:val="28"/>
        </w:rPr>
        <w:t>.</w:t>
      </w:r>
      <w:r>
        <w:rPr>
          <w:sz w:val="28"/>
        </w:rPr>
        <w:t xml:space="preserve"> </w:t>
      </w:r>
      <w:proofErr w:type="spellStart"/>
      <w:r w:rsidR="00A2516C">
        <w:rPr>
          <w:sz w:val="28"/>
        </w:rPr>
        <w:t>Chugg</w:t>
      </w:r>
      <w:proofErr w:type="spellEnd"/>
      <w:r w:rsidR="00A2516C">
        <w:rPr>
          <w:sz w:val="28"/>
        </w:rPr>
        <w:t xml:space="preserve"> uses ancient sources</w:t>
      </w:r>
      <w:r w:rsidR="00552716">
        <w:rPr>
          <w:rStyle w:val="FootnoteReference"/>
          <w:sz w:val="28"/>
        </w:rPr>
        <w:footnoteReference w:id="19"/>
      </w:r>
      <w:r>
        <w:rPr>
          <w:sz w:val="28"/>
        </w:rPr>
        <w:t xml:space="preserve"> </w:t>
      </w:r>
      <w:r w:rsidR="00A2516C">
        <w:rPr>
          <w:sz w:val="28"/>
        </w:rPr>
        <w:t xml:space="preserve">to give background to this section in which it is mentioned that the </w:t>
      </w:r>
      <w:proofErr w:type="spellStart"/>
      <w:r w:rsidR="00A2516C">
        <w:rPr>
          <w:sz w:val="28"/>
        </w:rPr>
        <w:t>Attarine</w:t>
      </w:r>
      <w:proofErr w:type="spellEnd"/>
      <w:r w:rsidR="00A2516C">
        <w:rPr>
          <w:sz w:val="28"/>
        </w:rPr>
        <w:t xml:space="preserve"> Mosque was also the site of the Church of St. Athanasius</w:t>
      </w:r>
      <w:r>
        <w:rPr>
          <w:sz w:val="28"/>
        </w:rPr>
        <w:t xml:space="preserve">. At the end of this section, </w:t>
      </w:r>
      <w:proofErr w:type="spellStart"/>
      <w:r>
        <w:rPr>
          <w:sz w:val="28"/>
        </w:rPr>
        <w:t>Chugg</w:t>
      </w:r>
      <w:proofErr w:type="spellEnd"/>
      <w:r>
        <w:rPr>
          <w:sz w:val="28"/>
        </w:rPr>
        <w:t xml:space="preserve"> mentions that “the relevant point here is that Athanasius was </w:t>
      </w:r>
      <w:r w:rsidR="00F5355C">
        <w:rPr>
          <w:sz w:val="28"/>
        </w:rPr>
        <w:t>Patriarch</w:t>
      </w:r>
      <w:r>
        <w:rPr>
          <w:sz w:val="28"/>
        </w:rPr>
        <w:t xml:space="preserve"> of Alexandr</w:t>
      </w:r>
      <w:r w:rsidR="00A2516C">
        <w:rPr>
          <w:sz w:val="28"/>
        </w:rPr>
        <w:t>ia</w:t>
      </w:r>
      <w:r>
        <w:rPr>
          <w:sz w:val="28"/>
        </w:rPr>
        <w:t xml:space="preserve"> </w:t>
      </w:r>
      <w:r w:rsidR="00262333">
        <w:rPr>
          <w:sz w:val="28"/>
        </w:rPr>
        <w:t>i</w:t>
      </w:r>
      <w:r w:rsidR="00F5355C">
        <w:rPr>
          <w:sz w:val="28"/>
        </w:rPr>
        <w:t>n AD 365</w:t>
      </w:r>
      <w:r>
        <w:rPr>
          <w:sz w:val="28"/>
        </w:rPr>
        <w:t xml:space="preserve"> which m</w:t>
      </w:r>
      <w:r w:rsidR="00262333">
        <w:rPr>
          <w:sz w:val="28"/>
        </w:rPr>
        <w:t>a</w:t>
      </w:r>
      <w:r>
        <w:rPr>
          <w:sz w:val="28"/>
        </w:rPr>
        <w:t>y help to explain how the sarcopha</w:t>
      </w:r>
      <w:r w:rsidR="00F5355C">
        <w:rPr>
          <w:sz w:val="28"/>
        </w:rPr>
        <w:t>g</w:t>
      </w:r>
      <w:r>
        <w:rPr>
          <w:sz w:val="28"/>
        </w:rPr>
        <w:t xml:space="preserve">us ended up in a mosque on the site of a late </w:t>
      </w:r>
      <w:r w:rsidR="00262333">
        <w:rPr>
          <w:sz w:val="28"/>
        </w:rPr>
        <w:t>Roman church dedicated to his memory.”</w:t>
      </w:r>
      <w:r w:rsidR="00262333">
        <w:rPr>
          <w:rStyle w:val="FootnoteReference"/>
          <w:sz w:val="28"/>
        </w:rPr>
        <w:footnoteReference w:id="20"/>
      </w:r>
      <w:r w:rsidR="00262333">
        <w:rPr>
          <w:sz w:val="28"/>
        </w:rPr>
        <w:t xml:space="preserve"> Within this section there is a lot of unnecessary background, which feels as though it has been added to </w:t>
      </w:r>
      <w:r w:rsidR="007B3B29">
        <w:rPr>
          <w:sz w:val="28"/>
        </w:rPr>
        <w:t>stretch</w:t>
      </w:r>
      <w:r w:rsidR="00262333">
        <w:rPr>
          <w:sz w:val="28"/>
        </w:rPr>
        <w:t xml:space="preserve"> out the section.</w:t>
      </w:r>
    </w:p>
    <w:p w14:paraId="2C654B86" w14:textId="450F1B89" w:rsidR="00B40F95" w:rsidRDefault="00B40F95" w:rsidP="00566EAF">
      <w:pPr>
        <w:rPr>
          <w:sz w:val="28"/>
        </w:rPr>
      </w:pPr>
    </w:p>
    <w:p w14:paraId="6FA03806" w14:textId="5621A6A8" w:rsidR="00B40F95" w:rsidRDefault="004141D5" w:rsidP="00566EAF">
      <w:pPr>
        <w:rPr>
          <w:sz w:val="28"/>
        </w:rPr>
      </w:pPr>
      <w:r>
        <w:rPr>
          <w:sz w:val="28"/>
        </w:rPr>
        <w:t>In the</w:t>
      </w:r>
      <w:r w:rsidR="00B40F95">
        <w:rPr>
          <w:sz w:val="28"/>
        </w:rPr>
        <w:t xml:space="preserve"> concluding section of this article</w:t>
      </w:r>
      <w:r>
        <w:rPr>
          <w:sz w:val="28"/>
        </w:rPr>
        <w:t xml:space="preserve">, </w:t>
      </w:r>
      <w:proofErr w:type="spellStart"/>
      <w:r>
        <w:rPr>
          <w:sz w:val="28"/>
        </w:rPr>
        <w:t>Chugg</w:t>
      </w:r>
      <w:proofErr w:type="spellEnd"/>
      <w:r>
        <w:rPr>
          <w:sz w:val="28"/>
        </w:rPr>
        <w:t xml:space="preserve"> sums up </w:t>
      </w:r>
      <w:r w:rsidR="00974A2F">
        <w:rPr>
          <w:sz w:val="28"/>
        </w:rPr>
        <w:t>his sections and arguments, and mentions the problems that he has faced with writing only a</w:t>
      </w:r>
      <w:r w:rsidR="000E33D0">
        <w:rPr>
          <w:sz w:val="28"/>
        </w:rPr>
        <w:t xml:space="preserve"> small</w:t>
      </w:r>
      <w:r w:rsidR="00974A2F">
        <w:rPr>
          <w:sz w:val="28"/>
        </w:rPr>
        <w:t xml:space="preserve"> article on this point, and concludes with his final decision that this is “the genuine sarcophagus of Alexander the Grea</w:t>
      </w:r>
      <w:r w:rsidR="000E33D0">
        <w:rPr>
          <w:sz w:val="28"/>
        </w:rPr>
        <w:t>t</w:t>
      </w:r>
      <w:r w:rsidR="00974A2F">
        <w:rPr>
          <w:sz w:val="28"/>
        </w:rPr>
        <w:t>.</w:t>
      </w:r>
      <w:r w:rsidR="000E33D0">
        <w:rPr>
          <w:sz w:val="28"/>
        </w:rPr>
        <w:t>”</w:t>
      </w:r>
      <w:r w:rsidR="00974A2F">
        <w:rPr>
          <w:rStyle w:val="FootnoteReference"/>
          <w:sz w:val="28"/>
        </w:rPr>
        <w:footnoteReference w:id="21"/>
      </w:r>
      <w:r w:rsidR="000E33D0">
        <w:rPr>
          <w:sz w:val="28"/>
        </w:rPr>
        <w:t xml:space="preserve"> </w:t>
      </w:r>
      <w:proofErr w:type="spellStart"/>
      <w:r w:rsidR="000E33D0">
        <w:rPr>
          <w:sz w:val="28"/>
        </w:rPr>
        <w:t>Chugg</w:t>
      </w:r>
      <w:proofErr w:type="spellEnd"/>
      <w:r w:rsidR="000E33D0">
        <w:rPr>
          <w:sz w:val="28"/>
        </w:rPr>
        <w:t xml:space="preserve"> believes that his argument throughout this article is strong, however, I disagree with this </w:t>
      </w:r>
      <w:r w:rsidR="00631C7C">
        <w:rPr>
          <w:sz w:val="28"/>
        </w:rPr>
        <w:t xml:space="preserve">and his final argument as a result of him ignoring strong ancient evidence and modern scholarship which dispute his thoughts. Whilst at the time it was found, the sarcophagus may have been believed to have belonged to Alexander, more modern </w:t>
      </w:r>
      <w:r w:rsidR="002844F2">
        <w:rPr>
          <w:sz w:val="28"/>
        </w:rPr>
        <w:t>scholarship and reputable researchers have decided and argued that this sarcophagus did not contain Alexander. It is even thought that this sarcophagus was used as a ritual bath.</w:t>
      </w:r>
      <w:r w:rsidR="002844F2">
        <w:rPr>
          <w:rStyle w:val="FootnoteReference"/>
          <w:sz w:val="28"/>
        </w:rPr>
        <w:footnoteReference w:id="22"/>
      </w:r>
    </w:p>
    <w:p w14:paraId="4D133675" w14:textId="77777777" w:rsidR="00C81823" w:rsidRDefault="00C81823" w:rsidP="00566EAF">
      <w:pPr>
        <w:rPr>
          <w:sz w:val="28"/>
        </w:rPr>
      </w:pPr>
    </w:p>
    <w:p w14:paraId="56B6910D" w14:textId="491CE025" w:rsidR="00D07845" w:rsidRDefault="00D0283D" w:rsidP="00566EAF">
      <w:pPr>
        <w:rPr>
          <w:sz w:val="28"/>
        </w:rPr>
      </w:pPr>
      <w:r>
        <w:rPr>
          <w:sz w:val="28"/>
        </w:rPr>
        <w:t xml:space="preserve">The overall tone of this article </w:t>
      </w:r>
      <w:r w:rsidR="007C77D5">
        <w:rPr>
          <w:sz w:val="28"/>
        </w:rPr>
        <w:t>is very</w:t>
      </w:r>
      <w:r w:rsidR="006E4F4E">
        <w:rPr>
          <w:sz w:val="28"/>
        </w:rPr>
        <w:t xml:space="preserve"> anecdotal.</w:t>
      </w:r>
      <w:r w:rsidR="007C77D5">
        <w:rPr>
          <w:sz w:val="28"/>
        </w:rPr>
        <w:t xml:space="preserve"> </w:t>
      </w:r>
      <w:r w:rsidR="006E4F4E">
        <w:rPr>
          <w:sz w:val="28"/>
        </w:rPr>
        <w:t>I</w:t>
      </w:r>
      <w:r w:rsidR="007C77D5">
        <w:rPr>
          <w:sz w:val="28"/>
        </w:rPr>
        <w:t xml:space="preserve">t is </w:t>
      </w:r>
      <w:r w:rsidR="006E4F4E">
        <w:rPr>
          <w:sz w:val="28"/>
        </w:rPr>
        <w:t>as though</w:t>
      </w:r>
      <w:r w:rsidR="007C77D5">
        <w:rPr>
          <w:sz w:val="28"/>
        </w:rPr>
        <w:t xml:space="preserve"> </w:t>
      </w:r>
      <w:proofErr w:type="spellStart"/>
      <w:r w:rsidR="007C77D5">
        <w:rPr>
          <w:sz w:val="28"/>
        </w:rPr>
        <w:t>Chugg</w:t>
      </w:r>
      <w:proofErr w:type="spellEnd"/>
      <w:r w:rsidR="007C77D5">
        <w:rPr>
          <w:sz w:val="28"/>
        </w:rPr>
        <w:t xml:space="preserve"> is </w:t>
      </w:r>
      <w:r w:rsidR="006E4F4E">
        <w:rPr>
          <w:sz w:val="28"/>
        </w:rPr>
        <w:t>trying to tell</w:t>
      </w:r>
      <w:r w:rsidR="007C77D5">
        <w:rPr>
          <w:sz w:val="28"/>
        </w:rPr>
        <w:t xml:space="preserve"> a story through each section, not revealing the point of having each section and the evidence within it until the end, </w:t>
      </w:r>
      <w:r w:rsidR="00563C71">
        <w:rPr>
          <w:sz w:val="28"/>
        </w:rPr>
        <w:t xml:space="preserve">finally </w:t>
      </w:r>
      <w:r w:rsidR="007C77D5">
        <w:rPr>
          <w:sz w:val="28"/>
        </w:rPr>
        <w:t>summing up everything with a small paragraph or singular sentence</w:t>
      </w:r>
      <w:r w:rsidR="004141D5">
        <w:rPr>
          <w:sz w:val="28"/>
        </w:rPr>
        <w:t>, with not all of his ‘argument’ and evidence needing to be involved</w:t>
      </w:r>
      <w:r w:rsidR="00D07845">
        <w:rPr>
          <w:sz w:val="28"/>
        </w:rPr>
        <w:t xml:space="preserve"> in the process. </w:t>
      </w:r>
      <w:r w:rsidR="00BA0F82">
        <w:rPr>
          <w:sz w:val="28"/>
        </w:rPr>
        <w:t xml:space="preserve">As mentioned above, he does not always </w:t>
      </w:r>
      <w:r w:rsidR="00B70E71">
        <w:rPr>
          <w:sz w:val="28"/>
        </w:rPr>
        <w:t xml:space="preserve">agree with the evidence that he uses, and will fully disregard them so as to further his personal view that this sarcophagus belonged to Alexander </w:t>
      </w:r>
      <w:r w:rsidR="00B70E71">
        <w:rPr>
          <w:sz w:val="28"/>
        </w:rPr>
        <w:lastRenderedPageBreak/>
        <w:t>the Great.</w:t>
      </w:r>
      <w:r w:rsidR="002E7EF7">
        <w:rPr>
          <w:sz w:val="28"/>
        </w:rPr>
        <w:t xml:space="preserve"> Unless the reader does further reading and research around </w:t>
      </w:r>
      <w:r w:rsidR="00052E73">
        <w:rPr>
          <w:sz w:val="28"/>
        </w:rPr>
        <w:t>this subject it</w:t>
      </w:r>
      <w:r w:rsidR="002E7EF7">
        <w:rPr>
          <w:sz w:val="28"/>
        </w:rPr>
        <w:t xml:space="preserve"> is easy to be drawn in by Chugg’s </w:t>
      </w:r>
      <w:r w:rsidR="008666EB">
        <w:rPr>
          <w:sz w:val="28"/>
        </w:rPr>
        <w:t>views and personal findings.</w:t>
      </w:r>
    </w:p>
    <w:p w14:paraId="31ECBB6E" w14:textId="77777777" w:rsidR="00D07845" w:rsidRDefault="00D07845" w:rsidP="00566EAF">
      <w:pPr>
        <w:rPr>
          <w:sz w:val="28"/>
        </w:rPr>
      </w:pPr>
    </w:p>
    <w:p w14:paraId="626B0B16" w14:textId="373A22B6" w:rsidR="00D832CB" w:rsidRDefault="001118F8" w:rsidP="00566EAF">
      <w:pPr>
        <w:rPr>
          <w:sz w:val="28"/>
        </w:rPr>
      </w:pPr>
      <w:r>
        <w:rPr>
          <w:sz w:val="28"/>
        </w:rPr>
        <w:t xml:space="preserve">The journal in which this article is published is meant to </w:t>
      </w:r>
      <w:r w:rsidR="00203685">
        <w:rPr>
          <w:sz w:val="28"/>
        </w:rPr>
        <w:t>“deliver scholarly research to a wider audience</w:t>
      </w:r>
      <w:r w:rsidR="00F90B89">
        <w:rPr>
          <w:sz w:val="28"/>
        </w:rPr>
        <w:t>.</w:t>
      </w:r>
      <w:r w:rsidR="00203685">
        <w:rPr>
          <w:sz w:val="28"/>
        </w:rPr>
        <w:t>”</w:t>
      </w:r>
      <w:r w:rsidR="00203685">
        <w:rPr>
          <w:rStyle w:val="FootnoteReference"/>
          <w:sz w:val="28"/>
        </w:rPr>
        <w:footnoteReference w:id="23"/>
      </w:r>
      <w:r w:rsidR="00F90B89">
        <w:rPr>
          <w:sz w:val="28"/>
        </w:rPr>
        <w:t xml:space="preserve"> However, I have found that in some cases Chugg expects the reader to already have knowledge of this topic, and aspects of ancient Egypt rather than explaining them and how they’re relevant to the article itself. For example, in </w:t>
      </w:r>
      <w:r w:rsidR="00A73482">
        <w:rPr>
          <w:sz w:val="28"/>
        </w:rPr>
        <w:t>section five, ‘The Church of St. Athanasius,</w:t>
      </w:r>
      <w:r w:rsidR="00C65690">
        <w:rPr>
          <w:sz w:val="28"/>
        </w:rPr>
        <w:t>’</w:t>
      </w:r>
      <w:r w:rsidR="00A73482">
        <w:rPr>
          <w:sz w:val="28"/>
        </w:rPr>
        <w:t xml:space="preserve"> he completely changes the language </w:t>
      </w:r>
      <w:r w:rsidR="00C65690">
        <w:rPr>
          <w:sz w:val="28"/>
        </w:rPr>
        <w:t xml:space="preserve">that </w:t>
      </w:r>
      <w:r w:rsidR="00A73482">
        <w:rPr>
          <w:sz w:val="28"/>
        </w:rPr>
        <w:t xml:space="preserve">he is using: discussing the </w:t>
      </w:r>
      <w:r w:rsidR="00974A2F">
        <w:rPr>
          <w:sz w:val="28"/>
        </w:rPr>
        <w:t>“</w:t>
      </w:r>
      <w:r w:rsidR="00A73482">
        <w:rPr>
          <w:sz w:val="28"/>
        </w:rPr>
        <w:t xml:space="preserve">Soma </w:t>
      </w:r>
      <w:r w:rsidR="00974A2F">
        <w:rPr>
          <w:sz w:val="28"/>
        </w:rPr>
        <w:t>mausoleum”</w:t>
      </w:r>
      <w:r w:rsidR="00A73482">
        <w:rPr>
          <w:sz w:val="28"/>
        </w:rPr>
        <w:t xml:space="preserve"> rather that the tomb/sarcophagus of Alexander.</w:t>
      </w:r>
      <w:r w:rsidR="00A73482">
        <w:rPr>
          <w:rStyle w:val="FootnoteReference"/>
          <w:sz w:val="28"/>
        </w:rPr>
        <w:footnoteReference w:id="24"/>
      </w:r>
      <w:r w:rsidR="008A5C19">
        <w:rPr>
          <w:sz w:val="28"/>
        </w:rPr>
        <w:t xml:space="preserve"> </w:t>
      </w:r>
      <w:r w:rsidR="00A40289">
        <w:rPr>
          <w:sz w:val="28"/>
        </w:rPr>
        <w:t xml:space="preserve">I find that this article in fact is for reader who already </w:t>
      </w:r>
      <w:r w:rsidR="00053419">
        <w:rPr>
          <w:sz w:val="28"/>
        </w:rPr>
        <w:t>understands</w:t>
      </w:r>
      <w:r w:rsidR="00A40289">
        <w:rPr>
          <w:sz w:val="28"/>
        </w:rPr>
        <w:t xml:space="preserve"> </w:t>
      </w:r>
      <w:r w:rsidR="00A84271">
        <w:rPr>
          <w:sz w:val="28"/>
        </w:rPr>
        <w:t xml:space="preserve">Alexander the Great and the ancient sources that are used by </w:t>
      </w:r>
      <w:proofErr w:type="spellStart"/>
      <w:r w:rsidR="00A84271">
        <w:rPr>
          <w:sz w:val="28"/>
        </w:rPr>
        <w:t>Chugg</w:t>
      </w:r>
      <w:proofErr w:type="spellEnd"/>
      <w:r w:rsidR="00A84271">
        <w:rPr>
          <w:sz w:val="28"/>
        </w:rPr>
        <w:t>.</w:t>
      </w:r>
    </w:p>
    <w:p w14:paraId="5A05D647" w14:textId="77777777" w:rsidR="00D832CB" w:rsidRDefault="00D832CB" w:rsidP="00566EAF">
      <w:pPr>
        <w:rPr>
          <w:sz w:val="28"/>
        </w:rPr>
      </w:pPr>
    </w:p>
    <w:p w14:paraId="03383C36" w14:textId="1557BE40" w:rsidR="00D0283D" w:rsidRDefault="008A5C19" w:rsidP="00566EAF">
      <w:pPr>
        <w:rPr>
          <w:sz w:val="28"/>
        </w:rPr>
      </w:pPr>
      <w:proofErr w:type="spellStart"/>
      <w:r>
        <w:rPr>
          <w:sz w:val="28"/>
        </w:rPr>
        <w:t>Chugg</w:t>
      </w:r>
      <w:proofErr w:type="spellEnd"/>
      <w:r>
        <w:rPr>
          <w:sz w:val="28"/>
        </w:rPr>
        <w:t xml:space="preserve"> uses a wide variety of sources, including a range of ancient writers, modern scholars</w:t>
      </w:r>
      <w:r w:rsidR="00173667">
        <w:rPr>
          <w:sz w:val="28"/>
        </w:rPr>
        <w:t>, and primary sources</w:t>
      </w:r>
      <w:r>
        <w:rPr>
          <w:sz w:val="28"/>
        </w:rPr>
        <w:t>, inscriptions, relevant topography, and images</w:t>
      </w:r>
      <w:r w:rsidR="00C65690">
        <w:rPr>
          <w:sz w:val="28"/>
        </w:rPr>
        <w:t>. This is helpful for the reader to be able to carry on their research with further reading</w:t>
      </w:r>
      <w:r w:rsidR="00D832CB">
        <w:rPr>
          <w:sz w:val="28"/>
        </w:rPr>
        <w:t>.</w:t>
      </w:r>
      <w:r w:rsidR="00511199">
        <w:rPr>
          <w:sz w:val="28"/>
        </w:rPr>
        <w:t xml:space="preserve"> </w:t>
      </w:r>
      <w:r w:rsidR="00344D8F">
        <w:rPr>
          <w:sz w:val="28"/>
        </w:rPr>
        <w:t xml:space="preserve">However, whilst using some of these sources </w:t>
      </w:r>
      <w:proofErr w:type="spellStart"/>
      <w:r w:rsidR="00344D8F">
        <w:rPr>
          <w:sz w:val="28"/>
        </w:rPr>
        <w:t>Chugg</w:t>
      </w:r>
      <w:proofErr w:type="spellEnd"/>
      <w:r w:rsidR="00344D8F">
        <w:rPr>
          <w:sz w:val="28"/>
        </w:rPr>
        <w:t xml:space="preserve"> uses very long quotes from specific works, and then does not engage or use them to further his argument, rendering them useless and taking up space. </w:t>
      </w:r>
      <w:r w:rsidR="009B5AAE">
        <w:rPr>
          <w:sz w:val="28"/>
        </w:rPr>
        <w:t>At</w:t>
      </w:r>
      <w:r w:rsidR="003E327D">
        <w:rPr>
          <w:sz w:val="28"/>
        </w:rPr>
        <w:t xml:space="preserve"> other points he does use his sources well and engages with them</w:t>
      </w:r>
      <w:r w:rsidR="003912E5">
        <w:rPr>
          <w:sz w:val="28"/>
        </w:rPr>
        <w:t xml:space="preserve">, but not always in a credible way. </w:t>
      </w:r>
      <w:r w:rsidR="00D12E9B">
        <w:rPr>
          <w:sz w:val="28"/>
        </w:rPr>
        <w:t xml:space="preserve">At other points within this article </w:t>
      </w:r>
      <w:proofErr w:type="spellStart"/>
      <w:r w:rsidR="00D12E9B">
        <w:rPr>
          <w:sz w:val="28"/>
        </w:rPr>
        <w:t>Chugg</w:t>
      </w:r>
      <w:proofErr w:type="spellEnd"/>
      <w:r w:rsidR="007C6FE6">
        <w:rPr>
          <w:sz w:val="28"/>
        </w:rPr>
        <w:t xml:space="preserve"> uses terms such as </w:t>
      </w:r>
      <w:r w:rsidR="00D12E9B">
        <w:rPr>
          <w:sz w:val="28"/>
        </w:rPr>
        <w:t>“many authorities”</w:t>
      </w:r>
      <w:r w:rsidR="00D12E9B">
        <w:rPr>
          <w:rStyle w:val="FootnoteReference"/>
          <w:sz w:val="28"/>
        </w:rPr>
        <w:footnoteReference w:id="25"/>
      </w:r>
      <w:r w:rsidR="007C6FE6">
        <w:rPr>
          <w:sz w:val="28"/>
        </w:rPr>
        <w:t xml:space="preserve"> and “most modern works”</w:t>
      </w:r>
      <w:r w:rsidR="007C6FE6">
        <w:rPr>
          <w:rStyle w:val="FootnoteReference"/>
          <w:sz w:val="28"/>
        </w:rPr>
        <w:footnoteReference w:id="26"/>
      </w:r>
      <w:r w:rsidR="007C6FE6">
        <w:rPr>
          <w:sz w:val="28"/>
        </w:rPr>
        <w:t xml:space="preserve"> without giving examples of such evidence.</w:t>
      </w:r>
    </w:p>
    <w:p w14:paraId="622A4A0E" w14:textId="0B67ECC1" w:rsidR="007C6FE6" w:rsidRDefault="007C6FE6" w:rsidP="00566EAF">
      <w:pPr>
        <w:rPr>
          <w:sz w:val="28"/>
        </w:rPr>
      </w:pPr>
    </w:p>
    <w:p w14:paraId="2CF270A5" w14:textId="53F09542" w:rsidR="007C6FE6" w:rsidRDefault="007C6FE6" w:rsidP="00566EAF">
      <w:pPr>
        <w:rPr>
          <w:sz w:val="28"/>
        </w:rPr>
      </w:pPr>
      <w:r>
        <w:rPr>
          <w:sz w:val="28"/>
        </w:rPr>
        <w:t xml:space="preserve">There are nine figures in this paper. They show a range of images from works </w:t>
      </w:r>
      <w:r w:rsidR="007E484F">
        <w:rPr>
          <w:sz w:val="28"/>
        </w:rPr>
        <w:t xml:space="preserve">of other scholars </w:t>
      </w:r>
      <w:r>
        <w:rPr>
          <w:sz w:val="28"/>
        </w:rPr>
        <w:t xml:space="preserve">that </w:t>
      </w:r>
      <w:proofErr w:type="spellStart"/>
      <w:r>
        <w:rPr>
          <w:sz w:val="28"/>
        </w:rPr>
        <w:t>Chugg</w:t>
      </w:r>
      <w:proofErr w:type="spellEnd"/>
      <w:r>
        <w:rPr>
          <w:sz w:val="28"/>
        </w:rPr>
        <w:t xml:space="preserve"> mentions</w:t>
      </w:r>
      <w:r w:rsidR="007E484F">
        <w:rPr>
          <w:sz w:val="28"/>
        </w:rPr>
        <w:t>.</w:t>
      </w:r>
      <w:r>
        <w:rPr>
          <w:rStyle w:val="FootnoteReference"/>
          <w:sz w:val="28"/>
        </w:rPr>
        <w:footnoteReference w:id="27"/>
      </w:r>
      <w:r w:rsidR="007E484F">
        <w:rPr>
          <w:sz w:val="28"/>
        </w:rPr>
        <w:t xml:space="preserve"> Some of these images are useful to the reader in helping to visualise what and where </w:t>
      </w:r>
      <w:proofErr w:type="spellStart"/>
      <w:r w:rsidR="007E484F">
        <w:rPr>
          <w:sz w:val="28"/>
        </w:rPr>
        <w:t>Chugg</w:t>
      </w:r>
      <w:proofErr w:type="spellEnd"/>
      <w:r w:rsidR="007E484F">
        <w:rPr>
          <w:sz w:val="28"/>
        </w:rPr>
        <w:t xml:space="preserve"> is writing about.</w:t>
      </w:r>
      <w:r w:rsidR="006C2940">
        <w:rPr>
          <w:sz w:val="28"/>
        </w:rPr>
        <w:t xml:space="preserve"> For example, figure six</w:t>
      </w:r>
      <w:r w:rsidR="003A6DB7">
        <w:rPr>
          <w:sz w:val="28"/>
        </w:rPr>
        <w:t xml:space="preserve">; which depicts the “Ptolemaic statues of eleven Greek poets and sages arranged in a semicircle at the end of the Avenue of Sphinxes adjacent to the </w:t>
      </w:r>
      <w:proofErr w:type="spellStart"/>
      <w:r w:rsidR="003A6DB7">
        <w:rPr>
          <w:sz w:val="28"/>
        </w:rPr>
        <w:t>Nectanebo</w:t>
      </w:r>
      <w:proofErr w:type="spellEnd"/>
      <w:r w:rsidR="003A6DB7">
        <w:rPr>
          <w:sz w:val="28"/>
        </w:rPr>
        <w:t xml:space="preserve"> temple.”</w:t>
      </w:r>
      <w:r w:rsidR="007E484F">
        <w:rPr>
          <w:rStyle w:val="FootnoteReference"/>
          <w:sz w:val="28"/>
        </w:rPr>
        <w:footnoteReference w:id="28"/>
      </w:r>
      <w:r w:rsidR="003B3F33">
        <w:rPr>
          <w:sz w:val="28"/>
        </w:rPr>
        <w:t xml:space="preserve"> However, most of these images are not necessarily needed to strengthen </w:t>
      </w:r>
      <w:proofErr w:type="spellStart"/>
      <w:r w:rsidR="003B3F33">
        <w:rPr>
          <w:sz w:val="28"/>
        </w:rPr>
        <w:t>Chugg’s</w:t>
      </w:r>
      <w:proofErr w:type="spellEnd"/>
      <w:r w:rsidR="003B3F33">
        <w:rPr>
          <w:sz w:val="28"/>
        </w:rPr>
        <w:t xml:space="preserve"> argument, and seem to be placed in to take up space. I also found that the mentioning of the images and where they were placed in the article made for interrupted reading, and for someone who finds it difficult to concentrate on an academic article whilst searching back-and-forth for images it can be very difficult to follow the article.</w:t>
      </w:r>
    </w:p>
    <w:p w14:paraId="58D9A71F" w14:textId="47D75856" w:rsidR="000B6646" w:rsidRDefault="000B6646">
      <w:pPr>
        <w:rPr>
          <w:sz w:val="28"/>
        </w:rPr>
      </w:pPr>
    </w:p>
    <w:p w14:paraId="17AE1F83" w14:textId="3FC8CDE6" w:rsidR="000B6646" w:rsidRDefault="000B6646" w:rsidP="00566EAF">
      <w:pPr>
        <w:rPr>
          <w:sz w:val="28"/>
        </w:rPr>
      </w:pPr>
      <w:r>
        <w:rPr>
          <w:b/>
          <w:sz w:val="28"/>
        </w:rPr>
        <w:t>Bibliography</w:t>
      </w:r>
    </w:p>
    <w:p w14:paraId="158FCD05" w14:textId="48B8F1D6" w:rsidR="000B6646" w:rsidRDefault="000B6646" w:rsidP="00566EAF">
      <w:pPr>
        <w:rPr>
          <w:sz w:val="28"/>
        </w:rPr>
      </w:pPr>
    </w:p>
    <w:p w14:paraId="7A228158" w14:textId="18962982" w:rsidR="000B6646" w:rsidRPr="000B6646" w:rsidRDefault="000B6646" w:rsidP="00566EAF">
      <w:pPr>
        <w:rPr>
          <w:sz w:val="28"/>
        </w:rPr>
      </w:pPr>
      <w:proofErr w:type="spellStart"/>
      <w:r>
        <w:rPr>
          <w:sz w:val="28"/>
        </w:rPr>
        <w:t>Chugg</w:t>
      </w:r>
      <w:proofErr w:type="spellEnd"/>
      <w:r>
        <w:rPr>
          <w:sz w:val="28"/>
        </w:rPr>
        <w:t xml:space="preserve">, A. (2002) ‘The Sarcophagus of Alexander?’, in </w:t>
      </w:r>
      <w:r>
        <w:rPr>
          <w:i/>
          <w:sz w:val="28"/>
        </w:rPr>
        <w:t>Greece and Rome</w:t>
      </w:r>
      <w:r>
        <w:rPr>
          <w:sz w:val="28"/>
        </w:rPr>
        <w:t>. 49(1), pp. 8-26</w:t>
      </w:r>
    </w:p>
    <w:p w14:paraId="5D2A7C92" w14:textId="41F9C8D4" w:rsidR="00096291" w:rsidRDefault="00096291" w:rsidP="00566EAF">
      <w:pPr>
        <w:rPr>
          <w:sz w:val="28"/>
        </w:rPr>
      </w:pPr>
    </w:p>
    <w:p w14:paraId="0A9A2302" w14:textId="3093B929" w:rsidR="008A5C19" w:rsidRDefault="009F62C6" w:rsidP="00566EAF">
      <w:pPr>
        <w:rPr>
          <w:sz w:val="28"/>
        </w:rPr>
      </w:pPr>
      <w:proofErr w:type="spellStart"/>
      <w:r>
        <w:rPr>
          <w:sz w:val="28"/>
        </w:rPr>
        <w:t>Horky</w:t>
      </w:r>
      <w:proofErr w:type="spellEnd"/>
      <w:r>
        <w:rPr>
          <w:sz w:val="28"/>
        </w:rPr>
        <w:t xml:space="preserve">, P., </w:t>
      </w:r>
      <w:proofErr w:type="spellStart"/>
      <w:r>
        <w:rPr>
          <w:sz w:val="28"/>
        </w:rPr>
        <w:t>Petrovic</w:t>
      </w:r>
      <w:proofErr w:type="spellEnd"/>
      <w:r>
        <w:rPr>
          <w:sz w:val="28"/>
        </w:rPr>
        <w:t xml:space="preserve">, A., </w:t>
      </w:r>
      <w:proofErr w:type="spellStart"/>
      <w:r>
        <w:rPr>
          <w:sz w:val="28"/>
        </w:rPr>
        <w:t>Petrovic</w:t>
      </w:r>
      <w:proofErr w:type="spellEnd"/>
      <w:r>
        <w:rPr>
          <w:sz w:val="28"/>
        </w:rPr>
        <w:t xml:space="preserve">, I. (2002) </w:t>
      </w:r>
      <w:r>
        <w:rPr>
          <w:i/>
          <w:sz w:val="28"/>
        </w:rPr>
        <w:t>Greece and Rome</w:t>
      </w:r>
    </w:p>
    <w:p w14:paraId="2E3319F6" w14:textId="61F26A4E" w:rsidR="009F62C6" w:rsidRDefault="009F62C6" w:rsidP="00566EAF">
      <w:pPr>
        <w:rPr>
          <w:sz w:val="28"/>
        </w:rPr>
      </w:pPr>
      <w:hyperlink r:id="rId8" w:history="1">
        <w:r w:rsidRPr="007743E1">
          <w:rPr>
            <w:rStyle w:val="Hyperlink"/>
            <w:sz w:val="28"/>
          </w:rPr>
          <w:t>https://www.cambridge.org/core/journals/greece-and-rome</w:t>
        </w:r>
      </w:hyperlink>
      <w:r>
        <w:rPr>
          <w:sz w:val="28"/>
        </w:rPr>
        <w:t xml:space="preserve"> [accessed 29/03/2019]</w:t>
      </w:r>
    </w:p>
    <w:p w14:paraId="015ED38F" w14:textId="24581508" w:rsidR="00D80B6A" w:rsidRDefault="00D80B6A" w:rsidP="00566EAF">
      <w:pPr>
        <w:rPr>
          <w:sz w:val="28"/>
        </w:rPr>
      </w:pPr>
    </w:p>
    <w:p w14:paraId="622B99D0" w14:textId="2D3B0EED" w:rsidR="00BC065D" w:rsidRPr="008E36DF" w:rsidRDefault="00BC065D" w:rsidP="00566EAF">
      <w:pPr>
        <w:rPr>
          <w:sz w:val="28"/>
        </w:rPr>
      </w:pPr>
      <w:r>
        <w:rPr>
          <w:sz w:val="28"/>
        </w:rPr>
        <w:t xml:space="preserve">The British Museum (2019) </w:t>
      </w:r>
      <w:r w:rsidR="008E36DF">
        <w:rPr>
          <w:i/>
          <w:sz w:val="28"/>
        </w:rPr>
        <w:t>bath-tub / sarcophagus / religious/ritual vessel</w:t>
      </w:r>
    </w:p>
    <w:p w14:paraId="51BE9259" w14:textId="2F713056" w:rsidR="0023128F" w:rsidRDefault="00BC065D" w:rsidP="00566EAF">
      <w:pPr>
        <w:rPr>
          <w:sz w:val="28"/>
        </w:rPr>
      </w:pPr>
      <w:hyperlink r:id="rId9" w:history="1">
        <w:r w:rsidRPr="007743E1">
          <w:rPr>
            <w:rStyle w:val="Hyperlink"/>
            <w:sz w:val="28"/>
          </w:rPr>
          <w:t>https://www.britishmuseum.org/research/collection_online/collection_object_details.aspx?objectId=111535&amp;partId=1&amp;images=true</w:t>
        </w:r>
      </w:hyperlink>
      <w:r>
        <w:rPr>
          <w:sz w:val="28"/>
        </w:rPr>
        <w:t xml:space="preserve"> </w:t>
      </w:r>
      <w:r w:rsidR="0023128F">
        <w:rPr>
          <w:sz w:val="28"/>
        </w:rPr>
        <w:t>[accessed 29/03/2019]</w:t>
      </w:r>
    </w:p>
    <w:p w14:paraId="647FF155" w14:textId="1AF78D4B" w:rsidR="008A5C19" w:rsidRPr="007F030C" w:rsidRDefault="008A5C19" w:rsidP="007F030C">
      <w:pPr>
        <w:rPr>
          <w:sz w:val="28"/>
        </w:rPr>
      </w:pPr>
      <w:bookmarkStart w:id="0" w:name="_GoBack"/>
      <w:bookmarkEnd w:id="0"/>
    </w:p>
    <w:sectPr w:rsidR="008A5C19" w:rsidRPr="007F030C" w:rsidSect="00E65D9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AADC3B" w14:textId="77777777" w:rsidR="00100333" w:rsidRDefault="00100333" w:rsidP="00566EAF">
      <w:r>
        <w:separator/>
      </w:r>
    </w:p>
  </w:endnote>
  <w:endnote w:type="continuationSeparator" w:id="0">
    <w:p w14:paraId="7EABCE45" w14:textId="77777777" w:rsidR="00100333" w:rsidRDefault="00100333" w:rsidP="00566E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28DFAC" w14:textId="77777777" w:rsidR="00100333" w:rsidRDefault="00100333" w:rsidP="00566EAF">
      <w:r>
        <w:separator/>
      </w:r>
    </w:p>
  </w:footnote>
  <w:footnote w:type="continuationSeparator" w:id="0">
    <w:p w14:paraId="7B227E3C" w14:textId="77777777" w:rsidR="00100333" w:rsidRDefault="00100333" w:rsidP="00566EAF">
      <w:r>
        <w:continuationSeparator/>
      </w:r>
    </w:p>
  </w:footnote>
  <w:footnote w:id="1">
    <w:p w14:paraId="62D2D65E" w14:textId="1104AA37" w:rsidR="00F87BB3" w:rsidRPr="00F87BB3" w:rsidRDefault="00F87BB3" w:rsidP="00F87BB3">
      <w:pPr>
        <w:rPr>
          <w:rFonts w:ascii="Times New Roman" w:eastAsia="Times New Roman" w:hAnsi="Times New Roman" w:cs="Times New Roman"/>
        </w:rPr>
      </w:pPr>
      <w:r>
        <w:rPr>
          <w:rStyle w:val="FootnoteReference"/>
        </w:rPr>
        <w:footnoteRef/>
      </w:r>
      <w:r>
        <w:t xml:space="preserve"> </w:t>
      </w:r>
      <w:r w:rsidRPr="00F87BB3">
        <w:rPr>
          <w:rFonts w:ascii="Arial" w:eastAsia="Times New Roman" w:hAnsi="Arial" w:cs="Arial"/>
          <w:color w:val="000000"/>
          <w:sz w:val="20"/>
          <w:szCs w:val="20"/>
        </w:rPr>
        <w:t>https://www.britishmuseum.org/research/collection_online/collection_object_details.aspx?objectId=111535&amp;partId=1&amp;images=true</w:t>
      </w:r>
    </w:p>
  </w:footnote>
  <w:footnote w:id="2">
    <w:p w14:paraId="6B9FC327" w14:textId="025A3ACA" w:rsidR="00133D37" w:rsidRDefault="00133D37">
      <w:pPr>
        <w:pStyle w:val="FootnoteText"/>
      </w:pPr>
      <w:r>
        <w:rPr>
          <w:rStyle w:val="FootnoteReference"/>
        </w:rPr>
        <w:footnoteRef/>
      </w:r>
      <w:r>
        <w:t xml:space="preserve"> </w:t>
      </w:r>
      <w:proofErr w:type="spellStart"/>
      <w:r>
        <w:t>Chugg</w:t>
      </w:r>
      <w:proofErr w:type="spellEnd"/>
      <w:r>
        <w:t>, 2002, 8</w:t>
      </w:r>
    </w:p>
  </w:footnote>
  <w:footnote w:id="3">
    <w:p w14:paraId="3E72A002" w14:textId="5B2001A3" w:rsidR="00F87BB3" w:rsidRDefault="00F87BB3">
      <w:pPr>
        <w:pStyle w:val="FootnoteText"/>
      </w:pPr>
      <w:r>
        <w:rPr>
          <w:rStyle w:val="FootnoteReference"/>
        </w:rPr>
        <w:footnoteRef/>
      </w:r>
      <w:r>
        <w:t xml:space="preserve"> </w:t>
      </w:r>
      <w:proofErr w:type="spellStart"/>
      <w:r>
        <w:t>Chugg</w:t>
      </w:r>
      <w:proofErr w:type="spellEnd"/>
      <w:r>
        <w:t xml:space="preserve">, 2002, </w:t>
      </w:r>
      <w:r w:rsidR="00133D37">
        <w:t>12</w:t>
      </w:r>
    </w:p>
  </w:footnote>
  <w:footnote w:id="4">
    <w:p w14:paraId="1100E3CD" w14:textId="4834ABC1" w:rsidR="001D0E53" w:rsidRDefault="001D0E53">
      <w:pPr>
        <w:pStyle w:val="FootnoteText"/>
      </w:pPr>
      <w:r>
        <w:rPr>
          <w:rStyle w:val="FootnoteReference"/>
        </w:rPr>
        <w:footnoteRef/>
      </w:r>
      <w:r>
        <w:t xml:space="preserve"> </w:t>
      </w:r>
      <w:proofErr w:type="spellStart"/>
      <w:r>
        <w:t>Chugg</w:t>
      </w:r>
      <w:proofErr w:type="spellEnd"/>
      <w:r>
        <w:t>, 2002, 12</w:t>
      </w:r>
    </w:p>
  </w:footnote>
  <w:footnote w:id="5">
    <w:p w14:paraId="6E52E156" w14:textId="4D5F6CF8" w:rsidR="009B1AFE" w:rsidRDefault="009B1AFE">
      <w:pPr>
        <w:pStyle w:val="FootnoteText"/>
      </w:pPr>
      <w:r>
        <w:rPr>
          <w:rStyle w:val="FootnoteReference"/>
        </w:rPr>
        <w:footnoteRef/>
      </w:r>
      <w:r>
        <w:t xml:space="preserve"> </w:t>
      </w:r>
      <w:proofErr w:type="spellStart"/>
      <w:r w:rsidR="00B72335">
        <w:t>Chugg</w:t>
      </w:r>
      <w:proofErr w:type="spellEnd"/>
      <w:r w:rsidR="00B72335">
        <w:t xml:space="preserve">, 2002, 13-14; </w:t>
      </w:r>
      <w:r>
        <w:t>Diodorus 16.51</w:t>
      </w:r>
    </w:p>
  </w:footnote>
  <w:footnote w:id="6">
    <w:p w14:paraId="4D05FD41" w14:textId="590FCAF5" w:rsidR="009B1AFE" w:rsidRPr="009B1AFE" w:rsidRDefault="009B1AFE">
      <w:pPr>
        <w:pStyle w:val="FootnoteText"/>
      </w:pPr>
      <w:r>
        <w:rPr>
          <w:rStyle w:val="FootnoteReference"/>
        </w:rPr>
        <w:footnoteRef/>
      </w:r>
      <w:r>
        <w:t xml:space="preserve"> </w:t>
      </w:r>
      <w:proofErr w:type="spellStart"/>
      <w:r>
        <w:t>Chugg</w:t>
      </w:r>
      <w:proofErr w:type="spellEnd"/>
      <w:r>
        <w:t xml:space="preserve">, 2002, 14; </w:t>
      </w:r>
      <w:proofErr w:type="spellStart"/>
      <w:r>
        <w:t>Aelian</w:t>
      </w:r>
      <w:proofErr w:type="spellEnd"/>
      <w:r>
        <w:t xml:space="preserve">, </w:t>
      </w:r>
      <w:r>
        <w:rPr>
          <w:i/>
        </w:rPr>
        <w:t>Varian Historia</w:t>
      </w:r>
      <w:r>
        <w:t xml:space="preserve">, 12.64; Diodorus, 18.28.3; Strabo, </w:t>
      </w:r>
      <w:r>
        <w:rPr>
          <w:i/>
        </w:rPr>
        <w:t>Geography</w:t>
      </w:r>
      <w:r>
        <w:t>, 17.1.8</w:t>
      </w:r>
    </w:p>
  </w:footnote>
  <w:footnote w:id="7">
    <w:p w14:paraId="603605B8" w14:textId="6627840F" w:rsidR="003F3337" w:rsidRDefault="003F3337">
      <w:pPr>
        <w:pStyle w:val="FootnoteText"/>
      </w:pPr>
      <w:r>
        <w:rPr>
          <w:rStyle w:val="FootnoteReference"/>
        </w:rPr>
        <w:footnoteRef/>
      </w:r>
      <w:r>
        <w:t xml:space="preserve"> </w:t>
      </w:r>
      <w:proofErr w:type="spellStart"/>
      <w:r>
        <w:t>Chugg</w:t>
      </w:r>
      <w:proofErr w:type="spellEnd"/>
      <w:r>
        <w:t xml:space="preserve">, 2002, </w:t>
      </w:r>
      <w:r w:rsidR="00625C2E">
        <w:t>14</w:t>
      </w:r>
      <w:r>
        <w:t>; Pausanias, 1.6.3</w:t>
      </w:r>
    </w:p>
  </w:footnote>
  <w:footnote w:id="8">
    <w:p w14:paraId="022486CE" w14:textId="58CF95E3" w:rsidR="0065224D" w:rsidRDefault="0065224D">
      <w:pPr>
        <w:pStyle w:val="FootnoteText"/>
      </w:pPr>
      <w:r>
        <w:rPr>
          <w:rStyle w:val="FootnoteReference"/>
        </w:rPr>
        <w:footnoteRef/>
      </w:r>
      <w:r>
        <w:t xml:space="preserve"> </w:t>
      </w:r>
      <w:proofErr w:type="spellStart"/>
      <w:r>
        <w:t>FGrH</w:t>
      </w:r>
      <w:proofErr w:type="spellEnd"/>
      <w:r>
        <w:t xml:space="preserve"> 239</w:t>
      </w:r>
      <w:r w:rsidR="00D01E73">
        <w:t xml:space="preserve"> </w:t>
      </w:r>
    </w:p>
  </w:footnote>
  <w:footnote w:id="9">
    <w:p w14:paraId="2654C6E1" w14:textId="3BE71DBB" w:rsidR="006B179A" w:rsidRDefault="006B179A">
      <w:pPr>
        <w:pStyle w:val="FootnoteText"/>
      </w:pPr>
      <w:r>
        <w:rPr>
          <w:rStyle w:val="FootnoteReference"/>
        </w:rPr>
        <w:footnoteRef/>
      </w:r>
      <w:r>
        <w:t xml:space="preserve"> </w:t>
      </w:r>
      <w:proofErr w:type="spellStart"/>
      <w:r>
        <w:t>Chugg</w:t>
      </w:r>
      <w:proofErr w:type="spellEnd"/>
      <w:r>
        <w:t>, 2002, 14</w:t>
      </w:r>
    </w:p>
  </w:footnote>
  <w:footnote w:id="10">
    <w:p w14:paraId="19B02556" w14:textId="712E3BFB" w:rsidR="004A70ED" w:rsidRDefault="004A70ED">
      <w:pPr>
        <w:pStyle w:val="FootnoteText"/>
      </w:pPr>
      <w:r>
        <w:rPr>
          <w:rStyle w:val="FootnoteReference"/>
        </w:rPr>
        <w:footnoteRef/>
      </w:r>
      <w:r>
        <w:t xml:space="preserve"> </w:t>
      </w:r>
      <w:proofErr w:type="spellStart"/>
      <w:r>
        <w:t>Chugg</w:t>
      </w:r>
      <w:proofErr w:type="spellEnd"/>
      <w:r>
        <w:t>, 2002, 16</w:t>
      </w:r>
    </w:p>
  </w:footnote>
  <w:footnote w:id="11">
    <w:p w14:paraId="6438DF04" w14:textId="7D6C8F10" w:rsidR="00F07255" w:rsidRDefault="00F07255">
      <w:pPr>
        <w:pStyle w:val="FootnoteText"/>
      </w:pPr>
      <w:r>
        <w:rPr>
          <w:rStyle w:val="FootnoteReference"/>
        </w:rPr>
        <w:footnoteRef/>
      </w:r>
      <w:r>
        <w:t xml:space="preserve"> A scholar used by </w:t>
      </w:r>
      <w:proofErr w:type="spellStart"/>
      <w:r>
        <w:t>Chugg</w:t>
      </w:r>
      <w:proofErr w:type="spellEnd"/>
      <w:r>
        <w:t xml:space="preserve"> to support his argument</w:t>
      </w:r>
    </w:p>
  </w:footnote>
  <w:footnote w:id="12">
    <w:p w14:paraId="02CD9ABA" w14:textId="5A4036D0" w:rsidR="00DB73EB" w:rsidRDefault="00DB73EB">
      <w:pPr>
        <w:pStyle w:val="FootnoteText"/>
      </w:pPr>
      <w:r>
        <w:rPr>
          <w:rStyle w:val="FootnoteReference"/>
        </w:rPr>
        <w:footnoteRef/>
      </w:r>
      <w:r>
        <w:t xml:space="preserve"> </w:t>
      </w:r>
      <w:proofErr w:type="spellStart"/>
      <w:r>
        <w:t>Chugg</w:t>
      </w:r>
      <w:proofErr w:type="spellEnd"/>
      <w:r>
        <w:t>, 2002, 16; Thompson, 1988, 212</w:t>
      </w:r>
    </w:p>
  </w:footnote>
  <w:footnote w:id="13">
    <w:p w14:paraId="26A6E759" w14:textId="3EFA9078" w:rsidR="00096291" w:rsidRDefault="00096291">
      <w:pPr>
        <w:pStyle w:val="FootnoteText"/>
      </w:pPr>
      <w:r>
        <w:rPr>
          <w:rStyle w:val="FootnoteReference"/>
        </w:rPr>
        <w:footnoteRef/>
      </w:r>
      <w:r>
        <w:t xml:space="preserve"> </w:t>
      </w:r>
      <w:proofErr w:type="spellStart"/>
      <w:r>
        <w:t>Chugg</w:t>
      </w:r>
      <w:proofErr w:type="spellEnd"/>
      <w:r>
        <w:t>, 2002, 19</w:t>
      </w:r>
    </w:p>
  </w:footnote>
  <w:footnote w:id="14">
    <w:p w14:paraId="1AC6190D" w14:textId="1D7F281F" w:rsidR="00FB4E6F" w:rsidRDefault="00FB4E6F">
      <w:pPr>
        <w:pStyle w:val="FootnoteText"/>
      </w:pPr>
      <w:r>
        <w:rPr>
          <w:rStyle w:val="FootnoteReference"/>
        </w:rPr>
        <w:footnoteRef/>
      </w:r>
      <w:r>
        <w:t xml:space="preserve"> </w:t>
      </w:r>
      <w:proofErr w:type="spellStart"/>
      <w:r>
        <w:t>Chugg</w:t>
      </w:r>
      <w:proofErr w:type="spellEnd"/>
      <w:r>
        <w:t>, 2002, 20</w:t>
      </w:r>
    </w:p>
  </w:footnote>
  <w:footnote w:id="15">
    <w:p w14:paraId="27EC867E" w14:textId="5675B3E2" w:rsidR="00C94F18" w:rsidRPr="00D0283D" w:rsidRDefault="00C94F18">
      <w:pPr>
        <w:pStyle w:val="FootnoteText"/>
      </w:pPr>
      <w:r>
        <w:rPr>
          <w:rStyle w:val="FootnoteReference"/>
        </w:rPr>
        <w:footnoteRef/>
      </w:r>
      <w:r>
        <w:t xml:space="preserve"> </w:t>
      </w:r>
      <w:proofErr w:type="spellStart"/>
      <w:r>
        <w:t>Chugg</w:t>
      </w:r>
      <w:proofErr w:type="spellEnd"/>
      <w:r>
        <w:t>, 2002, 21; Leo Africanus</w:t>
      </w:r>
      <w:r w:rsidR="00D0283D">
        <w:t xml:space="preserve">, 1550, </w:t>
      </w:r>
      <w:proofErr w:type="spellStart"/>
      <w:r w:rsidR="00D0283D">
        <w:rPr>
          <w:i/>
        </w:rPr>
        <w:t>Descrizione</w:t>
      </w:r>
      <w:proofErr w:type="spellEnd"/>
      <w:r w:rsidR="00D0283D">
        <w:rPr>
          <w:i/>
        </w:rPr>
        <w:t xml:space="preserve"> </w:t>
      </w:r>
      <w:proofErr w:type="spellStart"/>
      <w:r w:rsidR="00D0283D">
        <w:rPr>
          <w:i/>
        </w:rPr>
        <w:t>dell’Africa</w:t>
      </w:r>
      <w:proofErr w:type="spellEnd"/>
    </w:p>
  </w:footnote>
  <w:footnote w:id="16">
    <w:p w14:paraId="399B7786" w14:textId="1DE3723D" w:rsidR="001C2A49" w:rsidRDefault="001C2A49">
      <w:pPr>
        <w:pStyle w:val="FootnoteText"/>
      </w:pPr>
      <w:r>
        <w:rPr>
          <w:rStyle w:val="FootnoteReference"/>
        </w:rPr>
        <w:footnoteRef/>
      </w:r>
      <w:r>
        <w:t xml:space="preserve"> </w:t>
      </w:r>
      <w:proofErr w:type="spellStart"/>
      <w:r>
        <w:t>Chugg</w:t>
      </w:r>
      <w:proofErr w:type="spellEnd"/>
      <w:r>
        <w:t>, 2002, 21</w:t>
      </w:r>
    </w:p>
  </w:footnote>
  <w:footnote w:id="17">
    <w:p w14:paraId="1560FADD" w14:textId="01BC6F8A" w:rsidR="00A2516C" w:rsidRDefault="00A2516C">
      <w:pPr>
        <w:pStyle w:val="FootnoteText"/>
      </w:pPr>
      <w:r>
        <w:rPr>
          <w:rStyle w:val="FootnoteReference"/>
        </w:rPr>
        <w:footnoteRef/>
      </w:r>
      <w:r>
        <w:t xml:space="preserve"> </w:t>
      </w:r>
      <w:proofErr w:type="spellStart"/>
      <w:r>
        <w:t>Chugg</w:t>
      </w:r>
      <w:proofErr w:type="spellEnd"/>
      <w:r>
        <w:t>, 2002, 21 – 23</w:t>
      </w:r>
    </w:p>
  </w:footnote>
  <w:footnote w:id="18">
    <w:p w14:paraId="30F2F219" w14:textId="7B8BD0F1" w:rsidR="009B0126" w:rsidRDefault="009B0126">
      <w:pPr>
        <w:pStyle w:val="FootnoteText"/>
      </w:pPr>
      <w:r>
        <w:rPr>
          <w:rStyle w:val="FootnoteReference"/>
        </w:rPr>
        <w:footnoteRef/>
      </w:r>
      <w:r>
        <w:t xml:space="preserve"> For example: “the various eighteenth-century travelogues…are muted on this point” (</w:t>
      </w:r>
      <w:proofErr w:type="spellStart"/>
      <w:r>
        <w:t>Chugg</w:t>
      </w:r>
      <w:proofErr w:type="spellEnd"/>
      <w:r>
        <w:t xml:space="preserve">, 2002, </w:t>
      </w:r>
      <w:r w:rsidR="0052137B">
        <w:t>20); “clearly these descriptions are highly reminiscent…” (</w:t>
      </w:r>
      <w:proofErr w:type="spellStart"/>
      <w:r w:rsidR="0052137B">
        <w:t>Chugg</w:t>
      </w:r>
      <w:proofErr w:type="spellEnd"/>
      <w:r w:rsidR="0052137B">
        <w:t>, 2002, 21)</w:t>
      </w:r>
    </w:p>
  </w:footnote>
  <w:footnote w:id="19">
    <w:p w14:paraId="13488AA9" w14:textId="4575BFAE" w:rsidR="00552716" w:rsidRDefault="00552716">
      <w:pPr>
        <w:pStyle w:val="FootnoteText"/>
      </w:pPr>
      <w:r>
        <w:rPr>
          <w:rStyle w:val="FootnoteReference"/>
        </w:rPr>
        <w:footnoteRef/>
      </w:r>
      <w:r>
        <w:t xml:space="preserve"> Such as </w:t>
      </w:r>
      <w:r w:rsidR="00262333">
        <w:t>Herodian. (</w:t>
      </w:r>
      <w:proofErr w:type="spellStart"/>
      <w:r w:rsidR="00262333">
        <w:t>Chugg</w:t>
      </w:r>
      <w:proofErr w:type="spellEnd"/>
      <w:r w:rsidR="00262333">
        <w:t>, 2002, 24)</w:t>
      </w:r>
    </w:p>
  </w:footnote>
  <w:footnote w:id="20">
    <w:p w14:paraId="2C88CF1A" w14:textId="238CE07D" w:rsidR="00262333" w:rsidRDefault="00262333">
      <w:pPr>
        <w:pStyle w:val="FootnoteText"/>
      </w:pPr>
      <w:r>
        <w:rPr>
          <w:rStyle w:val="FootnoteReference"/>
        </w:rPr>
        <w:footnoteRef/>
      </w:r>
      <w:r>
        <w:t xml:space="preserve"> </w:t>
      </w:r>
      <w:proofErr w:type="spellStart"/>
      <w:r>
        <w:t>Chugg</w:t>
      </w:r>
      <w:proofErr w:type="spellEnd"/>
      <w:r>
        <w:t>, 2002, 25</w:t>
      </w:r>
    </w:p>
  </w:footnote>
  <w:footnote w:id="21">
    <w:p w14:paraId="4576768A" w14:textId="1EF49F3A" w:rsidR="00974A2F" w:rsidRDefault="00974A2F">
      <w:pPr>
        <w:pStyle w:val="FootnoteText"/>
      </w:pPr>
      <w:r>
        <w:rPr>
          <w:rStyle w:val="FootnoteReference"/>
        </w:rPr>
        <w:footnoteRef/>
      </w:r>
      <w:r>
        <w:t xml:space="preserve"> </w:t>
      </w:r>
      <w:proofErr w:type="spellStart"/>
      <w:r>
        <w:t>Chugg</w:t>
      </w:r>
      <w:proofErr w:type="spellEnd"/>
      <w:r>
        <w:t>, 2002, 26</w:t>
      </w:r>
    </w:p>
  </w:footnote>
  <w:footnote w:id="22">
    <w:p w14:paraId="37760776" w14:textId="401A9204" w:rsidR="002844F2" w:rsidRDefault="002844F2">
      <w:pPr>
        <w:pStyle w:val="FootnoteText"/>
      </w:pPr>
      <w:r>
        <w:rPr>
          <w:rStyle w:val="FootnoteReference"/>
        </w:rPr>
        <w:footnoteRef/>
      </w:r>
      <w:r>
        <w:t xml:space="preserve"> </w:t>
      </w:r>
      <w:hyperlink r:id="rId1" w:history="1">
        <w:r w:rsidRPr="007743E1">
          <w:rPr>
            <w:rStyle w:val="Hyperlink"/>
          </w:rPr>
          <w:t>https://www.britishmuseum.org/research/collection_online/collection_object_details.aspx?objectId=111535&amp;partId=1&amp;images=true</w:t>
        </w:r>
      </w:hyperlink>
      <w:r>
        <w:t xml:space="preserve"> </w:t>
      </w:r>
    </w:p>
  </w:footnote>
  <w:footnote w:id="23">
    <w:p w14:paraId="4E65CF25" w14:textId="4497D822" w:rsidR="00203685" w:rsidRPr="009F62C6" w:rsidRDefault="00203685">
      <w:pPr>
        <w:pStyle w:val="FootnoteText"/>
      </w:pPr>
      <w:r>
        <w:rPr>
          <w:rStyle w:val="FootnoteReference"/>
        </w:rPr>
        <w:footnoteRef/>
      </w:r>
      <w:r>
        <w:t xml:space="preserve"> </w:t>
      </w:r>
      <w:proofErr w:type="spellStart"/>
      <w:r w:rsidR="009F62C6">
        <w:t>Horky</w:t>
      </w:r>
      <w:proofErr w:type="spellEnd"/>
      <w:r w:rsidR="009F62C6">
        <w:t xml:space="preserve">, </w:t>
      </w:r>
      <w:proofErr w:type="spellStart"/>
      <w:r w:rsidR="009F62C6">
        <w:t>Petrovic</w:t>
      </w:r>
      <w:proofErr w:type="spellEnd"/>
      <w:r w:rsidR="009F62C6">
        <w:t xml:space="preserve"> and </w:t>
      </w:r>
      <w:proofErr w:type="spellStart"/>
      <w:r w:rsidR="009F62C6">
        <w:t>Petrovic</w:t>
      </w:r>
      <w:proofErr w:type="spellEnd"/>
      <w:r w:rsidR="009F62C6">
        <w:t xml:space="preserve">, 2002, </w:t>
      </w:r>
      <w:r w:rsidR="009F62C6">
        <w:rPr>
          <w:i/>
        </w:rPr>
        <w:t>Greece and Rome</w:t>
      </w:r>
    </w:p>
  </w:footnote>
  <w:footnote w:id="24">
    <w:p w14:paraId="14479C8B" w14:textId="278653C8" w:rsidR="00A73482" w:rsidRDefault="00A73482">
      <w:pPr>
        <w:pStyle w:val="FootnoteText"/>
      </w:pPr>
      <w:r>
        <w:rPr>
          <w:rStyle w:val="FootnoteReference"/>
        </w:rPr>
        <w:footnoteRef/>
      </w:r>
      <w:r>
        <w:t xml:space="preserve"> </w:t>
      </w:r>
      <w:proofErr w:type="spellStart"/>
      <w:r>
        <w:t>Chugg</w:t>
      </w:r>
      <w:proofErr w:type="spellEnd"/>
      <w:r>
        <w:t xml:space="preserve">, 2002, </w:t>
      </w:r>
      <w:r w:rsidR="00974A2F">
        <w:t>24</w:t>
      </w:r>
    </w:p>
  </w:footnote>
  <w:footnote w:id="25">
    <w:p w14:paraId="1E7A4999" w14:textId="69C48C52" w:rsidR="00D12E9B" w:rsidRDefault="00D12E9B">
      <w:pPr>
        <w:pStyle w:val="FootnoteText"/>
      </w:pPr>
      <w:r>
        <w:rPr>
          <w:rStyle w:val="FootnoteReference"/>
        </w:rPr>
        <w:footnoteRef/>
      </w:r>
      <w:r>
        <w:t xml:space="preserve"> </w:t>
      </w:r>
      <w:proofErr w:type="spellStart"/>
      <w:r>
        <w:t>Chugg</w:t>
      </w:r>
      <w:proofErr w:type="spellEnd"/>
      <w:r>
        <w:t>, 2002, 21</w:t>
      </w:r>
    </w:p>
  </w:footnote>
  <w:footnote w:id="26">
    <w:p w14:paraId="5596C7D5" w14:textId="022D2553" w:rsidR="007C6FE6" w:rsidRDefault="007C6FE6">
      <w:pPr>
        <w:pStyle w:val="FootnoteText"/>
      </w:pPr>
      <w:r>
        <w:rPr>
          <w:rStyle w:val="FootnoteReference"/>
        </w:rPr>
        <w:footnoteRef/>
      </w:r>
      <w:r>
        <w:t xml:space="preserve"> </w:t>
      </w:r>
      <w:proofErr w:type="spellStart"/>
      <w:r>
        <w:t>Chugg</w:t>
      </w:r>
      <w:proofErr w:type="spellEnd"/>
      <w:r>
        <w:t>, 2002, 13</w:t>
      </w:r>
    </w:p>
  </w:footnote>
  <w:footnote w:id="27">
    <w:p w14:paraId="77C41B21" w14:textId="3F6E5A14" w:rsidR="007C6FE6" w:rsidRDefault="007C6FE6">
      <w:pPr>
        <w:pStyle w:val="FootnoteText"/>
      </w:pPr>
      <w:r>
        <w:rPr>
          <w:rStyle w:val="FootnoteReference"/>
        </w:rPr>
        <w:footnoteRef/>
      </w:r>
      <w:r>
        <w:t xml:space="preserve"> Such as Clarke and Denon’s initial findings</w:t>
      </w:r>
    </w:p>
  </w:footnote>
  <w:footnote w:id="28">
    <w:p w14:paraId="38864324" w14:textId="40FFC344" w:rsidR="007E484F" w:rsidRDefault="007E484F">
      <w:pPr>
        <w:pStyle w:val="FootnoteText"/>
      </w:pPr>
      <w:r>
        <w:rPr>
          <w:rStyle w:val="FootnoteReference"/>
        </w:rPr>
        <w:footnoteRef/>
      </w:r>
      <w:r>
        <w:t xml:space="preserve"> </w:t>
      </w:r>
      <w:proofErr w:type="spellStart"/>
      <w:r w:rsidR="006C2940">
        <w:t>Chugg</w:t>
      </w:r>
      <w:proofErr w:type="spellEnd"/>
      <w:r w:rsidR="006C2940">
        <w:t>, 2002, 17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685AA84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BF155DA"/>
    <w:multiLevelType w:val="hybridMultilevel"/>
    <w:tmpl w:val="9234614A"/>
    <w:lvl w:ilvl="0" w:tplc="B320518A">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08A0983"/>
    <w:multiLevelType w:val="hybridMultilevel"/>
    <w:tmpl w:val="79E48AA4"/>
    <w:lvl w:ilvl="0" w:tplc="AD004C10">
      <w:numFmt w:val="bullet"/>
      <w:lvlText w:val="-"/>
      <w:lvlJc w:val="left"/>
      <w:pPr>
        <w:ind w:left="720" w:hanging="360"/>
      </w:pPr>
      <w:rPr>
        <w:rFonts w:ascii="Calibri" w:eastAsiaTheme="minorHAnsi" w:hAnsi="Calibri" w:cs="Calibri"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11B79C6"/>
    <w:multiLevelType w:val="hybridMultilevel"/>
    <w:tmpl w:val="B77A4CE4"/>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67B"/>
    <w:rsid w:val="00012FF8"/>
    <w:rsid w:val="00052E73"/>
    <w:rsid w:val="00053419"/>
    <w:rsid w:val="00056CC6"/>
    <w:rsid w:val="0007083D"/>
    <w:rsid w:val="00096291"/>
    <w:rsid w:val="000B6646"/>
    <w:rsid w:val="000E232B"/>
    <w:rsid w:val="000E33D0"/>
    <w:rsid w:val="000E4EB9"/>
    <w:rsid w:val="00100333"/>
    <w:rsid w:val="001118F8"/>
    <w:rsid w:val="00133D37"/>
    <w:rsid w:val="00142A34"/>
    <w:rsid w:val="00142B53"/>
    <w:rsid w:val="001544EF"/>
    <w:rsid w:val="00173667"/>
    <w:rsid w:val="0017520F"/>
    <w:rsid w:val="001C2A49"/>
    <w:rsid w:val="001D0E53"/>
    <w:rsid w:val="001D58B1"/>
    <w:rsid w:val="001E588E"/>
    <w:rsid w:val="00203685"/>
    <w:rsid w:val="00205933"/>
    <w:rsid w:val="002175EF"/>
    <w:rsid w:val="0023128F"/>
    <w:rsid w:val="0024380B"/>
    <w:rsid w:val="00262333"/>
    <w:rsid w:val="00267030"/>
    <w:rsid w:val="002844F2"/>
    <w:rsid w:val="002B2422"/>
    <w:rsid w:val="002E7EF7"/>
    <w:rsid w:val="00311010"/>
    <w:rsid w:val="003119A2"/>
    <w:rsid w:val="00322E5C"/>
    <w:rsid w:val="0032343E"/>
    <w:rsid w:val="00323664"/>
    <w:rsid w:val="00344D8F"/>
    <w:rsid w:val="00355433"/>
    <w:rsid w:val="003912E5"/>
    <w:rsid w:val="003A5074"/>
    <w:rsid w:val="003A6DB7"/>
    <w:rsid w:val="003B3F33"/>
    <w:rsid w:val="003C79AD"/>
    <w:rsid w:val="003D44F2"/>
    <w:rsid w:val="003E327D"/>
    <w:rsid w:val="003F3337"/>
    <w:rsid w:val="004141D5"/>
    <w:rsid w:val="004664A1"/>
    <w:rsid w:val="00493D50"/>
    <w:rsid w:val="004A70ED"/>
    <w:rsid w:val="004A7222"/>
    <w:rsid w:val="004C0C9B"/>
    <w:rsid w:val="004D1688"/>
    <w:rsid w:val="004D4AC4"/>
    <w:rsid w:val="004E3B48"/>
    <w:rsid w:val="004F551D"/>
    <w:rsid w:val="00511199"/>
    <w:rsid w:val="0052137B"/>
    <w:rsid w:val="005258CC"/>
    <w:rsid w:val="00552716"/>
    <w:rsid w:val="00563C71"/>
    <w:rsid w:val="00566EAF"/>
    <w:rsid w:val="00571A72"/>
    <w:rsid w:val="005760B3"/>
    <w:rsid w:val="005C2B85"/>
    <w:rsid w:val="005C4C7D"/>
    <w:rsid w:val="00624307"/>
    <w:rsid w:val="00625C2E"/>
    <w:rsid w:val="00631C7C"/>
    <w:rsid w:val="0065010C"/>
    <w:rsid w:val="0065224D"/>
    <w:rsid w:val="006A0477"/>
    <w:rsid w:val="006B179A"/>
    <w:rsid w:val="006C2940"/>
    <w:rsid w:val="006D242C"/>
    <w:rsid w:val="006D4B2F"/>
    <w:rsid w:val="006E0B11"/>
    <w:rsid w:val="006E268C"/>
    <w:rsid w:val="006E4F4E"/>
    <w:rsid w:val="0070569D"/>
    <w:rsid w:val="007547D4"/>
    <w:rsid w:val="0076106C"/>
    <w:rsid w:val="007A73BF"/>
    <w:rsid w:val="007B04ED"/>
    <w:rsid w:val="007B3B29"/>
    <w:rsid w:val="007C6FE6"/>
    <w:rsid w:val="007C77D5"/>
    <w:rsid w:val="007D6F1C"/>
    <w:rsid w:val="007E0035"/>
    <w:rsid w:val="007E484F"/>
    <w:rsid w:val="007F030C"/>
    <w:rsid w:val="007F3396"/>
    <w:rsid w:val="008217DA"/>
    <w:rsid w:val="00836A51"/>
    <w:rsid w:val="00857710"/>
    <w:rsid w:val="008666EB"/>
    <w:rsid w:val="00873AAA"/>
    <w:rsid w:val="008A5C19"/>
    <w:rsid w:val="008C60FE"/>
    <w:rsid w:val="008E2016"/>
    <w:rsid w:val="008E36DF"/>
    <w:rsid w:val="008F6926"/>
    <w:rsid w:val="00904CB7"/>
    <w:rsid w:val="00926F52"/>
    <w:rsid w:val="009447E5"/>
    <w:rsid w:val="00965EA9"/>
    <w:rsid w:val="00974A2F"/>
    <w:rsid w:val="009B0126"/>
    <w:rsid w:val="009B1AFE"/>
    <w:rsid w:val="009B5AAE"/>
    <w:rsid w:val="009C5903"/>
    <w:rsid w:val="009F167B"/>
    <w:rsid w:val="009F62C6"/>
    <w:rsid w:val="00A2516C"/>
    <w:rsid w:val="00A40289"/>
    <w:rsid w:val="00A73482"/>
    <w:rsid w:val="00A84271"/>
    <w:rsid w:val="00B40F95"/>
    <w:rsid w:val="00B50995"/>
    <w:rsid w:val="00B5467D"/>
    <w:rsid w:val="00B62533"/>
    <w:rsid w:val="00B70E71"/>
    <w:rsid w:val="00B72335"/>
    <w:rsid w:val="00B84A20"/>
    <w:rsid w:val="00BA0F82"/>
    <w:rsid w:val="00BA46F7"/>
    <w:rsid w:val="00BC065D"/>
    <w:rsid w:val="00BC1529"/>
    <w:rsid w:val="00BE4D7F"/>
    <w:rsid w:val="00C07276"/>
    <w:rsid w:val="00C54136"/>
    <w:rsid w:val="00C62A3C"/>
    <w:rsid w:val="00C65690"/>
    <w:rsid w:val="00C7797D"/>
    <w:rsid w:val="00C81823"/>
    <w:rsid w:val="00C94F18"/>
    <w:rsid w:val="00CC658E"/>
    <w:rsid w:val="00CF3DF2"/>
    <w:rsid w:val="00D01E73"/>
    <w:rsid w:val="00D0283D"/>
    <w:rsid w:val="00D053AD"/>
    <w:rsid w:val="00D05CDF"/>
    <w:rsid w:val="00D07845"/>
    <w:rsid w:val="00D12E9B"/>
    <w:rsid w:val="00D16D4D"/>
    <w:rsid w:val="00D23039"/>
    <w:rsid w:val="00D567AF"/>
    <w:rsid w:val="00D7474C"/>
    <w:rsid w:val="00D80B6A"/>
    <w:rsid w:val="00D832CB"/>
    <w:rsid w:val="00D862EA"/>
    <w:rsid w:val="00DA5221"/>
    <w:rsid w:val="00DB73EB"/>
    <w:rsid w:val="00DD6D7F"/>
    <w:rsid w:val="00E0080C"/>
    <w:rsid w:val="00E04E8C"/>
    <w:rsid w:val="00E15D8C"/>
    <w:rsid w:val="00E46608"/>
    <w:rsid w:val="00E65D92"/>
    <w:rsid w:val="00EA3A8D"/>
    <w:rsid w:val="00EB39FC"/>
    <w:rsid w:val="00ED0DB4"/>
    <w:rsid w:val="00F07255"/>
    <w:rsid w:val="00F5355C"/>
    <w:rsid w:val="00F65EA6"/>
    <w:rsid w:val="00F721A0"/>
    <w:rsid w:val="00F81807"/>
    <w:rsid w:val="00F87BB3"/>
    <w:rsid w:val="00F90B89"/>
    <w:rsid w:val="00FB4E6F"/>
    <w:rsid w:val="00FF71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DF10AE"/>
  <w14:defaultImageDpi w14:val="32767"/>
  <w15:chartTrackingRefBased/>
  <w15:docId w15:val="{C193FDFC-1BD2-A445-B707-18E9019CC5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6608"/>
    <w:pPr>
      <w:ind w:left="720"/>
      <w:contextualSpacing/>
    </w:pPr>
  </w:style>
  <w:style w:type="paragraph" w:styleId="FootnoteText">
    <w:name w:val="footnote text"/>
    <w:basedOn w:val="Normal"/>
    <w:link w:val="FootnoteTextChar"/>
    <w:uiPriority w:val="99"/>
    <w:semiHidden/>
    <w:unhideWhenUsed/>
    <w:rsid w:val="00566EAF"/>
    <w:rPr>
      <w:sz w:val="20"/>
      <w:szCs w:val="20"/>
    </w:rPr>
  </w:style>
  <w:style w:type="character" w:customStyle="1" w:styleId="FootnoteTextChar">
    <w:name w:val="Footnote Text Char"/>
    <w:basedOn w:val="DefaultParagraphFont"/>
    <w:link w:val="FootnoteText"/>
    <w:uiPriority w:val="99"/>
    <w:semiHidden/>
    <w:rsid w:val="00566EAF"/>
    <w:rPr>
      <w:sz w:val="20"/>
      <w:szCs w:val="20"/>
    </w:rPr>
  </w:style>
  <w:style w:type="character" w:styleId="FootnoteReference">
    <w:name w:val="footnote reference"/>
    <w:basedOn w:val="DefaultParagraphFont"/>
    <w:uiPriority w:val="99"/>
    <w:semiHidden/>
    <w:unhideWhenUsed/>
    <w:rsid w:val="00566EAF"/>
    <w:rPr>
      <w:vertAlign w:val="superscript"/>
    </w:rPr>
  </w:style>
  <w:style w:type="character" w:styleId="Hyperlink">
    <w:name w:val="Hyperlink"/>
    <w:basedOn w:val="DefaultParagraphFont"/>
    <w:uiPriority w:val="99"/>
    <w:unhideWhenUsed/>
    <w:rsid w:val="00203685"/>
    <w:rPr>
      <w:color w:val="0563C1" w:themeColor="hyperlink"/>
      <w:u w:val="single"/>
    </w:rPr>
  </w:style>
  <w:style w:type="character" w:styleId="UnresolvedMention">
    <w:name w:val="Unresolved Mention"/>
    <w:basedOn w:val="DefaultParagraphFont"/>
    <w:uiPriority w:val="99"/>
    <w:rsid w:val="00203685"/>
    <w:rPr>
      <w:color w:val="605E5C"/>
      <w:shd w:val="clear" w:color="auto" w:fill="E1DFDD"/>
    </w:rPr>
  </w:style>
  <w:style w:type="paragraph" w:styleId="ListBullet">
    <w:name w:val="List Bullet"/>
    <w:basedOn w:val="Normal"/>
    <w:uiPriority w:val="99"/>
    <w:unhideWhenUsed/>
    <w:rsid w:val="00053419"/>
    <w:pPr>
      <w:numPr>
        <w:numId w:val="4"/>
      </w:numPr>
      <w:contextualSpacing/>
    </w:pPr>
  </w:style>
  <w:style w:type="character" w:styleId="FollowedHyperlink">
    <w:name w:val="FollowedHyperlink"/>
    <w:basedOn w:val="DefaultParagraphFont"/>
    <w:uiPriority w:val="99"/>
    <w:semiHidden/>
    <w:unhideWhenUsed/>
    <w:rsid w:val="00BC065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8197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org/core/journals/greece-and-rome"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ritishmuseum.org/research/collection_online/collection_object_details.aspx?objectId=111535&amp;partId=1&amp;images=true"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britishmuseum.org/research/collection_online/collection_object_details.aspx?objectId=111535&amp;partId=1&amp;images=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01189A7-DEF0-DA49-B00D-1D3186AA8B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710</TotalTime>
  <Pages>5</Pages>
  <Words>1412</Words>
  <Characters>8054</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Cawdell</dc:creator>
  <cp:keywords/>
  <dc:description/>
  <cp:lastModifiedBy>Elizabeth Cawdell</cp:lastModifiedBy>
  <cp:revision>123</cp:revision>
  <dcterms:created xsi:type="dcterms:W3CDTF">2019-03-19T10:27:00Z</dcterms:created>
  <dcterms:modified xsi:type="dcterms:W3CDTF">2019-04-05T22:38:00Z</dcterms:modified>
</cp:coreProperties>
</file>