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5B9BD5" w:themeColor="accent1"/>
          <w:sz w:val="24"/>
          <w:szCs w:val="24"/>
          <w:lang w:val="en-GB"/>
        </w:rPr>
        <w:id w:val="-1522475554"/>
        <w:docPartObj>
          <w:docPartGallery w:val="Cover Pages"/>
          <w:docPartUnique/>
        </w:docPartObj>
      </w:sdtPr>
      <w:sdtEndPr>
        <w:rPr>
          <w:color w:val="auto"/>
        </w:rPr>
      </w:sdtEndPr>
      <w:sdtContent>
        <w:p w:rsidR="007D1947" w:rsidRPr="00FB7D7F" w:rsidRDefault="007D1947" w:rsidP="00ED62EA">
          <w:pPr>
            <w:pStyle w:val="NoSpacing"/>
            <w:spacing w:before="1540" w:after="240" w:line="360" w:lineRule="auto"/>
            <w:jc w:val="center"/>
            <w:rPr>
              <w:rFonts w:ascii="Arial" w:hAnsi="Arial" w:cs="Arial"/>
              <w:color w:val="5B9BD5" w:themeColor="accent1"/>
              <w:sz w:val="24"/>
              <w:szCs w:val="24"/>
            </w:rPr>
          </w:pPr>
          <w:r w:rsidRPr="00FB7D7F">
            <w:rPr>
              <w:rFonts w:ascii="Arial" w:hAnsi="Arial" w:cs="Arial"/>
              <w:noProof/>
              <w:color w:val="5B9BD5" w:themeColor="accent1"/>
              <w:sz w:val="24"/>
              <w:szCs w:val="24"/>
              <w:lang w:val="en-GB" w:eastAsia="en-GB" w:bidi="bn-BD"/>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32"/>
              <w:szCs w:val="3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rsidR="007D1947" w:rsidRPr="00CC4C5E" w:rsidRDefault="00FB7D7F" w:rsidP="00ED62EA">
              <w:pPr>
                <w:pStyle w:val="NoSpacing"/>
                <w:pBdr>
                  <w:top w:val="single" w:sz="6" w:space="6" w:color="5B9BD5" w:themeColor="accent1"/>
                  <w:bottom w:val="single" w:sz="6" w:space="6" w:color="5B9BD5" w:themeColor="accent1"/>
                </w:pBdr>
                <w:spacing w:after="240" w:line="360" w:lineRule="auto"/>
                <w:jc w:val="center"/>
                <w:rPr>
                  <w:rFonts w:ascii="Arial" w:eastAsiaTheme="majorEastAsia" w:hAnsi="Arial" w:cs="Arial"/>
                  <w:caps/>
                  <w:color w:val="5B9BD5" w:themeColor="accent1"/>
                  <w:sz w:val="32"/>
                  <w:szCs w:val="32"/>
                </w:rPr>
              </w:pPr>
              <w:r w:rsidRPr="00CC4C5E">
                <w:rPr>
                  <w:rFonts w:ascii="Arial" w:eastAsiaTheme="majorEastAsia" w:hAnsi="Arial" w:cs="Arial"/>
                  <w:caps/>
                  <w:color w:val="5B9BD5" w:themeColor="accent1"/>
                  <w:sz w:val="32"/>
                  <w:szCs w:val="32"/>
                </w:rPr>
                <w:t>Jurys In</w:t>
              </w:r>
              <w:r w:rsidR="00211CBF">
                <w:rPr>
                  <w:rFonts w:ascii="Arial" w:eastAsiaTheme="majorEastAsia" w:hAnsi="Arial" w:cs="Arial"/>
                  <w:caps/>
                  <w:color w:val="5B9BD5" w:themeColor="accent1"/>
                  <w:sz w:val="32"/>
                  <w:szCs w:val="32"/>
                </w:rPr>
                <w:t>N</w:t>
              </w:r>
            </w:p>
          </w:sdtContent>
        </w:sdt>
        <w:sdt>
          <w:sdtPr>
            <w:rPr>
              <w:rFonts w:ascii="Arial" w:hAnsi="Arial" w:cs="Arial"/>
              <w:color w:val="5B9BD5" w:themeColor="accent1"/>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7D1947" w:rsidRPr="00FB7D7F" w:rsidRDefault="00FB7D7F" w:rsidP="00ED62EA">
              <w:pPr>
                <w:pStyle w:val="NoSpacing"/>
                <w:spacing w:line="360" w:lineRule="auto"/>
                <w:jc w:val="center"/>
                <w:rPr>
                  <w:rFonts w:ascii="Arial" w:hAnsi="Arial" w:cs="Arial"/>
                  <w:color w:val="5B9BD5" w:themeColor="accent1"/>
                  <w:sz w:val="24"/>
                  <w:szCs w:val="24"/>
                </w:rPr>
              </w:pPr>
              <w:r w:rsidRPr="00FB7D7F">
                <w:rPr>
                  <w:rFonts w:ascii="Arial" w:hAnsi="Arial" w:cs="Arial"/>
                  <w:color w:val="5B9BD5" w:themeColor="accent1"/>
                  <w:sz w:val="24"/>
                  <w:szCs w:val="24"/>
                </w:rPr>
                <w:t>Ratio Analysi</w:t>
              </w:r>
              <w:r w:rsidR="00211CBF">
                <w:rPr>
                  <w:rFonts w:ascii="Arial" w:hAnsi="Arial" w:cs="Arial"/>
                  <w:color w:val="5B9BD5" w:themeColor="accent1"/>
                  <w:sz w:val="24"/>
                  <w:szCs w:val="24"/>
                </w:rPr>
                <w:t>s</w:t>
              </w:r>
            </w:p>
          </w:sdtContent>
        </w:sdt>
        <w:p w:rsidR="007D1947" w:rsidRPr="00FB7D7F" w:rsidRDefault="00CB31C6" w:rsidP="00ED62EA">
          <w:pPr>
            <w:pStyle w:val="NoSpacing"/>
            <w:spacing w:before="480" w:line="360" w:lineRule="auto"/>
            <w:jc w:val="center"/>
            <w:rPr>
              <w:rFonts w:ascii="Arial" w:hAnsi="Arial" w:cs="Arial"/>
              <w:color w:val="5B9BD5" w:themeColor="accent1"/>
              <w:sz w:val="24"/>
              <w:szCs w:val="24"/>
            </w:rPr>
          </w:pPr>
          <w:r>
            <w:rPr>
              <w:rFonts w:ascii="Arial" w:hAnsi="Arial" w:cs="Arial"/>
              <w:noProof/>
              <w:color w:val="5B9BD5" w:themeColor="accent1"/>
              <w:sz w:val="24"/>
              <w:szCs w:val="24"/>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8677016"/>
                                  <w:dataBinding w:prefixMappings="xmlns:ns0='http://schemas.microsoft.com/office/2006/coverPageProps' " w:xpath="/ns0:CoverPageProperties[1]/ns0:PublishDate[1]" w:storeItemID="{55AF091B-3C7A-41E3-B477-F2FDAA23CFDA}"/>
                                  <w:date w:fullDate="2022-02-16T00:00:00Z">
                                    <w:dateFormat w:val="MMMM d, yyyy"/>
                                    <w:lid w:val="en-US"/>
                                    <w:storeMappedDataAs w:val="dateTime"/>
                                    <w:calendar w:val="gregorian"/>
                                  </w:date>
                                </w:sdtPr>
                                <w:sdtEndPr/>
                                <w:sdtContent>
                                  <w:p w:rsidR="007D1947" w:rsidRDefault="00FB7D7F">
                                    <w:pPr>
                                      <w:pStyle w:val="NoSpacing"/>
                                      <w:spacing w:after="40"/>
                                      <w:jc w:val="center"/>
                                      <w:rPr>
                                        <w:caps/>
                                        <w:color w:val="5B9BD5" w:themeColor="accent1"/>
                                        <w:sz w:val="28"/>
                                        <w:szCs w:val="28"/>
                                      </w:rPr>
                                    </w:pPr>
                                    <w:r>
                                      <w:rPr>
                                        <w:caps/>
                                        <w:color w:val="5B9BD5" w:themeColor="accent1"/>
                                        <w:sz w:val="28"/>
                                        <w:szCs w:val="28"/>
                                      </w:rPr>
                                      <w:t xml:space="preserve">February </w:t>
                                    </w:r>
                                    <w:r w:rsidR="003F7E44">
                                      <w:rPr>
                                        <w:caps/>
                                        <w:color w:val="5B9BD5" w:themeColor="accent1"/>
                                        <w:sz w:val="28"/>
                                        <w:szCs w:val="28"/>
                                      </w:rPr>
                                      <w:t>1</w:t>
                                    </w:r>
                                    <w:r>
                                      <w:rPr>
                                        <w:caps/>
                                        <w:color w:val="5B9BD5" w:themeColor="accent1"/>
                                        <w:sz w:val="28"/>
                                        <w:szCs w:val="28"/>
                                      </w:rPr>
                                      <w:t>6, 2022</w:t>
                                    </w:r>
                                  </w:p>
                                </w:sdtContent>
                              </w:sdt>
                              <w:p w:rsidR="007D1947" w:rsidRDefault="00CD564F">
                                <w:pPr>
                                  <w:pStyle w:val="NoSpacing"/>
                                  <w:jc w:val="center"/>
                                  <w:rPr>
                                    <w:color w:val="5B9BD5" w:themeColor="accent1"/>
                                  </w:rPr>
                                </w:pPr>
                                <w:sdt>
                                  <w:sdtPr>
                                    <w:rPr>
                                      <w:caps/>
                                      <w:color w:val="5B9BD5" w:themeColor="accent1"/>
                                    </w:rPr>
                                    <w:alias w:val="Company"/>
                                    <w:tag w:val=""/>
                                    <w:id w:val="867701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CD564F">
                                <w:pPr>
                                  <w:pStyle w:val="NoSpacing"/>
                                  <w:jc w:val="center"/>
                                  <w:rPr>
                                    <w:color w:val="5B9BD5" w:themeColor="accent1"/>
                                  </w:rPr>
                                </w:pPr>
                                <w:sdt>
                                  <w:sdtPr>
                                    <w:rPr>
                                      <w:color w:val="5B9BD5" w:themeColor="accent1"/>
                                    </w:rPr>
                                    <w:alias w:val="Address"/>
                                    <w:tag w:val=""/>
                                    <w:id w:val="8677018"/>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" filled="f" stroked="f" strokeweight=".5pt">
                    <v:textbox style="mso-fit-shape-to-text:t" inset="0,0,0,0">
                      <w:txbxContent>
                        <w:sdt>
                          <w:sdtPr>
                            <w:rPr>
                              <w:caps/>
                              <w:color w:val="5B9BD5" w:themeColor="accent1"/>
                              <w:sz w:val="28"/>
                              <w:szCs w:val="28"/>
                            </w:rPr>
                            <w:alias w:val="Date"/>
                            <w:tag w:val=""/>
                            <w:id w:val="8677016"/>
                            <w:dataBinding w:prefixMappings="xmlns:ns0='http://schemas.microsoft.com/office/2006/coverPageProps' " w:xpath="/ns0:CoverPageProperties[1]/ns0:PublishDate[1]" w:storeItemID="{55AF091B-3C7A-41E3-B477-F2FDAA23CFDA}"/>
                            <w:date w:fullDate="2022-02-16T00:00:00Z">
                              <w:dateFormat w:val="MMMM d, yyyy"/>
                              <w:lid w:val="en-US"/>
                              <w:storeMappedDataAs w:val="dateTime"/>
                              <w:calendar w:val="gregorian"/>
                            </w:date>
                          </w:sdtPr>
                          <w:sdtEndPr/>
                          <w:sdtContent>
                            <w:p w:rsidR="007D1947" w:rsidRDefault="00FB7D7F">
                              <w:pPr>
                                <w:pStyle w:val="NoSpacing"/>
                                <w:spacing w:after="40"/>
                                <w:jc w:val="center"/>
                                <w:rPr>
                                  <w:caps/>
                                  <w:color w:val="5B9BD5" w:themeColor="accent1"/>
                                  <w:sz w:val="28"/>
                                  <w:szCs w:val="28"/>
                                </w:rPr>
                              </w:pPr>
                              <w:r>
                                <w:rPr>
                                  <w:caps/>
                                  <w:color w:val="5B9BD5" w:themeColor="accent1"/>
                                  <w:sz w:val="28"/>
                                  <w:szCs w:val="28"/>
                                </w:rPr>
                                <w:t xml:space="preserve">February </w:t>
                              </w:r>
                              <w:r w:rsidR="003F7E44">
                                <w:rPr>
                                  <w:caps/>
                                  <w:color w:val="5B9BD5" w:themeColor="accent1"/>
                                  <w:sz w:val="28"/>
                                  <w:szCs w:val="28"/>
                                </w:rPr>
                                <w:t>1</w:t>
                              </w:r>
                              <w:r>
                                <w:rPr>
                                  <w:caps/>
                                  <w:color w:val="5B9BD5" w:themeColor="accent1"/>
                                  <w:sz w:val="28"/>
                                  <w:szCs w:val="28"/>
                                </w:rPr>
                                <w:t>6, 2022</w:t>
                              </w:r>
                            </w:p>
                          </w:sdtContent>
                        </w:sdt>
                        <w:p w:rsidR="007D1947" w:rsidRDefault="00CB31C6">
                          <w:pPr>
                            <w:pStyle w:val="NoSpacing"/>
                            <w:jc w:val="center"/>
                            <w:rPr>
                              <w:color w:val="5B9BD5" w:themeColor="accent1"/>
                            </w:rPr>
                          </w:pPr>
                          <w:sdt>
                            <w:sdtPr>
                              <w:rPr>
                                <w:caps/>
                                <w:color w:val="5B9BD5" w:themeColor="accent1"/>
                              </w:rPr>
                              <w:alias w:val="Company"/>
                              <w:tag w:val=""/>
                              <w:id w:val="867701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CB31C6">
                          <w:pPr>
                            <w:pStyle w:val="NoSpacing"/>
                            <w:jc w:val="center"/>
                            <w:rPr>
                              <w:color w:val="5B9BD5" w:themeColor="accent1"/>
                            </w:rPr>
                          </w:pPr>
                          <w:sdt>
                            <w:sdtPr>
                              <w:rPr>
                                <w:color w:val="5B9BD5" w:themeColor="accent1"/>
                              </w:rPr>
                              <w:alias w:val="Address"/>
                              <w:tag w:val=""/>
                              <w:id w:val="8677018"/>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7D1947" w:rsidRPr="00FB7D7F">
            <w:rPr>
              <w:rFonts w:ascii="Arial" w:hAnsi="Arial" w:cs="Arial"/>
              <w:noProof/>
              <w:color w:val="5B9BD5" w:themeColor="accent1"/>
              <w:sz w:val="24"/>
              <w:szCs w:val="24"/>
              <w:lang w:val="en-GB" w:eastAsia="en-GB" w:bidi="bn-BD"/>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B7D7F" w:rsidRDefault="00FB7D7F" w:rsidP="00ED62EA">
          <w:pPr>
            <w:pStyle w:val="Heading1"/>
            <w:spacing w:line="360" w:lineRule="auto"/>
            <w:jc w:val="center"/>
            <w:rPr>
              <w:rFonts w:ascii="Arial" w:hAnsi="Arial" w:cs="Arial"/>
              <w:sz w:val="24"/>
              <w:szCs w:val="24"/>
            </w:rPr>
          </w:pPr>
          <w:bookmarkStart w:id="0" w:name="_Toc95066525"/>
          <w:bookmarkStart w:id="1" w:name="_Toc95066596"/>
          <w:bookmarkStart w:id="2" w:name="_Toc95066643"/>
          <w:r w:rsidRPr="00FB7D7F">
            <w:rPr>
              <w:rFonts w:ascii="Arial" w:hAnsi="Arial" w:cs="Arial"/>
              <w:sz w:val="24"/>
              <w:szCs w:val="24"/>
            </w:rPr>
            <w:t>Morshida Akhta</w:t>
          </w:r>
          <w:bookmarkEnd w:id="0"/>
          <w:bookmarkEnd w:id="1"/>
          <w:bookmarkEnd w:id="2"/>
          <w:r w:rsidR="00CD564F">
            <w:rPr>
              <w:rFonts w:ascii="Arial" w:hAnsi="Arial" w:cs="Arial"/>
              <w:sz w:val="24"/>
              <w:szCs w:val="24"/>
            </w:rPr>
            <w:t>r</w:t>
          </w:r>
        </w:p>
        <w:p w:rsidR="00FB7D7F" w:rsidRDefault="00FB7D7F" w:rsidP="00ED62EA">
          <w:pPr>
            <w:pStyle w:val="Heading1"/>
            <w:spacing w:line="360" w:lineRule="auto"/>
            <w:jc w:val="center"/>
            <w:rPr>
              <w:rFonts w:ascii="Arial" w:hAnsi="Arial" w:cs="Arial"/>
              <w:sz w:val="24"/>
              <w:szCs w:val="24"/>
            </w:rPr>
          </w:pPr>
          <w:bookmarkStart w:id="3" w:name="_Toc95066526"/>
          <w:bookmarkStart w:id="4" w:name="_Toc95066597"/>
          <w:bookmarkStart w:id="5" w:name="_Toc95066644"/>
          <w:r>
            <w:rPr>
              <w:rFonts w:ascii="Arial" w:hAnsi="Arial" w:cs="Arial"/>
              <w:sz w:val="24"/>
              <w:szCs w:val="24"/>
            </w:rPr>
            <w:t>Financial Management for the Hotel Industry</w:t>
          </w:r>
          <w:bookmarkEnd w:id="3"/>
          <w:bookmarkEnd w:id="4"/>
          <w:bookmarkEnd w:id="5"/>
        </w:p>
        <w:p w:rsidR="007D1947" w:rsidRDefault="00FB7D7F" w:rsidP="00B734C1">
          <w:pPr>
            <w:pStyle w:val="Heading1"/>
            <w:spacing w:line="360" w:lineRule="auto"/>
            <w:jc w:val="center"/>
            <w:rPr>
              <w:rFonts w:ascii="Arial" w:hAnsi="Arial" w:cs="Arial"/>
              <w:sz w:val="24"/>
              <w:szCs w:val="24"/>
            </w:rPr>
          </w:pPr>
          <w:bookmarkStart w:id="6" w:name="_Toc95066527"/>
          <w:bookmarkStart w:id="7" w:name="_Toc95066598"/>
          <w:bookmarkStart w:id="8" w:name="_Toc95066645"/>
          <w:r>
            <w:rPr>
              <w:rFonts w:ascii="Arial" w:hAnsi="Arial" w:cs="Arial"/>
              <w:sz w:val="24"/>
              <w:szCs w:val="24"/>
            </w:rPr>
            <w:t>BMIH 50</w:t>
          </w:r>
          <w:r w:rsidR="008731A3">
            <w:rPr>
              <w:rFonts w:ascii="Arial" w:hAnsi="Arial" w:cs="Arial"/>
              <w:sz w:val="24"/>
              <w:szCs w:val="24"/>
            </w:rPr>
            <w:t>0</w:t>
          </w:r>
          <w:r w:rsidR="00CD564F">
            <w:rPr>
              <w:rFonts w:ascii="Arial" w:hAnsi="Arial" w:cs="Arial"/>
              <w:sz w:val="24"/>
              <w:szCs w:val="24"/>
            </w:rPr>
            <w:t>7</w:t>
          </w:r>
          <w:r w:rsidR="007D1947" w:rsidRPr="00FB7D7F">
            <w:rPr>
              <w:rFonts w:ascii="Arial" w:hAnsi="Arial" w:cs="Arial"/>
              <w:sz w:val="24"/>
              <w:szCs w:val="24"/>
            </w:rPr>
            <w:br w:type="page"/>
          </w:r>
          <w:bookmarkStart w:id="9" w:name="_Toc95066646"/>
          <w:r w:rsidR="007D1947" w:rsidRPr="002619EA">
            <w:rPr>
              <w:rFonts w:ascii="Arial" w:hAnsi="Arial" w:cs="Arial"/>
              <w:b/>
              <w:bCs/>
              <w:color w:val="000000" w:themeColor="text1"/>
              <w:sz w:val="24"/>
              <w:szCs w:val="24"/>
            </w:rPr>
            <w:lastRenderedPageBreak/>
            <w:t>Executive Summar</w:t>
          </w:r>
          <w:bookmarkEnd w:id="6"/>
          <w:bookmarkEnd w:id="7"/>
          <w:bookmarkEnd w:id="8"/>
          <w:bookmarkEnd w:id="9"/>
          <w:r w:rsidR="008731A3">
            <w:rPr>
              <w:rFonts w:ascii="Arial" w:hAnsi="Arial" w:cs="Arial"/>
              <w:b/>
              <w:bCs/>
              <w:color w:val="000000" w:themeColor="text1"/>
              <w:sz w:val="24"/>
              <w:szCs w:val="24"/>
            </w:rPr>
            <w:t>y</w:t>
          </w:r>
        </w:p>
        <w:p w:rsidR="006759D4" w:rsidRPr="006759D4" w:rsidRDefault="006759D4" w:rsidP="006759D4"/>
        <w:p w:rsidR="00ED62EA" w:rsidRPr="00ED62EA" w:rsidRDefault="00ED62EA" w:rsidP="00B734C1">
          <w:pPr>
            <w:spacing w:line="360" w:lineRule="auto"/>
            <w:jc w:val="both"/>
            <w:rPr>
              <w:rFonts w:ascii="Arial" w:hAnsi="Arial" w:cs="Arial"/>
              <w:sz w:val="24"/>
              <w:szCs w:val="24"/>
            </w:rPr>
          </w:pPr>
          <w:r w:rsidRPr="00ED62EA">
            <w:rPr>
              <w:rFonts w:ascii="Arial" w:hAnsi="Arial" w:cs="Arial"/>
              <w:sz w:val="24"/>
              <w:szCs w:val="24"/>
            </w:rPr>
            <w:t>The purpose of this report is to analyse the financial rations of Jurys Inn, a hospitality company that operates in United Kingdom and Northern Ireland, manages a portfolio of hotels. This report will be presented to the Chief Executive of the company to evaluate its performance during 2019 &amp; 2020 fiscal year</w:t>
          </w:r>
          <w:r w:rsidR="008731A3">
            <w:rPr>
              <w:rFonts w:ascii="Arial" w:hAnsi="Arial" w:cs="Arial"/>
              <w:sz w:val="24"/>
              <w:szCs w:val="24"/>
            </w:rPr>
            <w:t>.</w:t>
          </w:r>
        </w:p>
        <w:p w:rsidR="00ED62EA" w:rsidRPr="00ED62EA" w:rsidRDefault="00ED62EA" w:rsidP="00B734C1">
          <w:pPr>
            <w:spacing w:line="360" w:lineRule="auto"/>
            <w:jc w:val="both"/>
            <w:rPr>
              <w:rFonts w:ascii="Arial" w:hAnsi="Arial" w:cs="Arial"/>
              <w:sz w:val="24"/>
              <w:szCs w:val="24"/>
            </w:rPr>
          </w:pPr>
          <w:r w:rsidRPr="00ED62EA">
            <w:rPr>
              <w:rFonts w:ascii="Arial" w:hAnsi="Arial" w:cs="Arial"/>
              <w:sz w:val="24"/>
              <w:szCs w:val="24"/>
            </w:rPr>
            <w:t xml:space="preserve">The ratio analysis is classified into 03 different segments- profitability, liquidity and gearing. After that, according the P&amp;L account and balance sheet ratios will be calculated. To identify the weak points of the business additional ratios will also be considered. </w:t>
          </w:r>
        </w:p>
        <w:p w:rsidR="007D1947" w:rsidRPr="00FB7D7F" w:rsidRDefault="00ED62EA" w:rsidP="00B734C1">
          <w:pPr>
            <w:spacing w:line="360" w:lineRule="auto"/>
            <w:jc w:val="both"/>
            <w:rPr>
              <w:rFonts w:ascii="Arial" w:hAnsi="Arial" w:cs="Arial"/>
              <w:sz w:val="24"/>
              <w:szCs w:val="24"/>
            </w:rPr>
          </w:pPr>
          <w:r w:rsidRPr="00ED62EA">
            <w:rPr>
              <w:rFonts w:ascii="Arial" w:hAnsi="Arial" w:cs="Arial"/>
              <w:sz w:val="24"/>
              <w:szCs w:val="24"/>
            </w:rPr>
            <w:t>Upon completion of the calculation, critical analysis of the findings from the ratios will be submitted to the management with visual graphs. Finally, brief summary of the ratio will be provided for further understanding and decision making.</w:t>
          </w: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sdt>
          <w:sdtPr>
            <w:rPr>
              <w:rFonts w:ascii="Arial" w:eastAsiaTheme="minorHAnsi" w:hAnsi="Arial" w:cs="Arial"/>
              <w:color w:val="auto"/>
              <w:sz w:val="24"/>
              <w:szCs w:val="24"/>
              <w:lang w:val="en-GB"/>
            </w:rPr>
            <w:id w:val="-1297214018"/>
            <w:docPartObj>
              <w:docPartGallery w:val="Table of Contents"/>
              <w:docPartUnique/>
            </w:docPartObj>
          </w:sdtPr>
          <w:sdtEndPr>
            <w:rPr>
              <w:b/>
              <w:bCs/>
              <w:noProof/>
            </w:rPr>
          </w:sdtEndPr>
          <w:sdtContent>
            <w:p w:rsidR="002619EA" w:rsidRDefault="002619EA" w:rsidP="002619EA">
              <w:pPr>
                <w:pStyle w:val="TOCHeading"/>
                <w:spacing w:line="360" w:lineRule="auto"/>
              </w:pPr>
            </w:p>
            <w:tbl>
              <w:tblPr>
                <w:tblW w:w="5380" w:type="dxa"/>
                <w:jc w:val="center"/>
                <w:tblLook w:val="04A0" w:firstRow="1" w:lastRow="0" w:firstColumn="1" w:lastColumn="0" w:noHBand="0" w:noVBand="1"/>
              </w:tblPr>
              <w:tblGrid>
                <w:gridCol w:w="4817"/>
                <w:gridCol w:w="563"/>
              </w:tblGrid>
              <w:tr w:rsidR="002619EA" w:rsidRPr="003351ED" w:rsidTr="00496A4D">
                <w:trPr>
                  <w:trHeight w:val="682"/>
                  <w:jc w:val="center"/>
                </w:trPr>
                <w:tc>
                  <w:tcPr>
                    <w:tcW w:w="5380" w:type="dxa"/>
                    <w:gridSpan w:val="2"/>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2619EA" w:rsidRPr="003351ED" w:rsidRDefault="002619EA" w:rsidP="00C93DFB">
                    <w:pPr>
                      <w:spacing w:after="0" w:line="240" w:lineRule="auto"/>
                      <w:jc w:val="center"/>
                      <w:rPr>
                        <w:rFonts w:ascii="Bookman Old Style" w:eastAsia="Times New Roman" w:hAnsi="Bookman Old Style" w:cs="Calibri"/>
                        <w:b/>
                        <w:bCs/>
                        <w:color w:val="FFFFFF"/>
                        <w:sz w:val="48"/>
                        <w:szCs w:val="48"/>
                        <w:lang w:eastAsia="en-GB"/>
                      </w:rPr>
                    </w:pPr>
                    <w:r w:rsidRPr="003351ED">
                      <w:rPr>
                        <w:rFonts w:ascii="Bookman Old Style" w:eastAsia="Times New Roman" w:hAnsi="Bookman Old Style" w:cs="Calibri"/>
                        <w:b/>
                        <w:bCs/>
                        <w:color w:val="FFFFFF"/>
                        <w:sz w:val="48"/>
                        <w:szCs w:val="48"/>
                        <w:lang w:eastAsia="en-GB"/>
                      </w:rPr>
                      <w:t>Table of Content</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Executive Summary</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2</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Introduction</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4</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Financial Analysis</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5</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Table: 01</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5</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Chart: 01</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6</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Chart: 02</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6</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Table: 02</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7</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Chart: 03</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8</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Table: 03</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8</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Chart: 04</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9</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Table: 04</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9</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Chart: 05</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10</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Table: 05</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11</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Chart- 08</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12</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Importance of ratio analysis</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12</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Limitations of ratio analysis</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13</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Conclusion</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14</w:t>
                    </w:r>
                  </w:p>
                </w:tc>
              </w:tr>
              <w:tr w:rsidR="002619EA" w:rsidRPr="003351ED" w:rsidTr="00496A4D">
                <w:trPr>
                  <w:trHeight w:val="341"/>
                  <w:jc w:val="center"/>
                </w:trPr>
                <w:tc>
                  <w:tcPr>
                    <w:tcW w:w="4817" w:type="dxa"/>
                    <w:tcBorders>
                      <w:top w:val="nil"/>
                      <w:left w:val="single" w:sz="4" w:space="0" w:color="auto"/>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Reference List</w:t>
                    </w:r>
                  </w:p>
                </w:tc>
                <w:tc>
                  <w:tcPr>
                    <w:tcW w:w="563" w:type="dxa"/>
                    <w:tcBorders>
                      <w:top w:val="nil"/>
                      <w:left w:val="nil"/>
                      <w:bottom w:val="single" w:sz="4" w:space="0" w:color="auto"/>
                      <w:right w:val="single" w:sz="4" w:space="0" w:color="auto"/>
                    </w:tcBorders>
                    <w:shd w:val="clear" w:color="auto" w:fill="auto"/>
                    <w:noWrap/>
                    <w:vAlign w:val="center"/>
                    <w:hideMark/>
                  </w:tcPr>
                  <w:p w:rsidR="002619EA" w:rsidRPr="003351ED" w:rsidRDefault="002619EA" w:rsidP="00C93DFB">
                    <w:pPr>
                      <w:spacing w:after="0" w:line="240" w:lineRule="auto"/>
                      <w:jc w:val="center"/>
                      <w:rPr>
                        <w:rFonts w:ascii="Bookman Old Style" w:eastAsia="Times New Roman" w:hAnsi="Bookman Old Style" w:cs="Calibri"/>
                        <w:color w:val="000000"/>
                        <w:lang w:eastAsia="en-GB"/>
                      </w:rPr>
                    </w:pPr>
                    <w:r w:rsidRPr="003351ED">
                      <w:rPr>
                        <w:rFonts w:ascii="Bookman Old Style" w:eastAsia="Times New Roman" w:hAnsi="Bookman Old Style" w:cs="Calibri"/>
                        <w:color w:val="000000"/>
                        <w:lang w:eastAsia="en-GB"/>
                      </w:rPr>
                      <w:t>15</w:t>
                    </w:r>
                  </w:p>
                </w:tc>
              </w:tr>
            </w:tbl>
            <w:p w:rsidR="002619EA" w:rsidRDefault="002619EA" w:rsidP="002619EA">
              <w:pPr>
                <w:pStyle w:val="TOCHeading"/>
                <w:spacing w:line="360" w:lineRule="auto"/>
              </w:pPr>
            </w:p>
            <w:p w:rsidR="007D1947" w:rsidRPr="00FB7D7F" w:rsidRDefault="00CD564F" w:rsidP="00ED62EA">
              <w:pPr>
                <w:spacing w:line="360" w:lineRule="auto"/>
                <w:rPr>
                  <w:rFonts w:ascii="Arial" w:hAnsi="Arial" w:cs="Arial"/>
                  <w:sz w:val="24"/>
                  <w:szCs w:val="24"/>
                </w:rPr>
              </w:pPr>
            </w:p>
          </w:sdtContent>
        </w:sdt>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7D1947" w:rsidRPr="00FB7D7F" w:rsidRDefault="007D1947" w:rsidP="00ED62EA">
          <w:pPr>
            <w:spacing w:line="360" w:lineRule="auto"/>
            <w:rPr>
              <w:rFonts w:ascii="Arial" w:hAnsi="Arial" w:cs="Arial"/>
              <w:sz w:val="24"/>
              <w:szCs w:val="24"/>
            </w:rPr>
          </w:pPr>
        </w:p>
        <w:p w:rsidR="002619EA" w:rsidRPr="00E139E2" w:rsidRDefault="002619EA" w:rsidP="00B734C1">
          <w:pPr>
            <w:jc w:val="both"/>
            <w:rPr>
              <w:rFonts w:ascii="Arial" w:hAnsi="Arial" w:cs="Arial"/>
              <w:b/>
              <w:bCs/>
              <w:sz w:val="24"/>
              <w:szCs w:val="24"/>
            </w:rPr>
          </w:pPr>
          <w:r w:rsidRPr="00E139E2">
            <w:rPr>
              <w:rFonts w:ascii="Arial" w:hAnsi="Arial" w:cs="Arial"/>
              <w:b/>
              <w:bCs/>
              <w:sz w:val="24"/>
              <w:szCs w:val="24"/>
            </w:rPr>
            <w:lastRenderedPageBreak/>
            <w:t>Introduction</w:t>
          </w:r>
        </w:p>
        <w:p w:rsidR="002619EA" w:rsidRDefault="002619EA" w:rsidP="00B734C1">
          <w:pPr>
            <w:spacing w:line="360" w:lineRule="auto"/>
            <w:jc w:val="both"/>
            <w:rPr>
              <w:rFonts w:ascii="Arial" w:hAnsi="Arial" w:cs="Arial"/>
              <w:sz w:val="24"/>
              <w:szCs w:val="24"/>
            </w:rPr>
          </w:pPr>
          <w:r>
            <w:rPr>
              <w:rFonts w:ascii="Arial" w:hAnsi="Arial" w:cs="Arial"/>
              <w:sz w:val="24"/>
              <w:szCs w:val="24"/>
            </w:rPr>
            <w:t>Jurys Inn is a hospitality industry that managers a portfolio of hotels in United Kingdom and Northern Ireland. This report will address to the Chief Executive regarding companies’ profitability, liquidity and gearing</w:t>
          </w:r>
          <w:r w:rsidR="00A7447E">
            <w:rPr>
              <w:rFonts w:ascii="Arial" w:hAnsi="Arial" w:cs="Arial"/>
              <w:sz w:val="24"/>
              <w:szCs w:val="24"/>
            </w:rPr>
            <w:t xml:space="preserve"> ratio</w:t>
          </w:r>
          <w:r>
            <w:rPr>
              <w:rFonts w:ascii="Arial" w:hAnsi="Arial" w:cs="Arial"/>
              <w:sz w:val="24"/>
              <w:szCs w:val="24"/>
            </w:rPr>
            <w:t xml:space="preserve"> of 2019 &amp; 2020 fiscal year.</w:t>
          </w:r>
        </w:p>
        <w:p w:rsidR="002619EA" w:rsidRDefault="002619EA" w:rsidP="00B734C1">
          <w:pPr>
            <w:spacing w:line="360" w:lineRule="auto"/>
            <w:jc w:val="both"/>
            <w:rPr>
              <w:rFonts w:ascii="Arial" w:hAnsi="Arial" w:cs="Arial"/>
              <w:sz w:val="24"/>
              <w:szCs w:val="24"/>
            </w:rPr>
          </w:pPr>
          <w:r w:rsidRPr="00272B7F">
            <w:rPr>
              <w:rFonts w:ascii="Arial" w:hAnsi="Arial" w:cs="Arial"/>
              <w:sz w:val="24"/>
              <w:szCs w:val="24"/>
            </w:rPr>
            <w:t>“</w:t>
          </w:r>
          <w:r w:rsidRPr="00272B7F">
            <w:rPr>
              <w:rFonts w:ascii="Arial" w:hAnsi="Arial" w:cs="Arial"/>
              <w:i/>
              <w:iCs/>
              <w:sz w:val="24"/>
              <w:szCs w:val="24"/>
            </w:rPr>
            <w:t>A ratio shows the relationship of one figure to another and can be used in accounting to demonstrate the interplay between balance sheet items, or between features of the profit and loss account and the balance sheet</w:t>
          </w:r>
          <w:r w:rsidRPr="00272B7F">
            <w:rPr>
              <w:rFonts w:ascii="Arial" w:hAnsi="Arial" w:cs="Arial"/>
              <w:sz w:val="24"/>
              <w:szCs w:val="24"/>
            </w:rPr>
            <w:t>. (</w:t>
          </w:r>
          <w:proofErr w:type="spellStart"/>
          <w:r w:rsidRPr="00272B7F">
            <w:rPr>
              <w:rFonts w:ascii="Arial" w:hAnsi="Arial" w:cs="Arial"/>
              <w:sz w:val="24"/>
              <w:szCs w:val="24"/>
            </w:rPr>
            <w:t>Pizzey</w:t>
          </w:r>
          <w:proofErr w:type="spellEnd"/>
          <w:r w:rsidRPr="00272B7F">
            <w:rPr>
              <w:rFonts w:ascii="Arial" w:hAnsi="Arial" w:cs="Arial"/>
              <w:sz w:val="24"/>
              <w:szCs w:val="24"/>
            </w:rPr>
            <w:t>, 2001, p-236)”</w:t>
          </w:r>
        </w:p>
        <w:p w:rsidR="002619EA" w:rsidRDefault="002619EA" w:rsidP="00B734C1">
          <w:pPr>
            <w:spacing w:line="360" w:lineRule="auto"/>
            <w:jc w:val="both"/>
            <w:rPr>
              <w:rFonts w:ascii="Arial" w:hAnsi="Arial" w:cs="Arial"/>
              <w:sz w:val="24"/>
              <w:szCs w:val="24"/>
            </w:rPr>
          </w:pPr>
          <w:r w:rsidRPr="00866773">
            <w:rPr>
              <w:rFonts w:ascii="Arial" w:hAnsi="Arial" w:cs="Arial"/>
              <w:sz w:val="24"/>
              <w:szCs w:val="24"/>
            </w:rPr>
            <w:t xml:space="preserve">Ratios help to investigate and compare the financial </w:t>
          </w:r>
          <w:r>
            <w:rPr>
              <w:rFonts w:ascii="Arial" w:hAnsi="Arial" w:cs="Arial"/>
              <w:sz w:val="24"/>
              <w:szCs w:val="24"/>
            </w:rPr>
            <w:t>data</w:t>
          </w:r>
          <w:r w:rsidRPr="00866773">
            <w:rPr>
              <w:rFonts w:ascii="Arial" w:hAnsi="Arial" w:cs="Arial"/>
              <w:sz w:val="24"/>
              <w:szCs w:val="24"/>
            </w:rPr>
            <w:t xml:space="preserve"> of the industry</w:t>
          </w:r>
          <w:r>
            <w:rPr>
              <w:rFonts w:ascii="Arial" w:hAnsi="Arial" w:cs="Arial"/>
              <w:sz w:val="24"/>
              <w:szCs w:val="24"/>
            </w:rPr>
            <w:t xml:space="preserve"> against </w:t>
          </w:r>
          <w:r w:rsidRPr="00866773">
            <w:rPr>
              <w:rFonts w:ascii="Arial" w:hAnsi="Arial" w:cs="Arial"/>
              <w:sz w:val="24"/>
              <w:szCs w:val="24"/>
            </w:rPr>
            <w:t xml:space="preserve">previous years or with the </w:t>
          </w:r>
          <w:r>
            <w:rPr>
              <w:rFonts w:ascii="Arial" w:hAnsi="Arial" w:cs="Arial"/>
              <w:sz w:val="24"/>
              <w:szCs w:val="24"/>
            </w:rPr>
            <w:t>competitors</w:t>
          </w:r>
          <w:r w:rsidRPr="00866773">
            <w:rPr>
              <w:rFonts w:ascii="Arial" w:hAnsi="Arial" w:cs="Arial"/>
              <w:sz w:val="24"/>
              <w:szCs w:val="24"/>
            </w:rPr>
            <w:t xml:space="preserve"> in the same or dif</w:t>
          </w:r>
          <w:r>
            <w:rPr>
              <w:rFonts w:ascii="Arial" w:hAnsi="Arial" w:cs="Arial"/>
              <w:sz w:val="24"/>
              <w:szCs w:val="24"/>
            </w:rPr>
            <w:t>ferent industries. This evaluates</w:t>
          </w:r>
          <w:r w:rsidRPr="00866773">
            <w:rPr>
              <w:rFonts w:ascii="Arial" w:hAnsi="Arial" w:cs="Arial"/>
              <w:sz w:val="24"/>
              <w:szCs w:val="24"/>
            </w:rPr>
            <w:t xml:space="preserve"> the current trends of the </w:t>
          </w:r>
          <w:r>
            <w:rPr>
              <w:rFonts w:ascii="Arial" w:hAnsi="Arial" w:cs="Arial"/>
              <w:sz w:val="24"/>
              <w:szCs w:val="24"/>
            </w:rPr>
            <w:t>company</w:t>
          </w:r>
          <w:r w:rsidRPr="00866773">
            <w:rPr>
              <w:rFonts w:ascii="Arial" w:hAnsi="Arial" w:cs="Arial"/>
              <w:sz w:val="24"/>
              <w:szCs w:val="24"/>
            </w:rPr>
            <w:t xml:space="preserve">. </w:t>
          </w:r>
          <w:r>
            <w:rPr>
              <w:rFonts w:ascii="Arial" w:hAnsi="Arial" w:cs="Arial"/>
              <w:sz w:val="24"/>
              <w:szCs w:val="24"/>
            </w:rPr>
            <w:t xml:space="preserve">By calculating few ratios it is possible to get a brief picture of the performance and position of the company of a certain period of time. Companies like TESCO uses ratio analysis to provide companies financial information to its stakeholders and possible investors </w:t>
          </w:r>
          <w:r w:rsidRPr="00866773">
            <w:rPr>
              <w:rFonts w:ascii="Arial" w:hAnsi="Arial" w:cs="Arial"/>
              <w:sz w:val="24"/>
              <w:szCs w:val="24"/>
            </w:rPr>
            <w:t>(Reuters, 2014).</w:t>
          </w:r>
        </w:p>
        <w:p w:rsidR="002619EA" w:rsidRDefault="002619EA" w:rsidP="00B734C1">
          <w:pPr>
            <w:spacing w:line="360" w:lineRule="auto"/>
            <w:jc w:val="both"/>
            <w:rPr>
              <w:rFonts w:ascii="Arial" w:hAnsi="Arial" w:cs="Arial"/>
              <w:sz w:val="24"/>
              <w:szCs w:val="24"/>
            </w:rPr>
          </w:pPr>
          <w:r w:rsidRPr="00027516">
            <w:rPr>
              <w:rFonts w:ascii="Arial" w:hAnsi="Arial" w:cs="Arial"/>
              <w:sz w:val="24"/>
              <w:szCs w:val="24"/>
            </w:rPr>
            <w:t xml:space="preserve">A sustainable </w:t>
          </w:r>
          <w:r>
            <w:rPr>
              <w:rFonts w:ascii="Arial" w:hAnsi="Arial" w:cs="Arial"/>
              <w:sz w:val="24"/>
              <w:szCs w:val="24"/>
            </w:rPr>
            <w:t>company</w:t>
          </w:r>
          <w:r w:rsidRPr="00027516">
            <w:rPr>
              <w:rFonts w:ascii="Arial" w:hAnsi="Arial" w:cs="Arial"/>
              <w:sz w:val="24"/>
              <w:szCs w:val="24"/>
            </w:rPr>
            <w:t xml:space="preserve"> and </w:t>
          </w:r>
          <w:r>
            <w:rPr>
              <w:rFonts w:ascii="Arial" w:hAnsi="Arial" w:cs="Arial"/>
              <w:sz w:val="24"/>
              <w:szCs w:val="24"/>
            </w:rPr>
            <w:t xml:space="preserve">its </w:t>
          </w:r>
          <w:r w:rsidRPr="00027516">
            <w:rPr>
              <w:rFonts w:ascii="Arial" w:hAnsi="Arial" w:cs="Arial"/>
              <w:sz w:val="24"/>
              <w:szCs w:val="24"/>
            </w:rPr>
            <w:t>mission require efficient forecast</w:t>
          </w:r>
          <w:r>
            <w:rPr>
              <w:rFonts w:ascii="Arial" w:hAnsi="Arial" w:cs="Arial"/>
              <w:sz w:val="24"/>
              <w:szCs w:val="24"/>
            </w:rPr>
            <w:t>ing</w:t>
          </w:r>
          <w:r w:rsidRPr="00027516">
            <w:rPr>
              <w:rFonts w:ascii="Arial" w:hAnsi="Arial" w:cs="Arial"/>
              <w:sz w:val="24"/>
              <w:szCs w:val="24"/>
            </w:rPr>
            <w:t xml:space="preserve"> and monetary supervision. Ratio analysis is practical administrative tools that improve perceptive of financial </w:t>
          </w:r>
          <w:r>
            <w:rPr>
              <w:rFonts w:ascii="Arial" w:hAnsi="Arial" w:cs="Arial"/>
              <w:sz w:val="24"/>
              <w:szCs w:val="24"/>
            </w:rPr>
            <w:t xml:space="preserve">trends </w:t>
          </w:r>
          <w:r w:rsidRPr="00027516">
            <w:rPr>
              <w:rFonts w:ascii="Arial" w:hAnsi="Arial" w:cs="Arial"/>
              <w:sz w:val="24"/>
              <w:szCs w:val="24"/>
            </w:rPr>
            <w:t>and results over time, and offer key indicators of managerial presentation</w:t>
          </w:r>
          <w:r>
            <w:rPr>
              <w:rFonts w:ascii="Arial" w:hAnsi="Arial" w:cs="Arial"/>
              <w:sz w:val="24"/>
              <w:szCs w:val="24"/>
            </w:rPr>
            <w:t>. Chief Executive</w:t>
          </w:r>
          <w:r w:rsidRPr="00027516">
            <w:rPr>
              <w:rFonts w:ascii="Arial" w:hAnsi="Arial" w:cs="Arial"/>
              <w:sz w:val="24"/>
              <w:szCs w:val="24"/>
            </w:rPr>
            <w:t xml:space="preserve"> </w:t>
          </w:r>
          <w:r>
            <w:rPr>
              <w:rFonts w:ascii="Arial" w:hAnsi="Arial" w:cs="Arial"/>
              <w:sz w:val="24"/>
              <w:szCs w:val="24"/>
            </w:rPr>
            <w:t xml:space="preserve">can </w:t>
          </w:r>
          <w:r w:rsidRPr="00027516">
            <w:rPr>
              <w:rFonts w:ascii="Arial" w:hAnsi="Arial" w:cs="Arial"/>
              <w:sz w:val="24"/>
              <w:szCs w:val="24"/>
            </w:rPr>
            <w:t xml:space="preserve">use ratio analysis to identify weaknesses and </w:t>
          </w:r>
          <w:r>
            <w:rPr>
              <w:rFonts w:ascii="Arial" w:hAnsi="Arial" w:cs="Arial"/>
              <w:sz w:val="24"/>
              <w:szCs w:val="24"/>
            </w:rPr>
            <w:t>strength</w:t>
          </w:r>
          <w:r w:rsidRPr="00027516">
            <w:rPr>
              <w:rFonts w:ascii="Arial" w:hAnsi="Arial" w:cs="Arial"/>
              <w:sz w:val="24"/>
              <w:szCs w:val="24"/>
            </w:rPr>
            <w:t xml:space="preserve"> from which </w:t>
          </w:r>
          <w:r>
            <w:rPr>
              <w:rFonts w:ascii="Arial" w:hAnsi="Arial" w:cs="Arial"/>
              <w:sz w:val="24"/>
              <w:szCs w:val="24"/>
            </w:rPr>
            <w:t>policies</w:t>
          </w:r>
          <w:r w:rsidRPr="00027516">
            <w:rPr>
              <w:rFonts w:ascii="Arial" w:hAnsi="Arial" w:cs="Arial"/>
              <w:sz w:val="24"/>
              <w:szCs w:val="24"/>
            </w:rPr>
            <w:t xml:space="preserve"> and </w:t>
          </w:r>
          <w:r>
            <w:rPr>
              <w:rFonts w:ascii="Arial" w:hAnsi="Arial" w:cs="Arial"/>
              <w:sz w:val="24"/>
              <w:szCs w:val="24"/>
            </w:rPr>
            <w:t>actions</w:t>
          </w:r>
          <w:r w:rsidRPr="00027516">
            <w:rPr>
              <w:rFonts w:ascii="Arial" w:hAnsi="Arial" w:cs="Arial"/>
              <w:sz w:val="24"/>
              <w:szCs w:val="24"/>
            </w:rPr>
            <w:t xml:space="preserve"> can be </w:t>
          </w:r>
          <w:r>
            <w:rPr>
              <w:rFonts w:ascii="Arial" w:hAnsi="Arial" w:cs="Arial"/>
              <w:sz w:val="24"/>
              <w:szCs w:val="24"/>
            </w:rPr>
            <w:t>designed</w:t>
          </w:r>
          <w:r w:rsidRPr="00027516">
            <w:rPr>
              <w:rFonts w:ascii="Arial" w:hAnsi="Arial" w:cs="Arial"/>
              <w:sz w:val="24"/>
              <w:szCs w:val="24"/>
            </w:rPr>
            <w:t xml:space="preserve">. </w:t>
          </w:r>
          <w:r>
            <w:rPr>
              <w:rFonts w:ascii="Arial" w:hAnsi="Arial" w:cs="Arial"/>
              <w:sz w:val="24"/>
              <w:szCs w:val="24"/>
            </w:rPr>
            <w:t>Potential investors</w:t>
          </w:r>
          <w:r w:rsidRPr="00027516">
            <w:rPr>
              <w:rFonts w:ascii="Arial" w:hAnsi="Arial" w:cs="Arial"/>
              <w:sz w:val="24"/>
              <w:szCs w:val="24"/>
            </w:rPr>
            <w:t xml:space="preserve"> </w:t>
          </w:r>
          <w:r>
            <w:rPr>
              <w:rFonts w:ascii="Arial" w:hAnsi="Arial" w:cs="Arial"/>
              <w:sz w:val="24"/>
              <w:szCs w:val="24"/>
            </w:rPr>
            <w:t>can</w:t>
          </w:r>
          <w:r w:rsidRPr="00027516">
            <w:rPr>
              <w:rFonts w:ascii="Arial" w:hAnsi="Arial" w:cs="Arial"/>
              <w:sz w:val="24"/>
              <w:szCs w:val="24"/>
            </w:rPr>
            <w:t xml:space="preserve"> use ratio analysis to calculate results against other </w:t>
          </w:r>
          <w:r>
            <w:rPr>
              <w:rFonts w:ascii="Arial" w:hAnsi="Arial" w:cs="Arial"/>
              <w:sz w:val="24"/>
              <w:szCs w:val="24"/>
            </w:rPr>
            <w:t>company</w:t>
          </w:r>
          <w:r w:rsidRPr="00027516">
            <w:rPr>
              <w:rFonts w:ascii="Arial" w:hAnsi="Arial" w:cs="Arial"/>
              <w:sz w:val="24"/>
              <w:szCs w:val="24"/>
            </w:rPr>
            <w:t xml:space="preserve"> or make judgments regarding administration efficiency and mission impact.</w:t>
          </w:r>
        </w:p>
        <w:p w:rsidR="002619EA" w:rsidRPr="00866773" w:rsidRDefault="002619EA" w:rsidP="00B734C1">
          <w:pPr>
            <w:spacing w:line="360" w:lineRule="auto"/>
            <w:jc w:val="both"/>
            <w:rPr>
              <w:rFonts w:ascii="Arial" w:hAnsi="Arial" w:cs="Arial"/>
              <w:sz w:val="24"/>
              <w:szCs w:val="24"/>
            </w:rPr>
          </w:pPr>
          <w:r w:rsidRPr="00866773">
            <w:rPr>
              <w:rFonts w:ascii="Arial" w:hAnsi="Arial" w:cs="Arial"/>
              <w:sz w:val="24"/>
              <w:szCs w:val="24"/>
            </w:rPr>
            <w:t xml:space="preserve">Ratios </w:t>
          </w:r>
          <w:r w:rsidR="00B612EA">
            <w:rPr>
              <w:rFonts w:ascii="Arial" w:hAnsi="Arial" w:cs="Arial"/>
              <w:sz w:val="24"/>
              <w:szCs w:val="24"/>
            </w:rPr>
            <w:t xml:space="preserve">recognise </w:t>
          </w:r>
          <w:r w:rsidRPr="00866773">
            <w:rPr>
              <w:rFonts w:ascii="Arial" w:hAnsi="Arial" w:cs="Arial"/>
              <w:sz w:val="24"/>
              <w:szCs w:val="24"/>
            </w:rPr>
            <w:t xml:space="preserve">the strengths and weaknesses of the </w:t>
          </w:r>
          <w:r>
            <w:rPr>
              <w:rFonts w:ascii="Arial" w:hAnsi="Arial" w:cs="Arial"/>
              <w:sz w:val="24"/>
              <w:szCs w:val="24"/>
            </w:rPr>
            <w:t>company</w:t>
          </w:r>
          <w:r w:rsidRPr="00866773">
            <w:rPr>
              <w:rFonts w:ascii="Arial" w:hAnsi="Arial" w:cs="Arial"/>
              <w:sz w:val="24"/>
              <w:szCs w:val="24"/>
            </w:rPr>
            <w:t xml:space="preserve"> but </w:t>
          </w:r>
          <w:r>
            <w:rPr>
              <w:rFonts w:ascii="Arial" w:hAnsi="Arial" w:cs="Arial"/>
              <w:sz w:val="24"/>
              <w:szCs w:val="24"/>
            </w:rPr>
            <w:t>it does not</w:t>
          </w:r>
          <w:r w:rsidRPr="00866773">
            <w:rPr>
              <w:rFonts w:ascii="Arial" w:hAnsi="Arial" w:cs="Arial"/>
              <w:sz w:val="24"/>
              <w:szCs w:val="24"/>
            </w:rPr>
            <w:t xml:space="preserve"> describe why those certain things are weakness or </w:t>
          </w:r>
          <w:r>
            <w:rPr>
              <w:rFonts w:ascii="Arial" w:hAnsi="Arial" w:cs="Arial"/>
              <w:sz w:val="24"/>
              <w:szCs w:val="24"/>
            </w:rPr>
            <w:t xml:space="preserve">strengths </w:t>
          </w:r>
          <w:r w:rsidRPr="00866773">
            <w:rPr>
              <w:rFonts w:ascii="Arial" w:hAnsi="Arial" w:cs="Arial"/>
              <w:sz w:val="24"/>
              <w:szCs w:val="24"/>
            </w:rPr>
            <w:t xml:space="preserve">for the </w:t>
          </w:r>
          <w:r>
            <w:rPr>
              <w:rFonts w:ascii="Arial" w:hAnsi="Arial" w:cs="Arial"/>
              <w:sz w:val="24"/>
              <w:szCs w:val="24"/>
            </w:rPr>
            <w:t>company</w:t>
          </w:r>
          <w:r w:rsidRPr="00866773">
            <w:rPr>
              <w:rFonts w:ascii="Arial" w:hAnsi="Arial" w:cs="Arial"/>
              <w:sz w:val="24"/>
              <w:szCs w:val="24"/>
            </w:rPr>
            <w:t xml:space="preserve">. </w:t>
          </w:r>
          <w:r>
            <w:rPr>
              <w:rFonts w:ascii="Arial" w:hAnsi="Arial" w:cs="Arial"/>
              <w:sz w:val="24"/>
              <w:szCs w:val="24"/>
            </w:rPr>
            <w:t>Therefore</w:t>
          </w:r>
          <w:r w:rsidRPr="00866773">
            <w:rPr>
              <w:rFonts w:ascii="Arial" w:hAnsi="Arial" w:cs="Arial"/>
              <w:sz w:val="24"/>
              <w:szCs w:val="24"/>
            </w:rPr>
            <w:t xml:space="preserve">, </w:t>
          </w:r>
          <w:r>
            <w:rPr>
              <w:rFonts w:ascii="Arial" w:hAnsi="Arial" w:cs="Arial"/>
              <w:sz w:val="24"/>
              <w:szCs w:val="24"/>
            </w:rPr>
            <w:t>it</w:t>
          </w:r>
          <w:r w:rsidRPr="00866773">
            <w:rPr>
              <w:rFonts w:ascii="Arial" w:hAnsi="Arial" w:cs="Arial"/>
              <w:sz w:val="24"/>
              <w:szCs w:val="24"/>
            </w:rPr>
            <w:t xml:space="preserve"> needs additional examination to highlight the </w:t>
          </w:r>
          <w:r>
            <w:rPr>
              <w:rFonts w:ascii="Arial" w:hAnsi="Arial" w:cs="Arial"/>
              <w:sz w:val="24"/>
              <w:szCs w:val="24"/>
            </w:rPr>
            <w:t xml:space="preserve">under </w:t>
          </w:r>
          <w:r w:rsidRPr="00866773">
            <w:rPr>
              <w:rFonts w:ascii="Arial" w:hAnsi="Arial" w:cs="Arial"/>
              <w:sz w:val="24"/>
              <w:szCs w:val="24"/>
            </w:rPr>
            <w:t xml:space="preserve">lying </w:t>
          </w:r>
          <w:r>
            <w:rPr>
              <w:rFonts w:ascii="Arial" w:hAnsi="Arial" w:cs="Arial"/>
              <w:sz w:val="24"/>
              <w:szCs w:val="24"/>
            </w:rPr>
            <w:t>fact</w:t>
          </w:r>
          <w:r w:rsidRPr="00866773">
            <w:rPr>
              <w:rFonts w:ascii="Arial" w:hAnsi="Arial" w:cs="Arial"/>
              <w:sz w:val="24"/>
              <w:szCs w:val="24"/>
            </w:rPr>
            <w:t>s.</w:t>
          </w:r>
        </w:p>
        <w:p w:rsidR="002619EA" w:rsidRPr="00866773" w:rsidRDefault="002619EA" w:rsidP="00B734C1">
          <w:pPr>
            <w:spacing w:line="360" w:lineRule="auto"/>
            <w:jc w:val="both"/>
            <w:rPr>
              <w:rFonts w:ascii="Arial" w:hAnsi="Arial" w:cs="Arial"/>
              <w:sz w:val="24"/>
              <w:szCs w:val="24"/>
            </w:rPr>
          </w:pPr>
          <w:r>
            <w:rPr>
              <w:rFonts w:ascii="Arial" w:hAnsi="Arial" w:cs="Arial"/>
              <w:sz w:val="24"/>
              <w:szCs w:val="24"/>
            </w:rPr>
            <w:t>Ratio analysis</w:t>
          </w:r>
          <w:r w:rsidRPr="00866773">
            <w:rPr>
              <w:rFonts w:ascii="Arial" w:hAnsi="Arial" w:cs="Arial"/>
              <w:sz w:val="24"/>
              <w:szCs w:val="24"/>
            </w:rPr>
            <w:t xml:space="preserve"> is used </w:t>
          </w:r>
          <w:r w:rsidR="00A40959">
            <w:rPr>
              <w:rFonts w:ascii="Arial" w:hAnsi="Arial" w:cs="Arial"/>
              <w:sz w:val="24"/>
              <w:szCs w:val="24"/>
            </w:rPr>
            <w:t xml:space="preserve">to analyse </w:t>
          </w:r>
          <w:r w:rsidR="00CA5FD6">
            <w:rPr>
              <w:rFonts w:ascii="Arial" w:hAnsi="Arial" w:cs="Arial"/>
              <w:sz w:val="24"/>
              <w:szCs w:val="24"/>
            </w:rPr>
            <w:t>company’s</w:t>
          </w:r>
          <w:r w:rsidR="00A40959">
            <w:rPr>
              <w:rFonts w:ascii="Arial" w:hAnsi="Arial" w:cs="Arial"/>
              <w:sz w:val="24"/>
              <w:szCs w:val="24"/>
            </w:rPr>
            <w:t xml:space="preserve"> financial status</w:t>
          </w:r>
          <w:r w:rsidRPr="00866773">
            <w:rPr>
              <w:rFonts w:ascii="Arial" w:hAnsi="Arial" w:cs="Arial"/>
              <w:sz w:val="24"/>
              <w:szCs w:val="24"/>
            </w:rPr>
            <w:t xml:space="preserve"> </w:t>
          </w:r>
          <w:r w:rsidR="00D115F9" w:rsidRPr="00866773">
            <w:rPr>
              <w:rFonts w:ascii="Arial" w:hAnsi="Arial" w:cs="Arial"/>
              <w:sz w:val="24"/>
              <w:szCs w:val="24"/>
            </w:rPr>
            <w:t>that</w:t>
          </w:r>
          <w:r w:rsidRPr="00866773">
            <w:rPr>
              <w:rFonts w:ascii="Arial" w:hAnsi="Arial" w:cs="Arial"/>
              <w:sz w:val="24"/>
              <w:szCs w:val="24"/>
            </w:rPr>
            <w:t xml:space="preserve"> have interest in the industry. For example shareholders or potential investor, creditors, management, bank etc.</w:t>
          </w:r>
        </w:p>
        <w:p w:rsidR="002619EA" w:rsidRDefault="002619EA" w:rsidP="00B734C1">
          <w:pPr>
            <w:tabs>
              <w:tab w:val="left" w:pos="5911"/>
            </w:tabs>
            <w:spacing w:line="360" w:lineRule="auto"/>
            <w:jc w:val="both"/>
            <w:rPr>
              <w:rFonts w:ascii="Arial" w:hAnsi="Arial" w:cs="Arial"/>
              <w:sz w:val="24"/>
              <w:szCs w:val="24"/>
            </w:rPr>
          </w:pPr>
        </w:p>
        <w:p w:rsidR="002619EA" w:rsidRDefault="002619EA" w:rsidP="00B734C1">
          <w:pPr>
            <w:spacing w:line="360" w:lineRule="auto"/>
            <w:jc w:val="both"/>
            <w:rPr>
              <w:rFonts w:ascii="Arial" w:hAnsi="Arial" w:cs="Arial"/>
              <w:sz w:val="24"/>
              <w:szCs w:val="24"/>
            </w:rPr>
          </w:pPr>
        </w:p>
        <w:p w:rsidR="002619EA" w:rsidRDefault="002619EA" w:rsidP="00B734C1">
          <w:pPr>
            <w:spacing w:line="360" w:lineRule="auto"/>
            <w:jc w:val="both"/>
            <w:rPr>
              <w:rFonts w:ascii="Arial" w:hAnsi="Arial" w:cs="Arial"/>
              <w:sz w:val="24"/>
              <w:szCs w:val="24"/>
            </w:rPr>
          </w:pPr>
        </w:p>
        <w:p w:rsidR="002619EA" w:rsidRPr="008F5B7F" w:rsidRDefault="002619EA" w:rsidP="00B734C1">
          <w:pPr>
            <w:spacing w:line="360" w:lineRule="auto"/>
            <w:jc w:val="both"/>
            <w:rPr>
              <w:rFonts w:ascii="Arial" w:hAnsi="Arial" w:cs="Arial"/>
              <w:b/>
              <w:bCs/>
              <w:sz w:val="24"/>
              <w:szCs w:val="24"/>
            </w:rPr>
          </w:pPr>
          <w:r w:rsidRPr="008F5B7F">
            <w:rPr>
              <w:rFonts w:ascii="Arial" w:hAnsi="Arial" w:cs="Arial"/>
              <w:b/>
              <w:bCs/>
              <w:sz w:val="24"/>
              <w:szCs w:val="24"/>
            </w:rPr>
            <w:t>Financial Analysis</w:t>
          </w:r>
        </w:p>
        <w:p w:rsidR="002619EA" w:rsidRDefault="002619EA" w:rsidP="00496A4D">
          <w:pPr>
            <w:spacing w:line="360" w:lineRule="auto"/>
            <w:jc w:val="center"/>
            <w:rPr>
              <w:rFonts w:ascii="Arial" w:hAnsi="Arial" w:cs="Arial"/>
              <w:sz w:val="24"/>
              <w:szCs w:val="24"/>
            </w:rPr>
          </w:pPr>
          <w:r w:rsidRPr="00B07D67">
            <w:rPr>
              <w:noProof/>
              <w:szCs w:val="24"/>
              <w:lang w:eastAsia="en-GB" w:bidi="bn-BD"/>
            </w:rPr>
            <w:lastRenderedPageBreak/>
            <w:drawing>
              <wp:inline distT="0" distB="0" distL="0" distR="0">
                <wp:extent cx="5731510" cy="1882396"/>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731510" cy="1882396"/>
                        </a:xfrm>
                        <a:prstGeom prst="rect">
                          <a:avLst/>
                        </a:prstGeom>
                        <a:noFill/>
                        <a:ln w="9525">
                          <a:noFill/>
                          <a:miter lim="800000"/>
                          <a:headEnd/>
                          <a:tailEnd/>
                        </a:ln>
                      </pic:spPr>
                    </pic:pic>
                  </a:graphicData>
                </a:graphic>
              </wp:inline>
            </w:drawing>
          </w:r>
        </w:p>
        <w:p w:rsidR="002619EA" w:rsidRDefault="002619EA" w:rsidP="00496A4D">
          <w:pPr>
            <w:spacing w:line="360" w:lineRule="auto"/>
            <w:jc w:val="center"/>
            <w:rPr>
              <w:rFonts w:ascii="Arial" w:hAnsi="Arial" w:cs="Arial"/>
              <w:sz w:val="24"/>
              <w:szCs w:val="24"/>
            </w:rPr>
          </w:pPr>
          <w:r>
            <w:rPr>
              <w:rFonts w:ascii="Arial" w:hAnsi="Arial" w:cs="Arial"/>
              <w:sz w:val="24"/>
              <w:szCs w:val="24"/>
            </w:rPr>
            <w:t>Table: 01</w:t>
          </w:r>
        </w:p>
        <w:p w:rsidR="002619EA" w:rsidRDefault="002619EA" w:rsidP="00B734C1">
          <w:pPr>
            <w:spacing w:line="360" w:lineRule="auto"/>
            <w:jc w:val="both"/>
            <w:rPr>
              <w:rFonts w:ascii="Arial" w:hAnsi="Arial" w:cs="Arial"/>
              <w:sz w:val="24"/>
              <w:szCs w:val="24"/>
            </w:rPr>
          </w:pPr>
          <w:r>
            <w:rPr>
              <w:rFonts w:ascii="Arial" w:hAnsi="Arial" w:cs="Arial"/>
              <w:sz w:val="24"/>
              <w:szCs w:val="24"/>
            </w:rPr>
            <w:t xml:space="preserve">According to Aziz (2017), profitability ratios are financial metrics that are used by the stakeholders of the business in order to evaluate and measure the capability of a business to make revenue to profit, assets, operating expenses and owners’ equity during a fiscal year. A higher ratio means company is performing well by generating cash flow and revenue. </w:t>
          </w:r>
          <w:r w:rsidR="00576133">
            <w:rPr>
              <w:rFonts w:ascii="Arial" w:hAnsi="Arial" w:cs="Arial"/>
              <w:sz w:val="24"/>
              <w:szCs w:val="24"/>
            </w:rPr>
            <w:t>It shows Jury’s Inn is making a healthy margin each year that will make investors interested in investment and will certainly the value of shareholder</w:t>
          </w:r>
          <w:r w:rsidR="00387E49">
            <w:rPr>
              <w:rFonts w:ascii="Arial" w:hAnsi="Arial" w:cs="Arial"/>
              <w:sz w:val="24"/>
              <w:szCs w:val="24"/>
            </w:rPr>
            <w:t>’</w:t>
          </w:r>
          <w:r w:rsidR="006C733C">
            <w:rPr>
              <w:rFonts w:ascii="Arial" w:hAnsi="Arial" w:cs="Arial"/>
              <w:sz w:val="24"/>
              <w:szCs w:val="24"/>
            </w:rPr>
            <w:t>s equity</w:t>
          </w:r>
          <w:r w:rsidR="00576133">
            <w:rPr>
              <w:rFonts w:ascii="Arial" w:hAnsi="Arial" w:cs="Arial"/>
              <w:sz w:val="24"/>
              <w:szCs w:val="24"/>
            </w:rPr>
            <w:t>.</w:t>
          </w:r>
        </w:p>
        <w:p w:rsidR="002619EA" w:rsidRDefault="002619EA" w:rsidP="00B734C1">
          <w:pPr>
            <w:spacing w:line="360" w:lineRule="auto"/>
            <w:jc w:val="both"/>
            <w:rPr>
              <w:rFonts w:ascii="Arial" w:hAnsi="Arial" w:cs="Arial"/>
              <w:sz w:val="24"/>
              <w:szCs w:val="24"/>
            </w:rPr>
          </w:pPr>
          <w:r>
            <w:rPr>
              <w:rFonts w:ascii="Arial" w:hAnsi="Arial" w:cs="Arial"/>
              <w:sz w:val="24"/>
              <w:szCs w:val="24"/>
            </w:rPr>
            <w:t xml:space="preserve">Profitability ratio is useful to compare the performance of two different businesses. As Jurys Inn manages a portfolio of hotels </w:t>
          </w:r>
          <w:r w:rsidR="002454CB">
            <w:rPr>
              <w:rFonts w:ascii="Arial" w:hAnsi="Arial" w:cs="Arial"/>
              <w:sz w:val="24"/>
              <w:szCs w:val="24"/>
            </w:rPr>
            <w:t>profitability</w:t>
          </w:r>
          <w:r>
            <w:rPr>
              <w:rFonts w:ascii="Arial" w:hAnsi="Arial" w:cs="Arial"/>
              <w:sz w:val="24"/>
              <w:szCs w:val="24"/>
            </w:rPr>
            <w:t xml:space="preserve"> ratio can which business is making better turnover, which indicates effectiveness of management structure of that business (Collins, 1994). On the other hand, </w:t>
          </w:r>
          <w:proofErr w:type="spellStart"/>
          <w:r>
            <w:rPr>
              <w:rFonts w:ascii="Arial" w:hAnsi="Arial" w:cs="Arial"/>
              <w:sz w:val="24"/>
              <w:szCs w:val="24"/>
            </w:rPr>
            <w:t>Duchin</w:t>
          </w:r>
          <w:proofErr w:type="spellEnd"/>
          <w:r>
            <w:rPr>
              <w:rFonts w:ascii="Arial" w:hAnsi="Arial" w:cs="Arial"/>
              <w:sz w:val="24"/>
              <w:szCs w:val="24"/>
            </w:rPr>
            <w:t xml:space="preserve"> &amp; </w:t>
          </w:r>
          <w:proofErr w:type="spellStart"/>
          <w:r>
            <w:rPr>
              <w:rFonts w:ascii="Arial" w:hAnsi="Arial" w:cs="Arial"/>
              <w:sz w:val="24"/>
              <w:szCs w:val="24"/>
            </w:rPr>
            <w:t>Sosyura</w:t>
          </w:r>
          <w:proofErr w:type="spellEnd"/>
          <w:r>
            <w:rPr>
              <w:rFonts w:ascii="Arial" w:hAnsi="Arial" w:cs="Arial"/>
              <w:sz w:val="24"/>
              <w:szCs w:val="24"/>
            </w:rPr>
            <w:t xml:space="preserve"> (2014) argues that, this ratio does not measure the value of a business rather it shows the ability of a company to generate profits from investments.</w:t>
          </w:r>
        </w:p>
        <w:p w:rsidR="002619EA" w:rsidRDefault="002619EA" w:rsidP="00B734C1">
          <w:pPr>
            <w:spacing w:line="360" w:lineRule="auto"/>
            <w:jc w:val="both"/>
            <w:rPr>
              <w:rFonts w:ascii="Arial" w:hAnsi="Arial" w:cs="Arial"/>
              <w:sz w:val="24"/>
              <w:szCs w:val="24"/>
            </w:rPr>
          </w:pPr>
        </w:p>
        <w:p w:rsidR="002619EA" w:rsidRDefault="002619EA" w:rsidP="00496A4D">
          <w:pPr>
            <w:spacing w:line="360" w:lineRule="auto"/>
            <w:jc w:val="center"/>
            <w:rPr>
              <w:rFonts w:ascii="Arial" w:hAnsi="Arial" w:cs="Arial"/>
              <w:sz w:val="24"/>
              <w:szCs w:val="24"/>
            </w:rPr>
          </w:pPr>
          <w:r w:rsidRPr="00863866">
            <w:rPr>
              <w:rFonts w:ascii="Arial" w:hAnsi="Arial" w:cs="Arial"/>
              <w:noProof/>
              <w:sz w:val="24"/>
              <w:szCs w:val="24"/>
              <w:lang w:eastAsia="en-GB" w:bidi="bn-BD"/>
            </w:rPr>
            <w:lastRenderedPageBreak/>
            <w:drawing>
              <wp:inline distT="0" distB="0" distL="0" distR="0">
                <wp:extent cx="4572000" cy="2748643"/>
                <wp:effectExtent l="19050" t="0" r="0" b="0"/>
                <wp:docPr id="1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619EA" w:rsidRDefault="002619EA" w:rsidP="00496A4D">
          <w:pPr>
            <w:spacing w:line="360" w:lineRule="auto"/>
            <w:jc w:val="center"/>
            <w:rPr>
              <w:rFonts w:ascii="Arial" w:hAnsi="Arial" w:cs="Arial"/>
              <w:sz w:val="24"/>
              <w:szCs w:val="24"/>
            </w:rPr>
          </w:pPr>
          <w:r>
            <w:rPr>
              <w:rFonts w:ascii="Arial" w:hAnsi="Arial" w:cs="Arial"/>
              <w:sz w:val="24"/>
              <w:szCs w:val="24"/>
            </w:rPr>
            <w:t>Chart: 01</w:t>
          </w:r>
        </w:p>
        <w:p w:rsidR="002619EA" w:rsidRDefault="002619EA" w:rsidP="00B734C1">
          <w:pPr>
            <w:spacing w:line="360" w:lineRule="auto"/>
            <w:jc w:val="both"/>
            <w:rPr>
              <w:rFonts w:ascii="Arial" w:hAnsi="Arial" w:cs="Arial"/>
              <w:sz w:val="24"/>
              <w:szCs w:val="24"/>
            </w:rPr>
          </w:pPr>
          <w:r>
            <w:rPr>
              <w:rFonts w:ascii="Arial" w:hAnsi="Arial" w:cs="Arial"/>
              <w:sz w:val="24"/>
              <w:szCs w:val="24"/>
            </w:rPr>
            <w:t>According to the P&amp;L account Jurys Inn of 2019 and 2020, gross profit is significantly higher. However, despite making £100k extra gross profit in 2020 their net profit is only 67.88% due to increase of rent, advertising and bad debt.</w:t>
          </w:r>
        </w:p>
        <w:p w:rsidR="002619EA" w:rsidRDefault="002619EA" w:rsidP="00496A4D">
          <w:pPr>
            <w:spacing w:line="360" w:lineRule="auto"/>
            <w:jc w:val="center"/>
            <w:rPr>
              <w:rFonts w:ascii="Arial" w:hAnsi="Arial" w:cs="Arial"/>
              <w:sz w:val="24"/>
              <w:szCs w:val="24"/>
            </w:rPr>
          </w:pPr>
          <w:r w:rsidRPr="00D453DE">
            <w:rPr>
              <w:rFonts w:ascii="Arial" w:hAnsi="Arial" w:cs="Arial"/>
              <w:noProof/>
              <w:sz w:val="24"/>
              <w:szCs w:val="24"/>
              <w:lang w:eastAsia="en-GB" w:bidi="bn-BD"/>
            </w:rPr>
            <w:drawing>
              <wp:inline distT="0" distB="0" distL="0" distR="0">
                <wp:extent cx="4572000" cy="2748643"/>
                <wp:effectExtent l="0" t="0" r="0" b="0"/>
                <wp:docPr id="1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619EA" w:rsidRDefault="002619EA" w:rsidP="00496A4D">
          <w:pPr>
            <w:spacing w:line="360" w:lineRule="auto"/>
            <w:jc w:val="center"/>
            <w:rPr>
              <w:rFonts w:ascii="Arial" w:hAnsi="Arial" w:cs="Arial"/>
              <w:sz w:val="24"/>
              <w:szCs w:val="24"/>
            </w:rPr>
          </w:pPr>
          <w:r>
            <w:rPr>
              <w:rFonts w:ascii="Arial" w:hAnsi="Arial" w:cs="Arial"/>
              <w:sz w:val="24"/>
              <w:szCs w:val="24"/>
            </w:rPr>
            <w:t>Chart: 02</w:t>
          </w:r>
        </w:p>
        <w:p w:rsidR="002619EA" w:rsidRDefault="002619EA" w:rsidP="00B734C1">
          <w:pPr>
            <w:spacing w:line="360" w:lineRule="auto"/>
            <w:jc w:val="both"/>
            <w:rPr>
              <w:rFonts w:ascii="Arial" w:hAnsi="Arial" w:cs="Arial"/>
              <w:sz w:val="24"/>
              <w:szCs w:val="24"/>
            </w:rPr>
          </w:pPr>
          <w:r>
            <w:rPr>
              <w:rFonts w:ascii="Arial" w:hAnsi="Arial" w:cs="Arial"/>
              <w:sz w:val="24"/>
              <w:szCs w:val="24"/>
            </w:rPr>
            <w:t xml:space="preserve">In 2020 due to efficient use of company’s capital Jury’s Inn managed to increase its return on capital by almost 0.50% against 2019. It shows the value company gains from its asset and liability. </w:t>
          </w:r>
          <w:r w:rsidRPr="00DA47CD">
            <w:rPr>
              <w:rFonts w:ascii="Arial" w:hAnsi="Arial" w:cs="Arial"/>
              <w:sz w:val="24"/>
              <w:szCs w:val="24"/>
            </w:rPr>
            <w:t xml:space="preserve">The main downside of ROCE is that it </w:t>
          </w:r>
          <w:r>
            <w:rPr>
              <w:rFonts w:ascii="Arial" w:hAnsi="Arial" w:cs="Arial"/>
              <w:sz w:val="24"/>
              <w:szCs w:val="24"/>
            </w:rPr>
            <w:t>calculates yield</w:t>
          </w:r>
          <w:r w:rsidRPr="00DA47CD">
            <w:rPr>
              <w:rFonts w:ascii="Arial" w:hAnsi="Arial" w:cs="Arial"/>
              <w:sz w:val="24"/>
              <w:szCs w:val="24"/>
            </w:rPr>
            <w:t xml:space="preserve"> against the book value of assets in the company. </w:t>
          </w:r>
          <w:r>
            <w:rPr>
              <w:rFonts w:ascii="Arial" w:hAnsi="Arial" w:cs="Arial"/>
              <w:sz w:val="24"/>
              <w:szCs w:val="24"/>
            </w:rPr>
            <w:t>Despite of depreciation, ROCE will increase its ratio despite having the same cash flow (Sachin, 2016).</w:t>
          </w:r>
        </w:p>
        <w:p w:rsidR="002619EA" w:rsidRDefault="002619EA" w:rsidP="00B734C1">
          <w:pPr>
            <w:spacing w:line="360" w:lineRule="auto"/>
            <w:jc w:val="both"/>
            <w:rPr>
              <w:rFonts w:ascii="Arial" w:hAnsi="Arial" w:cs="Arial"/>
              <w:sz w:val="24"/>
              <w:szCs w:val="24"/>
            </w:rPr>
          </w:pPr>
        </w:p>
        <w:p w:rsidR="002619EA" w:rsidRDefault="002619EA" w:rsidP="00496A4D">
          <w:pPr>
            <w:spacing w:line="360" w:lineRule="auto"/>
            <w:jc w:val="center"/>
            <w:rPr>
              <w:rFonts w:ascii="Arial" w:hAnsi="Arial" w:cs="Arial"/>
              <w:sz w:val="24"/>
              <w:szCs w:val="24"/>
            </w:rPr>
          </w:pPr>
          <w:r w:rsidRPr="003D20D3">
            <w:rPr>
              <w:noProof/>
              <w:szCs w:val="24"/>
              <w:lang w:eastAsia="en-GB" w:bidi="bn-BD"/>
            </w:rPr>
            <w:drawing>
              <wp:inline distT="0" distB="0" distL="0" distR="0">
                <wp:extent cx="5731510" cy="1540878"/>
                <wp:effectExtent l="19050" t="0" r="254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5731510" cy="1540878"/>
                        </a:xfrm>
                        <a:prstGeom prst="rect">
                          <a:avLst/>
                        </a:prstGeom>
                        <a:noFill/>
                        <a:ln w="9525">
                          <a:noFill/>
                          <a:miter lim="800000"/>
                          <a:headEnd/>
                          <a:tailEnd/>
                        </a:ln>
                      </pic:spPr>
                    </pic:pic>
                  </a:graphicData>
                </a:graphic>
              </wp:inline>
            </w:drawing>
          </w:r>
        </w:p>
        <w:p w:rsidR="002619EA" w:rsidRDefault="002619EA" w:rsidP="00496A4D">
          <w:pPr>
            <w:spacing w:line="360" w:lineRule="auto"/>
            <w:jc w:val="center"/>
            <w:rPr>
              <w:rFonts w:ascii="Arial" w:hAnsi="Arial" w:cs="Arial"/>
              <w:sz w:val="24"/>
              <w:szCs w:val="24"/>
            </w:rPr>
          </w:pPr>
          <w:r>
            <w:rPr>
              <w:rFonts w:ascii="Arial" w:hAnsi="Arial" w:cs="Arial"/>
              <w:sz w:val="24"/>
              <w:szCs w:val="24"/>
            </w:rPr>
            <w:t>Table: 02</w:t>
          </w:r>
        </w:p>
        <w:p w:rsidR="002619EA" w:rsidRDefault="002619EA" w:rsidP="00B734C1">
          <w:pPr>
            <w:spacing w:line="360" w:lineRule="auto"/>
            <w:jc w:val="both"/>
            <w:rPr>
              <w:rFonts w:ascii="Arial" w:hAnsi="Arial" w:cs="Arial"/>
              <w:sz w:val="24"/>
              <w:szCs w:val="24"/>
            </w:rPr>
          </w:pPr>
          <w:r>
            <w:rPr>
              <w:rFonts w:ascii="Arial" w:hAnsi="Arial" w:cs="Arial"/>
              <w:sz w:val="24"/>
              <w:szCs w:val="24"/>
            </w:rPr>
            <w:t xml:space="preserve">Liquidity ratio illustrates the ability of the business to pay off its short-term debt, in other word it shows how quickly a business can convert its current asset into cash to pay off its current liability (Walsh, 1996). Current and quick ratio affects the trustworthiness of the business as well as it validates the credit rating of the company. Anything above 02 in current and above 01 in quick ratio is considered as standard for the business. As it shows business has enough liquid asset to pay off current liability </w:t>
          </w:r>
          <w:r w:rsidRPr="00C7713F">
            <w:rPr>
              <w:rFonts w:ascii="Arial" w:hAnsi="Arial" w:cs="Arial"/>
              <w:sz w:val="24"/>
              <w:szCs w:val="24"/>
            </w:rPr>
            <w:t xml:space="preserve">(Alexander, Britton, </w:t>
          </w:r>
          <w:proofErr w:type="spellStart"/>
          <w:r w:rsidRPr="00C7713F">
            <w:rPr>
              <w:rFonts w:ascii="Arial" w:hAnsi="Arial" w:cs="Arial"/>
              <w:sz w:val="24"/>
              <w:szCs w:val="24"/>
            </w:rPr>
            <w:t>Jorisse</w:t>
          </w:r>
          <w:proofErr w:type="spellEnd"/>
          <w:r w:rsidRPr="00C7713F">
            <w:rPr>
              <w:rFonts w:ascii="Arial" w:hAnsi="Arial" w:cs="Arial"/>
              <w:sz w:val="24"/>
              <w:szCs w:val="24"/>
            </w:rPr>
            <w:t>. 2011)</w:t>
          </w:r>
          <w:r>
            <w:rPr>
              <w:rFonts w:ascii="Arial" w:hAnsi="Arial" w:cs="Arial"/>
              <w:sz w:val="24"/>
              <w:szCs w:val="24"/>
            </w:rPr>
            <w:t>.</w:t>
          </w:r>
        </w:p>
        <w:p w:rsidR="002619EA" w:rsidRDefault="002619EA" w:rsidP="00B734C1">
          <w:pPr>
            <w:spacing w:line="360" w:lineRule="auto"/>
            <w:jc w:val="both"/>
            <w:rPr>
              <w:rFonts w:ascii="Arial" w:hAnsi="Arial" w:cs="Arial"/>
              <w:sz w:val="24"/>
              <w:szCs w:val="24"/>
            </w:rPr>
          </w:pPr>
          <w:r>
            <w:rPr>
              <w:rFonts w:ascii="Arial" w:hAnsi="Arial" w:cs="Arial"/>
              <w:sz w:val="24"/>
              <w:szCs w:val="24"/>
            </w:rPr>
            <w:t xml:space="preserve">Liquidity ratio is very popular among business analysts as it is very easy to comprehend and shows present status of a business in term of its liquid asset. Furthermore, this shows how quickly a business can pay off its debt. Finally it also shows the efficiency of the business of using its asset (Slater &amp; </w:t>
          </w:r>
          <w:proofErr w:type="spellStart"/>
          <w:r>
            <w:rPr>
              <w:rFonts w:ascii="Arial" w:hAnsi="Arial" w:cs="Arial"/>
              <w:sz w:val="24"/>
              <w:szCs w:val="24"/>
            </w:rPr>
            <w:t>Curwin</w:t>
          </w:r>
          <w:proofErr w:type="spellEnd"/>
          <w:r>
            <w:rPr>
              <w:rFonts w:ascii="Arial" w:hAnsi="Arial" w:cs="Arial"/>
              <w:sz w:val="24"/>
              <w:szCs w:val="24"/>
            </w:rPr>
            <w:t>, 2002). Yet using this index alone is not a good idea. The value of inventory fluctuates time to time and using different accounting standards to evaluate inventory can change the ratio as well (</w:t>
          </w:r>
          <w:proofErr w:type="spellStart"/>
          <w:r>
            <w:rPr>
              <w:rFonts w:ascii="Arial" w:hAnsi="Arial" w:cs="Arial"/>
              <w:sz w:val="24"/>
              <w:szCs w:val="24"/>
            </w:rPr>
            <w:t>Foerster</w:t>
          </w:r>
          <w:proofErr w:type="spellEnd"/>
          <w:r>
            <w:rPr>
              <w:rFonts w:ascii="Arial" w:hAnsi="Arial" w:cs="Arial"/>
              <w:sz w:val="24"/>
              <w:szCs w:val="24"/>
            </w:rPr>
            <w:t>, 2013).</w:t>
          </w:r>
        </w:p>
        <w:p w:rsidR="002619EA" w:rsidRDefault="002619EA" w:rsidP="00B734C1">
          <w:pPr>
            <w:spacing w:line="360" w:lineRule="auto"/>
            <w:jc w:val="both"/>
            <w:rPr>
              <w:rFonts w:ascii="Arial" w:hAnsi="Arial" w:cs="Arial"/>
              <w:sz w:val="24"/>
              <w:szCs w:val="24"/>
            </w:rPr>
          </w:pPr>
        </w:p>
        <w:p w:rsidR="002619EA" w:rsidRDefault="002619EA" w:rsidP="00496A4D">
          <w:pPr>
            <w:spacing w:line="360" w:lineRule="auto"/>
            <w:jc w:val="center"/>
            <w:rPr>
              <w:rFonts w:ascii="Arial" w:hAnsi="Arial" w:cs="Arial"/>
              <w:sz w:val="24"/>
              <w:szCs w:val="24"/>
            </w:rPr>
          </w:pPr>
          <w:r w:rsidRPr="00713AAA">
            <w:rPr>
              <w:rFonts w:ascii="Arial" w:hAnsi="Arial" w:cs="Arial"/>
              <w:noProof/>
              <w:sz w:val="24"/>
              <w:szCs w:val="24"/>
              <w:lang w:eastAsia="en-GB" w:bidi="bn-BD"/>
            </w:rPr>
            <w:lastRenderedPageBreak/>
            <w:drawing>
              <wp:inline distT="0" distB="0" distL="0" distR="0">
                <wp:extent cx="4572000" cy="2748643"/>
                <wp:effectExtent l="19050" t="0" r="0" b="0"/>
                <wp:docPr id="20"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619EA" w:rsidRDefault="002619EA" w:rsidP="00496A4D">
          <w:pPr>
            <w:spacing w:line="360" w:lineRule="auto"/>
            <w:jc w:val="center"/>
            <w:rPr>
              <w:rFonts w:ascii="Arial" w:hAnsi="Arial" w:cs="Arial"/>
              <w:sz w:val="24"/>
              <w:szCs w:val="24"/>
            </w:rPr>
          </w:pPr>
          <w:r>
            <w:rPr>
              <w:rFonts w:ascii="Arial" w:hAnsi="Arial" w:cs="Arial"/>
              <w:sz w:val="24"/>
              <w:szCs w:val="24"/>
            </w:rPr>
            <w:t>Chart: 03</w:t>
          </w:r>
        </w:p>
        <w:p w:rsidR="002619EA" w:rsidRDefault="002619EA" w:rsidP="00B734C1">
          <w:pPr>
            <w:spacing w:line="360" w:lineRule="auto"/>
            <w:jc w:val="both"/>
            <w:rPr>
              <w:rFonts w:ascii="Arial" w:hAnsi="Arial" w:cs="Arial"/>
              <w:sz w:val="24"/>
              <w:szCs w:val="24"/>
            </w:rPr>
          </w:pPr>
          <w:r>
            <w:rPr>
              <w:rFonts w:ascii="Arial" w:hAnsi="Arial" w:cs="Arial"/>
              <w:sz w:val="24"/>
              <w:szCs w:val="24"/>
            </w:rPr>
            <w:t>According to the balance sheet of Jury’s inn, can off load its current liability easily in both years using its current assets. However, due to increase of trade creditors by $70k and bank overdraft by £200 their liquid asset against current liability has decreased in 2020.</w:t>
          </w:r>
        </w:p>
        <w:p w:rsidR="002619EA" w:rsidRDefault="002619EA" w:rsidP="00B734C1">
          <w:pPr>
            <w:spacing w:line="360" w:lineRule="auto"/>
            <w:jc w:val="both"/>
            <w:rPr>
              <w:rFonts w:ascii="Arial" w:hAnsi="Arial" w:cs="Arial"/>
              <w:sz w:val="24"/>
              <w:szCs w:val="24"/>
            </w:rPr>
          </w:pPr>
        </w:p>
        <w:p w:rsidR="002619EA" w:rsidRDefault="002619EA" w:rsidP="00496A4D">
          <w:pPr>
            <w:spacing w:line="360" w:lineRule="auto"/>
            <w:jc w:val="center"/>
            <w:rPr>
              <w:rFonts w:ascii="Arial" w:hAnsi="Arial" w:cs="Arial"/>
              <w:sz w:val="24"/>
              <w:szCs w:val="24"/>
            </w:rPr>
          </w:pPr>
          <w:r w:rsidRPr="006E26C4">
            <w:rPr>
              <w:noProof/>
              <w:szCs w:val="24"/>
              <w:lang w:eastAsia="en-GB" w:bidi="bn-BD"/>
            </w:rPr>
            <w:drawing>
              <wp:inline distT="0" distB="0" distL="0" distR="0">
                <wp:extent cx="5731510" cy="1507988"/>
                <wp:effectExtent l="19050" t="0" r="2540"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5731510" cy="1507988"/>
                        </a:xfrm>
                        <a:prstGeom prst="rect">
                          <a:avLst/>
                        </a:prstGeom>
                        <a:noFill/>
                        <a:ln w="9525">
                          <a:noFill/>
                          <a:miter lim="800000"/>
                          <a:headEnd/>
                          <a:tailEnd/>
                        </a:ln>
                      </pic:spPr>
                    </pic:pic>
                  </a:graphicData>
                </a:graphic>
              </wp:inline>
            </w:drawing>
          </w:r>
        </w:p>
        <w:p w:rsidR="002619EA" w:rsidRDefault="002619EA" w:rsidP="00496A4D">
          <w:pPr>
            <w:spacing w:line="360" w:lineRule="auto"/>
            <w:jc w:val="center"/>
            <w:rPr>
              <w:rFonts w:ascii="Arial" w:hAnsi="Arial" w:cs="Arial"/>
              <w:sz w:val="24"/>
              <w:szCs w:val="24"/>
            </w:rPr>
          </w:pPr>
          <w:r>
            <w:rPr>
              <w:rFonts w:ascii="Arial" w:hAnsi="Arial" w:cs="Arial"/>
              <w:sz w:val="24"/>
              <w:szCs w:val="24"/>
            </w:rPr>
            <w:t>Table: 03</w:t>
          </w:r>
        </w:p>
        <w:p w:rsidR="002619EA" w:rsidRDefault="002619EA" w:rsidP="00B734C1">
          <w:pPr>
            <w:spacing w:line="360" w:lineRule="auto"/>
            <w:jc w:val="both"/>
            <w:rPr>
              <w:rFonts w:ascii="Arial" w:hAnsi="Arial" w:cs="Arial"/>
              <w:sz w:val="24"/>
              <w:szCs w:val="24"/>
            </w:rPr>
          </w:pPr>
          <w:r>
            <w:rPr>
              <w:rFonts w:ascii="Arial" w:hAnsi="Arial" w:cs="Arial"/>
              <w:sz w:val="24"/>
              <w:szCs w:val="24"/>
            </w:rPr>
            <w:t>Solvency or gearing ratio measures the risk of repayment of the debt and companies ability to meet its debt in long-term. This also measures owner’s equity to company debt to identify company’s financial weight (</w:t>
          </w:r>
          <w:proofErr w:type="spellStart"/>
          <w:r>
            <w:rPr>
              <w:rFonts w:ascii="Arial" w:hAnsi="Arial" w:cs="Arial"/>
              <w:sz w:val="24"/>
              <w:szCs w:val="24"/>
            </w:rPr>
            <w:t>Wai</w:t>
          </w:r>
          <w:proofErr w:type="spellEnd"/>
          <w:r>
            <w:rPr>
              <w:rFonts w:ascii="Arial" w:hAnsi="Arial" w:cs="Arial"/>
              <w:sz w:val="24"/>
              <w:szCs w:val="24"/>
            </w:rPr>
            <w:t xml:space="preserve">, 1995). The gearing ratio indicates the financial risks that are associated with the company. </w:t>
          </w:r>
          <w:proofErr w:type="spellStart"/>
          <w:r>
            <w:rPr>
              <w:rFonts w:ascii="Arial" w:hAnsi="Arial" w:cs="Arial"/>
              <w:sz w:val="24"/>
              <w:szCs w:val="24"/>
            </w:rPr>
            <w:t>Situm</w:t>
          </w:r>
          <w:proofErr w:type="spellEnd"/>
          <w:r>
            <w:rPr>
              <w:rFonts w:ascii="Arial" w:hAnsi="Arial" w:cs="Arial"/>
              <w:sz w:val="24"/>
              <w:szCs w:val="24"/>
            </w:rPr>
            <w:t xml:space="preserve"> (2014) suggests that, if business has huge debt it can fall into financial distress. A low gearing ratio shows low proportion of debt to owner’s equity.</w:t>
          </w:r>
        </w:p>
        <w:p w:rsidR="002619EA" w:rsidRDefault="002619EA" w:rsidP="00496A4D">
          <w:pPr>
            <w:spacing w:line="360" w:lineRule="auto"/>
            <w:jc w:val="center"/>
            <w:rPr>
              <w:rFonts w:ascii="Arial" w:hAnsi="Arial" w:cs="Arial"/>
              <w:sz w:val="24"/>
              <w:szCs w:val="24"/>
            </w:rPr>
          </w:pPr>
          <w:r w:rsidRPr="009645D5">
            <w:rPr>
              <w:rFonts w:ascii="Arial" w:hAnsi="Arial" w:cs="Arial"/>
              <w:noProof/>
              <w:sz w:val="24"/>
              <w:szCs w:val="24"/>
              <w:lang w:eastAsia="en-GB" w:bidi="bn-BD"/>
            </w:rPr>
            <w:lastRenderedPageBreak/>
            <w:drawing>
              <wp:inline distT="0" distB="0" distL="0" distR="0">
                <wp:extent cx="4572000" cy="2748643"/>
                <wp:effectExtent l="19050" t="0" r="0" b="0"/>
                <wp:docPr id="1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619EA" w:rsidRDefault="002619EA" w:rsidP="00496A4D">
          <w:pPr>
            <w:tabs>
              <w:tab w:val="left" w:pos="5090"/>
            </w:tabs>
            <w:spacing w:line="360" w:lineRule="auto"/>
            <w:jc w:val="center"/>
            <w:rPr>
              <w:rFonts w:ascii="Arial" w:hAnsi="Arial" w:cs="Arial"/>
              <w:sz w:val="24"/>
              <w:szCs w:val="24"/>
            </w:rPr>
          </w:pPr>
          <w:r>
            <w:rPr>
              <w:rFonts w:ascii="Arial" w:hAnsi="Arial" w:cs="Arial"/>
              <w:sz w:val="24"/>
              <w:szCs w:val="24"/>
            </w:rPr>
            <w:t>Chart- 04</w:t>
          </w:r>
        </w:p>
        <w:p w:rsidR="002619EA" w:rsidRDefault="002619EA" w:rsidP="00B734C1">
          <w:pPr>
            <w:tabs>
              <w:tab w:val="left" w:pos="5090"/>
            </w:tabs>
            <w:spacing w:line="360" w:lineRule="auto"/>
            <w:jc w:val="both"/>
            <w:rPr>
              <w:rFonts w:ascii="Arial" w:hAnsi="Arial" w:cs="Arial"/>
              <w:sz w:val="24"/>
              <w:szCs w:val="24"/>
            </w:rPr>
          </w:pPr>
          <w:r>
            <w:rPr>
              <w:rFonts w:ascii="Arial" w:hAnsi="Arial" w:cs="Arial"/>
              <w:sz w:val="24"/>
              <w:szCs w:val="24"/>
            </w:rPr>
            <w:t>There are not enough information available in the balance sheet of Jury’s Inn in 2019 and 2020, however it can be said that despite the increase of bank overdraft businesses interest cover ratio is still very strong with 227 times in 2020.</w:t>
          </w:r>
        </w:p>
        <w:p w:rsidR="002619EA" w:rsidRDefault="00B22408" w:rsidP="00496A4D">
          <w:pPr>
            <w:spacing w:line="360" w:lineRule="auto"/>
            <w:jc w:val="center"/>
            <w:rPr>
              <w:rFonts w:ascii="Arial" w:hAnsi="Arial" w:cs="Arial"/>
              <w:sz w:val="24"/>
              <w:szCs w:val="24"/>
            </w:rPr>
          </w:pPr>
          <w:r w:rsidRPr="00B22408">
            <w:rPr>
              <w:noProof/>
              <w:szCs w:val="24"/>
              <w:lang w:eastAsia="en-GB" w:bidi="bn-BD"/>
            </w:rPr>
            <w:drawing>
              <wp:inline distT="0" distB="0" distL="0" distR="0">
                <wp:extent cx="5731510" cy="2856129"/>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731510" cy="2856129"/>
                        </a:xfrm>
                        <a:prstGeom prst="rect">
                          <a:avLst/>
                        </a:prstGeom>
                        <a:noFill/>
                        <a:ln w="9525">
                          <a:noFill/>
                          <a:miter lim="800000"/>
                          <a:headEnd/>
                          <a:tailEnd/>
                        </a:ln>
                      </pic:spPr>
                    </pic:pic>
                  </a:graphicData>
                </a:graphic>
              </wp:inline>
            </w:drawing>
          </w:r>
        </w:p>
        <w:p w:rsidR="002619EA" w:rsidRDefault="002619EA" w:rsidP="00496A4D">
          <w:pPr>
            <w:spacing w:line="360" w:lineRule="auto"/>
            <w:jc w:val="center"/>
            <w:rPr>
              <w:rFonts w:ascii="Arial" w:hAnsi="Arial" w:cs="Arial"/>
              <w:sz w:val="24"/>
              <w:szCs w:val="24"/>
            </w:rPr>
          </w:pPr>
          <w:r>
            <w:rPr>
              <w:rFonts w:ascii="Arial" w:hAnsi="Arial" w:cs="Arial"/>
              <w:sz w:val="24"/>
              <w:szCs w:val="24"/>
            </w:rPr>
            <w:t>Table: 04</w:t>
          </w:r>
        </w:p>
        <w:p w:rsidR="002619EA" w:rsidRDefault="002619EA" w:rsidP="00B734C1">
          <w:pPr>
            <w:spacing w:line="360" w:lineRule="auto"/>
            <w:jc w:val="both"/>
            <w:rPr>
              <w:rFonts w:ascii="Arial" w:hAnsi="Arial" w:cs="Arial"/>
              <w:sz w:val="24"/>
              <w:szCs w:val="24"/>
            </w:rPr>
          </w:pPr>
          <w:r>
            <w:rPr>
              <w:rFonts w:ascii="Arial" w:hAnsi="Arial" w:cs="Arial"/>
              <w:sz w:val="24"/>
              <w:szCs w:val="24"/>
            </w:rPr>
            <w:t xml:space="preserve">The working capital turnover index indicates the effectiveness of the company at making sales for every pound (£) of working capital used. Fitzgerald (2002) suggested that the higher working capital turnover index illustrates the company’s ability of generating larger amount of sales, which brings profit. In contrast, lower index of </w:t>
          </w:r>
          <w:r>
            <w:rPr>
              <w:rFonts w:ascii="Arial" w:hAnsi="Arial" w:cs="Arial"/>
              <w:sz w:val="24"/>
              <w:szCs w:val="24"/>
            </w:rPr>
            <w:lastRenderedPageBreak/>
            <w:t xml:space="preserve">working capital index suggests business is investing in too many accounts receivables; this might lad towards bad debts (Wilkes, </w:t>
          </w:r>
          <w:proofErr w:type="spellStart"/>
          <w:r>
            <w:rPr>
              <w:rFonts w:ascii="Arial" w:hAnsi="Arial" w:cs="Arial"/>
              <w:sz w:val="24"/>
              <w:szCs w:val="24"/>
            </w:rPr>
            <w:t>Brayshaw</w:t>
          </w:r>
          <w:proofErr w:type="spellEnd"/>
          <w:r>
            <w:rPr>
              <w:rFonts w:ascii="Arial" w:hAnsi="Arial" w:cs="Arial"/>
              <w:sz w:val="24"/>
              <w:szCs w:val="24"/>
            </w:rPr>
            <w:t xml:space="preserve"> &amp; </w:t>
          </w:r>
          <w:proofErr w:type="spellStart"/>
          <w:r>
            <w:rPr>
              <w:rFonts w:ascii="Arial" w:hAnsi="Arial" w:cs="Arial"/>
              <w:sz w:val="24"/>
              <w:szCs w:val="24"/>
            </w:rPr>
            <w:t>Samules</w:t>
          </w:r>
          <w:proofErr w:type="spellEnd"/>
          <w:r>
            <w:rPr>
              <w:rFonts w:ascii="Arial" w:hAnsi="Arial" w:cs="Arial"/>
              <w:sz w:val="24"/>
              <w:szCs w:val="24"/>
            </w:rPr>
            <w:t>, 1999).</w:t>
          </w:r>
        </w:p>
        <w:p w:rsidR="002619EA" w:rsidRDefault="002619EA" w:rsidP="00B734C1">
          <w:pPr>
            <w:spacing w:line="360" w:lineRule="auto"/>
            <w:jc w:val="both"/>
            <w:rPr>
              <w:rFonts w:ascii="Arial" w:hAnsi="Arial" w:cs="Arial"/>
              <w:sz w:val="24"/>
              <w:szCs w:val="24"/>
            </w:rPr>
          </w:pPr>
          <w:r>
            <w:rPr>
              <w:rFonts w:ascii="Arial" w:hAnsi="Arial" w:cs="Arial"/>
              <w:sz w:val="24"/>
              <w:szCs w:val="24"/>
            </w:rPr>
            <w:t>Total asset turnover index shows the efficiency of business’s assets in generating sales revenue. Debtor day’s ratio shows how soon company receive payment from its customers on the other hand; creditor day’s shows number of day’s business takes to pay its creditors. Finally stock turnover day’s shows number of day’s business takes to turnover its inventory. Lower stock turnover day suggests efficiency of company management (</w:t>
          </w:r>
          <w:proofErr w:type="spellStart"/>
          <w:r>
            <w:rPr>
              <w:rFonts w:ascii="Arial" w:hAnsi="Arial" w:cs="Arial"/>
              <w:sz w:val="24"/>
              <w:szCs w:val="24"/>
            </w:rPr>
            <w:t>Gitman</w:t>
          </w:r>
          <w:proofErr w:type="spellEnd"/>
          <w:r>
            <w:rPr>
              <w:rFonts w:ascii="Arial" w:hAnsi="Arial" w:cs="Arial"/>
              <w:sz w:val="24"/>
              <w:szCs w:val="24"/>
            </w:rPr>
            <w:t>, 2006).</w:t>
          </w:r>
        </w:p>
        <w:p w:rsidR="002619EA" w:rsidRDefault="002619EA" w:rsidP="00B734C1">
          <w:pPr>
            <w:spacing w:line="360" w:lineRule="auto"/>
            <w:jc w:val="both"/>
            <w:rPr>
              <w:rFonts w:ascii="Arial" w:hAnsi="Arial" w:cs="Arial"/>
              <w:sz w:val="24"/>
              <w:szCs w:val="24"/>
            </w:rPr>
          </w:pPr>
        </w:p>
        <w:p w:rsidR="002619EA" w:rsidRDefault="002619EA" w:rsidP="00496A4D">
          <w:pPr>
            <w:spacing w:line="360" w:lineRule="auto"/>
            <w:jc w:val="center"/>
            <w:rPr>
              <w:rFonts w:ascii="Arial" w:hAnsi="Arial" w:cs="Arial"/>
              <w:sz w:val="24"/>
              <w:szCs w:val="24"/>
            </w:rPr>
          </w:pPr>
          <w:r w:rsidRPr="00E56D37">
            <w:rPr>
              <w:rFonts w:ascii="Arial" w:hAnsi="Arial" w:cs="Arial"/>
              <w:noProof/>
              <w:sz w:val="24"/>
              <w:szCs w:val="24"/>
              <w:lang w:eastAsia="en-GB" w:bidi="bn-BD"/>
            </w:rPr>
            <w:drawing>
              <wp:inline distT="0" distB="0" distL="0" distR="0">
                <wp:extent cx="4572000" cy="2748643"/>
                <wp:effectExtent l="19050" t="0" r="0" b="0"/>
                <wp:docPr id="1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619EA" w:rsidRDefault="002619EA" w:rsidP="00496A4D">
          <w:pPr>
            <w:spacing w:line="360" w:lineRule="auto"/>
            <w:jc w:val="center"/>
            <w:rPr>
              <w:rFonts w:ascii="Arial" w:hAnsi="Arial" w:cs="Arial"/>
              <w:sz w:val="24"/>
              <w:szCs w:val="24"/>
            </w:rPr>
          </w:pPr>
          <w:r>
            <w:rPr>
              <w:rFonts w:ascii="Arial" w:hAnsi="Arial" w:cs="Arial"/>
              <w:sz w:val="24"/>
              <w:szCs w:val="24"/>
            </w:rPr>
            <w:t>Chart: 05</w:t>
          </w:r>
        </w:p>
        <w:p w:rsidR="002619EA" w:rsidRDefault="002619EA" w:rsidP="00B734C1">
          <w:pPr>
            <w:tabs>
              <w:tab w:val="center" w:pos="4513"/>
            </w:tabs>
            <w:spacing w:line="360" w:lineRule="auto"/>
            <w:jc w:val="both"/>
            <w:rPr>
              <w:rFonts w:ascii="Arial" w:hAnsi="Arial" w:cs="Arial"/>
              <w:sz w:val="24"/>
              <w:szCs w:val="24"/>
            </w:rPr>
          </w:pPr>
          <w:r>
            <w:rPr>
              <w:rFonts w:ascii="Arial" w:hAnsi="Arial" w:cs="Arial"/>
              <w:sz w:val="24"/>
              <w:szCs w:val="24"/>
            </w:rPr>
            <w:t>Considering the fact that Jurys Inn is working in hospitality sector, it is using its assets much efficiently in making turnover (Wood, 2020). In 2019 debtors were used to make their payment in 106 days, but in 2020 due to Covid- 19 pandemic it increase by additional 04 days. On the other hand, company managed to minimise suppliers payment days by 210 days. This should make suppliers happy and loyal to the business.</w:t>
          </w:r>
        </w:p>
        <w:p w:rsidR="002619EA" w:rsidRDefault="002619EA" w:rsidP="00B734C1">
          <w:pPr>
            <w:tabs>
              <w:tab w:val="center" w:pos="4513"/>
            </w:tabs>
            <w:spacing w:line="360" w:lineRule="auto"/>
            <w:jc w:val="both"/>
            <w:rPr>
              <w:rFonts w:ascii="Arial" w:hAnsi="Arial" w:cs="Arial"/>
              <w:sz w:val="24"/>
              <w:szCs w:val="24"/>
            </w:rPr>
          </w:pPr>
          <w:r>
            <w:rPr>
              <w:rFonts w:ascii="Arial" w:hAnsi="Arial" w:cs="Arial"/>
              <w:sz w:val="24"/>
              <w:szCs w:val="24"/>
            </w:rPr>
            <w:t>In 2020 Jurys Inn managed to turnover over its stocks approximately 02 times. This means business can make more profit by turning over its stocks.</w:t>
          </w:r>
        </w:p>
        <w:p w:rsidR="002619EA" w:rsidRDefault="002619EA" w:rsidP="00496A4D">
          <w:pPr>
            <w:spacing w:line="360" w:lineRule="auto"/>
            <w:jc w:val="center"/>
            <w:rPr>
              <w:rFonts w:ascii="Arial" w:hAnsi="Arial" w:cs="Arial"/>
              <w:sz w:val="24"/>
              <w:szCs w:val="24"/>
            </w:rPr>
          </w:pPr>
          <w:r w:rsidRPr="00971A64">
            <w:rPr>
              <w:noProof/>
              <w:szCs w:val="24"/>
              <w:lang w:eastAsia="en-GB" w:bidi="bn-BD"/>
            </w:rPr>
            <w:lastRenderedPageBreak/>
            <w:drawing>
              <wp:inline distT="0" distB="0" distL="0" distR="0">
                <wp:extent cx="5731510" cy="3971167"/>
                <wp:effectExtent l="1905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cstate="print"/>
                        <a:srcRect/>
                        <a:stretch>
                          <a:fillRect/>
                        </a:stretch>
                      </pic:blipFill>
                      <pic:spPr bwMode="auto">
                        <a:xfrm>
                          <a:off x="0" y="0"/>
                          <a:ext cx="5731510" cy="3971167"/>
                        </a:xfrm>
                        <a:prstGeom prst="rect">
                          <a:avLst/>
                        </a:prstGeom>
                        <a:noFill/>
                        <a:ln w="9525">
                          <a:noFill/>
                          <a:miter lim="800000"/>
                          <a:headEnd/>
                          <a:tailEnd/>
                        </a:ln>
                      </pic:spPr>
                    </pic:pic>
                  </a:graphicData>
                </a:graphic>
              </wp:inline>
            </w:drawing>
          </w:r>
        </w:p>
        <w:p w:rsidR="002619EA" w:rsidRDefault="002619EA" w:rsidP="00496A4D">
          <w:pPr>
            <w:tabs>
              <w:tab w:val="left" w:pos="3840"/>
              <w:tab w:val="center" w:pos="4513"/>
            </w:tabs>
            <w:spacing w:line="360" w:lineRule="auto"/>
            <w:jc w:val="center"/>
            <w:rPr>
              <w:rFonts w:ascii="Arial" w:hAnsi="Arial" w:cs="Arial"/>
              <w:sz w:val="24"/>
              <w:szCs w:val="24"/>
            </w:rPr>
          </w:pPr>
          <w:r>
            <w:rPr>
              <w:rFonts w:ascii="Arial" w:hAnsi="Arial" w:cs="Arial"/>
              <w:sz w:val="24"/>
              <w:szCs w:val="24"/>
            </w:rPr>
            <w:t>Table: 05</w:t>
          </w:r>
        </w:p>
        <w:p w:rsidR="002619EA" w:rsidRDefault="002619EA" w:rsidP="00B734C1">
          <w:pPr>
            <w:tabs>
              <w:tab w:val="left" w:pos="1290"/>
            </w:tabs>
            <w:spacing w:line="360" w:lineRule="auto"/>
            <w:jc w:val="both"/>
            <w:rPr>
              <w:rFonts w:ascii="Arial" w:hAnsi="Arial" w:cs="Arial"/>
              <w:sz w:val="24"/>
              <w:szCs w:val="24"/>
            </w:rPr>
          </w:pPr>
          <w:r>
            <w:rPr>
              <w:rFonts w:ascii="Arial" w:hAnsi="Arial" w:cs="Arial"/>
              <w:sz w:val="24"/>
              <w:szCs w:val="24"/>
            </w:rPr>
            <w:t>Working capital cycle measures the time business get between receiving payment of sold goods and paying suppliers</w:t>
          </w:r>
          <w:r w:rsidR="0036248D">
            <w:rPr>
              <w:rFonts w:ascii="Arial" w:hAnsi="Arial" w:cs="Arial"/>
              <w:sz w:val="24"/>
              <w:szCs w:val="24"/>
            </w:rPr>
            <w:t>.</w:t>
          </w:r>
        </w:p>
        <w:p w:rsidR="002619EA" w:rsidRDefault="002619EA" w:rsidP="00B734C1">
          <w:pPr>
            <w:tabs>
              <w:tab w:val="left" w:pos="1290"/>
            </w:tabs>
            <w:spacing w:line="360" w:lineRule="auto"/>
            <w:jc w:val="both"/>
            <w:rPr>
              <w:rFonts w:ascii="Arial" w:hAnsi="Arial" w:cs="Arial"/>
              <w:sz w:val="24"/>
              <w:szCs w:val="24"/>
            </w:rPr>
          </w:pPr>
        </w:p>
        <w:p w:rsidR="002619EA" w:rsidRDefault="002619EA" w:rsidP="00B734C1">
          <w:pPr>
            <w:tabs>
              <w:tab w:val="left" w:pos="1290"/>
            </w:tabs>
            <w:spacing w:line="360" w:lineRule="auto"/>
            <w:jc w:val="both"/>
            <w:rPr>
              <w:rFonts w:ascii="Arial" w:hAnsi="Arial" w:cs="Arial"/>
              <w:sz w:val="24"/>
              <w:szCs w:val="24"/>
            </w:rPr>
          </w:pPr>
        </w:p>
        <w:p w:rsidR="002619EA" w:rsidRDefault="002619EA" w:rsidP="00B734C1">
          <w:pPr>
            <w:tabs>
              <w:tab w:val="left" w:pos="1290"/>
            </w:tabs>
            <w:spacing w:line="360" w:lineRule="auto"/>
            <w:jc w:val="both"/>
            <w:rPr>
              <w:rFonts w:ascii="Arial" w:hAnsi="Arial" w:cs="Arial"/>
              <w:sz w:val="24"/>
              <w:szCs w:val="24"/>
            </w:rPr>
          </w:pPr>
        </w:p>
        <w:p w:rsidR="002619EA" w:rsidRDefault="002619EA" w:rsidP="00496A4D">
          <w:pPr>
            <w:tabs>
              <w:tab w:val="left" w:pos="1290"/>
            </w:tabs>
            <w:spacing w:line="360" w:lineRule="auto"/>
            <w:jc w:val="center"/>
            <w:rPr>
              <w:rFonts w:ascii="Arial" w:hAnsi="Arial" w:cs="Arial"/>
              <w:sz w:val="24"/>
              <w:szCs w:val="24"/>
            </w:rPr>
          </w:pPr>
          <w:r w:rsidRPr="00DD4173">
            <w:rPr>
              <w:rFonts w:ascii="Arial" w:hAnsi="Arial" w:cs="Arial"/>
              <w:noProof/>
              <w:sz w:val="24"/>
              <w:szCs w:val="24"/>
              <w:lang w:eastAsia="en-GB" w:bidi="bn-BD"/>
            </w:rPr>
            <w:lastRenderedPageBreak/>
            <w:drawing>
              <wp:inline distT="0" distB="0" distL="0" distR="0">
                <wp:extent cx="4572000" cy="2748643"/>
                <wp:effectExtent l="0" t="0" r="0" b="0"/>
                <wp:docPr id="2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619EA" w:rsidRDefault="002619EA" w:rsidP="00B734C1">
          <w:pPr>
            <w:spacing w:line="360" w:lineRule="auto"/>
            <w:jc w:val="both"/>
            <w:rPr>
              <w:rFonts w:ascii="Arial" w:hAnsi="Arial" w:cs="Arial"/>
              <w:sz w:val="24"/>
              <w:szCs w:val="24"/>
            </w:rPr>
          </w:pPr>
          <w:r>
            <w:rPr>
              <w:rFonts w:ascii="Arial" w:hAnsi="Arial" w:cs="Arial"/>
              <w:sz w:val="24"/>
              <w:szCs w:val="24"/>
            </w:rPr>
            <w:t>Chart- 08</w:t>
          </w:r>
        </w:p>
        <w:p w:rsidR="002619EA" w:rsidRDefault="002619EA" w:rsidP="00B734C1">
          <w:pPr>
            <w:spacing w:line="360" w:lineRule="auto"/>
            <w:jc w:val="both"/>
            <w:rPr>
              <w:rFonts w:ascii="Arial" w:hAnsi="Arial" w:cs="Arial"/>
              <w:sz w:val="24"/>
              <w:szCs w:val="24"/>
            </w:rPr>
          </w:pPr>
          <w:r>
            <w:rPr>
              <w:rFonts w:ascii="Arial" w:hAnsi="Arial" w:cs="Arial"/>
              <w:sz w:val="24"/>
              <w:szCs w:val="24"/>
            </w:rPr>
            <w:t>From the chart it is visible that the Jurys Inn is maintaining a healthy working capital cycle. In each year they receive payment way before paying the suppliers. However, in 2020 the gap in working capital cycle is 176 days less than 2019. It may be the reason of Covid- 19. Company wants to help its suppliers and vendors during this tough time by paying early. So that, these small businesses can sustain during this period.</w:t>
          </w:r>
        </w:p>
        <w:p w:rsidR="002619EA" w:rsidRPr="00E50FF2" w:rsidRDefault="002619EA" w:rsidP="00B734C1">
          <w:pPr>
            <w:spacing w:line="360" w:lineRule="auto"/>
            <w:jc w:val="both"/>
            <w:rPr>
              <w:rFonts w:ascii="Arial" w:hAnsi="Arial" w:cs="Arial"/>
              <w:b/>
              <w:bCs/>
              <w:sz w:val="24"/>
              <w:szCs w:val="24"/>
            </w:rPr>
          </w:pPr>
          <w:r w:rsidRPr="00E50FF2">
            <w:rPr>
              <w:rFonts w:ascii="Arial" w:hAnsi="Arial" w:cs="Arial"/>
              <w:b/>
              <w:bCs/>
              <w:sz w:val="24"/>
              <w:szCs w:val="24"/>
            </w:rPr>
            <w:t>Importance of ratio analysis</w:t>
          </w:r>
        </w:p>
        <w:p w:rsidR="00FA29EC" w:rsidRDefault="002619EA" w:rsidP="00B734C1">
          <w:pPr>
            <w:spacing w:line="360" w:lineRule="auto"/>
            <w:jc w:val="both"/>
            <w:rPr>
              <w:rFonts w:ascii="Arial" w:hAnsi="Arial" w:cs="Arial"/>
              <w:sz w:val="24"/>
              <w:szCs w:val="24"/>
            </w:rPr>
          </w:pPr>
          <w:r>
            <w:rPr>
              <w:rFonts w:ascii="Arial" w:hAnsi="Arial" w:cs="Arial"/>
              <w:sz w:val="24"/>
              <w:szCs w:val="24"/>
            </w:rPr>
            <w:t xml:space="preserve">Hospitality is a large industry comprises with businesses like hotels and lodging, theme park, transportation etc. Jurys Inn manages a number of businesses in this industry. Therefore, it is extremely important to have knowledge of ratio analysis in order to analyse businesses in its diverse portfolio. </w:t>
          </w:r>
          <w:r w:rsidR="00FA29EC">
            <w:rPr>
              <w:rFonts w:ascii="Arial" w:hAnsi="Arial" w:cs="Arial"/>
              <w:sz w:val="24"/>
              <w:szCs w:val="24"/>
            </w:rPr>
            <w:t>Analysing different ventures of the portfolio will show businesses that are doing well and businesses that needs guidance for improvement.</w:t>
          </w:r>
        </w:p>
        <w:p w:rsidR="002619EA" w:rsidRDefault="002619EA" w:rsidP="00B734C1">
          <w:pPr>
            <w:spacing w:line="360" w:lineRule="auto"/>
            <w:jc w:val="both"/>
            <w:rPr>
              <w:rFonts w:ascii="Arial" w:hAnsi="Arial" w:cs="Arial"/>
              <w:sz w:val="24"/>
              <w:szCs w:val="24"/>
            </w:rPr>
          </w:pPr>
          <w:r>
            <w:rPr>
              <w:rFonts w:ascii="Arial" w:hAnsi="Arial" w:cs="Arial"/>
              <w:sz w:val="24"/>
              <w:szCs w:val="24"/>
            </w:rPr>
            <w:t xml:space="preserve">Ratio analysis expresses the value of one financial variable relative to other. Financial ratio allows business managers to assess not only the value of an association but also compute the degree of change within the association (Alvarez &amp; </w:t>
          </w:r>
          <w:proofErr w:type="spellStart"/>
          <w:r>
            <w:rPr>
              <w:rFonts w:ascii="Arial" w:hAnsi="Arial" w:cs="Arial"/>
              <w:sz w:val="24"/>
              <w:szCs w:val="24"/>
            </w:rPr>
            <w:t>Fridson</w:t>
          </w:r>
          <w:proofErr w:type="spellEnd"/>
          <w:r>
            <w:rPr>
              <w:rFonts w:ascii="Arial" w:hAnsi="Arial" w:cs="Arial"/>
              <w:sz w:val="24"/>
              <w:szCs w:val="24"/>
            </w:rPr>
            <w:t>, 2011).</w:t>
          </w:r>
        </w:p>
        <w:p w:rsidR="002619EA" w:rsidRDefault="002619EA" w:rsidP="00B734C1">
          <w:pPr>
            <w:spacing w:line="360" w:lineRule="auto"/>
            <w:jc w:val="both"/>
            <w:rPr>
              <w:rFonts w:ascii="Arial" w:hAnsi="Arial" w:cs="Arial"/>
              <w:sz w:val="24"/>
              <w:szCs w:val="24"/>
            </w:rPr>
          </w:pPr>
          <w:r>
            <w:rPr>
              <w:rFonts w:ascii="Arial" w:hAnsi="Arial" w:cs="Arial"/>
              <w:sz w:val="24"/>
              <w:szCs w:val="24"/>
            </w:rPr>
            <w:t xml:space="preserve">The most commonly used and important sources of financial information that can be used to calculate the ratios are P&amp;L account and balance sheet. As most of the business centre use these statements, it is easy to compare and contrast the ratios </w:t>
          </w:r>
          <w:r>
            <w:rPr>
              <w:rFonts w:ascii="Arial" w:hAnsi="Arial" w:cs="Arial"/>
              <w:sz w:val="24"/>
              <w:szCs w:val="24"/>
            </w:rPr>
            <w:lastRenderedPageBreak/>
            <w:t>against another department or business or even possible new acquisition (</w:t>
          </w:r>
          <w:proofErr w:type="spellStart"/>
          <w:r w:rsidRPr="009D526C">
            <w:rPr>
              <w:rFonts w:ascii="Arial" w:hAnsi="Arial" w:cs="Arial"/>
              <w:sz w:val="24"/>
              <w:szCs w:val="24"/>
            </w:rPr>
            <w:t>Dinçer</w:t>
          </w:r>
          <w:proofErr w:type="spellEnd"/>
          <w:r>
            <w:rPr>
              <w:rFonts w:ascii="Arial" w:hAnsi="Arial" w:cs="Arial"/>
              <w:sz w:val="24"/>
              <w:szCs w:val="24"/>
            </w:rPr>
            <w:t xml:space="preserve"> &amp; </w:t>
          </w:r>
          <w:proofErr w:type="spellStart"/>
          <w:r w:rsidRPr="009D526C">
            <w:rPr>
              <w:rFonts w:ascii="Arial" w:hAnsi="Arial" w:cs="Arial"/>
              <w:sz w:val="24"/>
              <w:szCs w:val="24"/>
            </w:rPr>
            <w:t>Yuksel</w:t>
          </w:r>
          <w:proofErr w:type="spellEnd"/>
          <w:r>
            <w:rPr>
              <w:rFonts w:ascii="Arial" w:hAnsi="Arial" w:cs="Arial"/>
              <w:sz w:val="24"/>
              <w:szCs w:val="24"/>
            </w:rPr>
            <w:t>, 2019).</w:t>
          </w:r>
        </w:p>
        <w:p w:rsidR="002619EA" w:rsidRDefault="002619EA" w:rsidP="00B734C1">
          <w:pPr>
            <w:spacing w:line="360" w:lineRule="auto"/>
            <w:jc w:val="both"/>
            <w:rPr>
              <w:rFonts w:ascii="Arial" w:hAnsi="Arial" w:cs="Arial"/>
              <w:sz w:val="24"/>
              <w:szCs w:val="24"/>
            </w:rPr>
          </w:pPr>
          <w:r>
            <w:rPr>
              <w:rFonts w:ascii="Arial" w:hAnsi="Arial" w:cs="Arial"/>
              <w:sz w:val="24"/>
              <w:szCs w:val="24"/>
            </w:rPr>
            <w:t>Stakeholders, creditors, investors use information of ratio analysis to evaluate the creditworthiness of the business (Lee &amp; Lee, 2015). Furthermore managers can pinpoints strengths and weaknesses from ratio analysis by which the design strategies and initiatives to improve business process.</w:t>
          </w:r>
        </w:p>
        <w:p w:rsidR="002619EA" w:rsidRDefault="002619EA" w:rsidP="00B734C1">
          <w:pPr>
            <w:spacing w:line="360" w:lineRule="auto"/>
            <w:jc w:val="both"/>
            <w:rPr>
              <w:rFonts w:ascii="Arial" w:hAnsi="Arial" w:cs="Arial"/>
              <w:sz w:val="24"/>
              <w:szCs w:val="24"/>
            </w:rPr>
          </w:pPr>
          <w:r>
            <w:rPr>
              <w:rFonts w:ascii="Arial" w:hAnsi="Arial" w:cs="Arial"/>
              <w:sz w:val="24"/>
              <w:szCs w:val="24"/>
            </w:rPr>
            <w:t>R</w:t>
          </w:r>
          <w:r w:rsidRPr="00B33796">
            <w:rPr>
              <w:rFonts w:ascii="Arial" w:hAnsi="Arial" w:cs="Arial"/>
              <w:sz w:val="24"/>
              <w:szCs w:val="24"/>
            </w:rPr>
            <w:t>atios help</w:t>
          </w:r>
          <w:r>
            <w:rPr>
              <w:rFonts w:ascii="Arial" w:hAnsi="Arial" w:cs="Arial"/>
              <w:sz w:val="24"/>
              <w:szCs w:val="24"/>
            </w:rPr>
            <w:t xml:space="preserve"> businesses </w:t>
          </w:r>
          <w:proofErr w:type="spellStart"/>
          <w:r w:rsidRPr="00B33796">
            <w:rPr>
              <w:rFonts w:ascii="Arial" w:hAnsi="Arial" w:cs="Arial"/>
              <w:sz w:val="24"/>
              <w:szCs w:val="24"/>
            </w:rPr>
            <w:t>summarizing</w:t>
          </w:r>
          <w:proofErr w:type="spellEnd"/>
          <w:r w:rsidRPr="00B33796">
            <w:rPr>
              <w:rFonts w:ascii="Arial" w:hAnsi="Arial" w:cs="Arial"/>
              <w:sz w:val="24"/>
              <w:szCs w:val="24"/>
            </w:rPr>
            <w:t xml:space="preserve"> huge </w:t>
          </w:r>
          <w:r>
            <w:rPr>
              <w:rFonts w:ascii="Arial" w:hAnsi="Arial" w:cs="Arial"/>
              <w:sz w:val="24"/>
              <w:szCs w:val="24"/>
            </w:rPr>
            <w:t>amount</w:t>
          </w:r>
          <w:r w:rsidRPr="00B33796">
            <w:rPr>
              <w:rFonts w:ascii="Arial" w:hAnsi="Arial" w:cs="Arial"/>
              <w:sz w:val="24"/>
              <w:szCs w:val="24"/>
            </w:rPr>
            <w:t xml:space="preserve"> of financial </w:t>
          </w:r>
          <w:r>
            <w:rPr>
              <w:rFonts w:ascii="Arial" w:hAnsi="Arial" w:cs="Arial"/>
              <w:sz w:val="24"/>
              <w:szCs w:val="24"/>
            </w:rPr>
            <w:t>information</w:t>
          </w:r>
          <w:r w:rsidRPr="00B33796">
            <w:rPr>
              <w:rFonts w:ascii="Arial" w:hAnsi="Arial" w:cs="Arial"/>
              <w:sz w:val="24"/>
              <w:szCs w:val="24"/>
            </w:rPr>
            <w:t xml:space="preserve"> and to make qualitative</w:t>
          </w:r>
          <w:r>
            <w:rPr>
              <w:rFonts w:ascii="Arial" w:hAnsi="Arial" w:cs="Arial"/>
              <w:sz w:val="24"/>
              <w:szCs w:val="24"/>
            </w:rPr>
            <w:t xml:space="preserve"> </w:t>
          </w:r>
          <w:r w:rsidRPr="00B33796">
            <w:rPr>
              <w:rFonts w:ascii="Arial" w:hAnsi="Arial" w:cs="Arial"/>
              <w:sz w:val="24"/>
              <w:szCs w:val="24"/>
            </w:rPr>
            <w:t xml:space="preserve">decision about the performance, </w:t>
          </w:r>
          <w:r>
            <w:rPr>
              <w:rFonts w:ascii="Arial" w:hAnsi="Arial" w:cs="Arial"/>
              <w:sz w:val="24"/>
              <w:szCs w:val="24"/>
            </w:rPr>
            <w:t>depending</w:t>
          </w:r>
          <w:r w:rsidRPr="00B33796">
            <w:rPr>
              <w:rFonts w:ascii="Arial" w:hAnsi="Arial" w:cs="Arial"/>
              <w:sz w:val="24"/>
              <w:szCs w:val="24"/>
            </w:rPr>
            <w:t xml:space="preserve"> on quantitative</w:t>
          </w:r>
          <w:r>
            <w:rPr>
              <w:rFonts w:ascii="Arial" w:hAnsi="Arial" w:cs="Arial"/>
              <w:sz w:val="24"/>
              <w:szCs w:val="24"/>
            </w:rPr>
            <w:t xml:space="preserve"> decision. For instance</w:t>
          </w:r>
          <w:r w:rsidRPr="00B33796">
            <w:rPr>
              <w:rFonts w:ascii="Arial" w:hAnsi="Arial" w:cs="Arial"/>
              <w:sz w:val="24"/>
              <w:szCs w:val="24"/>
            </w:rPr>
            <w:t xml:space="preserve">, consider current ratio of a </w:t>
          </w:r>
          <w:r>
            <w:rPr>
              <w:rFonts w:ascii="Arial" w:hAnsi="Arial" w:cs="Arial"/>
              <w:sz w:val="24"/>
              <w:szCs w:val="24"/>
            </w:rPr>
            <w:t>hotel during a</w:t>
          </w:r>
          <w:r w:rsidRPr="00B33796">
            <w:rPr>
              <w:rFonts w:ascii="Arial" w:hAnsi="Arial" w:cs="Arial"/>
              <w:sz w:val="24"/>
              <w:szCs w:val="24"/>
            </w:rPr>
            <w:t xml:space="preserve"> </w:t>
          </w:r>
          <w:r>
            <w:rPr>
              <w:rFonts w:ascii="Arial" w:hAnsi="Arial" w:cs="Arial"/>
              <w:sz w:val="24"/>
              <w:szCs w:val="24"/>
            </w:rPr>
            <w:t>fiscal</w:t>
          </w:r>
          <w:r w:rsidRPr="00B33796">
            <w:rPr>
              <w:rFonts w:ascii="Arial" w:hAnsi="Arial" w:cs="Arial"/>
              <w:sz w:val="24"/>
              <w:szCs w:val="24"/>
            </w:rPr>
            <w:t xml:space="preserve"> year. Current ratio </w:t>
          </w:r>
          <w:r>
            <w:rPr>
              <w:rFonts w:ascii="Arial" w:hAnsi="Arial" w:cs="Arial"/>
              <w:sz w:val="24"/>
              <w:szCs w:val="24"/>
            </w:rPr>
            <w:t>shows</w:t>
          </w:r>
          <w:r w:rsidRPr="00B33796">
            <w:rPr>
              <w:rFonts w:ascii="Arial" w:hAnsi="Arial" w:cs="Arial"/>
              <w:sz w:val="24"/>
              <w:szCs w:val="24"/>
            </w:rPr>
            <w:t xml:space="preserve"> the quantified</w:t>
          </w:r>
          <w:r>
            <w:rPr>
              <w:rFonts w:ascii="Arial" w:hAnsi="Arial" w:cs="Arial"/>
              <w:sz w:val="24"/>
              <w:szCs w:val="24"/>
            </w:rPr>
            <w:t xml:space="preserve"> connection</w:t>
          </w:r>
          <w:r w:rsidRPr="00B33796">
            <w:rPr>
              <w:rFonts w:ascii="Arial" w:hAnsi="Arial" w:cs="Arial"/>
              <w:sz w:val="24"/>
              <w:szCs w:val="24"/>
            </w:rPr>
            <w:t xml:space="preserve"> </w:t>
          </w:r>
          <w:r>
            <w:rPr>
              <w:rFonts w:ascii="Arial" w:hAnsi="Arial" w:cs="Arial"/>
              <w:sz w:val="24"/>
              <w:szCs w:val="24"/>
            </w:rPr>
            <w:t>among</w:t>
          </w:r>
          <w:r w:rsidRPr="00B33796">
            <w:rPr>
              <w:rFonts w:ascii="Arial" w:hAnsi="Arial" w:cs="Arial"/>
              <w:sz w:val="24"/>
              <w:szCs w:val="24"/>
            </w:rPr>
            <w:t xml:space="preserve"> the current assets and current liabilities </w:t>
          </w:r>
          <w:r>
            <w:rPr>
              <w:rFonts w:ascii="Arial" w:hAnsi="Arial" w:cs="Arial"/>
              <w:sz w:val="24"/>
              <w:szCs w:val="24"/>
            </w:rPr>
            <w:t>during that fiscal</w:t>
          </w:r>
          <w:r w:rsidRPr="00B33796">
            <w:rPr>
              <w:rFonts w:ascii="Arial" w:hAnsi="Arial" w:cs="Arial"/>
              <w:sz w:val="24"/>
              <w:szCs w:val="24"/>
            </w:rPr>
            <w:t xml:space="preserve"> year. This is an index which</w:t>
          </w:r>
          <w:r>
            <w:rPr>
              <w:rFonts w:ascii="Arial" w:hAnsi="Arial" w:cs="Arial"/>
              <w:sz w:val="24"/>
              <w:szCs w:val="24"/>
            </w:rPr>
            <w:t xml:space="preserve"> enables</w:t>
          </w:r>
          <w:r w:rsidRPr="00B33796">
            <w:rPr>
              <w:rFonts w:ascii="Arial" w:hAnsi="Arial" w:cs="Arial"/>
              <w:sz w:val="24"/>
              <w:szCs w:val="24"/>
            </w:rPr>
            <w:t xml:space="preserve"> a qualitative conclusion to be shaped</w:t>
          </w:r>
          <w:r>
            <w:rPr>
              <w:rFonts w:ascii="Arial" w:hAnsi="Arial" w:cs="Arial"/>
              <w:sz w:val="24"/>
              <w:szCs w:val="24"/>
            </w:rPr>
            <w:t xml:space="preserve"> about the hotel</w:t>
          </w:r>
          <w:r w:rsidRPr="00B33796">
            <w:rPr>
              <w:rFonts w:ascii="Arial" w:hAnsi="Arial" w:cs="Arial"/>
              <w:sz w:val="24"/>
              <w:szCs w:val="24"/>
            </w:rPr>
            <w:t>’s liquidity and</w:t>
          </w:r>
          <w:r>
            <w:rPr>
              <w:rFonts w:ascii="Arial" w:hAnsi="Arial" w:cs="Arial"/>
              <w:sz w:val="24"/>
              <w:szCs w:val="24"/>
            </w:rPr>
            <w:t xml:space="preserve"> </w:t>
          </w:r>
          <w:r w:rsidRPr="00B33796">
            <w:rPr>
              <w:rFonts w:ascii="Arial" w:hAnsi="Arial" w:cs="Arial"/>
              <w:sz w:val="24"/>
              <w:szCs w:val="24"/>
            </w:rPr>
            <w:t xml:space="preserve">consequently aptitude to convene its current </w:t>
          </w:r>
          <w:r>
            <w:rPr>
              <w:rFonts w:ascii="Arial" w:hAnsi="Arial" w:cs="Arial"/>
              <w:sz w:val="24"/>
              <w:szCs w:val="24"/>
            </w:rPr>
            <w:t>obligations</w:t>
          </w:r>
          <w:r w:rsidRPr="00B33796">
            <w:rPr>
              <w:rFonts w:ascii="Arial" w:hAnsi="Arial" w:cs="Arial"/>
              <w:sz w:val="24"/>
              <w:szCs w:val="24"/>
            </w:rPr>
            <w:t>. Therefore, the point to note here that</w:t>
          </w:r>
          <w:r>
            <w:rPr>
              <w:rFonts w:ascii="Arial" w:hAnsi="Arial" w:cs="Arial"/>
              <w:sz w:val="24"/>
              <w:szCs w:val="24"/>
            </w:rPr>
            <w:t>,</w:t>
          </w:r>
          <w:r w:rsidRPr="00B33796">
            <w:rPr>
              <w:rFonts w:ascii="Arial" w:hAnsi="Arial" w:cs="Arial"/>
              <w:sz w:val="24"/>
              <w:szCs w:val="24"/>
            </w:rPr>
            <w:t xml:space="preserve"> a ratio </w:t>
          </w:r>
          <w:r>
            <w:rPr>
              <w:rFonts w:ascii="Arial" w:hAnsi="Arial" w:cs="Arial"/>
              <w:sz w:val="24"/>
              <w:szCs w:val="24"/>
            </w:rPr>
            <w:t xml:space="preserve">shows </w:t>
          </w:r>
          <w:r w:rsidRPr="00B33796">
            <w:rPr>
              <w:rFonts w:ascii="Arial" w:hAnsi="Arial" w:cs="Arial"/>
              <w:sz w:val="24"/>
              <w:szCs w:val="24"/>
            </w:rPr>
            <w:t xml:space="preserve">quantitative </w:t>
          </w:r>
          <w:r>
            <w:rPr>
              <w:rFonts w:ascii="Arial" w:hAnsi="Arial" w:cs="Arial"/>
              <w:sz w:val="24"/>
              <w:szCs w:val="24"/>
            </w:rPr>
            <w:t>association and</w:t>
          </w:r>
          <w:r w:rsidRPr="00B33796">
            <w:rPr>
              <w:rFonts w:ascii="Arial" w:hAnsi="Arial" w:cs="Arial"/>
              <w:sz w:val="24"/>
              <w:szCs w:val="24"/>
            </w:rPr>
            <w:t xml:space="preserve"> also helps </w:t>
          </w:r>
          <w:r>
            <w:rPr>
              <w:rFonts w:ascii="Arial" w:hAnsi="Arial" w:cs="Arial"/>
              <w:sz w:val="24"/>
              <w:szCs w:val="24"/>
            </w:rPr>
            <w:t>taking</w:t>
          </w:r>
          <w:r w:rsidRPr="00B33796">
            <w:rPr>
              <w:rFonts w:ascii="Arial" w:hAnsi="Arial" w:cs="Arial"/>
              <w:sz w:val="24"/>
              <w:szCs w:val="24"/>
            </w:rPr>
            <w:t xml:space="preserve"> qualitative </w:t>
          </w:r>
          <w:r>
            <w:rPr>
              <w:rFonts w:ascii="Arial" w:hAnsi="Arial" w:cs="Arial"/>
              <w:sz w:val="24"/>
              <w:szCs w:val="24"/>
            </w:rPr>
            <w:t>decision (CFI, 2018).</w:t>
          </w:r>
        </w:p>
        <w:p w:rsidR="002619EA" w:rsidRDefault="002619EA" w:rsidP="00B734C1">
          <w:pPr>
            <w:spacing w:line="360" w:lineRule="auto"/>
            <w:jc w:val="both"/>
            <w:rPr>
              <w:rFonts w:ascii="Arial" w:hAnsi="Arial" w:cs="Arial"/>
              <w:sz w:val="24"/>
              <w:szCs w:val="24"/>
            </w:rPr>
          </w:pPr>
        </w:p>
        <w:p w:rsidR="002619EA" w:rsidRPr="000F2E46" w:rsidRDefault="002619EA" w:rsidP="00B734C1">
          <w:pPr>
            <w:spacing w:line="360" w:lineRule="auto"/>
            <w:jc w:val="both"/>
            <w:rPr>
              <w:rFonts w:ascii="Arial" w:hAnsi="Arial" w:cs="Arial"/>
              <w:b/>
              <w:bCs/>
              <w:sz w:val="24"/>
              <w:szCs w:val="24"/>
            </w:rPr>
          </w:pPr>
          <w:r w:rsidRPr="000F2E46">
            <w:rPr>
              <w:rFonts w:ascii="Arial" w:hAnsi="Arial" w:cs="Arial"/>
              <w:b/>
              <w:bCs/>
              <w:sz w:val="24"/>
              <w:szCs w:val="24"/>
            </w:rPr>
            <w:t>Limitations of ratio analysis</w:t>
          </w:r>
        </w:p>
        <w:p w:rsidR="00BA4585" w:rsidRDefault="002619EA" w:rsidP="00B734C1">
          <w:pPr>
            <w:spacing w:line="360" w:lineRule="auto"/>
            <w:jc w:val="both"/>
            <w:rPr>
              <w:rFonts w:ascii="Arial" w:hAnsi="Arial" w:cs="Arial"/>
              <w:sz w:val="24"/>
              <w:szCs w:val="24"/>
            </w:rPr>
          </w:pPr>
          <w:r>
            <w:rPr>
              <w:rFonts w:ascii="Arial" w:hAnsi="Arial" w:cs="Arial"/>
              <w:sz w:val="24"/>
              <w:szCs w:val="24"/>
            </w:rPr>
            <w:t>Managers use historic information from P&amp;L account and balance sheet to calculate the ratios. Using historical information might not represent actual trends and thus using ratios might not help businesses to predict the future (Violeta &amp;</w:t>
          </w:r>
          <w:r w:rsidRPr="008419EB">
            <w:rPr>
              <w:rFonts w:ascii="Arial" w:hAnsi="Arial" w:cs="Arial"/>
              <w:sz w:val="24"/>
              <w:szCs w:val="24"/>
            </w:rPr>
            <w:t xml:space="preserve"> </w:t>
          </w:r>
          <w:proofErr w:type="spellStart"/>
          <w:r w:rsidRPr="008419EB">
            <w:rPr>
              <w:rFonts w:ascii="Arial" w:hAnsi="Arial" w:cs="Arial"/>
              <w:sz w:val="24"/>
              <w:szCs w:val="24"/>
            </w:rPr>
            <w:t>Zavadskas</w:t>
          </w:r>
          <w:proofErr w:type="spellEnd"/>
          <w:r>
            <w:rPr>
              <w:rFonts w:ascii="Arial" w:hAnsi="Arial" w:cs="Arial"/>
              <w:sz w:val="24"/>
              <w:szCs w:val="24"/>
            </w:rPr>
            <w:t>, 2010).</w:t>
          </w:r>
          <w:r w:rsidR="00CF6BBA">
            <w:rPr>
              <w:rFonts w:ascii="Arial" w:hAnsi="Arial" w:cs="Arial"/>
              <w:sz w:val="24"/>
              <w:szCs w:val="24"/>
            </w:rPr>
            <w:t xml:space="preserve"> </w:t>
          </w:r>
          <w:r w:rsidR="00762C1D">
            <w:rPr>
              <w:rFonts w:ascii="Arial" w:hAnsi="Arial" w:cs="Arial"/>
              <w:sz w:val="24"/>
              <w:szCs w:val="24"/>
            </w:rPr>
            <w:t>D</w:t>
          </w:r>
          <w:r w:rsidR="00CF6BBA">
            <w:rPr>
              <w:rFonts w:ascii="Arial" w:hAnsi="Arial" w:cs="Arial"/>
              <w:sz w:val="24"/>
              <w:szCs w:val="24"/>
            </w:rPr>
            <w:t xml:space="preserve">uring the pandemic </w:t>
          </w:r>
          <w:r w:rsidR="00BA4585">
            <w:rPr>
              <w:rFonts w:ascii="Arial" w:hAnsi="Arial" w:cs="Arial"/>
              <w:sz w:val="24"/>
              <w:szCs w:val="24"/>
            </w:rPr>
            <w:t xml:space="preserve">inflation rate </w:t>
          </w:r>
          <w:r w:rsidR="00F11493">
            <w:rPr>
              <w:rFonts w:ascii="Arial" w:hAnsi="Arial" w:cs="Arial"/>
              <w:sz w:val="24"/>
              <w:szCs w:val="24"/>
            </w:rPr>
            <w:t>increased</w:t>
          </w:r>
          <w:r w:rsidR="00BA4585">
            <w:rPr>
              <w:rFonts w:ascii="Arial" w:hAnsi="Arial" w:cs="Arial"/>
              <w:sz w:val="24"/>
              <w:szCs w:val="24"/>
            </w:rPr>
            <w:t xml:space="preserve"> </w:t>
          </w:r>
          <w:r w:rsidR="00F11493">
            <w:rPr>
              <w:rFonts w:ascii="Arial" w:hAnsi="Arial" w:cs="Arial"/>
              <w:sz w:val="24"/>
              <w:szCs w:val="24"/>
            </w:rPr>
            <w:t>to 5.1% (</w:t>
          </w:r>
          <w:proofErr w:type="spellStart"/>
          <w:r w:rsidR="00F11493">
            <w:rPr>
              <w:rFonts w:ascii="Arial" w:hAnsi="Arial" w:cs="Arial"/>
              <w:sz w:val="24"/>
              <w:szCs w:val="24"/>
            </w:rPr>
            <w:t>Harari</w:t>
          </w:r>
          <w:proofErr w:type="spellEnd"/>
          <w:r w:rsidR="00F11493">
            <w:rPr>
              <w:rFonts w:ascii="Arial" w:hAnsi="Arial" w:cs="Arial"/>
              <w:sz w:val="24"/>
              <w:szCs w:val="24"/>
            </w:rPr>
            <w:t xml:space="preserve">, Keep &amp; </w:t>
          </w:r>
          <w:proofErr w:type="spellStart"/>
          <w:r w:rsidR="00F11493">
            <w:rPr>
              <w:rFonts w:ascii="Arial" w:hAnsi="Arial" w:cs="Arial"/>
              <w:sz w:val="24"/>
              <w:szCs w:val="24"/>
            </w:rPr>
            <w:t>Brien</w:t>
          </w:r>
          <w:proofErr w:type="spellEnd"/>
          <w:r w:rsidR="00F11493">
            <w:rPr>
              <w:rFonts w:ascii="Arial" w:hAnsi="Arial" w:cs="Arial"/>
              <w:sz w:val="24"/>
              <w:szCs w:val="24"/>
            </w:rPr>
            <w:t>, 2021)</w:t>
          </w:r>
          <w:r w:rsidR="00512FD1">
            <w:rPr>
              <w:rFonts w:ascii="Arial" w:hAnsi="Arial" w:cs="Arial"/>
              <w:sz w:val="24"/>
              <w:szCs w:val="24"/>
            </w:rPr>
            <w:t xml:space="preserve"> which was not considered during ratio analysis.</w:t>
          </w:r>
        </w:p>
        <w:p w:rsidR="002619EA" w:rsidRDefault="002619EA" w:rsidP="00B734C1">
          <w:pPr>
            <w:spacing w:line="360" w:lineRule="auto"/>
            <w:jc w:val="both"/>
            <w:rPr>
              <w:rFonts w:ascii="Arial" w:hAnsi="Arial" w:cs="Arial"/>
              <w:sz w:val="24"/>
              <w:szCs w:val="24"/>
            </w:rPr>
          </w:pPr>
          <w:r>
            <w:rPr>
              <w:rFonts w:ascii="Arial" w:hAnsi="Arial" w:cs="Arial"/>
              <w:sz w:val="24"/>
              <w:szCs w:val="24"/>
            </w:rPr>
            <w:t xml:space="preserve">Calculating ratio analysis might not be accurate as this does not take external factors like, pandemic, recession etc into account. For example, as of May 2021, consumer spending on the hospitality is 70% lesser than of pre-pandemic in the UK. </w:t>
          </w:r>
          <w:r w:rsidR="001127B9">
            <w:rPr>
              <w:rFonts w:ascii="Arial" w:hAnsi="Arial" w:cs="Arial"/>
              <w:sz w:val="24"/>
              <w:szCs w:val="24"/>
            </w:rPr>
            <w:t>During the lockdown period hotels were not allowed to entertain its guests, overhead expenses on cleaning and cleaning related materials were higher than previous years. Therefore, net profit was lower than expected for the Jurys Inn.</w:t>
          </w:r>
        </w:p>
        <w:p w:rsidR="002619EA" w:rsidRDefault="002619EA" w:rsidP="00B734C1">
          <w:pPr>
            <w:spacing w:line="360" w:lineRule="auto"/>
            <w:jc w:val="both"/>
            <w:rPr>
              <w:rFonts w:ascii="Arial" w:hAnsi="Arial" w:cs="Arial"/>
              <w:sz w:val="24"/>
              <w:szCs w:val="24"/>
            </w:rPr>
          </w:pPr>
          <w:r>
            <w:rPr>
              <w:rFonts w:ascii="Arial" w:hAnsi="Arial" w:cs="Arial"/>
              <w:sz w:val="24"/>
              <w:szCs w:val="24"/>
            </w:rPr>
            <w:t xml:space="preserve">As Jurys Inn’s financial statements will be bit complicated as it manages multiple businesses, therefore, it will be complicated to calculate its ratios. </w:t>
          </w:r>
          <w:r w:rsidRPr="001516C6">
            <w:rPr>
              <w:rFonts w:ascii="Arial" w:hAnsi="Arial" w:cs="Arial"/>
              <w:sz w:val="24"/>
              <w:szCs w:val="24"/>
            </w:rPr>
            <w:t xml:space="preserve">Financial accounting data is subjective </w:t>
          </w:r>
          <w:r>
            <w:rPr>
              <w:rFonts w:ascii="Arial" w:hAnsi="Arial" w:cs="Arial"/>
              <w:sz w:val="24"/>
              <w:szCs w:val="24"/>
            </w:rPr>
            <w:t>to its</w:t>
          </w:r>
          <w:r w:rsidRPr="001516C6">
            <w:rPr>
              <w:rFonts w:ascii="Arial" w:hAnsi="Arial" w:cs="Arial"/>
              <w:sz w:val="24"/>
              <w:szCs w:val="24"/>
            </w:rPr>
            <w:t xml:space="preserve"> views and hypotheses. Accounting criteria offer diverse book-keeping methods, </w:t>
          </w:r>
          <w:r>
            <w:rPr>
              <w:rFonts w:ascii="Arial" w:hAnsi="Arial" w:cs="Arial"/>
              <w:sz w:val="24"/>
              <w:szCs w:val="24"/>
            </w:rPr>
            <w:t>that</w:t>
          </w:r>
          <w:r w:rsidRPr="001516C6">
            <w:rPr>
              <w:rFonts w:ascii="Arial" w:hAnsi="Arial" w:cs="Arial"/>
              <w:sz w:val="24"/>
              <w:szCs w:val="24"/>
            </w:rPr>
            <w:t xml:space="preserve"> </w:t>
          </w:r>
          <w:r>
            <w:rPr>
              <w:rFonts w:ascii="Arial" w:hAnsi="Arial" w:cs="Arial"/>
              <w:sz w:val="24"/>
              <w:szCs w:val="24"/>
            </w:rPr>
            <w:t>minimises</w:t>
          </w:r>
          <w:r w:rsidRPr="001516C6">
            <w:rPr>
              <w:rFonts w:ascii="Arial" w:hAnsi="Arial" w:cs="Arial"/>
              <w:sz w:val="24"/>
              <w:szCs w:val="24"/>
            </w:rPr>
            <w:t xml:space="preserve"> comparability and consequently ratio investigation is </w:t>
          </w:r>
          <w:r w:rsidRPr="001516C6">
            <w:rPr>
              <w:rFonts w:ascii="Arial" w:hAnsi="Arial" w:cs="Arial"/>
              <w:sz w:val="24"/>
              <w:szCs w:val="24"/>
            </w:rPr>
            <w:lastRenderedPageBreak/>
            <w:t>less helpful in such situation</w:t>
          </w:r>
          <w:r>
            <w:rPr>
              <w:rFonts w:ascii="Arial" w:hAnsi="Arial" w:cs="Arial"/>
              <w:sz w:val="24"/>
              <w:szCs w:val="24"/>
            </w:rPr>
            <w:t xml:space="preserve"> (Drake, </w:t>
          </w:r>
          <w:proofErr w:type="spellStart"/>
          <w:r>
            <w:rPr>
              <w:rFonts w:ascii="Arial" w:hAnsi="Arial" w:cs="Arial"/>
              <w:sz w:val="24"/>
              <w:szCs w:val="24"/>
            </w:rPr>
            <w:t>Habegger</w:t>
          </w:r>
          <w:proofErr w:type="spellEnd"/>
          <w:r>
            <w:rPr>
              <w:rFonts w:ascii="Arial" w:hAnsi="Arial" w:cs="Arial"/>
              <w:sz w:val="24"/>
              <w:szCs w:val="24"/>
            </w:rPr>
            <w:t xml:space="preserve"> &amp; </w:t>
          </w:r>
          <w:proofErr w:type="spellStart"/>
          <w:r>
            <w:rPr>
              <w:rFonts w:ascii="Arial" w:hAnsi="Arial" w:cs="Arial"/>
              <w:sz w:val="24"/>
              <w:szCs w:val="24"/>
            </w:rPr>
            <w:t>Fabozzi</w:t>
          </w:r>
          <w:proofErr w:type="spellEnd"/>
          <w:r>
            <w:rPr>
              <w:rFonts w:ascii="Arial" w:hAnsi="Arial" w:cs="Arial"/>
              <w:sz w:val="24"/>
              <w:szCs w:val="24"/>
            </w:rPr>
            <w:t>, 2004)</w:t>
          </w:r>
          <w:r w:rsidRPr="001516C6">
            <w:rPr>
              <w:rFonts w:ascii="Arial" w:hAnsi="Arial" w:cs="Arial"/>
              <w:sz w:val="24"/>
              <w:szCs w:val="24"/>
            </w:rPr>
            <w:t>.</w:t>
          </w:r>
          <w:r w:rsidR="006E1808">
            <w:rPr>
              <w:rFonts w:ascii="Arial" w:hAnsi="Arial" w:cs="Arial"/>
              <w:sz w:val="24"/>
              <w:szCs w:val="24"/>
            </w:rPr>
            <w:t xml:space="preserve"> Calculating ratios of all businesses separately and making comparison afterwards would be much efficient method to identify most efficient venture.</w:t>
          </w:r>
        </w:p>
        <w:p w:rsidR="002619EA" w:rsidRDefault="002619EA" w:rsidP="00B734C1">
          <w:pPr>
            <w:tabs>
              <w:tab w:val="left" w:pos="3300"/>
            </w:tabs>
            <w:spacing w:line="360" w:lineRule="auto"/>
            <w:jc w:val="both"/>
            <w:rPr>
              <w:rFonts w:ascii="Arial" w:hAnsi="Arial" w:cs="Arial"/>
              <w:sz w:val="24"/>
              <w:szCs w:val="24"/>
            </w:rPr>
          </w:pPr>
          <w:r>
            <w:rPr>
              <w:rFonts w:ascii="Arial" w:hAnsi="Arial" w:cs="Arial"/>
              <w:sz w:val="24"/>
              <w:szCs w:val="24"/>
            </w:rPr>
            <w:t>When businesses go through significant operational changes to improve its internal business activities, the comparison of ratio analysis may lead to a misleading conclusion regarding business’s performance and future prospect.</w:t>
          </w:r>
          <w:r w:rsidR="00530E15">
            <w:rPr>
              <w:rFonts w:ascii="Arial" w:hAnsi="Arial" w:cs="Arial"/>
              <w:sz w:val="24"/>
              <w:szCs w:val="24"/>
            </w:rPr>
            <w:t xml:space="preserve"> For example, calculating profitability ratio of F&amp;B and accommodation together will not illustrate </w:t>
          </w:r>
          <w:r w:rsidR="000E3B5D">
            <w:rPr>
              <w:rFonts w:ascii="Arial" w:hAnsi="Arial" w:cs="Arial"/>
              <w:sz w:val="24"/>
              <w:szCs w:val="24"/>
            </w:rPr>
            <w:t>actual profit that restaurants or rooms make.</w:t>
          </w:r>
        </w:p>
        <w:p w:rsidR="002619EA" w:rsidRDefault="002619EA" w:rsidP="00B734C1">
          <w:pPr>
            <w:spacing w:line="360" w:lineRule="auto"/>
            <w:jc w:val="both"/>
            <w:rPr>
              <w:rFonts w:ascii="Arial" w:hAnsi="Arial" w:cs="Arial"/>
              <w:sz w:val="24"/>
              <w:szCs w:val="24"/>
            </w:rPr>
          </w:pPr>
        </w:p>
        <w:p w:rsidR="002619EA" w:rsidRPr="00383FCA" w:rsidRDefault="002619EA" w:rsidP="00B734C1">
          <w:pPr>
            <w:spacing w:line="360" w:lineRule="auto"/>
            <w:jc w:val="both"/>
            <w:rPr>
              <w:rFonts w:ascii="Arial" w:hAnsi="Arial" w:cs="Arial"/>
              <w:b/>
              <w:bCs/>
              <w:sz w:val="24"/>
              <w:szCs w:val="24"/>
            </w:rPr>
          </w:pPr>
          <w:r w:rsidRPr="00383FCA">
            <w:rPr>
              <w:rFonts w:ascii="Arial" w:hAnsi="Arial" w:cs="Arial"/>
              <w:b/>
              <w:bCs/>
              <w:sz w:val="24"/>
              <w:szCs w:val="24"/>
            </w:rPr>
            <w:t>Conclusion</w:t>
          </w:r>
        </w:p>
        <w:p w:rsidR="002619EA" w:rsidRDefault="002619EA" w:rsidP="00B734C1">
          <w:pPr>
            <w:spacing w:line="360" w:lineRule="auto"/>
            <w:jc w:val="both"/>
            <w:rPr>
              <w:rFonts w:ascii="Arial" w:hAnsi="Arial" w:cs="Arial"/>
              <w:sz w:val="24"/>
              <w:szCs w:val="24"/>
            </w:rPr>
          </w:pPr>
          <w:r>
            <w:rPr>
              <w:rFonts w:ascii="Arial" w:hAnsi="Arial" w:cs="Arial"/>
              <w:sz w:val="24"/>
              <w:szCs w:val="24"/>
            </w:rPr>
            <w:t>According to the financial statements of Jurys Inn of 2019 and 2020, the business is doing very good in term of its gross and net profit. Net profit is significantly high in 2020 despite of having an increase in rent, light &amp; heat, advertising and bad debt. Furthermore, company maintains enough liquid assets to pay off its short-term liability. Moreover, with significantly high interest cover ratio they are more than capable of handling business assets to convert into revenue.</w:t>
          </w:r>
        </w:p>
        <w:p w:rsidR="002619EA" w:rsidRDefault="002619EA" w:rsidP="00B734C1">
          <w:pPr>
            <w:spacing w:line="360" w:lineRule="auto"/>
            <w:jc w:val="both"/>
            <w:rPr>
              <w:rFonts w:ascii="Arial" w:hAnsi="Arial" w:cs="Arial"/>
              <w:sz w:val="24"/>
              <w:szCs w:val="24"/>
            </w:rPr>
          </w:pPr>
          <w:r>
            <w:rPr>
              <w:rFonts w:ascii="Arial" w:hAnsi="Arial" w:cs="Arial"/>
              <w:sz w:val="24"/>
              <w:szCs w:val="24"/>
            </w:rPr>
            <w:t>In order to maximise its net profit, management can concentrate on reducing its overhead cost. During the process bad debt should be minimised. The difference of bad debt from 2019 to 2020 is £38000.</w:t>
          </w:r>
        </w:p>
        <w:p w:rsidR="002619EA" w:rsidRDefault="002619EA" w:rsidP="00B734C1">
          <w:pPr>
            <w:spacing w:line="360" w:lineRule="auto"/>
            <w:jc w:val="both"/>
            <w:rPr>
              <w:rFonts w:ascii="Arial" w:hAnsi="Arial" w:cs="Arial"/>
              <w:sz w:val="24"/>
              <w:szCs w:val="24"/>
            </w:rPr>
          </w:pPr>
          <w:r>
            <w:rPr>
              <w:rFonts w:ascii="Arial" w:hAnsi="Arial" w:cs="Arial"/>
              <w:sz w:val="24"/>
              <w:szCs w:val="24"/>
            </w:rPr>
            <w:t>Company increased its fixed asset by £150000 in 2020 whereas long-term liability was decreased to £145000. During the period company’s current liability in term of Bank overdraft significantly increased by £200000.</w:t>
          </w:r>
        </w:p>
        <w:p w:rsidR="002619EA" w:rsidRDefault="002619EA" w:rsidP="00B734C1">
          <w:pPr>
            <w:spacing w:line="360" w:lineRule="auto"/>
            <w:jc w:val="both"/>
            <w:rPr>
              <w:rFonts w:ascii="Arial" w:hAnsi="Arial" w:cs="Arial"/>
              <w:sz w:val="24"/>
              <w:szCs w:val="24"/>
            </w:rPr>
          </w:pPr>
        </w:p>
        <w:p w:rsidR="002619EA" w:rsidRDefault="002619EA" w:rsidP="00B734C1">
          <w:pPr>
            <w:spacing w:line="360" w:lineRule="auto"/>
            <w:jc w:val="both"/>
            <w:rPr>
              <w:rFonts w:ascii="Arial" w:hAnsi="Arial" w:cs="Arial"/>
              <w:sz w:val="24"/>
              <w:szCs w:val="24"/>
            </w:rPr>
          </w:pPr>
        </w:p>
        <w:p w:rsidR="002619EA" w:rsidRDefault="002619EA" w:rsidP="00B734C1">
          <w:pPr>
            <w:spacing w:line="360" w:lineRule="auto"/>
            <w:jc w:val="both"/>
            <w:rPr>
              <w:rFonts w:ascii="Arial" w:hAnsi="Arial" w:cs="Arial"/>
              <w:sz w:val="24"/>
              <w:szCs w:val="24"/>
            </w:rPr>
          </w:pPr>
        </w:p>
        <w:p w:rsidR="002619EA" w:rsidRDefault="002619EA" w:rsidP="00B734C1">
          <w:pPr>
            <w:spacing w:line="360" w:lineRule="auto"/>
            <w:jc w:val="both"/>
            <w:rPr>
              <w:rFonts w:ascii="Arial" w:hAnsi="Arial" w:cs="Arial"/>
              <w:sz w:val="24"/>
              <w:szCs w:val="24"/>
            </w:rPr>
          </w:pPr>
        </w:p>
        <w:p w:rsidR="002619EA" w:rsidRDefault="002619EA" w:rsidP="00B734C1">
          <w:pPr>
            <w:spacing w:line="360" w:lineRule="auto"/>
            <w:jc w:val="both"/>
            <w:rPr>
              <w:rFonts w:ascii="Arial" w:hAnsi="Arial" w:cs="Arial"/>
              <w:sz w:val="24"/>
              <w:szCs w:val="24"/>
            </w:rPr>
          </w:pPr>
        </w:p>
        <w:p w:rsidR="00C87976" w:rsidRDefault="00C87976" w:rsidP="00B734C1">
          <w:pPr>
            <w:spacing w:line="360" w:lineRule="auto"/>
            <w:jc w:val="both"/>
            <w:rPr>
              <w:rFonts w:ascii="Arial" w:hAnsi="Arial" w:cs="Arial"/>
              <w:sz w:val="24"/>
              <w:szCs w:val="24"/>
            </w:rPr>
          </w:pPr>
        </w:p>
        <w:p w:rsidR="002619EA" w:rsidRPr="00252914" w:rsidRDefault="002619EA" w:rsidP="00B734C1">
          <w:pPr>
            <w:spacing w:line="360" w:lineRule="auto"/>
            <w:jc w:val="both"/>
            <w:rPr>
              <w:rFonts w:ascii="Arial" w:hAnsi="Arial" w:cs="Arial"/>
              <w:b/>
              <w:bCs/>
              <w:sz w:val="24"/>
              <w:szCs w:val="24"/>
            </w:rPr>
          </w:pPr>
          <w:r w:rsidRPr="00252914">
            <w:rPr>
              <w:rFonts w:ascii="Arial" w:hAnsi="Arial" w:cs="Arial"/>
              <w:b/>
              <w:bCs/>
              <w:sz w:val="24"/>
              <w:szCs w:val="24"/>
            </w:rPr>
            <w:t>Reference List</w:t>
          </w:r>
        </w:p>
        <w:p w:rsidR="002619EA" w:rsidRDefault="002619EA" w:rsidP="00B734C1">
          <w:pPr>
            <w:pStyle w:val="ListParagraph"/>
            <w:numPr>
              <w:ilvl w:val="0"/>
              <w:numId w:val="1"/>
            </w:numPr>
            <w:jc w:val="both"/>
            <w:rPr>
              <w:rFonts w:ascii="Arial" w:hAnsi="Arial" w:cs="Arial"/>
              <w:sz w:val="24"/>
              <w:szCs w:val="24"/>
            </w:rPr>
          </w:pPr>
          <w:r w:rsidRPr="00196605">
            <w:rPr>
              <w:rFonts w:ascii="Arial" w:hAnsi="Arial" w:cs="Arial"/>
              <w:sz w:val="24"/>
              <w:szCs w:val="24"/>
            </w:rPr>
            <w:lastRenderedPageBreak/>
            <w:t xml:space="preserve">Alexander, D., Britton, A. and </w:t>
          </w:r>
          <w:proofErr w:type="spellStart"/>
          <w:r w:rsidRPr="00196605">
            <w:rPr>
              <w:rFonts w:ascii="Arial" w:hAnsi="Arial" w:cs="Arial"/>
              <w:sz w:val="24"/>
              <w:szCs w:val="24"/>
            </w:rPr>
            <w:t>Jorissen</w:t>
          </w:r>
          <w:proofErr w:type="spellEnd"/>
          <w:r w:rsidRPr="00196605">
            <w:rPr>
              <w:rFonts w:ascii="Arial" w:hAnsi="Arial" w:cs="Arial"/>
              <w:sz w:val="24"/>
              <w:szCs w:val="24"/>
            </w:rPr>
            <w:t>, A. (2011). </w:t>
          </w:r>
          <w:r w:rsidRPr="00196605">
            <w:rPr>
              <w:rFonts w:ascii="Arial" w:hAnsi="Arial" w:cs="Arial"/>
              <w:i/>
              <w:iCs/>
              <w:sz w:val="24"/>
              <w:szCs w:val="24"/>
            </w:rPr>
            <w:t>International financial reporting and analysis</w:t>
          </w:r>
          <w:r w:rsidRPr="00196605">
            <w:rPr>
              <w:rFonts w:ascii="Arial" w:hAnsi="Arial" w:cs="Arial"/>
              <w:sz w:val="24"/>
              <w:szCs w:val="24"/>
            </w:rPr>
            <w:t>. 5th ed. London: Thomson. (</w:t>
          </w:r>
          <w:r>
            <w:rPr>
              <w:rFonts w:ascii="Arial" w:hAnsi="Arial" w:cs="Arial"/>
              <w:sz w:val="24"/>
              <w:szCs w:val="24"/>
            </w:rPr>
            <w:t>30</w:t>
          </w:r>
          <w:r w:rsidRPr="00196605">
            <w:rPr>
              <w:rFonts w:ascii="Arial" w:hAnsi="Arial" w:cs="Arial"/>
              <w:sz w:val="24"/>
              <w:szCs w:val="24"/>
              <w:vertAlign w:val="superscript"/>
            </w:rPr>
            <w:t>th</w:t>
          </w:r>
          <w:r>
            <w:rPr>
              <w:rFonts w:ascii="Arial" w:hAnsi="Arial" w:cs="Arial"/>
              <w:sz w:val="24"/>
              <w:szCs w:val="24"/>
            </w:rPr>
            <w:t xml:space="preserve"> Jan 2022</w:t>
          </w:r>
          <w:r w:rsidRPr="00196605">
            <w:rPr>
              <w:rFonts w:ascii="Arial" w:hAnsi="Arial" w:cs="Arial"/>
              <w:sz w:val="24"/>
              <w:szCs w:val="24"/>
            </w:rPr>
            <w:t>).</w:t>
          </w:r>
        </w:p>
        <w:p w:rsidR="002619EA" w:rsidRPr="00196605" w:rsidRDefault="002619EA" w:rsidP="00B734C1">
          <w:pPr>
            <w:pStyle w:val="ListParagraph"/>
            <w:numPr>
              <w:ilvl w:val="0"/>
              <w:numId w:val="1"/>
            </w:numPr>
            <w:jc w:val="both"/>
            <w:rPr>
              <w:rFonts w:ascii="Arial" w:hAnsi="Arial" w:cs="Arial"/>
              <w:sz w:val="24"/>
              <w:szCs w:val="24"/>
            </w:rPr>
          </w:pPr>
          <w:r w:rsidRPr="007069C3">
            <w:rPr>
              <w:rFonts w:ascii="Arial" w:hAnsi="Arial" w:cs="Arial"/>
              <w:sz w:val="24"/>
              <w:szCs w:val="24"/>
            </w:rPr>
            <w:t xml:space="preserve">Alvarez, F. </w:t>
          </w:r>
          <w:proofErr w:type="spellStart"/>
          <w:r w:rsidRPr="007069C3">
            <w:rPr>
              <w:rFonts w:ascii="Arial" w:hAnsi="Arial" w:cs="Arial"/>
              <w:sz w:val="24"/>
              <w:szCs w:val="24"/>
            </w:rPr>
            <w:t>Fridson</w:t>
          </w:r>
          <w:proofErr w:type="spellEnd"/>
          <w:r w:rsidRPr="007069C3">
            <w:rPr>
              <w:rFonts w:ascii="Arial" w:hAnsi="Arial" w:cs="Arial"/>
              <w:sz w:val="24"/>
              <w:szCs w:val="24"/>
            </w:rPr>
            <w:t>, M (2011). </w:t>
          </w:r>
          <w:r w:rsidRPr="007069C3">
            <w:rPr>
              <w:rFonts w:ascii="Arial" w:hAnsi="Arial" w:cs="Arial"/>
              <w:i/>
              <w:iCs/>
              <w:sz w:val="24"/>
              <w:szCs w:val="24"/>
            </w:rPr>
            <w:t>Financial Statement Analysis A Practitioner's Guide</w:t>
          </w:r>
          <w:r w:rsidRPr="007069C3">
            <w:rPr>
              <w:rFonts w:ascii="Arial" w:hAnsi="Arial" w:cs="Arial"/>
              <w:sz w:val="24"/>
              <w:szCs w:val="24"/>
            </w:rPr>
            <w:t>. 4th ed. New Jersey: Wiley. P147-153.</w:t>
          </w:r>
        </w:p>
        <w:p w:rsidR="002619EA" w:rsidRDefault="002619EA" w:rsidP="00B734C1">
          <w:pPr>
            <w:pStyle w:val="ListParagraph"/>
            <w:numPr>
              <w:ilvl w:val="0"/>
              <w:numId w:val="1"/>
            </w:numPr>
            <w:spacing w:line="360" w:lineRule="auto"/>
            <w:jc w:val="both"/>
            <w:rPr>
              <w:rFonts w:ascii="Arial" w:hAnsi="Arial" w:cs="Arial"/>
              <w:sz w:val="24"/>
              <w:szCs w:val="24"/>
            </w:rPr>
          </w:pPr>
          <w:r w:rsidRPr="00F00621">
            <w:rPr>
              <w:rFonts w:ascii="Arial" w:hAnsi="Arial" w:cs="Arial"/>
              <w:sz w:val="24"/>
              <w:szCs w:val="24"/>
            </w:rPr>
            <w:t>Aziz, A. (2017). The Relationship between Solvency Ratios and Profitability Ratios: Analytical Study in Food Industrial Companies listed in Amman Bursa. </w:t>
          </w:r>
          <w:r w:rsidRPr="00F00621">
            <w:rPr>
              <w:rFonts w:ascii="Arial" w:hAnsi="Arial" w:cs="Arial"/>
              <w:i/>
              <w:iCs/>
              <w:sz w:val="24"/>
              <w:szCs w:val="24"/>
            </w:rPr>
            <w:t>International journal of economics and financial issues,</w:t>
          </w:r>
          <w:r w:rsidRPr="00F00621">
            <w:rPr>
              <w:rFonts w:ascii="Arial" w:hAnsi="Arial" w:cs="Arial"/>
              <w:sz w:val="24"/>
              <w:szCs w:val="24"/>
            </w:rPr>
            <w:t xml:space="preserve"> 7 (2), p86-93.</w:t>
          </w:r>
        </w:p>
        <w:p w:rsidR="002619EA" w:rsidRDefault="002619EA" w:rsidP="00B734C1">
          <w:pPr>
            <w:pStyle w:val="ListParagraph"/>
            <w:numPr>
              <w:ilvl w:val="0"/>
              <w:numId w:val="1"/>
            </w:numPr>
            <w:spacing w:line="360" w:lineRule="auto"/>
            <w:jc w:val="both"/>
            <w:rPr>
              <w:rFonts w:ascii="Arial" w:hAnsi="Arial" w:cs="Arial"/>
              <w:sz w:val="24"/>
              <w:szCs w:val="24"/>
            </w:rPr>
          </w:pPr>
          <w:r w:rsidRPr="00860C02">
            <w:rPr>
              <w:rFonts w:ascii="Arial" w:hAnsi="Arial" w:cs="Arial"/>
              <w:sz w:val="24"/>
              <w:szCs w:val="24"/>
            </w:rPr>
            <w:t>CFI. (2018). </w:t>
          </w:r>
          <w:r w:rsidRPr="00860C02">
            <w:rPr>
              <w:rFonts w:ascii="Arial" w:hAnsi="Arial" w:cs="Arial"/>
              <w:i/>
              <w:iCs/>
              <w:sz w:val="24"/>
              <w:szCs w:val="24"/>
            </w:rPr>
            <w:t>Limitations of Ratio Analysis.</w:t>
          </w:r>
          <w:r w:rsidRPr="00860C02">
            <w:rPr>
              <w:rFonts w:ascii="Arial" w:hAnsi="Arial" w:cs="Arial"/>
              <w:sz w:val="24"/>
              <w:szCs w:val="24"/>
            </w:rPr>
            <w:t> Available: https://corporatefinanceinstitute.com/resources/knowledge/finance/limitations-ratio-analysis/. Last accessed 30th Jan 2022.</w:t>
          </w:r>
        </w:p>
        <w:p w:rsidR="002619EA" w:rsidRDefault="002619EA" w:rsidP="00B734C1">
          <w:pPr>
            <w:pStyle w:val="ListParagraph"/>
            <w:numPr>
              <w:ilvl w:val="0"/>
              <w:numId w:val="1"/>
            </w:numPr>
            <w:spacing w:line="360" w:lineRule="auto"/>
            <w:jc w:val="both"/>
            <w:rPr>
              <w:rFonts w:ascii="Arial" w:hAnsi="Arial" w:cs="Arial"/>
              <w:sz w:val="24"/>
              <w:szCs w:val="24"/>
            </w:rPr>
          </w:pPr>
          <w:r w:rsidRPr="001D3267">
            <w:rPr>
              <w:rFonts w:ascii="Arial" w:hAnsi="Arial" w:cs="Arial"/>
              <w:sz w:val="24"/>
              <w:szCs w:val="24"/>
            </w:rPr>
            <w:t>Collins, H (1994). </w:t>
          </w:r>
          <w:r w:rsidRPr="001D3267">
            <w:rPr>
              <w:rFonts w:ascii="Arial" w:hAnsi="Arial" w:cs="Arial"/>
              <w:i/>
              <w:iCs/>
              <w:sz w:val="24"/>
              <w:szCs w:val="24"/>
            </w:rPr>
            <w:t>Financial futures and options markets : concepts and strategies</w:t>
          </w:r>
          <w:r w:rsidRPr="001D3267">
            <w:rPr>
              <w:rFonts w:ascii="Arial" w:hAnsi="Arial" w:cs="Arial"/>
              <w:sz w:val="24"/>
              <w:szCs w:val="24"/>
            </w:rPr>
            <w:t>. Swansea: Swansea Business Campus Library. P342-369.</w:t>
          </w:r>
        </w:p>
        <w:p w:rsidR="002619EA" w:rsidRDefault="002619EA" w:rsidP="00B734C1">
          <w:pPr>
            <w:pStyle w:val="ListParagraph"/>
            <w:numPr>
              <w:ilvl w:val="0"/>
              <w:numId w:val="1"/>
            </w:numPr>
            <w:spacing w:line="360" w:lineRule="auto"/>
            <w:jc w:val="both"/>
            <w:rPr>
              <w:rFonts w:ascii="Arial" w:hAnsi="Arial" w:cs="Arial"/>
              <w:sz w:val="24"/>
              <w:szCs w:val="24"/>
            </w:rPr>
          </w:pPr>
          <w:proofErr w:type="spellStart"/>
          <w:r w:rsidRPr="009A121C">
            <w:rPr>
              <w:rFonts w:ascii="Arial" w:hAnsi="Arial" w:cs="Arial"/>
              <w:sz w:val="24"/>
              <w:szCs w:val="24"/>
            </w:rPr>
            <w:t>Dinçer</w:t>
          </w:r>
          <w:proofErr w:type="spellEnd"/>
          <w:r w:rsidRPr="009A121C">
            <w:rPr>
              <w:rFonts w:ascii="Arial" w:hAnsi="Arial" w:cs="Arial"/>
              <w:sz w:val="24"/>
              <w:szCs w:val="24"/>
            </w:rPr>
            <w:t xml:space="preserve">, H. </w:t>
          </w:r>
          <w:proofErr w:type="spellStart"/>
          <w:r w:rsidRPr="009A121C">
            <w:rPr>
              <w:rFonts w:ascii="Arial" w:hAnsi="Arial" w:cs="Arial"/>
              <w:sz w:val="24"/>
              <w:szCs w:val="24"/>
            </w:rPr>
            <w:t>Yuksel</w:t>
          </w:r>
          <w:proofErr w:type="spellEnd"/>
          <w:r w:rsidRPr="009A121C">
            <w:rPr>
              <w:rFonts w:ascii="Arial" w:hAnsi="Arial" w:cs="Arial"/>
              <w:sz w:val="24"/>
              <w:szCs w:val="24"/>
            </w:rPr>
            <w:t>, S (2019). </w:t>
          </w:r>
          <w:r w:rsidRPr="009A121C">
            <w:rPr>
              <w:rFonts w:ascii="Arial" w:hAnsi="Arial" w:cs="Arial"/>
              <w:i/>
              <w:iCs/>
              <w:sz w:val="24"/>
              <w:szCs w:val="24"/>
            </w:rPr>
            <w:t>Innovative managerial thinking in global business economics</w:t>
          </w:r>
          <w:r w:rsidRPr="009A121C">
            <w:rPr>
              <w:rFonts w:ascii="Arial" w:hAnsi="Arial" w:cs="Arial"/>
              <w:sz w:val="24"/>
              <w:szCs w:val="24"/>
            </w:rPr>
            <w:t>. Hershey: Business Science Reference. P433-455.</w:t>
          </w:r>
        </w:p>
        <w:p w:rsidR="002619EA" w:rsidRDefault="002619EA" w:rsidP="00B734C1">
          <w:pPr>
            <w:pStyle w:val="ListParagraph"/>
            <w:numPr>
              <w:ilvl w:val="0"/>
              <w:numId w:val="1"/>
            </w:numPr>
            <w:spacing w:line="360" w:lineRule="auto"/>
            <w:jc w:val="both"/>
            <w:rPr>
              <w:rFonts w:ascii="Arial" w:hAnsi="Arial" w:cs="Arial"/>
              <w:sz w:val="24"/>
              <w:szCs w:val="24"/>
            </w:rPr>
          </w:pPr>
          <w:r w:rsidRPr="00196F37">
            <w:rPr>
              <w:rFonts w:ascii="Arial" w:hAnsi="Arial" w:cs="Arial"/>
              <w:sz w:val="24"/>
              <w:szCs w:val="24"/>
            </w:rPr>
            <w:t xml:space="preserve">Drake, PP. </w:t>
          </w:r>
          <w:proofErr w:type="spellStart"/>
          <w:r w:rsidRPr="00196F37">
            <w:rPr>
              <w:rFonts w:ascii="Arial" w:hAnsi="Arial" w:cs="Arial"/>
              <w:sz w:val="24"/>
              <w:szCs w:val="24"/>
            </w:rPr>
            <w:t>Habegger</w:t>
          </w:r>
          <w:proofErr w:type="spellEnd"/>
          <w:r w:rsidRPr="00196F37">
            <w:rPr>
              <w:rFonts w:ascii="Arial" w:hAnsi="Arial" w:cs="Arial"/>
              <w:sz w:val="24"/>
              <w:szCs w:val="24"/>
            </w:rPr>
            <w:t xml:space="preserve">, WD. </w:t>
          </w:r>
          <w:proofErr w:type="spellStart"/>
          <w:r w:rsidRPr="00196F37">
            <w:rPr>
              <w:rFonts w:ascii="Arial" w:hAnsi="Arial" w:cs="Arial"/>
              <w:sz w:val="24"/>
              <w:szCs w:val="24"/>
            </w:rPr>
            <w:t>Fabozzi</w:t>
          </w:r>
          <w:proofErr w:type="spellEnd"/>
          <w:r w:rsidRPr="00196F37">
            <w:rPr>
              <w:rFonts w:ascii="Arial" w:hAnsi="Arial" w:cs="Arial"/>
              <w:sz w:val="24"/>
              <w:szCs w:val="24"/>
            </w:rPr>
            <w:t>, FJ (2004). </w:t>
          </w:r>
          <w:r w:rsidRPr="00196F37">
            <w:rPr>
              <w:rFonts w:ascii="Arial" w:hAnsi="Arial" w:cs="Arial"/>
              <w:i/>
              <w:iCs/>
              <w:sz w:val="24"/>
              <w:szCs w:val="24"/>
            </w:rPr>
            <w:t>Financial management and analysis workbook step-by-step exercises and tests to help you master financial management and analysis</w:t>
          </w:r>
          <w:r w:rsidRPr="00196F37">
            <w:rPr>
              <w:rFonts w:ascii="Arial" w:hAnsi="Arial" w:cs="Arial"/>
              <w:sz w:val="24"/>
              <w:szCs w:val="24"/>
            </w:rPr>
            <w:t>. 2nd ed. New Jersey: Wiley. P232-256.</w:t>
          </w:r>
        </w:p>
        <w:p w:rsidR="002619EA" w:rsidRDefault="002619EA" w:rsidP="00B734C1">
          <w:pPr>
            <w:pStyle w:val="ListParagraph"/>
            <w:numPr>
              <w:ilvl w:val="0"/>
              <w:numId w:val="1"/>
            </w:numPr>
            <w:spacing w:line="360" w:lineRule="auto"/>
            <w:jc w:val="both"/>
            <w:rPr>
              <w:rFonts w:ascii="Arial" w:hAnsi="Arial" w:cs="Arial"/>
              <w:sz w:val="24"/>
              <w:szCs w:val="24"/>
            </w:rPr>
          </w:pPr>
          <w:proofErr w:type="spellStart"/>
          <w:r w:rsidRPr="00E852E3">
            <w:rPr>
              <w:rFonts w:ascii="Arial" w:hAnsi="Arial" w:cs="Arial"/>
              <w:sz w:val="24"/>
              <w:szCs w:val="24"/>
            </w:rPr>
            <w:t>Duchin</w:t>
          </w:r>
          <w:proofErr w:type="spellEnd"/>
          <w:r w:rsidRPr="00E852E3">
            <w:rPr>
              <w:rFonts w:ascii="Arial" w:hAnsi="Arial" w:cs="Arial"/>
              <w:sz w:val="24"/>
              <w:szCs w:val="24"/>
            </w:rPr>
            <w:t xml:space="preserve">, R., </w:t>
          </w:r>
          <w:proofErr w:type="spellStart"/>
          <w:r w:rsidRPr="00E852E3">
            <w:rPr>
              <w:rFonts w:ascii="Arial" w:hAnsi="Arial" w:cs="Arial"/>
              <w:sz w:val="24"/>
              <w:szCs w:val="24"/>
            </w:rPr>
            <w:t>Sosyura</w:t>
          </w:r>
          <w:proofErr w:type="spellEnd"/>
          <w:r w:rsidRPr="00E852E3">
            <w:rPr>
              <w:rFonts w:ascii="Arial" w:hAnsi="Arial" w:cs="Arial"/>
              <w:sz w:val="24"/>
              <w:szCs w:val="24"/>
            </w:rPr>
            <w:t>, D. (2014). Safer ratios, riskier portfolios: Banks</w:t>
          </w:r>
          <w:r w:rsidRPr="00E852E3">
            <w:rPr>
              <w:rFonts w:ascii="Arial" w:hAnsi="Arial" w:cs="Arial"/>
              <w:sz w:val="24"/>
              <w:szCs w:val="24"/>
              <w:rtl/>
              <w:lang w:bidi="he-IL"/>
            </w:rPr>
            <w:t>׳</w:t>
          </w:r>
          <w:r w:rsidRPr="00E852E3">
            <w:rPr>
              <w:rFonts w:ascii="Arial" w:hAnsi="Arial" w:cs="Arial"/>
              <w:sz w:val="24"/>
              <w:szCs w:val="24"/>
            </w:rPr>
            <w:t xml:space="preserve"> response to government aid. </w:t>
          </w:r>
          <w:r w:rsidRPr="00E852E3">
            <w:rPr>
              <w:rFonts w:ascii="Arial" w:hAnsi="Arial" w:cs="Arial"/>
              <w:i/>
              <w:iCs/>
              <w:sz w:val="24"/>
              <w:szCs w:val="24"/>
            </w:rPr>
            <w:t>Journal of financial economics</w:t>
          </w:r>
          <w:r w:rsidRPr="00E852E3">
            <w:rPr>
              <w:rFonts w:ascii="Arial" w:hAnsi="Arial" w:cs="Arial"/>
              <w:sz w:val="24"/>
              <w:szCs w:val="24"/>
            </w:rPr>
            <w:t>. 113 (1), P1-28</w:t>
          </w:r>
          <w:r>
            <w:rPr>
              <w:rFonts w:ascii="Arial" w:hAnsi="Arial" w:cs="Arial"/>
              <w:sz w:val="24"/>
              <w:szCs w:val="24"/>
            </w:rPr>
            <w:t>.</w:t>
          </w:r>
        </w:p>
        <w:p w:rsidR="002619EA" w:rsidRDefault="002619EA" w:rsidP="00B734C1">
          <w:pPr>
            <w:pStyle w:val="ListParagraph"/>
            <w:numPr>
              <w:ilvl w:val="0"/>
              <w:numId w:val="1"/>
            </w:numPr>
            <w:spacing w:line="360" w:lineRule="auto"/>
            <w:jc w:val="both"/>
            <w:rPr>
              <w:rFonts w:ascii="Arial" w:hAnsi="Arial" w:cs="Arial"/>
              <w:sz w:val="24"/>
              <w:szCs w:val="24"/>
            </w:rPr>
          </w:pPr>
          <w:r w:rsidRPr="007F3987">
            <w:rPr>
              <w:rFonts w:ascii="Arial" w:hAnsi="Arial" w:cs="Arial"/>
              <w:sz w:val="24"/>
              <w:szCs w:val="24"/>
            </w:rPr>
            <w:t>Fitzgerald, R (2002). </w:t>
          </w:r>
          <w:r w:rsidRPr="007F3987">
            <w:rPr>
              <w:rFonts w:ascii="Arial" w:hAnsi="Arial" w:cs="Arial"/>
              <w:i/>
              <w:iCs/>
              <w:sz w:val="24"/>
              <w:szCs w:val="24"/>
            </w:rPr>
            <w:t>Business finance for managers: an essential guide to planning, control &amp; decision making</w:t>
          </w:r>
          <w:r w:rsidRPr="007F3987">
            <w:rPr>
              <w:rFonts w:ascii="Arial" w:hAnsi="Arial" w:cs="Arial"/>
              <w:sz w:val="24"/>
              <w:szCs w:val="24"/>
            </w:rPr>
            <w:t>. London: Kogan Page. P219-227.</w:t>
          </w:r>
        </w:p>
        <w:p w:rsidR="002619EA" w:rsidRDefault="002619EA" w:rsidP="00B734C1">
          <w:pPr>
            <w:pStyle w:val="ListParagraph"/>
            <w:numPr>
              <w:ilvl w:val="0"/>
              <w:numId w:val="1"/>
            </w:numPr>
            <w:spacing w:line="360" w:lineRule="auto"/>
            <w:jc w:val="both"/>
            <w:rPr>
              <w:rFonts w:ascii="Arial" w:hAnsi="Arial" w:cs="Arial"/>
              <w:sz w:val="24"/>
              <w:szCs w:val="24"/>
            </w:rPr>
          </w:pPr>
          <w:proofErr w:type="spellStart"/>
          <w:r w:rsidRPr="00C44F76">
            <w:rPr>
              <w:rFonts w:ascii="Arial" w:hAnsi="Arial" w:cs="Arial"/>
              <w:sz w:val="24"/>
              <w:szCs w:val="24"/>
            </w:rPr>
            <w:t>Foerster</w:t>
          </w:r>
          <w:proofErr w:type="spellEnd"/>
          <w:r w:rsidRPr="00C44F76">
            <w:rPr>
              <w:rFonts w:ascii="Arial" w:hAnsi="Arial" w:cs="Arial"/>
              <w:sz w:val="24"/>
              <w:szCs w:val="24"/>
            </w:rPr>
            <w:t>, R (2013). </w:t>
          </w:r>
          <w:r w:rsidRPr="00C44F76">
            <w:rPr>
              <w:rFonts w:ascii="Arial" w:hAnsi="Arial" w:cs="Arial"/>
              <w:i/>
              <w:iCs/>
              <w:sz w:val="24"/>
              <w:szCs w:val="24"/>
            </w:rPr>
            <w:t xml:space="preserve">Financial Management. </w:t>
          </w:r>
          <w:r w:rsidRPr="00C44F76">
            <w:rPr>
              <w:rFonts w:ascii="Arial" w:hAnsi="Arial" w:cs="Arial"/>
              <w:sz w:val="24"/>
              <w:szCs w:val="24"/>
            </w:rPr>
            <w:t>London: W.W.Norton. P258-262.</w:t>
          </w:r>
        </w:p>
        <w:p w:rsidR="002619EA" w:rsidRDefault="002619EA" w:rsidP="00B734C1">
          <w:pPr>
            <w:pStyle w:val="ListParagraph"/>
            <w:numPr>
              <w:ilvl w:val="0"/>
              <w:numId w:val="1"/>
            </w:numPr>
            <w:spacing w:line="360" w:lineRule="auto"/>
            <w:jc w:val="both"/>
            <w:rPr>
              <w:rFonts w:ascii="Arial" w:hAnsi="Arial" w:cs="Arial"/>
              <w:sz w:val="24"/>
              <w:szCs w:val="24"/>
            </w:rPr>
          </w:pPr>
          <w:proofErr w:type="spellStart"/>
          <w:r w:rsidRPr="00622254">
            <w:rPr>
              <w:rFonts w:ascii="Arial" w:hAnsi="Arial" w:cs="Arial"/>
              <w:sz w:val="24"/>
              <w:szCs w:val="24"/>
            </w:rPr>
            <w:t>Gitman</w:t>
          </w:r>
          <w:proofErr w:type="spellEnd"/>
          <w:r w:rsidRPr="00622254">
            <w:rPr>
              <w:rFonts w:ascii="Arial" w:hAnsi="Arial" w:cs="Arial"/>
              <w:sz w:val="24"/>
              <w:szCs w:val="24"/>
            </w:rPr>
            <w:t>, L (2006). </w:t>
          </w:r>
          <w:r w:rsidRPr="00622254">
            <w:rPr>
              <w:rFonts w:ascii="Arial" w:hAnsi="Arial" w:cs="Arial"/>
              <w:i/>
              <w:iCs/>
              <w:sz w:val="24"/>
              <w:szCs w:val="24"/>
            </w:rPr>
            <w:t>Principles of managerial finance</w:t>
          </w:r>
          <w:r w:rsidRPr="00622254">
            <w:rPr>
              <w:rFonts w:ascii="Arial" w:hAnsi="Arial" w:cs="Arial"/>
              <w:sz w:val="24"/>
              <w:szCs w:val="24"/>
            </w:rPr>
            <w:t>. 4th ed. Boston: Addison-Wesley. P359-369.</w:t>
          </w:r>
        </w:p>
        <w:p w:rsidR="00CF6BBA" w:rsidRDefault="00CF6BBA" w:rsidP="00B734C1">
          <w:pPr>
            <w:pStyle w:val="ListParagraph"/>
            <w:numPr>
              <w:ilvl w:val="0"/>
              <w:numId w:val="1"/>
            </w:numPr>
            <w:spacing w:line="360" w:lineRule="auto"/>
            <w:jc w:val="both"/>
            <w:rPr>
              <w:rFonts w:ascii="Arial" w:hAnsi="Arial" w:cs="Arial"/>
              <w:sz w:val="24"/>
              <w:szCs w:val="24"/>
            </w:rPr>
          </w:pPr>
          <w:proofErr w:type="spellStart"/>
          <w:r w:rsidRPr="00CF6BBA">
            <w:rPr>
              <w:rFonts w:ascii="Arial" w:hAnsi="Arial" w:cs="Arial"/>
              <w:sz w:val="24"/>
              <w:szCs w:val="24"/>
              <w:lang w:val="en-US"/>
            </w:rPr>
            <w:t>Harari</w:t>
          </w:r>
          <w:proofErr w:type="spellEnd"/>
          <w:r w:rsidRPr="00CF6BBA">
            <w:rPr>
              <w:rFonts w:ascii="Arial" w:hAnsi="Arial" w:cs="Arial"/>
              <w:sz w:val="24"/>
              <w:szCs w:val="24"/>
              <w:lang w:val="en-US"/>
            </w:rPr>
            <w:t>, D. Keep, M. Brien, P. (2021). </w:t>
          </w:r>
          <w:r w:rsidRPr="00CF6BBA">
            <w:rPr>
              <w:rFonts w:ascii="Arial" w:hAnsi="Arial" w:cs="Arial"/>
              <w:i/>
              <w:iCs/>
              <w:sz w:val="24"/>
              <w:szCs w:val="24"/>
              <w:lang w:val="en-US"/>
            </w:rPr>
            <w:t>Coronavirus: Economic impact.</w:t>
          </w:r>
          <w:r w:rsidRPr="00CF6BBA">
            <w:rPr>
              <w:rFonts w:ascii="Arial" w:hAnsi="Arial" w:cs="Arial"/>
              <w:sz w:val="24"/>
              <w:szCs w:val="24"/>
              <w:lang w:val="en-US"/>
            </w:rPr>
            <w:t> Available: https://commonslibrary.parliament.uk/research-briefings/cbp-8866/#:~:text=GDP%20declined%20by%209.7%25%20in,two%20months%20earlier%20in%20Febr</w:t>
          </w:r>
          <w:r>
            <w:rPr>
              <w:rFonts w:ascii="Arial" w:hAnsi="Arial" w:cs="Arial"/>
              <w:sz w:val="24"/>
              <w:szCs w:val="24"/>
              <w:lang w:val="en-US"/>
            </w:rPr>
            <w:t xml:space="preserve">uary.. Last accessed </w:t>
          </w:r>
          <w:proofErr w:type="spellStart"/>
          <w:r>
            <w:rPr>
              <w:rFonts w:ascii="Arial" w:hAnsi="Arial" w:cs="Arial"/>
              <w:sz w:val="24"/>
              <w:szCs w:val="24"/>
              <w:lang w:val="en-US"/>
            </w:rPr>
            <w:t>02</w:t>
          </w:r>
          <w:r w:rsidRPr="00CF6BBA">
            <w:rPr>
              <w:rFonts w:ascii="Arial" w:hAnsi="Arial" w:cs="Arial"/>
              <w:sz w:val="24"/>
              <w:szCs w:val="24"/>
              <w:vertAlign w:val="superscript"/>
              <w:lang w:val="en-US"/>
            </w:rPr>
            <w:t>nd</w:t>
          </w:r>
          <w:r w:rsidR="00A90944">
            <w:rPr>
              <w:rFonts w:ascii="Arial" w:hAnsi="Arial" w:cs="Arial"/>
              <w:sz w:val="24"/>
              <w:szCs w:val="24"/>
              <w:lang w:val="en-US"/>
            </w:rPr>
            <w:t>s</w:t>
          </w:r>
          <w:proofErr w:type="spellEnd"/>
          <w:r w:rsidRPr="00CF6BBA">
            <w:rPr>
              <w:rFonts w:ascii="Arial" w:hAnsi="Arial" w:cs="Arial"/>
              <w:sz w:val="24"/>
              <w:szCs w:val="24"/>
              <w:lang w:val="en-US"/>
            </w:rPr>
            <w:t xml:space="preserve"> Feb 22.</w:t>
          </w:r>
        </w:p>
        <w:p w:rsidR="002619EA" w:rsidRDefault="002619EA" w:rsidP="00B734C1">
          <w:pPr>
            <w:pStyle w:val="ListParagraph"/>
            <w:numPr>
              <w:ilvl w:val="0"/>
              <w:numId w:val="1"/>
            </w:numPr>
            <w:spacing w:line="360" w:lineRule="auto"/>
            <w:jc w:val="both"/>
            <w:rPr>
              <w:rFonts w:ascii="Arial" w:hAnsi="Arial" w:cs="Arial"/>
              <w:sz w:val="24"/>
              <w:szCs w:val="24"/>
            </w:rPr>
          </w:pPr>
          <w:r w:rsidRPr="00622254">
            <w:rPr>
              <w:rFonts w:ascii="Arial" w:hAnsi="Arial" w:cs="Arial"/>
              <w:sz w:val="24"/>
              <w:szCs w:val="24"/>
            </w:rPr>
            <w:t>Lee, CF. Lee JC (2015). </w:t>
          </w:r>
          <w:r w:rsidRPr="00622254">
            <w:rPr>
              <w:rFonts w:ascii="Arial" w:hAnsi="Arial" w:cs="Arial"/>
              <w:i/>
              <w:iCs/>
              <w:sz w:val="24"/>
              <w:szCs w:val="24"/>
            </w:rPr>
            <w:t>Handbook of Financial Econometrics and Statistics</w:t>
          </w:r>
          <w:r w:rsidRPr="00622254">
            <w:rPr>
              <w:rFonts w:ascii="Arial" w:hAnsi="Arial" w:cs="Arial"/>
              <w:sz w:val="24"/>
              <w:szCs w:val="24"/>
            </w:rPr>
            <w:t>. New York: Springer New York. P165-189.</w:t>
          </w:r>
        </w:p>
        <w:p w:rsidR="002619EA" w:rsidRDefault="002619EA" w:rsidP="00B734C1">
          <w:pPr>
            <w:pStyle w:val="ListParagraph"/>
            <w:numPr>
              <w:ilvl w:val="0"/>
              <w:numId w:val="1"/>
            </w:numPr>
            <w:spacing w:line="360" w:lineRule="auto"/>
            <w:jc w:val="both"/>
            <w:rPr>
              <w:rFonts w:ascii="Arial" w:hAnsi="Arial" w:cs="Arial"/>
              <w:sz w:val="24"/>
              <w:szCs w:val="24"/>
            </w:rPr>
          </w:pPr>
          <w:proofErr w:type="spellStart"/>
          <w:r w:rsidRPr="00622254">
            <w:rPr>
              <w:rFonts w:ascii="Arial" w:hAnsi="Arial" w:cs="Arial"/>
              <w:sz w:val="24"/>
              <w:szCs w:val="24"/>
            </w:rPr>
            <w:t>Pizzey</w:t>
          </w:r>
          <w:proofErr w:type="spellEnd"/>
          <w:r w:rsidRPr="00622254">
            <w:rPr>
              <w:rFonts w:ascii="Arial" w:hAnsi="Arial" w:cs="Arial"/>
              <w:sz w:val="24"/>
              <w:szCs w:val="24"/>
            </w:rPr>
            <w:t>, A. (2001). </w:t>
          </w:r>
          <w:r w:rsidRPr="00622254">
            <w:rPr>
              <w:rFonts w:ascii="Arial" w:hAnsi="Arial" w:cs="Arial"/>
              <w:i/>
              <w:sz w:val="24"/>
              <w:szCs w:val="24"/>
            </w:rPr>
            <w:t>A</w:t>
          </w:r>
          <w:r w:rsidRPr="00622254">
            <w:rPr>
              <w:rFonts w:ascii="Arial" w:hAnsi="Arial" w:cs="Arial"/>
              <w:i/>
              <w:iCs/>
              <w:sz w:val="24"/>
              <w:szCs w:val="24"/>
            </w:rPr>
            <w:t>ccounting &amp; Finance- A Firm Foundation</w:t>
          </w:r>
          <w:r w:rsidRPr="00622254">
            <w:rPr>
              <w:rFonts w:ascii="Arial" w:hAnsi="Arial" w:cs="Arial"/>
              <w:sz w:val="24"/>
              <w:szCs w:val="24"/>
            </w:rPr>
            <w:t>. 5</w:t>
          </w:r>
          <w:r w:rsidRPr="00622254">
            <w:rPr>
              <w:rFonts w:ascii="Arial" w:hAnsi="Arial" w:cs="Arial"/>
              <w:sz w:val="24"/>
              <w:szCs w:val="24"/>
              <w:vertAlign w:val="superscript"/>
            </w:rPr>
            <w:t>th</w:t>
          </w:r>
          <w:r w:rsidRPr="00622254">
            <w:rPr>
              <w:rFonts w:ascii="Arial" w:hAnsi="Arial" w:cs="Arial"/>
              <w:sz w:val="24"/>
              <w:szCs w:val="24"/>
            </w:rPr>
            <w:t xml:space="preserve"> ed. New York: Continuum, p.236. (22</w:t>
          </w:r>
          <w:r w:rsidRPr="00622254">
            <w:rPr>
              <w:rFonts w:ascii="Arial" w:hAnsi="Arial" w:cs="Arial"/>
              <w:sz w:val="24"/>
              <w:szCs w:val="24"/>
              <w:vertAlign w:val="superscript"/>
            </w:rPr>
            <w:t>nd</w:t>
          </w:r>
          <w:r w:rsidRPr="00622254">
            <w:rPr>
              <w:rFonts w:ascii="Arial" w:hAnsi="Arial" w:cs="Arial"/>
              <w:sz w:val="24"/>
              <w:szCs w:val="24"/>
            </w:rPr>
            <w:t xml:space="preserve"> Jan 2022).</w:t>
          </w:r>
        </w:p>
        <w:p w:rsidR="002619EA" w:rsidRPr="00622254" w:rsidRDefault="002619EA" w:rsidP="00B734C1">
          <w:pPr>
            <w:pStyle w:val="ListParagraph"/>
            <w:numPr>
              <w:ilvl w:val="0"/>
              <w:numId w:val="1"/>
            </w:numPr>
            <w:spacing w:line="360" w:lineRule="auto"/>
            <w:jc w:val="both"/>
            <w:rPr>
              <w:rFonts w:ascii="Arial" w:hAnsi="Arial" w:cs="Arial"/>
              <w:sz w:val="24"/>
              <w:szCs w:val="24"/>
            </w:rPr>
          </w:pPr>
          <w:proofErr w:type="spellStart"/>
          <w:r w:rsidRPr="00686011">
            <w:rPr>
              <w:rFonts w:ascii="Arial" w:hAnsi="Arial" w:cs="Arial"/>
              <w:sz w:val="24"/>
              <w:szCs w:val="24"/>
            </w:rPr>
            <w:t>Ramuni</w:t>
          </w:r>
          <w:proofErr w:type="spellEnd"/>
          <w:r w:rsidRPr="00686011">
            <w:rPr>
              <w:rFonts w:ascii="Arial" w:hAnsi="Arial" w:cs="Arial"/>
              <w:sz w:val="24"/>
              <w:szCs w:val="24"/>
            </w:rPr>
            <w:t>, L. (2021). </w:t>
          </w:r>
          <w:r w:rsidRPr="00686011">
            <w:rPr>
              <w:rFonts w:ascii="Arial" w:hAnsi="Arial" w:cs="Arial"/>
              <w:i/>
              <w:iCs/>
              <w:sz w:val="24"/>
              <w:szCs w:val="24"/>
            </w:rPr>
            <w:t>Coronavirus and its impact on UK hospitality: January 2020 to June 2021.</w:t>
          </w:r>
          <w:r w:rsidRPr="00686011">
            <w:rPr>
              <w:rFonts w:ascii="Arial" w:hAnsi="Arial" w:cs="Arial"/>
              <w:sz w:val="24"/>
              <w:szCs w:val="24"/>
            </w:rPr>
            <w:t xml:space="preserve"> Available: </w:t>
          </w:r>
          <w:r w:rsidRPr="00686011">
            <w:rPr>
              <w:rFonts w:ascii="Arial" w:hAnsi="Arial" w:cs="Arial"/>
              <w:sz w:val="24"/>
              <w:szCs w:val="24"/>
            </w:rPr>
            <w:lastRenderedPageBreak/>
            <w:t>https://www.ons.gov.uk/businessindustryandtrade/business/activitysizeandlocation/articles/coronavirusanditsimpactonukhospitality/january2020tojune2021. Last acc</w:t>
          </w:r>
          <w:r>
            <w:rPr>
              <w:rFonts w:ascii="Arial" w:hAnsi="Arial" w:cs="Arial"/>
              <w:sz w:val="24"/>
              <w:szCs w:val="24"/>
            </w:rPr>
            <w:t>essed 30</w:t>
          </w:r>
          <w:r w:rsidRPr="00071E71">
            <w:rPr>
              <w:rFonts w:ascii="Arial" w:hAnsi="Arial" w:cs="Arial"/>
              <w:sz w:val="24"/>
              <w:szCs w:val="24"/>
              <w:vertAlign w:val="superscript"/>
            </w:rPr>
            <w:t>th</w:t>
          </w:r>
          <w:r w:rsidRPr="00686011">
            <w:rPr>
              <w:rFonts w:ascii="Arial" w:hAnsi="Arial" w:cs="Arial"/>
              <w:sz w:val="24"/>
              <w:szCs w:val="24"/>
            </w:rPr>
            <w:t xml:space="preserve"> Jan 2022.</w:t>
          </w:r>
        </w:p>
        <w:p w:rsidR="002619EA" w:rsidRPr="00F17586" w:rsidRDefault="002619EA" w:rsidP="00B734C1">
          <w:pPr>
            <w:pStyle w:val="ListParagraph"/>
            <w:numPr>
              <w:ilvl w:val="0"/>
              <w:numId w:val="1"/>
            </w:numPr>
            <w:spacing w:line="360" w:lineRule="auto"/>
            <w:jc w:val="both"/>
            <w:rPr>
              <w:rFonts w:ascii="Arial" w:hAnsi="Arial" w:cs="Arial"/>
              <w:sz w:val="24"/>
              <w:szCs w:val="24"/>
            </w:rPr>
          </w:pPr>
          <w:r w:rsidRPr="00F17586">
            <w:rPr>
              <w:rFonts w:ascii="Arial" w:hAnsi="Arial" w:cs="Arial"/>
              <w:sz w:val="24"/>
              <w:szCs w:val="24"/>
            </w:rPr>
            <w:t>Reuters, T. (2014). </w:t>
          </w:r>
          <w:r w:rsidRPr="00F17586">
            <w:rPr>
              <w:rFonts w:ascii="Arial" w:hAnsi="Arial" w:cs="Arial"/>
              <w:i/>
              <w:iCs/>
              <w:sz w:val="24"/>
              <w:szCs w:val="24"/>
            </w:rPr>
            <w:t>Tesco PLC (TSCO.L) Quote| Reuters.com</w:t>
          </w:r>
          <w:r w:rsidRPr="00F17586">
            <w:rPr>
              <w:rFonts w:ascii="Arial" w:hAnsi="Arial" w:cs="Arial"/>
              <w:sz w:val="24"/>
              <w:szCs w:val="24"/>
            </w:rPr>
            <w:t xml:space="preserve">. [online] Reuters.com. Available at: </w:t>
          </w:r>
          <w:hyperlink r:id="rId22" w:history="1">
            <w:r w:rsidRPr="00F17586">
              <w:rPr>
                <w:rStyle w:val="Hyperlink"/>
                <w:rFonts w:ascii="Arial" w:hAnsi="Arial" w:cs="Arial"/>
                <w:sz w:val="24"/>
                <w:szCs w:val="24"/>
              </w:rPr>
              <w:t>http://www.reuters.com/finance/stocks/overview?symbol=TSCO.L</w:t>
            </w:r>
          </w:hyperlink>
          <w:r w:rsidRPr="00F17586">
            <w:rPr>
              <w:rFonts w:ascii="Arial" w:hAnsi="Arial" w:cs="Arial"/>
              <w:sz w:val="24"/>
              <w:szCs w:val="24"/>
            </w:rPr>
            <w:t xml:space="preserve"> </w:t>
          </w:r>
          <w:r w:rsidRPr="00680A4C">
            <w:rPr>
              <w:rFonts w:ascii="Arial" w:hAnsi="Arial" w:cs="Arial"/>
              <w:sz w:val="24"/>
              <w:szCs w:val="24"/>
            </w:rPr>
            <w:t>(</w:t>
          </w:r>
          <w:r>
            <w:rPr>
              <w:rFonts w:ascii="Arial" w:hAnsi="Arial" w:cs="Arial"/>
              <w:sz w:val="24"/>
              <w:szCs w:val="24"/>
            </w:rPr>
            <w:t>22</w:t>
          </w:r>
          <w:r w:rsidRPr="00506C12">
            <w:rPr>
              <w:rFonts w:ascii="Arial" w:hAnsi="Arial" w:cs="Arial"/>
              <w:sz w:val="24"/>
              <w:szCs w:val="24"/>
              <w:vertAlign w:val="superscript"/>
            </w:rPr>
            <w:t>nd</w:t>
          </w:r>
          <w:r>
            <w:rPr>
              <w:rFonts w:ascii="Arial" w:hAnsi="Arial" w:cs="Arial"/>
              <w:sz w:val="24"/>
              <w:szCs w:val="24"/>
            </w:rPr>
            <w:t xml:space="preserve"> Jan 2022</w:t>
          </w:r>
          <w:r w:rsidRPr="00680A4C">
            <w:rPr>
              <w:rFonts w:ascii="Arial" w:hAnsi="Arial" w:cs="Arial"/>
              <w:sz w:val="24"/>
              <w:szCs w:val="24"/>
            </w:rPr>
            <w:t>)</w:t>
          </w:r>
          <w:r w:rsidRPr="00F17586">
            <w:rPr>
              <w:rFonts w:ascii="Arial" w:hAnsi="Arial" w:cs="Arial"/>
              <w:sz w:val="24"/>
              <w:szCs w:val="24"/>
            </w:rPr>
            <w:t>.</w:t>
          </w:r>
        </w:p>
        <w:p w:rsidR="002619EA" w:rsidRDefault="002619EA" w:rsidP="00B734C1">
          <w:pPr>
            <w:pStyle w:val="ListParagraph"/>
            <w:numPr>
              <w:ilvl w:val="0"/>
              <w:numId w:val="1"/>
            </w:numPr>
            <w:spacing w:line="360" w:lineRule="auto"/>
            <w:jc w:val="both"/>
            <w:rPr>
              <w:rFonts w:ascii="Arial" w:hAnsi="Arial" w:cs="Arial"/>
              <w:sz w:val="24"/>
              <w:szCs w:val="24"/>
            </w:rPr>
          </w:pPr>
          <w:r w:rsidRPr="00116964">
            <w:rPr>
              <w:rFonts w:ascii="Arial" w:hAnsi="Arial" w:cs="Arial"/>
              <w:sz w:val="24"/>
              <w:szCs w:val="24"/>
            </w:rPr>
            <w:t>Sachin, T. (2016). 2016 COMPENDIUM OF TOP 500 COMPANIES: CREDIT ANALYSIS &amp; RESEARCH LIMITED - RATIO ANALYSIS. </w:t>
          </w:r>
          <w:r w:rsidRPr="00116964">
            <w:rPr>
              <w:rFonts w:ascii="Arial" w:hAnsi="Arial" w:cs="Arial"/>
              <w:i/>
              <w:iCs/>
              <w:sz w:val="24"/>
              <w:szCs w:val="24"/>
            </w:rPr>
            <w:t>India Business Insight</w:t>
          </w:r>
          <w:r w:rsidRPr="00116964">
            <w:rPr>
              <w:rFonts w:ascii="Arial" w:hAnsi="Arial" w:cs="Arial"/>
              <w:sz w:val="24"/>
              <w:szCs w:val="24"/>
            </w:rPr>
            <w:t>. 12 (31), p34-56.</w:t>
          </w:r>
        </w:p>
        <w:p w:rsidR="002619EA" w:rsidRDefault="002619EA" w:rsidP="00B734C1">
          <w:pPr>
            <w:pStyle w:val="ListParagraph"/>
            <w:numPr>
              <w:ilvl w:val="0"/>
              <w:numId w:val="1"/>
            </w:numPr>
            <w:spacing w:line="360" w:lineRule="auto"/>
            <w:jc w:val="both"/>
            <w:rPr>
              <w:rFonts w:ascii="Arial" w:hAnsi="Arial" w:cs="Arial"/>
              <w:sz w:val="24"/>
              <w:szCs w:val="24"/>
            </w:rPr>
          </w:pPr>
          <w:proofErr w:type="spellStart"/>
          <w:r w:rsidRPr="00115F89">
            <w:rPr>
              <w:rFonts w:ascii="Arial" w:hAnsi="Arial" w:cs="Arial"/>
              <w:sz w:val="24"/>
              <w:szCs w:val="24"/>
            </w:rPr>
            <w:t>Situm</w:t>
          </w:r>
          <w:proofErr w:type="spellEnd"/>
          <w:r w:rsidRPr="00115F89">
            <w:rPr>
              <w:rFonts w:ascii="Arial" w:hAnsi="Arial" w:cs="Arial"/>
              <w:sz w:val="24"/>
              <w:szCs w:val="24"/>
            </w:rPr>
            <w:t>, M. (2014). Inability of Gearing-Ratio as Predictor for Early Warning Systems. </w:t>
          </w:r>
          <w:r w:rsidRPr="00115F89">
            <w:rPr>
              <w:rFonts w:ascii="Arial" w:hAnsi="Arial" w:cs="Arial"/>
              <w:i/>
              <w:iCs/>
              <w:sz w:val="24"/>
              <w:szCs w:val="24"/>
            </w:rPr>
            <w:t>Business systems research</w:t>
          </w:r>
          <w:r w:rsidRPr="00115F89">
            <w:rPr>
              <w:rFonts w:ascii="Arial" w:hAnsi="Arial" w:cs="Arial"/>
              <w:sz w:val="24"/>
              <w:szCs w:val="24"/>
            </w:rPr>
            <w:t>. 5 (2), P23-45.</w:t>
          </w:r>
        </w:p>
        <w:p w:rsidR="002619EA" w:rsidRDefault="002619EA" w:rsidP="00B734C1">
          <w:pPr>
            <w:pStyle w:val="ListParagraph"/>
            <w:numPr>
              <w:ilvl w:val="0"/>
              <w:numId w:val="1"/>
            </w:numPr>
            <w:spacing w:line="360" w:lineRule="auto"/>
            <w:jc w:val="both"/>
            <w:rPr>
              <w:rFonts w:ascii="Arial" w:hAnsi="Arial" w:cs="Arial"/>
              <w:sz w:val="24"/>
              <w:szCs w:val="24"/>
            </w:rPr>
          </w:pPr>
          <w:r w:rsidRPr="00D73CAE">
            <w:rPr>
              <w:rFonts w:ascii="Arial" w:hAnsi="Arial" w:cs="Arial"/>
              <w:sz w:val="24"/>
              <w:szCs w:val="24"/>
            </w:rPr>
            <w:t xml:space="preserve">Slater, R. </w:t>
          </w:r>
          <w:proofErr w:type="spellStart"/>
          <w:r w:rsidRPr="00D73CAE">
            <w:rPr>
              <w:rFonts w:ascii="Arial" w:hAnsi="Arial" w:cs="Arial"/>
              <w:sz w:val="24"/>
              <w:szCs w:val="24"/>
            </w:rPr>
            <w:t>Curwin</w:t>
          </w:r>
          <w:proofErr w:type="spellEnd"/>
          <w:r w:rsidRPr="00D73CAE">
            <w:rPr>
              <w:rFonts w:ascii="Arial" w:hAnsi="Arial" w:cs="Arial"/>
              <w:sz w:val="24"/>
              <w:szCs w:val="24"/>
            </w:rPr>
            <w:t>, J (2002). </w:t>
          </w:r>
          <w:r w:rsidRPr="00D73CAE">
            <w:rPr>
              <w:rFonts w:ascii="Arial" w:hAnsi="Arial" w:cs="Arial"/>
              <w:i/>
              <w:iCs/>
              <w:sz w:val="24"/>
              <w:szCs w:val="24"/>
            </w:rPr>
            <w:t>Quantitative methods for business decisions</w:t>
          </w:r>
          <w:r w:rsidRPr="00D73CAE">
            <w:rPr>
              <w:rFonts w:ascii="Arial" w:hAnsi="Arial" w:cs="Arial"/>
              <w:sz w:val="24"/>
              <w:szCs w:val="24"/>
            </w:rPr>
            <w:t>. 5th ed. London: Thomson Learning. P469-482.</w:t>
          </w:r>
        </w:p>
        <w:p w:rsidR="002619EA" w:rsidRDefault="002619EA" w:rsidP="00B734C1">
          <w:pPr>
            <w:pStyle w:val="ListParagraph"/>
            <w:numPr>
              <w:ilvl w:val="0"/>
              <w:numId w:val="1"/>
            </w:numPr>
            <w:spacing w:line="360" w:lineRule="auto"/>
            <w:jc w:val="both"/>
            <w:rPr>
              <w:rFonts w:ascii="Arial" w:hAnsi="Arial" w:cs="Arial"/>
              <w:sz w:val="24"/>
              <w:szCs w:val="24"/>
            </w:rPr>
          </w:pPr>
          <w:r w:rsidRPr="00C51258">
            <w:rPr>
              <w:rFonts w:ascii="Arial" w:hAnsi="Arial" w:cs="Arial"/>
              <w:sz w:val="24"/>
              <w:szCs w:val="24"/>
            </w:rPr>
            <w:t xml:space="preserve">Violeta, K. </w:t>
          </w:r>
          <w:proofErr w:type="spellStart"/>
          <w:r w:rsidRPr="00C51258">
            <w:rPr>
              <w:rFonts w:ascii="Arial" w:hAnsi="Arial" w:cs="Arial"/>
              <w:sz w:val="24"/>
              <w:szCs w:val="24"/>
            </w:rPr>
            <w:t>Zavadskas</w:t>
          </w:r>
          <w:proofErr w:type="spellEnd"/>
          <w:r w:rsidRPr="00C51258">
            <w:rPr>
              <w:rFonts w:ascii="Arial" w:hAnsi="Arial" w:cs="Arial"/>
              <w:sz w:val="24"/>
              <w:szCs w:val="24"/>
            </w:rPr>
            <w:t>, ED. (2010). Selection of rational dispute resolution method by applying new step-wise weight assessment ratio analysis (</w:t>
          </w:r>
          <w:proofErr w:type="spellStart"/>
          <w:r w:rsidRPr="00C51258">
            <w:rPr>
              <w:rFonts w:ascii="Arial" w:hAnsi="Arial" w:cs="Arial"/>
              <w:sz w:val="24"/>
              <w:szCs w:val="24"/>
            </w:rPr>
            <w:t>Swara</w:t>
          </w:r>
          <w:proofErr w:type="spellEnd"/>
          <w:r w:rsidRPr="00C51258">
            <w:rPr>
              <w:rFonts w:ascii="Arial" w:hAnsi="Arial" w:cs="Arial"/>
              <w:sz w:val="24"/>
              <w:szCs w:val="24"/>
            </w:rPr>
            <w:t>). </w:t>
          </w:r>
          <w:r w:rsidRPr="00C51258">
            <w:rPr>
              <w:rFonts w:ascii="Arial" w:hAnsi="Arial" w:cs="Arial"/>
              <w:i/>
              <w:iCs/>
              <w:sz w:val="24"/>
              <w:szCs w:val="24"/>
            </w:rPr>
            <w:t>Journal of business economics and management</w:t>
          </w:r>
          <w:r w:rsidRPr="00C51258">
            <w:rPr>
              <w:rFonts w:ascii="Arial" w:hAnsi="Arial" w:cs="Arial"/>
              <w:sz w:val="24"/>
              <w:szCs w:val="24"/>
            </w:rPr>
            <w:t>. 11 (2), P243-258.</w:t>
          </w:r>
        </w:p>
        <w:p w:rsidR="002619EA" w:rsidRDefault="002619EA" w:rsidP="00B734C1">
          <w:pPr>
            <w:pStyle w:val="ListParagraph"/>
            <w:numPr>
              <w:ilvl w:val="0"/>
              <w:numId w:val="1"/>
            </w:numPr>
            <w:spacing w:line="360" w:lineRule="auto"/>
            <w:jc w:val="both"/>
            <w:rPr>
              <w:rFonts w:ascii="Arial" w:hAnsi="Arial" w:cs="Arial"/>
              <w:sz w:val="24"/>
              <w:szCs w:val="24"/>
            </w:rPr>
          </w:pPr>
          <w:proofErr w:type="spellStart"/>
          <w:r w:rsidRPr="0067411A">
            <w:rPr>
              <w:rFonts w:ascii="Arial" w:hAnsi="Arial" w:cs="Arial"/>
              <w:sz w:val="24"/>
              <w:szCs w:val="24"/>
            </w:rPr>
            <w:t>Wai</w:t>
          </w:r>
          <w:proofErr w:type="spellEnd"/>
          <w:r w:rsidRPr="0067411A">
            <w:rPr>
              <w:rFonts w:ascii="Arial" w:hAnsi="Arial" w:cs="Arial"/>
              <w:sz w:val="24"/>
              <w:szCs w:val="24"/>
            </w:rPr>
            <w:t>, TC (1995). </w:t>
          </w:r>
          <w:r w:rsidRPr="0067411A">
            <w:rPr>
              <w:rFonts w:ascii="Arial" w:hAnsi="Arial" w:cs="Arial"/>
              <w:i/>
              <w:iCs/>
              <w:sz w:val="24"/>
              <w:szCs w:val="24"/>
            </w:rPr>
            <w:t>Investigation into the correlation of gearing and profitability using ratio analysis.</w:t>
          </w:r>
          <w:r w:rsidRPr="0067411A">
            <w:rPr>
              <w:rFonts w:ascii="Arial" w:hAnsi="Arial" w:cs="Arial"/>
              <w:sz w:val="24"/>
              <w:szCs w:val="24"/>
            </w:rPr>
            <w:t xml:space="preserve"> Swansea: Swansea Business Campus Library. P65-78.</w:t>
          </w:r>
        </w:p>
        <w:p w:rsidR="002619EA" w:rsidRDefault="002619EA" w:rsidP="00B734C1">
          <w:pPr>
            <w:pStyle w:val="ListParagraph"/>
            <w:numPr>
              <w:ilvl w:val="0"/>
              <w:numId w:val="1"/>
            </w:numPr>
            <w:spacing w:line="360" w:lineRule="auto"/>
            <w:jc w:val="both"/>
            <w:rPr>
              <w:rFonts w:ascii="Arial" w:hAnsi="Arial" w:cs="Arial"/>
              <w:sz w:val="24"/>
              <w:szCs w:val="24"/>
            </w:rPr>
          </w:pPr>
          <w:r w:rsidRPr="00507B5D">
            <w:rPr>
              <w:rFonts w:ascii="Arial" w:hAnsi="Arial" w:cs="Arial"/>
              <w:sz w:val="24"/>
              <w:szCs w:val="24"/>
            </w:rPr>
            <w:t>Walsh, C (1996). </w:t>
          </w:r>
          <w:r w:rsidRPr="00507B5D">
            <w:rPr>
              <w:rFonts w:ascii="Arial" w:hAnsi="Arial" w:cs="Arial"/>
              <w:i/>
              <w:iCs/>
              <w:sz w:val="24"/>
              <w:szCs w:val="24"/>
            </w:rPr>
            <w:t xml:space="preserve">Key management ratios: how to </w:t>
          </w:r>
          <w:proofErr w:type="spellStart"/>
          <w:r w:rsidRPr="00507B5D">
            <w:rPr>
              <w:rFonts w:ascii="Arial" w:hAnsi="Arial" w:cs="Arial"/>
              <w:i/>
              <w:iCs/>
              <w:sz w:val="24"/>
              <w:szCs w:val="24"/>
            </w:rPr>
            <w:t>analyze</w:t>
          </w:r>
          <w:proofErr w:type="spellEnd"/>
          <w:r w:rsidRPr="00507B5D">
            <w:rPr>
              <w:rFonts w:ascii="Arial" w:hAnsi="Arial" w:cs="Arial"/>
              <w:i/>
              <w:iCs/>
              <w:sz w:val="24"/>
              <w:szCs w:val="24"/>
            </w:rPr>
            <w:t>, compare and control the figures that drive company value</w:t>
          </w:r>
          <w:r w:rsidRPr="00507B5D">
            <w:rPr>
              <w:rFonts w:ascii="Arial" w:hAnsi="Arial" w:cs="Arial"/>
              <w:sz w:val="24"/>
              <w:szCs w:val="24"/>
            </w:rPr>
            <w:t>. 4th ed. London: Financial Times/Pitman Publishing. P43-65.</w:t>
          </w:r>
        </w:p>
        <w:p w:rsidR="002619EA" w:rsidRDefault="002619EA" w:rsidP="00B734C1">
          <w:pPr>
            <w:pStyle w:val="ListParagraph"/>
            <w:numPr>
              <w:ilvl w:val="0"/>
              <w:numId w:val="1"/>
            </w:numPr>
            <w:spacing w:line="360" w:lineRule="auto"/>
            <w:jc w:val="both"/>
            <w:rPr>
              <w:rFonts w:ascii="Arial" w:hAnsi="Arial" w:cs="Arial"/>
              <w:sz w:val="24"/>
              <w:szCs w:val="24"/>
            </w:rPr>
          </w:pPr>
          <w:r w:rsidRPr="00DF107C">
            <w:rPr>
              <w:rFonts w:ascii="Arial" w:hAnsi="Arial" w:cs="Arial"/>
              <w:sz w:val="24"/>
              <w:szCs w:val="24"/>
            </w:rPr>
            <w:t xml:space="preserve">Wilkes, FM. </w:t>
          </w:r>
          <w:proofErr w:type="spellStart"/>
          <w:r w:rsidRPr="00DF107C">
            <w:rPr>
              <w:rFonts w:ascii="Arial" w:hAnsi="Arial" w:cs="Arial"/>
              <w:sz w:val="24"/>
              <w:szCs w:val="24"/>
            </w:rPr>
            <w:t>Brayshaw</w:t>
          </w:r>
          <w:proofErr w:type="spellEnd"/>
          <w:r w:rsidRPr="00DF107C">
            <w:rPr>
              <w:rFonts w:ascii="Arial" w:hAnsi="Arial" w:cs="Arial"/>
              <w:sz w:val="24"/>
              <w:szCs w:val="24"/>
            </w:rPr>
            <w:t xml:space="preserve">, RE. </w:t>
          </w:r>
          <w:proofErr w:type="spellStart"/>
          <w:r w:rsidRPr="00DF107C">
            <w:rPr>
              <w:rFonts w:ascii="Arial" w:hAnsi="Arial" w:cs="Arial"/>
              <w:sz w:val="24"/>
              <w:szCs w:val="24"/>
            </w:rPr>
            <w:t>Samules</w:t>
          </w:r>
          <w:proofErr w:type="spellEnd"/>
          <w:r w:rsidRPr="00DF107C">
            <w:rPr>
              <w:rFonts w:ascii="Arial" w:hAnsi="Arial" w:cs="Arial"/>
              <w:sz w:val="24"/>
              <w:szCs w:val="24"/>
            </w:rPr>
            <w:t>, JM (1999). </w:t>
          </w:r>
          <w:r w:rsidRPr="00DF107C">
            <w:rPr>
              <w:rFonts w:ascii="Arial" w:hAnsi="Arial" w:cs="Arial"/>
              <w:i/>
              <w:iCs/>
              <w:sz w:val="24"/>
              <w:szCs w:val="24"/>
            </w:rPr>
            <w:t>Financial management and decision making</w:t>
          </w:r>
          <w:r w:rsidRPr="00DF107C">
            <w:rPr>
              <w:rFonts w:ascii="Arial" w:hAnsi="Arial" w:cs="Arial"/>
              <w:sz w:val="24"/>
              <w:szCs w:val="24"/>
            </w:rPr>
            <w:t>. London: International Thomson Business Press. P34-56.</w:t>
          </w:r>
        </w:p>
        <w:p w:rsidR="002619EA" w:rsidRPr="00BC035B" w:rsidRDefault="002619EA" w:rsidP="00B734C1">
          <w:pPr>
            <w:pStyle w:val="ListParagraph"/>
            <w:numPr>
              <w:ilvl w:val="0"/>
              <w:numId w:val="1"/>
            </w:numPr>
            <w:spacing w:line="360" w:lineRule="auto"/>
            <w:jc w:val="both"/>
            <w:rPr>
              <w:rFonts w:ascii="Arial" w:hAnsi="Arial" w:cs="Arial"/>
              <w:sz w:val="24"/>
              <w:szCs w:val="24"/>
            </w:rPr>
          </w:pPr>
          <w:r w:rsidRPr="00071E71">
            <w:rPr>
              <w:rFonts w:ascii="Arial" w:hAnsi="Arial" w:cs="Arial"/>
              <w:sz w:val="24"/>
              <w:szCs w:val="24"/>
            </w:rPr>
            <w:t>Wood, M. (2020). </w:t>
          </w:r>
          <w:r w:rsidRPr="00071E71">
            <w:rPr>
              <w:rFonts w:ascii="Arial" w:hAnsi="Arial" w:cs="Arial"/>
              <w:i/>
              <w:iCs/>
              <w:sz w:val="24"/>
              <w:szCs w:val="24"/>
            </w:rPr>
            <w:t>Asset Turnover Ratio: Formula, Examples, How to Improve It.</w:t>
          </w:r>
          <w:r w:rsidRPr="00071E71">
            <w:rPr>
              <w:rFonts w:ascii="Arial" w:hAnsi="Arial" w:cs="Arial"/>
              <w:sz w:val="24"/>
              <w:szCs w:val="24"/>
            </w:rPr>
            <w:t> Available: https://www.fundera.com/blog/asset-tu</w:t>
          </w:r>
          <w:r>
            <w:rPr>
              <w:rFonts w:ascii="Arial" w:hAnsi="Arial" w:cs="Arial"/>
              <w:sz w:val="24"/>
              <w:szCs w:val="24"/>
            </w:rPr>
            <w:t>rnover-ratio. Last accessed 30</w:t>
          </w:r>
          <w:r w:rsidRPr="00071E71">
            <w:rPr>
              <w:rFonts w:ascii="Arial" w:hAnsi="Arial" w:cs="Arial"/>
              <w:sz w:val="24"/>
              <w:szCs w:val="24"/>
              <w:vertAlign w:val="superscript"/>
            </w:rPr>
            <w:t>th</w:t>
          </w:r>
          <w:r w:rsidRPr="00071E71">
            <w:rPr>
              <w:rFonts w:ascii="Arial" w:hAnsi="Arial" w:cs="Arial"/>
              <w:sz w:val="24"/>
              <w:szCs w:val="24"/>
            </w:rPr>
            <w:t xml:space="preserve"> Jan 2022.</w:t>
          </w:r>
        </w:p>
        <w:p w:rsidR="00CA09F3" w:rsidRPr="00FB7D7F" w:rsidRDefault="00CD564F" w:rsidP="00B734C1">
          <w:pPr>
            <w:spacing w:line="360" w:lineRule="auto"/>
            <w:jc w:val="both"/>
            <w:rPr>
              <w:rFonts w:ascii="Arial" w:hAnsi="Arial" w:cs="Arial"/>
              <w:sz w:val="24"/>
              <w:szCs w:val="24"/>
            </w:rPr>
          </w:pPr>
        </w:p>
      </w:sdtContent>
    </w:sdt>
    <w:sectPr w:rsidR="00CA09F3" w:rsidRPr="00FB7D7F" w:rsidSect="007D1947">
      <w:head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026EC" w:rsidRDefault="004026EC" w:rsidP="00CC4C5E">
      <w:pPr>
        <w:spacing w:after="0" w:line="240" w:lineRule="auto"/>
      </w:pPr>
      <w:r>
        <w:separator/>
      </w:r>
    </w:p>
  </w:endnote>
  <w:endnote w:type="continuationSeparator" w:id="0">
    <w:p w:rsidR="004026EC" w:rsidRDefault="004026EC" w:rsidP="00CC4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026EC" w:rsidRDefault="004026EC" w:rsidP="00CC4C5E">
      <w:pPr>
        <w:spacing w:after="0" w:line="240" w:lineRule="auto"/>
      </w:pPr>
      <w:r>
        <w:separator/>
      </w:r>
    </w:p>
  </w:footnote>
  <w:footnote w:type="continuationSeparator" w:id="0">
    <w:p w:rsidR="004026EC" w:rsidRDefault="004026EC" w:rsidP="00CC4C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72417"/>
      <w:docPartObj>
        <w:docPartGallery w:val="Page Numbers (Margins)"/>
        <w:docPartUnique/>
      </w:docPartObj>
    </w:sdtPr>
    <w:sdtEndPr/>
    <w:sdtContent>
      <w:p w:rsidR="00CC4C5E" w:rsidRDefault="00CB31C6">
        <w:pPr>
          <w:pStyle w:val="Header"/>
        </w:pPr>
        <w:r>
          <w:rPr>
            <w:noProof/>
            <w:lang w:val="en-US" w:eastAsia="zh-TW"/>
          </w:rPr>
          <mc:AlternateContent>
            <mc:Choice Requires="wps">
              <w:drawing>
                <wp:anchor distT="0" distB="0" distL="114300" distR="114300" simplePos="0" relativeHeight="251660288" behindDoc="0" locked="0" layoutInCell="0" allowOverlap="1">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22325" cy="433705"/>
                  <wp:effectExtent l="0"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2325"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C5E" w:rsidRDefault="00CC4C5E">
                              <w:pPr>
                                <w:pBdr>
                                  <w:top w:val="single" w:sz="4" w:space="1" w:color="D8D8D8" w:themeColor="background1" w:themeShade="D8"/>
                                </w:pBdr>
                              </w:pPr>
                              <w:r>
                                <w:t xml:space="preserve">Page | </w:t>
                              </w:r>
                              <w:r w:rsidR="00CB31C6">
                                <w:fldChar w:fldCharType="begin"/>
                              </w:r>
                              <w:r w:rsidR="00CB31C6">
                                <w:instrText xml:space="preserve"> PAGE   \* MERGEFORMAT </w:instrText>
                              </w:r>
                              <w:r w:rsidR="00CB31C6">
                                <w:fldChar w:fldCharType="separate"/>
                              </w:r>
                              <w:r w:rsidR="002454CB">
                                <w:rPr>
                                  <w:noProof/>
                                </w:rPr>
                                <w:t>4</w:t>
                              </w:r>
                              <w:r w:rsidR="00CB31C6">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Rectangle 1" o:spid="_x0000_s1027" style="position:absolute;margin-left:13.55pt;margin-top:0;width:64.75pt;height:34.15pt;z-index:251660288;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" o:allowincell="f" stroked="f">
                  <v:path arrowok="t"/>
                  <v:textbox style="mso-fit-shape-to-text:t" inset="0,,0">
                    <w:txbxContent>
                      <w:p w:rsidR="00CC4C5E" w:rsidRDefault="00CC4C5E">
                        <w:pPr>
                          <w:pBdr>
                            <w:top w:val="single" w:sz="4" w:space="1" w:color="D8D8D8" w:themeColor="background1" w:themeShade="D8"/>
                          </w:pBdr>
                        </w:pPr>
                        <w:r>
                          <w:t xml:space="preserve">Page | </w:t>
                        </w:r>
                        <w:r w:rsidR="00CB31C6">
                          <w:fldChar w:fldCharType="begin"/>
                        </w:r>
                        <w:r w:rsidR="00CB31C6">
                          <w:instrText xml:space="preserve"> PAGE   \* MERGEFORMAT </w:instrText>
                        </w:r>
                        <w:r w:rsidR="00CB31C6">
                          <w:fldChar w:fldCharType="separate"/>
                        </w:r>
                        <w:r w:rsidR="002454CB">
                          <w:rPr>
                            <w:noProof/>
                          </w:rPr>
                          <w:t>4</w:t>
                        </w:r>
                        <w:r w:rsidR="00CB31C6">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382937"/>
    <w:multiLevelType w:val="hybridMultilevel"/>
    <w:tmpl w:val="D92CEBF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50B2B"/>
    <w:rsid w:val="000E22FB"/>
    <w:rsid w:val="000E3B5D"/>
    <w:rsid w:val="000F3404"/>
    <w:rsid w:val="001127B9"/>
    <w:rsid w:val="00115B96"/>
    <w:rsid w:val="00200CCF"/>
    <w:rsid w:val="00211CBF"/>
    <w:rsid w:val="002454CB"/>
    <w:rsid w:val="002619EA"/>
    <w:rsid w:val="002760FE"/>
    <w:rsid w:val="00314E50"/>
    <w:rsid w:val="00321ECA"/>
    <w:rsid w:val="00324CCD"/>
    <w:rsid w:val="003345F0"/>
    <w:rsid w:val="00343A73"/>
    <w:rsid w:val="0036248D"/>
    <w:rsid w:val="00387E49"/>
    <w:rsid w:val="003B1FCF"/>
    <w:rsid w:val="003F7E44"/>
    <w:rsid w:val="004026EC"/>
    <w:rsid w:val="00496A4D"/>
    <w:rsid w:val="004A11F6"/>
    <w:rsid w:val="004B7E17"/>
    <w:rsid w:val="004D4129"/>
    <w:rsid w:val="004D519C"/>
    <w:rsid w:val="00512FD1"/>
    <w:rsid w:val="005170C9"/>
    <w:rsid w:val="00530E15"/>
    <w:rsid w:val="005568AF"/>
    <w:rsid w:val="00576133"/>
    <w:rsid w:val="00591DC2"/>
    <w:rsid w:val="0061700E"/>
    <w:rsid w:val="006545D8"/>
    <w:rsid w:val="006564B4"/>
    <w:rsid w:val="006759D4"/>
    <w:rsid w:val="006C733C"/>
    <w:rsid w:val="006E1808"/>
    <w:rsid w:val="00752E8A"/>
    <w:rsid w:val="00762C1D"/>
    <w:rsid w:val="007D1947"/>
    <w:rsid w:val="007F0DC6"/>
    <w:rsid w:val="00816835"/>
    <w:rsid w:val="008275FF"/>
    <w:rsid w:val="008329E2"/>
    <w:rsid w:val="008439C8"/>
    <w:rsid w:val="008731A3"/>
    <w:rsid w:val="00955B25"/>
    <w:rsid w:val="009B2B9A"/>
    <w:rsid w:val="009D1CCD"/>
    <w:rsid w:val="00A40959"/>
    <w:rsid w:val="00A7447E"/>
    <w:rsid w:val="00A90944"/>
    <w:rsid w:val="00AA2A91"/>
    <w:rsid w:val="00AF39B9"/>
    <w:rsid w:val="00B22408"/>
    <w:rsid w:val="00B612EA"/>
    <w:rsid w:val="00B734C1"/>
    <w:rsid w:val="00B9585C"/>
    <w:rsid w:val="00BA4585"/>
    <w:rsid w:val="00BC035B"/>
    <w:rsid w:val="00BC106E"/>
    <w:rsid w:val="00C62DEE"/>
    <w:rsid w:val="00C71FB5"/>
    <w:rsid w:val="00C734E2"/>
    <w:rsid w:val="00C87976"/>
    <w:rsid w:val="00C97471"/>
    <w:rsid w:val="00CA09F3"/>
    <w:rsid w:val="00CA5FD6"/>
    <w:rsid w:val="00CB31C6"/>
    <w:rsid w:val="00CC4C5E"/>
    <w:rsid w:val="00CD564F"/>
    <w:rsid w:val="00CF6BBA"/>
    <w:rsid w:val="00D03EFF"/>
    <w:rsid w:val="00D115F9"/>
    <w:rsid w:val="00D854A5"/>
    <w:rsid w:val="00D9329D"/>
    <w:rsid w:val="00E30FA6"/>
    <w:rsid w:val="00E426D2"/>
    <w:rsid w:val="00E44F3B"/>
    <w:rsid w:val="00ED62EA"/>
    <w:rsid w:val="00EF596B"/>
    <w:rsid w:val="00F11493"/>
    <w:rsid w:val="00F54EC7"/>
    <w:rsid w:val="00FA29EC"/>
    <w:rsid w:val="00FB0C6C"/>
    <w:rsid w:val="00FB5B87"/>
    <w:rsid w:val="00FB7D7F"/>
    <w:rsid w:val="00FE4EF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DF938"/>
  <w15:docId w15:val="{FC0DDD2C-4573-FD4C-98EA-DDC6EA746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29D"/>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FB7D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7D7F"/>
    <w:rPr>
      <w:rFonts w:ascii="Tahoma" w:hAnsi="Tahoma" w:cs="Tahoma"/>
      <w:sz w:val="16"/>
      <w:szCs w:val="16"/>
    </w:rPr>
  </w:style>
  <w:style w:type="paragraph" w:styleId="Header">
    <w:name w:val="header"/>
    <w:basedOn w:val="Normal"/>
    <w:link w:val="HeaderChar"/>
    <w:uiPriority w:val="99"/>
    <w:semiHidden/>
    <w:unhideWhenUsed/>
    <w:rsid w:val="00CC4C5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C4C5E"/>
  </w:style>
  <w:style w:type="paragraph" w:styleId="Footer">
    <w:name w:val="footer"/>
    <w:basedOn w:val="Normal"/>
    <w:link w:val="FooterChar"/>
    <w:uiPriority w:val="99"/>
    <w:semiHidden/>
    <w:unhideWhenUsed/>
    <w:rsid w:val="00CC4C5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C4C5E"/>
  </w:style>
  <w:style w:type="paragraph" w:styleId="ListParagraph">
    <w:name w:val="List Paragraph"/>
    <w:basedOn w:val="Normal"/>
    <w:uiPriority w:val="34"/>
    <w:qFormat/>
    <w:rsid w:val="002619EA"/>
    <w:pPr>
      <w:spacing w:after="200" w:line="276" w:lineRule="auto"/>
      <w:ind w:left="720"/>
      <w:contextualSpacing/>
    </w:pPr>
    <w:rPr>
      <w:szCs w:val="28"/>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29289">
      <w:bodyDiv w:val="1"/>
      <w:marLeft w:val="0"/>
      <w:marRight w:val="0"/>
      <w:marTop w:val="0"/>
      <w:marBottom w:val="0"/>
      <w:divBdr>
        <w:top w:val="none" w:sz="0" w:space="0" w:color="auto"/>
        <w:left w:val="none" w:sz="0" w:space="0" w:color="auto"/>
        <w:bottom w:val="none" w:sz="0" w:space="0" w:color="auto"/>
        <w:right w:val="none" w:sz="0" w:space="0" w:color="auto"/>
      </w:divBdr>
    </w:div>
    <w:div w:id="813792925">
      <w:bodyDiv w:val="1"/>
      <w:marLeft w:val="0"/>
      <w:marRight w:val="0"/>
      <w:marTop w:val="0"/>
      <w:marBottom w:val="0"/>
      <w:divBdr>
        <w:top w:val="none" w:sz="0" w:space="0" w:color="auto"/>
        <w:left w:val="none" w:sz="0" w:space="0" w:color="auto"/>
        <w:bottom w:val="none" w:sz="0" w:space="0" w:color="auto"/>
        <w:right w:val="none" w:sz="0" w:space="0" w:color="auto"/>
      </w:divBdr>
    </w:div>
    <w:div w:id="1990592112">
      <w:bodyDiv w:val="1"/>
      <w:marLeft w:val="0"/>
      <w:marRight w:val="0"/>
      <w:marTop w:val="0"/>
      <w:marBottom w:val="0"/>
      <w:divBdr>
        <w:top w:val="none" w:sz="0" w:space="0" w:color="auto"/>
        <w:left w:val="none" w:sz="0" w:space="0" w:color="auto"/>
        <w:bottom w:val="none" w:sz="0" w:space="0" w:color="auto"/>
        <w:right w:val="none" w:sz="0" w:space="0" w:color="auto"/>
      </w:divBdr>
    </w:div>
    <w:div w:id="205707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image" Target="media/image6.emf"/><Relationship Id="rId3" Type="http://schemas.openxmlformats.org/officeDocument/2006/relationships/numbering" Target="numbering.xml"/><Relationship Id="rId21" Type="http://schemas.openxmlformats.org/officeDocument/2006/relationships/chart" Target="charts/chart6.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chart" Target="charts/chart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hyperlink" Target="http://www.reuters.com/finance/stocks/overview?symbol=TSCO.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SadrilKalam\Desktop\Akter%20Aunt\Calculation-%205007.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adrilKalam\Desktop\Akter%20Aunt\Calculation-%205007.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adrilKalam\Desktop\Akter%20Aunt\Calculation-%205007.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adrilKalam\Desktop\Akter%20Aunt\Calculation-%205007.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adrilKalam\Desktop\Akter%20Aunt\Calculation-%205007.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SadrilKalam\Desktop\Akter%20Aunt\Calculation-%20500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47"/>
    </mc:Choice>
    <mc:Fallback>
      <c:style val="47"/>
    </mc:Fallback>
  </mc:AlternateContent>
  <c:chart>
    <c:autoTitleDeleted val="1"/>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Final!$G$7</c:f>
              <c:strCache>
                <c:ptCount val="1"/>
                <c:pt idx="0">
                  <c:v>Gross Profit</c:v>
                </c:pt>
              </c:strCache>
            </c:strRef>
          </c:tx>
          <c:invertIfNegative val="0"/>
          <c:cat>
            <c:numRef>
              <c:f>Final!$H$6:$I$6</c:f>
              <c:numCache>
                <c:formatCode>General</c:formatCode>
                <c:ptCount val="2"/>
                <c:pt idx="0">
                  <c:v>2019</c:v>
                </c:pt>
                <c:pt idx="1">
                  <c:v>2020</c:v>
                </c:pt>
              </c:numCache>
            </c:numRef>
          </c:cat>
          <c:val>
            <c:numRef>
              <c:f>Final!$H$7:$I$7</c:f>
              <c:numCache>
                <c:formatCode>0.00%</c:formatCode>
                <c:ptCount val="2"/>
                <c:pt idx="0">
                  <c:v>0.91820000000000002</c:v>
                </c:pt>
                <c:pt idx="1">
                  <c:v>0.85829999999999995</c:v>
                </c:pt>
              </c:numCache>
            </c:numRef>
          </c:val>
          <c:extLst>
            <c:ext xmlns:c16="http://schemas.microsoft.com/office/drawing/2014/chart" uri="{C3380CC4-5D6E-409C-BE32-E72D297353CC}">
              <c16:uniqueId val="{00000000-D46A-D947-BFEA-D2737CBF9CA8}"/>
            </c:ext>
          </c:extLst>
        </c:ser>
        <c:ser>
          <c:idx val="1"/>
          <c:order val="1"/>
          <c:tx>
            <c:strRef>
              <c:f>Final!$G$8</c:f>
              <c:strCache>
                <c:ptCount val="1"/>
                <c:pt idx="0">
                  <c:v>Net Profit</c:v>
                </c:pt>
              </c:strCache>
            </c:strRef>
          </c:tx>
          <c:invertIfNegative val="0"/>
          <c:cat>
            <c:numRef>
              <c:f>Final!$H$6:$I$6</c:f>
              <c:numCache>
                <c:formatCode>General</c:formatCode>
                <c:ptCount val="2"/>
                <c:pt idx="0">
                  <c:v>2019</c:v>
                </c:pt>
                <c:pt idx="1">
                  <c:v>2020</c:v>
                </c:pt>
              </c:numCache>
            </c:numRef>
          </c:cat>
          <c:val>
            <c:numRef>
              <c:f>Final!$H$8:$I$8</c:f>
              <c:numCache>
                <c:formatCode>0.00%</c:formatCode>
                <c:ptCount val="2"/>
                <c:pt idx="0">
                  <c:v>0.72870000000000135</c:v>
                </c:pt>
                <c:pt idx="1">
                  <c:v>0.67880000000000185</c:v>
                </c:pt>
              </c:numCache>
            </c:numRef>
          </c:val>
          <c:extLst>
            <c:ext xmlns:c16="http://schemas.microsoft.com/office/drawing/2014/chart" uri="{C3380CC4-5D6E-409C-BE32-E72D297353CC}">
              <c16:uniqueId val="{00000001-D46A-D947-BFEA-D2737CBF9CA8}"/>
            </c:ext>
          </c:extLst>
        </c:ser>
        <c:dLbls>
          <c:showLegendKey val="0"/>
          <c:showVal val="0"/>
          <c:showCatName val="0"/>
          <c:showSerName val="0"/>
          <c:showPercent val="0"/>
          <c:showBubbleSize val="0"/>
        </c:dLbls>
        <c:gapWidth val="150"/>
        <c:shape val="box"/>
        <c:axId val="83427328"/>
        <c:axId val="83428864"/>
        <c:axId val="136579264"/>
      </c:bar3DChart>
      <c:catAx>
        <c:axId val="83427328"/>
        <c:scaling>
          <c:orientation val="minMax"/>
        </c:scaling>
        <c:delete val="0"/>
        <c:axPos val="b"/>
        <c:numFmt formatCode="General" sourceLinked="1"/>
        <c:majorTickMark val="out"/>
        <c:minorTickMark val="none"/>
        <c:tickLblPos val="nextTo"/>
        <c:crossAx val="83428864"/>
        <c:crosses val="autoZero"/>
        <c:auto val="1"/>
        <c:lblAlgn val="ctr"/>
        <c:lblOffset val="100"/>
        <c:noMultiLvlLbl val="0"/>
      </c:catAx>
      <c:valAx>
        <c:axId val="83428864"/>
        <c:scaling>
          <c:orientation val="minMax"/>
        </c:scaling>
        <c:delete val="0"/>
        <c:axPos val="l"/>
        <c:majorGridlines/>
        <c:numFmt formatCode="0.00%" sourceLinked="1"/>
        <c:majorTickMark val="out"/>
        <c:minorTickMark val="none"/>
        <c:tickLblPos val="nextTo"/>
        <c:crossAx val="83427328"/>
        <c:crosses val="autoZero"/>
        <c:crossBetween val="between"/>
      </c:valAx>
      <c:serAx>
        <c:axId val="136579264"/>
        <c:scaling>
          <c:orientation val="minMax"/>
        </c:scaling>
        <c:delete val="0"/>
        <c:axPos val="b"/>
        <c:majorTickMark val="out"/>
        <c:minorTickMark val="none"/>
        <c:tickLblPos val="nextTo"/>
        <c:crossAx val="83428864"/>
        <c:crosses val="autoZero"/>
      </c:ser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46"/>
    </mc:Choice>
    <mc:Fallback>
      <c:style val="46"/>
    </mc:Fallback>
  </mc:AlternateContent>
  <c:chart>
    <c:title>
      <c:tx>
        <c:rich>
          <a:bodyPr/>
          <a:lstStyle/>
          <a:p>
            <a:pPr>
              <a:defRPr/>
            </a:pPr>
            <a:r>
              <a:rPr lang="en-US"/>
              <a:t>Profitability Ratio</a:t>
            </a:r>
          </a:p>
        </c:rich>
      </c:tx>
      <c:overlay val="0"/>
    </c:title>
    <c:autoTitleDeleted val="0"/>
    <c:plotArea>
      <c:layout/>
      <c:lineChart>
        <c:grouping val="stacked"/>
        <c:varyColors val="0"/>
        <c:ser>
          <c:idx val="0"/>
          <c:order val="0"/>
          <c:tx>
            <c:strRef>
              <c:f>Final!$G$13</c:f>
              <c:strCache>
                <c:ptCount val="1"/>
                <c:pt idx="0">
                  <c:v>ROCE</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Final!$H$12:$I$12</c:f>
              <c:numCache>
                <c:formatCode>General</c:formatCode>
                <c:ptCount val="2"/>
                <c:pt idx="0">
                  <c:v>2019</c:v>
                </c:pt>
                <c:pt idx="1">
                  <c:v>2020</c:v>
                </c:pt>
              </c:numCache>
            </c:numRef>
          </c:cat>
          <c:val>
            <c:numRef>
              <c:f>Final!$H$13:$I$13</c:f>
              <c:numCache>
                <c:formatCode>General</c:formatCode>
                <c:ptCount val="2"/>
                <c:pt idx="0">
                  <c:v>64.7</c:v>
                </c:pt>
                <c:pt idx="1">
                  <c:v>65.209999999999994</c:v>
                </c:pt>
              </c:numCache>
            </c:numRef>
          </c:val>
          <c:smooth val="0"/>
          <c:extLst>
            <c:ext xmlns:c16="http://schemas.microsoft.com/office/drawing/2014/chart" uri="{C3380CC4-5D6E-409C-BE32-E72D297353CC}">
              <c16:uniqueId val="{00000000-EF16-7D48-8AF1-468D31A75F08}"/>
            </c:ext>
          </c:extLst>
        </c:ser>
        <c:dLbls>
          <c:showLegendKey val="0"/>
          <c:showVal val="1"/>
          <c:showCatName val="0"/>
          <c:showSerName val="0"/>
          <c:showPercent val="0"/>
          <c:showBubbleSize val="0"/>
        </c:dLbls>
        <c:smooth val="0"/>
        <c:axId val="83450112"/>
        <c:axId val="83456000"/>
      </c:lineChart>
      <c:catAx>
        <c:axId val="83450112"/>
        <c:scaling>
          <c:orientation val="minMax"/>
        </c:scaling>
        <c:delete val="0"/>
        <c:axPos val="b"/>
        <c:numFmt formatCode="General" sourceLinked="1"/>
        <c:majorTickMark val="none"/>
        <c:minorTickMark val="none"/>
        <c:tickLblPos val="nextTo"/>
        <c:crossAx val="83456000"/>
        <c:crosses val="autoZero"/>
        <c:auto val="1"/>
        <c:lblAlgn val="ctr"/>
        <c:lblOffset val="100"/>
        <c:noMultiLvlLbl val="0"/>
      </c:catAx>
      <c:valAx>
        <c:axId val="83456000"/>
        <c:scaling>
          <c:orientation val="minMax"/>
        </c:scaling>
        <c:delete val="0"/>
        <c:axPos val="l"/>
        <c:majorGridlines/>
        <c:numFmt formatCode="General" sourceLinked="1"/>
        <c:majorTickMark val="none"/>
        <c:minorTickMark val="none"/>
        <c:tickLblPos val="nextTo"/>
        <c:crossAx val="83450112"/>
        <c:crosses val="autoZero"/>
        <c:crossBetween val="between"/>
      </c:valAx>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45"/>
    </mc:Choice>
    <mc:Fallback>
      <c:style val="45"/>
    </mc:Fallback>
  </mc:AlternateContent>
  <c:chart>
    <c:title>
      <c:tx>
        <c:rich>
          <a:bodyPr/>
          <a:lstStyle/>
          <a:p>
            <a:pPr>
              <a:defRPr/>
            </a:pPr>
            <a:r>
              <a:rPr lang="en-GB"/>
              <a:t>Liquidity Ratio</a:t>
            </a:r>
          </a:p>
        </c:rich>
      </c:tx>
      <c:overlay val="0"/>
    </c:title>
    <c:autoTitleDeleted val="0"/>
    <c:view3D>
      <c:rotX val="15"/>
      <c:rotY val="20"/>
      <c:rAngAx val="1"/>
    </c:view3D>
    <c:floor>
      <c:thickness val="0"/>
    </c:floor>
    <c:sideWall>
      <c:thickness val="0"/>
    </c:sideWall>
    <c:backWall>
      <c:thickness val="0"/>
    </c:backWall>
    <c:plotArea>
      <c:layout/>
      <c:bar3DChart>
        <c:barDir val="bar"/>
        <c:grouping val="percentStacked"/>
        <c:varyColors val="0"/>
        <c:ser>
          <c:idx val="0"/>
          <c:order val="0"/>
          <c:tx>
            <c:strRef>
              <c:f>Final!$G$15</c:f>
              <c:strCache>
                <c:ptCount val="1"/>
                <c:pt idx="0">
                  <c:v>Current Ratio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Final!$H$14:$I$14</c:f>
              <c:numCache>
                <c:formatCode>General</c:formatCode>
                <c:ptCount val="2"/>
                <c:pt idx="0">
                  <c:v>2019</c:v>
                </c:pt>
                <c:pt idx="1">
                  <c:v>2020</c:v>
                </c:pt>
              </c:numCache>
            </c:numRef>
          </c:cat>
          <c:val>
            <c:numRef>
              <c:f>Final!$H$15:$I$15</c:f>
              <c:numCache>
                <c:formatCode>General</c:formatCode>
                <c:ptCount val="2"/>
                <c:pt idx="0">
                  <c:v>2.29</c:v>
                </c:pt>
                <c:pt idx="1">
                  <c:v>2</c:v>
                </c:pt>
              </c:numCache>
            </c:numRef>
          </c:val>
          <c:extLst>
            <c:ext xmlns:c16="http://schemas.microsoft.com/office/drawing/2014/chart" uri="{C3380CC4-5D6E-409C-BE32-E72D297353CC}">
              <c16:uniqueId val="{00000000-D8D8-ED48-8757-F3FB425888D4}"/>
            </c:ext>
          </c:extLst>
        </c:ser>
        <c:ser>
          <c:idx val="1"/>
          <c:order val="1"/>
          <c:tx>
            <c:strRef>
              <c:f>Final!$G$16</c:f>
              <c:strCache>
                <c:ptCount val="1"/>
                <c:pt idx="0">
                  <c:v>Quick Ratio/ Acid Test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Final!$H$14:$I$14</c:f>
              <c:numCache>
                <c:formatCode>General</c:formatCode>
                <c:ptCount val="2"/>
                <c:pt idx="0">
                  <c:v>2019</c:v>
                </c:pt>
                <c:pt idx="1">
                  <c:v>2020</c:v>
                </c:pt>
              </c:numCache>
            </c:numRef>
          </c:cat>
          <c:val>
            <c:numRef>
              <c:f>Final!$H$16:$I$16</c:f>
              <c:numCache>
                <c:formatCode>General</c:formatCode>
                <c:ptCount val="2"/>
                <c:pt idx="0">
                  <c:v>1.21</c:v>
                </c:pt>
                <c:pt idx="1">
                  <c:v>1.1299999999999972</c:v>
                </c:pt>
              </c:numCache>
            </c:numRef>
          </c:val>
          <c:extLst>
            <c:ext xmlns:c16="http://schemas.microsoft.com/office/drawing/2014/chart" uri="{C3380CC4-5D6E-409C-BE32-E72D297353CC}">
              <c16:uniqueId val="{00000001-D8D8-ED48-8757-F3FB425888D4}"/>
            </c:ext>
          </c:extLst>
        </c:ser>
        <c:dLbls>
          <c:showLegendKey val="0"/>
          <c:showVal val="1"/>
          <c:showCatName val="0"/>
          <c:showSerName val="0"/>
          <c:showPercent val="0"/>
          <c:showBubbleSize val="0"/>
        </c:dLbls>
        <c:gapWidth val="95"/>
        <c:gapDepth val="95"/>
        <c:shape val="box"/>
        <c:axId val="83478016"/>
        <c:axId val="83479552"/>
        <c:axId val="0"/>
      </c:bar3DChart>
      <c:catAx>
        <c:axId val="83478016"/>
        <c:scaling>
          <c:orientation val="minMax"/>
        </c:scaling>
        <c:delete val="0"/>
        <c:axPos val="l"/>
        <c:numFmt formatCode="General" sourceLinked="1"/>
        <c:majorTickMark val="none"/>
        <c:minorTickMark val="none"/>
        <c:tickLblPos val="nextTo"/>
        <c:crossAx val="83479552"/>
        <c:crosses val="autoZero"/>
        <c:auto val="1"/>
        <c:lblAlgn val="ctr"/>
        <c:lblOffset val="100"/>
        <c:noMultiLvlLbl val="0"/>
      </c:catAx>
      <c:valAx>
        <c:axId val="83479552"/>
        <c:scaling>
          <c:orientation val="minMax"/>
        </c:scaling>
        <c:delete val="1"/>
        <c:axPos val="b"/>
        <c:numFmt formatCode="0%" sourceLinked="1"/>
        <c:majorTickMark val="out"/>
        <c:minorTickMark val="none"/>
        <c:tickLblPos val="none"/>
        <c:crossAx val="83478016"/>
        <c:crosses val="autoZero"/>
        <c:crossBetween val="between"/>
      </c:valAx>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45"/>
    </mc:Choice>
    <mc:Fallback>
      <c:style val="45"/>
    </mc:Fallback>
  </mc:AlternateContent>
  <c:chart>
    <c:title>
      <c:overlay val="0"/>
    </c:title>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Final!$G$7</c:f>
              <c:strCache>
                <c:ptCount val="1"/>
                <c:pt idx="0">
                  <c:v>Interest Cover Ratio</c:v>
                </c:pt>
              </c:strCache>
            </c:strRef>
          </c:tx>
          <c:invertIfNegative val="0"/>
          <c:cat>
            <c:numRef>
              <c:f>Final!$H$6:$I$6</c:f>
              <c:numCache>
                <c:formatCode>General</c:formatCode>
                <c:ptCount val="2"/>
                <c:pt idx="0">
                  <c:v>2019</c:v>
                </c:pt>
                <c:pt idx="1">
                  <c:v>2020</c:v>
                </c:pt>
              </c:numCache>
            </c:numRef>
          </c:cat>
          <c:val>
            <c:numRef>
              <c:f>Final!$H$7:$I$7</c:f>
              <c:numCache>
                <c:formatCode>General</c:formatCode>
                <c:ptCount val="2"/>
                <c:pt idx="0">
                  <c:v>201</c:v>
                </c:pt>
                <c:pt idx="1">
                  <c:v>227</c:v>
                </c:pt>
              </c:numCache>
            </c:numRef>
          </c:val>
          <c:extLst>
            <c:ext xmlns:c16="http://schemas.microsoft.com/office/drawing/2014/chart" uri="{C3380CC4-5D6E-409C-BE32-E72D297353CC}">
              <c16:uniqueId val="{00000000-EA7B-2646-A54F-E288AACA334D}"/>
            </c:ext>
          </c:extLst>
        </c:ser>
        <c:dLbls>
          <c:showLegendKey val="0"/>
          <c:showVal val="0"/>
          <c:showCatName val="0"/>
          <c:showSerName val="0"/>
          <c:showPercent val="0"/>
          <c:showBubbleSize val="0"/>
        </c:dLbls>
        <c:gapWidth val="150"/>
        <c:shape val="box"/>
        <c:axId val="83827712"/>
        <c:axId val="83833984"/>
        <c:axId val="83435008"/>
      </c:bar3DChart>
      <c:catAx>
        <c:axId val="83827712"/>
        <c:scaling>
          <c:orientation val="minMax"/>
        </c:scaling>
        <c:delete val="0"/>
        <c:axPos val="b"/>
        <c:title>
          <c:overlay val="0"/>
        </c:title>
        <c:numFmt formatCode="General" sourceLinked="1"/>
        <c:majorTickMark val="none"/>
        <c:minorTickMark val="none"/>
        <c:tickLblPos val="nextTo"/>
        <c:crossAx val="83833984"/>
        <c:crosses val="autoZero"/>
        <c:auto val="1"/>
        <c:lblAlgn val="ctr"/>
        <c:lblOffset val="100"/>
        <c:noMultiLvlLbl val="0"/>
      </c:catAx>
      <c:valAx>
        <c:axId val="83833984"/>
        <c:scaling>
          <c:orientation val="minMax"/>
        </c:scaling>
        <c:delete val="0"/>
        <c:axPos val="l"/>
        <c:majorGridlines/>
        <c:title>
          <c:overlay val="0"/>
        </c:title>
        <c:numFmt formatCode="General" sourceLinked="1"/>
        <c:majorTickMark val="out"/>
        <c:minorTickMark val="none"/>
        <c:tickLblPos val="nextTo"/>
        <c:crossAx val="83827712"/>
        <c:crosses val="autoZero"/>
        <c:crossBetween val="between"/>
      </c:valAx>
      <c:serAx>
        <c:axId val="83435008"/>
        <c:scaling>
          <c:orientation val="minMax"/>
        </c:scaling>
        <c:delete val="1"/>
        <c:axPos val="b"/>
        <c:majorTickMark val="none"/>
        <c:minorTickMark val="none"/>
        <c:tickLblPos val="none"/>
        <c:crossAx val="83833984"/>
        <c:crosses val="autoZero"/>
      </c:ser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47"/>
    </mc:Choice>
    <mc:Fallback>
      <c:style val="47"/>
    </mc:Fallback>
  </mc:AlternateContent>
  <c:chart>
    <c:autoTitleDeleted val="1"/>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Final!$H$17</c:f>
              <c:strCache>
                <c:ptCount val="1"/>
                <c:pt idx="0">
                  <c:v>2019</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Final!$G$18:$G$22</c:f>
              <c:strCache>
                <c:ptCount val="5"/>
                <c:pt idx="0">
                  <c:v>Total Assets Turnover</c:v>
                </c:pt>
                <c:pt idx="1">
                  <c:v>Debtor Days</c:v>
                </c:pt>
                <c:pt idx="2">
                  <c:v>Creditor Days</c:v>
                </c:pt>
                <c:pt idx="3">
                  <c:v>Debt Days</c:v>
                </c:pt>
                <c:pt idx="4">
                  <c:v>Stock Turnover Ratio</c:v>
                </c:pt>
              </c:strCache>
            </c:strRef>
          </c:cat>
          <c:val>
            <c:numRef>
              <c:f>Final!$H$18:$H$22</c:f>
              <c:numCache>
                <c:formatCode>General</c:formatCode>
                <c:ptCount val="5"/>
                <c:pt idx="0">
                  <c:v>1</c:v>
                </c:pt>
                <c:pt idx="1">
                  <c:v>106</c:v>
                </c:pt>
                <c:pt idx="2">
                  <c:v>584</c:v>
                </c:pt>
                <c:pt idx="3">
                  <c:v>0.2</c:v>
                </c:pt>
                <c:pt idx="4">
                  <c:v>234</c:v>
                </c:pt>
              </c:numCache>
            </c:numRef>
          </c:val>
          <c:extLst>
            <c:ext xmlns:c16="http://schemas.microsoft.com/office/drawing/2014/chart" uri="{C3380CC4-5D6E-409C-BE32-E72D297353CC}">
              <c16:uniqueId val="{00000000-6517-D546-B865-4A17500EBCA3}"/>
            </c:ext>
          </c:extLst>
        </c:ser>
        <c:ser>
          <c:idx val="1"/>
          <c:order val="1"/>
          <c:tx>
            <c:strRef>
              <c:f>Final!$I$17</c:f>
              <c:strCache>
                <c:ptCount val="1"/>
                <c:pt idx="0">
                  <c:v>2020</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Final!$G$18:$G$22</c:f>
              <c:strCache>
                <c:ptCount val="5"/>
                <c:pt idx="0">
                  <c:v>Total Assets Turnover</c:v>
                </c:pt>
                <c:pt idx="1">
                  <c:v>Debtor Days</c:v>
                </c:pt>
                <c:pt idx="2">
                  <c:v>Creditor Days</c:v>
                </c:pt>
                <c:pt idx="3">
                  <c:v>Debt Days</c:v>
                </c:pt>
                <c:pt idx="4">
                  <c:v>Stock Turnover Ratio</c:v>
                </c:pt>
              </c:strCache>
            </c:strRef>
          </c:cat>
          <c:val>
            <c:numRef>
              <c:f>Final!$I$18:$I$22</c:f>
              <c:numCache>
                <c:formatCode>General</c:formatCode>
                <c:ptCount val="5"/>
                <c:pt idx="0">
                  <c:v>1</c:v>
                </c:pt>
                <c:pt idx="1">
                  <c:v>110</c:v>
                </c:pt>
                <c:pt idx="2">
                  <c:v>374</c:v>
                </c:pt>
                <c:pt idx="3">
                  <c:v>0.22</c:v>
                </c:pt>
                <c:pt idx="4">
                  <c:v>188</c:v>
                </c:pt>
              </c:numCache>
            </c:numRef>
          </c:val>
          <c:extLst>
            <c:ext xmlns:c16="http://schemas.microsoft.com/office/drawing/2014/chart" uri="{C3380CC4-5D6E-409C-BE32-E72D297353CC}">
              <c16:uniqueId val="{00000001-6517-D546-B865-4A17500EBCA3}"/>
            </c:ext>
          </c:extLst>
        </c:ser>
        <c:dLbls>
          <c:showLegendKey val="0"/>
          <c:showVal val="1"/>
          <c:showCatName val="0"/>
          <c:showSerName val="0"/>
          <c:showPercent val="0"/>
          <c:showBubbleSize val="0"/>
        </c:dLbls>
        <c:gapWidth val="75"/>
        <c:shape val="cone"/>
        <c:axId val="83882368"/>
        <c:axId val="83883904"/>
        <c:axId val="83485568"/>
      </c:bar3DChart>
      <c:catAx>
        <c:axId val="83882368"/>
        <c:scaling>
          <c:orientation val="minMax"/>
        </c:scaling>
        <c:delete val="0"/>
        <c:axPos val="b"/>
        <c:numFmt formatCode="General" sourceLinked="0"/>
        <c:majorTickMark val="none"/>
        <c:minorTickMark val="none"/>
        <c:tickLblPos val="nextTo"/>
        <c:crossAx val="83883904"/>
        <c:crosses val="autoZero"/>
        <c:auto val="1"/>
        <c:lblAlgn val="ctr"/>
        <c:lblOffset val="100"/>
        <c:noMultiLvlLbl val="0"/>
      </c:catAx>
      <c:valAx>
        <c:axId val="83883904"/>
        <c:scaling>
          <c:orientation val="minMax"/>
        </c:scaling>
        <c:delete val="0"/>
        <c:axPos val="l"/>
        <c:numFmt formatCode="General" sourceLinked="1"/>
        <c:majorTickMark val="none"/>
        <c:minorTickMark val="none"/>
        <c:tickLblPos val="nextTo"/>
        <c:crossAx val="83882368"/>
        <c:crosses val="autoZero"/>
        <c:crossBetween val="between"/>
      </c:valAx>
      <c:serAx>
        <c:axId val="83485568"/>
        <c:scaling>
          <c:orientation val="minMax"/>
        </c:scaling>
        <c:delete val="1"/>
        <c:axPos val="b"/>
        <c:majorTickMark val="none"/>
        <c:minorTickMark val="none"/>
        <c:tickLblPos val="none"/>
        <c:crossAx val="83883904"/>
        <c:crosses val="autoZero"/>
      </c:serAx>
    </c:plotArea>
    <c:legend>
      <c:legendPos val="b"/>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47"/>
    </mc:Choice>
    <mc:Fallback>
      <c:style val="47"/>
    </mc:Fallback>
  </mc:AlternateContent>
  <c:chart>
    <c:autoTitleDeleted val="1"/>
    <c:plotArea>
      <c:layout/>
      <c:barChart>
        <c:barDir val="col"/>
        <c:grouping val="clustered"/>
        <c:varyColors val="0"/>
        <c:ser>
          <c:idx val="0"/>
          <c:order val="0"/>
          <c:tx>
            <c:strRef>
              <c:f>Final!$H$30</c:f>
              <c:strCache>
                <c:ptCount val="1"/>
                <c:pt idx="0">
                  <c:v>2019</c:v>
                </c:pt>
              </c:strCache>
            </c:strRef>
          </c:tx>
          <c:invertIfNegative val="0"/>
          <c:cat>
            <c:strRef>
              <c:f>Final!$G$31:$G$34</c:f>
              <c:strCache>
                <c:ptCount val="4"/>
                <c:pt idx="0">
                  <c:v>Average Settlement Period for Trade Receivables</c:v>
                </c:pt>
                <c:pt idx="1">
                  <c:v>Average Settlement Period for Trade Payables</c:v>
                </c:pt>
                <c:pt idx="2">
                  <c:v>Averafge Inventory Holding period</c:v>
                </c:pt>
                <c:pt idx="3">
                  <c:v>Working Capital Cycle</c:v>
                </c:pt>
              </c:strCache>
            </c:strRef>
          </c:cat>
          <c:val>
            <c:numRef>
              <c:f>Final!$H$31:$H$34</c:f>
              <c:numCache>
                <c:formatCode>General</c:formatCode>
                <c:ptCount val="4"/>
                <c:pt idx="0">
                  <c:v>106</c:v>
                </c:pt>
                <c:pt idx="1">
                  <c:v>584</c:v>
                </c:pt>
                <c:pt idx="2">
                  <c:v>226</c:v>
                </c:pt>
                <c:pt idx="3">
                  <c:v>252</c:v>
                </c:pt>
              </c:numCache>
            </c:numRef>
          </c:val>
          <c:extLst>
            <c:ext xmlns:c16="http://schemas.microsoft.com/office/drawing/2014/chart" uri="{C3380CC4-5D6E-409C-BE32-E72D297353CC}">
              <c16:uniqueId val="{00000000-356D-FA41-9877-43115DE67737}"/>
            </c:ext>
          </c:extLst>
        </c:ser>
        <c:ser>
          <c:idx val="1"/>
          <c:order val="1"/>
          <c:tx>
            <c:strRef>
              <c:f>Final!$I$30</c:f>
              <c:strCache>
                <c:ptCount val="1"/>
                <c:pt idx="0">
                  <c:v>2020</c:v>
                </c:pt>
              </c:strCache>
            </c:strRef>
          </c:tx>
          <c:invertIfNegative val="0"/>
          <c:cat>
            <c:strRef>
              <c:f>Final!$G$31:$G$34</c:f>
              <c:strCache>
                <c:ptCount val="4"/>
                <c:pt idx="0">
                  <c:v>Average Settlement Period for Trade Receivables</c:v>
                </c:pt>
                <c:pt idx="1">
                  <c:v>Average Settlement Period for Trade Payables</c:v>
                </c:pt>
                <c:pt idx="2">
                  <c:v>Averafge Inventory Holding period</c:v>
                </c:pt>
                <c:pt idx="3">
                  <c:v>Working Capital Cycle</c:v>
                </c:pt>
              </c:strCache>
            </c:strRef>
          </c:cat>
          <c:val>
            <c:numRef>
              <c:f>Final!$I$31:$I$34</c:f>
              <c:numCache>
                <c:formatCode>General</c:formatCode>
                <c:ptCount val="4"/>
                <c:pt idx="0">
                  <c:v>110</c:v>
                </c:pt>
                <c:pt idx="1">
                  <c:v>374</c:v>
                </c:pt>
                <c:pt idx="2">
                  <c:v>188</c:v>
                </c:pt>
                <c:pt idx="3">
                  <c:v>76</c:v>
                </c:pt>
              </c:numCache>
            </c:numRef>
          </c:val>
          <c:extLst>
            <c:ext xmlns:c16="http://schemas.microsoft.com/office/drawing/2014/chart" uri="{C3380CC4-5D6E-409C-BE32-E72D297353CC}">
              <c16:uniqueId val="{00000001-356D-FA41-9877-43115DE67737}"/>
            </c:ext>
          </c:extLst>
        </c:ser>
        <c:dLbls>
          <c:showLegendKey val="0"/>
          <c:showVal val="0"/>
          <c:showCatName val="0"/>
          <c:showSerName val="0"/>
          <c:showPercent val="0"/>
          <c:showBubbleSize val="0"/>
        </c:dLbls>
        <c:gapWidth val="150"/>
        <c:axId val="89472000"/>
        <c:axId val="89481984"/>
      </c:barChart>
      <c:catAx>
        <c:axId val="89472000"/>
        <c:scaling>
          <c:orientation val="minMax"/>
        </c:scaling>
        <c:delete val="0"/>
        <c:axPos val="b"/>
        <c:numFmt formatCode="General" sourceLinked="0"/>
        <c:majorTickMark val="out"/>
        <c:minorTickMark val="none"/>
        <c:tickLblPos val="nextTo"/>
        <c:crossAx val="89481984"/>
        <c:crosses val="autoZero"/>
        <c:auto val="1"/>
        <c:lblAlgn val="ctr"/>
        <c:lblOffset val="100"/>
        <c:noMultiLvlLbl val="0"/>
      </c:catAx>
      <c:valAx>
        <c:axId val="89481984"/>
        <c:scaling>
          <c:orientation val="minMax"/>
        </c:scaling>
        <c:delete val="0"/>
        <c:axPos val="l"/>
        <c:majorGridlines/>
        <c:numFmt formatCode="General" sourceLinked="1"/>
        <c:majorTickMark val="out"/>
        <c:minorTickMark val="none"/>
        <c:tickLblPos val="nextTo"/>
        <c:crossAx val="8947200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D7EEDF-5AE2-46FA-B272-27AC914F211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2658</Words>
  <Characters>15154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Jurys Inn</vt:lpstr>
    </vt:vector>
  </TitlesOfParts>
  <Company>University of Wales Trinity Saint David</Company>
  <LinksUpToDate>false</LinksUpToDate>
  <CharactersWithSpaces>17777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Jurys Inn</dc:title>
  <dc:subject>Ratio Analysis</dc:subject>
  <dc:creator>Marie Pitson</dc:creator>
  <cp:keywords/>
  <dc:description/>
  <cp:lastModifiedBy>Morshida Akhtar (2013085)</cp:lastModifiedBy>
  <cp:revision>4</cp:revision>
  <dcterms:created xsi:type="dcterms:W3CDTF">2022-02-16T20:58:00Z</dcterms:created>
  <dcterms:modified xsi:type="dcterms:W3CDTF">2022-02-16T20:59:00Z</dcterms:modified>
</cp:coreProperties>
</file>