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4273B" w14:textId="02A80901" w:rsidR="001F5574" w:rsidRDefault="006B4B01" w:rsidP="006B4B01">
      <w:pPr>
        <w:pStyle w:val="Heading1"/>
      </w:pPr>
      <w:bookmarkStart w:id="0" w:name="_GoBack"/>
      <w:bookmarkEnd w:id="0"/>
      <w:r>
        <w:t>Object analysis of a middle kingdom statuette</w:t>
      </w:r>
    </w:p>
    <w:p w14:paraId="2F7EA9FE" w14:textId="489D802A" w:rsidR="006B4B01" w:rsidRDefault="006B4B01" w:rsidP="003E4E1A">
      <w:pPr>
        <w:pStyle w:val="Heading2"/>
      </w:pPr>
      <w:r>
        <w:t>Middle kingdom background</w:t>
      </w:r>
    </w:p>
    <w:p w14:paraId="6D0E5987" w14:textId="3C57EA2C" w:rsidR="006B4B01" w:rsidRDefault="006B4B01" w:rsidP="006B4B01">
      <w:r>
        <w:t xml:space="preserve">The middle kingdom </w:t>
      </w:r>
      <w:r w:rsidR="006F7750">
        <w:t>spanned c. 2055-1650</w:t>
      </w:r>
      <w:r w:rsidR="00F475FF">
        <w:t xml:space="preserve"> B</w:t>
      </w:r>
      <w:r w:rsidR="00736B83">
        <w:t>.C.</w:t>
      </w:r>
      <w:r w:rsidR="006F7750">
        <w:t xml:space="preserve"> </w:t>
      </w:r>
      <w:r w:rsidR="00CE06E5">
        <w:t>containing the 11</w:t>
      </w:r>
      <w:r w:rsidR="00CE06E5" w:rsidRPr="00CE06E5">
        <w:rPr>
          <w:vertAlign w:val="superscript"/>
        </w:rPr>
        <w:t>th</w:t>
      </w:r>
      <w:r w:rsidR="00CE06E5">
        <w:t>, 12</w:t>
      </w:r>
      <w:r w:rsidR="00CE06E5" w:rsidRPr="00CE06E5">
        <w:rPr>
          <w:vertAlign w:val="superscript"/>
        </w:rPr>
        <w:t>th</w:t>
      </w:r>
      <w:r w:rsidR="00CE06E5">
        <w:t xml:space="preserve"> and 13</w:t>
      </w:r>
      <w:r w:rsidR="00CE06E5" w:rsidRPr="00CE06E5">
        <w:rPr>
          <w:vertAlign w:val="superscript"/>
        </w:rPr>
        <w:t>th</w:t>
      </w:r>
      <w:r w:rsidR="00CE06E5">
        <w:t xml:space="preserve"> dynasties. (Shaw I, 2004. p137) </w:t>
      </w:r>
      <w:r w:rsidR="006B6F77">
        <w:t xml:space="preserve">One of the kings to reign in this period was Senusret the first, who is </w:t>
      </w:r>
      <w:r w:rsidR="00B23170">
        <w:t>renowned</w:t>
      </w:r>
      <w:r w:rsidR="006B6F77">
        <w:t xml:space="preserve"> for creating vast </w:t>
      </w:r>
      <w:r w:rsidR="004D3EF6">
        <w:t>quantities</w:t>
      </w:r>
      <w:r w:rsidR="006B6F77">
        <w:t xml:space="preserve"> of monuments. </w:t>
      </w:r>
      <w:r w:rsidR="00E11702">
        <w:t>He (</w:t>
      </w:r>
      <w:r w:rsidR="006B6F77">
        <w:t>Senusret</w:t>
      </w:r>
      <w:r w:rsidR="00E11702">
        <w:t>)</w:t>
      </w:r>
      <w:r w:rsidR="006B6F77">
        <w:t xml:space="preserve"> ordered many expeditions to exploit stone resources across Egypt</w:t>
      </w:r>
      <w:r w:rsidR="004D3EF6">
        <w:t>.</w:t>
      </w:r>
      <w:r w:rsidR="006B6F77">
        <w:t xml:space="preserve"> </w:t>
      </w:r>
      <w:r w:rsidR="00E11702">
        <w:t>I</w:t>
      </w:r>
      <w:r w:rsidR="006B6F77">
        <w:t xml:space="preserve">n </w:t>
      </w:r>
      <w:r w:rsidR="00B23170">
        <w:t>T</w:t>
      </w:r>
      <w:r w:rsidR="006B6F77">
        <w:t xml:space="preserve">he </w:t>
      </w:r>
      <w:r w:rsidR="00B23170">
        <w:t>O</w:t>
      </w:r>
      <w:r w:rsidR="006B6F77">
        <w:t xml:space="preserve">xford </w:t>
      </w:r>
      <w:r w:rsidR="00B23170">
        <w:t>H</w:t>
      </w:r>
      <w:r w:rsidR="006B6F77">
        <w:t xml:space="preserve">istory </w:t>
      </w:r>
      <w:r w:rsidR="00B23170">
        <w:t>O</w:t>
      </w:r>
      <w:r w:rsidR="006B6F77">
        <w:t xml:space="preserve">f </w:t>
      </w:r>
      <w:r w:rsidR="00B23170">
        <w:t>A</w:t>
      </w:r>
      <w:r w:rsidR="006B6F77">
        <w:t>ncient Egypt</w:t>
      </w:r>
      <w:r w:rsidR="00E11702">
        <w:t xml:space="preserve"> </w:t>
      </w:r>
      <w:proofErr w:type="spellStart"/>
      <w:r w:rsidR="00E11702">
        <w:t>Gae</w:t>
      </w:r>
      <w:proofErr w:type="spellEnd"/>
      <w:r w:rsidR="00E11702">
        <w:t xml:space="preserve"> </w:t>
      </w:r>
      <w:proofErr w:type="spellStart"/>
      <w:r w:rsidR="00E11702">
        <w:t>Callender</w:t>
      </w:r>
      <w:proofErr w:type="spellEnd"/>
      <w:r w:rsidR="006B6F77">
        <w:t xml:space="preserve"> describes how one of these </w:t>
      </w:r>
      <w:r w:rsidR="00AD6010">
        <w:t>expeditions</w:t>
      </w:r>
      <w:r w:rsidR="006B6F77">
        <w:t xml:space="preserve"> “extracted enough rock for 60 sphinxes and</w:t>
      </w:r>
      <w:r w:rsidR="00AD6010">
        <w:t xml:space="preserve"> 150 statues” (Shaw I, 2004. P 149) During this period trading with Syria occurred where ivory and cedar were traded for Egyptian goods. (Shaw I, 2004. P149</w:t>
      </w:r>
      <w:r w:rsidR="00E11702">
        <w:t>)</w:t>
      </w:r>
      <w:r w:rsidR="00FA5915">
        <w:t xml:space="preserve"> Senusret ascended to the throne after the assassination of his father Amenemhat</w:t>
      </w:r>
      <w:r w:rsidR="00993F82">
        <w:t xml:space="preserve"> who posthumously gave an account of his death proclaiming Sensuret to the throne. (Shaw I, 2004. P148) This is relevant to the statuette as the Tale Of Sinuhe tells how Sinuhe a courtier to Amenemhat fled to Byblos after the assassination (of Amenemhat) (</w:t>
      </w:r>
      <w:proofErr w:type="spellStart"/>
      <w:r w:rsidR="00993F82">
        <w:t>Lichtheim</w:t>
      </w:r>
      <w:proofErr w:type="spellEnd"/>
      <w:r w:rsidR="00440A3B">
        <w:t xml:space="preserve"> M</w:t>
      </w:r>
      <w:r w:rsidR="00993F82">
        <w:t>, 1975. P222-235) this shows that Egyptians were living in the levant at the time</w:t>
      </w:r>
      <w:r w:rsidR="003E4E1A">
        <w:t>.</w:t>
      </w:r>
    </w:p>
    <w:p w14:paraId="426D3540" w14:textId="14BA3472" w:rsidR="00154AF4" w:rsidRDefault="00154AF4" w:rsidP="00154AF4">
      <w:pPr>
        <w:pStyle w:val="Heading2"/>
      </w:pPr>
      <w:r>
        <w:t xml:space="preserve">Analysis </w:t>
      </w:r>
    </w:p>
    <w:p w14:paraId="1FC78A42" w14:textId="63859B01" w:rsidR="00154AF4" w:rsidRDefault="00154AF4" w:rsidP="00154AF4">
      <w:r>
        <w:rPr>
          <w:noProof/>
        </w:rPr>
        <w:drawing>
          <wp:inline distT="0" distB="0" distL="0" distR="0" wp14:anchorId="6037DF54" wp14:editId="5A7F82F0">
            <wp:extent cx="24384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3657600"/>
                    </a:xfrm>
                    <a:prstGeom prst="rect">
                      <a:avLst/>
                    </a:prstGeom>
                    <a:noFill/>
                    <a:ln>
                      <a:noFill/>
                    </a:ln>
                  </pic:spPr>
                </pic:pic>
              </a:graphicData>
            </a:graphic>
          </wp:inline>
        </w:drawing>
      </w:r>
      <w:r>
        <w:t>(Met Museum, 2020)</w:t>
      </w:r>
    </w:p>
    <w:p w14:paraId="17985CEB" w14:textId="5EBA596C" w:rsidR="00154AF4" w:rsidRDefault="00154AF4" w:rsidP="00520135">
      <w:r>
        <w:t>This statuette from</w:t>
      </w:r>
      <w:r w:rsidR="00C92012">
        <w:t xml:space="preserve"> ca. 1981-1550 B.C. (Met Museum, 2020)</w:t>
      </w:r>
      <w:r>
        <w:t xml:space="preserve"> is carved from greywacke</w:t>
      </w:r>
      <w:r w:rsidR="00C92012">
        <w:t xml:space="preserve">, a hard sandstone with grains of quartz running through it. </w:t>
      </w:r>
      <w:r w:rsidR="00F34A1E">
        <w:t xml:space="preserve">It depicts an Egyptian male with his left arm pointing downward resting on a </w:t>
      </w:r>
      <w:proofErr w:type="spellStart"/>
      <w:r w:rsidR="00F34A1E">
        <w:t>shendyt</w:t>
      </w:r>
      <w:proofErr w:type="spellEnd"/>
      <w:r w:rsidR="00F34A1E">
        <w:t xml:space="preserve"> a kilt-like garment, while the man</w:t>
      </w:r>
      <w:r w:rsidR="00F61AD3">
        <w:t>’</w:t>
      </w:r>
      <w:r w:rsidR="00F34A1E">
        <w:t>s left arm is bent with its palm flat against his chest. The man is wearing a shoulder length wig held behind his ears</w:t>
      </w:r>
      <w:r w:rsidR="00F61AD3">
        <w:t>.</w:t>
      </w:r>
      <w:r w:rsidR="00520135">
        <w:t xml:space="preserve"> H.G Fischer said in </w:t>
      </w:r>
      <w:r w:rsidR="00520135" w:rsidRPr="002B1986">
        <w:t>The Mark Of A Second Hand On Egyptian Antiquities</w:t>
      </w:r>
      <w:r w:rsidR="00520135">
        <w:rPr>
          <w:i/>
          <w:iCs/>
        </w:rPr>
        <w:t xml:space="preserve"> </w:t>
      </w:r>
      <w:r w:rsidR="00520135" w:rsidRPr="002B1986">
        <w:rPr>
          <w:i/>
          <w:iCs/>
        </w:rPr>
        <w:t>“The simple attire admits a date fairly early in the Twelfth Dynasty, and so too the gesture of reverence, which is known from at least one Old Kingdom example,  although it is much more frequently attested in Twelfth Dynasty statuary.”</w:t>
      </w:r>
      <w:r w:rsidR="00520135">
        <w:t>(1975</w:t>
      </w:r>
      <w:r w:rsidR="004E4238">
        <w:t>, p15</w:t>
      </w:r>
      <w:r w:rsidR="00520135">
        <w:t>)</w:t>
      </w:r>
      <w:r w:rsidR="00F61AD3">
        <w:t xml:space="preserve"> </w:t>
      </w:r>
      <w:r w:rsidR="00C92012">
        <w:t>The statuette is 15.7cm</w:t>
      </w:r>
      <w:r w:rsidR="00FA5915">
        <w:t>,</w:t>
      </w:r>
      <w:r w:rsidR="00C92012">
        <w:t xml:space="preserve"> tall 4.8cm wide</w:t>
      </w:r>
      <w:r w:rsidR="00FA5915">
        <w:t>,</w:t>
      </w:r>
      <w:r w:rsidR="00C92012">
        <w:t xml:space="preserve"> and 4.5cm deep</w:t>
      </w:r>
      <w:r w:rsidR="00FA5915">
        <w:t>. Furthermore, the statue is said to be from Byblos in modern day Lebanon</w:t>
      </w:r>
      <w:r w:rsidR="003E4E1A">
        <w:t>.</w:t>
      </w:r>
      <w:r w:rsidR="004F741A">
        <w:t xml:space="preserve"> (Met Museum, 2020)</w:t>
      </w:r>
      <w:r w:rsidR="003E4E1A">
        <w:t xml:space="preserve"> People from the levant were involved with Egyptian</w:t>
      </w:r>
      <w:r w:rsidR="00440A3B">
        <w:t>s at th</w:t>
      </w:r>
      <w:r w:rsidR="00A8531F">
        <w:t>is</w:t>
      </w:r>
      <w:r w:rsidR="00440A3B">
        <w:t xml:space="preserve"> time</w:t>
      </w:r>
      <w:r w:rsidR="003E4E1A">
        <w:t xml:space="preserve"> as small contingents </w:t>
      </w:r>
      <w:r w:rsidR="004F741A">
        <w:t>participated in mining expeditions to the western Sinai Peninsula</w:t>
      </w:r>
      <w:r w:rsidR="00F61AD3">
        <w:t>.</w:t>
      </w:r>
      <w:r w:rsidR="004F741A">
        <w:t xml:space="preserve"> (</w:t>
      </w:r>
      <w:proofErr w:type="spellStart"/>
      <w:r w:rsidR="00440A3B">
        <w:t>Hikade</w:t>
      </w:r>
      <w:proofErr w:type="spellEnd"/>
      <w:r w:rsidR="00440A3B">
        <w:t xml:space="preserve"> T, 2012.</w:t>
      </w:r>
      <w:r w:rsidR="004F741A">
        <w:t xml:space="preserve"> p837)</w:t>
      </w:r>
      <w:r w:rsidR="00A8531F">
        <w:t>.</w:t>
      </w:r>
      <w:r w:rsidR="004E4238">
        <w:t xml:space="preserve"> </w:t>
      </w:r>
      <w:r w:rsidR="00736B83">
        <w:t xml:space="preserve">The hieroglyphics on the statue </w:t>
      </w:r>
      <w:r w:rsidR="00736B83">
        <w:lastRenderedPageBreak/>
        <w:t xml:space="preserve">read on the front “The </w:t>
      </w:r>
      <w:proofErr w:type="spellStart"/>
      <w:r w:rsidR="00736B83">
        <w:t>Iunmuntef</w:t>
      </w:r>
      <w:proofErr w:type="spellEnd"/>
      <w:r w:rsidR="00736B83">
        <w:t xml:space="preserve">-priest </w:t>
      </w:r>
      <w:proofErr w:type="spellStart"/>
      <w:r w:rsidR="00736B83">
        <w:t>Horsiese</w:t>
      </w:r>
      <w:proofErr w:type="spellEnd"/>
      <w:r w:rsidR="00736B83">
        <w:t xml:space="preserve">, true of </w:t>
      </w:r>
      <w:proofErr w:type="spellStart"/>
      <w:r w:rsidR="00736B83">
        <w:t>voi</w:t>
      </w:r>
      <w:proofErr w:type="spellEnd"/>
      <w:r w:rsidR="00736B83">
        <w:t>[</w:t>
      </w:r>
      <w:proofErr w:type="spellStart"/>
      <w:r w:rsidR="00736B83">
        <w:t>ce</w:t>
      </w:r>
      <w:proofErr w:type="spellEnd"/>
      <w:r w:rsidR="00736B83">
        <w:t xml:space="preserve">]” and on the back “The Sem-Priest, greatest of the directors of craftsmen (high priest of Memphis), the Great official, </w:t>
      </w:r>
      <w:proofErr w:type="spellStart"/>
      <w:r w:rsidR="00736B83">
        <w:t>Horsiese</w:t>
      </w:r>
      <w:proofErr w:type="spellEnd"/>
      <w:r w:rsidR="00736B83">
        <w:t xml:space="preserve"> true [of voice].”(Met Museum, 2020)</w:t>
      </w:r>
      <w:r w:rsidR="003C79D8">
        <w:t xml:space="preserve"> </w:t>
      </w:r>
      <w:r w:rsidR="00510C85">
        <w:t>However this inscription isn’t the original</w:t>
      </w:r>
      <w:r w:rsidR="00112469">
        <w:t>.</w:t>
      </w:r>
      <w:r w:rsidR="00510C85">
        <w:t xml:space="preserve"> </w:t>
      </w:r>
      <w:proofErr w:type="spellStart"/>
      <w:r w:rsidR="00510C85">
        <w:t>Horsiese</w:t>
      </w:r>
      <w:proofErr w:type="spellEnd"/>
      <w:r w:rsidR="00510C85">
        <w:t xml:space="preserve"> was the name of two </w:t>
      </w:r>
      <w:r w:rsidR="00112469">
        <w:t>M</w:t>
      </w:r>
      <w:r w:rsidR="00510C85">
        <w:t>e</w:t>
      </w:r>
      <w:r w:rsidR="00112469">
        <w:t>m</w:t>
      </w:r>
      <w:r w:rsidR="00510C85">
        <w:t>phite priests who officiated the 21</w:t>
      </w:r>
      <w:r w:rsidR="00510C85" w:rsidRPr="00510C85">
        <w:rPr>
          <w:vertAlign w:val="superscript"/>
        </w:rPr>
        <w:t>st</w:t>
      </w:r>
      <w:r w:rsidR="00510C85">
        <w:t xml:space="preserve"> and 22</w:t>
      </w:r>
      <w:r w:rsidR="00510C85" w:rsidRPr="00510C85">
        <w:rPr>
          <w:vertAlign w:val="superscript"/>
        </w:rPr>
        <w:t>nd</w:t>
      </w:r>
      <w:r w:rsidR="00510C85">
        <w:t xml:space="preserve"> dynasties</w:t>
      </w:r>
      <w:r w:rsidR="00112469">
        <w:t>,</w:t>
      </w:r>
      <w:r w:rsidR="00510C85">
        <w:t xml:space="preserve"> the re-inscription destroyed the kilt and legs of the statue.(Fischer H.G. 1975, p 17) Due to the shorter length of the </w:t>
      </w:r>
      <w:proofErr w:type="spellStart"/>
      <w:r w:rsidR="00510C85">
        <w:t>shendyt</w:t>
      </w:r>
      <w:proofErr w:type="spellEnd"/>
      <w:r w:rsidR="00510C85">
        <w:t xml:space="preserve"> Fischer suggests that the statuette probably originated in the reign of Amenemhet the third. (Fischer H.G. 1975, p 17)</w:t>
      </w:r>
    </w:p>
    <w:p w14:paraId="3155E9E3" w14:textId="5D742FF4" w:rsidR="00510C85" w:rsidRDefault="00216A00" w:rsidP="00510C85">
      <w:pPr>
        <w:pStyle w:val="Heading2"/>
      </w:pPr>
      <w:r>
        <w:t xml:space="preserve">Historical significance </w:t>
      </w:r>
    </w:p>
    <w:p w14:paraId="3DCE1990" w14:textId="0CE685CF" w:rsidR="00FA4445" w:rsidRDefault="00216A00" w:rsidP="006B4B01">
      <w:r>
        <w:t xml:space="preserve">Fischer placing the date of the statuette to the reign of Amenemhet III’s reign makes sense as this period is described by </w:t>
      </w:r>
      <w:proofErr w:type="spellStart"/>
      <w:r>
        <w:t>Gae</w:t>
      </w:r>
      <w:proofErr w:type="spellEnd"/>
      <w:r>
        <w:t xml:space="preserve"> </w:t>
      </w:r>
      <w:proofErr w:type="spellStart"/>
      <w:r>
        <w:t>Callendar</w:t>
      </w:r>
      <w:proofErr w:type="spellEnd"/>
      <w:r>
        <w:t xml:space="preserve"> as “The cultural climax of the Middle Kingdom.” (Shaw I. 2004. </w:t>
      </w:r>
      <w:r w:rsidR="006A452F">
        <w:t>p</w:t>
      </w:r>
      <w:r>
        <w:t>156) Amenemhet’s long and peaceful reign focused on “</w:t>
      </w:r>
      <w:r w:rsidR="006A452F">
        <w:t>Consolidation</w:t>
      </w:r>
      <w:r>
        <w:t xml:space="preserve"> of what had come before</w:t>
      </w:r>
      <w:r w:rsidR="006A452F">
        <w:t xml:space="preserve">.” Expanding on the Ptah temple at Memphis while also constructing many new shrines in cities such as </w:t>
      </w:r>
      <w:proofErr w:type="spellStart"/>
      <w:r w:rsidR="006A452F" w:rsidRPr="006A452F">
        <w:t>Crocodilopolis</w:t>
      </w:r>
      <w:proofErr w:type="spellEnd"/>
      <w:r w:rsidR="006A452F" w:rsidRPr="006A452F">
        <w:t xml:space="preserve"> </w:t>
      </w:r>
      <w:r w:rsidR="006A452F">
        <w:t xml:space="preserve">modern day </w:t>
      </w:r>
      <w:proofErr w:type="spellStart"/>
      <w:r w:rsidR="006A452F">
        <w:t>Faiyum</w:t>
      </w:r>
      <w:proofErr w:type="spellEnd"/>
      <w:r w:rsidR="006A452F">
        <w:t>. In the Third Intermediate</w:t>
      </w:r>
      <w:r w:rsidR="00712FF7">
        <w:t xml:space="preserve"> Period parts of his shrines were reused along with his artefacts</w:t>
      </w:r>
      <w:r w:rsidR="0003127F">
        <w:t>.</w:t>
      </w:r>
      <w:r w:rsidR="00712FF7">
        <w:t xml:space="preserve"> </w:t>
      </w:r>
      <w:r w:rsidR="0003127F">
        <w:t>(Shaw I. 2004 p156) The third intermediate period contained the 21</w:t>
      </w:r>
      <w:r w:rsidR="0003127F" w:rsidRPr="0003127F">
        <w:rPr>
          <w:vertAlign w:val="superscript"/>
        </w:rPr>
        <w:t>st</w:t>
      </w:r>
      <w:r w:rsidR="0003127F">
        <w:t xml:space="preserve"> to 25</w:t>
      </w:r>
      <w:r w:rsidR="0003127F" w:rsidRPr="0003127F">
        <w:rPr>
          <w:vertAlign w:val="superscript"/>
        </w:rPr>
        <w:t>th</w:t>
      </w:r>
      <w:r w:rsidR="0003127F">
        <w:t xml:space="preserve"> dynasties 1069-664 B.C this is when Fischer pinpointed the re</w:t>
      </w:r>
      <w:r w:rsidR="00C45158">
        <w:t>-</w:t>
      </w:r>
      <w:r w:rsidR="0003127F">
        <w:t>inscription of the statuette</w:t>
      </w:r>
      <w:r w:rsidR="007C4043">
        <w:t xml:space="preserve">. Interestingly, it was this period that we start seeing the decline of ancient Egypt. </w:t>
      </w:r>
      <w:r w:rsidR="007C4043">
        <w:t>Due to the civil war and ongoing hostilities with Kush Egypt lost its southern frontier, its profitable gold mines and its access to sub Saharan trade.</w:t>
      </w:r>
      <w:r w:rsidR="00B16B04">
        <w:t>(Shaw I. 2004 p325)</w:t>
      </w:r>
      <w:r w:rsidR="007C4043">
        <w:t xml:space="preserve"> This put severe strain on the Egyptian economy </w:t>
      </w:r>
      <w:r w:rsidR="007C4043">
        <w:t>as it bec</w:t>
      </w:r>
      <w:r w:rsidR="00112469">
        <w:t>ame</w:t>
      </w:r>
      <w:r w:rsidR="007C4043">
        <w:t xml:space="preserve"> more inward looking</w:t>
      </w:r>
      <w:r w:rsidR="00112469">
        <w:t>,</w:t>
      </w:r>
      <w:r w:rsidR="007C4043">
        <w:t xml:space="preserve"> reducing contact with the outside world in particular the levant and Nubia. (Shaw I. 2004 p324) </w:t>
      </w:r>
      <w:r w:rsidR="00B16B04">
        <w:t xml:space="preserve">This period saw Egypt shy away from its centralised power structure and divulge into local powers control was divided between numerous kings in the north and various military commanders in the army. </w:t>
      </w:r>
      <w:r w:rsidR="00B16B04">
        <w:t>(Shaw I. 2004 p325)</w:t>
      </w:r>
      <w:r w:rsidR="00B16B04">
        <w:t xml:space="preserve"> </w:t>
      </w:r>
      <w:r w:rsidR="00112469">
        <w:t>Pharaohs</w:t>
      </w:r>
      <w:r w:rsidR="00B16B04">
        <w:t xml:space="preserve"> at this point were “temporal rulers” who were appointed by Amun, the Egyptian god of sun and air. Amun’s will was communicated through oracles at Thebes and Karnak</w:t>
      </w:r>
      <w:r w:rsidR="00D24D00">
        <w:t xml:space="preserve"> in the south and Tanis in the north which was specifically developed as a counterpart to </w:t>
      </w:r>
      <w:r w:rsidR="00112469">
        <w:t>T</w:t>
      </w:r>
      <w:r w:rsidR="00D24D00">
        <w:t xml:space="preserve">hebes. (Shaw I. 2004 p 327) This period saw the systematic dismantling of New kingdom burials the tombs were dismantled, and mummies put in caches by southern rulers. Other contents of the tomb were appropriated while the new southern frontier was south of the entrance to </w:t>
      </w:r>
      <w:proofErr w:type="spellStart"/>
      <w:r w:rsidR="00D24D00">
        <w:t>Faiyum</w:t>
      </w:r>
      <w:proofErr w:type="spellEnd"/>
      <w:r w:rsidR="00D24D00">
        <w:t xml:space="preserve">. (Shaw I. 2004 p 328) </w:t>
      </w:r>
      <w:r w:rsidR="0072359B">
        <w:t xml:space="preserve">Byblos around this time lacked a lot of communication with the Egyptian state, until </w:t>
      </w:r>
      <w:proofErr w:type="spellStart"/>
      <w:r w:rsidR="0072359B">
        <w:t>Sheshonq</w:t>
      </w:r>
      <w:proofErr w:type="spellEnd"/>
      <w:r w:rsidR="0072359B">
        <w:t xml:space="preserve"> or as he’s known in the old testament “Shishak king of Egypt” attempted to reaffirm Egyptian control over Palestine seizing treasures in Jerusalem</w:t>
      </w:r>
      <w:r w:rsidR="00926BB7">
        <w:t xml:space="preserve">.(Shaw I. 2004 p 329) </w:t>
      </w:r>
      <w:proofErr w:type="spellStart"/>
      <w:r w:rsidR="00926BB7">
        <w:t>Sheshonq</w:t>
      </w:r>
      <w:proofErr w:type="spellEnd"/>
      <w:r w:rsidR="00926BB7">
        <w:t xml:space="preserve"> himself died when </w:t>
      </w:r>
      <w:r w:rsidR="00112469">
        <w:t>h</w:t>
      </w:r>
      <w:r w:rsidR="00926BB7">
        <w:t>e returned to Egypt but under his successors relations with levant particularly Byblos were reopened for commercial trade of Egyptian goods. (Shaw I. 2004 p330)</w:t>
      </w:r>
      <w:r w:rsidR="00112469">
        <w:t xml:space="preserve"> </w:t>
      </w:r>
      <w:r w:rsidR="00926BB7">
        <w:t>No doubt statuettes at this time would have been traded</w:t>
      </w:r>
      <w:r w:rsidR="00112469">
        <w:t>,</w:t>
      </w:r>
      <w:r w:rsidR="00926BB7">
        <w:t xml:space="preserve"> it</w:t>
      </w:r>
      <w:r w:rsidR="00112469">
        <w:t>’</w:t>
      </w:r>
      <w:r w:rsidR="00926BB7">
        <w:t>s reasonable to assume that appropriated goods such as the statuette would have been re-carved and traded. Byblos having also been under Egyptian control during the rein of Thutmose the I already had Egyptians living there (Shaw I. p224) who would certainly show interest in Egyptian goods.</w:t>
      </w:r>
    </w:p>
    <w:p w14:paraId="68C7C57E" w14:textId="023FF5B3" w:rsidR="00FA4445" w:rsidRDefault="00FA4445" w:rsidP="006B4B01"/>
    <w:p w14:paraId="6CA2FC0F" w14:textId="5D94FBA1" w:rsidR="00FA4445" w:rsidRDefault="00FA4445" w:rsidP="006B4B01"/>
    <w:p w14:paraId="56B19B8D" w14:textId="5663A9CB" w:rsidR="00FA4445" w:rsidRDefault="00FA4445" w:rsidP="006B4B01"/>
    <w:p w14:paraId="5B091143" w14:textId="62FFCB60" w:rsidR="00FA4445" w:rsidRDefault="00FA4445" w:rsidP="006B4B01"/>
    <w:p w14:paraId="36407CD8" w14:textId="37A6C0AD" w:rsidR="00FA4445" w:rsidRDefault="00FA4445" w:rsidP="006B4B01"/>
    <w:p w14:paraId="68E0DDEC" w14:textId="311EDAFB" w:rsidR="00FA4445" w:rsidRDefault="00FA4445" w:rsidP="006B4B01"/>
    <w:p w14:paraId="1092F169" w14:textId="43E539F1" w:rsidR="00424850" w:rsidRDefault="00424850"/>
    <w:p w14:paraId="7ABAF761" w14:textId="4A3AFC6B" w:rsidR="00424850" w:rsidRDefault="00424850" w:rsidP="00424850">
      <w:pPr>
        <w:pStyle w:val="Heading2"/>
      </w:pPr>
      <w:r>
        <w:lastRenderedPageBreak/>
        <w:t>Bibliography</w:t>
      </w:r>
    </w:p>
    <w:p w14:paraId="7CDCA4A2" w14:textId="0EEF48CC" w:rsidR="00424850" w:rsidRDefault="00424850" w:rsidP="00424850">
      <w:r>
        <w:t>Shaw</w:t>
      </w:r>
      <w:r w:rsidRPr="00424850">
        <w:t xml:space="preserve">, I. (2003). </w:t>
      </w:r>
      <w:r w:rsidRPr="00B23170">
        <w:rPr>
          <w:i/>
          <w:iCs/>
        </w:rPr>
        <w:t>The Oxford history of ancient Egypt</w:t>
      </w:r>
      <w:r w:rsidRPr="00424850">
        <w:t>. Oxford, Oxford University Press.</w:t>
      </w:r>
    </w:p>
    <w:p w14:paraId="0CC87AB3" w14:textId="5B8BEE2F" w:rsidR="00424850" w:rsidRDefault="00424850" w:rsidP="00424850">
      <w:r>
        <w:t xml:space="preserve">Image from </w:t>
      </w:r>
      <w:r w:rsidRPr="00424850">
        <w:t xml:space="preserve">Metmuseum.org. 2020. </w:t>
      </w:r>
      <w:r w:rsidRPr="00B23170">
        <w:rPr>
          <w:i/>
          <w:iCs/>
        </w:rPr>
        <w:t>Middle Kingdom Statuette</w:t>
      </w:r>
      <w:r w:rsidRPr="00424850">
        <w:t>. [online] Available at: &lt;https://www.metmuseum.org/art/collection/search/552927&gt; [Accessed 25 March 2020].</w:t>
      </w:r>
    </w:p>
    <w:p w14:paraId="2452C4E2" w14:textId="14BF3115" w:rsidR="00424850" w:rsidRDefault="003E4E1A" w:rsidP="00424850">
      <w:proofErr w:type="spellStart"/>
      <w:r>
        <w:t>Lichtheim</w:t>
      </w:r>
      <w:proofErr w:type="spellEnd"/>
      <w:r>
        <w:t xml:space="preserve">, M. (1975). </w:t>
      </w:r>
      <w:r w:rsidRPr="003E4E1A">
        <w:rPr>
          <w:i/>
          <w:iCs/>
        </w:rPr>
        <w:t>Ancient Egyptian Literature: The Old and Middle Kingdoms</w:t>
      </w:r>
      <w:r>
        <w:rPr>
          <w:i/>
          <w:iCs/>
        </w:rPr>
        <w:t xml:space="preserve">. </w:t>
      </w:r>
      <w:r>
        <w:t>Berkeley, University Of California Press.</w:t>
      </w:r>
    </w:p>
    <w:p w14:paraId="05CAA79B" w14:textId="254CE976" w:rsidR="004F741A" w:rsidRDefault="004F741A" w:rsidP="00424850">
      <w:proofErr w:type="spellStart"/>
      <w:r>
        <w:t>Hikade</w:t>
      </w:r>
      <w:proofErr w:type="spellEnd"/>
      <w:r>
        <w:t xml:space="preserve">, T. (2012). </w:t>
      </w:r>
      <w:r w:rsidRPr="004F741A">
        <w:rPr>
          <w:i/>
          <w:iCs/>
        </w:rPr>
        <w:t>“Egypt and the Near East”, in. D. POTTS (ED), A Companion to the Archaeology of the Ancient Near East</w:t>
      </w:r>
      <w:r>
        <w:rPr>
          <w:i/>
          <w:iCs/>
        </w:rPr>
        <w:t xml:space="preserve">. </w:t>
      </w:r>
      <w:r>
        <w:t>Sydney,</w:t>
      </w:r>
      <w:r w:rsidR="00440A3B">
        <w:t xml:space="preserve"> University of Sydney.</w:t>
      </w:r>
    </w:p>
    <w:p w14:paraId="12A51D9A" w14:textId="6548AB35" w:rsidR="00F61AD3" w:rsidRPr="00F61AD3" w:rsidRDefault="00F61AD3" w:rsidP="00424850">
      <w:r>
        <w:t xml:space="preserve">Fischer H, G. (1975). </w:t>
      </w:r>
      <w:bookmarkStart w:id="1" w:name="_Hlk36577054"/>
      <w:r w:rsidRPr="00F61AD3">
        <w:rPr>
          <w:i/>
          <w:iCs/>
        </w:rPr>
        <w:t>The Mark Of A Second Hand On Egyptian Antiquities</w:t>
      </w:r>
      <w:bookmarkEnd w:id="1"/>
      <w:r>
        <w:rPr>
          <w:i/>
          <w:iCs/>
        </w:rPr>
        <w:t xml:space="preserve">. </w:t>
      </w:r>
      <w:r>
        <w:t xml:space="preserve">New York, The metropolitan Museum of Art </w:t>
      </w:r>
    </w:p>
    <w:p w14:paraId="63F37A04" w14:textId="0E9CC598" w:rsidR="00DA35F0" w:rsidRDefault="00DA35F0" w:rsidP="00424850"/>
    <w:p w14:paraId="2F551F67" w14:textId="77777777" w:rsidR="00DA35F0" w:rsidRPr="00424850" w:rsidRDefault="00DA35F0" w:rsidP="00424850"/>
    <w:sectPr w:rsidR="00DA35F0" w:rsidRPr="004248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B83"/>
    <w:rsid w:val="0003127F"/>
    <w:rsid w:val="00112469"/>
    <w:rsid w:val="00154AF4"/>
    <w:rsid w:val="001F5574"/>
    <w:rsid w:val="00216A00"/>
    <w:rsid w:val="002B1986"/>
    <w:rsid w:val="003C79D8"/>
    <w:rsid w:val="003E4E1A"/>
    <w:rsid w:val="00424850"/>
    <w:rsid w:val="00440A3B"/>
    <w:rsid w:val="004D3EF6"/>
    <w:rsid w:val="004E4238"/>
    <w:rsid w:val="004F741A"/>
    <w:rsid w:val="00510C85"/>
    <w:rsid w:val="00520135"/>
    <w:rsid w:val="005300AE"/>
    <w:rsid w:val="00567FA7"/>
    <w:rsid w:val="006A452F"/>
    <w:rsid w:val="006B4B01"/>
    <w:rsid w:val="006B6F77"/>
    <w:rsid w:val="006F7750"/>
    <w:rsid w:val="00712FF7"/>
    <w:rsid w:val="0072359B"/>
    <w:rsid w:val="00736B83"/>
    <w:rsid w:val="007C4043"/>
    <w:rsid w:val="00926BB7"/>
    <w:rsid w:val="00993F82"/>
    <w:rsid w:val="00A8531F"/>
    <w:rsid w:val="00AD6010"/>
    <w:rsid w:val="00B16B04"/>
    <w:rsid w:val="00B23170"/>
    <w:rsid w:val="00BB783F"/>
    <w:rsid w:val="00C45158"/>
    <w:rsid w:val="00C92012"/>
    <w:rsid w:val="00CE06E5"/>
    <w:rsid w:val="00D12B83"/>
    <w:rsid w:val="00D24D00"/>
    <w:rsid w:val="00DA35F0"/>
    <w:rsid w:val="00E11702"/>
    <w:rsid w:val="00F34A1E"/>
    <w:rsid w:val="00F475FF"/>
    <w:rsid w:val="00F61AD3"/>
    <w:rsid w:val="00F67504"/>
    <w:rsid w:val="00FA4445"/>
    <w:rsid w:val="00FA5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CD3E7"/>
  <w15:chartTrackingRefBased/>
  <w15:docId w15:val="{2B642203-39FE-4B49-B7DB-5ECD0D5B5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B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4B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B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B4B0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1437</TotalTime>
  <Pages>3</Pages>
  <Words>926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French (1905094)</dc:creator>
  <cp:keywords/>
  <dc:description/>
  <cp:lastModifiedBy>Matthew French (1905094)</cp:lastModifiedBy>
  <cp:revision>18</cp:revision>
  <dcterms:created xsi:type="dcterms:W3CDTF">2020-03-28T17:05:00Z</dcterms:created>
  <dcterms:modified xsi:type="dcterms:W3CDTF">2020-04-01T14:15:00Z</dcterms:modified>
</cp:coreProperties>
</file>