
<file path=[Content_Types].xml><?xml version="1.0" encoding="utf-8"?>
<Types xmlns="http://schemas.openxmlformats.org/package/2006/content-types">
  <Default Extension="docx" ContentType="application/vnd.openxmlformats-officedocument.wordprocessingml.documen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339ED4" w14:textId="77777777" w:rsidR="00924347" w:rsidRPr="000B2973" w:rsidRDefault="00924347" w:rsidP="00924347">
      <w:pPr>
        <w:spacing w:after="0" w:line="240" w:lineRule="auto"/>
        <w:jc w:val="center"/>
        <w:rPr>
          <w:rFonts w:ascii="Times New Roman" w:eastAsia="Times New Roman" w:hAnsi="Times New Roman" w:cs="Times New Roman"/>
          <w:b/>
          <w:sz w:val="28"/>
          <w:szCs w:val="28"/>
          <w:lang w:eastAsia="en-GB"/>
        </w:rPr>
      </w:pPr>
      <w:r w:rsidRPr="000B2973">
        <w:rPr>
          <w:rFonts w:ascii="Times New Roman" w:eastAsia="Times New Roman" w:hAnsi="Times New Roman" w:cs="Times New Roman"/>
          <w:b/>
          <w:sz w:val="28"/>
          <w:szCs w:val="28"/>
          <w:lang w:eastAsia="en-GB"/>
        </w:rPr>
        <w:t>Part 2</w:t>
      </w:r>
    </w:p>
    <w:p w14:paraId="6D60E3CF" w14:textId="77777777" w:rsidR="00924347" w:rsidRDefault="00924347" w:rsidP="00924347">
      <w:pPr>
        <w:spacing w:after="0" w:line="240" w:lineRule="auto"/>
        <w:jc w:val="center"/>
        <w:rPr>
          <w:rFonts w:ascii="Times New Roman" w:eastAsia="Times New Roman" w:hAnsi="Times New Roman" w:cs="Times New Roman"/>
          <w:b/>
          <w:sz w:val="24"/>
          <w:szCs w:val="24"/>
          <w:lang w:eastAsia="en-GB"/>
        </w:rPr>
      </w:pPr>
    </w:p>
    <w:p w14:paraId="39107044" w14:textId="77777777" w:rsidR="00924347" w:rsidRDefault="00924347" w:rsidP="00924347">
      <w:pPr>
        <w:spacing w:after="0" w:line="240" w:lineRule="auto"/>
        <w:jc w:val="center"/>
        <w:rPr>
          <w:rFonts w:ascii="Times New Roman" w:eastAsia="Times New Roman" w:hAnsi="Times New Roman" w:cs="Times New Roman"/>
          <w:b/>
          <w:sz w:val="24"/>
          <w:szCs w:val="24"/>
          <w:lang w:eastAsia="en-GB"/>
        </w:rPr>
      </w:pPr>
      <w:r w:rsidRPr="001C0F7D">
        <w:rPr>
          <w:rFonts w:ascii="Times New Roman" w:eastAsia="Times New Roman" w:hAnsi="Times New Roman" w:cs="Times New Roman"/>
          <w:b/>
          <w:sz w:val="24"/>
          <w:szCs w:val="24"/>
          <w:lang w:eastAsia="en-GB"/>
        </w:rPr>
        <w:t xml:space="preserve">“An evaluation of data completeness in electronic patient records </w:t>
      </w:r>
    </w:p>
    <w:p w14:paraId="46AFA21E" w14:textId="77777777" w:rsidR="00924347" w:rsidRDefault="00924347" w:rsidP="00924347">
      <w:pPr>
        <w:spacing w:after="0" w:line="240" w:lineRule="auto"/>
        <w:jc w:val="center"/>
        <w:rPr>
          <w:rFonts w:ascii="Times New Roman" w:eastAsia="Times New Roman" w:hAnsi="Times New Roman" w:cs="Times New Roman"/>
          <w:b/>
          <w:sz w:val="24"/>
          <w:szCs w:val="24"/>
          <w:lang w:eastAsia="en-GB"/>
        </w:rPr>
      </w:pPr>
      <w:r w:rsidRPr="001C0F7D">
        <w:rPr>
          <w:rFonts w:ascii="Times New Roman" w:eastAsia="Times New Roman" w:hAnsi="Times New Roman" w:cs="Times New Roman"/>
          <w:b/>
          <w:sz w:val="24"/>
          <w:szCs w:val="24"/>
          <w:lang w:eastAsia="en-GB"/>
        </w:rPr>
        <w:t xml:space="preserve">within </w:t>
      </w:r>
      <w:r>
        <w:rPr>
          <w:rFonts w:ascii="Times New Roman" w:eastAsia="Times New Roman" w:hAnsi="Times New Roman" w:cs="Times New Roman"/>
          <w:b/>
          <w:sz w:val="24"/>
          <w:szCs w:val="24"/>
          <w:lang w:eastAsia="en-GB"/>
        </w:rPr>
        <w:t>Swansea Bay University Health Board</w:t>
      </w:r>
      <w:r w:rsidRPr="001C0F7D">
        <w:rPr>
          <w:rFonts w:ascii="Times New Roman" w:eastAsia="Times New Roman" w:hAnsi="Times New Roman" w:cs="Times New Roman"/>
          <w:b/>
          <w:sz w:val="24"/>
          <w:szCs w:val="24"/>
          <w:lang w:eastAsia="en-GB"/>
        </w:rPr>
        <w:t xml:space="preserve"> </w:t>
      </w:r>
      <w:r>
        <w:rPr>
          <w:rFonts w:ascii="Times New Roman" w:eastAsia="Times New Roman" w:hAnsi="Times New Roman" w:cs="Times New Roman"/>
          <w:b/>
          <w:sz w:val="24"/>
          <w:szCs w:val="24"/>
          <w:lang w:eastAsia="en-GB"/>
        </w:rPr>
        <w:t>S</w:t>
      </w:r>
      <w:r w:rsidRPr="001C0F7D">
        <w:rPr>
          <w:rFonts w:ascii="Times New Roman" w:eastAsia="Times New Roman" w:hAnsi="Times New Roman" w:cs="Times New Roman"/>
          <w:b/>
          <w:sz w:val="24"/>
          <w:szCs w:val="24"/>
          <w:lang w:eastAsia="en-GB"/>
        </w:rPr>
        <w:t xml:space="preserve">exual </w:t>
      </w:r>
      <w:r>
        <w:rPr>
          <w:rFonts w:ascii="Times New Roman" w:eastAsia="Times New Roman" w:hAnsi="Times New Roman" w:cs="Times New Roman"/>
          <w:b/>
          <w:sz w:val="24"/>
          <w:szCs w:val="24"/>
          <w:lang w:eastAsia="en-GB"/>
        </w:rPr>
        <w:t>H</w:t>
      </w:r>
      <w:r w:rsidRPr="001C0F7D">
        <w:rPr>
          <w:rFonts w:ascii="Times New Roman" w:eastAsia="Times New Roman" w:hAnsi="Times New Roman" w:cs="Times New Roman"/>
          <w:b/>
          <w:sz w:val="24"/>
          <w:szCs w:val="24"/>
          <w:lang w:eastAsia="en-GB"/>
        </w:rPr>
        <w:t xml:space="preserve">ealth </w:t>
      </w:r>
      <w:r>
        <w:rPr>
          <w:rFonts w:ascii="Times New Roman" w:eastAsia="Times New Roman" w:hAnsi="Times New Roman" w:cs="Times New Roman"/>
          <w:b/>
          <w:sz w:val="24"/>
          <w:szCs w:val="24"/>
          <w:lang w:eastAsia="en-GB"/>
        </w:rPr>
        <w:t>S</w:t>
      </w:r>
      <w:r w:rsidRPr="001C0F7D">
        <w:rPr>
          <w:rFonts w:ascii="Times New Roman" w:eastAsia="Times New Roman" w:hAnsi="Times New Roman" w:cs="Times New Roman"/>
          <w:b/>
          <w:sz w:val="24"/>
          <w:szCs w:val="24"/>
          <w:lang w:eastAsia="en-GB"/>
        </w:rPr>
        <w:t>ervice”</w:t>
      </w:r>
    </w:p>
    <w:p w14:paraId="5AEB2254" w14:textId="77777777" w:rsidR="00924347" w:rsidRDefault="00924347" w:rsidP="00924347">
      <w:pPr>
        <w:spacing w:after="0" w:line="240" w:lineRule="auto"/>
        <w:jc w:val="center"/>
        <w:rPr>
          <w:rFonts w:ascii="Times New Roman" w:eastAsia="Times New Roman" w:hAnsi="Times New Roman" w:cs="Times New Roman"/>
          <w:b/>
          <w:sz w:val="24"/>
          <w:szCs w:val="24"/>
          <w:lang w:eastAsia="en-GB"/>
        </w:rPr>
      </w:pPr>
    </w:p>
    <w:p w14:paraId="0990CAA8" w14:textId="77777777" w:rsidR="00924347" w:rsidRDefault="00924347" w:rsidP="00924347">
      <w:pPr>
        <w:spacing w:after="0" w:line="240" w:lineRule="auto"/>
        <w:jc w:val="center"/>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 xml:space="preserve">Word Count: </w:t>
      </w:r>
      <w:r w:rsidR="00752A3F">
        <w:rPr>
          <w:rFonts w:ascii="Times New Roman" w:eastAsia="Times New Roman" w:hAnsi="Times New Roman" w:cs="Times New Roman"/>
          <w:sz w:val="24"/>
          <w:szCs w:val="24"/>
          <w:lang w:eastAsia="en-GB"/>
        </w:rPr>
        <w:t>4894</w:t>
      </w:r>
    </w:p>
    <w:p w14:paraId="12BB5637" w14:textId="77777777" w:rsidR="00924347" w:rsidRDefault="00924347" w:rsidP="00924347">
      <w:pPr>
        <w:spacing w:after="0" w:line="240" w:lineRule="auto"/>
        <w:jc w:val="center"/>
        <w:rPr>
          <w:rFonts w:ascii="Times New Roman" w:eastAsia="Times New Roman" w:hAnsi="Times New Roman" w:cs="Times New Roman"/>
          <w:b/>
          <w:sz w:val="24"/>
          <w:szCs w:val="24"/>
          <w:lang w:eastAsia="en-GB"/>
        </w:rPr>
      </w:pPr>
    </w:p>
    <w:p w14:paraId="37E744E3" w14:textId="77777777" w:rsidR="00924347" w:rsidRPr="001C0F7D" w:rsidRDefault="00924347" w:rsidP="00924347">
      <w:pPr>
        <w:spacing w:after="0" w:line="240" w:lineRule="auto"/>
        <w:jc w:val="center"/>
        <w:rPr>
          <w:rFonts w:ascii="Times New Roman" w:eastAsia="Times New Roman" w:hAnsi="Times New Roman" w:cs="Times New Roman"/>
          <w:b/>
          <w:sz w:val="24"/>
          <w:szCs w:val="24"/>
          <w:lang w:eastAsia="en-GB"/>
        </w:rPr>
      </w:pPr>
    </w:p>
    <w:p w14:paraId="3E4A8830" w14:textId="77777777" w:rsidR="00924347" w:rsidRPr="00C61F15" w:rsidRDefault="00924347" w:rsidP="00924347">
      <w:pPr>
        <w:pStyle w:val="ListParagraph"/>
        <w:spacing w:line="276" w:lineRule="auto"/>
        <w:ind w:left="501"/>
        <w:jc w:val="center"/>
        <w:rPr>
          <w:b/>
          <w:sz w:val="28"/>
          <w:szCs w:val="28"/>
        </w:rPr>
      </w:pPr>
      <w:r w:rsidRPr="00C61F15">
        <w:rPr>
          <w:b/>
          <w:sz w:val="28"/>
          <w:szCs w:val="28"/>
        </w:rPr>
        <w:t>Context &amp; Scope of Project</w:t>
      </w:r>
    </w:p>
    <w:p w14:paraId="4C577D77" w14:textId="77777777" w:rsidR="00924347" w:rsidRDefault="00924347" w:rsidP="00924347">
      <w:pPr>
        <w:spacing w:before="100" w:beforeAutospacing="1" w:after="100" w:afterAutospacing="1" w:line="24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Integrated Sexual H</w:t>
      </w:r>
      <w:r w:rsidRPr="00F20468">
        <w:rPr>
          <w:rFonts w:ascii="Times New Roman" w:eastAsia="Times New Roman" w:hAnsi="Times New Roman" w:cs="Times New Roman"/>
          <w:sz w:val="24"/>
          <w:szCs w:val="24"/>
          <w:lang w:eastAsia="en-GB"/>
        </w:rPr>
        <w:t>ealth</w:t>
      </w:r>
      <w:r>
        <w:rPr>
          <w:rFonts w:ascii="Times New Roman" w:eastAsia="Times New Roman" w:hAnsi="Times New Roman" w:cs="Times New Roman"/>
          <w:sz w:val="24"/>
          <w:szCs w:val="24"/>
          <w:lang w:eastAsia="en-GB"/>
        </w:rPr>
        <w:t xml:space="preserve"> (ISH)</w:t>
      </w:r>
      <w:r w:rsidRPr="00F20468">
        <w:rPr>
          <w:rFonts w:ascii="Times New Roman" w:eastAsia="Times New Roman" w:hAnsi="Times New Roman" w:cs="Times New Roman"/>
          <w:sz w:val="24"/>
          <w:szCs w:val="24"/>
          <w:lang w:eastAsia="en-GB"/>
        </w:rPr>
        <w:t xml:space="preserve"> services are a fundam</w:t>
      </w:r>
      <w:r>
        <w:rPr>
          <w:rFonts w:ascii="Times New Roman" w:eastAsia="Times New Roman" w:hAnsi="Times New Roman" w:cs="Times New Roman"/>
          <w:sz w:val="24"/>
          <w:szCs w:val="24"/>
          <w:lang w:eastAsia="en-GB"/>
        </w:rPr>
        <w:t xml:space="preserve">ental component of public health, </w:t>
      </w:r>
      <w:r w:rsidRPr="00F20468">
        <w:rPr>
          <w:rFonts w:ascii="Times New Roman" w:eastAsia="Times New Roman" w:hAnsi="Times New Roman" w:cs="Times New Roman"/>
          <w:sz w:val="24"/>
          <w:szCs w:val="24"/>
          <w:lang w:eastAsia="en-GB"/>
        </w:rPr>
        <w:t xml:space="preserve">providing prevention, diagnosis and management of sexually transmitted infections (STIs), alongside contraception, vaccination and health promotion. These services often </w:t>
      </w:r>
      <w:r>
        <w:rPr>
          <w:rFonts w:ascii="Times New Roman" w:eastAsia="Times New Roman" w:hAnsi="Times New Roman" w:cs="Times New Roman"/>
          <w:sz w:val="24"/>
          <w:szCs w:val="24"/>
          <w:lang w:eastAsia="en-GB"/>
        </w:rPr>
        <w:t>provide care for</w:t>
      </w:r>
      <w:r w:rsidRPr="00F20468">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people</w:t>
      </w:r>
      <w:r w:rsidRPr="00F20468">
        <w:rPr>
          <w:rFonts w:ascii="Times New Roman" w:eastAsia="Times New Roman" w:hAnsi="Times New Roman" w:cs="Times New Roman"/>
          <w:sz w:val="24"/>
          <w:szCs w:val="24"/>
          <w:lang w:eastAsia="en-GB"/>
        </w:rPr>
        <w:t xml:space="preserve"> who may not routinely engage with other healthcare settings</w:t>
      </w:r>
      <w:r>
        <w:rPr>
          <w:rFonts w:ascii="Times New Roman" w:eastAsia="Times New Roman" w:hAnsi="Times New Roman" w:cs="Times New Roman"/>
          <w:sz w:val="24"/>
          <w:szCs w:val="24"/>
          <w:lang w:eastAsia="en-GB"/>
        </w:rPr>
        <w:t>. This can</w:t>
      </w:r>
      <w:r w:rsidRPr="00F20468">
        <w:rPr>
          <w:rFonts w:ascii="Times New Roman" w:eastAsia="Times New Roman" w:hAnsi="Times New Roman" w:cs="Times New Roman"/>
          <w:sz w:val="24"/>
          <w:szCs w:val="24"/>
          <w:lang w:eastAsia="en-GB"/>
        </w:rPr>
        <w:t xml:space="preserve"> includ</w:t>
      </w:r>
      <w:r>
        <w:rPr>
          <w:rFonts w:ascii="Times New Roman" w:eastAsia="Times New Roman" w:hAnsi="Times New Roman" w:cs="Times New Roman"/>
          <w:sz w:val="24"/>
          <w:szCs w:val="24"/>
          <w:lang w:eastAsia="en-GB"/>
        </w:rPr>
        <w:t>e</w:t>
      </w:r>
      <w:r w:rsidRPr="00F20468">
        <w:rPr>
          <w:rFonts w:ascii="Times New Roman" w:eastAsia="Times New Roman" w:hAnsi="Times New Roman" w:cs="Times New Roman"/>
          <w:sz w:val="24"/>
          <w:szCs w:val="24"/>
          <w:lang w:eastAsia="en-GB"/>
        </w:rPr>
        <w:t xml:space="preserve"> young people, men who have sex with men (MSM) and </w:t>
      </w:r>
      <w:r>
        <w:rPr>
          <w:rFonts w:ascii="Times New Roman" w:eastAsia="Times New Roman" w:hAnsi="Times New Roman" w:cs="Times New Roman"/>
          <w:sz w:val="24"/>
          <w:szCs w:val="24"/>
          <w:lang w:eastAsia="en-GB"/>
        </w:rPr>
        <w:t xml:space="preserve">other </w:t>
      </w:r>
      <w:r w:rsidRPr="00F20468">
        <w:rPr>
          <w:rFonts w:ascii="Times New Roman" w:eastAsia="Times New Roman" w:hAnsi="Times New Roman" w:cs="Times New Roman"/>
          <w:sz w:val="24"/>
          <w:szCs w:val="24"/>
          <w:lang w:eastAsia="en-GB"/>
        </w:rPr>
        <w:t>marginalised groups</w:t>
      </w:r>
      <w:r>
        <w:rPr>
          <w:rFonts w:ascii="Times New Roman" w:eastAsia="Times New Roman" w:hAnsi="Times New Roman" w:cs="Times New Roman"/>
          <w:sz w:val="24"/>
          <w:szCs w:val="24"/>
          <w:lang w:eastAsia="en-GB"/>
        </w:rPr>
        <w:t xml:space="preserve"> (Kirby et al 2020)</w:t>
      </w:r>
      <w:r w:rsidRPr="00F20468">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Sexual health disproportionately affects these marginalised groups, who may be reluctant to provide identifiable or sensitive information, particularly in settings where issues such as sex work are illegal (Gibbs et al 2022).</w:t>
      </w:r>
    </w:p>
    <w:p w14:paraId="53752AE0" w14:textId="4574DB51" w:rsidR="00924347" w:rsidRDefault="00924347" w:rsidP="00924347">
      <w:pPr>
        <w:spacing w:before="100" w:beforeAutospacing="1" w:after="100" w:afterAutospacing="1" w:line="24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Up to date and accurate record keeping is an important aspect of clinical risk management (FSRH 2019). It ensures that clinicians have access to information relevant to that episode of care. </w:t>
      </w:r>
      <w:r w:rsidRPr="00F20468">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 xml:space="preserve">Additionally, in the event of complaints or incidents, </w:t>
      </w:r>
      <w:r w:rsidR="000C4596">
        <w:rPr>
          <w:rFonts w:ascii="Times New Roman" w:eastAsia="Times New Roman" w:hAnsi="Times New Roman" w:cs="Times New Roman"/>
          <w:sz w:val="24"/>
          <w:szCs w:val="24"/>
          <w:lang w:eastAsia="en-GB"/>
        </w:rPr>
        <w:t xml:space="preserve">clear </w:t>
      </w:r>
      <w:r>
        <w:rPr>
          <w:rFonts w:ascii="Times New Roman" w:eastAsia="Times New Roman" w:hAnsi="Times New Roman" w:cs="Times New Roman"/>
          <w:sz w:val="24"/>
          <w:szCs w:val="24"/>
          <w:lang w:eastAsia="en-GB"/>
        </w:rPr>
        <w:t>documentation can support early resolution, and can support audit, commissioning and research (FSRH 2019).</w:t>
      </w:r>
    </w:p>
    <w:p w14:paraId="50FABBC0" w14:textId="77777777" w:rsidR="00924347" w:rsidRDefault="00924347" w:rsidP="00924347">
      <w:pPr>
        <w:spacing w:before="100" w:beforeAutospacing="1" w:after="100" w:afterAutospacing="1" w:line="240" w:lineRule="auto"/>
        <w:jc w:val="both"/>
        <w:rPr>
          <w:rFonts w:ascii="Times New Roman" w:eastAsia="Times New Roman" w:hAnsi="Times New Roman" w:cs="Times New Roman"/>
          <w:sz w:val="24"/>
          <w:szCs w:val="24"/>
          <w:lang w:eastAsia="en-GB"/>
        </w:rPr>
      </w:pPr>
      <w:r w:rsidRPr="00F20468">
        <w:rPr>
          <w:rFonts w:ascii="Times New Roman" w:eastAsia="Times New Roman" w:hAnsi="Times New Roman" w:cs="Times New Roman"/>
          <w:sz w:val="24"/>
          <w:szCs w:val="24"/>
          <w:lang w:eastAsia="en-GB"/>
        </w:rPr>
        <w:t>In recent years, healthcare delivery across the United Kingdom has undergone si</w:t>
      </w:r>
      <w:r>
        <w:rPr>
          <w:rFonts w:ascii="Times New Roman" w:eastAsia="Times New Roman" w:hAnsi="Times New Roman" w:cs="Times New Roman"/>
          <w:sz w:val="24"/>
          <w:szCs w:val="24"/>
          <w:lang w:eastAsia="en-GB"/>
        </w:rPr>
        <w:t xml:space="preserve">gnificant change </w:t>
      </w:r>
      <w:r w:rsidRPr="00384ED5">
        <w:rPr>
          <w:rFonts w:ascii="Times New Roman" w:hAnsi="Times New Roman" w:cs="Times New Roman"/>
          <w:sz w:val="24"/>
          <w:szCs w:val="24"/>
        </w:rPr>
        <w:t>driven by strategies focused on digital transformation. The NHS ‘Long-Term Plan’ (2019), the World Health Organisation’s (WHO) global digital health strategy (2021), and the Welsh Government’s ‘</w:t>
      </w:r>
      <w:r w:rsidRPr="003E10C3">
        <w:rPr>
          <w:rStyle w:val="Emphasis"/>
          <w:rFonts w:ascii="Times New Roman" w:hAnsi="Times New Roman" w:cs="Times New Roman"/>
          <w:i w:val="0"/>
          <w:sz w:val="24"/>
          <w:szCs w:val="24"/>
        </w:rPr>
        <w:t>Digital Strategy for Wales</w:t>
      </w:r>
      <w:r w:rsidRPr="00384ED5">
        <w:rPr>
          <w:rFonts w:ascii="Times New Roman" w:hAnsi="Times New Roman" w:cs="Times New Roman"/>
          <w:sz w:val="24"/>
          <w:szCs w:val="24"/>
        </w:rPr>
        <w:t>’ (2021)</w:t>
      </w:r>
      <w:r>
        <w:rPr>
          <w:rFonts w:ascii="Times New Roman" w:hAnsi="Times New Roman" w:cs="Times New Roman"/>
          <w:sz w:val="24"/>
          <w:szCs w:val="24"/>
        </w:rPr>
        <w:t xml:space="preserve"> </w:t>
      </w:r>
      <w:r w:rsidRPr="00272674">
        <w:rPr>
          <w:rFonts w:ascii="Times New Roman" w:hAnsi="Times New Roman" w:cs="Times New Roman"/>
          <w:sz w:val="24"/>
          <w:szCs w:val="24"/>
        </w:rPr>
        <w:t xml:space="preserve">all promote online access, remote consultations and data-driven tools to manage </w:t>
      </w:r>
      <w:r w:rsidR="00FE1063">
        <w:rPr>
          <w:rFonts w:ascii="Times New Roman" w:hAnsi="Times New Roman" w:cs="Times New Roman"/>
          <w:sz w:val="24"/>
          <w:szCs w:val="24"/>
        </w:rPr>
        <w:t>increased</w:t>
      </w:r>
      <w:r w:rsidRPr="00272674">
        <w:rPr>
          <w:rFonts w:ascii="Times New Roman" w:hAnsi="Times New Roman" w:cs="Times New Roman"/>
          <w:sz w:val="24"/>
          <w:szCs w:val="24"/>
        </w:rPr>
        <w:t xml:space="preserve"> demand and workforce pressures</w:t>
      </w:r>
      <w:r>
        <w:rPr>
          <w:rFonts w:ascii="Times New Roman" w:hAnsi="Times New Roman" w:cs="Times New Roman"/>
          <w:sz w:val="24"/>
          <w:szCs w:val="24"/>
        </w:rPr>
        <w:t xml:space="preserve"> (Williams 2026)</w:t>
      </w:r>
      <w:r w:rsidRPr="00272674">
        <w:rPr>
          <w:rFonts w:ascii="Times New Roman" w:hAnsi="Times New Roman" w:cs="Times New Roman"/>
          <w:sz w:val="24"/>
          <w:szCs w:val="24"/>
        </w:rPr>
        <w:t xml:space="preserve">. Many areas of healthcare are now seeing the introduction of electronic patient records (EPR) replace traditional paper based records. In 2022, Swansea Bay University Health Board’s (SBUHB) ISH department introduced EPR, </w:t>
      </w:r>
      <w:r w:rsidRPr="00272674">
        <w:rPr>
          <w:rFonts w:ascii="Times New Roman" w:eastAsia="Times New Roman" w:hAnsi="Times New Roman" w:cs="Times New Roman"/>
          <w:sz w:val="24"/>
          <w:szCs w:val="24"/>
          <w:lang w:eastAsia="en-GB"/>
        </w:rPr>
        <w:t>intended to improve ac</w:t>
      </w:r>
      <w:r w:rsidRPr="00272674">
        <w:rPr>
          <w:rFonts w:ascii="Times New Roman" w:hAnsi="Times New Roman" w:cs="Times New Roman"/>
          <w:sz w:val="24"/>
          <w:szCs w:val="24"/>
        </w:rPr>
        <w:t>cessibility</w:t>
      </w:r>
      <w:r>
        <w:rPr>
          <w:rFonts w:ascii="Times New Roman" w:hAnsi="Times New Roman" w:cs="Times New Roman"/>
          <w:sz w:val="24"/>
          <w:szCs w:val="24"/>
        </w:rPr>
        <w:t xml:space="preserve"> and</w:t>
      </w:r>
      <w:r w:rsidRPr="00272674">
        <w:rPr>
          <w:rFonts w:ascii="Times New Roman" w:hAnsi="Times New Roman" w:cs="Times New Roman"/>
          <w:sz w:val="24"/>
          <w:szCs w:val="24"/>
        </w:rPr>
        <w:t xml:space="preserve"> continuity of care. The EPR system </w:t>
      </w:r>
      <w:r w:rsidRPr="00272674">
        <w:rPr>
          <w:rFonts w:ascii="Times New Roman" w:eastAsia="Times New Roman" w:hAnsi="Times New Roman" w:cs="Times New Roman"/>
          <w:sz w:val="24"/>
          <w:szCs w:val="24"/>
          <w:lang w:eastAsia="en-GB"/>
        </w:rPr>
        <w:t>captures a wide range of sensitive information, including sexual behaviours, partner history, safeguarding concerns and infection status.</w:t>
      </w:r>
    </w:p>
    <w:p w14:paraId="3E018F90" w14:textId="77777777" w:rsidR="00924347" w:rsidRPr="00F20468" w:rsidRDefault="00924347" w:rsidP="00924347">
      <w:pPr>
        <w:spacing w:before="100" w:beforeAutospacing="1" w:after="100" w:afterAutospacing="1" w:line="240" w:lineRule="auto"/>
        <w:jc w:val="both"/>
        <w:rPr>
          <w:rFonts w:ascii="Times New Roman" w:eastAsia="Times New Roman" w:hAnsi="Times New Roman" w:cs="Times New Roman"/>
          <w:sz w:val="24"/>
          <w:szCs w:val="24"/>
          <w:lang w:eastAsia="en-GB"/>
        </w:rPr>
      </w:pPr>
      <w:r w:rsidRPr="00F20468">
        <w:rPr>
          <w:rFonts w:ascii="Times New Roman" w:eastAsia="Times New Roman" w:hAnsi="Times New Roman" w:cs="Times New Roman"/>
          <w:sz w:val="24"/>
          <w:szCs w:val="24"/>
          <w:lang w:eastAsia="en-GB"/>
        </w:rPr>
        <w:t xml:space="preserve">Despite these advantages, </w:t>
      </w:r>
      <w:r w:rsidR="00FE1063">
        <w:rPr>
          <w:rFonts w:ascii="Times New Roman" w:eastAsia="Times New Roman" w:hAnsi="Times New Roman" w:cs="Times New Roman"/>
          <w:sz w:val="24"/>
          <w:szCs w:val="24"/>
          <w:lang w:eastAsia="en-GB"/>
        </w:rPr>
        <w:t xml:space="preserve">there remains </w:t>
      </w:r>
      <w:r w:rsidRPr="00F20468">
        <w:rPr>
          <w:rFonts w:ascii="Times New Roman" w:eastAsia="Times New Roman" w:hAnsi="Times New Roman" w:cs="Times New Roman"/>
          <w:sz w:val="24"/>
          <w:szCs w:val="24"/>
          <w:lang w:eastAsia="en-GB"/>
        </w:rPr>
        <w:t xml:space="preserve">concerns regarding the </w:t>
      </w:r>
      <w:r w:rsidRPr="00272674">
        <w:rPr>
          <w:rFonts w:ascii="Times New Roman" w:eastAsia="Times New Roman" w:hAnsi="Times New Roman" w:cs="Times New Roman"/>
          <w:bCs/>
          <w:sz w:val="24"/>
          <w:szCs w:val="24"/>
          <w:lang w:eastAsia="en-GB"/>
        </w:rPr>
        <w:t>quality and completeness of data recorded within EPR systems</w:t>
      </w:r>
      <w:r w:rsidRPr="00F20468">
        <w:rPr>
          <w:rFonts w:ascii="Times New Roman" w:eastAsia="Times New Roman" w:hAnsi="Times New Roman" w:cs="Times New Roman"/>
          <w:sz w:val="24"/>
          <w:szCs w:val="24"/>
          <w:lang w:eastAsia="en-GB"/>
        </w:rPr>
        <w:t xml:space="preserve">. Data completeness refers to the extent to which all required fields within a patient record are accurately </w:t>
      </w:r>
      <w:r>
        <w:rPr>
          <w:rFonts w:ascii="Times New Roman" w:eastAsia="Times New Roman" w:hAnsi="Times New Roman" w:cs="Times New Roman"/>
          <w:sz w:val="24"/>
          <w:szCs w:val="24"/>
          <w:lang w:eastAsia="en-GB"/>
        </w:rPr>
        <w:t>completed</w:t>
      </w:r>
      <w:r w:rsidRPr="00F20468">
        <w:rPr>
          <w:rFonts w:ascii="Times New Roman" w:eastAsia="Times New Roman" w:hAnsi="Times New Roman" w:cs="Times New Roman"/>
          <w:sz w:val="24"/>
          <w:szCs w:val="24"/>
          <w:lang w:eastAsia="en-GB"/>
        </w:rPr>
        <w:t xml:space="preserve">. Incomplete records may result in missed clinical information, reduced </w:t>
      </w:r>
      <w:r>
        <w:rPr>
          <w:rFonts w:ascii="Times New Roman" w:eastAsia="Times New Roman" w:hAnsi="Times New Roman" w:cs="Times New Roman"/>
          <w:sz w:val="24"/>
          <w:szCs w:val="24"/>
          <w:lang w:eastAsia="en-GB"/>
        </w:rPr>
        <w:t>quality of care</w:t>
      </w:r>
      <w:r w:rsidRPr="00F20468">
        <w:rPr>
          <w:rFonts w:ascii="Times New Roman" w:eastAsia="Times New Roman" w:hAnsi="Times New Roman" w:cs="Times New Roman"/>
          <w:sz w:val="24"/>
          <w:szCs w:val="24"/>
          <w:lang w:eastAsia="en-GB"/>
        </w:rPr>
        <w:t xml:space="preserve"> and limitations in public health surveillance.</w:t>
      </w:r>
    </w:p>
    <w:p w14:paraId="5CED66D8" w14:textId="5F008DA0" w:rsidR="00924347" w:rsidRPr="00F20468" w:rsidRDefault="00924347" w:rsidP="00924347">
      <w:pPr>
        <w:spacing w:before="100" w:beforeAutospacing="1" w:after="100" w:afterAutospacing="1" w:line="240" w:lineRule="auto"/>
        <w:jc w:val="both"/>
        <w:rPr>
          <w:rFonts w:ascii="Times New Roman" w:eastAsia="Times New Roman" w:hAnsi="Times New Roman" w:cs="Times New Roman"/>
          <w:sz w:val="24"/>
          <w:szCs w:val="24"/>
          <w:lang w:eastAsia="en-GB"/>
        </w:rPr>
      </w:pPr>
      <w:r w:rsidRPr="00F20468">
        <w:rPr>
          <w:rFonts w:ascii="Times New Roman" w:eastAsia="Times New Roman" w:hAnsi="Times New Roman" w:cs="Times New Roman"/>
          <w:sz w:val="24"/>
          <w:szCs w:val="24"/>
          <w:lang w:eastAsia="en-GB"/>
        </w:rPr>
        <w:t>Evidence from practice highlights ongoing challenges with digital docume</w:t>
      </w:r>
      <w:r>
        <w:rPr>
          <w:rFonts w:ascii="Times New Roman" w:eastAsia="Times New Roman" w:hAnsi="Times New Roman" w:cs="Times New Roman"/>
          <w:sz w:val="24"/>
          <w:szCs w:val="24"/>
          <w:lang w:eastAsia="en-GB"/>
        </w:rPr>
        <w:t xml:space="preserve">ntation in SBUHB ISH (Williams 2026). Studies have </w:t>
      </w:r>
      <w:r w:rsidRPr="00F20468">
        <w:rPr>
          <w:rFonts w:ascii="Times New Roman" w:eastAsia="Times New Roman" w:hAnsi="Times New Roman" w:cs="Times New Roman"/>
          <w:sz w:val="24"/>
          <w:szCs w:val="24"/>
          <w:lang w:eastAsia="en-GB"/>
        </w:rPr>
        <w:t xml:space="preserve">identified issues with </w:t>
      </w:r>
      <w:r>
        <w:rPr>
          <w:rFonts w:ascii="Times New Roman" w:eastAsia="Times New Roman" w:hAnsi="Times New Roman" w:cs="Times New Roman"/>
          <w:sz w:val="24"/>
          <w:szCs w:val="24"/>
          <w:lang w:eastAsia="en-GB"/>
        </w:rPr>
        <w:t>EPR s</w:t>
      </w:r>
      <w:r w:rsidRPr="00F20468">
        <w:rPr>
          <w:rFonts w:ascii="Times New Roman" w:eastAsia="Times New Roman" w:hAnsi="Times New Roman" w:cs="Times New Roman"/>
          <w:sz w:val="24"/>
          <w:szCs w:val="24"/>
          <w:lang w:eastAsia="en-GB"/>
        </w:rPr>
        <w:t>ystems lacking clear structure, resulting in difficulty interpreting clinical information and i</w:t>
      </w:r>
      <w:r>
        <w:rPr>
          <w:rFonts w:ascii="Times New Roman" w:eastAsia="Times New Roman" w:hAnsi="Times New Roman" w:cs="Times New Roman"/>
          <w:sz w:val="24"/>
          <w:szCs w:val="24"/>
          <w:lang w:eastAsia="en-GB"/>
        </w:rPr>
        <w:t>nconsistencies in documentation (Eden et al 2018; Braund et al 2019; Williams 2026)</w:t>
      </w:r>
      <w:r w:rsidRPr="00F20468">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 xml:space="preserve">One study identified a strong </w:t>
      </w:r>
      <w:r w:rsidR="000C4596">
        <w:rPr>
          <w:rFonts w:ascii="Times New Roman" w:eastAsia="Times New Roman" w:hAnsi="Times New Roman" w:cs="Times New Roman"/>
          <w:sz w:val="24"/>
          <w:szCs w:val="24"/>
          <w:lang w:eastAsia="en-GB"/>
        </w:rPr>
        <w:t>association</w:t>
      </w:r>
      <w:r>
        <w:rPr>
          <w:rFonts w:ascii="Times New Roman" w:eastAsia="Times New Roman" w:hAnsi="Times New Roman" w:cs="Times New Roman"/>
          <w:sz w:val="24"/>
          <w:szCs w:val="24"/>
          <w:lang w:eastAsia="en-GB"/>
        </w:rPr>
        <w:t xml:space="preserve"> to EPR usability and clinician burnout (Melnick et al 2020).  </w:t>
      </w:r>
      <w:r w:rsidRPr="00F20468">
        <w:rPr>
          <w:rFonts w:ascii="Times New Roman" w:eastAsia="Times New Roman" w:hAnsi="Times New Roman" w:cs="Times New Roman"/>
          <w:sz w:val="24"/>
          <w:szCs w:val="24"/>
          <w:lang w:eastAsia="en-GB"/>
        </w:rPr>
        <w:t xml:space="preserve">These challenges are compounded by the complexity of sexual health consultations, where clinicians </w:t>
      </w:r>
      <w:r w:rsidR="00FE1063">
        <w:rPr>
          <w:rFonts w:ascii="Times New Roman" w:eastAsia="Times New Roman" w:hAnsi="Times New Roman" w:cs="Times New Roman"/>
          <w:sz w:val="24"/>
          <w:szCs w:val="24"/>
          <w:lang w:eastAsia="en-GB"/>
        </w:rPr>
        <w:t>need</w:t>
      </w:r>
      <w:r>
        <w:rPr>
          <w:rFonts w:ascii="Times New Roman" w:eastAsia="Times New Roman" w:hAnsi="Times New Roman" w:cs="Times New Roman"/>
          <w:sz w:val="24"/>
          <w:szCs w:val="24"/>
          <w:lang w:eastAsia="en-GB"/>
        </w:rPr>
        <w:t xml:space="preserve"> to</w:t>
      </w:r>
      <w:r w:rsidRPr="00F20468">
        <w:rPr>
          <w:rFonts w:ascii="Times New Roman" w:eastAsia="Times New Roman" w:hAnsi="Times New Roman" w:cs="Times New Roman"/>
          <w:sz w:val="24"/>
          <w:szCs w:val="24"/>
          <w:lang w:eastAsia="en-GB"/>
        </w:rPr>
        <w:t xml:space="preserve"> balance </w:t>
      </w:r>
      <w:r>
        <w:rPr>
          <w:rFonts w:ascii="Times New Roman" w:eastAsia="Times New Roman" w:hAnsi="Times New Roman" w:cs="Times New Roman"/>
          <w:sz w:val="24"/>
          <w:szCs w:val="24"/>
          <w:lang w:eastAsia="en-GB"/>
        </w:rPr>
        <w:t xml:space="preserve">good </w:t>
      </w:r>
      <w:r w:rsidRPr="00F20468">
        <w:rPr>
          <w:rFonts w:ascii="Times New Roman" w:eastAsia="Times New Roman" w:hAnsi="Times New Roman" w:cs="Times New Roman"/>
          <w:sz w:val="24"/>
          <w:szCs w:val="24"/>
          <w:lang w:eastAsia="en-GB"/>
        </w:rPr>
        <w:t>documentation with sensitive communication and patient confidentiality.</w:t>
      </w:r>
    </w:p>
    <w:p w14:paraId="1A8F5D03" w14:textId="77777777" w:rsidR="00924347" w:rsidRPr="00F20468" w:rsidRDefault="00924347" w:rsidP="00924347">
      <w:pPr>
        <w:spacing w:before="100" w:beforeAutospacing="1" w:after="100" w:afterAutospacing="1" w:line="240" w:lineRule="auto"/>
        <w:jc w:val="both"/>
        <w:rPr>
          <w:rFonts w:ascii="Times New Roman" w:eastAsia="Times New Roman" w:hAnsi="Times New Roman" w:cs="Times New Roman"/>
          <w:sz w:val="24"/>
          <w:szCs w:val="24"/>
          <w:lang w:eastAsia="en-GB"/>
        </w:rPr>
      </w:pPr>
      <w:r w:rsidRPr="00F20468">
        <w:rPr>
          <w:rFonts w:ascii="Times New Roman" w:eastAsia="Times New Roman" w:hAnsi="Times New Roman" w:cs="Times New Roman"/>
          <w:sz w:val="24"/>
          <w:szCs w:val="24"/>
          <w:lang w:eastAsia="en-GB"/>
        </w:rPr>
        <w:lastRenderedPageBreak/>
        <w:t xml:space="preserve">The implications of incomplete data are particularly significant in </w:t>
      </w:r>
      <w:r>
        <w:rPr>
          <w:rFonts w:ascii="Times New Roman" w:eastAsia="Times New Roman" w:hAnsi="Times New Roman" w:cs="Times New Roman"/>
          <w:sz w:val="24"/>
          <w:szCs w:val="24"/>
          <w:lang w:eastAsia="en-GB"/>
        </w:rPr>
        <w:t>ISH</w:t>
      </w:r>
      <w:r w:rsidRPr="00F20468">
        <w:rPr>
          <w:rFonts w:ascii="Times New Roman" w:eastAsia="Times New Roman" w:hAnsi="Times New Roman" w:cs="Times New Roman"/>
          <w:sz w:val="24"/>
          <w:szCs w:val="24"/>
          <w:lang w:eastAsia="en-GB"/>
        </w:rPr>
        <w:t xml:space="preserve"> services. For example, missing information relating to sexual partners or risk behaviours can compromise partner notification processes and infection control efforts. Similarly, incomplete safeguarding information may result in failure to identify individuals at risk of harm. At a population level, poor data quality can limit the effectiveness of surveillance systems</w:t>
      </w:r>
      <w:r>
        <w:rPr>
          <w:rFonts w:ascii="Times New Roman" w:eastAsia="Times New Roman" w:hAnsi="Times New Roman" w:cs="Times New Roman"/>
          <w:sz w:val="24"/>
          <w:szCs w:val="24"/>
          <w:lang w:eastAsia="en-GB"/>
        </w:rPr>
        <w:t xml:space="preserve"> (such as the Public Health Wales (PHW) syphilis surveillance system)</w:t>
      </w:r>
      <w:r w:rsidRPr="00F20468">
        <w:rPr>
          <w:rFonts w:ascii="Times New Roman" w:eastAsia="Times New Roman" w:hAnsi="Times New Roman" w:cs="Times New Roman"/>
          <w:sz w:val="24"/>
          <w:szCs w:val="24"/>
          <w:lang w:eastAsia="en-GB"/>
        </w:rPr>
        <w:t xml:space="preserve"> used to monitor STI trends and inform public health interventions.</w:t>
      </w:r>
    </w:p>
    <w:p w14:paraId="08F00F30" w14:textId="77777777" w:rsidR="00924347" w:rsidRDefault="00924347" w:rsidP="00924347">
      <w:pPr>
        <w:spacing w:before="100" w:beforeAutospacing="1" w:after="100" w:afterAutospacing="1" w:line="24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In addition,</w:t>
      </w:r>
      <w:r w:rsidRPr="00F20468">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 xml:space="preserve">ISH </w:t>
      </w:r>
      <w:r w:rsidRPr="00F20468">
        <w:rPr>
          <w:rFonts w:ascii="Times New Roman" w:eastAsia="Times New Roman" w:hAnsi="Times New Roman" w:cs="Times New Roman"/>
          <w:sz w:val="24"/>
          <w:szCs w:val="24"/>
          <w:lang w:eastAsia="en-GB"/>
        </w:rPr>
        <w:t xml:space="preserve">services </w:t>
      </w:r>
      <w:r w:rsidR="00FE1063" w:rsidRPr="00F20468">
        <w:rPr>
          <w:rFonts w:ascii="Times New Roman" w:eastAsia="Times New Roman" w:hAnsi="Times New Roman" w:cs="Times New Roman"/>
          <w:sz w:val="24"/>
          <w:szCs w:val="24"/>
          <w:lang w:eastAsia="en-GB"/>
        </w:rPr>
        <w:t>work</w:t>
      </w:r>
      <w:r w:rsidRPr="00F20468">
        <w:rPr>
          <w:rFonts w:ascii="Times New Roman" w:eastAsia="Times New Roman" w:hAnsi="Times New Roman" w:cs="Times New Roman"/>
          <w:sz w:val="24"/>
          <w:szCs w:val="24"/>
          <w:lang w:eastAsia="en-GB"/>
        </w:rPr>
        <w:t xml:space="preserve"> within a unique ethical and governance framework, where confidentiality is </w:t>
      </w:r>
      <w:r>
        <w:rPr>
          <w:rFonts w:ascii="Times New Roman" w:eastAsia="Times New Roman" w:hAnsi="Times New Roman" w:cs="Times New Roman"/>
          <w:sz w:val="24"/>
          <w:szCs w:val="24"/>
          <w:lang w:eastAsia="en-GB"/>
        </w:rPr>
        <w:t xml:space="preserve">of </w:t>
      </w:r>
      <w:r w:rsidRPr="00F20468">
        <w:rPr>
          <w:rFonts w:ascii="Times New Roman" w:eastAsia="Times New Roman" w:hAnsi="Times New Roman" w:cs="Times New Roman"/>
          <w:sz w:val="24"/>
          <w:szCs w:val="24"/>
          <w:lang w:eastAsia="en-GB"/>
        </w:rPr>
        <w:t>paramount</w:t>
      </w:r>
      <w:r>
        <w:rPr>
          <w:rFonts w:ascii="Times New Roman" w:eastAsia="Times New Roman" w:hAnsi="Times New Roman" w:cs="Times New Roman"/>
          <w:sz w:val="24"/>
          <w:szCs w:val="24"/>
          <w:lang w:eastAsia="en-GB"/>
        </w:rPr>
        <w:t xml:space="preserve"> importance</w:t>
      </w:r>
      <w:r w:rsidRPr="00F20468">
        <w:rPr>
          <w:rFonts w:ascii="Times New Roman" w:eastAsia="Times New Roman" w:hAnsi="Times New Roman" w:cs="Times New Roman"/>
          <w:sz w:val="24"/>
          <w:szCs w:val="24"/>
          <w:lang w:eastAsia="en-GB"/>
        </w:rPr>
        <w:t xml:space="preserve">. The sensitive nature of the data recorded may influence </w:t>
      </w:r>
      <w:r w:rsidR="00FE1063">
        <w:rPr>
          <w:rFonts w:ascii="Times New Roman" w:eastAsia="Times New Roman" w:hAnsi="Times New Roman" w:cs="Times New Roman"/>
          <w:sz w:val="24"/>
          <w:szCs w:val="24"/>
          <w:lang w:eastAsia="en-GB"/>
        </w:rPr>
        <w:t>the type of information disclosed by patients,</w:t>
      </w:r>
      <w:r w:rsidRPr="00F20468">
        <w:rPr>
          <w:rFonts w:ascii="Times New Roman" w:eastAsia="Times New Roman" w:hAnsi="Times New Roman" w:cs="Times New Roman"/>
          <w:sz w:val="24"/>
          <w:szCs w:val="24"/>
          <w:lang w:eastAsia="en-GB"/>
        </w:rPr>
        <w:t xml:space="preserve"> and clinician documentation practices, </w:t>
      </w:r>
      <w:r w:rsidR="00FE1063">
        <w:rPr>
          <w:rFonts w:ascii="Times New Roman" w:eastAsia="Times New Roman" w:hAnsi="Times New Roman" w:cs="Times New Roman"/>
          <w:sz w:val="24"/>
          <w:szCs w:val="24"/>
          <w:lang w:eastAsia="en-GB"/>
        </w:rPr>
        <w:t xml:space="preserve">which can </w:t>
      </w:r>
      <w:r w:rsidRPr="00F20468">
        <w:rPr>
          <w:rFonts w:ascii="Times New Roman" w:eastAsia="Times New Roman" w:hAnsi="Times New Roman" w:cs="Times New Roman"/>
          <w:sz w:val="24"/>
          <w:szCs w:val="24"/>
          <w:lang w:eastAsia="en-GB"/>
        </w:rPr>
        <w:t>contribut</w:t>
      </w:r>
      <w:r w:rsidR="00FE1063">
        <w:rPr>
          <w:rFonts w:ascii="Times New Roman" w:eastAsia="Times New Roman" w:hAnsi="Times New Roman" w:cs="Times New Roman"/>
          <w:sz w:val="24"/>
          <w:szCs w:val="24"/>
          <w:lang w:eastAsia="en-GB"/>
        </w:rPr>
        <w:t>e</w:t>
      </w:r>
      <w:r w:rsidRPr="00F20468">
        <w:rPr>
          <w:rFonts w:ascii="Times New Roman" w:eastAsia="Times New Roman" w:hAnsi="Times New Roman" w:cs="Times New Roman"/>
          <w:sz w:val="24"/>
          <w:szCs w:val="24"/>
          <w:lang w:eastAsia="en-GB"/>
        </w:rPr>
        <w:t xml:space="preserve"> to varia</w:t>
      </w:r>
      <w:r w:rsidR="00FE1063">
        <w:rPr>
          <w:rFonts w:ascii="Times New Roman" w:eastAsia="Times New Roman" w:hAnsi="Times New Roman" w:cs="Times New Roman"/>
          <w:sz w:val="24"/>
          <w:szCs w:val="24"/>
          <w:lang w:eastAsia="en-GB"/>
        </w:rPr>
        <w:t>tions</w:t>
      </w:r>
      <w:r w:rsidRPr="00F20468">
        <w:rPr>
          <w:rFonts w:ascii="Times New Roman" w:eastAsia="Times New Roman" w:hAnsi="Times New Roman" w:cs="Times New Roman"/>
          <w:sz w:val="24"/>
          <w:szCs w:val="24"/>
          <w:lang w:eastAsia="en-GB"/>
        </w:rPr>
        <w:t xml:space="preserve"> in data completeness.</w:t>
      </w:r>
      <w:r>
        <w:rPr>
          <w:rFonts w:ascii="Times New Roman" w:eastAsia="Times New Roman" w:hAnsi="Times New Roman" w:cs="Times New Roman"/>
          <w:sz w:val="24"/>
          <w:szCs w:val="24"/>
          <w:lang w:eastAsia="en-GB"/>
        </w:rPr>
        <w:t xml:space="preserve"> </w:t>
      </w:r>
      <w:r w:rsidRPr="00F20468">
        <w:rPr>
          <w:rFonts w:ascii="Times New Roman" w:eastAsia="Times New Roman" w:hAnsi="Times New Roman" w:cs="Times New Roman"/>
          <w:sz w:val="24"/>
          <w:szCs w:val="24"/>
          <w:lang w:eastAsia="en-GB"/>
        </w:rPr>
        <w:t>Despite the importance of this issue, there is limited research specifically examining data completeness within sexual health EPR systems in the UK. Much of the existing literature focuses on broader digital health technologies, with little consideration of the specific challenges associated with sexual health data.</w:t>
      </w:r>
    </w:p>
    <w:p w14:paraId="7C8368C5" w14:textId="77777777" w:rsidR="00924347" w:rsidRDefault="00924347" w:rsidP="00924347">
      <w:pPr>
        <w:spacing w:before="100" w:beforeAutospacing="1" w:after="100" w:afterAutospacing="1" w:line="24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w:t>
      </w:r>
      <w:r w:rsidRPr="00F20468">
        <w:rPr>
          <w:rFonts w:ascii="Times New Roman" w:eastAsia="Times New Roman" w:hAnsi="Times New Roman" w:cs="Times New Roman"/>
          <w:sz w:val="24"/>
          <w:szCs w:val="24"/>
          <w:lang w:eastAsia="en-GB"/>
        </w:rPr>
        <w:t>o address this gap</w:t>
      </w:r>
      <w:r>
        <w:rPr>
          <w:rFonts w:ascii="Times New Roman" w:eastAsia="Times New Roman" w:hAnsi="Times New Roman" w:cs="Times New Roman"/>
          <w:sz w:val="24"/>
          <w:szCs w:val="24"/>
          <w:lang w:eastAsia="en-GB"/>
        </w:rPr>
        <w:t>, this project will e</w:t>
      </w:r>
      <w:r w:rsidRPr="00F20468">
        <w:rPr>
          <w:rFonts w:ascii="Times New Roman" w:eastAsia="Times New Roman" w:hAnsi="Times New Roman" w:cs="Times New Roman"/>
          <w:sz w:val="24"/>
          <w:szCs w:val="24"/>
          <w:lang w:eastAsia="en-GB"/>
        </w:rPr>
        <w:t>valuat</w:t>
      </w:r>
      <w:r>
        <w:rPr>
          <w:rFonts w:ascii="Times New Roman" w:eastAsia="Times New Roman" w:hAnsi="Times New Roman" w:cs="Times New Roman"/>
          <w:sz w:val="24"/>
          <w:szCs w:val="24"/>
          <w:lang w:eastAsia="en-GB"/>
        </w:rPr>
        <w:t>e</w:t>
      </w:r>
      <w:r w:rsidRPr="00F20468">
        <w:rPr>
          <w:rFonts w:ascii="Times New Roman" w:eastAsia="Times New Roman" w:hAnsi="Times New Roman" w:cs="Times New Roman"/>
          <w:sz w:val="24"/>
          <w:szCs w:val="24"/>
          <w:lang w:eastAsia="en-GB"/>
        </w:rPr>
        <w:t xml:space="preserve"> the completeness of key data fields within </w:t>
      </w:r>
      <w:r>
        <w:rPr>
          <w:rFonts w:ascii="Times New Roman" w:eastAsia="Times New Roman" w:hAnsi="Times New Roman" w:cs="Times New Roman"/>
          <w:sz w:val="24"/>
          <w:szCs w:val="24"/>
          <w:lang w:eastAsia="en-GB"/>
        </w:rPr>
        <w:t>the SBUHB ISH</w:t>
      </w:r>
      <w:r w:rsidRPr="00F20468">
        <w:rPr>
          <w:rFonts w:ascii="Times New Roman" w:eastAsia="Times New Roman" w:hAnsi="Times New Roman" w:cs="Times New Roman"/>
          <w:sz w:val="24"/>
          <w:szCs w:val="24"/>
          <w:lang w:eastAsia="en-GB"/>
        </w:rPr>
        <w:t xml:space="preserve"> EPR</w:t>
      </w:r>
      <w:r>
        <w:rPr>
          <w:rFonts w:ascii="Times New Roman" w:eastAsia="Times New Roman" w:hAnsi="Times New Roman" w:cs="Times New Roman"/>
          <w:sz w:val="24"/>
          <w:szCs w:val="24"/>
          <w:lang w:eastAsia="en-GB"/>
        </w:rPr>
        <w:t xml:space="preserve"> and explore</w:t>
      </w:r>
      <w:r w:rsidRPr="00F20468">
        <w:rPr>
          <w:rFonts w:ascii="Times New Roman" w:eastAsia="Times New Roman" w:hAnsi="Times New Roman" w:cs="Times New Roman"/>
          <w:sz w:val="24"/>
          <w:szCs w:val="24"/>
          <w:lang w:eastAsia="en-GB"/>
        </w:rPr>
        <w:t xml:space="preserve"> the factors</w:t>
      </w:r>
      <w:r>
        <w:rPr>
          <w:rFonts w:ascii="Times New Roman" w:eastAsia="Times New Roman" w:hAnsi="Times New Roman" w:cs="Times New Roman"/>
          <w:sz w:val="24"/>
          <w:szCs w:val="24"/>
          <w:lang w:eastAsia="en-GB"/>
        </w:rPr>
        <w:t xml:space="preserve"> that</w:t>
      </w:r>
      <w:r w:rsidRPr="00F20468">
        <w:rPr>
          <w:rFonts w:ascii="Times New Roman" w:eastAsia="Times New Roman" w:hAnsi="Times New Roman" w:cs="Times New Roman"/>
          <w:sz w:val="24"/>
          <w:szCs w:val="24"/>
          <w:lang w:eastAsia="en-GB"/>
        </w:rPr>
        <w:t xml:space="preserve"> influenc</w:t>
      </w:r>
      <w:r>
        <w:rPr>
          <w:rFonts w:ascii="Times New Roman" w:eastAsia="Times New Roman" w:hAnsi="Times New Roman" w:cs="Times New Roman"/>
          <w:sz w:val="24"/>
          <w:szCs w:val="24"/>
          <w:lang w:eastAsia="en-GB"/>
        </w:rPr>
        <w:t>e</w:t>
      </w:r>
      <w:r w:rsidRPr="00F20468">
        <w:rPr>
          <w:rFonts w:ascii="Times New Roman" w:eastAsia="Times New Roman" w:hAnsi="Times New Roman" w:cs="Times New Roman"/>
          <w:sz w:val="24"/>
          <w:szCs w:val="24"/>
          <w:lang w:eastAsia="en-GB"/>
        </w:rPr>
        <w:t xml:space="preserve"> incomplete data entry. </w:t>
      </w:r>
    </w:p>
    <w:p w14:paraId="58574095" w14:textId="77777777" w:rsidR="00924347" w:rsidRPr="00C61F15" w:rsidRDefault="00924347" w:rsidP="00924347">
      <w:pPr>
        <w:spacing w:before="100" w:beforeAutospacing="1" w:after="100" w:afterAutospacing="1" w:line="240" w:lineRule="auto"/>
        <w:jc w:val="center"/>
        <w:rPr>
          <w:rFonts w:ascii="Times New Roman" w:eastAsia="Times New Roman" w:hAnsi="Times New Roman" w:cs="Times New Roman"/>
          <w:b/>
          <w:sz w:val="28"/>
          <w:szCs w:val="28"/>
          <w:lang w:eastAsia="en-GB"/>
        </w:rPr>
      </w:pPr>
      <w:r w:rsidRPr="00C61F15">
        <w:rPr>
          <w:rFonts w:ascii="Times New Roman" w:eastAsia="Times New Roman" w:hAnsi="Times New Roman" w:cs="Times New Roman"/>
          <w:b/>
          <w:sz w:val="28"/>
          <w:szCs w:val="28"/>
          <w:lang w:eastAsia="en-GB"/>
        </w:rPr>
        <w:t>Project Aim &amp; Research Objectives</w:t>
      </w:r>
    </w:p>
    <w:p w14:paraId="26556714" w14:textId="77777777" w:rsidR="00924347" w:rsidRPr="00ED3DE0" w:rsidRDefault="00924347" w:rsidP="00924347">
      <w:pPr>
        <w:spacing w:before="100" w:beforeAutospacing="1" w:after="100" w:afterAutospacing="1" w:line="240" w:lineRule="auto"/>
        <w:jc w:val="both"/>
        <w:rPr>
          <w:rFonts w:ascii="Times New Roman" w:eastAsia="Times New Roman" w:hAnsi="Times New Roman" w:cs="Times New Roman"/>
          <w:sz w:val="24"/>
          <w:szCs w:val="24"/>
          <w:lang w:eastAsia="en-GB"/>
        </w:rPr>
      </w:pPr>
      <w:r w:rsidRPr="001C0F7D">
        <w:rPr>
          <w:rFonts w:ascii="Times New Roman" w:eastAsia="Times New Roman" w:hAnsi="Times New Roman" w:cs="Times New Roman"/>
          <w:sz w:val="24"/>
          <w:szCs w:val="24"/>
          <w:lang w:eastAsia="en-GB"/>
        </w:rPr>
        <w:t xml:space="preserve">Within sexual health services, accurate and complete documentation </w:t>
      </w:r>
      <w:r w:rsidR="002C507E" w:rsidRPr="001C0F7D">
        <w:rPr>
          <w:rFonts w:ascii="Times New Roman" w:eastAsia="Times New Roman" w:hAnsi="Times New Roman" w:cs="Times New Roman"/>
          <w:sz w:val="24"/>
          <w:szCs w:val="24"/>
          <w:lang w:eastAsia="en-GB"/>
        </w:rPr>
        <w:t>supports</w:t>
      </w:r>
      <w:r w:rsidRPr="001C0F7D">
        <w:rPr>
          <w:rFonts w:ascii="Times New Roman" w:eastAsia="Times New Roman" w:hAnsi="Times New Roman" w:cs="Times New Roman"/>
          <w:sz w:val="24"/>
          <w:szCs w:val="24"/>
          <w:lang w:eastAsia="en-GB"/>
        </w:rPr>
        <w:t xml:space="preserve"> clinical deci</w:t>
      </w:r>
      <w:r>
        <w:rPr>
          <w:rFonts w:ascii="Times New Roman" w:eastAsia="Times New Roman" w:hAnsi="Times New Roman" w:cs="Times New Roman"/>
          <w:sz w:val="24"/>
          <w:szCs w:val="24"/>
          <w:lang w:eastAsia="en-GB"/>
        </w:rPr>
        <w:t>sion-making, continuity of care</w:t>
      </w:r>
      <w:r w:rsidRPr="001C0F7D">
        <w:rPr>
          <w:rFonts w:ascii="Times New Roman" w:eastAsia="Times New Roman" w:hAnsi="Times New Roman" w:cs="Times New Roman"/>
          <w:sz w:val="24"/>
          <w:szCs w:val="24"/>
          <w:lang w:eastAsia="en-GB"/>
        </w:rPr>
        <w:t xml:space="preserve"> and public health interventions. Incomplete data may result in missed diag</w:t>
      </w:r>
      <w:r>
        <w:rPr>
          <w:rFonts w:ascii="Times New Roman" w:eastAsia="Times New Roman" w:hAnsi="Times New Roman" w:cs="Times New Roman"/>
          <w:sz w:val="24"/>
          <w:szCs w:val="24"/>
          <w:lang w:eastAsia="en-GB"/>
        </w:rPr>
        <w:t>noses, inappropriate management</w:t>
      </w:r>
      <w:r w:rsidRPr="001C0F7D">
        <w:rPr>
          <w:rFonts w:ascii="Times New Roman" w:eastAsia="Times New Roman" w:hAnsi="Times New Roman" w:cs="Times New Roman"/>
          <w:sz w:val="24"/>
          <w:szCs w:val="24"/>
          <w:lang w:eastAsia="en-GB"/>
        </w:rPr>
        <w:t xml:space="preserve"> and reduced effectiveness of interventions such as partner notification.</w:t>
      </w:r>
      <w:r w:rsidR="002C507E">
        <w:rPr>
          <w:rFonts w:ascii="Times New Roman" w:eastAsia="Times New Roman" w:hAnsi="Times New Roman" w:cs="Times New Roman"/>
          <w:sz w:val="24"/>
          <w:szCs w:val="24"/>
          <w:lang w:eastAsia="en-GB"/>
        </w:rPr>
        <w:t xml:space="preserve"> As many STI’s are asymptomatic</w:t>
      </w:r>
      <w:r>
        <w:rPr>
          <w:rFonts w:ascii="Times New Roman" w:eastAsia="Times New Roman" w:hAnsi="Times New Roman" w:cs="Times New Roman"/>
          <w:sz w:val="24"/>
          <w:szCs w:val="24"/>
          <w:lang w:eastAsia="en-GB"/>
        </w:rPr>
        <w:t xml:space="preserve">, </w:t>
      </w:r>
      <w:r w:rsidRPr="00ED3DE0">
        <w:rPr>
          <w:rFonts w:ascii="Times New Roman" w:eastAsia="Times New Roman" w:hAnsi="Times New Roman" w:cs="Times New Roman"/>
          <w:sz w:val="24"/>
          <w:szCs w:val="24"/>
          <w:lang w:eastAsia="en-GB"/>
        </w:rPr>
        <w:t>t</w:t>
      </w:r>
      <w:r w:rsidRPr="00ED3DE0">
        <w:rPr>
          <w:rFonts w:ascii="Times New Roman" w:hAnsi="Times New Roman" w:cs="Times New Roman"/>
          <w:sz w:val="24"/>
          <w:szCs w:val="24"/>
        </w:rPr>
        <w:t xml:space="preserve">hese risks are amplified as clinical decisions rely heavily on the accurate documentation of risk factors and sexual history. However, while the importance of documentation is widely acknowledged, there is a tendency within the literature to assume that completeness of data equates to quality. This may oversimplify the relationship between recorded data and meaningful clinical outcomes. Clinicians consistently </w:t>
      </w:r>
      <w:r w:rsidRPr="00ED3DE0">
        <w:rPr>
          <w:rFonts w:ascii="Times New Roman" w:hAnsi="Times New Roman" w:cs="Times New Roman"/>
          <w:color w:val="1B1B1B"/>
          <w:sz w:val="24"/>
          <w:szCs w:val="24"/>
          <w:shd w:val="clear" w:color="auto" w:fill="FFFFFF"/>
        </w:rPr>
        <w:t xml:space="preserve">report that documentation disrupts their workflow, limits time with patients and contributes to professional dissatisfaction (Wisner et al 2019; Sutton et al 2020; </w:t>
      </w:r>
      <w:proofErr w:type="spellStart"/>
      <w:r w:rsidRPr="00ED3DE0">
        <w:rPr>
          <w:rFonts w:ascii="Times New Roman" w:hAnsi="Times New Roman" w:cs="Times New Roman"/>
          <w:color w:val="1B1B1B"/>
          <w:sz w:val="24"/>
          <w:szCs w:val="24"/>
          <w:shd w:val="clear" w:color="auto" w:fill="FFFFFF"/>
        </w:rPr>
        <w:t>Olakotan</w:t>
      </w:r>
      <w:proofErr w:type="spellEnd"/>
      <w:r w:rsidRPr="00ED3DE0">
        <w:rPr>
          <w:rFonts w:ascii="Times New Roman" w:hAnsi="Times New Roman" w:cs="Times New Roman"/>
          <w:color w:val="1B1B1B"/>
          <w:sz w:val="24"/>
          <w:szCs w:val="24"/>
          <w:shd w:val="clear" w:color="auto" w:fill="FFFFFF"/>
        </w:rPr>
        <w:t xml:space="preserve"> 2025</w:t>
      </w:r>
      <w:r>
        <w:rPr>
          <w:rFonts w:ascii="Times New Roman" w:hAnsi="Times New Roman" w:cs="Times New Roman"/>
          <w:color w:val="1B1B1B"/>
          <w:sz w:val="24"/>
          <w:szCs w:val="24"/>
          <w:shd w:val="clear" w:color="auto" w:fill="FFFFFF"/>
        </w:rPr>
        <w:t xml:space="preserve">; </w:t>
      </w:r>
      <w:proofErr w:type="spellStart"/>
      <w:r>
        <w:rPr>
          <w:rFonts w:ascii="Times New Roman" w:hAnsi="Times New Roman" w:cs="Times New Roman"/>
          <w:color w:val="1B1B1B"/>
          <w:sz w:val="24"/>
          <w:szCs w:val="24"/>
          <w:shd w:val="clear" w:color="auto" w:fill="FFFFFF"/>
        </w:rPr>
        <w:t>Thate</w:t>
      </w:r>
      <w:proofErr w:type="spellEnd"/>
      <w:r>
        <w:rPr>
          <w:rFonts w:ascii="Times New Roman" w:hAnsi="Times New Roman" w:cs="Times New Roman"/>
          <w:color w:val="1B1B1B"/>
          <w:sz w:val="24"/>
          <w:szCs w:val="24"/>
          <w:shd w:val="clear" w:color="auto" w:fill="FFFFFF"/>
        </w:rPr>
        <w:t xml:space="preserve"> et al 2025</w:t>
      </w:r>
      <w:r w:rsidRPr="00ED3DE0">
        <w:rPr>
          <w:rFonts w:ascii="Times New Roman" w:hAnsi="Times New Roman" w:cs="Times New Roman"/>
          <w:color w:val="1B1B1B"/>
          <w:sz w:val="24"/>
          <w:szCs w:val="24"/>
          <w:shd w:val="clear" w:color="auto" w:fill="FFFFFF"/>
        </w:rPr>
        <w:t>)</w:t>
      </w:r>
      <w:r>
        <w:rPr>
          <w:rFonts w:ascii="Times New Roman" w:hAnsi="Times New Roman" w:cs="Times New Roman"/>
          <w:color w:val="1B1B1B"/>
          <w:sz w:val="24"/>
          <w:szCs w:val="24"/>
          <w:shd w:val="clear" w:color="auto" w:fill="FFFFFF"/>
        </w:rPr>
        <w:t>.</w:t>
      </w:r>
    </w:p>
    <w:p w14:paraId="356020AA" w14:textId="77777777" w:rsidR="00924347" w:rsidRPr="009C0074" w:rsidRDefault="00924347" w:rsidP="00924347">
      <w:pPr>
        <w:spacing w:before="100" w:beforeAutospacing="1" w:after="100" w:afterAutospacing="1" w:line="240" w:lineRule="auto"/>
        <w:jc w:val="both"/>
        <w:rPr>
          <w:rFonts w:ascii="Times New Roman" w:eastAsia="Times New Roman" w:hAnsi="Times New Roman" w:cs="Times New Roman"/>
          <w:sz w:val="24"/>
          <w:szCs w:val="24"/>
          <w:lang w:eastAsia="en-GB"/>
        </w:rPr>
      </w:pPr>
      <w:r w:rsidRPr="001C0F7D">
        <w:rPr>
          <w:rFonts w:ascii="Times New Roman" w:eastAsia="Times New Roman" w:hAnsi="Times New Roman" w:cs="Times New Roman"/>
          <w:sz w:val="24"/>
          <w:szCs w:val="24"/>
          <w:lang w:eastAsia="en-GB"/>
        </w:rPr>
        <w:t>From a public health perspective, sexual health services contribute to national surveillance systems that monitor STI prevalence and trends</w:t>
      </w:r>
      <w:r>
        <w:rPr>
          <w:rFonts w:ascii="Times New Roman" w:eastAsia="Times New Roman" w:hAnsi="Times New Roman" w:cs="Times New Roman"/>
          <w:sz w:val="24"/>
          <w:szCs w:val="24"/>
          <w:lang w:eastAsia="en-GB"/>
        </w:rPr>
        <w:t xml:space="preserve"> (Gibbs et al 2022)</w:t>
      </w:r>
      <w:r w:rsidRPr="001C0F7D">
        <w:rPr>
          <w:rFonts w:ascii="Times New Roman" w:eastAsia="Times New Roman" w:hAnsi="Times New Roman" w:cs="Times New Roman"/>
          <w:sz w:val="24"/>
          <w:szCs w:val="24"/>
          <w:lang w:eastAsia="en-GB"/>
        </w:rPr>
        <w:t>. I</w:t>
      </w:r>
      <w:r>
        <w:rPr>
          <w:rFonts w:ascii="Times New Roman" w:eastAsia="Times New Roman" w:hAnsi="Times New Roman" w:cs="Times New Roman"/>
          <w:sz w:val="24"/>
          <w:szCs w:val="24"/>
          <w:lang w:eastAsia="en-GB"/>
        </w:rPr>
        <w:t>ncomplete,</w:t>
      </w:r>
      <w:r w:rsidRPr="001C0F7D">
        <w:rPr>
          <w:rFonts w:ascii="Times New Roman" w:eastAsia="Times New Roman" w:hAnsi="Times New Roman" w:cs="Times New Roman"/>
          <w:sz w:val="24"/>
          <w:szCs w:val="24"/>
          <w:lang w:eastAsia="en-GB"/>
        </w:rPr>
        <w:t xml:space="preserve"> inaccurate</w:t>
      </w:r>
      <w:r>
        <w:rPr>
          <w:rFonts w:ascii="Times New Roman" w:eastAsia="Times New Roman" w:hAnsi="Times New Roman" w:cs="Times New Roman"/>
          <w:sz w:val="24"/>
          <w:szCs w:val="24"/>
          <w:lang w:eastAsia="en-GB"/>
        </w:rPr>
        <w:t xml:space="preserve"> or inconsistent</w:t>
      </w:r>
      <w:r w:rsidRPr="001C0F7D">
        <w:rPr>
          <w:rFonts w:ascii="Times New Roman" w:eastAsia="Times New Roman" w:hAnsi="Times New Roman" w:cs="Times New Roman"/>
          <w:sz w:val="24"/>
          <w:szCs w:val="24"/>
          <w:lang w:eastAsia="en-GB"/>
        </w:rPr>
        <w:t xml:space="preserve"> data can compromise the </w:t>
      </w:r>
      <w:r w:rsidR="002C507E">
        <w:rPr>
          <w:rFonts w:ascii="Times New Roman" w:eastAsia="Times New Roman" w:hAnsi="Times New Roman" w:cs="Times New Roman"/>
          <w:sz w:val="24"/>
          <w:szCs w:val="24"/>
          <w:lang w:eastAsia="en-GB"/>
        </w:rPr>
        <w:t>success</w:t>
      </w:r>
      <w:r w:rsidRPr="001C0F7D">
        <w:rPr>
          <w:rFonts w:ascii="Times New Roman" w:eastAsia="Times New Roman" w:hAnsi="Times New Roman" w:cs="Times New Roman"/>
          <w:sz w:val="24"/>
          <w:szCs w:val="24"/>
          <w:lang w:eastAsia="en-GB"/>
        </w:rPr>
        <w:t xml:space="preserve"> of these systems</w:t>
      </w:r>
      <w:r w:rsidR="002C507E">
        <w:rPr>
          <w:rFonts w:ascii="Times New Roman" w:eastAsia="Times New Roman" w:hAnsi="Times New Roman" w:cs="Times New Roman"/>
          <w:sz w:val="24"/>
          <w:szCs w:val="24"/>
          <w:lang w:eastAsia="en-GB"/>
        </w:rPr>
        <w:t>.</w:t>
      </w:r>
      <w:r w:rsidRPr="001C0F7D">
        <w:rPr>
          <w:rFonts w:ascii="Times New Roman" w:eastAsia="Times New Roman" w:hAnsi="Times New Roman" w:cs="Times New Roman"/>
          <w:sz w:val="24"/>
          <w:szCs w:val="24"/>
          <w:lang w:eastAsia="en-GB"/>
        </w:rPr>
        <w:t xml:space="preserve"> </w:t>
      </w:r>
      <w:r w:rsidR="002C507E">
        <w:rPr>
          <w:rFonts w:ascii="Times New Roman" w:eastAsia="Times New Roman" w:hAnsi="Times New Roman" w:cs="Times New Roman"/>
          <w:sz w:val="24"/>
          <w:szCs w:val="24"/>
          <w:lang w:eastAsia="en-GB"/>
        </w:rPr>
        <w:t xml:space="preserve">This may </w:t>
      </w:r>
      <w:r w:rsidRPr="001C0F7D">
        <w:rPr>
          <w:rFonts w:ascii="Times New Roman" w:eastAsia="Times New Roman" w:hAnsi="Times New Roman" w:cs="Times New Roman"/>
          <w:sz w:val="24"/>
          <w:szCs w:val="24"/>
          <w:lang w:eastAsia="en-GB"/>
        </w:rPr>
        <w:t>limit the ability to identify outbreaks, allocate resources effectively and target interventions to high-risk populations.</w:t>
      </w:r>
      <w:r>
        <w:rPr>
          <w:rFonts w:ascii="Times New Roman" w:eastAsia="Times New Roman" w:hAnsi="Times New Roman" w:cs="Times New Roman"/>
          <w:sz w:val="24"/>
          <w:szCs w:val="24"/>
          <w:lang w:eastAsia="en-GB"/>
        </w:rPr>
        <w:t xml:space="preserve"> </w:t>
      </w:r>
      <w:r>
        <w:t xml:space="preserve"> </w:t>
      </w:r>
      <w:r w:rsidRPr="009C0074">
        <w:rPr>
          <w:rFonts w:ascii="Times New Roman" w:hAnsi="Times New Roman" w:cs="Times New Roman"/>
          <w:sz w:val="24"/>
          <w:szCs w:val="24"/>
        </w:rPr>
        <w:t>However, more data does not necessarily lead to better health outcomes. Overemphasis</w:t>
      </w:r>
      <w:r w:rsidR="002C507E">
        <w:rPr>
          <w:rFonts w:ascii="Times New Roman" w:hAnsi="Times New Roman" w:cs="Times New Roman"/>
          <w:sz w:val="24"/>
          <w:szCs w:val="24"/>
        </w:rPr>
        <w:t>ing</w:t>
      </w:r>
      <w:r w:rsidRPr="009C0074">
        <w:rPr>
          <w:rFonts w:ascii="Times New Roman" w:hAnsi="Times New Roman" w:cs="Times New Roman"/>
          <w:sz w:val="24"/>
          <w:szCs w:val="24"/>
        </w:rPr>
        <w:t xml:space="preserve"> </w:t>
      </w:r>
      <w:r w:rsidR="002C507E">
        <w:rPr>
          <w:rFonts w:ascii="Times New Roman" w:hAnsi="Times New Roman" w:cs="Times New Roman"/>
          <w:sz w:val="24"/>
          <w:szCs w:val="24"/>
        </w:rPr>
        <w:t xml:space="preserve">the importance of </w:t>
      </w:r>
      <w:r w:rsidRPr="009C0074">
        <w:rPr>
          <w:rFonts w:ascii="Times New Roman" w:hAnsi="Times New Roman" w:cs="Times New Roman"/>
          <w:sz w:val="24"/>
          <w:szCs w:val="24"/>
        </w:rPr>
        <w:t>data completeness may risk prioritising data collection over patient-centred care, particularly in time-pressured clinical environments. Clinicians have reported having to choose between meeting documentation requirements and addressing immediate patient needs (</w:t>
      </w:r>
      <w:proofErr w:type="spellStart"/>
      <w:r w:rsidRPr="009C0074">
        <w:rPr>
          <w:rFonts w:ascii="Times New Roman" w:hAnsi="Times New Roman" w:cs="Times New Roman"/>
          <w:sz w:val="24"/>
          <w:szCs w:val="24"/>
        </w:rPr>
        <w:t>Thate</w:t>
      </w:r>
      <w:proofErr w:type="spellEnd"/>
      <w:r w:rsidRPr="009C0074">
        <w:rPr>
          <w:rFonts w:ascii="Times New Roman" w:hAnsi="Times New Roman" w:cs="Times New Roman"/>
          <w:sz w:val="24"/>
          <w:szCs w:val="24"/>
        </w:rPr>
        <w:t xml:space="preserve"> et al 2025). In addition, surveillance systems may not fully capture the complexity of sexual health behaviours, suggesting that other data sources, such as behaviour surveys are also required to understand STI transmission (</w:t>
      </w:r>
      <w:proofErr w:type="spellStart"/>
      <w:r w:rsidRPr="009C0074">
        <w:rPr>
          <w:rFonts w:ascii="Times New Roman" w:hAnsi="Times New Roman" w:cs="Times New Roman"/>
          <w:sz w:val="24"/>
          <w:szCs w:val="24"/>
        </w:rPr>
        <w:t>Heijne</w:t>
      </w:r>
      <w:proofErr w:type="spellEnd"/>
      <w:r w:rsidRPr="009C0074">
        <w:rPr>
          <w:rFonts w:ascii="Times New Roman" w:hAnsi="Times New Roman" w:cs="Times New Roman"/>
          <w:sz w:val="24"/>
          <w:szCs w:val="24"/>
        </w:rPr>
        <w:t xml:space="preserve"> et al 2020; ECDC 2025). This raises questions about whether improving documentation alone can address broader limitations in public health intelligence.</w:t>
      </w:r>
    </w:p>
    <w:p w14:paraId="43D1EEA7" w14:textId="77777777" w:rsidR="00924347" w:rsidRPr="0003208C" w:rsidRDefault="00924347" w:rsidP="00924347">
      <w:pPr>
        <w:spacing w:before="100" w:beforeAutospacing="1" w:after="100" w:afterAutospacing="1" w:line="240" w:lineRule="auto"/>
        <w:jc w:val="both"/>
        <w:rPr>
          <w:rFonts w:ascii="Times New Roman" w:eastAsia="Times New Roman" w:hAnsi="Times New Roman" w:cs="Times New Roman"/>
          <w:sz w:val="24"/>
          <w:szCs w:val="24"/>
          <w:lang w:eastAsia="en-GB"/>
        </w:rPr>
      </w:pPr>
      <w:r w:rsidRPr="001C0F7D">
        <w:rPr>
          <w:rFonts w:ascii="Times New Roman" w:eastAsia="Times New Roman" w:hAnsi="Times New Roman" w:cs="Times New Roman"/>
          <w:sz w:val="24"/>
          <w:szCs w:val="24"/>
          <w:lang w:eastAsia="en-GB"/>
        </w:rPr>
        <w:t xml:space="preserve">Digital transformation within healthcare has been widely promoted as a means of improving data quality and service efficiency. However, evidence suggests that the implementation of </w:t>
      </w:r>
      <w:r w:rsidRPr="001C0F7D">
        <w:rPr>
          <w:rFonts w:ascii="Times New Roman" w:eastAsia="Times New Roman" w:hAnsi="Times New Roman" w:cs="Times New Roman"/>
          <w:sz w:val="24"/>
          <w:szCs w:val="24"/>
          <w:lang w:eastAsia="en-GB"/>
        </w:rPr>
        <w:lastRenderedPageBreak/>
        <w:t>EPR systems does not automatically result in improved documentation</w:t>
      </w:r>
      <w:r>
        <w:rPr>
          <w:rFonts w:ascii="Times New Roman" w:eastAsia="Times New Roman" w:hAnsi="Times New Roman" w:cs="Times New Roman"/>
          <w:sz w:val="24"/>
          <w:szCs w:val="24"/>
          <w:lang w:eastAsia="en-GB"/>
        </w:rPr>
        <w:t xml:space="preserve"> (Baumann, Baker &amp; </w:t>
      </w:r>
      <w:proofErr w:type="spellStart"/>
      <w:r>
        <w:rPr>
          <w:rFonts w:ascii="Times New Roman" w:eastAsia="Times New Roman" w:hAnsi="Times New Roman" w:cs="Times New Roman"/>
          <w:sz w:val="24"/>
          <w:szCs w:val="24"/>
          <w:lang w:eastAsia="en-GB"/>
        </w:rPr>
        <w:t>Elshaug</w:t>
      </w:r>
      <w:proofErr w:type="spellEnd"/>
      <w:r>
        <w:rPr>
          <w:rFonts w:ascii="Times New Roman" w:eastAsia="Times New Roman" w:hAnsi="Times New Roman" w:cs="Times New Roman"/>
          <w:sz w:val="24"/>
          <w:szCs w:val="24"/>
          <w:lang w:eastAsia="en-GB"/>
        </w:rPr>
        <w:t xml:space="preserve"> 2018)</w:t>
      </w:r>
      <w:r w:rsidRPr="001C0F7D">
        <w:rPr>
          <w:rFonts w:ascii="Times New Roman" w:eastAsia="Times New Roman" w:hAnsi="Times New Roman" w:cs="Times New Roman"/>
          <w:sz w:val="24"/>
          <w:szCs w:val="24"/>
          <w:lang w:eastAsia="en-GB"/>
        </w:rPr>
        <w:t>. Factors such as system design, usability, workflow integration and staff training play a critical role in determining data quality outcomes</w:t>
      </w:r>
      <w:r>
        <w:rPr>
          <w:rFonts w:ascii="Times New Roman" w:eastAsia="Times New Roman" w:hAnsi="Times New Roman" w:cs="Times New Roman"/>
          <w:sz w:val="24"/>
          <w:szCs w:val="24"/>
          <w:lang w:eastAsia="en-GB"/>
        </w:rPr>
        <w:t xml:space="preserve"> (Tsai et al 2020; Williams 2026)</w:t>
      </w:r>
      <w:r w:rsidRPr="001C0F7D">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w:t>
      </w:r>
      <w:r w:rsidRPr="0003208C">
        <w:rPr>
          <w:rFonts w:ascii="Times New Roman" w:hAnsi="Times New Roman" w:cs="Times New Roman"/>
          <w:sz w:val="24"/>
          <w:szCs w:val="24"/>
        </w:rPr>
        <w:t>This challenges the common assumption in digital health policy that technology alone will lead to improvements, without considering the influence of social and organisational factors.</w:t>
      </w:r>
    </w:p>
    <w:p w14:paraId="67BD4ECA" w14:textId="77777777" w:rsidR="00924347" w:rsidRPr="00541202" w:rsidRDefault="00924347" w:rsidP="00924347">
      <w:pPr>
        <w:spacing w:before="100" w:beforeAutospacing="1" w:after="100" w:afterAutospacing="1" w:line="240" w:lineRule="auto"/>
        <w:jc w:val="both"/>
        <w:rPr>
          <w:rFonts w:ascii="Times New Roman" w:eastAsia="Times New Roman" w:hAnsi="Times New Roman" w:cs="Times New Roman"/>
          <w:sz w:val="24"/>
          <w:szCs w:val="24"/>
          <w:lang w:eastAsia="en-GB"/>
        </w:rPr>
      </w:pPr>
      <w:r w:rsidRPr="00541202">
        <w:rPr>
          <w:rFonts w:ascii="Times New Roman" w:hAnsi="Times New Roman" w:cs="Times New Roman"/>
          <w:sz w:val="24"/>
          <w:szCs w:val="24"/>
        </w:rPr>
        <w:t>In practice, poorly designed systems may introduce new barriers to documentation (</w:t>
      </w:r>
      <w:proofErr w:type="spellStart"/>
      <w:r w:rsidRPr="00541202">
        <w:rPr>
          <w:rFonts w:ascii="Times New Roman" w:hAnsi="Times New Roman" w:cs="Times New Roman"/>
          <w:sz w:val="24"/>
          <w:szCs w:val="24"/>
        </w:rPr>
        <w:t>Olakotan</w:t>
      </w:r>
      <w:proofErr w:type="spellEnd"/>
      <w:r w:rsidRPr="00541202">
        <w:rPr>
          <w:rFonts w:ascii="Times New Roman" w:hAnsi="Times New Roman" w:cs="Times New Roman"/>
          <w:sz w:val="24"/>
          <w:szCs w:val="24"/>
        </w:rPr>
        <w:t xml:space="preserve"> et al 2025). For example, rigid templates may not accommodate the nuances of sexual health consultations, while excessive mandatory fields may encourage superficial or inaccurate data entry (Moy et al 2023). On the other hand, a lack of structured fields can lead to inconsistent recording and difficulties in extracting data for audit or surveillance purposes (</w:t>
      </w:r>
      <w:proofErr w:type="spellStart"/>
      <w:r w:rsidRPr="00541202">
        <w:rPr>
          <w:rFonts w:ascii="Times New Roman" w:hAnsi="Times New Roman" w:cs="Times New Roman"/>
          <w:sz w:val="24"/>
          <w:szCs w:val="24"/>
        </w:rPr>
        <w:t>Olakotan</w:t>
      </w:r>
      <w:proofErr w:type="spellEnd"/>
      <w:r w:rsidRPr="00541202">
        <w:rPr>
          <w:rFonts w:ascii="Times New Roman" w:hAnsi="Times New Roman" w:cs="Times New Roman"/>
          <w:sz w:val="24"/>
          <w:szCs w:val="24"/>
        </w:rPr>
        <w:t xml:space="preserve"> et al 2025). </w:t>
      </w:r>
      <w:r w:rsidRPr="00541202">
        <w:rPr>
          <w:rFonts w:ascii="Times New Roman" w:eastAsia="Times New Roman" w:hAnsi="Times New Roman" w:cs="Times New Roman"/>
          <w:sz w:val="24"/>
          <w:szCs w:val="24"/>
          <w:lang w:eastAsia="en-GB"/>
        </w:rPr>
        <w:t xml:space="preserve">Previous work has highlighted challenges associated with electronic documentation systems in sexual health services, including difficulties in recording vaccination data due to lack of structured templates and poor system usability (Williams 2026). </w:t>
      </w:r>
      <w:r w:rsidRPr="00541202">
        <w:rPr>
          <w:rFonts w:ascii="Times New Roman" w:hAnsi="Times New Roman" w:cs="Times New Roman"/>
          <w:sz w:val="24"/>
          <w:szCs w:val="24"/>
        </w:rPr>
        <w:t>These findings highlight the potential for EPR systems to both support and hinder data quality, depending on how they are implemented and used. These points suggest that digital solutions alone are insufficient, and that social and organisational factors must be considered.</w:t>
      </w:r>
    </w:p>
    <w:p w14:paraId="64847838" w14:textId="77777777" w:rsidR="00924347" w:rsidRDefault="00924347" w:rsidP="00924347">
      <w:pPr>
        <w:spacing w:before="100" w:beforeAutospacing="1" w:after="100" w:afterAutospacing="1" w:line="24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In </w:t>
      </w:r>
      <w:r w:rsidRPr="001C0F7D">
        <w:rPr>
          <w:rFonts w:ascii="Times New Roman" w:eastAsia="Times New Roman" w:hAnsi="Times New Roman" w:cs="Times New Roman"/>
          <w:sz w:val="24"/>
          <w:szCs w:val="24"/>
          <w:lang w:eastAsia="en-GB"/>
        </w:rPr>
        <w:t>sexual health</w:t>
      </w:r>
      <w:r>
        <w:rPr>
          <w:rFonts w:ascii="Times New Roman" w:eastAsia="Times New Roman" w:hAnsi="Times New Roman" w:cs="Times New Roman"/>
          <w:sz w:val="24"/>
          <w:szCs w:val="24"/>
          <w:lang w:eastAsia="en-GB"/>
        </w:rPr>
        <w:t xml:space="preserve"> settings,</w:t>
      </w:r>
      <w:r w:rsidRPr="001C0F7D">
        <w:rPr>
          <w:rFonts w:ascii="Times New Roman" w:eastAsia="Times New Roman" w:hAnsi="Times New Roman" w:cs="Times New Roman"/>
          <w:sz w:val="24"/>
          <w:szCs w:val="24"/>
          <w:lang w:eastAsia="en-GB"/>
        </w:rPr>
        <w:t xml:space="preserve"> consultations involve the collection of highly sensitive information</w:t>
      </w:r>
      <w:r>
        <w:rPr>
          <w:rFonts w:ascii="Times New Roman" w:eastAsia="Times New Roman" w:hAnsi="Times New Roman" w:cs="Times New Roman"/>
          <w:sz w:val="24"/>
          <w:szCs w:val="24"/>
          <w:lang w:eastAsia="en-GB"/>
        </w:rPr>
        <w:t>. This</w:t>
      </w:r>
      <w:r w:rsidRPr="001C0F7D">
        <w:rPr>
          <w:rFonts w:ascii="Times New Roman" w:eastAsia="Times New Roman" w:hAnsi="Times New Roman" w:cs="Times New Roman"/>
          <w:sz w:val="24"/>
          <w:szCs w:val="24"/>
          <w:lang w:eastAsia="en-GB"/>
        </w:rPr>
        <w:t xml:space="preserve"> includ</w:t>
      </w:r>
      <w:r>
        <w:rPr>
          <w:rFonts w:ascii="Times New Roman" w:eastAsia="Times New Roman" w:hAnsi="Times New Roman" w:cs="Times New Roman"/>
          <w:sz w:val="24"/>
          <w:szCs w:val="24"/>
          <w:lang w:eastAsia="en-GB"/>
        </w:rPr>
        <w:t>es</w:t>
      </w:r>
      <w:r w:rsidRPr="001C0F7D">
        <w:rPr>
          <w:rFonts w:ascii="Times New Roman" w:eastAsia="Times New Roman" w:hAnsi="Times New Roman" w:cs="Times New Roman"/>
          <w:sz w:val="24"/>
          <w:szCs w:val="24"/>
          <w:lang w:eastAsia="en-GB"/>
        </w:rPr>
        <w:t xml:space="preserve"> sexual behaviours, relationships and risk factors. Patients may be reluctant to disclose such information due to stigma or concerns about confidentiality</w:t>
      </w:r>
      <w:r>
        <w:rPr>
          <w:rFonts w:ascii="Times New Roman" w:eastAsia="Times New Roman" w:hAnsi="Times New Roman" w:cs="Times New Roman"/>
          <w:sz w:val="24"/>
          <w:szCs w:val="24"/>
          <w:lang w:eastAsia="en-GB"/>
        </w:rPr>
        <w:t xml:space="preserve"> (Gibbs et al 2022; Bennett et al 2023)</w:t>
      </w:r>
      <w:r w:rsidRPr="001C0F7D">
        <w:rPr>
          <w:rFonts w:ascii="Times New Roman" w:eastAsia="Times New Roman" w:hAnsi="Times New Roman" w:cs="Times New Roman"/>
          <w:sz w:val="24"/>
          <w:szCs w:val="24"/>
          <w:lang w:eastAsia="en-GB"/>
        </w:rPr>
        <w:t xml:space="preserve">. This can result in incomplete data, even where clinicians </w:t>
      </w:r>
      <w:r w:rsidR="002C507E">
        <w:rPr>
          <w:rFonts w:ascii="Times New Roman" w:eastAsia="Times New Roman" w:hAnsi="Times New Roman" w:cs="Times New Roman"/>
          <w:sz w:val="24"/>
          <w:szCs w:val="24"/>
          <w:lang w:eastAsia="en-GB"/>
        </w:rPr>
        <w:t>try</w:t>
      </w:r>
      <w:r w:rsidRPr="001C0F7D">
        <w:rPr>
          <w:rFonts w:ascii="Times New Roman" w:eastAsia="Times New Roman" w:hAnsi="Times New Roman" w:cs="Times New Roman"/>
          <w:sz w:val="24"/>
          <w:szCs w:val="24"/>
          <w:lang w:eastAsia="en-GB"/>
        </w:rPr>
        <w:t xml:space="preserve"> to collect </w:t>
      </w:r>
      <w:r w:rsidR="002C507E">
        <w:rPr>
          <w:rFonts w:ascii="Times New Roman" w:eastAsia="Times New Roman" w:hAnsi="Times New Roman" w:cs="Times New Roman"/>
          <w:sz w:val="24"/>
          <w:szCs w:val="24"/>
          <w:lang w:eastAsia="en-GB"/>
        </w:rPr>
        <w:t xml:space="preserve">the </w:t>
      </w:r>
      <w:r w:rsidRPr="001C0F7D">
        <w:rPr>
          <w:rFonts w:ascii="Times New Roman" w:eastAsia="Times New Roman" w:hAnsi="Times New Roman" w:cs="Times New Roman"/>
          <w:sz w:val="24"/>
          <w:szCs w:val="24"/>
          <w:lang w:eastAsia="en-GB"/>
        </w:rPr>
        <w:t>information</w:t>
      </w:r>
      <w:r>
        <w:rPr>
          <w:rFonts w:ascii="Times New Roman" w:eastAsia="Times New Roman" w:hAnsi="Times New Roman" w:cs="Times New Roman"/>
          <w:sz w:val="24"/>
          <w:szCs w:val="24"/>
          <w:lang w:eastAsia="en-GB"/>
        </w:rPr>
        <w:t xml:space="preserve">. </w:t>
      </w:r>
      <w:r w:rsidRPr="001C0F7D">
        <w:rPr>
          <w:rFonts w:ascii="Times New Roman" w:eastAsia="Times New Roman" w:hAnsi="Times New Roman" w:cs="Times New Roman"/>
          <w:sz w:val="24"/>
          <w:szCs w:val="24"/>
          <w:lang w:eastAsia="en-GB"/>
        </w:rPr>
        <w:t>The complexity of consultations, combined with increasing service demand, may result in prioritisation of clinical care over documentation.</w:t>
      </w:r>
    </w:p>
    <w:p w14:paraId="4904D835" w14:textId="77777777" w:rsidR="00924347" w:rsidRDefault="00924347" w:rsidP="00924347">
      <w:pPr>
        <w:spacing w:before="100" w:beforeAutospacing="1" w:after="100" w:afterAutospacing="1" w:line="240" w:lineRule="auto"/>
        <w:jc w:val="both"/>
        <w:rPr>
          <w:rFonts w:ascii="Times New Roman" w:hAnsi="Times New Roman" w:cs="Times New Roman"/>
          <w:sz w:val="24"/>
          <w:szCs w:val="24"/>
        </w:rPr>
      </w:pPr>
      <w:r w:rsidRPr="001C0F7D">
        <w:rPr>
          <w:rFonts w:ascii="Times New Roman" w:eastAsia="Times New Roman" w:hAnsi="Times New Roman" w:cs="Times New Roman"/>
          <w:sz w:val="24"/>
          <w:szCs w:val="24"/>
          <w:lang w:eastAsia="en-GB"/>
        </w:rPr>
        <w:t>Clinicians themselves may also face barriers to complete data entry, including time pressures, competing priorities and uncertainty regarding the relevance of certain data fields</w:t>
      </w:r>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Olakotan</w:t>
      </w:r>
      <w:proofErr w:type="spellEnd"/>
      <w:r>
        <w:rPr>
          <w:rFonts w:ascii="Times New Roman" w:eastAsia="Times New Roman" w:hAnsi="Times New Roman" w:cs="Times New Roman"/>
          <w:sz w:val="24"/>
          <w:szCs w:val="24"/>
          <w:lang w:eastAsia="en-GB"/>
        </w:rPr>
        <w:t xml:space="preserve"> et al 2025)</w:t>
      </w:r>
      <w:r w:rsidRPr="001C0F7D">
        <w:rPr>
          <w:rFonts w:ascii="Times New Roman" w:eastAsia="Times New Roman" w:hAnsi="Times New Roman" w:cs="Times New Roman"/>
          <w:sz w:val="24"/>
          <w:szCs w:val="24"/>
          <w:lang w:eastAsia="en-GB"/>
        </w:rPr>
        <w:t xml:space="preserve">. </w:t>
      </w:r>
      <w:r w:rsidRPr="00696E06">
        <w:rPr>
          <w:rFonts w:ascii="Times New Roman" w:hAnsi="Times New Roman" w:cs="Times New Roman"/>
          <w:sz w:val="24"/>
          <w:szCs w:val="24"/>
        </w:rPr>
        <w:t xml:space="preserve">This raises questions about the extent to which data completeness should be standardised, and whether all data fields carry equal clinical or public health value. </w:t>
      </w:r>
    </w:p>
    <w:p w14:paraId="59E73741" w14:textId="77777777" w:rsidR="00924347" w:rsidRPr="005A5B04" w:rsidRDefault="00924347" w:rsidP="00924347">
      <w:pPr>
        <w:spacing w:before="100" w:beforeAutospacing="1" w:after="100" w:afterAutospacing="1" w:line="240" w:lineRule="auto"/>
        <w:jc w:val="both"/>
        <w:rPr>
          <w:rFonts w:ascii="Times New Roman" w:hAnsi="Times New Roman" w:cs="Times New Roman"/>
          <w:sz w:val="24"/>
          <w:szCs w:val="24"/>
        </w:rPr>
      </w:pPr>
      <w:r w:rsidRPr="005A5B04">
        <w:rPr>
          <w:rFonts w:ascii="Times New Roman" w:hAnsi="Times New Roman" w:cs="Times New Roman"/>
          <w:sz w:val="24"/>
          <w:szCs w:val="24"/>
        </w:rPr>
        <w:t>Given the complicated na</w:t>
      </w:r>
      <w:r>
        <w:rPr>
          <w:rFonts w:ascii="Times New Roman" w:hAnsi="Times New Roman" w:cs="Times New Roman"/>
          <w:sz w:val="24"/>
          <w:szCs w:val="24"/>
        </w:rPr>
        <w:t>ture of this issue, this study</w:t>
      </w:r>
      <w:r w:rsidRPr="005A5B04">
        <w:rPr>
          <w:rFonts w:ascii="Times New Roman" w:hAnsi="Times New Roman" w:cs="Times New Roman"/>
          <w:sz w:val="24"/>
          <w:szCs w:val="24"/>
        </w:rPr>
        <w:t xml:space="preserve"> </w:t>
      </w:r>
      <w:r>
        <w:rPr>
          <w:rFonts w:ascii="Times New Roman" w:hAnsi="Times New Roman" w:cs="Times New Roman"/>
          <w:sz w:val="24"/>
          <w:szCs w:val="24"/>
        </w:rPr>
        <w:t>will use</w:t>
      </w:r>
      <w:r w:rsidRPr="005A5B04">
        <w:rPr>
          <w:rFonts w:ascii="Times New Roman" w:hAnsi="Times New Roman" w:cs="Times New Roman"/>
          <w:sz w:val="24"/>
          <w:szCs w:val="24"/>
        </w:rPr>
        <w:t xml:space="preserve"> a </w:t>
      </w:r>
      <w:r>
        <w:rPr>
          <w:rFonts w:ascii="Times New Roman" w:hAnsi="Times New Roman" w:cs="Times New Roman"/>
          <w:sz w:val="24"/>
          <w:szCs w:val="24"/>
        </w:rPr>
        <w:t xml:space="preserve">convergent </w:t>
      </w:r>
      <w:r w:rsidRPr="005A5B04">
        <w:rPr>
          <w:rFonts w:ascii="Times New Roman" w:hAnsi="Times New Roman" w:cs="Times New Roman"/>
          <w:sz w:val="24"/>
          <w:szCs w:val="24"/>
        </w:rPr>
        <w:t>mixed methods approach</w:t>
      </w:r>
      <w:r>
        <w:rPr>
          <w:rFonts w:ascii="Times New Roman" w:hAnsi="Times New Roman" w:cs="Times New Roman"/>
          <w:sz w:val="24"/>
          <w:szCs w:val="24"/>
        </w:rPr>
        <w:t>, as described by Creswell &amp; Plano Clark (2017),</w:t>
      </w:r>
      <w:r w:rsidRPr="005A5B04">
        <w:rPr>
          <w:rFonts w:ascii="Times New Roman" w:hAnsi="Times New Roman" w:cs="Times New Roman"/>
          <w:sz w:val="24"/>
          <w:szCs w:val="24"/>
        </w:rPr>
        <w:t xml:space="preserve"> to explore data completeness within the S</w:t>
      </w:r>
      <w:r>
        <w:rPr>
          <w:rFonts w:ascii="Times New Roman" w:hAnsi="Times New Roman" w:cs="Times New Roman"/>
          <w:sz w:val="24"/>
          <w:szCs w:val="24"/>
        </w:rPr>
        <w:t>BUHB ISH EPR system. The study</w:t>
      </w:r>
      <w:r w:rsidRPr="005A5B04">
        <w:rPr>
          <w:rFonts w:ascii="Times New Roman" w:hAnsi="Times New Roman" w:cs="Times New Roman"/>
          <w:sz w:val="24"/>
          <w:szCs w:val="24"/>
        </w:rPr>
        <w:t xml:space="preserve"> aim is to evaluate the extent and determinants of incomplete documentation within sexual health records and to develop evidence-based recommendations to improve data quality in a way that is meaningful and </w:t>
      </w:r>
      <w:r w:rsidR="00B324D2">
        <w:rPr>
          <w:rFonts w:ascii="Times New Roman" w:hAnsi="Times New Roman" w:cs="Times New Roman"/>
          <w:sz w:val="24"/>
          <w:szCs w:val="24"/>
        </w:rPr>
        <w:t>is viable to use within clinical practice.</w:t>
      </w:r>
    </w:p>
    <w:p w14:paraId="163F95D4" w14:textId="77777777" w:rsidR="00924347" w:rsidRPr="00696E06" w:rsidRDefault="00924347" w:rsidP="00924347">
      <w:pPr>
        <w:spacing w:before="100" w:beforeAutospacing="1" w:after="100" w:afterAutospacing="1" w:line="240" w:lineRule="auto"/>
        <w:jc w:val="both"/>
        <w:rPr>
          <w:rFonts w:ascii="Times New Roman" w:eastAsia="Times New Roman" w:hAnsi="Times New Roman" w:cs="Times New Roman"/>
          <w:sz w:val="24"/>
          <w:szCs w:val="24"/>
          <w:lang w:eastAsia="en-GB"/>
        </w:rPr>
      </w:pPr>
      <w:r w:rsidRPr="00696E06">
        <w:rPr>
          <w:rFonts w:ascii="Times New Roman" w:eastAsia="Times New Roman" w:hAnsi="Times New Roman" w:cs="Times New Roman"/>
          <w:sz w:val="24"/>
          <w:szCs w:val="24"/>
          <w:lang w:eastAsia="en-GB"/>
        </w:rPr>
        <w:t>Therefore</w:t>
      </w:r>
      <w:r>
        <w:rPr>
          <w:rFonts w:ascii="Times New Roman" w:eastAsia="Times New Roman" w:hAnsi="Times New Roman" w:cs="Times New Roman"/>
          <w:sz w:val="24"/>
          <w:szCs w:val="24"/>
          <w:lang w:eastAsia="en-GB"/>
        </w:rPr>
        <w:t>, the objectives of this study</w:t>
      </w:r>
      <w:r w:rsidRPr="00696E06">
        <w:rPr>
          <w:rFonts w:ascii="Times New Roman" w:eastAsia="Times New Roman" w:hAnsi="Times New Roman" w:cs="Times New Roman"/>
          <w:sz w:val="24"/>
          <w:szCs w:val="24"/>
          <w:lang w:eastAsia="en-GB"/>
        </w:rPr>
        <w:t xml:space="preserve"> are:</w:t>
      </w:r>
    </w:p>
    <w:p w14:paraId="206397FF" w14:textId="77777777" w:rsidR="00924347" w:rsidRPr="00F20468" w:rsidRDefault="00924347" w:rsidP="00924347">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F20468">
        <w:rPr>
          <w:rFonts w:ascii="Times New Roman" w:eastAsia="Times New Roman" w:hAnsi="Times New Roman" w:cs="Times New Roman"/>
          <w:sz w:val="24"/>
          <w:szCs w:val="24"/>
          <w:lang w:eastAsia="en-GB"/>
        </w:rPr>
        <w:t xml:space="preserve">To quantify the level of completeness across key data fields within </w:t>
      </w:r>
      <w:r>
        <w:rPr>
          <w:rFonts w:ascii="Times New Roman" w:eastAsia="Times New Roman" w:hAnsi="Times New Roman" w:cs="Times New Roman"/>
          <w:sz w:val="24"/>
          <w:szCs w:val="24"/>
          <w:lang w:eastAsia="en-GB"/>
        </w:rPr>
        <w:t>the ISH EPR systems</w:t>
      </w:r>
    </w:p>
    <w:p w14:paraId="27CACB09" w14:textId="77777777" w:rsidR="00924347" w:rsidRPr="00F20468" w:rsidRDefault="00924347" w:rsidP="00924347">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F20468">
        <w:rPr>
          <w:rFonts w:ascii="Times New Roman" w:eastAsia="Times New Roman" w:hAnsi="Times New Roman" w:cs="Times New Roman"/>
          <w:sz w:val="24"/>
          <w:szCs w:val="24"/>
          <w:lang w:eastAsia="en-GB"/>
        </w:rPr>
        <w:t xml:space="preserve">To identify demographic and clinical factors associated with incomplete records </w:t>
      </w:r>
    </w:p>
    <w:p w14:paraId="29DBD0FE" w14:textId="77777777" w:rsidR="00924347" w:rsidRPr="00F20468" w:rsidRDefault="00924347" w:rsidP="00924347">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F20468">
        <w:rPr>
          <w:rFonts w:ascii="Times New Roman" w:eastAsia="Times New Roman" w:hAnsi="Times New Roman" w:cs="Times New Roman"/>
          <w:sz w:val="24"/>
          <w:szCs w:val="24"/>
          <w:lang w:eastAsia="en-GB"/>
        </w:rPr>
        <w:t>To explore clin</w:t>
      </w:r>
      <w:r>
        <w:rPr>
          <w:rFonts w:ascii="Times New Roman" w:eastAsia="Times New Roman" w:hAnsi="Times New Roman" w:cs="Times New Roman"/>
          <w:sz w:val="24"/>
          <w:szCs w:val="24"/>
          <w:lang w:eastAsia="en-GB"/>
        </w:rPr>
        <w:t xml:space="preserve">ician perspectives on barriers </w:t>
      </w:r>
      <w:r w:rsidRPr="00F20468">
        <w:rPr>
          <w:rFonts w:ascii="Times New Roman" w:eastAsia="Times New Roman" w:hAnsi="Times New Roman" w:cs="Times New Roman"/>
          <w:sz w:val="24"/>
          <w:szCs w:val="24"/>
          <w:lang w:eastAsia="en-GB"/>
        </w:rPr>
        <w:t xml:space="preserve">to complete data entry </w:t>
      </w:r>
    </w:p>
    <w:p w14:paraId="70ED6701" w14:textId="77777777" w:rsidR="00924347" w:rsidRDefault="00924347" w:rsidP="00924347">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F20468">
        <w:rPr>
          <w:rFonts w:ascii="Times New Roman" w:eastAsia="Times New Roman" w:hAnsi="Times New Roman" w:cs="Times New Roman"/>
          <w:sz w:val="24"/>
          <w:szCs w:val="24"/>
          <w:lang w:eastAsia="en-GB"/>
        </w:rPr>
        <w:t xml:space="preserve">To integrate quantitative and qualitative findings to develop recommendations for improving data quality </w:t>
      </w:r>
    </w:p>
    <w:p w14:paraId="5E957D2F" w14:textId="77777777" w:rsidR="00924347" w:rsidRDefault="00924347" w:rsidP="00924347">
      <w:pPr>
        <w:spacing w:before="100" w:beforeAutospacing="1" w:after="100" w:afterAutospacing="1" w:line="240" w:lineRule="auto"/>
        <w:rPr>
          <w:rFonts w:ascii="Times New Roman" w:eastAsia="Times New Roman" w:hAnsi="Times New Roman" w:cs="Times New Roman"/>
          <w:sz w:val="24"/>
          <w:szCs w:val="24"/>
          <w:lang w:eastAsia="en-GB"/>
        </w:rPr>
      </w:pPr>
    </w:p>
    <w:p w14:paraId="27F05C9A" w14:textId="77777777" w:rsidR="00924347" w:rsidRDefault="00924347" w:rsidP="00924347">
      <w:pPr>
        <w:spacing w:before="100" w:beforeAutospacing="1" w:after="100" w:afterAutospacing="1" w:line="240" w:lineRule="auto"/>
        <w:rPr>
          <w:rFonts w:ascii="Times New Roman" w:eastAsia="Times New Roman" w:hAnsi="Times New Roman" w:cs="Times New Roman"/>
          <w:sz w:val="24"/>
          <w:szCs w:val="24"/>
          <w:lang w:eastAsia="en-GB"/>
        </w:rPr>
      </w:pPr>
    </w:p>
    <w:p w14:paraId="4B1D4255" w14:textId="77777777" w:rsidR="00924347" w:rsidRDefault="00924347" w:rsidP="00924347">
      <w:pPr>
        <w:spacing w:before="100" w:beforeAutospacing="1" w:after="100" w:afterAutospacing="1" w:line="240" w:lineRule="auto"/>
        <w:rPr>
          <w:rFonts w:ascii="Times New Roman" w:eastAsia="Times New Roman" w:hAnsi="Times New Roman" w:cs="Times New Roman"/>
          <w:sz w:val="24"/>
          <w:szCs w:val="24"/>
          <w:lang w:eastAsia="en-GB"/>
        </w:rPr>
      </w:pPr>
    </w:p>
    <w:p w14:paraId="3C868E2C" w14:textId="77777777" w:rsidR="00924347" w:rsidRPr="005D6EFB" w:rsidRDefault="00924347" w:rsidP="00924347">
      <w:pPr>
        <w:spacing w:before="100" w:beforeAutospacing="1" w:after="100" w:afterAutospacing="1" w:line="240" w:lineRule="auto"/>
        <w:jc w:val="center"/>
        <w:rPr>
          <w:rFonts w:ascii="Times New Roman" w:eastAsia="Times New Roman" w:hAnsi="Times New Roman" w:cs="Times New Roman"/>
          <w:b/>
          <w:sz w:val="28"/>
          <w:szCs w:val="28"/>
          <w:lang w:eastAsia="en-GB"/>
        </w:rPr>
      </w:pPr>
      <w:r w:rsidRPr="005D6EFB">
        <w:rPr>
          <w:rFonts w:ascii="Times New Roman" w:eastAsia="Times New Roman" w:hAnsi="Times New Roman" w:cs="Times New Roman"/>
          <w:b/>
          <w:sz w:val="28"/>
          <w:szCs w:val="28"/>
          <w:lang w:eastAsia="en-GB"/>
        </w:rPr>
        <w:t>Data Collection &amp; Analysis Methodology</w:t>
      </w:r>
    </w:p>
    <w:p w14:paraId="1108F8EA" w14:textId="77777777" w:rsidR="00924347" w:rsidRPr="0073235D" w:rsidRDefault="00924347" w:rsidP="00924347">
      <w:pPr>
        <w:spacing w:before="100" w:beforeAutospacing="1" w:after="100" w:afterAutospacing="1" w:line="240" w:lineRule="auto"/>
        <w:jc w:val="both"/>
        <w:rPr>
          <w:rFonts w:ascii="Times New Roman" w:eastAsia="Times New Roman" w:hAnsi="Times New Roman" w:cs="Times New Roman"/>
          <w:sz w:val="24"/>
          <w:szCs w:val="24"/>
          <w:lang w:eastAsia="en-GB"/>
        </w:rPr>
      </w:pPr>
      <w:r w:rsidRPr="0073235D">
        <w:rPr>
          <w:rFonts w:ascii="Times New Roman" w:eastAsia="Times New Roman" w:hAnsi="Times New Roman" w:cs="Times New Roman"/>
          <w:sz w:val="24"/>
          <w:szCs w:val="24"/>
          <w:lang w:eastAsia="en-GB"/>
        </w:rPr>
        <w:t>The selection of a mixed-methods design is justified by the complicated nature of the research problem. An evaluation of data completeness within the ISH EPR system includes both measurable patterns of incomplete data and the complex organisational and behavioural factors that influence documentation pract</w:t>
      </w:r>
      <w:r>
        <w:rPr>
          <w:rFonts w:ascii="Times New Roman" w:eastAsia="Times New Roman" w:hAnsi="Times New Roman" w:cs="Times New Roman"/>
          <w:sz w:val="24"/>
          <w:szCs w:val="24"/>
          <w:lang w:eastAsia="en-GB"/>
        </w:rPr>
        <w:t>ices. Quantitative methods only</w:t>
      </w:r>
      <w:r w:rsidRPr="0073235D">
        <w:rPr>
          <w:rFonts w:ascii="Times New Roman" w:eastAsia="Times New Roman" w:hAnsi="Times New Roman" w:cs="Times New Roman"/>
          <w:sz w:val="24"/>
          <w:szCs w:val="24"/>
          <w:lang w:eastAsia="en-GB"/>
        </w:rPr>
        <w:t xml:space="preserve"> would allow for the identification of the extent of missing data but would fail to allow for the understanding of the contextual reasons beneath these patterns. Equally, a purely qualitative approach would provide insight into clinician experiences but would lack the capacity to quantify the scale of the issue</w:t>
      </w:r>
      <w:r>
        <w:rPr>
          <w:rFonts w:ascii="Times New Roman" w:eastAsia="Times New Roman" w:hAnsi="Times New Roman" w:cs="Times New Roman"/>
          <w:sz w:val="24"/>
          <w:szCs w:val="24"/>
          <w:lang w:eastAsia="en-GB"/>
        </w:rPr>
        <w:t xml:space="preserve"> (Creswell &amp; Plano Clark 2017)</w:t>
      </w:r>
      <w:r w:rsidRPr="0073235D">
        <w:rPr>
          <w:rFonts w:ascii="Times New Roman" w:eastAsia="Times New Roman" w:hAnsi="Times New Roman" w:cs="Times New Roman"/>
          <w:sz w:val="24"/>
          <w:szCs w:val="24"/>
          <w:lang w:eastAsia="en-GB"/>
        </w:rPr>
        <w:t>. By integrati</w:t>
      </w:r>
      <w:r>
        <w:rPr>
          <w:rFonts w:ascii="Times New Roman" w:eastAsia="Times New Roman" w:hAnsi="Times New Roman" w:cs="Times New Roman"/>
          <w:sz w:val="24"/>
          <w:szCs w:val="24"/>
          <w:lang w:eastAsia="en-GB"/>
        </w:rPr>
        <w:t>ng both approaches, this study</w:t>
      </w:r>
      <w:r w:rsidRPr="0073235D">
        <w:rPr>
          <w:rFonts w:ascii="Times New Roman" w:eastAsia="Times New Roman" w:hAnsi="Times New Roman" w:cs="Times New Roman"/>
          <w:sz w:val="24"/>
          <w:szCs w:val="24"/>
          <w:lang w:eastAsia="en-GB"/>
        </w:rPr>
        <w:t xml:space="preserve"> is able to provide a more comprehensive understanding of the issues</w:t>
      </w:r>
      <w:r>
        <w:rPr>
          <w:rFonts w:ascii="Times New Roman" w:eastAsia="Times New Roman" w:hAnsi="Times New Roman" w:cs="Times New Roman"/>
          <w:sz w:val="24"/>
          <w:szCs w:val="24"/>
          <w:lang w:eastAsia="en-GB"/>
        </w:rPr>
        <w:t xml:space="preserve"> (Fetters et al 2013; Creswell &amp; Plano Clark 2017)</w:t>
      </w:r>
      <w:r w:rsidRPr="0073235D">
        <w:rPr>
          <w:rFonts w:ascii="Times New Roman" w:eastAsia="Times New Roman" w:hAnsi="Times New Roman" w:cs="Times New Roman"/>
          <w:sz w:val="24"/>
          <w:szCs w:val="24"/>
          <w:lang w:eastAsia="en-GB"/>
        </w:rPr>
        <w:t>.</w:t>
      </w:r>
    </w:p>
    <w:p w14:paraId="2041F510" w14:textId="77777777" w:rsidR="00924347" w:rsidRPr="0073235D" w:rsidRDefault="00924347" w:rsidP="00924347">
      <w:pPr>
        <w:spacing w:before="100" w:beforeAutospacing="1" w:after="100" w:afterAutospacing="1" w:line="240" w:lineRule="auto"/>
        <w:jc w:val="both"/>
        <w:rPr>
          <w:rFonts w:ascii="Times New Roman" w:eastAsia="Times New Roman" w:hAnsi="Times New Roman" w:cs="Times New Roman"/>
          <w:sz w:val="24"/>
          <w:szCs w:val="24"/>
          <w:lang w:eastAsia="en-GB"/>
        </w:rPr>
      </w:pPr>
      <w:r w:rsidRPr="0073235D">
        <w:rPr>
          <w:rFonts w:ascii="Times New Roman" w:eastAsia="Times New Roman" w:hAnsi="Times New Roman" w:cs="Times New Roman"/>
          <w:sz w:val="24"/>
          <w:szCs w:val="24"/>
          <w:lang w:eastAsia="en-GB"/>
        </w:rPr>
        <w:t>The quantitative component of the study will involve the extraction of anonymised patient-level data from the SBUHB ISH EPR system. This dataset will consist of routinely coll</w:t>
      </w:r>
      <w:r>
        <w:rPr>
          <w:rFonts w:ascii="Times New Roman" w:eastAsia="Times New Roman" w:hAnsi="Times New Roman" w:cs="Times New Roman"/>
          <w:sz w:val="24"/>
          <w:szCs w:val="24"/>
          <w:lang w:eastAsia="en-GB"/>
        </w:rPr>
        <w:t>ected clinical and demographic information</w:t>
      </w:r>
      <w:r w:rsidRPr="0073235D">
        <w:rPr>
          <w:rFonts w:ascii="Times New Roman" w:eastAsia="Times New Roman" w:hAnsi="Times New Roman" w:cs="Times New Roman"/>
          <w:sz w:val="24"/>
          <w:szCs w:val="24"/>
          <w:lang w:eastAsia="en-GB"/>
        </w:rPr>
        <w:t xml:space="preserve"> that </w:t>
      </w:r>
      <w:r>
        <w:rPr>
          <w:rFonts w:ascii="Times New Roman" w:eastAsia="Times New Roman" w:hAnsi="Times New Roman" w:cs="Times New Roman"/>
          <w:sz w:val="24"/>
          <w:szCs w:val="24"/>
          <w:lang w:eastAsia="en-GB"/>
        </w:rPr>
        <w:t>is</w:t>
      </w:r>
      <w:r w:rsidRPr="0073235D">
        <w:rPr>
          <w:rFonts w:ascii="Times New Roman" w:eastAsia="Times New Roman" w:hAnsi="Times New Roman" w:cs="Times New Roman"/>
          <w:sz w:val="24"/>
          <w:szCs w:val="24"/>
          <w:lang w:eastAsia="en-GB"/>
        </w:rPr>
        <w:t xml:space="preserve"> central to sexual health consultations and public health surveillance. Variables will be selected based on their clinical relevance, their importance for partner notification and infection control and their contribution to national surveillance systems. Data completeness</w:t>
      </w:r>
      <w:r>
        <w:rPr>
          <w:rFonts w:ascii="Times New Roman" w:eastAsia="Times New Roman" w:hAnsi="Times New Roman" w:cs="Times New Roman"/>
          <w:sz w:val="24"/>
          <w:szCs w:val="24"/>
          <w:lang w:eastAsia="en-GB"/>
        </w:rPr>
        <w:t xml:space="preserve"> is a major measurement of EPR quality. According to a scoping review by </w:t>
      </w:r>
      <w:proofErr w:type="spellStart"/>
      <w:r>
        <w:rPr>
          <w:rFonts w:ascii="Times New Roman" w:eastAsia="Times New Roman" w:hAnsi="Times New Roman" w:cs="Times New Roman"/>
          <w:sz w:val="24"/>
          <w:szCs w:val="24"/>
          <w:lang w:eastAsia="en-GB"/>
        </w:rPr>
        <w:t>Penev</w:t>
      </w:r>
      <w:proofErr w:type="spellEnd"/>
      <w:r>
        <w:rPr>
          <w:rFonts w:ascii="Times New Roman" w:eastAsia="Times New Roman" w:hAnsi="Times New Roman" w:cs="Times New Roman"/>
          <w:sz w:val="24"/>
          <w:szCs w:val="24"/>
          <w:lang w:eastAsia="en-GB"/>
        </w:rPr>
        <w:t xml:space="preserve"> et al (2024), 81% of EPR data quality studies cite it as one of the most common quality measures. In this study, data completeness</w:t>
      </w:r>
      <w:r w:rsidRPr="0073235D">
        <w:rPr>
          <w:rFonts w:ascii="Times New Roman" w:eastAsia="Times New Roman" w:hAnsi="Times New Roman" w:cs="Times New Roman"/>
          <w:sz w:val="24"/>
          <w:szCs w:val="24"/>
          <w:lang w:eastAsia="en-GB"/>
        </w:rPr>
        <w:t xml:space="preserve"> will be measured as the percentage of patient records in which each data field has been filled in. This approach will </w:t>
      </w:r>
      <w:r>
        <w:rPr>
          <w:rFonts w:ascii="Times New Roman" w:eastAsia="Times New Roman" w:hAnsi="Times New Roman" w:cs="Times New Roman"/>
          <w:sz w:val="24"/>
          <w:szCs w:val="24"/>
          <w:lang w:eastAsia="en-GB"/>
        </w:rPr>
        <w:t>allow for</w:t>
      </w:r>
      <w:r w:rsidRPr="0073235D">
        <w:rPr>
          <w:rFonts w:ascii="Times New Roman" w:eastAsia="Times New Roman" w:hAnsi="Times New Roman" w:cs="Times New Roman"/>
          <w:sz w:val="24"/>
          <w:szCs w:val="24"/>
          <w:lang w:eastAsia="en-GB"/>
        </w:rPr>
        <w:t xml:space="preserve"> a systematic assessment of documentation practices across the service.</w:t>
      </w:r>
    </w:p>
    <w:p w14:paraId="1D63284D" w14:textId="77777777" w:rsidR="00924347" w:rsidRPr="0073235D" w:rsidRDefault="00924347" w:rsidP="00924347">
      <w:pPr>
        <w:spacing w:before="100" w:beforeAutospacing="1" w:after="100" w:afterAutospacing="1" w:line="240" w:lineRule="auto"/>
        <w:jc w:val="both"/>
        <w:rPr>
          <w:rFonts w:ascii="Times New Roman" w:eastAsia="Times New Roman" w:hAnsi="Times New Roman" w:cs="Times New Roman"/>
          <w:sz w:val="24"/>
          <w:szCs w:val="24"/>
          <w:lang w:eastAsia="en-GB"/>
        </w:rPr>
      </w:pPr>
      <w:r w:rsidRPr="0073235D">
        <w:rPr>
          <w:rFonts w:ascii="Times New Roman" w:eastAsia="Times New Roman" w:hAnsi="Times New Roman" w:cs="Times New Roman"/>
          <w:sz w:val="24"/>
          <w:szCs w:val="24"/>
          <w:lang w:eastAsia="en-GB"/>
        </w:rPr>
        <w:t xml:space="preserve">Analysing the use of routinely collected EPR data will offer several advantages. It allows for the analysis of real-world clinical practice rather than relying on self-reported or simulated data, improving the relevance and applicability of findings to everyday practice (Liu et al 2022). In addition, it enables the inclusion of a large sample size, which increases the reliability of findings and supports the identification of patterns across different patient groups (Andrade 2020; </w:t>
      </w:r>
      <w:proofErr w:type="spellStart"/>
      <w:r w:rsidRPr="0073235D">
        <w:rPr>
          <w:rFonts w:ascii="Times New Roman" w:eastAsia="Times New Roman" w:hAnsi="Times New Roman" w:cs="Times New Roman"/>
          <w:sz w:val="24"/>
          <w:szCs w:val="24"/>
          <w:lang w:eastAsia="en-GB"/>
        </w:rPr>
        <w:t>QuantHub</w:t>
      </w:r>
      <w:proofErr w:type="spellEnd"/>
      <w:r w:rsidRPr="0073235D">
        <w:rPr>
          <w:rFonts w:ascii="Times New Roman" w:eastAsia="Times New Roman" w:hAnsi="Times New Roman" w:cs="Times New Roman"/>
          <w:sz w:val="24"/>
          <w:szCs w:val="24"/>
          <w:lang w:eastAsia="en-GB"/>
        </w:rPr>
        <w:t xml:space="preserve"> 2023; Riley et al 2025). This metho</w:t>
      </w:r>
      <w:r>
        <w:rPr>
          <w:rFonts w:ascii="Times New Roman" w:eastAsia="Times New Roman" w:hAnsi="Times New Roman" w:cs="Times New Roman"/>
          <w:sz w:val="24"/>
          <w:szCs w:val="24"/>
          <w:lang w:eastAsia="en-GB"/>
        </w:rPr>
        <w:t>d addresses the study</w:t>
      </w:r>
      <w:r w:rsidRPr="0073235D">
        <w:rPr>
          <w:rFonts w:ascii="Times New Roman" w:eastAsia="Times New Roman" w:hAnsi="Times New Roman" w:cs="Times New Roman"/>
          <w:sz w:val="24"/>
          <w:szCs w:val="24"/>
          <w:lang w:eastAsia="en-GB"/>
        </w:rPr>
        <w:t xml:space="preserve"> objective of measuring completeness across key data fields. However, it is acknowledged that routinely collected data may be subject to quality issues, inaccuracies and inconsistencies (</w:t>
      </w:r>
      <w:proofErr w:type="spellStart"/>
      <w:r w:rsidRPr="0073235D">
        <w:rPr>
          <w:rFonts w:ascii="Times New Roman" w:eastAsia="Times New Roman" w:hAnsi="Times New Roman" w:cs="Times New Roman"/>
          <w:sz w:val="24"/>
          <w:szCs w:val="24"/>
          <w:lang w:eastAsia="en-GB"/>
        </w:rPr>
        <w:t>Jetley</w:t>
      </w:r>
      <w:proofErr w:type="spellEnd"/>
      <w:r w:rsidRPr="0073235D">
        <w:rPr>
          <w:rFonts w:ascii="Times New Roman" w:eastAsia="Times New Roman" w:hAnsi="Times New Roman" w:cs="Times New Roman"/>
          <w:sz w:val="24"/>
          <w:szCs w:val="24"/>
          <w:lang w:eastAsia="en-GB"/>
        </w:rPr>
        <w:t xml:space="preserve"> &amp; Zhang 2019). This limitation reinforces the need to analyse quantitative findings alongside qualitative insights in order to fully understand the underlying causes of incomplete documentation.</w:t>
      </w:r>
    </w:p>
    <w:p w14:paraId="000DE260" w14:textId="77777777" w:rsidR="00924347" w:rsidRPr="0073235D" w:rsidRDefault="00924347" w:rsidP="00924347">
      <w:pPr>
        <w:spacing w:before="100" w:beforeAutospacing="1" w:after="100" w:afterAutospacing="1" w:line="240" w:lineRule="auto"/>
        <w:jc w:val="both"/>
        <w:rPr>
          <w:rFonts w:ascii="Times New Roman" w:eastAsia="Times New Roman" w:hAnsi="Times New Roman" w:cs="Times New Roman"/>
          <w:sz w:val="24"/>
          <w:szCs w:val="24"/>
          <w:lang w:eastAsia="en-GB"/>
        </w:rPr>
      </w:pPr>
      <w:r w:rsidRPr="0073235D">
        <w:rPr>
          <w:rFonts w:ascii="Times New Roman" w:eastAsia="Times New Roman" w:hAnsi="Times New Roman" w:cs="Times New Roman"/>
          <w:sz w:val="24"/>
          <w:szCs w:val="24"/>
          <w:lang w:eastAsia="en-GB"/>
        </w:rPr>
        <w:t xml:space="preserve">Quantitative analysis will begin with descriptive statistics to establish the extent of data completeness across each variable. This will involve calculating the </w:t>
      </w:r>
      <w:r w:rsidR="00324173" w:rsidRPr="0073235D">
        <w:rPr>
          <w:rFonts w:ascii="Times New Roman" w:eastAsia="Times New Roman" w:hAnsi="Times New Roman" w:cs="Times New Roman"/>
          <w:sz w:val="24"/>
          <w:szCs w:val="24"/>
          <w:lang w:eastAsia="en-GB"/>
        </w:rPr>
        <w:t>amount</w:t>
      </w:r>
      <w:r w:rsidRPr="0073235D">
        <w:rPr>
          <w:rFonts w:ascii="Times New Roman" w:eastAsia="Times New Roman" w:hAnsi="Times New Roman" w:cs="Times New Roman"/>
          <w:sz w:val="24"/>
          <w:szCs w:val="24"/>
          <w:lang w:eastAsia="en-GB"/>
        </w:rPr>
        <w:t xml:space="preserve"> of missing data and examining how complete the data is in different areas or sections. </w:t>
      </w:r>
      <w:r>
        <w:rPr>
          <w:rFonts w:ascii="Times New Roman" w:eastAsia="Times New Roman" w:hAnsi="Times New Roman" w:cs="Times New Roman"/>
          <w:sz w:val="24"/>
          <w:szCs w:val="24"/>
          <w:lang w:eastAsia="en-GB"/>
        </w:rPr>
        <w:t xml:space="preserve">To carry out </w:t>
      </w:r>
      <w:r w:rsidRPr="005F4C98">
        <w:rPr>
          <w:rFonts w:ascii="Times New Roman" w:eastAsia="Times New Roman" w:hAnsi="Times New Roman" w:cs="Times New Roman"/>
          <w:sz w:val="24"/>
          <w:szCs w:val="24"/>
          <w:lang w:eastAsia="en-GB"/>
        </w:rPr>
        <w:t>the s</w:t>
      </w:r>
      <w:r w:rsidRPr="005F4C98">
        <w:rPr>
          <w:rFonts w:ascii="Times New Roman" w:hAnsi="Times New Roman" w:cs="Times New Roman"/>
          <w:sz w:val="24"/>
          <w:szCs w:val="24"/>
        </w:rPr>
        <w:t>tatistical analysis, software such as ‘</w:t>
      </w:r>
      <w:r w:rsidRPr="005F4C98">
        <w:rPr>
          <w:rStyle w:val="whitespace-normal"/>
          <w:rFonts w:ascii="Times New Roman" w:hAnsi="Times New Roman" w:cs="Times New Roman"/>
          <w:sz w:val="24"/>
          <w:szCs w:val="24"/>
        </w:rPr>
        <w:t>IBM SPSS Statistics’</w:t>
      </w:r>
      <w:r w:rsidRPr="005F4C98">
        <w:rPr>
          <w:rFonts w:ascii="Times New Roman" w:hAnsi="Times New Roman" w:cs="Times New Roman"/>
          <w:sz w:val="24"/>
          <w:szCs w:val="24"/>
        </w:rPr>
        <w:t xml:space="preserve"> or ‘Microsoft Excel’ could be used. These are widely used packages in healthcare research for managing large datasets and performing descriptive and inferential analyses</w:t>
      </w:r>
      <w:r>
        <w:rPr>
          <w:rFonts w:ascii="Times New Roman" w:hAnsi="Times New Roman" w:cs="Times New Roman"/>
          <w:sz w:val="24"/>
          <w:szCs w:val="24"/>
        </w:rPr>
        <w:t xml:space="preserve"> (Sullivan &amp; </w:t>
      </w:r>
      <w:proofErr w:type="spellStart"/>
      <w:r>
        <w:rPr>
          <w:rFonts w:ascii="Times New Roman" w:hAnsi="Times New Roman" w:cs="Times New Roman"/>
          <w:sz w:val="24"/>
          <w:szCs w:val="24"/>
        </w:rPr>
        <w:t>Artino</w:t>
      </w:r>
      <w:proofErr w:type="spellEnd"/>
      <w:r>
        <w:rPr>
          <w:rFonts w:ascii="Times New Roman" w:hAnsi="Times New Roman" w:cs="Times New Roman"/>
          <w:sz w:val="24"/>
          <w:szCs w:val="24"/>
        </w:rPr>
        <w:t xml:space="preserve"> 2013; Field 2018)</w:t>
      </w:r>
      <w:r w:rsidRPr="005F4C98">
        <w:rPr>
          <w:rFonts w:ascii="Times New Roman" w:hAnsi="Times New Roman" w:cs="Times New Roman"/>
          <w:sz w:val="24"/>
          <w:szCs w:val="24"/>
        </w:rPr>
        <w:t>.</w:t>
      </w:r>
      <w:r>
        <w:t xml:space="preserve"> </w:t>
      </w:r>
      <w:r w:rsidRPr="0073235D">
        <w:rPr>
          <w:rFonts w:ascii="Times New Roman" w:eastAsia="Times New Roman" w:hAnsi="Times New Roman" w:cs="Times New Roman"/>
          <w:sz w:val="24"/>
          <w:szCs w:val="24"/>
          <w:lang w:eastAsia="en-GB"/>
        </w:rPr>
        <w:t>Such analysis will identify which areas of the EPR are most affected by incomplete documentation and will provide a foundation for further investigation. Following this, inferential statistical methods will be used to explore</w:t>
      </w:r>
      <w:r w:rsidR="00324173">
        <w:rPr>
          <w:rFonts w:ascii="Times New Roman" w:eastAsia="Times New Roman" w:hAnsi="Times New Roman" w:cs="Times New Roman"/>
          <w:sz w:val="24"/>
          <w:szCs w:val="24"/>
          <w:lang w:eastAsia="en-GB"/>
        </w:rPr>
        <w:t xml:space="preserve"> any</w:t>
      </w:r>
      <w:r w:rsidRPr="0073235D">
        <w:rPr>
          <w:rFonts w:ascii="Times New Roman" w:eastAsia="Times New Roman" w:hAnsi="Times New Roman" w:cs="Times New Roman"/>
          <w:sz w:val="24"/>
          <w:szCs w:val="24"/>
          <w:lang w:eastAsia="en-GB"/>
        </w:rPr>
        <w:t xml:space="preserve"> associations between data completeness and patient or clinical characteristics. Binary logistic regression could be used to find out what factors make incomplete data more or less likely (Cornish et al 2023). It looks at whether data is missing or not (a yes/no outcome) and examines how issues such as demographics or the type of </w:t>
      </w:r>
      <w:r w:rsidRPr="0073235D">
        <w:rPr>
          <w:rFonts w:ascii="Times New Roman" w:eastAsia="Times New Roman" w:hAnsi="Times New Roman" w:cs="Times New Roman"/>
          <w:sz w:val="24"/>
          <w:szCs w:val="24"/>
          <w:lang w:eastAsia="en-GB"/>
        </w:rPr>
        <w:lastRenderedPageBreak/>
        <w:t xml:space="preserve">consultation might affect that. This is useful as it can consider several factors at the same time, showing which factors independently contribute to missing data. </w:t>
      </w:r>
      <w:r>
        <w:rPr>
          <w:rFonts w:ascii="Times New Roman" w:eastAsia="Times New Roman" w:hAnsi="Times New Roman" w:cs="Times New Roman"/>
          <w:sz w:val="24"/>
          <w:szCs w:val="24"/>
          <w:lang w:eastAsia="en-GB"/>
        </w:rPr>
        <w:t>‘</w:t>
      </w:r>
      <w:r w:rsidRPr="0073235D">
        <w:rPr>
          <w:rFonts w:ascii="Times New Roman" w:eastAsia="Times New Roman" w:hAnsi="Times New Roman" w:cs="Times New Roman"/>
          <w:sz w:val="24"/>
          <w:szCs w:val="24"/>
          <w:lang w:eastAsia="en-GB"/>
        </w:rPr>
        <w:t>Chi-square tests</w:t>
      </w:r>
      <w:r>
        <w:rPr>
          <w:rFonts w:ascii="Times New Roman" w:eastAsia="Times New Roman" w:hAnsi="Times New Roman" w:cs="Times New Roman"/>
          <w:sz w:val="24"/>
          <w:szCs w:val="24"/>
          <w:lang w:eastAsia="en-GB"/>
        </w:rPr>
        <w:t>’</w:t>
      </w:r>
      <w:r w:rsidRPr="0073235D">
        <w:rPr>
          <w:rFonts w:ascii="Times New Roman" w:eastAsia="Times New Roman" w:hAnsi="Times New Roman" w:cs="Times New Roman"/>
          <w:sz w:val="24"/>
          <w:szCs w:val="24"/>
          <w:lang w:eastAsia="en-GB"/>
        </w:rPr>
        <w:t xml:space="preserve"> could also be used to see if there is a relationship between categories and whether data is complete, giving an early indication of possible links in the data (</w:t>
      </w:r>
      <w:proofErr w:type="spellStart"/>
      <w:r w:rsidRPr="0073235D">
        <w:rPr>
          <w:rFonts w:ascii="Times New Roman" w:eastAsia="Times New Roman" w:hAnsi="Times New Roman" w:cs="Times New Roman"/>
          <w:sz w:val="24"/>
          <w:szCs w:val="24"/>
          <w:lang w:eastAsia="en-GB"/>
        </w:rPr>
        <w:t>Vach</w:t>
      </w:r>
      <w:proofErr w:type="spellEnd"/>
      <w:r w:rsidRPr="0073235D">
        <w:rPr>
          <w:rFonts w:ascii="Times New Roman" w:eastAsia="Times New Roman" w:hAnsi="Times New Roman" w:cs="Times New Roman"/>
          <w:sz w:val="24"/>
          <w:szCs w:val="24"/>
          <w:lang w:eastAsia="en-GB"/>
        </w:rPr>
        <w:t xml:space="preserve"> &amp; </w:t>
      </w:r>
      <w:proofErr w:type="spellStart"/>
      <w:r w:rsidRPr="0073235D">
        <w:rPr>
          <w:rFonts w:ascii="Times New Roman" w:eastAsia="Times New Roman" w:hAnsi="Times New Roman" w:cs="Times New Roman"/>
          <w:sz w:val="24"/>
          <w:szCs w:val="24"/>
          <w:lang w:eastAsia="en-GB"/>
        </w:rPr>
        <w:t>Blettner</w:t>
      </w:r>
      <w:proofErr w:type="spellEnd"/>
      <w:r w:rsidRPr="0073235D">
        <w:rPr>
          <w:rFonts w:ascii="Times New Roman" w:eastAsia="Times New Roman" w:hAnsi="Times New Roman" w:cs="Times New Roman"/>
          <w:sz w:val="24"/>
          <w:szCs w:val="24"/>
          <w:lang w:eastAsia="en-GB"/>
        </w:rPr>
        <w:t xml:space="preserve"> 1995).</w:t>
      </w:r>
    </w:p>
    <w:p w14:paraId="2FB22C88" w14:textId="77777777" w:rsidR="00924347" w:rsidRPr="0073235D" w:rsidRDefault="00924347" w:rsidP="00924347">
      <w:pPr>
        <w:spacing w:before="100" w:beforeAutospacing="1" w:after="100" w:afterAutospacing="1" w:line="240" w:lineRule="auto"/>
        <w:jc w:val="both"/>
        <w:rPr>
          <w:rFonts w:ascii="Times New Roman" w:eastAsia="Times New Roman" w:hAnsi="Times New Roman" w:cs="Times New Roman"/>
          <w:sz w:val="24"/>
          <w:szCs w:val="24"/>
          <w:lang w:eastAsia="en-GB"/>
        </w:rPr>
      </w:pPr>
      <w:r w:rsidRPr="0073235D">
        <w:rPr>
          <w:rFonts w:ascii="Times New Roman" w:eastAsia="Times New Roman" w:hAnsi="Times New Roman" w:cs="Times New Roman"/>
          <w:sz w:val="24"/>
          <w:szCs w:val="24"/>
          <w:lang w:eastAsia="en-GB"/>
        </w:rPr>
        <w:t xml:space="preserve">Statistical significance will be assessed using a common threshold to decide if results are meaningful (p &lt; 0.05), and will also show a range of possible values to show how accurate those results are. If the ‘p-value’ is less than 0.05 (p &lt; 0.05), the result is considered statistically significant (Sedgewick 2015; Phillips et al 2022). This suggests there is less than a 5% chance the result happened randomly. However, it is important to recognise that statistical significance does not </w:t>
      </w:r>
      <w:r>
        <w:rPr>
          <w:rFonts w:ascii="Times New Roman" w:eastAsia="Times New Roman" w:hAnsi="Times New Roman" w:cs="Times New Roman"/>
          <w:sz w:val="24"/>
          <w:szCs w:val="24"/>
          <w:lang w:eastAsia="en-GB"/>
        </w:rPr>
        <w:t>always</w:t>
      </w:r>
      <w:r w:rsidRPr="0073235D">
        <w:rPr>
          <w:rFonts w:ascii="Times New Roman" w:eastAsia="Times New Roman" w:hAnsi="Times New Roman" w:cs="Times New Roman"/>
          <w:sz w:val="24"/>
          <w:szCs w:val="24"/>
          <w:lang w:eastAsia="en-GB"/>
        </w:rPr>
        <w:t xml:space="preserve"> equate to practical or clinical importance (Phillips et al 2022). Therefore, findings will also be interpreted in </w:t>
      </w:r>
      <w:r w:rsidR="00324173">
        <w:rPr>
          <w:rFonts w:ascii="Times New Roman" w:eastAsia="Times New Roman" w:hAnsi="Times New Roman" w:cs="Times New Roman"/>
          <w:sz w:val="24"/>
          <w:szCs w:val="24"/>
          <w:lang w:eastAsia="en-GB"/>
        </w:rPr>
        <w:t>terms of their practical impact</w:t>
      </w:r>
      <w:r w:rsidRPr="0073235D">
        <w:rPr>
          <w:rFonts w:ascii="Times New Roman" w:eastAsia="Times New Roman" w:hAnsi="Times New Roman" w:cs="Times New Roman"/>
          <w:sz w:val="24"/>
          <w:szCs w:val="24"/>
          <w:lang w:eastAsia="en-GB"/>
        </w:rPr>
        <w:t xml:space="preserve">, ensuring that the analysis is </w:t>
      </w:r>
      <w:r w:rsidR="00324173">
        <w:rPr>
          <w:rFonts w:ascii="Times New Roman" w:eastAsia="Times New Roman" w:hAnsi="Times New Roman" w:cs="Times New Roman"/>
          <w:sz w:val="24"/>
          <w:szCs w:val="24"/>
          <w:lang w:eastAsia="en-GB"/>
        </w:rPr>
        <w:t xml:space="preserve">reflects </w:t>
      </w:r>
      <w:r w:rsidRPr="0073235D">
        <w:rPr>
          <w:rFonts w:ascii="Times New Roman" w:eastAsia="Times New Roman" w:hAnsi="Times New Roman" w:cs="Times New Roman"/>
          <w:sz w:val="24"/>
          <w:szCs w:val="24"/>
          <w:lang w:eastAsia="en-GB"/>
        </w:rPr>
        <w:t>the practical realities of clinical care and service delivery.</w:t>
      </w:r>
    </w:p>
    <w:p w14:paraId="616324F6" w14:textId="77777777" w:rsidR="00924347" w:rsidRPr="0073235D" w:rsidRDefault="00924347" w:rsidP="00924347">
      <w:pPr>
        <w:spacing w:before="100" w:beforeAutospacing="1" w:after="100" w:afterAutospacing="1" w:line="240" w:lineRule="auto"/>
        <w:jc w:val="both"/>
        <w:rPr>
          <w:rFonts w:ascii="Times New Roman" w:eastAsia="Times New Roman" w:hAnsi="Times New Roman" w:cs="Times New Roman"/>
          <w:sz w:val="24"/>
          <w:szCs w:val="24"/>
          <w:lang w:eastAsia="en-GB"/>
        </w:rPr>
      </w:pPr>
      <w:r w:rsidRPr="0073235D">
        <w:rPr>
          <w:rFonts w:ascii="Times New Roman" w:eastAsia="Times New Roman" w:hAnsi="Times New Roman" w:cs="Times New Roman"/>
          <w:sz w:val="24"/>
          <w:szCs w:val="24"/>
          <w:lang w:eastAsia="en-GB"/>
        </w:rPr>
        <w:t>The qual</w:t>
      </w:r>
      <w:r>
        <w:rPr>
          <w:rFonts w:ascii="Times New Roman" w:eastAsia="Times New Roman" w:hAnsi="Times New Roman" w:cs="Times New Roman"/>
          <w:sz w:val="24"/>
          <w:szCs w:val="24"/>
          <w:lang w:eastAsia="en-GB"/>
        </w:rPr>
        <w:t>itative component of the study</w:t>
      </w:r>
      <w:r w:rsidRPr="0073235D">
        <w:rPr>
          <w:rFonts w:ascii="Times New Roman" w:eastAsia="Times New Roman" w:hAnsi="Times New Roman" w:cs="Times New Roman"/>
          <w:sz w:val="24"/>
          <w:szCs w:val="24"/>
          <w:lang w:eastAsia="en-GB"/>
        </w:rPr>
        <w:t xml:space="preserve"> will involve semi-structured interviews with clinicians working within SBUHB ISH services. This method is well suited to exploring the experiences and perspectives of healthcare professionals, as it allows for in-depth discussion while maintaining a degree of consistency across interviews. A purposive s</w:t>
      </w:r>
      <w:r>
        <w:rPr>
          <w:rFonts w:ascii="Times New Roman" w:eastAsia="Times New Roman" w:hAnsi="Times New Roman" w:cs="Times New Roman"/>
          <w:sz w:val="24"/>
          <w:szCs w:val="24"/>
          <w:lang w:eastAsia="en-GB"/>
        </w:rPr>
        <w:t>ampling strategy will be used</w:t>
      </w:r>
      <w:r w:rsidRPr="0073235D">
        <w:rPr>
          <w:rFonts w:ascii="Times New Roman" w:eastAsia="Times New Roman" w:hAnsi="Times New Roman" w:cs="Times New Roman"/>
          <w:sz w:val="24"/>
          <w:szCs w:val="24"/>
          <w:lang w:eastAsia="en-GB"/>
        </w:rPr>
        <w:t xml:space="preserve"> to recruit participants with relevant experience of using the EPR system, including doctors, nurses and health advisors. Participants with varying levels of experience will be </w:t>
      </w:r>
      <w:r>
        <w:rPr>
          <w:rFonts w:ascii="Times New Roman" w:eastAsia="Times New Roman" w:hAnsi="Times New Roman" w:cs="Times New Roman"/>
          <w:sz w:val="24"/>
          <w:szCs w:val="24"/>
          <w:lang w:eastAsia="en-GB"/>
        </w:rPr>
        <w:t>included in order to capture a wide</w:t>
      </w:r>
      <w:r w:rsidRPr="0073235D">
        <w:rPr>
          <w:rFonts w:ascii="Times New Roman" w:eastAsia="Times New Roman" w:hAnsi="Times New Roman" w:cs="Times New Roman"/>
          <w:sz w:val="24"/>
          <w:szCs w:val="24"/>
          <w:lang w:eastAsia="en-GB"/>
        </w:rPr>
        <w:t xml:space="preserve"> range of perspectives.</w:t>
      </w:r>
    </w:p>
    <w:p w14:paraId="338DEAC1" w14:textId="77777777" w:rsidR="00924347" w:rsidRPr="0073235D" w:rsidRDefault="00924347" w:rsidP="00924347">
      <w:pPr>
        <w:spacing w:before="100" w:beforeAutospacing="1" w:after="100" w:afterAutospacing="1" w:line="240" w:lineRule="auto"/>
        <w:jc w:val="both"/>
        <w:rPr>
          <w:rFonts w:ascii="Times New Roman" w:eastAsia="Times New Roman" w:hAnsi="Times New Roman" w:cs="Times New Roman"/>
          <w:sz w:val="24"/>
          <w:szCs w:val="24"/>
          <w:lang w:eastAsia="en-GB"/>
        </w:rPr>
      </w:pPr>
      <w:r w:rsidRPr="0073235D">
        <w:rPr>
          <w:rFonts w:ascii="Times New Roman" w:eastAsia="Times New Roman" w:hAnsi="Times New Roman" w:cs="Times New Roman"/>
          <w:sz w:val="24"/>
          <w:szCs w:val="24"/>
          <w:lang w:eastAsia="en-GB"/>
        </w:rPr>
        <w:t>Interviews wi</w:t>
      </w:r>
      <w:r>
        <w:rPr>
          <w:rFonts w:ascii="Times New Roman" w:eastAsia="Times New Roman" w:hAnsi="Times New Roman" w:cs="Times New Roman"/>
          <w:sz w:val="24"/>
          <w:szCs w:val="24"/>
          <w:lang w:eastAsia="en-GB"/>
        </w:rPr>
        <w:t>ll follow a set of guided questions,</w:t>
      </w:r>
      <w:r w:rsidRPr="0073235D">
        <w:rPr>
          <w:rFonts w:ascii="Times New Roman" w:eastAsia="Times New Roman" w:hAnsi="Times New Roman" w:cs="Times New Roman"/>
          <w:sz w:val="24"/>
          <w:szCs w:val="24"/>
          <w:lang w:eastAsia="en-GB"/>
        </w:rPr>
        <w:t xml:space="preserve"> developed in relation to the research objectives and existing literature. Questions will explore clinicians’ experiences of using the EPR system, perceived barriers to complete data entry, attitudes towards documentation requirements and the ways in which documentation affects patient care. </w:t>
      </w:r>
      <w:r>
        <w:rPr>
          <w:rFonts w:ascii="Times New Roman" w:eastAsia="Times New Roman" w:hAnsi="Times New Roman" w:cs="Times New Roman"/>
          <w:sz w:val="24"/>
          <w:szCs w:val="24"/>
          <w:lang w:eastAsia="en-GB"/>
        </w:rPr>
        <w:t>T</w:t>
      </w:r>
      <w:r w:rsidRPr="0073235D">
        <w:rPr>
          <w:rFonts w:ascii="Times New Roman" w:eastAsia="Times New Roman" w:hAnsi="Times New Roman" w:cs="Times New Roman"/>
          <w:sz w:val="24"/>
          <w:szCs w:val="24"/>
          <w:lang w:eastAsia="en-GB"/>
        </w:rPr>
        <w:t>his</w:t>
      </w:r>
      <w:r>
        <w:rPr>
          <w:rFonts w:ascii="Times New Roman" w:eastAsia="Times New Roman" w:hAnsi="Times New Roman" w:cs="Times New Roman"/>
          <w:sz w:val="24"/>
          <w:szCs w:val="24"/>
          <w:lang w:eastAsia="en-GB"/>
        </w:rPr>
        <w:t xml:space="preserve"> semi-structured</w:t>
      </w:r>
      <w:r w:rsidRPr="0073235D">
        <w:rPr>
          <w:rFonts w:ascii="Times New Roman" w:eastAsia="Times New Roman" w:hAnsi="Times New Roman" w:cs="Times New Roman"/>
          <w:sz w:val="24"/>
          <w:szCs w:val="24"/>
          <w:lang w:eastAsia="en-GB"/>
        </w:rPr>
        <w:t xml:space="preserve"> method will allow participants to reflect on complex issues such as confidentiality, stigma and competing priorities in a supportive and flexible environment. Interviews will be audio-recorded and transcribed verbatim to ensure accuracy and to facilitate detailed analysis.</w:t>
      </w:r>
    </w:p>
    <w:p w14:paraId="6673AB7A" w14:textId="77777777" w:rsidR="00924347" w:rsidRPr="0073235D" w:rsidRDefault="00924347" w:rsidP="00924347">
      <w:pPr>
        <w:spacing w:before="100" w:beforeAutospacing="1" w:after="100" w:afterAutospacing="1" w:line="240" w:lineRule="auto"/>
        <w:jc w:val="both"/>
        <w:rPr>
          <w:rFonts w:ascii="Times New Roman" w:eastAsia="Times New Roman" w:hAnsi="Times New Roman" w:cs="Times New Roman"/>
          <w:sz w:val="24"/>
          <w:szCs w:val="24"/>
          <w:lang w:eastAsia="en-GB"/>
        </w:rPr>
      </w:pPr>
      <w:r w:rsidRPr="0073235D">
        <w:rPr>
          <w:rFonts w:ascii="Times New Roman" w:eastAsia="Times New Roman" w:hAnsi="Times New Roman" w:cs="Times New Roman"/>
          <w:sz w:val="24"/>
          <w:szCs w:val="24"/>
          <w:lang w:eastAsia="en-GB"/>
        </w:rPr>
        <w:t>Qualitative data will</w:t>
      </w:r>
      <w:r>
        <w:rPr>
          <w:rFonts w:ascii="Times New Roman" w:eastAsia="Times New Roman" w:hAnsi="Times New Roman" w:cs="Times New Roman"/>
          <w:sz w:val="24"/>
          <w:szCs w:val="24"/>
          <w:lang w:eastAsia="en-GB"/>
        </w:rPr>
        <w:t xml:space="preserve"> then</w:t>
      </w:r>
      <w:r w:rsidRPr="0073235D">
        <w:rPr>
          <w:rFonts w:ascii="Times New Roman" w:eastAsia="Times New Roman" w:hAnsi="Times New Roman" w:cs="Times New Roman"/>
          <w:sz w:val="24"/>
          <w:szCs w:val="24"/>
          <w:lang w:eastAsia="en-GB"/>
        </w:rPr>
        <w:t xml:space="preserve"> be analysed using reflexive thematic analysis,</w:t>
      </w:r>
      <w:r>
        <w:rPr>
          <w:rFonts w:ascii="Times New Roman" w:eastAsia="Times New Roman" w:hAnsi="Times New Roman" w:cs="Times New Roman"/>
          <w:sz w:val="24"/>
          <w:szCs w:val="24"/>
          <w:lang w:eastAsia="en-GB"/>
        </w:rPr>
        <w:t xml:space="preserve"> following the approach developed</w:t>
      </w:r>
      <w:r w:rsidRPr="0073235D">
        <w:rPr>
          <w:rFonts w:ascii="Times New Roman" w:eastAsia="Times New Roman" w:hAnsi="Times New Roman" w:cs="Times New Roman"/>
          <w:sz w:val="24"/>
          <w:szCs w:val="24"/>
          <w:lang w:eastAsia="en-GB"/>
        </w:rPr>
        <w:t xml:space="preserve"> by Braun and Clarke (2019). This method was chosen as it allows for organised identification of patterns across qualitative data. It is well suited to healthcare based research because it is flexible and works with real-world clinical data. In addition, meaningful patterns in experiences that are found can directly inform improvements in healthcare services (Braun &amp; Clarke 2019; Campbell et al 2021). This method involves a structured process of becoming familiar with the data, coding, theme development and refinement. An inductive approach to coding will be adopted, this allows themes to emerge from the data rather than using pre-set ideas or theories. However, the analysis will remain informed by the research objectives, particularly in relation to identifying barriers to data completeness. Qualitative data analysis software may be utilised to support the organisation and management of data. </w:t>
      </w:r>
    </w:p>
    <w:p w14:paraId="7E865E74" w14:textId="77777777" w:rsidR="00924347" w:rsidRPr="005F4C98" w:rsidRDefault="00924347" w:rsidP="00924347">
      <w:pPr>
        <w:spacing w:before="100" w:beforeAutospacing="1" w:after="100" w:afterAutospacing="1" w:line="240" w:lineRule="auto"/>
        <w:jc w:val="both"/>
        <w:rPr>
          <w:rFonts w:ascii="Times New Roman" w:eastAsia="Times New Roman" w:hAnsi="Times New Roman" w:cs="Times New Roman"/>
          <w:sz w:val="24"/>
          <w:szCs w:val="24"/>
          <w:lang w:eastAsia="en-GB"/>
        </w:rPr>
      </w:pPr>
      <w:r w:rsidRPr="0073235D">
        <w:rPr>
          <w:rFonts w:ascii="Times New Roman" w:eastAsia="Times New Roman" w:hAnsi="Times New Roman" w:cs="Times New Roman"/>
          <w:sz w:val="24"/>
          <w:szCs w:val="24"/>
          <w:lang w:eastAsia="en-GB"/>
        </w:rPr>
        <w:t>In qualitative research, the concept of statistical significance is not directly applicable in the same way as in quantitative studies (Braun &amp; Clarke 2019). However, it remains important to assess how robust and credib</w:t>
      </w:r>
      <w:r>
        <w:rPr>
          <w:rFonts w:ascii="Times New Roman" w:eastAsia="Times New Roman" w:hAnsi="Times New Roman" w:cs="Times New Roman"/>
          <w:sz w:val="24"/>
          <w:szCs w:val="24"/>
          <w:lang w:eastAsia="en-GB"/>
        </w:rPr>
        <w:t>le findings are. In this study</w:t>
      </w:r>
      <w:r w:rsidRPr="0073235D">
        <w:rPr>
          <w:rFonts w:ascii="Times New Roman" w:eastAsia="Times New Roman" w:hAnsi="Times New Roman" w:cs="Times New Roman"/>
          <w:sz w:val="24"/>
          <w:szCs w:val="24"/>
          <w:lang w:eastAsia="en-GB"/>
        </w:rPr>
        <w:t>, this will be achieved through a number of strategies. Examining the frequency with which themes occur across participants, assessing the consistency of findings across different professional groups and then triangulating qualitative findings with quantitative data will ensure a comprehensive analysis</w:t>
      </w:r>
      <w:r w:rsidR="00090D9A">
        <w:rPr>
          <w:rFonts w:ascii="Times New Roman" w:eastAsia="Times New Roman" w:hAnsi="Times New Roman" w:cs="Times New Roman"/>
          <w:sz w:val="24"/>
          <w:szCs w:val="24"/>
          <w:lang w:eastAsia="en-GB"/>
        </w:rPr>
        <w:t>.</w:t>
      </w:r>
      <w:r w:rsidRPr="0073235D">
        <w:rPr>
          <w:rFonts w:ascii="Times New Roman" w:eastAsia="Times New Roman" w:hAnsi="Times New Roman" w:cs="Times New Roman"/>
          <w:sz w:val="24"/>
          <w:szCs w:val="24"/>
          <w:lang w:eastAsia="en-GB"/>
        </w:rPr>
        <w:t xml:space="preserve"> </w:t>
      </w:r>
      <w:r w:rsidR="00090D9A">
        <w:rPr>
          <w:rFonts w:ascii="Times New Roman" w:eastAsia="Times New Roman" w:hAnsi="Times New Roman" w:cs="Times New Roman"/>
          <w:sz w:val="24"/>
          <w:szCs w:val="24"/>
          <w:lang w:eastAsia="en-GB"/>
        </w:rPr>
        <w:t>This</w:t>
      </w:r>
      <w:r w:rsidRPr="0073235D">
        <w:rPr>
          <w:rFonts w:ascii="Times New Roman" w:eastAsia="Times New Roman" w:hAnsi="Times New Roman" w:cs="Times New Roman"/>
          <w:sz w:val="24"/>
          <w:szCs w:val="24"/>
          <w:lang w:eastAsia="en-GB"/>
        </w:rPr>
        <w:t xml:space="preserve"> will enhance the validity and credibility of the findings (Lincoln &amp; Guba 1985; Flick 2018). Themes that recur across multiple participants and align with quantitative patterns will </w:t>
      </w:r>
      <w:r w:rsidRPr="0073235D">
        <w:rPr>
          <w:rFonts w:ascii="Times New Roman" w:eastAsia="Times New Roman" w:hAnsi="Times New Roman" w:cs="Times New Roman"/>
          <w:sz w:val="24"/>
          <w:szCs w:val="24"/>
          <w:lang w:eastAsia="en-GB"/>
        </w:rPr>
        <w:lastRenderedPageBreak/>
        <w:t xml:space="preserve">be considered more robust. In addition, </w:t>
      </w:r>
      <w:r w:rsidR="00090D9A">
        <w:rPr>
          <w:rFonts w:ascii="Times New Roman" w:eastAsia="Times New Roman" w:hAnsi="Times New Roman" w:cs="Times New Roman"/>
          <w:sz w:val="24"/>
          <w:szCs w:val="24"/>
          <w:lang w:eastAsia="en-GB"/>
        </w:rPr>
        <w:t>‘</w:t>
      </w:r>
      <w:r w:rsidRPr="0073235D">
        <w:rPr>
          <w:rFonts w:ascii="Times New Roman" w:eastAsia="Times New Roman" w:hAnsi="Times New Roman" w:cs="Times New Roman"/>
          <w:sz w:val="24"/>
          <w:szCs w:val="24"/>
          <w:lang w:eastAsia="en-GB"/>
        </w:rPr>
        <w:t>negative case analysis</w:t>
      </w:r>
      <w:r w:rsidR="00090D9A">
        <w:rPr>
          <w:rFonts w:ascii="Times New Roman" w:eastAsia="Times New Roman" w:hAnsi="Times New Roman" w:cs="Times New Roman"/>
          <w:sz w:val="24"/>
          <w:szCs w:val="24"/>
          <w:lang w:eastAsia="en-GB"/>
        </w:rPr>
        <w:t>’</w:t>
      </w:r>
      <w:r w:rsidRPr="0073235D">
        <w:rPr>
          <w:rFonts w:ascii="Times New Roman" w:eastAsia="Times New Roman" w:hAnsi="Times New Roman" w:cs="Times New Roman"/>
          <w:sz w:val="24"/>
          <w:szCs w:val="24"/>
          <w:lang w:eastAsia="en-GB"/>
        </w:rPr>
        <w:t xml:space="preserve"> will be undertaken to ex</w:t>
      </w:r>
      <w:r w:rsidR="00090D9A">
        <w:rPr>
          <w:rFonts w:ascii="Times New Roman" w:eastAsia="Times New Roman" w:hAnsi="Times New Roman" w:cs="Times New Roman"/>
          <w:sz w:val="24"/>
          <w:szCs w:val="24"/>
          <w:lang w:eastAsia="en-GB"/>
        </w:rPr>
        <w:t>amine</w:t>
      </w:r>
      <w:r w:rsidRPr="0073235D">
        <w:rPr>
          <w:rFonts w:ascii="Times New Roman" w:eastAsia="Times New Roman" w:hAnsi="Times New Roman" w:cs="Times New Roman"/>
          <w:sz w:val="24"/>
          <w:szCs w:val="24"/>
          <w:lang w:eastAsia="en-GB"/>
        </w:rPr>
        <w:t xml:space="preserve"> </w:t>
      </w:r>
      <w:r w:rsidR="00090D9A">
        <w:rPr>
          <w:rFonts w:ascii="Times New Roman" w:eastAsia="Times New Roman" w:hAnsi="Times New Roman" w:cs="Times New Roman"/>
          <w:sz w:val="24"/>
          <w:szCs w:val="24"/>
          <w:lang w:eastAsia="en-GB"/>
        </w:rPr>
        <w:t>anything</w:t>
      </w:r>
      <w:r w:rsidRPr="0073235D">
        <w:rPr>
          <w:rFonts w:ascii="Times New Roman" w:eastAsia="Times New Roman" w:hAnsi="Times New Roman" w:cs="Times New Roman"/>
          <w:sz w:val="24"/>
          <w:szCs w:val="24"/>
          <w:lang w:eastAsia="en-GB"/>
        </w:rPr>
        <w:t xml:space="preserve"> that deviate</w:t>
      </w:r>
      <w:r w:rsidR="00090D9A">
        <w:rPr>
          <w:rFonts w:ascii="Times New Roman" w:eastAsia="Times New Roman" w:hAnsi="Times New Roman" w:cs="Times New Roman"/>
          <w:sz w:val="24"/>
          <w:szCs w:val="24"/>
          <w:lang w:eastAsia="en-GB"/>
        </w:rPr>
        <w:t>s</w:t>
      </w:r>
      <w:r w:rsidRPr="0073235D">
        <w:rPr>
          <w:rFonts w:ascii="Times New Roman" w:eastAsia="Times New Roman" w:hAnsi="Times New Roman" w:cs="Times New Roman"/>
          <w:sz w:val="24"/>
          <w:szCs w:val="24"/>
          <w:lang w:eastAsia="en-GB"/>
        </w:rPr>
        <w:t xml:space="preserve"> from </w:t>
      </w:r>
      <w:r w:rsidR="00090D9A">
        <w:rPr>
          <w:rFonts w:ascii="Times New Roman" w:eastAsia="Times New Roman" w:hAnsi="Times New Roman" w:cs="Times New Roman"/>
          <w:sz w:val="24"/>
          <w:szCs w:val="24"/>
          <w:lang w:eastAsia="en-GB"/>
        </w:rPr>
        <w:t xml:space="preserve">the </w:t>
      </w:r>
      <w:r w:rsidRPr="0073235D">
        <w:rPr>
          <w:rFonts w:ascii="Times New Roman" w:eastAsia="Times New Roman" w:hAnsi="Times New Roman" w:cs="Times New Roman"/>
          <w:sz w:val="24"/>
          <w:szCs w:val="24"/>
          <w:lang w:eastAsia="en-GB"/>
        </w:rPr>
        <w:t xml:space="preserve">dominant patterns. This involves searching for and examining examples in the data that do not fit the main patterns or themes, in order to provide a more complete interpretation of the findings (Miles, </w:t>
      </w:r>
      <w:proofErr w:type="spellStart"/>
      <w:r w:rsidRPr="0073235D">
        <w:rPr>
          <w:rFonts w:ascii="Times New Roman" w:eastAsia="Times New Roman" w:hAnsi="Times New Roman" w:cs="Times New Roman"/>
          <w:sz w:val="24"/>
          <w:szCs w:val="24"/>
          <w:lang w:eastAsia="en-GB"/>
        </w:rPr>
        <w:t>Hubermann</w:t>
      </w:r>
      <w:proofErr w:type="spellEnd"/>
      <w:r w:rsidRPr="0073235D">
        <w:rPr>
          <w:rFonts w:ascii="Times New Roman" w:eastAsia="Times New Roman" w:hAnsi="Times New Roman" w:cs="Times New Roman"/>
          <w:sz w:val="24"/>
          <w:szCs w:val="24"/>
          <w:lang w:eastAsia="en-GB"/>
        </w:rPr>
        <w:t xml:space="preserve"> &amp; Saldana 2014)</w:t>
      </w:r>
      <w:r>
        <w:rPr>
          <w:rFonts w:ascii="Times New Roman" w:eastAsia="Times New Roman" w:hAnsi="Times New Roman" w:cs="Times New Roman"/>
          <w:sz w:val="24"/>
          <w:szCs w:val="24"/>
          <w:lang w:eastAsia="en-GB"/>
        </w:rPr>
        <w:t xml:space="preserve">. The use of software packages </w:t>
      </w:r>
      <w:r w:rsidRPr="005F4C98">
        <w:rPr>
          <w:rFonts w:ascii="Times New Roman" w:eastAsia="Times New Roman" w:hAnsi="Times New Roman" w:cs="Times New Roman"/>
          <w:sz w:val="24"/>
          <w:szCs w:val="24"/>
          <w:lang w:eastAsia="en-GB"/>
        </w:rPr>
        <w:t>could</w:t>
      </w:r>
      <w:r w:rsidR="00090D9A">
        <w:rPr>
          <w:rFonts w:ascii="Times New Roman" w:hAnsi="Times New Roman" w:cs="Times New Roman"/>
          <w:sz w:val="24"/>
          <w:szCs w:val="24"/>
        </w:rPr>
        <w:t xml:space="preserve"> assist with</w:t>
      </w:r>
      <w:r w:rsidRPr="005F4C98">
        <w:rPr>
          <w:rFonts w:ascii="Times New Roman" w:hAnsi="Times New Roman" w:cs="Times New Roman"/>
          <w:sz w:val="24"/>
          <w:szCs w:val="24"/>
        </w:rPr>
        <w:t xml:space="preserve"> the comparison and organisation of quantitative and qualitative findings.</w:t>
      </w:r>
      <w:r w:rsidRPr="005F4C98">
        <w:rPr>
          <w:rFonts w:ascii="Times New Roman" w:eastAsia="Times New Roman" w:hAnsi="Times New Roman" w:cs="Times New Roman"/>
          <w:sz w:val="24"/>
          <w:szCs w:val="24"/>
          <w:lang w:eastAsia="en-GB"/>
        </w:rPr>
        <w:t xml:space="preserve"> </w:t>
      </w:r>
    </w:p>
    <w:p w14:paraId="03E28101" w14:textId="77777777" w:rsidR="00924347" w:rsidRDefault="00090D9A" w:rsidP="00924347">
      <w:pPr>
        <w:spacing w:before="100" w:beforeAutospacing="1" w:after="100" w:afterAutospacing="1" w:line="24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The impact on real-life practical</w:t>
      </w:r>
      <w:r w:rsidR="00924347" w:rsidRPr="0073235D">
        <w:rPr>
          <w:rFonts w:ascii="Times New Roman" w:eastAsia="Times New Roman" w:hAnsi="Times New Roman" w:cs="Times New Roman"/>
          <w:sz w:val="24"/>
          <w:szCs w:val="24"/>
          <w:lang w:eastAsia="en-GB"/>
        </w:rPr>
        <w:t xml:space="preserve"> significance will be </w:t>
      </w:r>
      <w:r w:rsidRPr="0073235D">
        <w:rPr>
          <w:rFonts w:ascii="Times New Roman" w:eastAsia="Times New Roman" w:hAnsi="Times New Roman" w:cs="Times New Roman"/>
          <w:sz w:val="24"/>
          <w:szCs w:val="24"/>
          <w:lang w:eastAsia="en-GB"/>
        </w:rPr>
        <w:t>crucial</w:t>
      </w:r>
      <w:r w:rsidR="00924347" w:rsidRPr="0073235D">
        <w:rPr>
          <w:rFonts w:ascii="Times New Roman" w:eastAsia="Times New Roman" w:hAnsi="Times New Roman" w:cs="Times New Roman"/>
          <w:sz w:val="24"/>
          <w:szCs w:val="24"/>
          <w:lang w:eastAsia="en-GB"/>
        </w:rPr>
        <w:t xml:space="preserve"> when interpreting qualitative findings (Greenhalgh &amp; Taylor 1997). Instead of focusing </w:t>
      </w:r>
      <w:r>
        <w:rPr>
          <w:rFonts w:ascii="Times New Roman" w:eastAsia="Times New Roman" w:hAnsi="Times New Roman" w:cs="Times New Roman"/>
          <w:sz w:val="24"/>
          <w:szCs w:val="24"/>
          <w:lang w:eastAsia="en-GB"/>
        </w:rPr>
        <w:t>only</w:t>
      </w:r>
      <w:r w:rsidR="00924347" w:rsidRPr="0073235D">
        <w:rPr>
          <w:rFonts w:ascii="Times New Roman" w:eastAsia="Times New Roman" w:hAnsi="Times New Roman" w:cs="Times New Roman"/>
          <w:sz w:val="24"/>
          <w:szCs w:val="24"/>
          <w:lang w:eastAsia="en-GB"/>
        </w:rPr>
        <w:t xml:space="preserve"> on the presence of themes, the analysis will prioritise </w:t>
      </w:r>
      <w:r>
        <w:rPr>
          <w:rFonts w:ascii="Times New Roman" w:eastAsia="Times New Roman" w:hAnsi="Times New Roman" w:cs="Times New Roman"/>
          <w:sz w:val="24"/>
          <w:szCs w:val="24"/>
          <w:lang w:eastAsia="en-GB"/>
        </w:rPr>
        <w:t xml:space="preserve">the </w:t>
      </w:r>
      <w:r w:rsidR="00924347" w:rsidRPr="0073235D">
        <w:rPr>
          <w:rFonts w:ascii="Times New Roman" w:eastAsia="Times New Roman" w:hAnsi="Times New Roman" w:cs="Times New Roman"/>
          <w:sz w:val="24"/>
          <w:szCs w:val="24"/>
          <w:lang w:eastAsia="en-GB"/>
        </w:rPr>
        <w:t>findings that have clear practical implications for improving data quality. A theme will be considered important in practice if it shows problems that can be changed to improve data completeness, is mentioned by several participants, and is relevant to how clinical systems or services are designed (Braun &amp; Clarke 2019). For example, if many clinicians say that required fields lead to rushed or inaccurate data entry, and this is also supported by quantitative data showing high completion rates but concerns about data quality, then this would be an important finding for real-world practice (Flick 2018). This appro</w:t>
      </w:r>
      <w:r w:rsidR="00924347">
        <w:rPr>
          <w:rFonts w:ascii="Times New Roman" w:eastAsia="Times New Roman" w:hAnsi="Times New Roman" w:cs="Times New Roman"/>
          <w:sz w:val="24"/>
          <w:szCs w:val="24"/>
          <w:lang w:eastAsia="en-GB"/>
        </w:rPr>
        <w:t>ach will ensure that the study</w:t>
      </w:r>
      <w:r w:rsidR="00924347" w:rsidRPr="0073235D">
        <w:rPr>
          <w:rFonts w:ascii="Times New Roman" w:eastAsia="Times New Roman" w:hAnsi="Times New Roman" w:cs="Times New Roman"/>
          <w:sz w:val="24"/>
          <w:szCs w:val="24"/>
          <w:lang w:eastAsia="en-GB"/>
        </w:rPr>
        <w:t xml:space="preserve"> generates findings that are meaningful and actionable within the ISH service.</w:t>
      </w:r>
    </w:p>
    <w:p w14:paraId="237BB664" w14:textId="77777777" w:rsidR="00924347" w:rsidRPr="0045307C" w:rsidRDefault="00924347" w:rsidP="00924347">
      <w:pPr>
        <w:spacing w:line="300" w:lineRule="atLeast"/>
        <w:jc w:val="both"/>
        <w:rPr>
          <w:rFonts w:ascii="Times New Roman" w:eastAsia="Times New Roman" w:hAnsi="Times New Roman" w:cs="Times New Roman"/>
          <w:sz w:val="24"/>
          <w:szCs w:val="24"/>
          <w:lang w:eastAsia="en-GB"/>
        </w:rPr>
      </w:pPr>
      <w:r w:rsidRPr="0045307C">
        <w:rPr>
          <w:rFonts w:ascii="Times New Roman" w:eastAsia="Times New Roman" w:hAnsi="Times New Roman" w:cs="Times New Roman"/>
          <w:sz w:val="24"/>
          <w:szCs w:val="24"/>
          <w:lang w:eastAsia="en-GB"/>
        </w:rPr>
        <w:t xml:space="preserve">When deciding the qualitative sample size, the concept of saturation is central. Saturation is the point where additional data collection no longer produces new themes or insights (Guest, </w:t>
      </w:r>
      <w:proofErr w:type="spellStart"/>
      <w:r w:rsidRPr="0045307C">
        <w:rPr>
          <w:rFonts w:ascii="Times New Roman" w:eastAsia="Times New Roman" w:hAnsi="Times New Roman" w:cs="Times New Roman"/>
          <w:sz w:val="24"/>
          <w:szCs w:val="24"/>
          <w:lang w:eastAsia="en-GB"/>
        </w:rPr>
        <w:t>Na</w:t>
      </w:r>
      <w:r>
        <w:rPr>
          <w:rFonts w:ascii="Times New Roman" w:eastAsia="Times New Roman" w:hAnsi="Times New Roman" w:cs="Times New Roman"/>
          <w:sz w:val="24"/>
          <w:szCs w:val="24"/>
          <w:lang w:eastAsia="en-GB"/>
        </w:rPr>
        <w:t>mey</w:t>
      </w:r>
      <w:proofErr w:type="spellEnd"/>
      <w:r>
        <w:rPr>
          <w:rFonts w:ascii="Times New Roman" w:eastAsia="Times New Roman" w:hAnsi="Times New Roman" w:cs="Times New Roman"/>
          <w:sz w:val="24"/>
          <w:szCs w:val="24"/>
          <w:lang w:eastAsia="en-GB"/>
        </w:rPr>
        <w:t xml:space="preserve"> &amp; Chen 2020). In this study</w:t>
      </w:r>
      <w:r w:rsidRPr="0045307C">
        <w:rPr>
          <w:rFonts w:ascii="Times New Roman" w:eastAsia="Times New Roman" w:hAnsi="Times New Roman" w:cs="Times New Roman"/>
          <w:sz w:val="24"/>
          <w:szCs w:val="24"/>
          <w:lang w:eastAsia="en-GB"/>
        </w:rPr>
        <w:t>, both code saturation and meaning saturation will be considered. Code saturation is reached when no new codes</w:t>
      </w:r>
      <w:r w:rsidR="00090D9A">
        <w:rPr>
          <w:rFonts w:ascii="Times New Roman" w:eastAsia="Times New Roman" w:hAnsi="Times New Roman" w:cs="Times New Roman"/>
          <w:sz w:val="24"/>
          <w:szCs w:val="24"/>
          <w:lang w:eastAsia="en-GB"/>
        </w:rPr>
        <w:t xml:space="preserve"> </w:t>
      </w:r>
      <w:r w:rsidR="00090D9A" w:rsidRPr="0045307C">
        <w:rPr>
          <w:rFonts w:ascii="Times New Roman" w:eastAsia="Times New Roman" w:hAnsi="Times New Roman" w:cs="Times New Roman"/>
          <w:sz w:val="24"/>
          <w:szCs w:val="24"/>
          <w:lang w:eastAsia="en-GB"/>
        </w:rPr>
        <w:t>(labels giv</w:t>
      </w:r>
      <w:r w:rsidR="00090D9A">
        <w:rPr>
          <w:rFonts w:ascii="Times New Roman" w:eastAsia="Times New Roman" w:hAnsi="Times New Roman" w:cs="Times New Roman"/>
          <w:sz w:val="24"/>
          <w:szCs w:val="24"/>
          <w:lang w:eastAsia="en-GB"/>
        </w:rPr>
        <w:t xml:space="preserve">en to pieces of interview data) </w:t>
      </w:r>
      <w:r w:rsidRPr="0045307C">
        <w:rPr>
          <w:rFonts w:ascii="Times New Roman" w:eastAsia="Times New Roman" w:hAnsi="Times New Roman" w:cs="Times New Roman"/>
          <w:sz w:val="24"/>
          <w:szCs w:val="24"/>
          <w:lang w:eastAsia="en-GB"/>
        </w:rPr>
        <w:t xml:space="preserve">emerge in interviews, while meaning saturation occurs when no new insights or interpretations emerge (Saunders et al 2018; Guest, </w:t>
      </w:r>
      <w:proofErr w:type="spellStart"/>
      <w:r w:rsidRPr="0045307C">
        <w:rPr>
          <w:rFonts w:ascii="Times New Roman" w:eastAsia="Times New Roman" w:hAnsi="Times New Roman" w:cs="Times New Roman"/>
          <w:sz w:val="24"/>
          <w:szCs w:val="24"/>
          <w:lang w:eastAsia="en-GB"/>
        </w:rPr>
        <w:t>Namey</w:t>
      </w:r>
      <w:proofErr w:type="spellEnd"/>
      <w:r w:rsidRPr="0045307C">
        <w:rPr>
          <w:rFonts w:ascii="Times New Roman" w:eastAsia="Times New Roman" w:hAnsi="Times New Roman" w:cs="Times New Roman"/>
          <w:sz w:val="24"/>
          <w:szCs w:val="24"/>
          <w:lang w:eastAsia="en-GB"/>
        </w:rPr>
        <w:t xml:space="preserve"> &amp; Chen 2020). Data collection and analysis will be conducted in parallel to each other which will allow for the monitoring of the development of themes and the assessment of when saturation has been achieved (Saunders et al 2018). Given the focused nature of the research, it is expected that saturation will be reached within a manageable number of interviews. However, to ensure flexibility, the final sample size will be determined by the richness and completeness of the data rather than a predetermined number. </w:t>
      </w:r>
    </w:p>
    <w:p w14:paraId="5C10E88D" w14:textId="77777777" w:rsidR="00924347" w:rsidRDefault="00924347" w:rsidP="00924347">
      <w:pPr>
        <w:spacing w:before="100" w:beforeAutospacing="1" w:after="100" w:afterAutospacing="1" w:line="24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The t</w:t>
      </w:r>
      <w:r w:rsidRPr="00B62618">
        <w:rPr>
          <w:rFonts w:ascii="Times New Roman" w:eastAsia="Times New Roman" w:hAnsi="Times New Roman" w:cs="Times New Roman"/>
          <w:sz w:val="24"/>
          <w:szCs w:val="24"/>
          <w:lang w:eastAsia="en-GB"/>
        </w:rPr>
        <w:t>ransferability</w:t>
      </w:r>
      <w:r>
        <w:rPr>
          <w:rFonts w:ascii="Times New Roman" w:eastAsia="Times New Roman" w:hAnsi="Times New Roman" w:cs="Times New Roman"/>
          <w:sz w:val="24"/>
          <w:szCs w:val="24"/>
          <w:lang w:eastAsia="en-GB"/>
        </w:rPr>
        <w:t xml:space="preserve"> (</w:t>
      </w:r>
      <w:r w:rsidRPr="00B62618">
        <w:rPr>
          <w:rFonts w:ascii="Times New Roman" w:eastAsia="Times New Roman" w:hAnsi="Times New Roman" w:cs="Times New Roman"/>
          <w:sz w:val="24"/>
          <w:szCs w:val="24"/>
          <w:lang w:eastAsia="en-GB"/>
        </w:rPr>
        <w:t>the extent to which</w:t>
      </w:r>
      <w:r>
        <w:rPr>
          <w:rFonts w:ascii="Times New Roman" w:eastAsia="Times New Roman" w:hAnsi="Times New Roman" w:cs="Times New Roman"/>
          <w:sz w:val="24"/>
          <w:szCs w:val="24"/>
          <w:lang w:eastAsia="en-GB"/>
        </w:rPr>
        <w:t xml:space="preserve"> the </w:t>
      </w:r>
      <w:r w:rsidRPr="00B62618">
        <w:rPr>
          <w:rFonts w:ascii="Times New Roman" w:eastAsia="Times New Roman" w:hAnsi="Times New Roman" w:cs="Times New Roman"/>
          <w:sz w:val="24"/>
          <w:szCs w:val="24"/>
          <w:lang w:eastAsia="en-GB"/>
        </w:rPr>
        <w:t>findings</w:t>
      </w:r>
      <w:r>
        <w:rPr>
          <w:rFonts w:ascii="Times New Roman" w:eastAsia="Times New Roman" w:hAnsi="Times New Roman" w:cs="Times New Roman"/>
          <w:sz w:val="24"/>
          <w:szCs w:val="24"/>
          <w:lang w:eastAsia="en-GB"/>
        </w:rPr>
        <w:t xml:space="preserve"> of the project</w:t>
      </w:r>
      <w:r w:rsidRPr="00B62618">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 xml:space="preserve">can be applied to other settings) </w:t>
      </w:r>
      <w:r w:rsidRPr="00B62618">
        <w:rPr>
          <w:rFonts w:ascii="Times New Roman" w:eastAsia="Times New Roman" w:hAnsi="Times New Roman" w:cs="Times New Roman"/>
          <w:sz w:val="24"/>
          <w:szCs w:val="24"/>
          <w:lang w:eastAsia="en-GB"/>
        </w:rPr>
        <w:t xml:space="preserve">will be addressed through several strategies. </w:t>
      </w:r>
      <w:r>
        <w:rPr>
          <w:rFonts w:ascii="Times New Roman" w:eastAsia="Times New Roman" w:hAnsi="Times New Roman" w:cs="Times New Roman"/>
          <w:sz w:val="24"/>
          <w:szCs w:val="24"/>
          <w:lang w:eastAsia="en-GB"/>
        </w:rPr>
        <w:t>T</w:t>
      </w:r>
      <w:r w:rsidRPr="00B62618">
        <w:rPr>
          <w:rFonts w:ascii="Times New Roman" w:eastAsia="Times New Roman" w:hAnsi="Times New Roman" w:cs="Times New Roman"/>
          <w:sz w:val="24"/>
          <w:szCs w:val="24"/>
          <w:lang w:eastAsia="en-GB"/>
        </w:rPr>
        <w:t xml:space="preserve">ransferability relies on providing </w:t>
      </w:r>
      <w:r w:rsidR="00090D9A">
        <w:rPr>
          <w:rFonts w:ascii="Times New Roman" w:eastAsia="Times New Roman" w:hAnsi="Times New Roman" w:cs="Times New Roman"/>
          <w:sz w:val="24"/>
          <w:szCs w:val="24"/>
          <w:lang w:eastAsia="en-GB"/>
        </w:rPr>
        <w:t>enough</w:t>
      </w:r>
      <w:r w:rsidRPr="00B62618">
        <w:rPr>
          <w:rFonts w:ascii="Times New Roman" w:eastAsia="Times New Roman" w:hAnsi="Times New Roman" w:cs="Times New Roman"/>
          <w:sz w:val="24"/>
          <w:szCs w:val="24"/>
          <w:lang w:eastAsia="en-GB"/>
        </w:rPr>
        <w:t xml:space="preserve"> contextual detail to enable readers </w:t>
      </w:r>
      <w:r>
        <w:rPr>
          <w:rFonts w:ascii="Times New Roman" w:eastAsia="Times New Roman" w:hAnsi="Times New Roman" w:cs="Times New Roman"/>
          <w:sz w:val="24"/>
          <w:szCs w:val="24"/>
          <w:lang w:eastAsia="en-GB"/>
        </w:rPr>
        <w:t xml:space="preserve">of the study results </w:t>
      </w:r>
      <w:r w:rsidRPr="00B62618">
        <w:rPr>
          <w:rFonts w:ascii="Times New Roman" w:eastAsia="Times New Roman" w:hAnsi="Times New Roman" w:cs="Times New Roman"/>
          <w:sz w:val="24"/>
          <w:szCs w:val="24"/>
          <w:lang w:eastAsia="en-GB"/>
        </w:rPr>
        <w:t>to determine the relevance of findings to their own settings</w:t>
      </w:r>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Stalmeijer</w:t>
      </w:r>
      <w:proofErr w:type="spellEnd"/>
      <w:r>
        <w:rPr>
          <w:rFonts w:ascii="Times New Roman" w:eastAsia="Times New Roman" w:hAnsi="Times New Roman" w:cs="Times New Roman"/>
          <w:sz w:val="24"/>
          <w:szCs w:val="24"/>
          <w:lang w:eastAsia="en-GB"/>
        </w:rPr>
        <w:t>, Brown &amp; O’Brien 2024; Braun &amp; Clarke 2025)</w:t>
      </w:r>
      <w:r w:rsidRPr="00B62618">
        <w:rPr>
          <w:rFonts w:ascii="Times New Roman" w:eastAsia="Times New Roman" w:hAnsi="Times New Roman" w:cs="Times New Roman"/>
          <w:sz w:val="24"/>
          <w:szCs w:val="24"/>
          <w:lang w:eastAsia="en-GB"/>
        </w:rPr>
        <w:t xml:space="preserve">. In this study, this will be achieved through the use of </w:t>
      </w:r>
      <w:r>
        <w:rPr>
          <w:rFonts w:ascii="Times New Roman" w:eastAsia="Times New Roman" w:hAnsi="Times New Roman" w:cs="Times New Roman"/>
          <w:sz w:val="24"/>
          <w:szCs w:val="24"/>
          <w:lang w:eastAsia="en-GB"/>
        </w:rPr>
        <w:t>detailed</w:t>
      </w:r>
      <w:r w:rsidRPr="00B62618">
        <w:rPr>
          <w:rFonts w:ascii="Times New Roman" w:eastAsia="Times New Roman" w:hAnsi="Times New Roman" w:cs="Times New Roman"/>
          <w:sz w:val="24"/>
          <w:szCs w:val="24"/>
          <w:lang w:eastAsia="en-GB"/>
        </w:rPr>
        <w:t xml:space="preserve"> description, including detailed accounts of the ISH service context, the EPR system and </w:t>
      </w:r>
      <w:r>
        <w:rPr>
          <w:rFonts w:ascii="Times New Roman" w:eastAsia="Times New Roman" w:hAnsi="Times New Roman" w:cs="Times New Roman"/>
          <w:sz w:val="24"/>
          <w:szCs w:val="24"/>
          <w:lang w:eastAsia="en-GB"/>
        </w:rPr>
        <w:t xml:space="preserve">the characteristics of the </w:t>
      </w:r>
      <w:r w:rsidRPr="00B62618">
        <w:rPr>
          <w:rFonts w:ascii="Times New Roman" w:eastAsia="Times New Roman" w:hAnsi="Times New Roman" w:cs="Times New Roman"/>
          <w:sz w:val="24"/>
          <w:szCs w:val="24"/>
          <w:lang w:eastAsia="en-GB"/>
        </w:rPr>
        <w:t>participant</w:t>
      </w:r>
      <w:r>
        <w:rPr>
          <w:rFonts w:ascii="Times New Roman" w:eastAsia="Times New Roman" w:hAnsi="Times New Roman" w:cs="Times New Roman"/>
          <w:sz w:val="24"/>
          <w:szCs w:val="24"/>
          <w:lang w:eastAsia="en-GB"/>
        </w:rPr>
        <w:t>s</w:t>
      </w:r>
      <w:r w:rsidRPr="00B62618">
        <w:rPr>
          <w:rFonts w:ascii="Times New Roman" w:eastAsia="Times New Roman" w:hAnsi="Times New Roman" w:cs="Times New Roman"/>
          <w:sz w:val="24"/>
          <w:szCs w:val="24"/>
          <w:lang w:eastAsia="en-GB"/>
        </w:rPr>
        <w:t>. In addition,</w:t>
      </w:r>
      <w:r>
        <w:rPr>
          <w:rFonts w:ascii="Times New Roman" w:eastAsia="Times New Roman" w:hAnsi="Times New Roman" w:cs="Times New Roman"/>
          <w:sz w:val="24"/>
          <w:szCs w:val="24"/>
          <w:lang w:eastAsia="en-GB"/>
        </w:rPr>
        <w:t xml:space="preserve"> </w:t>
      </w:r>
      <w:r w:rsidRPr="00B62618">
        <w:rPr>
          <w:rFonts w:ascii="Times New Roman" w:eastAsia="Times New Roman" w:hAnsi="Times New Roman" w:cs="Times New Roman"/>
          <w:sz w:val="24"/>
          <w:szCs w:val="24"/>
          <w:lang w:eastAsia="en-GB"/>
        </w:rPr>
        <w:t>clear documentation of sampling, data collection and analysis procedures</w:t>
      </w:r>
      <w:r>
        <w:rPr>
          <w:rFonts w:ascii="Times New Roman" w:eastAsia="Times New Roman" w:hAnsi="Times New Roman" w:cs="Times New Roman"/>
          <w:sz w:val="24"/>
          <w:szCs w:val="24"/>
          <w:lang w:eastAsia="en-GB"/>
        </w:rPr>
        <w:t xml:space="preserve"> will demonstrate the</w:t>
      </w:r>
      <w:r w:rsidRPr="00B62618">
        <w:rPr>
          <w:rFonts w:ascii="Times New Roman" w:eastAsia="Times New Roman" w:hAnsi="Times New Roman" w:cs="Times New Roman"/>
          <w:sz w:val="24"/>
          <w:szCs w:val="24"/>
          <w:lang w:eastAsia="en-GB"/>
        </w:rPr>
        <w:t xml:space="preserve"> transparency in the research process</w:t>
      </w:r>
      <w:r>
        <w:rPr>
          <w:rFonts w:ascii="Times New Roman" w:eastAsia="Times New Roman" w:hAnsi="Times New Roman" w:cs="Times New Roman"/>
          <w:sz w:val="24"/>
          <w:szCs w:val="24"/>
          <w:lang w:eastAsia="en-GB"/>
        </w:rPr>
        <w:t xml:space="preserve"> (Braun &amp; Clarke 2025).</w:t>
      </w:r>
      <w:r w:rsidRPr="00B62618">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The f</w:t>
      </w:r>
      <w:r w:rsidRPr="00B62618">
        <w:rPr>
          <w:rFonts w:ascii="Times New Roman" w:eastAsia="Times New Roman" w:hAnsi="Times New Roman" w:cs="Times New Roman"/>
          <w:sz w:val="24"/>
          <w:szCs w:val="24"/>
          <w:lang w:eastAsia="en-GB"/>
        </w:rPr>
        <w:t>indings</w:t>
      </w:r>
      <w:r>
        <w:rPr>
          <w:rFonts w:ascii="Times New Roman" w:eastAsia="Times New Roman" w:hAnsi="Times New Roman" w:cs="Times New Roman"/>
          <w:sz w:val="24"/>
          <w:szCs w:val="24"/>
          <w:lang w:eastAsia="en-GB"/>
        </w:rPr>
        <w:t xml:space="preserve"> of the study</w:t>
      </w:r>
      <w:r w:rsidRPr="00B62618">
        <w:rPr>
          <w:rFonts w:ascii="Times New Roman" w:eastAsia="Times New Roman" w:hAnsi="Times New Roman" w:cs="Times New Roman"/>
          <w:sz w:val="24"/>
          <w:szCs w:val="24"/>
          <w:lang w:eastAsia="en-GB"/>
        </w:rPr>
        <w:t xml:space="preserve"> will be </w:t>
      </w:r>
      <w:r>
        <w:rPr>
          <w:rFonts w:ascii="Times New Roman" w:eastAsia="Times New Roman" w:hAnsi="Times New Roman" w:cs="Times New Roman"/>
          <w:sz w:val="24"/>
          <w:szCs w:val="24"/>
          <w:lang w:eastAsia="en-GB"/>
        </w:rPr>
        <w:t>directly</w:t>
      </w:r>
      <w:r w:rsidRPr="00B62618">
        <w:rPr>
          <w:rFonts w:ascii="Times New Roman" w:eastAsia="Times New Roman" w:hAnsi="Times New Roman" w:cs="Times New Roman"/>
          <w:sz w:val="24"/>
          <w:szCs w:val="24"/>
          <w:lang w:eastAsia="en-GB"/>
        </w:rPr>
        <w:t xml:space="preserve"> linked to the </w:t>
      </w:r>
      <w:r>
        <w:rPr>
          <w:rFonts w:ascii="Times New Roman" w:eastAsia="Times New Roman" w:hAnsi="Times New Roman" w:cs="Times New Roman"/>
          <w:sz w:val="24"/>
          <w:szCs w:val="24"/>
          <w:lang w:eastAsia="en-GB"/>
        </w:rPr>
        <w:t xml:space="preserve">ISH service </w:t>
      </w:r>
      <w:r w:rsidRPr="00B62618">
        <w:rPr>
          <w:rFonts w:ascii="Times New Roman" w:eastAsia="Times New Roman" w:hAnsi="Times New Roman" w:cs="Times New Roman"/>
          <w:sz w:val="24"/>
          <w:szCs w:val="24"/>
          <w:lang w:eastAsia="en-GB"/>
        </w:rPr>
        <w:t xml:space="preserve">context and </w:t>
      </w:r>
      <w:r>
        <w:rPr>
          <w:rFonts w:ascii="Times New Roman" w:eastAsia="Times New Roman" w:hAnsi="Times New Roman" w:cs="Times New Roman"/>
          <w:sz w:val="24"/>
          <w:szCs w:val="24"/>
          <w:lang w:eastAsia="en-GB"/>
        </w:rPr>
        <w:t>compared with existing literature to broaden the evidence base.</w:t>
      </w:r>
      <w:r w:rsidRPr="00B62618">
        <w:rPr>
          <w:rFonts w:ascii="Times New Roman" w:eastAsia="Times New Roman" w:hAnsi="Times New Roman" w:cs="Times New Roman"/>
          <w:sz w:val="24"/>
          <w:szCs w:val="24"/>
          <w:lang w:eastAsia="en-GB"/>
        </w:rPr>
        <w:t xml:space="preserve"> These strategies </w:t>
      </w:r>
      <w:r>
        <w:rPr>
          <w:rFonts w:ascii="Times New Roman" w:eastAsia="Times New Roman" w:hAnsi="Times New Roman" w:cs="Times New Roman"/>
          <w:sz w:val="24"/>
          <w:szCs w:val="24"/>
          <w:lang w:eastAsia="en-GB"/>
        </w:rPr>
        <w:t xml:space="preserve">will </w:t>
      </w:r>
      <w:r w:rsidRPr="00B62618">
        <w:rPr>
          <w:rFonts w:ascii="Times New Roman" w:eastAsia="Times New Roman" w:hAnsi="Times New Roman" w:cs="Times New Roman"/>
          <w:sz w:val="24"/>
          <w:szCs w:val="24"/>
          <w:lang w:eastAsia="en-GB"/>
        </w:rPr>
        <w:t xml:space="preserve">enhance the credibility of the </w:t>
      </w:r>
      <w:r>
        <w:rPr>
          <w:rFonts w:ascii="Times New Roman" w:eastAsia="Times New Roman" w:hAnsi="Times New Roman" w:cs="Times New Roman"/>
          <w:sz w:val="24"/>
          <w:szCs w:val="24"/>
          <w:lang w:eastAsia="en-GB"/>
        </w:rPr>
        <w:t>study</w:t>
      </w:r>
      <w:r w:rsidRPr="00B62618">
        <w:rPr>
          <w:rFonts w:ascii="Times New Roman" w:eastAsia="Times New Roman" w:hAnsi="Times New Roman" w:cs="Times New Roman"/>
          <w:sz w:val="24"/>
          <w:szCs w:val="24"/>
          <w:lang w:eastAsia="en-GB"/>
        </w:rPr>
        <w:t xml:space="preserve"> and support the potential application of</w:t>
      </w:r>
      <w:r>
        <w:rPr>
          <w:rFonts w:ascii="Times New Roman" w:eastAsia="Times New Roman" w:hAnsi="Times New Roman" w:cs="Times New Roman"/>
          <w:sz w:val="24"/>
          <w:szCs w:val="24"/>
          <w:lang w:eastAsia="en-GB"/>
        </w:rPr>
        <w:t xml:space="preserve"> the</w:t>
      </w:r>
      <w:r w:rsidRPr="00B62618">
        <w:rPr>
          <w:rFonts w:ascii="Times New Roman" w:eastAsia="Times New Roman" w:hAnsi="Times New Roman" w:cs="Times New Roman"/>
          <w:sz w:val="24"/>
          <w:szCs w:val="24"/>
          <w:lang w:eastAsia="en-GB"/>
        </w:rPr>
        <w:t xml:space="preserve"> findings </w:t>
      </w:r>
      <w:r>
        <w:rPr>
          <w:rFonts w:ascii="Times New Roman" w:eastAsia="Times New Roman" w:hAnsi="Times New Roman" w:cs="Times New Roman"/>
          <w:sz w:val="24"/>
          <w:szCs w:val="24"/>
          <w:lang w:eastAsia="en-GB"/>
        </w:rPr>
        <w:t>to other settings</w:t>
      </w:r>
      <w:r w:rsidRPr="00B62618">
        <w:rPr>
          <w:rFonts w:ascii="Times New Roman" w:eastAsia="Times New Roman" w:hAnsi="Times New Roman" w:cs="Times New Roman"/>
          <w:sz w:val="24"/>
          <w:szCs w:val="24"/>
          <w:lang w:eastAsia="en-GB"/>
        </w:rPr>
        <w:t>.</w:t>
      </w:r>
    </w:p>
    <w:p w14:paraId="0FB65B57" w14:textId="77777777" w:rsidR="00924347" w:rsidRPr="009A2285" w:rsidRDefault="00924347" w:rsidP="00924347">
      <w:pPr>
        <w:spacing w:line="300" w:lineRule="atLeast"/>
        <w:jc w:val="both"/>
        <w:rPr>
          <w:rFonts w:ascii="Times New Roman" w:eastAsia="Times New Roman" w:hAnsi="Times New Roman" w:cs="Times New Roman"/>
          <w:sz w:val="24"/>
          <w:szCs w:val="24"/>
          <w:lang w:eastAsia="en-GB"/>
        </w:rPr>
      </w:pPr>
      <w:r w:rsidRPr="009A2285">
        <w:rPr>
          <w:rFonts w:ascii="Times New Roman" w:eastAsia="Times New Roman" w:hAnsi="Times New Roman" w:cs="Times New Roman"/>
          <w:sz w:val="24"/>
          <w:szCs w:val="24"/>
          <w:lang w:eastAsia="en-GB"/>
        </w:rPr>
        <w:t>The triangulation of quantitative and qualitative da</w:t>
      </w:r>
      <w:r>
        <w:rPr>
          <w:rFonts w:ascii="Times New Roman" w:eastAsia="Times New Roman" w:hAnsi="Times New Roman" w:cs="Times New Roman"/>
          <w:sz w:val="24"/>
          <w:szCs w:val="24"/>
          <w:lang w:eastAsia="en-GB"/>
        </w:rPr>
        <w:t>ta is a strength of this study</w:t>
      </w:r>
      <w:r w:rsidRPr="009A2285">
        <w:rPr>
          <w:rFonts w:ascii="Times New Roman" w:eastAsia="Times New Roman" w:hAnsi="Times New Roman" w:cs="Times New Roman"/>
          <w:sz w:val="24"/>
          <w:szCs w:val="24"/>
          <w:lang w:eastAsia="en-GB"/>
        </w:rPr>
        <w:t xml:space="preserve">. </w:t>
      </w:r>
      <w:r w:rsidRPr="00420DF1">
        <w:rPr>
          <w:rFonts w:ascii="Times New Roman" w:eastAsia="Times New Roman" w:hAnsi="Times New Roman" w:cs="Times New Roman"/>
          <w:sz w:val="24"/>
          <w:szCs w:val="24"/>
          <w:lang w:eastAsia="en-GB"/>
        </w:rPr>
        <w:t xml:space="preserve">The two types of data will be analysed separately and then </w:t>
      </w:r>
      <w:r>
        <w:rPr>
          <w:rFonts w:ascii="Times New Roman" w:eastAsia="Times New Roman" w:hAnsi="Times New Roman" w:cs="Times New Roman"/>
          <w:sz w:val="24"/>
          <w:szCs w:val="24"/>
          <w:lang w:eastAsia="en-GB"/>
        </w:rPr>
        <w:t>brought</w:t>
      </w:r>
      <w:r w:rsidRPr="00420DF1">
        <w:rPr>
          <w:rFonts w:ascii="Times New Roman" w:eastAsia="Times New Roman" w:hAnsi="Times New Roman" w:cs="Times New Roman"/>
          <w:sz w:val="24"/>
          <w:szCs w:val="24"/>
          <w:lang w:eastAsia="en-GB"/>
        </w:rPr>
        <w:t xml:space="preserve"> together to improve understanding of the findings</w:t>
      </w:r>
      <w:r w:rsidRPr="009A2285">
        <w:rPr>
          <w:rFonts w:ascii="Times New Roman" w:eastAsia="Times New Roman" w:hAnsi="Times New Roman" w:cs="Times New Roman"/>
          <w:sz w:val="24"/>
          <w:szCs w:val="24"/>
          <w:lang w:eastAsia="en-GB"/>
        </w:rPr>
        <w:t xml:space="preserve"> (Fetters, Curry &amp; </w:t>
      </w:r>
      <w:proofErr w:type="spellStart"/>
      <w:r w:rsidRPr="009A2285">
        <w:rPr>
          <w:rFonts w:ascii="Times New Roman" w:eastAsia="Times New Roman" w:hAnsi="Times New Roman" w:cs="Times New Roman"/>
          <w:sz w:val="24"/>
          <w:szCs w:val="24"/>
          <w:lang w:eastAsia="en-GB"/>
        </w:rPr>
        <w:t>Cresswell</w:t>
      </w:r>
      <w:proofErr w:type="spellEnd"/>
      <w:r w:rsidRPr="009A2285">
        <w:rPr>
          <w:rFonts w:ascii="Times New Roman" w:eastAsia="Times New Roman" w:hAnsi="Times New Roman" w:cs="Times New Roman"/>
          <w:sz w:val="24"/>
          <w:szCs w:val="24"/>
          <w:lang w:eastAsia="en-GB"/>
        </w:rPr>
        <w:t xml:space="preserve"> 2013; </w:t>
      </w:r>
      <w:r>
        <w:rPr>
          <w:rFonts w:ascii="Times New Roman" w:eastAsia="Times New Roman" w:hAnsi="Times New Roman" w:cs="Times New Roman"/>
          <w:sz w:val="24"/>
          <w:szCs w:val="24"/>
          <w:lang w:eastAsia="en-GB"/>
        </w:rPr>
        <w:t xml:space="preserve">Creswell &amp; Plano Clark 2017; </w:t>
      </w:r>
      <w:r w:rsidRPr="009A2285">
        <w:rPr>
          <w:rFonts w:ascii="Times New Roman" w:eastAsia="Times New Roman" w:hAnsi="Times New Roman" w:cs="Times New Roman"/>
          <w:sz w:val="24"/>
          <w:szCs w:val="24"/>
          <w:lang w:eastAsia="en-GB"/>
        </w:rPr>
        <w:t xml:space="preserve">Plano Clark &amp; </w:t>
      </w:r>
      <w:proofErr w:type="spellStart"/>
      <w:r w:rsidRPr="009A2285">
        <w:rPr>
          <w:rFonts w:ascii="Times New Roman" w:eastAsia="Times New Roman" w:hAnsi="Times New Roman" w:cs="Times New Roman"/>
          <w:sz w:val="24"/>
          <w:szCs w:val="24"/>
          <w:lang w:eastAsia="en-GB"/>
        </w:rPr>
        <w:t>Ivankova</w:t>
      </w:r>
      <w:proofErr w:type="spellEnd"/>
      <w:r w:rsidRPr="009A2285">
        <w:rPr>
          <w:rFonts w:ascii="Times New Roman" w:eastAsia="Times New Roman" w:hAnsi="Times New Roman" w:cs="Times New Roman"/>
          <w:sz w:val="24"/>
          <w:szCs w:val="24"/>
          <w:lang w:eastAsia="en-GB"/>
        </w:rPr>
        <w:t xml:space="preserve"> 2023)</w:t>
      </w:r>
      <w:r w:rsidRPr="00420DF1">
        <w:rPr>
          <w:rFonts w:ascii="Times New Roman" w:eastAsia="Times New Roman" w:hAnsi="Times New Roman" w:cs="Times New Roman"/>
          <w:sz w:val="24"/>
          <w:szCs w:val="24"/>
          <w:lang w:eastAsia="en-GB"/>
        </w:rPr>
        <w:t>. Quantitative data will show patterns in missing data</w:t>
      </w:r>
      <w:r w:rsidRPr="009A2285">
        <w:rPr>
          <w:rFonts w:ascii="Times New Roman" w:eastAsia="Times New Roman" w:hAnsi="Times New Roman" w:cs="Times New Roman"/>
          <w:sz w:val="24"/>
          <w:szCs w:val="24"/>
          <w:lang w:eastAsia="en-GB"/>
        </w:rPr>
        <w:t xml:space="preserve"> and any associated factors</w:t>
      </w:r>
      <w:r w:rsidRPr="00420DF1">
        <w:rPr>
          <w:rFonts w:ascii="Times New Roman" w:eastAsia="Times New Roman" w:hAnsi="Times New Roman" w:cs="Times New Roman"/>
          <w:sz w:val="24"/>
          <w:szCs w:val="24"/>
          <w:lang w:eastAsia="en-GB"/>
        </w:rPr>
        <w:t>, whil</w:t>
      </w:r>
      <w:r w:rsidRPr="009A2285">
        <w:rPr>
          <w:rFonts w:ascii="Times New Roman" w:eastAsia="Times New Roman" w:hAnsi="Times New Roman" w:cs="Times New Roman"/>
          <w:sz w:val="24"/>
          <w:szCs w:val="24"/>
          <w:lang w:eastAsia="en-GB"/>
        </w:rPr>
        <w:t>st the</w:t>
      </w:r>
      <w:r w:rsidRPr="00420DF1">
        <w:rPr>
          <w:rFonts w:ascii="Times New Roman" w:eastAsia="Times New Roman" w:hAnsi="Times New Roman" w:cs="Times New Roman"/>
          <w:sz w:val="24"/>
          <w:szCs w:val="24"/>
          <w:lang w:eastAsia="en-GB"/>
        </w:rPr>
        <w:t xml:space="preserve"> qualitative data will explain the reasons behind these patterns. </w:t>
      </w:r>
      <w:r w:rsidRPr="009A2285">
        <w:rPr>
          <w:rFonts w:ascii="Times New Roman" w:eastAsia="Times New Roman" w:hAnsi="Times New Roman" w:cs="Times New Roman"/>
          <w:sz w:val="24"/>
          <w:szCs w:val="24"/>
          <w:lang w:eastAsia="en-GB"/>
        </w:rPr>
        <w:t xml:space="preserve">For example, </w:t>
      </w:r>
      <w:r w:rsidRPr="009A2285">
        <w:rPr>
          <w:rFonts w:ascii="Times New Roman" w:eastAsia="Times New Roman" w:hAnsi="Times New Roman" w:cs="Times New Roman"/>
          <w:sz w:val="24"/>
          <w:szCs w:val="24"/>
          <w:lang w:eastAsia="en-GB"/>
        </w:rPr>
        <w:lastRenderedPageBreak/>
        <w:t xml:space="preserve">if the quantitative analysis identifies low completion rates for safeguarding data, qualitative findings may reveal clinician discomfort or uncertainty in addressing safeguarding issues, therefore providing a deeper explanation of the pattern. </w:t>
      </w:r>
      <w:r w:rsidRPr="00420DF1">
        <w:rPr>
          <w:rFonts w:ascii="Times New Roman" w:eastAsia="Times New Roman" w:hAnsi="Times New Roman" w:cs="Times New Roman"/>
          <w:sz w:val="24"/>
          <w:szCs w:val="24"/>
          <w:lang w:eastAsia="en-GB"/>
        </w:rPr>
        <w:t xml:space="preserve">Comparing the two </w:t>
      </w:r>
      <w:r w:rsidRPr="009A2285">
        <w:rPr>
          <w:rFonts w:ascii="Times New Roman" w:eastAsia="Times New Roman" w:hAnsi="Times New Roman" w:cs="Times New Roman"/>
          <w:sz w:val="24"/>
          <w:szCs w:val="24"/>
          <w:lang w:eastAsia="en-GB"/>
        </w:rPr>
        <w:t xml:space="preserve">methods </w:t>
      </w:r>
      <w:r w:rsidRPr="00420DF1">
        <w:rPr>
          <w:rFonts w:ascii="Times New Roman" w:eastAsia="Times New Roman" w:hAnsi="Times New Roman" w:cs="Times New Roman"/>
          <w:sz w:val="24"/>
          <w:szCs w:val="24"/>
          <w:lang w:eastAsia="en-GB"/>
        </w:rPr>
        <w:t>will provide a fuller and more detailed understanding of the research problem and support the development of evidence</w:t>
      </w:r>
      <w:r w:rsidRPr="00420DF1">
        <w:rPr>
          <w:rFonts w:ascii="Times New Roman" w:eastAsia="Times New Roman" w:hAnsi="Times New Roman" w:cs="Times New Roman"/>
          <w:sz w:val="24"/>
          <w:szCs w:val="24"/>
          <w:lang w:eastAsia="en-GB"/>
        </w:rPr>
        <w:noBreakHyphen/>
        <w:t>based recommendations</w:t>
      </w:r>
      <w:r w:rsidRPr="009A2285">
        <w:rPr>
          <w:rFonts w:ascii="Times New Roman" w:eastAsia="Times New Roman" w:hAnsi="Times New Roman" w:cs="Times New Roman"/>
          <w:sz w:val="24"/>
          <w:szCs w:val="24"/>
          <w:lang w:eastAsia="en-GB"/>
        </w:rPr>
        <w:t xml:space="preserve"> (Plano Clark &amp; </w:t>
      </w:r>
      <w:proofErr w:type="spellStart"/>
      <w:r w:rsidRPr="009A2285">
        <w:rPr>
          <w:rFonts w:ascii="Times New Roman" w:eastAsia="Times New Roman" w:hAnsi="Times New Roman" w:cs="Times New Roman"/>
          <w:sz w:val="24"/>
          <w:szCs w:val="24"/>
          <w:lang w:eastAsia="en-GB"/>
        </w:rPr>
        <w:t>Ivankova</w:t>
      </w:r>
      <w:proofErr w:type="spellEnd"/>
      <w:r w:rsidRPr="009A2285">
        <w:rPr>
          <w:rFonts w:ascii="Times New Roman" w:eastAsia="Times New Roman" w:hAnsi="Times New Roman" w:cs="Times New Roman"/>
          <w:sz w:val="24"/>
          <w:szCs w:val="24"/>
          <w:lang w:eastAsia="en-GB"/>
        </w:rPr>
        <w:t xml:space="preserve"> 2023).</w:t>
      </w:r>
    </w:p>
    <w:p w14:paraId="61DAE495" w14:textId="77777777" w:rsidR="00924347" w:rsidRPr="00B62618" w:rsidRDefault="00924347" w:rsidP="00924347">
      <w:pPr>
        <w:spacing w:before="100" w:beforeAutospacing="1" w:after="100" w:afterAutospacing="1" w:line="240" w:lineRule="auto"/>
        <w:jc w:val="both"/>
        <w:rPr>
          <w:rFonts w:ascii="Times New Roman" w:eastAsia="Times New Roman" w:hAnsi="Times New Roman" w:cs="Times New Roman"/>
          <w:sz w:val="24"/>
          <w:szCs w:val="24"/>
          <w:lang w:eastAsia="en-GB"/>
        </w:rPr>
      </w:pPr>
      <w:r w:rsidRPr="00B62618">
        <w:rPr>
          <w:rFonts w:ascii="Times New Roman" w:eastAsia="Times New Roman" w:hAnsi="Times New Roman" w:cs="Times New Roman"/>
          <w:sz w:val="24"/>
          <w:szCs w:val="24"/>
          <w:lang w:eastAsia="en-GB"/>
        </w:rPr>
        <w:t xml:space="preserve">Despite the strengths </w:t>
      </w:r>
      <w:r>
        <w:rPr>
          <w:rFonts w:ascii="Times New Roman" w:eastAsia="Times New Roman" w:hAnsi="Times New Roman" w:cs="Times New Roman"/>
          <w:sz w:val="24"/>
          <w:szCs w:val="24"/>
          <w:lang w:eastAsia="en-GB"/>
        </w:rPr>
        <w:t xml:space="preserve">described </w:t>
      </w:r>
      <w:r w:rsidRPr="00B62618">
        <w:rPr>
          <w:rFonts w:ascii="Times New Roman" w:eastAsia="Times New Roman" w:hAnsi="Times New Roman" w:cs="Times New Roman"/>
          <w:sz w:val="24"/>
          <w:szCs w:val="24"/>
          <w:lang w:eastAsia="en-GB"/>
        </w:rPr>
        <w:t xml:space="preserve">of the chosen methods, </w:t>
      </w:r>
      <w:r>
        <w:rPr>
          <w:rFonts w:ascii="Times New Roman" w:eastAsia="Times New Roman" w:hAnsi="Times New Roman" w:cs="Times New Roman"/>
          <w:sz w:val="24"/>
          <w:szCs w:val="24"/>
          <w:lang w:eastAsia="en-GB"/>
        </w:rPr>
        <w:t>it is recognised that there are limitations. The</w:t>
      </w:r>
      <w:r w:rsidRPr="00B62618">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q</w:t>
      </w:r>
      <w:r w:rsidRPr="00B62618">
        <w:rPr>
          <w:rFonts w:ascii="Times New Roman" w:eastAsia="Times New Roman" w:hAnsi="Times New Roman" w:cs="Times New Roman"/>
          <w:sz w:val="24"/>
          <w:szCs w:val="24"/>
          <w:lang w:eastAsia="en-GB"/>
        </w:rPr>
        <w:t>uantitative analysis</w:t>
      </w:r>
      <w:r>
        <w:rPr>
          <w:rFonts w:ascii="Times New Roman" w:eastAsia="Times New Roman" w:hAnsi="Times New Roman" w:cs="Times New Roman"/>
          <w:sz w:val="24"/>
          <w:szCs w:val="24"/>
          <w:lang w:eastAsia="en-GB"/>
        </w:rPr>
        <w:t xml:space="preserve"> of the data</w:t>
      </w:r>
      <w:r w:rsidRPr="00B62618">
        <w:rPr>
          <w:rFonts w:ascii="Times New Roman" w:eastAsia="Times New Roman" w:hAnsi="Times New Roman" w:cs="Times New Roman"/>
          <w:sz w:val="24"/>
          <w:szCs w:val="24"/>
          <w:lang w:eastAsia="en-GB"/>
        </w:rPr>
        <w:t xml:space="preserve"> is dependent on the quality of </w:t>
      </w:r>
      <w:r>
        <w:rPr>
          <w:rFonts w:ascii="Times New Roman" w:eastAsia="Times New Roman" w:hAnsi="Times New Roman" w:cs="Times New Roman"/>
          <w:sz w:val="24"/>
          <w:szCs w:val="24"/>
          <w:lang w:eastAsia="en-GB"/>
        </w:rPr>
        <w:t xml:space="preserve">the </w:t>
      </w:r>
      <w:r w:rsidRPr="00B62618">
        <w:rPr>
          <w:rFonts w:ascii="Times New Roman" w:eastAsia="Times New Roman" w:hAnsi="Times New Roman" w:cs="Times New Roman"/>
          <w:sz w:val="24"/>
          <w:szCs w:val="24"/>
          <w:lang w:eastAsia="en-GB"/>
        </w:rPr>
        <w:t xml:space="preserve">existing </w:t>
      </w:r>
      <w:r>
        <w:rPr>
          <w:rFonts w:ascii="Times New Roman" w:eastAsia="Times New Roman" w:hAnsi="Times New Roman" w:cs="Times New Roman"/>
          <w:sz w:val="24"/>
          <w:szCs w:val="24"/>
          <w:lang w:eastAsia="en-GB"/>
        </w:rPr>
        <w:t xml:space="preserve">EPR records, which may </w:t>
      </w:r>
      <w:r w:rsidRPr="00B62618">
        <w:rPr>
          <w:rFonts w:ascii="Times New Roman" w:eastAsia="Times New Roman" w:hAnsi="Times New Roman" w:cs="Times New Roman"/>
          <w:sz w:val="24"/>
          <w:szCs w:val="24"/>
          <w:lang w:eastAsia="en-GB"/>
        </w:rPr>
        <w:t xml:space="preserve">be incomplete or inaccurate. </w:t>
      </w:r>
      <w:r>
        <w:rPr>
          <w:rFonts w:ascii="Times New Roman" w:eastAsia="Times New Roman" w:hAnsi="Times New Roman" w:cs="Times New Roman"/>
          <w:sz w:val="24"/>
          <w:szCs w:val="24"/>
          <w:lang w:eastAsia="en-GB"/>
        </w:rPr>
        <w:t>The q</w:t>
      </w:r>
      <w:r w:rsidRPr="00B62618">
        <w:rPr>
          <w:rFonts w:ascii="Times New Roman" w:eastAsia="Times New Roman" w:hAnsi="Times New Roman" w:cs="Times New Roman"/>
          <w:sz w:val="24"/>
          <w:szCs w:val="24"/>
          <w:lang w:eastAsia="en-GB"/>
        </w:rPr>
        <w:t xml:space="preserve">ualitative findings may be influenced by </w:t>
      </w:r>
      <w:r>
        <w:rPr>
          <w:rFonts w:ascii="Times New Roman" w:eastAsia="Times New Roman" w:hAnsi="Times New Roman" w:cs="Times New Roman"/>
          <w:sz w:val="24"/>
          <w:szCs w:val="24"/>
          <w:lang w:eastAsia="en-GB"/>
        </w:rPr>
        <w:t>‘</w:t>
      </w:r>
      <w:r w:rsidRPr="00B62618">
        <w:rPr>
          <w:rFonts w:ascii="Times New Roman" w:eastAsia="Times New Roman" w:hAnsi="Times New Roman" w:cs="Times New Roman"/>
          <w:sz w:val="24"/>
          <w:szCs w:val="24"/>
          <w:lang w:eastAsia="en-GB"/>
        </w:rPr>
        <w:t>response bias</w:t>
      </w:r>
      <w:r>
        <w:rPr>
          <w:rFonts w:ascii="Times New Roman" w:eastAsia="Times New Roman" w:hAnsi="Times New Roman" w:cs="Times New Roman"/>
          <w:sz w:val="24"/>
          <w:szCs w:val="24"/>
          <w:lang w:eastAsia="en-GB"/>
        </w:rPr>
        <w:t>’</w:t>
      </w:r>
      <w:r w:rsidRPr="00B62618">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where</w:t>
      </w:r>
      <w:r w:rsidRPr="00B62618">
        <w:rPr>
          <w:rFonts w:ascii="Times New Roman" w:eastAsia="Times New Roman" w:hAnsi="Times New Roman" w:cs="Times New Roman"/>
          <w:sz w:val="24"/>
          <w:szCs w:val="24"/>
          <w:lang w:eastAsia="en-GB"/>
        </w:rPr>
        <w:t xml:space="preserve"> participants may be reluctant to disclose practices </w:t>
      </w:r>
      <w:r>
        <w:rPr>
          <w:rFonts w:ascii="Times New Roman" w:eastAsia="Times New Roman" w:hAnsi="Times New Roman" w:cs="Times New Roman"/>
          <w:sz w:val="24"/>
          <w:szCs w:val="24"/>
          <w:lang w:eastAsia="en-GB"/>
        </w:rPr>
        <w:t xml:space="preserve">that may be </w:t>
      </w:r>
      <w:r w:rsidRPr="00B62618">
        <w:rPr>
          <w:rFonts w:ascii="Times New Roman" w:eastAsia="Times New Roman" w:hAnsi="Times New Roman" w:cs="Times New Roman"/>
          <w:sz w:val="24"/>
          <w:szCs w:val="24"/>
          <w:lang w:eastAsia="en-GB"/>
        </w:rPr>
        <w:t>perceived as undesirable</w:t>
      </w:r>
      <w:r>
        <w:rPr>
          <w:rFonts w:ascii="Times New Roman" w:eastAsia="Times New Roman" w:hAnsi="Times New Roman" w:cs="Times New Roman"/>
          <w:sz w:val="24"/>
          <w:szCs w:val="24"/>
          <w:lang w:eastAsia="en-GB"/>
        </w:rPr>
        <w:t xml:space="preserve"> or unprofessional (Braun &amp; Clarke 2025)</w:t>
      </w:r>
      <w:r w:rsidRPr="00B62618">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Additionally</w:t>
      </w:r>
      <w:r w:rsidRPr="00B62618">
        <w:rPr>
          <w:rFonts w:ascii="Times New Roman" w:eastAsia="Times New Roman" w:hAnsi="Times New Roman" w:cs="Times New Roman"/>
          <w:sz w:val="24"/>
          <w:szCs w:val="24"/>
          <w:lang w:eastAsia="en-GB"/>
        </w:rPr>
        <w:t xml:space="preserve">, the </w:t>
      </w:r>
      <w:r>
        <w:rPr>
          <w:rFonts w:ascii="Times New Roman" w:eastAsia="Times New Roman" w:hAnsi="Times New Roman" w:cs="Times New Roman"/>
          <w:sz w:val="24"/>
          <w:szCs w:val="24"/>
          <w:lang w:eastAsia="en-GB"/>
        </w:rPr>
        <w:t>project</w:t>
      </w:r>
      <w:r w:rsidRPr="00B62618">
        <w:rPr>
          <w:rFonts w:ascii="Times New Roman" w:eastAsia="Times New Roman" w:hAnsi="Times New Roman" w:cs="Times New Roman"/>
          <w:sz w:val="24"/>
          <w:szCs w:val="24"/>
          <w:lang w:eastAsia="en-GB"/>
        </w:rPr>
        <w:t xml:space="preserve"> is</w:t>
      </w:r>
      <w:r>
        <w:rPr>
          <w:rFonts w:ascii="Times New Roman" w:eastAsia="Times New Roman" w:hAnsi="Times New Roman" w:cs="Times New Roman"/>
          <w:sz w:val="24"/>
          <w:szCs w:val="24"/>
          <w:lang w:eastAsia="en-GB"/>
        </w:rPr>
        <w:t xml:space="preserve"> to be carried out </w:t>
      </w:r>
      <w:r w:rsidRPr="00B62618">
        <w:rPr>
          <w:rFonts w:ascii="Times New Roman" w:eastAsia="Times New Roman" w:hAnsi="Times New Roman" w:cs="Times New Roman"/>
          <w:sz w:val="24"/>
          <w:szCs w:val="24"/>
          <w:lang w:eastAsia="en-GB"/>
        </w:rPr>
        <w:t xml:space="preserve">within a single </w:t>
      </w:r>
      <w:r>
        <w:rPr>
          <w:rFonts w:ascii="Times New Roman" w:eastAsia="Times New Roman" w:hAnsi="Times New Roman" w:cs="Times New Roman"/>
          <w:sz w:val="24"/>
          <w:szCs w:val="24"/>
          <w:lang w:eastAsia="en-GB"/>
        </w:rPr>
        <w:t>Health B</w:t>
      </w:r>
      <w:r w:rsidRPr="00B62618">
        <w:rPr>
          <w:rFonts w:ascii="Times New Roman" w:eastAsia="Times New Roman" w:hAnsi="Times New Roman" w:cs="Times New Roman"/>
          <w:sz w:val="24"/>
          <w:szCs w:val="24"/>
          <w:lang w:eastAsia="en-GB"/>
        </w:rPr>
        <w:t>oard, which may limit the generalisability of findings</w:t>
      </w:r>
      <w:r>
        <w:rPr>
          <w:rFonts w:ascii="Times New Roman" w:eastAsia="Times New Roman" w:hAnsi="Times New Roman" w:cs="Times New Roman"/>
          <w:sz w:val="24"/>
          <w:szCs w:val="24"/>
          <w:lang w:eastAsia="en-GB"/>
        </w:rPr>
        <w:t xml:space="preserve"> (</w:t>
      </w:r>
      <w:proofErr w:type="spellStart"/>
      <w:r>
        <w:rPr>
          <w:rFonts w:ascii="Times New Roman" w:eastAsia="Times New Roman" w:hAnsi="Times New Roman" w:cs="Times New Roman"/>
          <w:sz w:val="24"/>
          <w:szCs w:val="24"/>
          <w:lang w:eastAsia="en-GB"/>
        </w:rPr>
        <w:t>Stalmeijer</w:t>
      </w:r>
      <w:proofErr w:type="spellEnd"/>
      <w:r>
        <w:rPr>
          <w:rFonts w:ascii="Times New Roman" w:eastAsia="Times New Roman" w:hAnsi="Times New Roman" w:cs="Times New Roman"/>
          <w:sz w:val="24"/>
          <w:szCs w:val="24"/>
          <w:lang w:eastAsia="en-GB"/>
        </w:rPr>
        <w:t>, Brown &amp; O’Brien 2024)</w:t>
      </w:r>
      <w:r w:rsidRPr="00B62618">
        <w:rPr>
          <w:rFonts w:ascii="Times New Roman" w:eastAsia="Times New Roman" w:hAnsi="Times New Roman" w:cs="Times New Roman"/>
          <w:sz w:val="24"/>
          <w:szCs w:val="24"/>
          <w:lang w:eastAsia="en-GB"/>
        </w:rPr>
        <w:t xml:space="preserve">. However, these limitations </w:t>
      </w:r>
      <w:r>
        <w:rPr>
          <w:rFonts w:ascii="Times New Roman" w:eastAsia="Times New Roman" w:hAnsi="Times New Roman" w:cs="Times New Roman"/>
          <w:sz w:val="24"/>
          <w:szCs w:val="24"/>
          <w:lang w:eastAsia="en-GB"/>
        </w:rPr>
        <w:t>will be</w:t>
      </w:r>
      <w:r w:rsidRPr="00B62618">
        <w:rPr>
          <w:rFonts w:ascii="Times New Roman" w:eastAsia="Times New Roman" w:hAnsi="Times New Roman" w:cs="Times New Roman"/>
          <w:sz w:val="24"/>
          <w:szCs w:val="24"/>
          <w:lang w:eastAsia="en-GB"/>
        </w:rPr>
        <w:t xml:space="preserve"> lessened through the use of triangulation</w:t>
      </w:r>
      <w:r w:rsidR="00752A3F">
        <w:rPr>
          <w:rFonts w:ascii="Times New Roman" w:eastAsia="Times New Roman" w:hAnsi="Times New Roman" w:cs="Times New Roman"/>
          <w:sz w:val="24"/>
          <w:szCs w:val="24"/>
          <w:lang w:eastAsia="en-GB"/>
        </w:rPr>
        <w:t xml:space="preserve"> and</w:t>
      </w:r>
      <w:r w:rsidRPr="00B62618">
        <w:rPr>
          <w:rFonts w:ascii="Times New Roman" w:eastAsia="Times New Roman" w:hAnsi="Times New Roman" w:cs="Times New Roman"/>
          <w:sz w:val="24"/>
          <w:szCs w:val="24"/>
          <w:lang w:eastAsia="en-GB"/>
        </w:rPr>
        <w:t xml:space="preserve"> reflexive analysis</w:t>
      </w:r>
      <w:r>
        <w:rPr>
          <w:rFonts w:ascii="Times New Roman" w:eastAsia="Times New Roman" w:hAnsi="Times New Roman" w:cs="Times New Roman"/>
          <w:sz w:val="24"/>
          <w:szCs w:val="24"/>
          <w:lang w:eastAsia="en-GB"/>
        </w:rPr>
        <w:t xml:space="preserve"> (Fetters, Curry &amp; </w:t>
      </w:r>
      <w:proofErr w:type="spellStart"/>
      <w:r>
        <w:rPr>
          <w:rFonts w:ascii="Times New Roman" w:eastAsia="Times New Roman" w:hAnsi="Times New Roman" w:cs="Times New Roman"/>
          <w:sz w:val="24"/>
          <w:szCs w:val="24"/>
          <w:lang w:eastAsia="en-GB"/>
        </w:rPr>
        <w:t>Cresswell</w:t>
      </w:r>
      <w:proofErr w:type="spellEnd"/>
      <w:r>
        <w:rPr>
          <w:rFonts w:ascii="Times New Roman" w:eastAsia="Times New Roman" w:hAnsi="Times New Roman" w:cs="Times New Roman"/>
          <w:sz w:val="24"/>
          <w:szCs w:val="24"/>
          <w:lang w:eastAsia="en-GB"/>
        </w:rPr>
        <w:t xml:space="preserve"> 2013; Creswell &amp; Plano Clark 2017)</w:t>
      </w:r>
      <w:r w:rsidRPr="00B62618">
        <w:rPr>
          <w:rFonts w:ascii="Times New Roman" w:eastAsia="Times New Roman" w:hAnsi="Times New Roman" w:cs="Times New Roman"/>
          <w:sz w:val="24"/>
          <w:szCs w:val="24"/>
          <w:lang w:eastAsia="en-GB"/>
        </w:rPr>
        <w:t>.</w:t>
      </w:r>
    </w:p>
    <w:p w14:paraId="25800903" w14:textId="77777777" w:rsidR="00924347" w:rsidRPr="00B62618" w:rsidRDefault="00924347" w:rsidP="00924347">
      <w:pPr>
        <w:spacing w:before="100" w:beforeAutospacing="1" w:after="100" w:afterAutospacing="1" w:line="24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w:t>
      </w:r>
      <w:r w:rsidRPr="00B62618">
        <w:rPr>
          <w:rFonts w:ascii="Times New Roman" w:eastAsia="Times New Roman" w:hAnsi="Times New Roman" w:cs="Times New Roman"/>
          <w:sz w:val="24"/>
          <w:szCs w:val="24"/>
          <w:lang w:eastAsia="en-GB"/>
        </w:rPr>
        <w:t xml:space="preserve">he data collection and analysis methods selected for this </w:t>
      </w:r>
      <w:r>
        <w:rPr>
          <w:rFonts w:ascii="Times New Roman" w:eastAsia="Times New Roman" w:hAnsi="Times New Roman" w:cs="Times New Roman"/>
          <w:sz w:val="24"/>
          <w:szCs w:val="24"/>
          <w:lang w:eastAsia="en-GB"/>
        </w:rPr>
        <w:t>study</w:t>
      </w:r>
      <w:r w:rsidRPr="00B62618">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align well</w:t>
      </w:r>
      <w:r w:rsidRPr="00B62618">
        <w:rPr>
          <w:rFonts w:ascii="Times New Roman" w:eastAsia="Times New Roman" w:hAnsi="Times New Roman" w:cs="Times New Roman"/>
          <w:sz w:val="24"/>
          <w:szCs w:val="24"/>
          <w:lang w:eastAsia="en-GB"/>
        </w:rPr>
        <w:t xml:space="preserve"> with </w:t>
      </w:r>
      <w:r>
        <w:rPr>
          <w:rFonts w:ascii="Times New Roman" w:eastAsia="Times New Roman" w:hAnsi="Times New Roman" w:cs="Times New Roman"/>
          <w:sz w:val="24"/>
          <w:szCs w:val="24"/>
          <w:lang w:eastAsia="en-GB"/>
        </w:rPr>
        <w:t>the</w:t>
      </w:r>
      <w:r w:rsidRPr="00B62618">
        <w:rPr>
          <w:rFonts w:ascii="Times New Roman" w:eastAsia="Times New Roman" w:hAnsi="Times New Roman" w:cs="Times New Roman"/>
          <w:sz w:val="24"/>
          <w:szCs w:val="24"/>
          <w:lang w:eastAsia="en-GB"/>
        </w:rPr>
        <w:t xml:space="preserve"> aim of evaluating and understanding data completeness within ISH EPR systems. The mixed-methods approach </w:t>
      </w:r>
      <w:r>
        <w:rPr>
          <w:rFonts w:ascii="Times New Roman" w:eastAsia="Times New Roman" w:hAnsi="Times New Roman" w:cs="Times New Roman"/>
          <w:sz w:val="24"/>
          <w:szCs w:val="24"/>
          <w:lang w:eastAsia="en-GB"/>
        </w:rPr>
        <w:t>allows for</w:t>
      </w:r>
      <w:r w:rsidRPr="00B62618">
        <w:rPr>
          <w:rFonts w:ascii="Times New Roman" w:eastAsia="Times New Roman" w:hAnsi="Times New Roman" w:cs="Times New Roman"/>
          <w:sz w:val="24"/>
          <w:szCs w:val="24"/>
          <w:lang w:eastAsia="en-GB"/>
        </w:rPr>
        <w:t xml:space="preserve"> both the measurement of incomplete documentation and the exploration of its underlying causes. </w:t>
      </w:r>
      <w:r>
        <w:rPr>
          <w:rFonts w:ascii="Times New Roman" w:eastAsia="Times New Roman" w:hAnsi="Times New Roman" w:cs="Times New Roman"/>
          <w:sz w:val="24"/>
          <w:szCs w:val="24"/>
          <w:lang w:eastAsia="en-GB"/>
        </w:rPr>
        <w:t>T</w:t>
      </w:r>
      <w:r w:rsidR="00752A3F">
        <w:rPr>
          <w:rFonts w:ascii="Times New Roman" w:eastAsia="Times New Roman" w:hAnsi="Times New Roman" w:cs="Times New Roman"/>
          <w:sz w:val="24"/>
          <w:szCs w:val="24"/>
          <w:lang w:eastAsia="en-GB"/>
        </w:rPr>
        <w:t>he study design ensures that the</w:t>
      </w:r>
      <w:r>
        <w:rPr>
          <w:rFonts w:ascii="Times New Roman" w:eastAsia="Times New Roman" w:hAnsi="Times New Roman" w:cs="Times New Roman"/>
          <w:sz w:val="24"/>
          <w:szCs w:val="24"/>
          <w:lang w:eastAsia="en-GB"/>
        </w:rPr>
        <w:t xml:space="preserve"> findings are credible and relevant b</w:t>
      </w:r>
      <w:r w:rsidRPr="00B62618">
        <w:rPr>
          <w:rFonts w:ascii="Times New Roman" w:eastAsia="Times New Roman" w:hAnsi="Times New Roman" w:cs="Times New Roman"/>
          <w:sz w:val="24"/>
          <w:szCs w:val="24"/>
          <w:lang w:eastAsia="en-GB"/>
        </w:rPr>
        <w:t xml:space="preserve">y </w:t>
      </w:r>
      <w:r>
        <w:rPr>
          <w:rFonts w:ascii="Times New Roman" w:eastAsia="Times New Roman" w:hAnsi="Times New Roman" w:cs="Times New Roman"/>
          <w:sz w:val="24"/>
          <w:szCs w:val="24"/>
          <w:lang w:eastAsia="en-GB"/>
        </w:rPr>
        <w:t>incorporating the</w:t>
      </w:r>
      <w:r w:rsidRPr="00B62618">
        <w:rPr>
          <w:rFonts w:ascii="Times New Roman" w:eastAsia="Times New Roman" w:hAnsi="Times New Roman" w:cs="Times New Roman"/>
          <w:sz w:val="24"/>
          <w:szCs w:val="24"/>
          <w:lang w:eastAsia="en-GB"/>
        </w:rPr>
        <w:t xml:space="preserve"> approaches</w:t>
      </w:r>
      <w:r>
        <w:rPr>
          <w:rFonts w:ascii="Times New Roman" w:eastAsia="Times New Roman" w:hAnsi="Times New Roman" w:cs="Times New Roman"/>
          <w:sz w:val="24"/>
          <w:szCs w:val="24"/>
          <w:lang w:eastAsia="en-GB"/>
        </w:rPr>
        <w:t xml:space="preserve"> discussed for</w:t>
      </w:r>
      <w:r w:rsidRPr="00B62618">
        <w:rPr>
          <w:rFonts w:ascii="Times New Roman" w:eastAsia="Times New Roman" w:hAnsi="Times New Roman" w:cs="Times New Roman"/>
          <w:sz w:val="24"/>
          <w:szCs w:val="24"/>
          <w:lang w:eastAsia="en-GB"/>
        </w:rPr>
        <w:t xml:space="preserve"> assessing significance, saturation and transferability</w:t>
      </w:r>
      <w:r>
        <w:rPr>
          <w:rFonts w:ascii="Times New Roman" w:eastAsia="Times New Roman" w:hAnsi="Times New Roman" w:cs="Times New Roman"/>
          <w:sz w:val="24"/>
          <w:szCs w:val="24"/>
          <w:lang w:eastAsia="en-GB"/>
        </w:rPr>
        <w:t>.</w:t>
      </w:r>
      <w:r w:rsidRPr="00B62618">
        <w:rPr>
          <w:rFonts w:ascii="Times New Roman" w:eastAsia="Times New Roman" w:hAnsi="Times New Roman" w:cs="Times New Roman"/>
          <w:sz w:val="24"/>
          <w:szCs w:val="24"/>
          <w:lang w:eastAsia="en-GB"/>
        </w:rPr>
        <w:t xml:space="preserve"> This methodological </w:t>
      </w:r>
      <w:r>
        <w:rPr>
          <w:rFonts w:ascii="Times New Roman" w:eastAsia="Times New Roman" w:hAnsi="Times New Roman" w:cs="Times New Roman"/>
          <w:sz w:val="24"/>
          <w:szCs w:val="24"/>
          <w:lang w:eastAsia="en-GB"/>
        </w:rPr>
        <w:t xml:space="preserve">approach will </w:t>
      </w:r>
      <w:r w:rsidRPr="00B62618">
        <w:rPr>
          <w:rFonts w:ascii="Times New Roman" w:eastAsia="Times New Roman" w:hAnsi="Times New Roman" w:cs="Times New Roman"/>
          <w:sz w:val="24"/>
          <w:szCs w:val="24"/>
          <w:lang w:eastAsia="en-GB"/>
        </w:rPr>
        <w:t>provide a strong foundation for informing improvements in data quality within sexual health services.</w:t>
      </w:r>
    </w:p>
    <w:p w14:paraId="3BE68C9C" w14:textId="77777777" w:rsidR="00924347" w:rsidRPr="002733C6" w:rsidRDefault="00924347" w:rsidP="00924347">
      <w:pPr>
        <w:spacing w:before="100" w:beforeAutospacing="1" w:after="100" w:afterAutospacing="1" w:line="240" w:lineRule="auto"/>
        <w:jc w:val="center"/>
        <w:rPr>
          <w:rFonts w:ascii="Times New Roman" w:eastAsia="Times New Roman" w:hAnsi="Times New Roman" w:cs="Times New Roman"/>
          <w:b/>
          <w:sz w:val="28"/>
          <w:szCs w:val="28"/>
          <w:lang w:eastAsia="en-GB"/>
        </w:rPr>
      </w:pPr>
      <w:r w:rsidRPr="002733C6">
        <w:rPr>
          <w:rFonts w:ascii="Times New Roman" w:eastAsia="Times New Roman" w:hAnsi="Times New Roman" w:cs="Times New Roman"/>
          <w:b/>
          <w:sz w:val="28"/>
          <w:szCs w:val="28"/>
          <w:lang w:eastAsia="en-GB"/>
        </w:rPr>
        <w:t>Ethical &amp; Governance Issues</w:t>
      </w:r>
    </w:p>
    <w:p w14:paraId="16AD1251" w14:textId="77777777" w:rsidR="00924347" w:rsidRDefault="00924347" w:rsidP="00924347">
      <w:pPr>
        <w:pStyle w:val="NormalWeb"/>
        <w:jc w:val="both"/>
      </w:pPr>
      <w:r>
        <w:t>As this study is focused on sexual health services and the use of EPR, ethical and governance considerations are of high importance. The research involves analysing routinely collected clinical data alongside the collection of qualitative data from healthcare professionals, each of which raises ethical issues. Given the highly sensitive nature of sexual health information, the potential vulnerability of the patient populations, plus the regulatory frameworks governing healthcare in the UK, these ethical considerations are particularly important (</w:t>
      </w:r>
      <w:proofErr w:type="spellStart"/>
      <w:r>
        <w:t>Pilbeam</w:t>
      </w:r>
      <w:proofErr w:type="spellEnd"/>
      <w:r>
        <w:t xml:space="preserve"> et al 2022).</w:t>
      </w:r>
    </w:p>
    <w:p w14:paraId="08A47882" w14:textId="77777777" w:rsidR="00924347" w:rsidRDefault="00924347" w:rsidP="00924347">
      <w:pPr>
        <w:pStyle w:val="NormalWeb"/>
        <w:jc w:val="both"/>
      </w:pPr>
      <w:r>
        <w:t xml:space="preserve">Confidentiality and the protection of patient information is a primary ethical concern. Sexual health data is classified as highly sensitive, as it may include details about sexual behaviour, relationships, sexually transmitted infections and safeguarding concerns. Even though this study will use anonymised patient-level data, there remains a risk of re-identification if datasets contain combinations of information that could indirectly identify individuals. Guidance from the </w:t>
      </w:r>
      <w:r>
        <w:rPr>
          <w:rStyle w:val="whitespace-normal"/>
        </w:rPr>
        <w:t>Health Research Authority (HRA)</w:t>
      </w:r>
      <w:r>
        <w:t xml:space="preserve"> highlights that even anonymised data may pose identification risks when small groups or unique characteristics are present, meaning that anonymisation must be sufficient to reduce this risk to an acceptably low level (HRA 2022). To address this, strict anonymisation procedures will be applied before data access to ensure that no identifiable information such as names, addresses or NHS numbers are included (</w:t>
      </w:r>
      <w:proofErr w:type="spellStart"/>
      <w:r>
        <w:t>Zhicheng</w:t>
      </w:r>
      <w:proofErr w:type="spellEnd"/>
      <w:r>
        <w:t xml:space="preserve"> 2023). In order to comply with regulatory frameworks such as the General Data Protection Regulation (GDPR) and the Data Protection Act (2018), the dataset will be handled in accordance with the principles of data minimisation, meaning that only variables essential to the research objectives are included. This principle requires that only data that is necessary and proportionate to the research objectives is collected and used. This is further emphasised </w:t>
      </w:r>
      <w:r>
        <w:lastRenderedPageBreak/>
        <w:t>by NHS guidance, that personal or confidential data should not be shared unless strictly necessary for a defined lawful purpose (NHS England 2025).</w:t>
      </w:r>
    </w:p>
    <w:p w14:paraId="28AFC6DB" w14:textId="77777777" w:rsidR="00924347" w:rsidRDefault="00924347" w:rsidP="00924347">
      <w:pPr>
        <w:pStyle w:val="NormalWeb"/>
        <w:jc w:val="both"/>
      </w:pPr>
      <w:r>
        <w:t>Closely related to confidentiality is the issue of data governance and access. The study relies on routinely collected EPR data held by Swansea Bay University Health Board (SBUHB), which means that appropriate organisational approvals must be obtained prior to data extraction. This will typically involve review by a data governance or information governance body within the Health Board to ensure that the proposed use of data is justified, proportionate and complies with legal and ethical standards (NHS England 2025). Data sharing agreements may also be required. This is to clearly define the responsibilities of the researcher and the organisation for handling, storing and security of data. In order to comply with the organisational policies and to maintain trust, there will be assurances that access to the data is restricted to authorised individuals, and that data is stored on secure, password-protected systems as required by NHS Wales (2026).</w:t>
      </w:r>
    </w:p>
    <w:p w14:paraId="7A6C78CD" w14:textId="77777777" w:rsidR="00924347" w:rsidRDefault="00924347" w:rsidP="00924347">
      <w:pPr>
        <w:pStyle w:val="NormalWeb"/>
        <w:jc w:val="both"/>
      </w:pPr>
      <w:r>
        <w:t>The qualitative component of the study raises ethical considerations related to informed consent, voluntary participation and potential risks to participants. The clinicians who participate in interviews will be fully informed about the purpose of the study, what participation involves and how their data will be used (HRA 2024). They will also be reassured that participation is voluntary and that they can withdraw at any time without consequence. As the participants are professionals discussing their work practices, there is a potential risk that they may feel uncomfortable disclosing any issues with their documentation practices. This could be exacerbated by concerns about professional judgement or workplace repercussions (</w:t>
      </w:r>
      <w:proofErr w:type="spellStart"/>
      <w:r>
        <w:t>Pilbeam</w:t>
      </w:r>
      <w:proofErr w:type="spellEnd"/>
      <w:r>
        <w:t xml:space="preserve"> et al 2022). Ensuring that all responses are anonymised and that no identifiable information is included in reports can help to mitigate this. By creating a supportive interview environment and emphasising the confidential nature of the discussions, potential discomfort and reluctance will hopefully be reduced (Braun &amp; Clarke 2019).</w:t>
      </w:r>
    </w:p>
    <w:p w14:paraId="2E6347FC" w14:textId="77777777" w:rsidR="00924347" w:rsidRDefault="00924347" w:rsidP="00924347">
      <w:pPr>
        <w:pStyle w:val="NormalWeb"/>
        <w:jc w:val="both"/>
      </w:pPr>
      <w:r>
        <w:t>Within this study the issue of power dynamics will also be considered, as the researcher has a professional connection to the participants. Participants may feel obliged to take part or to provide socially acceptable responses if they perceive the researcher as having authority or influence (</w:t>
      </w:r>
      <w:proofErr w:type="spellStart"/>
      <w:r>
        <w:t>Pilbeam</w:t>
      </w:r>
      <w:proofErr w:type="spellEnd"/>
      <w:r>
        <w:t xml:space="preserve"> et al 2022). To minimise this risk, recruitment will be conducted in a way that avoids coercion, such as through general invitations via email rather than directly approaching the clinicians. It will also be made clear that participation or non-participation will have no impact on employment or professional relationships.</w:t>
      </w:r>
    </w:p>
    <w:p w14:paraId="31CD5D99" w14:textId="77777777" w:rsidR="00924347" w:rsidRDefault="00924347" w:rsidP="00924347">
      <w:pPr>
        <w:pStyle w:val="NormalWeb"/>
        <w:jc w:val="both"/>
      </w:pPr>
      <w:r>
        <w:t xml:space="preserve">As previously mentioned, response bias and the accuracy of self-reported data is a methodological concern. However, it also has ethical implications with regards to the integrity of the research. Participants may not report behaviours, such as incomplete documentation, that they perceive are undesirable. Or on the other hand, may present their practices in a more favourable light (Walker &amp; McCann 2023; Braun &amp; Clarke 2025). The researcher must acknowledge these as potential limitations and ensure that findings are interpreted cautiously and transparently, aligning with the wider ethical principle of honesty in research and the responsible reporting of findings (Walker &amp; McCann 2023). </w:t>
      </w:r>
    </w:p>
    <w:p w14:paraId="2E8C8243" w14:textId="77777777" w:rsidR="00924347" w:rsidRDefault="00924347" w:rsidP="00924347">
      <w:pPr>
        <w:pStyle w:val="NormalWeb"/>
        <w:jc w:val="both"/>
      </w:pPr>
      <w:r>
        <w:t xml:space="preserve">Although the study does not involve direct patient participation, data will include sensitive information related to all aspects of sexual health and safeguarding concerns. Therefore, the handling of sensitive topics within interviews also requires careful consideration. Participants will be reminded not to disclose identifiable patient information during interviews. If this information is inadvertently shared, the researcher has a responsibility to ensure that it is not </w:t>
      </w:r>
      <w:r>
        <w:lastRenderedPageBreak/>
        <w:t xml:space="preserve">included in transcripts or analysis (HRA 2024). In keeping with this, data storage and security are key governance issues throughout the research process. All data, including interview recordings and transcripts, must be stored securely using encrypted and password-protected systems, preferably on university-approved or NHS-approved platforms (HRA 2024; NHS 2025). In order to comply with data protection legislation, access should be limited to the researcher and their supervisor, and data should be retained only for the period specified by institutional policies before being securely destroyed (Data Protection Act 2018). </w:t>
      </w:r>
    </w:p>
    <w:p w14:paraId="5F6E0959" w14:textId="77777777" w:rsidR="00924347" w:rsidRDefault="00924347" w:rsidP="00924347">
      <w:pPr>
        <w:pStyle w:val="NormalWeb"/>
        <w:jc w:val="both"/>
      </w:pPr>
      <w:r>
        <w:t xml:space="preserve">Finally, transparency and accountability are important ethical considerations. The research process, including methods, analysis, and limitations, must be clearly documented to allow for scrutiny and replication. This includes acknowledging any conflicts of interest, ensuring that ethical approval is obtained before data collection, and adhering to the University’s ‘Research Integrity and Ethics Policy’ </w:t>
      </w:r>
      <w:r w:rsidRPr="00E668C4">
        <w:t>(University of Wales Trinity Saint David (UWTSD 2025).</w:t>
      </w:r>
      <w:r>
        <w:t xml:space="preserve"> Maintaining high standards of transparency in this manner contributes to the credibility and trustworthiness of the study. </w:t>
      </w:r>
    </w:p>
    <w:p w14:paraId="1B698057" w14:textId="77777777" w:rsidR="004173F4" w:rsidRPr="004173F4" w:rsidRDefault="004173F4" w:rsidP="00924347">
      <w:pPr>
        <w:pStyle w:val="NormalWeb"/>
        <w:jc w:val="both"/>
        <w:rPr>
          <w:b/>
        </w:rPr>
      </w:pPr>
      <w:r>
        <w:rPr>
          <w:b/>
          <w:noProof/>
        </w:rPr>
        <mc:AlternateContent>
          <mc:Choice Requires="wps">
            <w:drawing>
              <wp:anchor distT="0" distB="0" distL="114300" distR="114300" simplePos="0" relativeHeight="251659264" behindDoc="0" locked="0" layoutInCell="1" allowOverlap="1" wp14:anchorId="7C51F499" wp14:editId="6F217F20">
                <wp:simplePos x="0" y="0"/>
                <wp:positionH relativeFrom="column">
                  <wp:posOffset>858129</wp:posOffset>
                </wp:positionH>
                <wp:positionV relativeFrom="paragraph">
                  <wp:posOffset>206522</wp:posOffset>
                </wp:positionV>
                <wp:extent cx="1378634" cy="330590"/>
                <wp:effectExtent l="19050" t="0" r="12065" b="69850"/>
                <wp:wrapNone/>
                <wp:docPr id="1" name="Straight Arrow Connector 1"/>
                <wp:cNvGraphicFramePr/>
                <a:graphic xmlns:a="http://schemas.openxmlformats.org/drawingml/2006/main">
                  <a:graphicData uri="http://schemas.microsoft.com/office/word/2010/wordprocessingShape">
                    <wps:wsp>
                      <wps:cNvCnPr/>
                      <wps:spPr>
                        <a:xfrm flipH="1">
                          <a:off x="0" y="0"/>
                          <a:ext cx="1378634" cy="33059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420BFB53" id="_x0000_t32" coordsize="21600,21600" o:spt="32" o:oned="t" path="m,l21600,21600e" filled="f">
                <v:path arrowok="t" fillok="f" o:connecttype="none"/>
                <o:lock v:ext="edit" shapetype="t"/>
              </v:shapetype>
              <v:shape id="Straight Arrow Connector 1" o:spid="_x0000_s1026" type="#_x0000_t32" style="position:absolute;margin-left:67.55pt;margin-top:16.25pt;width:108.55pt;height:26.05pt;flip:x;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" strokecolor="#5b9bd5 [3204]" strokeweight=".5pt">
                <v:stroke endarrow="block" joinstyle="miter"/>
              </v:shape>
            </w:pict>
          </mc:Fallback>
        </mc:AlternateContent>
      </w:r>
      <w:r w:rsidRPr="004173F4">
        <w:rPr>
          <w:b/>
        </w:rPr>
        <w:t>Link to University Application for Ethical Approval</w:t>
      </w:r>
    </w:p>
    <w:bookmarkStart w:id="0" w:name="_MON_1838668142"/>
    <w:bookmarkEnd w:id="0"/>
    <w:p w14:paraId="396D3763" w14:textId="77777777" w:rsidR="004173F4" w:rsidRDefault="004173F4" w:rsidP="00924347">
      <w:pPr>
        <w:pStyle w:val="NormalWeb"/>
        <w:jc w:val="both"/>
      </w:pPr>
      <w:r>
        <w:object w:dxaOrig="1508" w:dyaOrig="984" w14:anchorId="7316DE0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pt;height:49.5pt" o:ole="">
            <v:imagedata r:id="rId7" o:title=""/>
          </v:shape>
          <o:OLEObject Type="Embed" ProgID="Word.Document.12" ShapeID="_x0000_i1025" DrawAspect="Icon" ObjectID="_1839065700" r:id="rId8">
            <o:FieldCodes>\s</o:FieldCodes>
          </o:OLEObject>
        </w:object>
      </w:r>
    </w:p>
    <w:p w14:paraId="2DF2AA22" w14:textId="77777777" w:rsidR="00924347" w:rsidRPr="000520F4" w:rsidRDefault="00924347" w:rsidP="00924347">
      <w:pPr>
        <w:pStyle w:val="NormalWeb"/>
        <w:jc w:val="center"/>
        <w:rPr>
          <w:b/>
          <w:sz w:val="28"/>
          <w:szCs w:val="28"/>
        </w:rPr>
      </w:pPr>
      <w:r w:rsidRPr="000520F4">
        <w:rPr>
          <w:b/>
          <w:sz w:val="28"/>
          <w:szCs w:val="28"/>
        </w:rPr>
        <w:t>Conclusion</w:t>
      </w:r>
    </w:p>
    <w:p w14:paraId="517593AC" w14:textId="77777777" w:rsidR="00924347" w:rsidRDefault="00924347" w:rsidP="00924347">
      <w:pPr>
        <w:pStyle w:val="NormalWeb"/>
        <w:jc w:val="both"/>
      </w:pPr>
      <w:r>
        <w:t>This study set</w:t>
      </w:r>
      <w:r w:rsidR="00752A3F">
        <w:t>s</w:t>
      </w:r>
      <w:r>
        <w:t xml:space="preserve"> out to evaluate data completeness within the EPR system used in SBUHB ISH service, and to explore the factors influencing incomplete documentat</w:t>
      </w:r>
      <w:r w:rsidR="00752A3F">
        <w:t>ion. The findings of this study</w:t>
      </w:r>
      <w:r>
        <w:t xml:space="preserve"> are expected to show that while EPR systems offer clear advantages related to accessibility, continuity of care and data availability, they do not guarantee that the data will be of high-quality or complete. Instead, data completeness is shaped by a complex interaction of technical, organisational and human factors.</w:t>
      </w:r>
    </w:p>
    <w:p w14:paraId="26AF059A" w14:textId="77777777" w:rsidR="00924347" w:rsidRDefault="00924347" w:rsidP="00924347">
      <w:pPr>
        <w:pStyle w:val="NormalWeb"/>
        <w:jc w:val="both"/>
      </w:pPr>
      <w:r>
        <w:t xml:space="preserve">By adopting a mixed-methods approach, this study provides both a quantitative assessment of the extent of missing data and a qualitative understanding of the underlying reasons for these patterns. Utilising a quantitative analysis alone would enable the identification of specific gaps in documentation and highlights areas of the EPR system that may require improvement, but would not show the human and technological reasons behind these issues. Including a qualitative aspect to the study, allows for a more nuanced understanding of the realities of clinical practice, including time pressures, system usability challenges and the sensitive nature of sexual health consultations. </w:t>
      </w:r>
      <w:r w:rsidR="00752A3F">
        <w:t>Triangulating</w:t>
      </w:r>
      <w:r>
        <w:t xml:space="preserve"> the findings provides a more holistic interpretation of the data.</w:t>
      </w:r>
    </w:p>
    <w:p w14:paraId="2376AFCD" w14:textId="77777777" w:rsidR="00924347" w:rsidRDefault="00924347" w:rsidP="00924347">
      <w:pPr>
        <w:pStyle w:val="NormalWeb"/>
        <w:jc w:val="both"/>
      </w:pPr>
      <w:r>
        <w:t xml:space="preserve">Importantly, this study challenges the assumption that increasing data completeness alone will lead to improved clinical or public health outcomes. As discussed, an overemphasis on documentation may inadvertently contribute to clinician burden and detract from patient-centred care. Therefore, efforts to improve data quality must be balanced, ensuring that they are both </w:t>
      </w:r>
      <w:r w:rsidR="00752A3F">
        <w:t>practically</w:t>
      </w:r>
      <w:r>
        <w:t xml:space="preserve"> feasible and meaningful within the clinical context. The integration of findings in this study supports the development of recommendations that are applicable to real-world practice, rather than purely theoretical or technical solutions.</w:t>
      </w:r>
    </w:p>
    <w:p w14:paraId="1B43108F" w14:textId="77777777" w:rsidR="00924347" w:rsidRDefault="00924347" w:rsidP="00924347">
      <w:pPr>
        <w:pStyle w:val="NormalWeb"/>
        <w:jc w:val="both"/>
      </w:pPr>
      <w:r>
        <w:lastRenderedPageBreak/>
        <w:t>Although limited by its focus on a single Health Board and reliance on existing EPR data, the study will provide valuable insight into an underexplored area of digital health. By combining statistical analysis with clinician perspectives, it contributes to a more complete understanding of data quality within sexual health services.</w:t>
      </w:r>
    </w:p>
    <w:p w14:paraId="76DF038E" w14:textId="77777777" w:rsidR="00924347" w:rsidRDefault="00924347" w:rsidP="00924347">
      <w:pPr>
        <w:pStyle w:val="NormalWeb"/>
        <w:jc w:val="both"/>
      </w:pPr>
      <w:r>
        <w:t xml:space="preserve">It is expected that the study will show that improving data completeness within EPR systems requires more than technological solutions alone. It requires thoughtful system design, adequate training and an appreciation of the clinical environment in which documentation occurs. The findings of this study aim to inform practical, evidence-based improvements that enhance data quality and patient care within ISH services, while also </w:t>
      </w:r>
      <w:r w:rsidR="00752A3F">
        <w:t>providing</w:t>
      </w:r>
      <w:r>
        <w:t xml:space="preserve"> insights that may be transferable to similar healthcare settings.</w:t>
      </w:r>
    </w:p>
    <w:p w14:paraId="649854F9" w14:textId="77777777" w:rsidR="00924347" w:rsidRDefault="00924347" w:rsidP="00924347">
      <w:pPr>
        <w:spacing w:before="100" w:beforeAutospacing="1" w:after="100" w:afterAutospacing="1" w:line="240" w:lineRule="auto"/>
        <w:jc w:val="both"/>
        <w:rPr>
          <w:rFonts w:ascii="Times New Roman" w:eastAsia="Times New Roman" w:hAnsi="Times New Roman" w:cs="Times New Roman"/>
          <w:sz w:val="24"/>
          <w:szCs w:val="24"/>
          <w:lang w:eastAsia="en-GB"/>
        </w:rPr>
      </w:pPr>
    </w:p>
    <w:p w14:paraId="4300ADFF" w14:textId="77777777" w:rsidR="00924347" w:rsidRPr="00D53237" w:rsidRDefault="00924347" w:rsidP="00924347">
      <w:pPr>
        <w:spacing w:before="100" w:beforeAutospacing="1" w:after="100" w:afterAutospacing="1" w:line="240" w:lineRule="auto"/>
        <w:jc w:val="center"/>
        <w:rPr>
          <w:rFonts w:ascii="Times New Roman" w:eastAsia="Times New Roman" w:hAnsi="Times New Roman" w:cs="Times New Roman"/>
          <w:b/>
          <w:sz w:val="24"/>
          <w:szCs w:val="24"/>
          <w:lang w:eastAsia="en-GB"/>
        </w:rPr>
      </w:pPr>
      <w:r w:rsidRPr="00D53237">
        <w:rPr>
          <w:rFonts w:ascii="Times New Roman" w:eastAsia="Times New Roman" w:hAnsi="Times New Roman" w:cs="Times New Roman"/>
          <w:b/>
          <w:sz w:val="24"/>
          <w:szCs w:val="24"/>
          <w:lang w:eastAsia="en-GB"/>
        </w:rPr>
        <w:t>References</w:t>
      </w:r>
    </w:p>
    <w:p w14:paraId="0C1FEBCD" w14:textId="77777777" w:rsidR="00924347" w:rsidRPr="00D53237" w:rsidRDefault="00924347" w:rsidP="00924347">
      <w:pPr>
        <w:spacing w:after="0" w:line="240" w:lineRule="auto"/>
        <w:rPr>
          <w:rFonts w:ascii="Times New Roman" w:eastAsia="Times New Roman" w:hAnsi="Times New Roman" w:cs="Times New Roman"/>
          <w:sz w:val="24"/>
          <w:szCs w:val="24"/>
          <w:lang w:eastAsia="en-GB"/>
        </w:rPr>
      </w:pPr>
      <w:r w:rsidRPr="00D53237">
        <w:rPr>
          <w:rFonts w:ascii="Times New Roman" w:eastAsia="Times New Roman" w:hAnsi="Times New Roman" w:cs="Times New Roman"/>
          <w:sz w:val="24"/>
          <w:szCs w:val="24"/>
          <w:lang w:eastAsia="en-GB"/>
        </w:rPr>
        <w:t xml:space="preserve">Andrade, C. (2020) “Sample size and its importance in research,” </w:t>
      </w:r>
      <w:r w:rsidRPr="00D53237">
        <w:rPr>
          <w:rFonts w:ascii="Times New Roman" w:eastAsia="Times New Roman" w:hAnsi="Times New Roman" w:cs="Times New Roman"/>
          <w:i/>
          <w:iCs/>
          <w:sz w:val="24"/>
          <w:szCs w:val="24"/>
          <w:lang w:eastAsia="en-GB"/>
        </w:rPr>
        <w:t>Indian Journal of Psychological Medicine</w:t>
      </w:r>
      <w:r w:rsidRPr="00D53237">
        <w:rPr>
          <w:rFonts w:ascii="Times New Roman" w:eastAsia="Times New Roman" w:hAnsi="Times New Roman" w:cs="Times New Roman"/>
          <w:sz w:val="24"/>
          <w:szCs w:val="24"/>
          <w:lang w:eastAsia="en-GB"/>
        </w:rPr>
        <w:t xml:space="preserve">, 42(1), pp. 102–103. Available at: </w:t>
      </w:r>
      <w:hyperlink r:id="rId9" w:history="1">
        <w:r w:rsidRPr="00D53237">
          <w:rPr>
            <w:rStyle w:val="Hyperlink"/>
            <w:rFonts w:ascii="Times New Roman" w:eastAsia="Times New Roman" w:hAnsi="Times New Roman" w:cs="Times New Roman"/>
            <w:sz w:val="24"/>
            <w:szCs w:val="24"/>
            <w:lang w:eastAsia="en-GB"/>
          </w:rPr>
          <w:t>https://doi.org/10.4103/IJPSYM.IJPSYM_504_19;CTYPE:STRING:JOURNAL</w:t>
        </w:r>
      </w:hyperlink>
      <w:r w:rsidRPr="00D53237">
        <w:rPr>
          <w:rFonts w:ascii="Times New Roman" w:eastAsia="Times New Roman" w:hAnsi="Times New Roman" w:cs="Times New Roman"/>
          <w:sz w:val="24"/>
          <w:szCs w:val="24"/>
          <w:lang w:eastAsia="en-GB"/>
        </w:rPr>
        <w:t>.</w:t>
      </w:r>
    </w:p>
    <w:p w14:paraId="3FA5DAFC" w14:textId="77777777" w:rsidR="00924347" w:rsidRPr="00D53237" w:rsidRDefault="00924347" w:rsidP="00924347">
      <w:pPr>
        <w:spacing w:after="0" w:line="240" w:lineRule="auto"/>
        <w:rPr>
          <w:rFonts w:ascii="Times New Roman" w:eastAsia="Times New Roman" w:hAnsi="Times New Roman" w:cs="Times New Roman"/>
          <w:sz w:val="24"/>
          <w:szCs w:val="24"/>
          <w:lang w:eastAsia="en-GB"/>
        </w:rPr>
      </w:pPr>
    </w:p>
    <w:p w14:paraId="58CEC246" w14:textId="77777777" w:rsidR="00924347" w:rsidRPr="00D53237" w:rsidRDefault="00924347" w:rsidP="00924347">
      <w:pPr>
        <w:spacing w:after="0" w:line="240" w:lineRule="auto"/>
        <w:rPr>
          <w:rFonts w:ascii="Times New Roman" w:eastAsia="Times New Roman" w:hAnsi="Times New Roman" w:cs="Times New Roman"/>
          <w:sz w:val="24"/>
          <w:szCs w:val="24"/>
          <w:lang w:eastAsia="en-GB"/>
        </w:rPr>
      </w:pPr>
      <w:r w:rsidRPr="00D53237">
        <w:rPr>
          <w:rFonts w:ascii="Times New Roman" w:eastAsia="Times New Roman" w:hAnsi="Times New Roman" w:cs="Times New Roman"/>
          <w:sz w:val="24"/>
          <w:szCs w:val="24"/>
          <w:lang w:eastAsia="en-GB"/>
        </w:rPr>
        <w:t xml:space="preserve">Baumann, L.A., Baker, J. and </w:t>
      </w:r>
      <w:proofErr w:type="spellStart"/>
      <w:r w:rsidRPr="00D53237">
        <w:rPr>
          <w:rFonts w:ascii="Times New Roman" w:eastAsia="Times New Roman" w:hAnsi="Times New Roman" w:cs="Times New Roman"/>
          <w:sz w:val="24"/>
          <w:szCs w:val="24"/>
          <w:lang w:eastAsia="en-GB"/>
        </w:rPr>
        <w:t>Elshaug</w:t>
      </w:r>
      <w:proofErr w:type="spellEnd"/>
      <w:r w:rsidRPr="00D53237">
        <w:rPr>
          <w:rFonts w:ascii="Times New Roman" w:eastAsia="Times New Roman" w:hAnsi="Times New Roman" w:cs="Times New Roman"/>
          <w:sz w:val="24"/>
          <w:szCs w:val="24"/>
          <w:lang w:eastAsia="en-GB"/>
        </w:rPr>
        <w:t xml:space="preserve">, A.G. (2018) “The impact of electronic health record systems on clinical documentation times: A systematic review,” </w:t>
      </w:r>
      <w:r w:rsidRPr="00D53237">
        <w:rPr>
          <w:rFonts w:ascii="Times New Roman" w:eastAsia="Times New Roman" w:hAnsi="Times New Roman" w:cs="Times New Roman"/>
          <w:i/>
          <w:iCs/>
          <w:sz w:val="24"/>
          <w:szCs w:val="24"/>
          <w:lang w:eastAsia="en-GB"/>
        </w:rPr>
        <w:t>Health Policy</w:t>
      </w:r>
      <w:r w:rsidRPr="00D53237">
        <w:rPr>
          <w:rFonts w:ascii="Times New Roman" w:eastAsia="Times New Roman" w:hAnsi="Times New Roman" w:cs="Times New Roman"/>
          <w:sz w:val="24"/>
          <w:szCs w:val="24"/>
          <w:lang w:eastAsia="en-GB"/>
        </w:rPr>
        <w:t xml:space="preserve">, 122(8), pp. 827–836. Available at: </w:t>
      </w:r>
      <w:hyperlink r:id="rId10" w:history="1">
        <w:r w:rsidRPr="00D53237">
          <w:rPr>
            <w:rStyle w:val="Hyperlink"/>
            <w:rFonts w:ascii="Times New Roman" w:eastAsia="Times New Roman" w:hAnsi="Times New Roman" w:cs="Times New Roman"/>
            <w:sz w:val="24"/>
            <w:szCs w:val="24"/>
            <w:lang w:eastAsia="en-GB"/>
          </w:rPr>
          <w:t>https://doi.org/10.1016/J.HEALTHPOL.2018.05.014</w:t>
        </w:r>
      </w:hyperlink>
      <w:r w:rsidRPr="00D53237">
        <w:rPr>
          <w:rFonts w:ascii="Times New Roman" w:eastAsia="Times New Roman" w:hAnsi="Times New Roman" w:cs="Times New Roman"/>
          <w:sz w:val="24"/>
          <w:szCs w:val="24"/>
          <w:lang w:eastAsia="en-GB"/>
        </w:rPr>
        <w:t>.</w:t>
      </w:r>
    </w:p>
    <w:p w14:paraId="0EFFD146" w14:textId="77777777" w:rsidR="00924347" w:rsidRPr="00D53237" w:rsidRDefault="00924347" w:rsidP="00924347">
      <w:pPr>
        <w:spacing w:after="0" w:line="240" w:lineRule="auto"/>
        <w:rPr>
          <w:rFonts w:ascii="Times New Roman" w:eastAsia="Times New Roman" w:hAnsi="Times New Roman" w:cs="Times New Roman"/>
          <w:sz w:val="24"/>
          <w:szCs w:val="24"/>
          <w:lang w:eastAsia="en-GB"/>
        </w:rPr>
      </w:pPr>
    </w:p>
    <w:p w14:paraId="070C15BE" w14:textId="77777777" w:rsidR="00924347" w:rsidRPr="00D53237" w:rsidRDefault="00924347" w:rsidP="00924347">
      <w:pPr>
        <w:spacing w:after="0" w:line="240" w:lineRule="auto"/>
        <w:rPr>
          <w:rFonts w:ascii="Times New Roman" w:eastAsia="Times New Roman" w:hAnsi="Times New Roman" w:cs="Times New Roman"/>
          <w:sz w:val="24"/>
          <w:szCs w:val="24"/>
          <w:lang w:eastAsia="en-GB"/>
        </w:rPr>
      </w:pPr>
      <w:r w:rsidRPr="00D53237">
        <w:rPr>
          <w:rFonts w:ascii="Times New Roman" w:eastAsia="Times New Roman" w:hAnsi="Times New Roman" w:cs="Times New Roman"/>
          <w:sz w:val="24"/>
          <w:szCs w:val="24"/>
          <w:lang w:eastAsia="en-GB"/>
        </w:rPr>
        <w:t xml:space="preserve">Bennett, C. </w:t>
      </w:r>
      <w:r w:rsidRPr="00D53237">
        <w:rPr>
          <w:rFonts w:ascii="Times New Roman" w:eastAsia="Times New Roman" w:hAnsi="Times New Roman" w:cs="Times New Roman"/>
          <w:i/>
          <w:iCs/>
          <w:sz w:val="24"/>
          <w:szCs w:val="24"/>
          <w:lang w:eastAsia="en-GB"/>
        </w:rPr>
        <w:t>et al.</w:t>
      </w:r>
      <w:r w:rsidRPr="00D53237">
        <w:rPr>
          <w:rFonts w:ascii="Times New Roman" w:eastAsia="Times New Roman" w:hAnsi="Times New Roman" w:cs="Times New Roman"/>
          <w:sz w:val="24"/>
          <w:szCs w:val="24"/>
          <w:lang w:eastAsia="en-GB"/>
        </w:rPr>
        <w:t xml:space="preserve"> (2023) “The barriers and facilitators to young people’s engagement with bidirectional digital sexual health interventions: a mixed methods systematic review,” </w:t>
      </w:r>
      <w:r w:rsidRPr="00D53237">
        <w:rPr>
          <w:rFonts w:ascii="Times New Roman" w:eastAsia="Times New Roman" w:hAnsi="Times New Roman" w:cs="Times New Roman"/>
          <w:i/>
          <w:iCs/>
          <w:sz w:val="24"/>
          <w:szCs w:val="24"/>
          <w:lang w:eastAsia="en-GB"/>
        </w:rPr>
        <w:t>BMC Digital Health 2023 1:1</w:t>
      </w:r>
      <w:r w:rsidRPr="00D53237">
        <w:rPr>
          <w:rFonts w:ascii="Times New Roman" w:eastAsia="Times New Roman" w:hAnsi="Times New Roman" w:cs="Times New Roman"/>
          <w:sz w:val="24"/>
          <w:szCs w:val="24"/>
          <w:lang w:eastAsia="en-GB"/>
        </w:rPr>
        <w:t xml:space="preserve">, 1(1), pp. 30-. Available at: </w:t>
      </w:r>
      <w:hyperlink r:id="rId11" w:history="1">
        <w:r w:rsidRPr="00D53237">
          <w:rPr>
            <w:rStyle w:val="Hyperlink"/>
            <w:rFonts w:ascii="Times New Roman" w:eastAsia="Times New Roman" w:hAnsi="Times New Roman" w:cs="Times New Roman"/>
            <w:sz w:val="24"/>
            <w:szCs w:val="24"/>
            <w:lang w:eastAsia="en-GB"/>
          </w:rPr>
          <w:t>https://doi.org/10.1186/S44247-023-00030-3</w:t>
        </w:r>
      </w:hyperlink>
      <w:r w:rsidRPr="00D53237">
        <w:rPr>
          <w:rFonts w:ascii="Times New Roman" w:eastAsia="Times New Roman" w:hAnsi="Times New Roman" w:cs="Times New Roman"/>
          <w:sz w:val="24"/>
          <w:szCs w:val="24"/>
          <w:lang w:eastAsia="en-GB"/>
        </w:rPr>
        <w:t>.</w:t>
      </w:r>
    </w:p>
    <w:p w14:paraId="75AACD0C" w14:textId="77777777" w:rsidR="00924347" w:rsidRPr="00D53237" w:rsidRDefault="00924347" w:rsidP="00924347">
      <w:pPr>
        <w:spacing w:after="0" w:line="240" w:lineRule="auto"/>
        <w:rPr>
          <w:rFonts w:ascii="Times New Roman" w:eastAsia="Times New Roman" w:hAnsi="Times New Roman" w:cs="Times New Roman"/>
          <w:sz w:val="24"/>
          <w:szCs w:val="24"/>
          <w:lang w:eastAsia="en-GB"/>
        </w:rPr>
      </w:pPr>
    </w:p>
    <w:p w14:paraId="348939F3" w14:textId="77777777" w:rsidR="00924347" w:rsidRPr="00D53237" w:rsidRDefault="00924347" w:rsidP="00924347">
      <w:pPr>
        <w:spacing w:after="0" w:line="240" w:lineRule="auto"/>
        <w:rPr>
          <w:rFonts w:ascii="Times New Roman" w:eastAsia="Times New Roman" w:hAnsi="Times New Roman" w:cs="Times New Roman"/>
          <w:sz w:val="24"/>
          <w:szCs w:val="24"/>
          <w:lang w:eastAsia="en-GB"/>
        </w:rPr>
      </w:pPr>
      <w:r w:rsidRPr="00D53237">
        <w:rPr>
          <w:rFonts w:ascii="Times New Roman" w:eastAsia="Times New Roman" w:hAnsi="Times New Roman" w:cs="Times New Roman"/>
          <w:sz w:val="24"/>
          <w:szCs w:val="24"/>
          <w:lang w:eastAsia="en-GB"/>
        </w:rPr>
        <w:t xml:space="preserve">Braun, V. and Clarke, V. (2019) “Reflecting on reflexive thematic analysis,” </w:t>
      </w:r>
      <w:r w:rsidRPr="00D53237">
        <w:rPr>
          <w:rFonts w:ascii="Times New Roman" w:eastAsia="Times New Roman" w:hAnsi="Times New Roman" w:cs="Times New Roman"/>
          <w:i/>
          <w:iCs/>
          <w:sz w:val="24"/>
          <w:szCs w:val="24"/>
          <w:lang w:eastAsia="en-GB"/>
        </w:rPr>
        <w:t>Qualitative Research in Sport, Exercise and Health</w:t>
      </w:r>
      <w:r w:rsidRPr="00D53237">
        <w:rPr>
          <w:rFonts w:ascii="Times New Roman" w:eastAsia="Times New Roman" w:hAnsi="Times New Roman" w:cs="Times New Roman"/>
          <w:sz w:val="24"/>
          <w:szCs w:val="24"/>
          <w:lang w:eastAsia="en-GB"/>
        </w:rPr>
        <w:t xml:space="preserve">, 11(4), pp. 589–597. Available at: </w:t>
      </w:r>
      <w:hyperlink r:id="rId12" w:history="1">
        <w:r w:rsidRPr="00D53237">
          <w:rPr>
            <w:rStyle w:val="Hyperlink"/>
            <w:rFonts w:ascii="Times New Roman" w:eastAsia="Times New Roman" w:hAnsi="Times New Roman" w:cs="Times New Roman"/>
            <w:sz w:val="24"/>
            <w:szCs w:val="24"/>
            <w:lang w:eastAsia="en-GB"/>
          </w:rPr>
          <w:t>https://doi.org/10.1080/2159676X.2019.1628806</w:t>
        </w:r>
      </w:hyperlink>
      <w:r w:rsidRPr="00D53237">
        <w:rPr>
          <w:rFonts w:ascii="Times New Roman" w:eastAsia="Times New Roman" w:hAnsi="Times New Roman" w:cs="Times New Roman"/>
          <w:sz w:val="24"/>
          <w:szCs w:val="24"/>
          <w:lang w:eastAsia="en-GB"/>
        </w:rPr>
        <w:t>.</w:t>
      </w:r>
    </w:p>
    <w:p w14:paraId="0F80EB08" w14:textId="77777777" w:rsidR="00924347" w:rsidRPr="00D53237" w:rsidRDefault="00924347" w:rsidP="00924347">
      <w:pPr>
        <w:spacing w:after="0" w:line="240" w:lineRule="auto"/>
        <w:rPr>
          <w:rFonts w:ascii="Times New Roman" w:eastAsia="Times New Roman" w:hAnsi="Times New Roman" w:cs="Times New Roman"/>
          <w:sz w:val="24"/>
          <w:szCs w:val="24"/>
          <w:lang w:eastAsia="en-GB"/>
        </w:rPr>
      </w:pPr>
    </w:p>
    <w:p w14:paraId="5FC55DE2" w14:textId="77777777" w:rsidR="00924347" w:rsidRPr="00D53237" w:rsidRDefault="00924347" w:rsidP="00924347">
      <w:pPr>
        <w:spacing w:after="0" w:line="240" w:lineRule="auto"/>
        <w:rPr>
          <w:rFonts w:ascii="Times New Roman" w:eastAsia="Times New Roman" w:hAnsi="Times New Roman" w:cs="Times New Roman"/>
          <w:sz w:val="24"/>
          <w:szCs w:val="24"/>
          <w:lang w:eastAsia="en-GB"/>
        </w:rPr>
      </w:pPr>
      <w:r w:rsidRPr="00D53237">
        <w:rPr>
          <w:rFonts w:ascii="Times New Roman" w:eastAsia="Times New Roman" w:hAnsi="Times New Roman" w:cs="Times New Roman"/>
          <w:sz w:val="24"/>
          <w:szCs w:val="24"/>
          <w:lang w:eastAsia="en-GB"/>
        </w:rPr>
        <w:t xml:space="preserve">Braun, V. and Clarke, V. (2025) “Reporting guidelines for qualitative research: a values-based approach,” </w:t>
      </w:r>
      <w:r w:rsidRPr="00D53237">
        <w:rPr>
          <w:rFonts w:ascii="Times New Roman" w:eastAsia="Times New Roman" w:hAnsi="Times New Roman" w:cs="Times New Roman"/>
          <w:i/>
          <w:iCs/>
          <w:sz w:val="24"/>
          <w:szCs w:val="24"/>
          <w:lang w:eastAsia="en-GB"/>
        </w:rPr>
        <w:t>Qualitative Research in Psychology</w:t>
      </w:r>
      <w:r w:rsidRPr="00D53237">
        <w:rPr>
          <w:rFonts w:ascii="Times New Roman" w:eastAsia="Times New Roman" w:hAnsi="Times New Roman" w:cs="Times New Roman"/>
          <w:sz w:val="24"/>
          <w:szCs w:val="24"/>
          <w:lang w:eastAsia="en-GB"/>
        </w:rPr>
        <w:t xml:space="preserve">, 22(2), pp. 399–438. Available at: </w:t>
      </w:r>
      <w:hyperlink r:id="rId13" w:history="1">
        <w:r w:rsidRPr="00D53237">
          <w:rPr>
            <w:rStyle w:val="Hyperlink"/>
            <w:rFonts w:ascii="Times New Roman" w:eastAsia="Times New Roman" w:hAnsi="Times New Roman" w:cs="Times New Roman"/>
            <w:sz w:val="24"/>
            <w:szCs w:val="24"/>
            <w:lang w:eastAsia="en-GB"/>
          </w:rPr>
          <w:t>https://doi.org/10.1080/14780887.2024.2382244</w:t>
        </w:r>
      </w:hyperlink>
      <w:r w:rsidRPr="00D53237">
        <w:rPr>
          <w:rFonts w:ascii="Times New Roman" w:eastAsia="Times New Roman" w:hAnsi="Times New Roman" w:cs="Times New Roman"/>
          <w:sz w:val="24"/>
          <w:szCs w:val="24"/>
          <w:lang w:eastAsia="en-GB"/>
        </w:rPr>
        <w:t>.</w:t>
      </w:r>
    </w:p>
    <w:p w14:paraId="31AF87FC" w14:textId="77777777" w:rsidR="00924347" w:rsidRPr="00D53237" w:rsidRDefault="00924347" w:rsidP="00924347">
      <w:pPr>
        <w:spacing w:after="0" w:line="240" w:lineRule="auto"/>
        <w:rPr>
          <w:rFonts w:ascii="Times New Roman" w:eastAsia="Times New Roman" w:hAnsi="Times New Roman" w:cs="Times New Roman"/>
          <w:sz w:val="24"/>
          <w:szCs w:val="24"/>
          <w:lang w:eastAsia="en-GB"/>
        </w:rPr>
      </w:pPr>
    </w:p>
    <w:p w14:paraId="3600A311" w14:textId="77777777" w:rsidR="00924347" w:rsidRPr="00D53237" w:rsidRDefault="00924347" w:rsidP="00924347">
      <w:pPr>
        <w:spacing w:after="0" w:line="240" w:lineRule="auto"/>
        <w:rPr>
          <w:rFonts w:ascii="Times New Roman" w:eastAsia="Times New Roman" w:hAnsi="Times New Roman" w:cs="Times New Roman"/>
          <w:sz w:val="24"/>
          <w:szCs w:val="24"/>
          <w:lang w:eastAsia="en-GB"/>
        </w:rPr>
      </w:pPr>
      <w:r w:rsidRPr="00D53237">
        <w:rPr>
          <w:rFonts w:ascii="Times New Roman" w:eastAsia="Times New Roman" w:hAnsi="Times New Roman" w:cs="Times New Roman"/>
          <w:sz w:val="24"/>
          <w:szCs w:val="24"/>
          <w:lang w:eastAsia="en-GB"/>
        </w:rPr>
        <w:t xml:space="preserve">Campbell, K.A. </w:t>
      </w:r>
      <w:r w:rsidRPr="00D53237">
        <w:rPr>
          <w:rFonts w:ascii="Times New Roman" w:eastAsia="Times New Roman" w:hAnsi="Times New Roman" w:cs="Times New Roman"/>
          <w:i/>
          <w:iCs/>
          <w:sz w:val="24"/>
          <w:szCs w:val="24"/>
          <w:lang w:eastAsia="en-GB"/>
        </w:rPr>
        <w:t>et al.</w:t>
      </w:r>
      <w:r w:rsidRPr="00D53237">
        <w:rPr>
          <w:rFonts w:ascii="Times New Roman" w:eastAsia="Times New Roman" w:hAnsi="Times New Roman" w:cs="Times New Roman"/>
          <w:sz w:val="24"/>
          <w:szCs w:val="24"/>
          <w:lang w:eastAsia="en-GB"/>
        </w:rPr>
        <w:t xml:space="preserve"> (2021) “Reflexive thematic analysis for applied qualitative health research,” </w:t>
      </w:r>
      <w:r w:rsidRPr="00D53237">
        <w:rPr>
          <w:rFonts w:ascii="Times New Roman" w:eastAsia="Times New Roman" w:hAnsi="Times New Roman" w:cs="Times New Roman"/>
          <w:i/>
          <w:iCs/>
          <w:sz w:val="24"/>
          <w:szCs w:val="24"/>
          <w:lang w:eastAsia="en-GB"/>
        </w:rPr>
        <w:t>Qualitative Report</w:t>
      </w:r>
      <w:r w:rsidRPr="00D53237">
        <w:rPr>
          <w:rFonts w:ascii="Times New Roman" w:eastAsia="Times New Roman" w:hAnsi="Times New Roman" w:cs="Times New Roman"/>
          <w:sz w:val="24"/>
          <w:szCs w:val="24"/>
          <w:lang w:eastAsia="en-GB"/>
        </w:rPr>
        <w:t xml:space="preserve">, 26(6), pp. 2011–2028. Available at: </w:t>
      </w:r>
      <w:hyperlink r:id="rId14" w:history="1">
        <w:r w:rsidRPr="00D53237">
          <w:rPr>
            <w:rStyle w:val="Hyperlink"/>
            <w:rFonts w:ascii="Times New Roman" w:eastAsia="Times New Roman" w:hAnsi="Times New Roman" w:cs="Times New Roman"/>
            <w:sz w:val="24"/>
            <w:szCs w:val="24"/>
            <w:lang w:eastAsia="en-GB"/>
          </w:rPr>
          <w:t>https://doi.org/10.46743/2160-3715/2021.5010</w:t>
        </w:r>
      </w:hyperlink>
      <w:r w:rsidRPr="00D53237">
        <w:rPr>
          <w:rFonts w:ascii="Times New Roman" w:eastAsia="Times New Roman" w:hAnsi="Times New Roman" w:cs="Times New Roman"/>
          <w:sz w:val="24"/>
          <w:szCs w:val="24"/>
          <w:lang w:eastAsia="en-GB"/>
        </w:rPr>
        <w:t>.</w:t>
      </w:r>
    </w:p>
    <w:p w14:paraId="517C98D1" w14:textId="77777777" w:rsidR="00924347" w:rsidRPr="00D53237" w:rsidRDefault="00924347" w:rsidP="00924347">
      <w:pPr>
        <w:spacing w:after="0" w:line="240" w:lineRule="auto"/>
        <w:rPr>
          <w:rFonts w:ascii="Times New Roman" w:eastAsia="Times New Roman" w:hAnsi="Times New Roman" w:cs="Times New Roman"/>
          <w:sz w:val="24"/>
          <w:szCs w:val="24"/>
          <w:lang w:eastAsia="en-GB"/>
        </w:rPr>
      </w:pPr>
    </w:p>
    <w:p w14:paraId="33FF7B5E" w14:textId="77777777" w:rsidR="00924347" w:rsidRPr="00D53237" w:rsidRDefault="00924347" w:rsidP="00924347">
      <w:pPr>
        <w:spacing w:after="0" w:line="240" w:lineRule="auto"/>
        <w:rPr>
          <w:rFonts w:ascii="Times New Roman" w:eastAsia="Times New Roman" w:hAnsi="Times New Roman" w:cs="Times New Roman"/>
          <w:sz w:val="24"/>
          <w:szCs w:val="24"/>
          <w:lang w:eastAsia="en-GB"/>
        </w:rPr>
      </w:pPr>
      <w:r w:rsidRPr="00D53237">
        <w:rPr>
          <w:rFonts w:ascii="Times New Roman" w:eastAsia="Times New Roman" w:hAnsi="Times New Roman" w:cs="Times New Roman"/>
          <w:sz w:val="24"/>
          <w:szCs w:val="24"/>
          <w:lang w:eastAsia="en-GB"/>
        </w:rPr>
        <w:t xml:space="preserve">Cornish, R.P. </w:t>
      </w:r>
      <w:r w:rsidRPr="00D53237">
        <w:rPr>
          <w:rFonts w:ascii="Times New Roman" w:eastAsia="Times New Roman" w:hAnsi="Times New Roman" w:cs="Times New Roman"/>
          <w:i/>
          <w:iCs/>
          <w:sz w:val="24"/>
          <w:szCs w:val="24"/>
          <w:lang w:eastAsia="en-GB"/>
        </w:rPr>
        <w:t>et al.</w:t>
      </w:r>
      <w:r w:rsidRPr="00D53237">
        <w:rPr>
          <w:rFonts w:ascii="Times New Roman" w:eastAsia="Times New Roman" w:hAnsi="Times New Roman" w:cs="Times New Roman"/>
          <w:sz w:val="24"/>
          <w:szCs w:val="24"/>
          <w:lang w:eastAsia="en-GB"/>
        </w:rPr>
        <w:t xml:space="preserve"> (2023) “Complete case logistic regression with a dichotomised continuous outcome led to biased estimates,” </w:t>
      </w:r>
      <w:r w:rsidRPr="00D53237">
        <w:rPr>
          <w:rFonts w:ascii="Times New Roman" w:eastAsia="Times New Roman" w:hAnsi="Times New Roman" w:cs="Times New Roman"/>
          <w:i/>
          <w:iCs/>
          <w:sz w:val="24"/>
          <w:szCs w:val="24"/>
          <w:lang w:eastAsia="en-GB"/>
        </w:rPr>
        <w:t>Journal of Clinical Epidemiology</w:t>
      </w:r>
      <w:r w:rsidRPr="00D53237">
        <w:rPr>
          <w:rFonts w:ascii="Times New Roman" w:eastAsia="Times New Roman" w:hAnsi="Times New Roman" w:cs="Times New Roman"/>
          <w:sz w:val="24"/>
          <w:szCs w:val="24"/>
          <w:lang w:eastAsia="en-GB"/>
        </w:rPr>
        <w:t xml:space="preserve">, 154, pp. 33–41. Available at: </w:t>
      </w:r>
      <w:hyperlink r:id="rId15" w:history="1">
        <w:r w:rsidRPr="00D53237">
          <w:rPr>
            <w:rStyle w:val="Hyperlink"/>
            <w:rFonts w:ascii="Times New Roman" w:eastAsia="Times New Roman" w:hAnsi="Times New Roman" w:cs="Times New Roman"/>
            <w:sz w:val="24"/>
            <w:szCs w:val="24"/>
            <w:lang w:eastAsia="en-GB"/>
          </w:rPr>
          <w:t>https://doi.org/10.1016/j.jclinepi.2022.11.022</w:t>
        </w:r>
      </w:hyperlink>
      <w:r w:rsidRPr="00D53237">
        <w:rPr>
          <w:rFonts w:ascii="Times New Roman" w:eastAsia="Times New Roman" w:hAnsi="Times New Roman" w:cs="Times New Roman"/>
          <w:sz w:val="24"/>
          <w:szCs w:val="24"/>
          <w:lang w:eastAsia="en-GB"/>
        </w:rPr>
        <w:t>.</w:t>
      </w:r>
    </w:p>
    <w:p w14:paraId="6B2C9F23" w14:textId="77777777" w:rsidR="00924347" w:rsidRPr="00D53237" w:rsidRDefault="00924347" w:rsidP="00924347">
      <w:pPr>
        <w:spacing w:after="0" w:line="240" w:lineRule="auto"/>
        <w:rPr>
          <w:rFonts w:ascii="Times New Roman" w:eastAsia="Times New Roman" w:hAnsi="Times New Roman" w:cs="Times New Roman"/>
          <w:sz w:val="24"/>
          <w:szCs w:val="24"/>
          <w:lang w:eastAsia="en-GB"/>
        </w:rPr>
      </w:pPr>
    </w:p>
    <w:p w14:paraId="29E1E153" w14:textId="77777777" w:rsidR="00924347" w:rsidRPr="00D53237" w:rsidRDefault="00924347" w:rsidP="00924347">
      <w:pPr>
        <w:spacing w:after="0" w:line="240" w:lineRule="auto"/>
        <w:rPr>
          <w:rFonts w:ascii="Times New Roman" w:eastAsia="Times New Roman" w:hAnsi="Times New Roman" w:cs="Times New Roman"/>
          <w:sz w:val="24"/>
          <w:szCs w:val="24"/>
          <w:lang w:eastAsia="en-GB"/>
        </w:rPr>
      </w:pPr>
      <w:r w:rsidRPr="00D53237">
        <w:rPr>
          <w:rFonts w:ascii="Times New Roman" w:eastAsia="Times New Roman" w:hAnsi="Times New Roman" w:cs="Times New Roman"/>
          <w:sz w:val="24"/>
          <w:szCs w:val="24"/>
          <w:lang w:eastAsia="en-GB"/>
        </w:rPr>
        <w:t xml:space="preserve">Creswell, J.W. and </w:t>
      </w:r>
      <w:proofErr w:type="spellStart"/>
      <w:r w:rsidRPr="00D53237">
        <w:rPr>
          <w:rFonts w:ascii="Times New Roman" w:eastAsia="Times New Roman" w:hAnsi="Times New Roman" w:cs="Times New Roman"/>
          <w:sz w:val="24"/>
          <w:szCs w:val="24"/>
          <w:lang w:eastAsia="en-GB"/>
        </w:rPr>
        <w:t>Palno</w:t>
      </w:r>
      <w:proofErr w:type="spellEnd"/>
      <w:r w:rsidRPr="00D53237">
        <w:rPr>
          <w:rFonts w:ascii="Times New Roman" w:eastAsia="Times New Roman" w:hAnsi="Times New Roman" w:cs="Times New Roman"/>
          <w:sz w:val="24"/>
          <w:szCs w:val="24"/>
          <w:lang w:eastAsia="en-GB"/>
        </w:rPr>
        <w:t xml:space="preserve"> Clark V.L. (2017) ‘Designing and Conducting Mixed Methods Research’ Sage Publications Inc.</w:t>
      </w:r>
    </w:p>
    <w:p w14:paraId="598DFE4C" w14:textId="77777777" w:rsidR="00924347" w:rsidRPr="00D53237" w:rsidRDefault="00924347" w:rsidP="00924347">
      <w:pPr>
        <w:spacing w:after="0" w:line="240" w:lineRule="auto"/>
        <w:rPr>
          <w:rFonts w:ascii="Times New Roman" w:eastAsia="Times New Roman" w:hAnsi="Times New Roman" w:cs="Times New Roman"/>
          <w:sz w:val="24"/>
          <w:szCs w:val="24"/>
          <w:lang w:eastAsia="en-GB"/>
        </w:rPr>
      </w:pPr>
    </w:p>
    <w:p w14:paraId="37619EF3" w14:textId="77777777" w:rsidR="00924347" w:rsidRPr="00D53237" w:rsidRDefault="00924347" w:rsidP="00924347">
      <w:pPr>
        <w:spacing w:after="0" w:line="240" w:lineRule="auto"/>
        <w:rPr>
          <w:rFonts w:ascii="Times New Roman" w:hAnsi="Times New Roman" w:cs="Times New Roman"/>
          <w:sz w:val="24"/>
          <w:szCs w:val="24"/>
        </w:rPr>
      </w:pPr>
      <w:r w:rsidRPr="00D53237">
        <w:rPr>
          <w:rFonts w:ascii="Times New Roman" w:hAnsi="Times New Roman" w:cs="Times New Roman"/>
          <w:sz w:val="24"/>
          <w:szCs w:val="24"/>
        </w:rPr>
        <w:t xml:space="preserve">European Centre for Disease Prevention and Control (ECDC) (2025) “Mapping and review: harnessing sexual behaviour survey data for the prevention of sexually transmitted diseases” </w:t>
      </w:r>
      <w:r w:rsidRPr="00D53237">
        <w:rPr>
          <w:rFonts w:ascii="Times New Roman" w:hAnsi="Times New Roman" w:cs="Times New Roman"/>
          <w:sz w:val="24"/>
          <w:szCs w:val="24"/>
        </w:rPr>
        <w:lastRenderedPageBreak/>
        <w:t xml:space="preserve">Available at:   </w:t>
      </w:r>
      <w:hyperlink r:id="rId16" w:history="1">
        <w:r w:rsidRPr="00D53237">
          <w:rPr>
            <w:rFonts w:ascii="Times New Roman" w:hAnsi="Times New Roman" w:cs="Times New Roman"/>
            <w:color w:val="0000FF"/>
            <w:sz w:val="24"/>
            <w:szCs w:val="24"/>
            <w:u w:val="single"/>
          </w:rPr>
          <w:t>Mapping and review: harnessing sexual behaviour survey data for the prevention of sexually transmitted infections</w:t>
        </w:r>
      </w:hyperlink>
      <w:r w:rsidRPr="00D53237">
        <w:rPr>
          <w:rFonts w:ascii="Times New Roman" w:hAnsi="Times New Roman" w:cs="Times New Roman"/>
          <w:sz w:val="24"/>
          <w:szCs w:val="24"/>
        </w:rPr>
        <w:t xml:space="preserve">   Accessed on: 6.4.26</w:t>
      </w:r>
    </w:p>
    <w:p w14:paraId="371B94FD" w14:textId="77777777" w:rsidR="00924347" w:rsidRPr="00D53237" w:rsidRDefault="00924347" w:rsidP="00924347">
      <w:pPr>
        <w:spacing w:after="0" w:line="240" w:lineRule="auto"/>
        <w:rPr>
          <w:rFonts w:ascii="Times New Roman" w:hAnsi="Times New Roman" w:cs="Times New Roman"/>
          <w:sz w:val="24"/>
          <w:szCs w:val="24"/>
        </w:rPr>
      </w:pPr>
    </w:p>
    <w:p w14:paraId="382F770A" w14:textId="77777777" w:rsidR="00924347" w:rsidRPr="00D53237" w:rsidRDefault="00924347" w:rsidP="00924347">
      <w:pPr>
        <w:spacing w:after="0" w:line="240" w:lineRule="auto"/>
        <w:rPr>
          <w:rFonts w:ascii="Times New Roman" w:hAnsi="Times New Roman" w:cs="Times New Roman"/>
          <w:sz w:val="24"/>
          <w:szCs w:val="24"/>
        </w:rPr>
      </w:pPr>
      <w:r w:rsidRPr="00D53237">
        <w:rPr>
          <w:rFonts w:ascii="Times New Roman" w:hAnsi="Times New Roman" w:cs="Times New Roman"/>
          <w:sz w:val="24"/>
          <w:szCs w:val="24"/>
        </w:rPr>
        <w:t>Field, A. (2018) ‘</w:t>
      </w:r>
      <w:r w:rsidRPr="00D53237">
        <w:rPr>
          <w:rStyle w:val="Emphasis"/>
          <w:rFonts w:ascii="Times New Roman" w:hAnsi="Times New Roman" w:cs="Times New Roman"/>
          <w:i w:val="0"/>
          <w:sz w:val="24"/>
          <w:szCs w:val="24"/>
        </w:rPr>
        <w:t>Discovering Statistics Using IBM SPSS Statistics</w:t>
      </w:r>
      <w:r w:rsidRPr="00D53237">
        <w:rPr>
          <w:rFonts w:ascii="Times New Roman" w:hAnsi="Times New Roman" w:cs="Times New Roman"/>
          <w:sz w:val="24"/>
          <w:szCs w:val="24"/>
        </w:rPr>
        <w:t>’ (5th edition). Sage Publications Inc.</w:t>
      </w:r>
    </w:p>
    <w:p w14:paraId="0FF69F44" w14:textId="77777777" w:rsidR="00924347" w:rsidRPr="00D53237" w:rsidRDefault="00924347" w:rsidP="00924347">
      <w:pPr>
        <w:spacing w:after="0" w:line="240" w:lineRule="auto"/>
        <w:rPr>
          <w:rFonts w:ascii="Times New Roman" w:hAnsi="Times New Roman" w:cs="Times New Roman"/>
          <w:sz w:val="24"/>
          <w:szCs w:val="24"/>
        </w:rPr>
      </w:pPr>
    </w:p>
    <w:p w14:paraId="0348A503" w14:textId="77777777" w:rsidR="00924347" w:rsidRPr="00D53237" w:rsidRDefault="00924347" w:rsidP="00924347">
      <w:pPr>
        <w:spacing w:after="0" w:line="240" w:lineRule="auto"/>
        <w:rPr>
          <w:rFonts w:ascii="Times New Roman" w:eastAsia="Times New Roman" w:hAnsi="Times New Roman" w:cs="Times New Roman"/>
          <w:sz w:val="24"/>
          <w:szCs w:val="24"/>
          <w:lang w:eastAsia="en-GB"/>
        </w:rPr>
      </w:pPr>
      <w:r w:rsidRPr="00D53237">
        <w:rPr>
          <w:rFonts w:ascii="Times New Roman" w:eastAsia="Times New Roman" w:hAnsi="Times New Roman" w:cs="Times New Roman"/>
          <w:sz w:val="24"/>
          <w:szCs w:val="24"/>
          <w:lang w:eastAsia="en-GB"/>
        </w:rPr>
        <w:t xml:space="preserve">Fetters, M.D., Curry, L.A. and Creswell, J.W. (2013) “Achieving integration in mixed methods designs - Principles and practices,” </w:t>
      </w:r>
      <w:r w:rsidRPr="00D53237">
        <w:rPr>
          <w:rFonts w:ascii="Times New Roman" w:eastAsia="Times New Roman" w:hAnsi="Times New Roman" w:cs="Times New Roman"/>
          <w:i/>
          <w:iCs/>
          <w:sz w:val="24"/>
          <w:szCs w:val="24"/>
          <w:lang w:eastAsia="en-GB"/>
        </w:rPr>
        <w:t>Health Services Research</w:t>
      </w:r>
      <w:r w:rsidRPr="00D53237">
        <w:rPr>
          <w:rFonts w:ascii="Times New Roman" w:eastAsia="Times New Roman" w:hAnsi="Times New Roman" w:cs="Times New Roman"/>
          <w:sz w:val="24"/>
          <w:szCs w:val="24"/>
          <w:lang w:eastAsia="en-GB"/>
        </w:rPr>
        <w:t xml:space="preserve">, 48(6 PART2), pp. 2134–2156. Available at: </w:t>
      </w:r>
      <w:hyperlink r:id="rId17" w:history="1">
        <w:r w:rsidRPr="00D53237">
          <w:rPr>
            <w:rStyle w:val="Hyperlink"/>
            <w:rFonts w:ascii="Times New Roman" w:eastAsia="Times New Roman" w:hAnsi="Times New Roman" w:cs="Times New Roman"/>
            <w:sz w:val="24"/>
            <w:szCs w:val="24"/>
            <w:lang w:eastAsia="en-GB"/>
          </w:rPr>
          <w:t>https://doi.org/10.1111/1475-6773.12117;JOURNAL:JOURNAL:14756773;REQUESTEDJOURNAL:JOURNAL:14756773;WGROUP:STRING:PUBLICATION</w:t>
        </w:r>
      </w:hyperlink>
      <w:r w:rsidRPr="00D53237">
        <w:rPr>
          <w:rFonts w:ascii="Times New Roman" w:eastAsia="Times New Roman" w:hAnsi="Times New Roman" w:cs="Times New Roman"/>
          <w:sz w:val="24"/>
          <w:szCs w:val="24"/>
          <w:lang w:eastAsia="en-GB"/>
        </w:rPr>
        <w:t>.</w:t>
      </w:r>
    </w:p>
    <w:p w14:paraId="14EF0523" w14:textId="77777777" w:rsidR="00924347" w:rsidRPr="00D53237" w:rsidRDefault="00924347" w:rsidP="00924347">
      <w:pPr>
        <w:spacing w:after="0" w:line="240" w:lineRule="auto"/>
        <w:rPr>
          <w:rFonts w:ascii="Times New Roman" w:hAnsi="Times New Roman" w:cs="Times New Roman"/>
          <w:sz w:val="24"/>
          <w:szCs w:val="24"/>
        </w:rPr>
      </w:pPr>
    </w:p>
    <w:p w14:paraId="30A4C72A" w14:textId="77777777" w:rsidR="00924347" w:rsidRPr="00D53237" w:rsidRDefault="00924347" w:rsidP="00924347">
      <w:pPr>
        <w:spacing w:after="0" w:line="240" w:lineRule="auto"/>
        <w:rPr>
          <w:rFonts w:ascii="Times New Roman" w:eastAsia="Times New Roman" w:hAnsi="Times New Roman" w:cs="Times New Roman"/>
          <w:sz w:val="24"/>
          <w:szCs w:val="24"/>
          <w:lang w:eastAsia="en-GB"/>
        </w:rPr>
      </w:pPr>
      <w:r w:rsidRPr="00D53237">
        <w:rPr>
          <w:rFonts w:ascii="Times New Roman" w:hAnsi="Times New Roman" w:cs="Times New Roman"/>
          <w:sz w:val="24"/>
          <w:szCs w:val="24"/>
        </w:rPr>
        <w:t>Flick, U. (2018) ‘</w:t>
      </w:r>
      <w:r w:rsidRPr="00D53237">
        <w:rPr>
          <w:rStyle w:val="Emphasis"/>
          <w:rFonts w:ascii="Times New Roman" w:hAnsi="Times New Roman" w:cs="Times New Roman"/>
          <w:sz w:val="24"/>
          <w:szCs w:val="24"/>
        </w:rPr>
        <w:t xml:space="preserve">An Introduction to Qualitative Research’ </w:t>
      </w:r>
      <w:r w:rsidRPr="00D53237">
        <w:rPr>
          <w:rFonts w:ascii="Times New Roman" w:hAnsi="Times New Roman" w:cs="Times New Roman"/>
          <w:sz w:val="24"/>
          <w:szCs w:val="24"/>
        </w:rPr>
        <w:t>Sage Publications Inc.</w:t>
      </w:r>
    </w:p>
    <w:p w14:paraId="3C79709F" w14:textId="77777777" w:rsidR="00924347" w:rsidRPr="00D53237" w:rsidRDefault="00924347" w:rsidP="00924347">
      <w:pPr>
        <w:spacing w:before="100" w:beforeAutospacing="1" w:after="100" w:afterAutospacing="1" w:line="240" w:lineRule="auto"/>
        <w:rPr>
          <w:rFonts w:ascii="Times New Roman" w:hAnsi="Times New Roman" w:cs="Times New Roman"/>
          <w:sz w:val="24"/>
          <w:szCs w:val="24"/>
        </w:rPr>
      </w:pPr>
      <w:r w:rsidRPr="00D53237">
        <w:rPr>
          <w:rFonts w:ascii="Times New Roman" w:eastAsia="Times New Roman" w:hAnsi="Times New Roman" w:cs="Times New Roman"/>
          <w:sz w:val="24"/>
          <w:szCs w:val="24"/>
          <w:lang w:eastAsia="en-GB"/>
        </w:rPr>
        <w:t>FSRH (2019) “</w:t>
      </w:r>
      <w:r w:rsidRPr="00D53237">
        <w:rPr>
          <w:rFonts w:ascii="Times New Roman" w:hAnsi="Times New Roman" w:cs="Times New Roman"/>
          <w:sz w:val="24"/>
          <w:szCs w:val="24"/>
        </w:rPr>
        <w:t xml:space="preserve">Service Standards for Record Keeping in Sexual and Reproductive Healthcare Services” Available at: </w:t>
      </w:r>
      <w:hyperlink r:id="rId18" w:history="1">
        <w:r w:rsidRPr="00D53237">
          <w:rPr>
            <w:rStyle w:val="Hyperlink"/>
            <w:rFonts w:ascii="Times New Roman" w:hAnsi="Times New Roman" w:cs="Times New Roman"/>
            <w:sz w:val="24"/>
            <w:szCs w:val="24"/>
          </w:rPr>
          <w:t>fsrh-service-standards-for-record-keeping-2019.pdf</w:t>
        </w:r>
      </w:hyperlink>
      <w:r w:rsidRPr="00D53237">
        <w:rPr>
          <w:rFonts w:ascii="Times New Roman" w:hAnsi="Times New Roman" w:cs="Times New Roman"/>
          <w:sz w:val="24"/>
          <w:szCs w:val="24"/>
        </w:rPr>
        <w:t xml:space="preserve"> Accessed on: 5.4.26</w:t>
      </w:r>
    </w:p>
    <w:p w14:paraId="19E25FDA" w14:textId="77777777" w:rsidR="00924347" w:rsidRPr="00D53237" w:rsidRDefault="00924347" w:rsidP="00924347">
      <w:pPr>
        <w:spacing w:after="0" w:line="240" w:lineRule="auto"/>
        <w:rPr>
          <w:rFonts w:ascii="Times New Roman" w:eastAsia="Times New Roman" w:hAnsi="Times New Roman" w:cs="Times New Roman"/>
          <w:sz w:val="24"/>
          <w:szCs w:val="24"/>
          <w:lang w:eastAsia="en-GB"/>
        </w:rPr>
      </w:pPr>
      <w:r w:rsidRPr="00D53237">
        <w:rPr>
          <w:rFonts w:ascii="Times New Roman" w:eastAsia="Times New Roman" w:hAnsi="Times New Roman" w:cs="Times New Roman"/>
          <w:sz w:val="24"/>
          <w:szCs w:val="24"/>
          <w:lang w:eastAsia="en-GB"/>
        </w:rPr>
        <w:t xml:space="preserve">Gibbs, J. </w:t>
      </w:r>
      <w:r w:rsidRPr="00D53237">
        <w:rPr>
          <w:rFonts w:ascii="Times New Roman" w:eastAsia="Times New Roman" w:hAnsi="Times New Roman" w:cs="Times New Roman"/>
          <w:i/>
          <w:iCs/>
          <w:sz w:val="24"/>
          <w:szCs w:val="24"/>
          <w:lang w:eastAsia="en-GB"/>
        </w:rPr>
        <w:t>et al.</w:t>
      </w:r>
      <w:r w:rsidRPr="00D53237">
        <w:rPr>
          <w:rFonts w:ascii="Times New Roman" w:eastAsia="Times New Roman" w:hAnsi="Times New Roman" w:cs="Times New Roman"/>
          <w:sz w:val="24"/>
          <w:szCs w:val="24"/>
          <w:lang w:eastAsia="en-GB"/>
        </w:rPr>
        <w:t xml:space="preserve"> (2022) “Measuring and evaluating sexual health in the era of digital health: challenges and opportunities,” </w:t>
      </w:r>
      <w:r w:rsidRPr="00D53237">
        <w:rPr>
          <w:rFonts w:ascii="Times New Roman" w:eastAsia="Times New Roman" w:hAnsi="Times New Roman" w:cs="Times New Roman"/>
          <w:i/>
          <w:iCs/>
          <w:sz w:val="24"/>
          <w:szCs w:val="24"/>
          <w:lang w:eastAsia="en-GB"/>
        </w:rPr>
        <w:t>Sexual Health</w:t>
      </w:r>
      <w:r w:rsidRPr="00D53237">
        <w:rPr>
          <w:rFonts w:ascii="Times New Roman" w:eastAsia="Times New Roman" w:hAnsi="Times New Roman" w:cs="Times New Roman"/>
          <w:sz w:val="24"/>
          <w:szCs w:val="24"/>
          <w:lang w:eastAsia="en-GB"/>
        </w:rPr>
        <w:t xml:space="preserve">, 19(4), pp. 336–345. Available at: </w:t>
      </w:r>
      <w:hyperlink r:id="rId19" w:history="1">
        <w:r w:rsidRPr="00D53237">
          <w:rPr>
            <w:rStyle w:val="Hyperlink"/>
            <w:rFonts w:ascii="Times New Roman" w:eastAsia="Times New Roman" w:hAnsi="Times New Roman" w:cs="Times New Roman"/>
            <w:sz w:val="24"/>
            <w:szCs w:val="24"/>
            <w:lang w:eastAsia="en-GB"/>
          </w:rPr>
          <w:t>https://doi.org/10.1071/SH22068</w:t>
        </w:r>
      </w:hyperlink>
      <w:r w:rsidRPr="00D53237">
        <w:rPr>
          <w:rFonts w:ascii="Times New Roman" w:eastAsia="Times New Roman" w:hAnsi="Times New Roman" w:cs="Times New Roman"/>
          <w:sz w:val="24"/>
          <w:szCs w:val="24"/>
          <w:lang w:eastAsia="en-GB"/>
        </w:rPr>
        <w:t>.</w:t>
      </w:r>
    </w:p>
    <w:p w14:paraId="1C83EABD" w14:textId="77777777" w:rsidR="00924347" w:rsidRPr="00D53237" w:rsidRDefault="00924347" w:rsidP="00924347">
      <w:pPr>
        <w:spacing w:after="0" w:line="240" w:lineRule="auto"/>
        <w:rPr>
          <w:rFonts w:ascii="Times New Roman" w:eastAsia="Times New Roman" w:hAnsi="Times New Roman" w:cs="Times New Roman"/>
          <w:sz w:val="24"/>
          <w:szCs w:val="24"/>
          <w:lang w:eastAsia="en-GB"/>
        </w:rPr>
      </w:pPr>
    </w:p>
    <w:p w14:paraId="0BD12583" w14:textId="77777777" w:rsidR="00924347" w:rsidRPr="00D53237" w:rsidRDefault="00924347" w:rsidP="00924347">
      <w:pPr>
        <w:spacing w:after="0" w:line="240" w:lineRule="auto"/>
        <w:rPr>
          <w:rFonts w:ascii="Times New Roman" w:eastAsia="Times New Roman" w:hAnsi="Times New Roman" w:cs="Times New Roman"/>
          <w:sz w:val="24"/>
          <w:szCs w:val="24"/>
          <w:lang w:eastAsia="en-GB"/>
        </w:rPr>
      </w:pPr>
      <w:r w:rsidRPr="00D53237">
        <w:rPr>
          <w:rFonts w:ascii="Times New Roman" w:eastAsia="Times New Roman" w:hAnsi="Times New Roman" w:cs="Times New Roman"/>
          <w:sz w:val="24"/>
          <w:szCs w:val="24"/>
          <w:lang w:eastAsia="en-GB"/>
        </w:rPr>
        <w:t xml:space="preserve">Greenhalgh, T. and Taylor, R. (1997) “How to read a paper: Papers that go beyond numbers (qualitative research),” </w:t>
      </w:r>
      <w:r w:rsidRPr="00D53237">
        <w:rPr>
          <w:rFonts w:ascii="Times New Roman" w:eastAsia="Times New Roman" w:hAnsi="Times New Roman" w:cs="Times New Roman"/>
          <w:i/>
          <w:iCs/>
          <w:sz w:val="24"/>
          <w:szCs w:val="24"/>
          <w:lang w:eastAsia="en-GB"/>
        </w:rPr>
        <w:t>BMJ</w:t>
      </w:r>
      <w:r w:rsidRPr="00D53237">
        <w:rPr>
          <w:rFonts w:ascii="Times New Roman" w:eastAsia="Times New Roman" w:hAnsi="Times New Roman" w:cs="Times New Roman"/>
          <w:sz w:val="24"/>
          <w:szCs w:val="24"/>
          <w:lang w:eastAsia="en-GB"/>
        </w:rPr>
        <w:t xml:space="preserve">, 315(7110), pp. 740–743. Available at: </w:t>
      </w:r>
      <w:hyperlink r:id="rId20" w:history="1">
        <w:r w:rsidRPr="00D53237">
          <w:rPr>
            <w:rStyle w:val="Hyperlink"/>
            <w:rFonts w:ascii="Times New Roman" w:eastAsia="Times New Roman" w:hAnsi="Times New Roman" w:cs="Times New Roman"/>
            <w:sz w:val="24"/>
            <w:szCs w:val="24"/>
            <w:lang w:eastAsia="en-GB"/>
          </w:rPr>
          <w:t>https://doi.org/10.1136/BMJ.315.7110.740</w:t>
        </w:r>
      </w:hyperlink>
      <w:r w:rsidRPr="00D53237">
        <w:rPr>
          <w:rFonts w:ascii="Times New Roman" w:eastAsia="Times New Roman" w:hAnsi="Times New Roman" w:cs="Times New Roman"/>
          <w:sz w:val="24"/>
          <w:szCs w:val="24"/>
          <w:lang w:eastAsia="en-GB"/>
        </w:rPr>
        <w:t>.</w:t>
      </w:r>
    </w:p>
    <w:p w14:paraId="7198C5B0" w14:textId="77777777" w:rsidR="00924347" w:rsidRPr="00D53237" w:rsidRDefault="00924347" w:rsidP="00924347">
      <w:pPr>
        <w:spacing w:after="0" w:line="240" w:lineRule="auto"/>
        <w:rPr>
          <w:rFonts w:ascii="Times New Roman" w:eastAsia="Times New Roman" w:hAnsi="Times New Roman" w:cs="Times New Roman"/>
          <w:sz w:val="24"/>
          <w:szCs w:val="24"/>
          <w:lang w:eastAsia="en-GB"/>
        </w:rPr>
      </w:pPr>
    </w:p>
    <w:p w14:paraId="0CE4EC7F" w14:textId="77777777" w:rsidR="00924347" w:rsidRPr="00D53237" w:rsidRDefault="00924347" w:rsidP="00924347">
      <w:pPr>
        <w:spacing w:after="0" w:line="240" w:lineRule="auto"/>
        <w:rPr>
          <w:rFonts w:ascii="Times New Roman" w:eastAsia="Times New Roman" w:hAnsi="Times New Roman" w:cs="Times New Roman"/>
          <w:sz w:val="24"/>
          <w:szCs w:val="24"/>
          <w:lang w:eastAsia="en-GB"/>
        </w:rPr>
      </w:pPr>
      <w:r w:rsidRPr="00D53237">
        <w:rPr>
          <w:rFonts w:ascii="Times New Roman" w:eastAsia="Times New Roman" w:hAnsi="Times New Roman" w:cs="Times New Roman"/>
          <w:sz w:val="24"/>
          <w:szCs w:val="24"/>
          <w:lang w:eastAsia="en-GB"/>
        </w:rPr>
        <w:t xml:space="preserve">Guest, G., </w:t>
      </w:r>
      <w:proofErr w:type="spellStart"/>
      <w:r w:rsidRPr="00D53237">
        <w:rPr>
          <w:rFonts w:ascii="Times New Roman" w:eastAsia="Times New Roman" w:hAnsi="Times New Roman" w:cs="Times New Roman"/>
          <w:sz w:val="24"/>
          <w:szCs w:val="24"/>
          <w:lang w:eastAsia="en-GB"/>
        </w:rPr>
        <w:t>Namey</w:t>
      </w:r>
      <w:proofErr w:type="spellEnd"/>
      <w:r w:rsidRPr="00D53237">
        <w:rPr>
          <w:rFonts w:ascii="Times New Roman" w:eastAsia="Times New Roman" w:hAnsi="Times New Roman" w:cs="Times New Roman"/>
          <w:sz w:val="24"/>
          <w:szCs w:val="24"/>
          <w:lang w:eastAsia="en-GB"/>
        </w:rPr>
        <w:t xml:space="preserve">, E. and Chen, M. (2020) “A simple method to assess and report thematic saturation in qualitative research,” </w:t>
      </w:r>
      <w:r w:rsidRPr="00D53237">
        <w:rPr>
          <w:rFonts w:ascii="Times New Roman" w:eastAsia="Times New Roman" w:hAnsi="Times New Roman" w:cs="Times New Roman"/>
          <w:i/>
          <w:iCs/>
          <w:sz w:val="24"/>
          <w:szCs w:val="24"/>
          <w:lang w:eastAsia="en-GB"/>
        </w:rPr>
        <w:t>PLOS ONE</w:t>
      </w:r>
      <w:r w:rsidRPr="00D53237">
        <w:rPr>
          <w:rFonts w:ascii="Times New Roman" w:eastAsia="Times New Roman" w:hAnsi="Times New Roman" w:cs="Times New Roman"/>
          <w:sz w:val="24"/>
          <w:szCs w:val="24"/>
          <w:lang w:eastAsia="en-GB"/>
        </w:rPr>
        <w:t xml:space="preserve">, 15(5), p. e0232076. Available at: </w:t>
      </w:r>
      <w:hyperlink r:id="rId21" w:history="1">
        <w:r w:rsidRPr="00D53237">
          <w:rPr>
            <w:rStyle w:val="Hyperlink"/>
            <w:rFonts w:ascii="Times New Roman" w:eastAsia="Times New Roman" w:hAnsi="Times New Roman" w:cs="Times New Roman"/>
            <w:sz w:val="24"/>
            <w:szCs w:val="24"/>
            <w:lang w:eastAsia="en-GB"/>
          </w:rPr>
          <w:t>https://doi.org/10.1371/JOURNAL.PONE.0232076</w:t>
        </w:r>
      </w:hyperlink>
      <w:r w:rsidRPr="00D53237">
        <w:rPr>
          <w:rFonts w:ascii="Times New Roman" w:eastAsia="Times New Roman" w:hAnsi="Times New Roman" w:cs="Times New Roman"/>
          <w:sz w:val="24"/>
          <w:szCs w:val="24"/>
          <w:lang w:eastAsia="en-GB"/>
        </w:rPr>
        <w:t>.</w:t>
      </w:r>
    </w:p>
    <w:p w14:paraId="45518BD8" w14:textId="77777777" w:rsidR="00924347" w:rsidRPr="00D53237" w:rsidRDefault="00924347" w:rsidP="00924347">
      <w:pPr>
        <w:spacing w:after="0" w:line="240" w:lineRule="auto"/>
        <w:rPr>
          <w:rFonts w:ascii="Times New Roman" w:eastAsia="Times New Roman" w:hAnsi="Times New Roman" w:cs="Times New Roman"/>
          <w:sz w:val="24"/>
          <w:szCs w:val="24"/>
          <w:lang w:eastAsia="en-GB"/>
        </w:rPr>
      </w:pPr>
    </w:p>
    <w:p w14:paraId="646EB0CA" w14:textId="77777777" w:rsidR="00924347" w:rsidRPr="00D53237" w:rsidRDefault="00924347" w:rsidP="00924347">
      <w:pPr>
        <w:spacing w:after="0" w:line="240" w:lineRule="auto"/>
        <w:rPr>
          <w:rFonts w:ascii="Times New Roman" w:eastAsia="Times New Roman" w:hAnsi="Times New Roman" w:cs="Times New Roman"/>
          <w:sz w:val="24"/>
          <w:szCs w:val="24"/>
          <w:lang w:eastAsia="en-GB"/>
        </w:rPr>
      </w:pPr>
      <w:r w:rsidRPr="00D53237">
        <w:rPr>
          <w:rFonts w:ascii="Times New Roman" w:eastAsia="Times New Roman" w:hAnsi="Times New Roman" w:cs="Times New Roman"/>
          <w:sz w:val="24"/>
          <w:szCs w:val="24"/>
          <w:lang w:eastAsia="en-GB"/>
        </w:rPr>
        <w:t xml:space="preserve">Health Research Authority (HRA) (2022) ‘Planning and Improving Research’ Available at: </w:t>
      </w:r>
      <w:hyperlink r:id="rId22" w:history="1">
        <w:r w:rsidRPr="00D53237">
          <w:rPr>
            <w:rFonts w:ascii="Times New Roman" w:hAnsi="Times New Roman" w:cs="Times New Roman"/>
            <w:color w:val="0000FF"/>
            <w:sz w:val="24"/>
            <w:szCs w:val="24"/>
            <w:u w:val="single"/>
          </w:rPr>
          <w:t>Planning and improving research - Health Research Authority</w:t>
        </w:r>
      </w:hyperlink>
      <w:r w:rsidRPr="00D53237">
        <w:rPr>
          <w:rFonts w:ascii="Times New Roman" w:hAnsi="Times New Roman" w:cs="Times New Roman"/>
          <w:sz w:val="24"/>
          <w:szCs w:val="24"/>
        </w:rPr>
        <w:t xml:space="preserve">  Accessed on: 12.4.26</w:t>
      </w:r>
    </w:p>
    <w:p w14:paraId="05810EA0" w14:textId="77777777" w:rsidR="00924347" w:rsidRPr="00D53237" w:rsidRDefault="00924347" w:rsidP="00924347">
      <w:pPr>
        <w:spacing w:after="0" w:line="240" w:lineRule="auto"/>
        <w:rPr>
          <w:rFonts w:ascii="Times New Roman" w:eastAsia="Times New Roman" w:hAnsi="Times New Roman" w:cs="Times New Roman"/>
          <w:sz w:val="24"/>
          <w:szCs w:val="24"/>
          <w:lang w:eastAsia="en-GB"/>
        </w:rPr>
      </w:pPr>
    </w:p>
    <w:p w14:paraId="431AD06A" w14:textId="77777777" w:rsidR="00924347" w:rsidRPr="00D53237" w:rsidRDefault="00924347" w:rsidP="00924347">
      <w:pPr>
        <w:spacing w:after="0" w:line="240" w:lineRule="auto"/>
        <w:rPr>
          <w:rFonts w:ascii="Times New Roman" w:eastAsia="Times New Roman" w:hAnsi="Times New Roman" w:cs="Times New Roman"/>
          <w:sz w:val="24"/>
          <w:szCs w:val="24"/>
          <w:lang w:eastAsia="en-GB"/>
        </w:rPr>
      </w:pPr>
      <w:proofErr w:type="spellStart"/>
      <w:r w:rsidRPr="00D53237">
        <w:rPr>
          <w:rFonts w:ascii="Times New Roman" w:eastAsia="Times New Roman" w:hAnsi="Times New Roman" w:cs="Times New Roman"/>
          <w:sz w:val="24"/>
          <w:szCs w:val="24"/>
          <w:lang w:eastAsia="en-GB"/>
        </w:rPr>
        <w:t>Heijne</w:t>
      </w:r>
      <w:proofErr w:type="spellEnd"/>
      <w:r w:rsidRPr="00D53237">
        <w:rPr>
          <w:rFonts w:ascii="Times New Roman" w:eastAsia="Times New Roman" w:hAnsi="Times New Roman" w:cs="Times New Roman"/>
          <w:sz w:val="24"/>
          <w:szCs w:val="24"/>
          <w:lang w:eastAsia="en-GB"/>
        </w:rPr>
        <w:t xml:space="preserve">, J.C.M. </w:t>
      </w:r>
      <w:r w:rsidRPr="00D53237">
        <w:rPr>
          <w:rFonts w:ascii="Times New Roman" w:eastAsia="Times New Roman" w:hAnsi="Times New Roman" w:cs="Times New Roman"/>
          <w:i/>
          <w:iCs/>
          <w:sz w:val="24"/>
          <w:szCs w:val="24"/>
          <w:lang w:eastAsia="en-GB"/>
        </w:rPr>
        <w:t>et al.</w:t>
      </w:r>
      <w:r w:rsidRPr="00D53237">
        <w:rPr>
          <w:rFonts w:ascii="Times New Roman" w:eastAsia="Times New Roman" w:hAnsi="Times New Roman" w:cs="Times New Roman"/>
          <w:sz w:val="24"/>
          <w:szCs w:val="24"/>
          <w:lang w:eastAsia="en-GB"/>
        </w:rPr>
        <w:t xml:space="preserve"> (2020) “Placing sexually transmitted infection surveillance data in perspective by using national probability sample surveys,” </w:t>
      </w:r>
      <w:r w:rsidRPr="00D53237">
        <w:rPr>
          <w:rFonts w:ascii="Times New Roman" w:eastAsia="Times New Roman" w:hAnsi="Times New Roman" w:cs="Times New Roman"/>
          <w:i/>
          <w:iCs/>
          <w:sz w:val="24"/>
          <w:szCs w:val="24"/>
          <w:lang w:eastAsia="en-GB"/>
        </w:rPr>
        <w:t>European journal of public health</w:t>
      </w:r>
      <w:r w:rsidRPr="00D53237">
        <w:rPr>
          <w:rFonts w:ascii="Times New Roman" w:eastAsia="Times New Roman" w:hAnsi="Times New Roman" w:cs="Times New Roman"/>
          <w:sz w:val="24"/>
          <w:szCs w:val="24"/>
          <w:lang w:eastAsia="en-GB"/>
        </w:rPr>
        <w:t xml:space="preserve">, 30(1), pp. 124–131. Available at: </w:t>
      </w:r>
      <w:hyperlink r:id="rId23" w:history="1">
        <w:r w:rsidRPr="00D53237">
          <w:rPr>
            <w:rStyle w:val="Hyperlink"/>
            <w:rFonts w:ascii="Times New Roman" w:eastAsia="Times New Roman" w:hAnsi="Times New Roman" w:cs="Times New Roman"/>
            <w:sz w:val="24"/>
            <w:szCs w:val="24"/>
            <w:lang w:eastAsia="en-GB"/>
          </w:rPr>
          <w:t>https://doi.org/10.1093/EURPUB/CKZ157</w:t>
        </w:r>
      </w:hyperlink>
      <w:r w:rsidRPr="00D53237">
        <w:rPr>
          <w:rFonts w:ascii="Times New Roman" w:eastAsia="Times New Roman" w:hAnsi="Times New Roman" w:cs="Times New Roman"/>
          <w:sz w:val="24"/>
          <w:szCs w:val="24"/>
          <w:lang w:eastAsia="en-GB"/>
        </w:rPr>
        <w:t>.</w:t>
      </w:r>
    </w:p>
    <w:p w14:paraId="76BA4680" w14:textId="77777777" w:rsidR="00924347" w:rsidRPr="00D53237" w:rsidRDefault="00924347" w:rsidP="00924347">
      <w:pPr>
        <w:spacing w:after="0" w:line="240" w:lineRule="auto"/>
        <w:rPr>
          <w:rFonts w:ascii="Times New Roman" w:eastAsia="Times New Roman" w:hAnsi="Times New Roman" w:cs="Times New Roman"/>
          <w:sz w:val="24"/>
          <w:szCs w:val="24"/>
          <w:lang w:eastAsia="en-GB"/>
        </w:rPr>
      </w:pPr>
    </w:p>
    <w:p w14:paraId="632F8E17" w14:textId="77777777" w:rsidR="00924347" w:rsidRPr="00D53237" w:rsidRDefault="00924347" w:rsidP="00924347">
      <w:pPr>
        <w:spacing w:after="0" w:line="240" w:lineRule="auto"/>
        <w:rPr>
          <w:rFonts w:ascii="Times New Roman" w:eastAsia="Times New Roman" w:hAnsi="Times New Roman" w:cs="Times New Roman"/>
          <w:sz w:val="24"/>
          <w:szCs w:val="24"/>
          <w:lang w:eastAsia="en-GB"/>
        </w:rPr>
      </w:pPr>
      <w:proofErr w:type="spellStart"/>
      <w:r w:rsidRPr="00D53237">
        <w:rPr>
          <w:rFonts w:ascii="Times New Roman" w:eastAsia="Times New Roman" w:hAnsi="Times New Roman" w:cs="Times New Roman"/>
          <w:sz w:val="24"/>
          <w:szCs w:val="24"/>
          <w:lang w:eastAsia="en-GB"/>
        </w:rPr>
        <w:t>Jetley</w:t>
      </w:r>
      <w:proofErr w:type="spellEnd"/>
      <w:r w:rsidRPr="00D53237">
        <w:rPr>
          <w:rFonts w:ascii="Times New Roman" w:eastAsia="Times New Roman" w:hAnsi="Times New Roman" w:cs="Times New Roman"/>
          <w:sz w:val="24"/>
          <w:szCs w:val="24"/>
          <w:lang w:eastAsia="en-GB"/>
        </w:rPr>
        <w:t xml:space="preserve">, G. and Zhang, H. (2019) “Electronic health records in IS research: Quality issues, essential thresholds and remedial actions,” </w:t>
      </w:r>
      <w:r w:rsidRPr="00D53237">
        <w:rPr>
          <w:rFonts w:ascii="Times New Roman" w:eastAsia="Times New Roman" w:hAnsi="Times New Roman" w:cs="Times New Roman"/>
          <w:i/>
          <w:iCs/>
          <w:sz w:val="24"/>
          <w:szCs w:val="24"/>
          <w:lang w:eastAsia="en-GB"/>
        </w:rPr>
        <w:t>Decision Support Systems</w:t>
      </w:r>
      <w:r w:rsidRPr="00D53237">
        <w:rPr>
          <w:rFonts w:ascii="Times New Roman" w:eastAsia="Times New Roman" w:hAnsi="Times New Roman" w:cs="Times New Roman"/>
          <w:sz w:val="24"/>
          <w:szCs w:val="24"/>
          <w:lang w:eastAsia="en-GB"/>
        </w:rPr>
        <w:t xml:space="preserve">, 126, p. 113137. Available at: </w:t>
      </w:r>
      <w:hyperlink r:id="rId24" w:history="1">
        <w:r w:rsidRPr="00D53237">
          <w:rPr>
            <w:rStyle w:val="Hyperlink"/>
            <w:rFonts w:ascii="Times New Roman" w:eastAsia="Times New Roman" w:hAnsi="Times New Roman" w:cs="Times New Roman"/>
            <w:sz w:val="24"/>
            <w:szCs w:val="24"/>
            <w:lang w:eastAsia="en-GB"/>
          </w:rPr>
          <w:t>https://doi.org/10.1016/J.DSS.2019.113137</w:t>
        </w:r>
      </w:hyperlink>
      <w:r w:rsidRPr="00D53237">
        <w:rPr>
          <w:rFonts w:ascii="Times New Roman" w:eastAsia="Times New Roman" w:hAnsi="Times New Roman" w:cs="Times New Roman"/>
          <w:sz w:val="24"/>
          <w:szCs w:val="24"/>
          <w:lang w:eastAsia="en-GB"/>
        </w:rPr>
        <w:t>.</w:t>
      </w:r>
    </w:p>
    <w:p w14:paraId="326AF048" w14:textId="77777777" w:rsidR="00924347" w:rsidRPr="00D53237" w:rsidRDefault="00924347" w:rsidP="00924347">
      <w:pPr>
        <w:spacing w:after="0" w:line="240" w:lineRule="auto"/>
        <w:rPr>
          <w:rFonts w:ascii="Times New Roman" w:eastAsia="Times New Roman" w:hAnsi="Times New Roman" w:cs="Times New Roman"/>
          <w:sz w:val="24"/>
          <w:szCs w:val="24"/>
          <w:lang w:eastAsia="en-GB"/>
        </w:rPr>
      </w:pPr>
    </w:p>
    <w:p w14:paraId="4B90D186" w14:textId="77777777" w:rsidR="00924347" w:rsidRPr="00D53237" w:rsidRDefault="00924347" w:rsidP="00924347">
      <w:pPr>
        <w:spacing w:after="0" w:line="240" w:lineRule="auto"/>
        <w:rPr>
          <w:rFonts w:ascii="Times New Roman" w:eastAsia="Times New Roman" w:hAnsi="Times New Roman" w:cs="Times New Roman"/>
          <w:sz w:val="24"/>
          <w:szCs w:val="24"/>
          <w:lang w:eastAsia="en-GB"/>
        </w:rPr>
      </w:pPr>
      <w:r w:rsidRPr="00D53237">
        <w:rPr>
          <w:rFonts w:ascii="Times New Roman" w:hAnsi="Times New Roman" w:cs="Times New Roman"/>
          <w:sz w:val="24"/>
          <w:szCs w:val="24"/>
        </w:rPr>
        <w:t>Lincoln, Y. S., &amp; Guba, E. G. (1985) ‘</w:t>
      </w:r>
      <w:r w:rsidRPr="00D53237">
        <w:rPr>
          <w:rStyle w:val="Emphasis"/>
          <w:rFonts w:ascii="Times New Roman" w:hAnsi="Times New Roman" w:cs="Times New Roman"/>
          <w:sz w:val="24"/>
          <w:szCs w:val="24"/>
        </w:rPr>
        <w:t>Naturalistic Inquiry’</w:t>
      </w:r>
      <w:r w:rsidRPr="00D53237">
        <w:rPr>
          <w:rFonts w:ascii="Times New Roman" w:hAnsi="Times New Roman" w:cs="Times New Roman"/>
          <w:sz w:val="24"/>
          <w:szCs w:val="24"/>
        </w:rPr>
        <w:t xml:space="preserve"> Sage Publications Inc.</w:t>
      </w:r>
    </w:p>
    <w:p w14:paraId="0DC2D394" w14:textId="77777777" w:rsidR="00924347" w:rsidRPr="00D53237" w:rsidRDefault="00924347" w:rsidP="00924347">
      <w:pPr>
        <w:spacing w:after="0" w:line="240" w:lineRule="auto"/>
        <w:rPr>
          <w:rFonts w:ascii="Times New Roman" w:eastAsia="Times New Roman" w:hAnsi="Times New Roman" w:cs="Times New Roman"/>
          <w:sz w:val="24"/>
          <w:szCs w:val="24"/>
          <w:lang w:eastAsia="en-GB"/>
        </w:rPr>
      </w:pPr>
    </w:p>
    <w:p w14:paraId="063B9CB3" w14:textId="77777777" w:rsidR="00924347" w:rsidRPr="00D53237" w:rsidRDefault="00924347" w:rsidP="00924347">
      <w:pPr>
        <w:spacing w:after="0" w:line="240" w:lineRule="auto"/>
        <w:rPr>
          <w:rFonts w:ascii="Times New Roman" w:eastAsia="Times New Roman" w:hAnsi="Times New Roman" w:cs="Times New Roman"/>
          <w:sz w:val="24"/>
          <w:szCs w:val="24"/>
          <w:lang w:eastAsia="en-GB"/>
        </w:rPr>
      </w:pPr>
      <w:r w:rsidRPr="00D53237">
        <w:rPr>
          <w:rFonts w:ascii="Times New Roman" w:eastAsia="Times New Roman" w:hAnsi="Times New Roman" w:cs="Times New Roman"/>
          <w:sz w:val="24"/>
          <w:szCs w:val="24"/>
          <w:lang w:eastAsia="en-GB"/>
        </w:rPr>
        <w:t xml:space="preserve">Liu, M. </w:t>
      </w:r>
      <w:r w:rsidRPr="00D53237">
        <w:rPr>
          <w:rFonts w:ascii="Times New Roman" w:eastAsia="Times New Roman" w:hAnsi="Times New Roman" w:cs="Times New Roman"/>
          <w:i/>
          <w:iCs/>
          <w:sz w:val="24"/>
          <w:szCs w:val="24"/>
          <w:lang w:eastAsia="en-GB"/>
        </w:rPr>
        <w:t>et al.</w:t>
      </w:r>
      <w:r w:rsidRPr="00D53237">
        <w:rPr>
          <w:rFonts w:ascii="Times New Roman" w:eastAsia="Times New Roman" w:hAnsi="Times New Roman" w:cs="Times New Roman"/>
          <w:sz w:val="24"/>
          <w:szCs w:val="24"/>
          <w:lang w:eastAsia="en-GB"/>
        </w:rPr>
        <w:t xml:space="preserve"> (2022) “Toward a better understanding about real-world evidence,” </w:t>
      </w:r>
      <w:r w:rsidRPr="00D53237">
        <w:rPr>
          <w:rFonts w:ascii="Times New Roman" w:eastAsia="Times New Roman" w:hAnsi="Times New Roman" w:cs="Times New Roman"/>
          <w:i/>
          <w:iCs/>
          <w:sz w:val="24"/>
          <w:szCs w:val="24"/>
          <w:lang w:eastAsia="en-GB"/>
        </w:rPr>
        <w:t>European Journal of Hospital Pharmacy</w:t>
      </w:r>
      <w:r w:rsidRPr="00D53237">
        <w:rPr>
          <w:rFonts w:ascii="Times New Roman" w:eastAsia="Times New Roman" w:hAnsi="Times New Roman" w:cs="Times New Roman"/>
          <w:sz w:val="24"/>
          <w:szCs w:val="24"/>
          <w:lang w:eastAsia="en-GB"/>
        </w:rPr>
        <w:t xml:space="preserve">, 29(1), pp. 8–11. Available at: </w:t>
      </w:r>
      <w:hyperlink r:id="rId25" w:history="1">
        <w:r w:rsidRPr="00D53237">
          <w:rPr>
            <w:rStyle w:val="Hyperlink"/>
            <w:rFonts w:ascii="Times New Roman" w:eastAsia="Times New Roman" w:hAnsi="Times New Roman" w:cs="Times New Roman"/>
            <w:sz w:val="24"/>
            <w:szCs w:val="24"/>
            <w:lang w:eastAsia="en-GB"/>
          </w:rPr>
          <w:t>https://doi.org/10.1136/EJHPHARM-2021-003081</w:t>
        </w:r>
      </w:hyperlink>
      <w:r w:rsidRPr="00D53237">
        <w:rPr>
          <w:rFonts w:ascii="Times New Roman" w:eastAsia="Times New Roman" w:hAnsi="Times New Roman" w:cs="Times New Roman"/>
          <w:sz w:val="24"/>
          <w:szCs w:val="24"/>
          <w:lang w:eastAsia="en-GB"/>
        </w:rPr>
        <w:t>.</w:t>
      </w:r>
    </w:p>
    <w:p w14:paraId="37F740E4" w14:textId="77777777" w:rsidR="00924347" w:rsidRPr="00D53237" w:rsidRDefault="00924347" w:rsidP="00924347">
      <w:pPr>
        <w:spacing w:after="0" w:line="240" w:lineRule="auto"/>
        <w:rPr>
          <w:rFonts w:ascii="Times New Roman" w:eastAsia="Times New Roman" w:hAnsi="Times New Roman" w:cs="Times New Roman"/>
          <w:sz w:val="24"/>
          <w:szCs w:val="24"/>
          <w:lang w:eastAsia="en-GB"/>
        </w:rPr>
      </w:pPr>
    </w:p>
    <w:p w14:paraId="238137B5" w14:textId="77777777" w:rsidR="00924347" w:rsidRPr="00D53237" w:rsidRDefault="00924347" w:rsidP="00924347">
      <w:pPr>
        <w:spacing w:after="0" w:line="240" w:lineRule="auto"/>
        <w:rPr>
          <w:rFonts w:ascii="Times New Roman" w:eastAsia="Times New Roman" w:hAnsi="Times New Roman" w:cs="Times New Roman"/>
          <w:sz w:val="24"/>
          <w:szCs w:val="24"/>
          <w:lang w:eastAsia="en-GB"/>
        </w:rPr>
      </w:pPr>
      <w:r w:rsidRPr="00D53237">
        <w:rPr>
          <w:rFonts w:ascii="Times New Roman" w:eastAsia="Times New Roman" w:hAnsi="Times New Roman" w:cs="Times New Roman"/>
          <w:sz w:val="24"/>
          <w:szCs w:val="24"/>
          <w:lang w:eastAsia="en-GB"/>
        </w:rPr>
        <w:t xml:space="preserve">Melnick, E.R. </w:t>
      </w:r>
      <w:r w:rsidRPr="00D53237">
        <w:rPr>
          <w:rFonts w:ascii="Times New Roman" w:eastAsia="Times New Roman" w:hAnsi="Times New Roman" w:cs="Times New Roman"/>
          <w:i/>
          <w:iCs/>
          <w:sz w:val="24"/>
          <w:szCs w:val="24"/>
          <w:lang w:eastAsia="en-GB"/>
        </w:rPr>
        <w:t>et al.</w:t>
      </w:r>
      <w:r w:rsidRPr="00D53237">
        <w:rPr>
          <w:rFonts w:ascii="Times New Roman" w:eastAsia="Times New Roman" w:hAnsi="Times New Roman" w:cs="Times New Roman"/>
          <w:sz w:val="24"/>
          <w:szCs w:val="24"/>
          <w:lang w:eastAsia="en-GB"/>
        </w:rPr>
        <w:t xml:space="preserve"> (2020) “The Association Between Perceived Electronic Health Record Usability and Professional Burnout Among US Physicians,” </w:t>
      </w:r>
      <w:r w:rsidRPr="00D53237">
        <w:rPr>
          <w:rFonts w:ascii="Times New Roman" w:eastAsia="Times New Roman" w:hAnsi="Times New Roman" w:cs="Times New Roman"/>
          <w:i/>
          <w:iCs/>
          <w:sz w:val="24"/>
          <w:szCs w:val="24"/>
          <w:lang w:eastAsia="en-GB"/>
        </w:rPr>
        <w:t>Mayo Clinic Proceedings</w:t>
      </w:r>
      <w:r w:rsidRPr="00D53237">
        <w:rPr>
          <w:rFonts w:ascii="Times New Roman" w:eastAsia="Times New Roman" w:hAnsi="Times New Roman" w:cs="Times New Roman"/>
          <w:sz w:val="24"/>
          <w:szCs w:val="24"/>
          <w:lang w:eastAsia="en-GB"/>
        </w:rPr>
        <w:t xml:space="preserve">, 95(3), pp. 476–487. Available at: </w:t>
      </w:r>
      <w:hyperlink r:id="rId26" w:history="1">
        <w:r w:rsidRPr="00D53237">
          <w:rPr>
            <w:rStyle w:val="Hyperlink"/>
            <w:rFonts w:ascii="Times New Roman" w:eastAsia="Times New Roman" w:hAnsi="Times New Roman" w:cs="Times New Roman"/>
            <w:sz w:val="24"/>
            <w:szCs w:val="24"/>
            <w:lang w:eastAsia="en-GB"/>
          </w:rPr>
          <w:t>https://doi.org/10.1016/J.MAYOCP.2019.09.024</w:t>
        </w:r>
      </w:hyperlink>
      <w:r w:rsidRPr="00D53237">
        <w:rPr>
          <w:rFonts w:ascii="Times New Roman" w:eastAsia="Times New Roman" w:hAnsi="Times New Roman" w:cs="Times New Roman"/>
          <w:sz w:val="24"/>
          <w:szCs w:val="24"/>
          <w:lang w:eastAsia="en-GB"/>
        </w:rPr>
        <w:t>.</w:t>
      </w:r>
    </w:p>
    <w:p w14:paraId="2F42DC2B" w14:textId="77777777" w:rsidR="00924347" w:rsidRPr="00D53237" w:rsidRDefault="00924347" w:rsidP="00924347">
      <w:pPr>
        <w:spacing w:after="0" w:line="240" w:lineRule="auto"/>
        <w:rPr>
          <w:rFonts w:ascii="Times New Roman" w:eastAsia="Times New Roman" w:hAnsi="Times New Roman" w:cs="Times New Roman"/>
          <w:sz w:val="24"/>
          <w:szCs w:val="24"/>
          <w:lang w:eastAsia="en-GB"/>
        </w:rPr>
      </w:pPr>
    </w:p>
    <w:p w14:paraId="3305270D" w14:textId="77777777" w:rsidR="00924347" w:rsidRPr="00D53237" w:rsidRDefault="00924347" w:rsidP="00924347">
      <w:pPr>
        <w:spacing w:after="0" w:line="240" w:lineRule="auto"/>
        <w:rPr>
          <w:rFonts w:ascii="Times New Roman" w:eastAsia="Times New Roman" w:hAnsi="Times New Roman" w:cs="Times New Roman"/>
          <w:sz w:val="24"/>
          <w:szCs w:val="24"/>
          <w:lang w:eastAsia="en-GB"/>
        </w:rPr>
      </w:pPr>
      <w:r w:rsidRPr="00D53237">
        <w:rPr>
          <w:rFonts w:ascii="Times New Roman" w:hAnsi="Times New Roman" w:cs="Times New Roman"/>
          <w:sz w:val="24"/>
          <w:szCs w:val="24"/>
        </w:rPr>
        <w:t xml:space="preserve">Miles, M. B., Huberman, A. M., &amp; </w:t>
      </w:r>
      <w:proofErr w:type="spellStart"/>
      <w:r w:rsidRPr="00D53237">
        <w:rPr>
          <w:rFonts w:ascii="Times New Roman" w:hAnsi="Times New Roman" w:cs="Times New Roman"/>
          <w:sz w:val="24"/>
          <w:szCs w:val="24"/>
        </w:rPr>
        <w:t>Saldaña</w:t>
      </w:r>
      <w:proofErr w:type="spellEnd"/>
      <w:r w:rsidRPr="00D53237">
        <w:rPr>
          <w:rFonts w:ascii="Times New Roman" w:hAnsi="Times New Roman" w:cs="Times New Roman"/>
          <w:sz w:val="24"/>
          <w:szCs w:val="24"/>
        </w:rPr>
        <w:t xml:space="preserve">, J. (2014). </w:t>
      </w:r>
      <w:r w:rsidRPr="00D53237">
        <w:rPr>
          <w:rStyle w:val="Emphasis"/>
          <w:rFonts w:ascii="Times New Roman" w:hAnsi="Times New Roman" w:cs="Times New Roman"/>
          <w:sz w:val="24"/>
          <w:szCs w:val="24"/>
        </w:rPr>
        <w:t>Qualitative Data Analysis: A Methods Sourcebook.</w:t>
      </w:r>
      <w:r w:rsidRPr="00D53237">
        <w:rPr>
          <w:rFonts w:ascii="Times New Roman" w:hAnsi="Times New Roman" w:cs="Times New Roman"/>
          <w:sz w:val="24"/>
          <w:szCs w:val="24"/>
        </w:rPr>
        <w:t xml:space="preserve"> Sage.</w:t>
      </w:r>
    </w:p>
    <w:p w14:paraId="67B7F7DC" w14:textId="77777777" w:rsidR="00924347" w:rsidRPr="00D53237" w:rsidRDefault="00924347" w:rsidP="00924347">
      <w:pPr>
        <w:spacing w:after="0" w:line="240" w:lineRule="auto"/>
        <w:rPr>
          <w:rFonts w:ascii="Times New Roman" w:eastAsia="Times New Roman" w:hAnsi="Times New Roman" w:cs="Times New Roman"/>
          <w:sz w:val="24"/>
          <w:szCs w:val="24"/>
          <w:lang w:eastAsia="en-GB"/>
        </w:rPr>
      </w:pPr>
    </w:p>
    <w:p w14:paraId="17ACA078" w14:textId="0511A23D" w:rsidR="00924347" w:rsidRPr="00D53237" w:rsidRDefault="00924347" w:rsidP="00924347">
      <w:pPr>
        <w:spacing w:after="0" w:line="240" w:lineRule="auto"/>
        <w:rPr>
          <w:rFonts w:ascii="Times New Roman" w:eastAsia="Times New Roman" w:hAnsi="Times New Roman" w:cs="Times New Roman"/>
          <w:sz w:val="24"/>
          <w:szCs w:val="24"/>
          <w:lang w:eastAsia="en-GB"/>
        </w:rPr>
      </w:pPr>
      <w:r w:rsidRPr="00D53237">
        <w:rPr>
          <w:rFonts w:ascii="Times New Roman" w:eastAsia="Times New Roman" w:hAnsi="Times New Roman" w:cs="Times New Roman"/>
          <w:sz w:val="24"/>
          <w:szCs w:val="24"/>
          <w:lang w:eastAsia="en-GB"/>
        </w:rPr>
        <w:t xml:space="preserve">Moy, A.J. </w:t>
      </w:r>
      <w:r w:rsidRPr="00D53237">
        <w:rPr>
          <w:rFonts w:ascii="Times New Roman" w:eastAsia="Times New Roman" w:hAnsi="Times New Roman" w:cs="Times New Roman"/>
          <w:i/>
          <w:iCs/>
          <w:sz w:val="24"/>
          <w:szCs w:val="24"/>
          <w:lang w:eastAsia="en-GB"/>
        </w:rPr>
        <w:t>et al.</w:t>
      </w:r>
      <w:r w:rsidRPr="00D53237">
        <w:rPr>
          <w:rFonts w:ascii="Times New Roman" w:eastAsia="Times New Roman" w:hAnsi="Times New Roman" w:cs="Times New Roman"/>
          <w:sz w:val="24"/>
          <w:szCs w:val="24"/>
          <w:lang w:eastAsia="en-GB"/>
        </w:rPr>
        <w:t xml:space="preserve"> (2023) “Understanding the perceived role of electronic health records and workflow fragmentation on clinician documentation burden in emergency departments,” </w:t>
      </w:r>
      <w:r w:rsidRPr="00D53237">
        <w:rPr>
          <w:rFonts w:ascii="Times New Roman" w:eastAsia="Times New Roman" w:hAnsi="Times New Roman" w:cs="Times New Roman"/>
          <w:i/>
          <w:iCs/>
          <w:sz w:val="24"/>
          <w:szCs w:val="24"/>
          <w:lang w:eastAsia="en-GB"/>
        </w:rPr>
        <w:t xml:space="preserve">Journal of the American Medical Informatics </w:t>
      </w:r>
      <w:proofErr w:type="gramStart"/>
      <w:r w:rsidRPr="00D53237">
        <w:rPr>
          <w:rFonts w:ascii="Times New Roman" w:eastAsia="Times New Roman" w:hAnsi="Times New Roman" w:cs="Times New Roman"/>
          <w:i/>
          <w:iCs/>
          <w:sz w:val="24"/>
          <w:szCs w:val="24"/>
          <w:lang w:eastAsia="en-GB"/>
        </w:rPr>
        <w:t>Association :</w:t>
      </w:r>
      <w:proofErr w:type="gramEnd"/>
      <w:r w:rsidRPr="00D53237">
        <w:rPr>
          <w:rFonts w:ascii="Times New Roman" w:eastAsia="Times New Roman" w:hAnsi="Times New Roman" w:cs="Times New Roman"/>
          <w:i/>
          <w:iCs/>
          <w:sz w:val="24"/>
          <w:szCs w:val="24"/>
          <w:lang w:eastAsia="en-GB"/>
        </w:rPr>
        <w:t xml:space="preserve"> JAMIA</w:t>
      </w:r>
      <w:r w:rsidRPr="00D53237">
        <w:rPr>
          <w:rFonts w:ascii="Times New Roman" w:eastAsia="Times New Roman" w:hAnsi="Times New Roman" w:cs="Times New Roman"/>
          <w:sz w:val="24"/>
          <w:szCs w:val="24"/>
          <w:lang w:eastAsia="en-GB"/>
        </w:rPr>
        <w:t xml:space="preserve">, 30(5), p. 797. Available at: </w:t>
      </w:r>
      <w:hyperlink r:id="rId27" w:history="1">
        <w:r w:rsidRPr="00D53237">
          <w:rPr>
            <w:rStyle w:val="Hyperlink"/>
            <w:rFonts w:ascii="Times New Roman" w:eastAsia="Times New Roman" w:hAnsi="Times New Roman" w:cs="Times New Roman"/>
            <w:sz w:val="24"/>
            <w:szCs w:val="24"/>
            <w:lang w:eastAsia="en-GB"/>
          </w:rPr>
          <w:t>https://doi.org/10.1093/JAMIA/OCAD038</w:t>
        </w:r>
      </w:hyperlink>
      <w:r w:rsidRPr="00D53237">
        <w:rPr>
          <w:rFonts w:ascii="Times New Roman" w:eastAsia="Times New Roman" w:hAnsi="Times New Roman" w:cs="Times New Roman"/>
          <w:sz w:val="24"/>
          <w:szCs w:val="24"/>
          <w:lang w:eastAsia="en-GB"/>
        </w:rPr>
        <w:t>.</w:t>
      </w:r>
    </w:p>
    <w:p w14:paraId="1089AD71" w14:textId="0CCF9322" w:rsidR="000C4596" w:rsidRPr="00D53237" w:rsidRDefault="000C4596" w:rsidP="00924347">
      <w:pPr>
        <w:spacing w:after="0" w:line="240" w:lineRule="auto"/>
        <w:rPr>
          <w:rFonts w:ascii="Times New Roman" w:eastAsia="Times New Roman" w:hAnsi="Times New Roman" w:cs="Times New Roman"/>
          <w:sz w:val="24"/>
          <w:szCs w:val="24"/>
          <w:lang w:eastAsia="en-GB"/>
        </w:rPr>
      </w:pPr>
    </w:p>
    <w:p w14:paraId="104C806F" w14:textId="2CDDBF42" w:rsidR="000C4596" w:rsidRPr="00D53237" w:rsidRDefault="000C4596" w:rsidP="000C4596">
      <w:pPr>
        <w:rPr>
          <w:rFonts w:ascii="Times New Roman" w:hAnsi="Times New Roman" w:cs="Times New Roman"/>
          <w:sz w:val="24"/>
          <w:szCs w:val="24"/>
        </w:rPr>
      </w:pPr>
      <w:r w:rsidRPr="00D53237">
        <w:rPr>
          <w:rFonts w:ascii="Times New Roman" w:eastAsia="Times New Roman" w:hAnsi="Times New Roman" w:cs="Times New Roman"/>
          <w:sz w:val="24"/>
          <w:szCs w:val="24"/>
          <w:lang w:eastAsia="en-GB"/>
        </w:rPr>
        <w:t xml:space="preserve">NHS (2019) ‘The NHS Long-term Plan’. Available at: </w:t>
      </w:r>
      <w:hyperlink r:id="rId28" w:history="1">
        <w:r w:rsidRPr="00D53237">
          <w:rPr>
            <w:rFonts w:ascii="Times New Roman" w:hAnsi="Times New Roman" w:cs="Times New Roman"/>
            <w:color w:val="0000FF"/>
            <w:sz w:val="24"/>
            <w:szCs w:val="24"/>
          </w:rPr>
          <w:t>NHS Long Term Plan v1.2 August 2019</w:t>
        </w:r>
      </w:hyperlink>
      <w:r w:rsidRPr="00D53237">
        <w:rPr>
          <w:rFonts w:ascii="Times New Roman" w:hAnsi="Times New Roman" w:cs="Times New Roman"/>
          <w:sz w:val="24"/>
          <w:szCs w:val="24"/>
        </w:rPr>
        <w:t xml:space="preserve">  accessed on: 1.4.26</w:t>
      </w:r>
    </w:p>
    <w:p w14:paraId="6F0ED239" w14:textId="77777777" w:rsidR="00924347" w:rsidRPr="00D53237" w:rsidRDefault="00924347" w:rsidP="00924347">
      <w:pPr>
        <w:spacing w:after="0" w:line="240" w:lineRule="auto"/>
        <w:rPr>
          <w:rFonts w:ascii="Times New Roman" w:hAnsi="Times New Roman" w:cs="Times New Roman"/>
          <w:sz w:val="24"/>
          <w:szCs w:val="24"/>
        </w:rPr>
      </w:pPr>
      <w:r w:rsidRPr="00D53237">
        <w:rPr>
          <w:rFonts w:ascii="Times New Roman" w:eastAsia="Times New Roman" w:hAnsi="Times New Roman" w:cs="Times New Roman"/>
          <w:sz w:val="24"/>
          <w:szCs w:val="24"/>
          <w:lang w:eastAsia="en-GB"/>
        </w:rPr>
        <w:t xml:space="preserve">NHS England (2025) ‘Data Access and Re-identification Risk Intervention’ Available at: </w:t>
      </w:r>
      <w:hyperlink r:id="rId29" w:history="1">
        <w:r w:rsidRPr="00D53237">
          <w:rPr>
            <w:rFonts w:ascii="Times New Roman" w:hAnsi="Times New Roman" w:cs="Times New Roman"/>
            <w:color w:val="0000FF"/>
            <w:sz w:val="24"/>
            <w:szCs w:val="24"/>
            <w:u w:val="single"/>
          </w:rPr>
          <w:t>Data access and re-identification risk intervention - AI and Digital Regulations Service for health and social care</w:t>
        </w:r>
      </w:hyperlink>
      <w:r w:rsidRPr="00D53237">
        <w:rPr>
          <w:rFonts w:ascii="Times New Roman" w:hAnsi="Times New Roman" w:cs="Times New Roman"/>
          <w:sz w:val="24"/>
          <w:szCs w:val="24"/>
        </w:rPr>
        <w:t xml:space="preserve">  Accessed on: 12.4.26</w:t>
      </w:r>
    </w:p>
    <w:p w14:paraId="26A3B8BD" w14:textId="77777777" w:rsidR="00924347" w:rsidRPr="00D53237" w:rsidRDefault="00924347" w:rsidP="00924347">
      <w:pPr>
        <w:spacing w:after="0" w:line="240" w:lineRule="auto"/>
        <w:rPr>
          <w:rFonts w:ascii="Times New Roman" w:hAnsi="Times New Roman" w:cs="Times New Roman"/>
          <w:sz w:val="24"/>
          <w:szCs w:val="24"/>
        </w:rPr>
      </w:pPr>
    </w:p>
    <w:p w14:paraId="71F2F104" w14:textId="77777777" w:rsidR="00924347" w:rsidRPr="00D53237" w:rsidRDefault="00924347" w:rsidP="00924347">
      <w:pPr>
        <w:spacing w:after="0" w:line="240" w:lineRule="auto"/>
        <w:rPr>
          <w:rFonts w:ascii="Times New Roman" w:eastAsia="Times New Roman" w:hAnsi="Times New Roman" w:cs="Times New Roman"/>
          <w:sz w:val="24"/>
          <w:szCs w:val="24"/>
          <w:lang w:eastAsia="en-GB"/>
        </w:rPr>
      </w:pPr>
      <w:r w:rsidRPr="00D53237">
        <w:rPr>
          <w:rFonts w:ascii="Times New Roman" w:hAnsi="Times New Roman" w:cs="Times New Roman"/>
          <w:sz w:val="24"/>
          <w:szCs w:val="24"/>
        </w:rPr>
        <w:t xml:space="preserve">NHS Wales (2026) ‘Information Governance’ Available at: </w:t>
      </w:r>
      <w:hyperlink r:id="rId30" w:history="1">
        <w:r w:rsidRPr="00D53237">
          <w:rPr>
            <w:rFonts w:ascii="Times New Roman" w:hAnsi="Times New Roman" w:cs="Times New Roman"/>
            <w:color w:val="0000FF"/>
            <w:sz w:val="24"/>
            <w:szCs w:val="24"/>
            <w:u w:val="single"/>
          </w:rPr>
          <w:t>Information Governance - NHS Wales Shared Services Partnership</w:t>
        </w:r>
      </w:hyperlink>
      <w:r w:rsidRPr="00D53237">
        <w:rPr>
          <w:rFonts w:ascii="Times New Roman" w:hAnsi="Times New Roman" w:cs="Times New Roman"/>
          <w:sz w:val="24"/>
          <w:szCs w:val="24"/>
        </w:rPr>
        <w:t xml:space="preserve">  Accessed on: 12.4.26</w:t>
      </w:r>
    </w:p>
    <w:p w14:paraId="101515CD" w14:textId="77777777" w:rsidR="00924347" w:rsidRPr="00D53237" w:rsidRDefault="00924347" w:rsidP="00924347">
      <w:pPr>
        <w:spacing w:after="0" w:line="240" w:lineRule="auto"/>
        <w:rPr>
          <w:rFonts w:ascii="Times New Roman" w:eastAsia="Times New Roman" w:hAnsi="Times New Roman" w:cs="Times New Roman"/>
          <w:sz w:val="24"/>
          <w:szCs w:val="24"/>
          <w:lang w:eastAsia="en-GB"/>
        </w:rPr>
      </w:pPr>
    </w:p>
    <w:p w14:paraId="13F209F4" w14:textId="77777777" w:rsidR="00924347" w:rsidRPr="00D53237" w:rsidRDefault="00924347" w:rsidP="00924347">
      <w:pPr>
        <w:spacing w:after="0" w:line="240" w:lineRule="auto"/>
        <w:rPr>
          <w:rFonts w:ascii="Times New Roman" w:eastAsia="Times New Roman" w:hAnsi="Times New Roman" w:cs="Times New Roman"/>
          <w:sz w:val="24"/>
          <w:szCs w:val="24"/>
          <w:lang w:eastAsia="en-GB"/>
        </w:rPr>
      </w:pPr>
      <w:proofErr w:type="spellStart"/>
      <w:r w:rsidRPr="00D53237">
        <w:rPr>
          <w:rFonts w:ascii="Times New Roman" w:eastAsia="Times New Roman" w:hAnsi="Times New Roman" w:cs="Times New Roman"/>
          <w:sz w:val="24"/>
          <w:szCs w:val="24"/>
          <w:lang w:eastAsia="en-GB"/>
        </w:rPr>
        <w:t>Olakotan</w:t>
      </w:r>
      <w:proofErr w:type="spellEnd"/>
      <w:r w:rsidRPr="00D53237">
        <w:rPr>
          <w:rFonts w:ascii="Times New Roman" w:eastAsia="Times New Roman" w:hAnsi="Times New Roman" w:cs="Times New Roman"/>
          <w:sz w:val="24"/>
          <w:szCs w:val="24"/>
          <w:lang w:eastAsia="en-GB"/>
        </w:rPr>
        <w:t xml:space="preserve">, O. </w:t>
      </w:r>
      <w:r w:rsidRPr="00D53237">
        <w:rPr>
          <w:rFonts w:ascii="Times New Roman" w:eastAsia="Times New Roman" w:hAnsi="Times New Roman" w:cs="Times New Roman"/>
          <w:i/>
          <w:iCs/>
          <w:sz w:val="24"/>
          <w:szCs w:val="24"/>
          <w:lang w:eastAsia="en-GB"/>
        </w:rPr>
        <w:t>et al.</w:t>
      </w:r>
      <w:r w:rsidRPr="00D53237">
        <w:rPr>
          <w:rFonts w:ascii="Times New Roman" w:eastAsia="Times New Roman" w:hAnsi="Times New Roman" w:cs="Times New Roman"/>
          <w:sz w:val="24"/>
          <w:szCs w:val="24"/>
          <w:lang w:eastAsia="en-GB"/>
        </w:rPr>
        <w:t xml:space="preserve"> (2025) “Usability Challenges in Electronic Health Records: Impact on Documentation Burden and Clinical Workflow: A Scoping Review,” </w:t>
      </w:r>
      <w:r w:rsidRPr="00D53237">
        <w:rPr>
          <w:rFonts w:ascii="Times New Roman" w:eastAsia="Times New Roman" w:hAnsi="Times New Roman" w:cs="Times New Roman"/>
          <w:i/>
          <w:iCs/>
          <w:sz w:val="24"/>
          <w:szCs w:val="24"/>
          <w:lang w:eastAsia="en-GB"/>
        </w:rPr>
        <w:t>Journal of Evaluation in Clinical Practice</w:t>
      </w:r>
      <w:r w:rsidRPr="00D53237">
        <w:rPr>
          <w:rFonts w:ascii="Times New Roman" w:eastAsia="Times New Roman" w:hAnsi="Times New Roman" w:cs="Times New Roman"/>
          <w:sz w:val="24"/>
          <w:szCs w:val="24"/>
          <w:lang w:eastAsia="en-GB"/>
        </w:rPr>
        <w:t xml:space="preserve">, 31(4). Available at: </w:t>
      </w:r>
      <w:hyperlink r:id="rId31" w:history="1">
        <w:r w:rsidRPr="00D53237">
          <w:rPr>
            <w:rStyle w:val="Hyperlink"/>
            <w:rFonts w:ascii="Times New Roman" w:eastAsia="Times New Roman" w:hAnsi="Times New Roman" w:cs="Times New Roman"/>
            <w:sz w:val="24"/>
            <w:szCs w:val="24"/>
            <w:lang w:eastAsia="en-GB"/>
          </w:rPr>
          <w:t>https://doi.org/10.1111/jep.70189</w:t>
        </w:r>
      </w:hyperlink>
      <w:r w:rsidRPr="00D53237">
        <w:rPr>
          <w:rFonts w:ascii="Times New Roman" w:eastAsia="Times New Roman" w:hAnsi="Times New Roman" w:cs="Times New Roman"/>
          <w:sz w:val="24"/>
          <w:szCs w:val="24"/>
          <w:lang w:eastAsia="en-GB"/>
        </w:rPr>
        <w:t>.</w:t>
      </w:r>
    </w:p>
    <w:p w14:paraId="47749D1F" w14:textId="77777777" w:rsidR="00924347" w:rsidRPr="00D53237" w:rsidRDefault="00924347" w:rsidP="00924347">
      <w:pPr>
        <w:spacing w:after="0" w:line="240" w:lineRule="auto"/>
        <w:rPr>
          <w:rFonts w:ascii="Times New Roman" w:eastAsia="Times New Roman" w:hAnsi="Times New Roman" w:cs="Times New Roman"/>
          <w:sz w:val="24"/>
          <w:szCs w:val="24"/>
          <w:lang w:eastAsia="en-GB"/>
        </w:rPr>
      </w:pPr>
    </w:p>
    <w:p w14:paraId="5FBC930A" w14:textId="77777777" w:rsidR="00924347" w:rsidRPr="00D53237" w:rsidRDefault="00924347" w:rsidP="00924347">
      <w:pPr>
        <w:spacing w:after="0" w:line="240" w:lineRule="auto"/>
        <w:rPr>
          <w:rFonts w:ascii="Times New Roman" w:eastAsia="Times New Roman" w:hAnsi="Times New Roman" w:cs="Times New Roman"/>
          <w:sz w:val="24"/>
          <w:szCs w:val="24"/>
          <w:lang w:eastAsia="en-GB"/>
        </w:rPr>
      </w:pPr>
      <w:proofErr w:type="spellStart"/>
      <w:r w:rsidRPr="00D53237">
        <w:rPr>
          <w:rFonts w:ascii="Times New Roman" w:eastAsia="Times New Roman" w:hAnsi="Times New Roman" w:cs="Times New Roman"/>
          <w:sz w:val="24"/>
          <w:szCs w:val="24"/>
          <w:lang w:eastAsia="en-GB"/>
        </w:rPr>
        <w:t>Penev</w:t>
      </w:r>
      <w:proofErr w:type="spellEnd"/>
      <w:r w:rsidRPr="00D53237">
        <w:rPr>
          <w:rFonts w:ascii="Times New Roman" w:eastAsia="Times New Roman" w:hAnsi="Times New Roman" w:cs="Times New Roman"/>
          <w:sz w:val="24"/>
          <w:szCs w:val="24"/>
          <w:lang w:eastAsia="en-GB"/>
        </w:rPr>
        <w:t xml:space="preserve">, Y.P. </w:t>
      </w:r>
      <w:r w:rsidRPr="00D53237">
        <w:rPr>
          <w:rFonts w:ascii="Times New Roman" w:eastAsia="Times New Roman" w:hAnsi="Times New Roman" w:cs="Times New Roman"/>
          <w:i/>
          <w:iCs/>
          <w:sz w:val="24"/>
          <w:szCs w:val="24"/>
          <w:lang w:eastAsia="en-GB"/>
        </w:rPr>
        <w:t>et al.</w:t>
      </w:r>
      <w:r w:rsidRPr="00D53237">
        <w:rPr>
          <w:rFonts w:ascii="Times New Roman" w:eastAsia="Times New Roman" w:hAnsi="Times New Roman" w:cs="Times New Roman"/>
          <w:sz w:val="24"/>
          <w:szCs w:val="24"/>
          <w:lang w:eastAsia="en-GB"/>
        </w:rPr>
        <w:t xml:space="preserve"> (2024) “Electronic Health Record Data Quality and Performance Assessments: Scoping Review,” </w:t>
      </w:r>
      <w:r w:rsidRPr="00D53237">
        <w:rPr>
          <w:rFonts w:ascii="Times New Roman" w:eastAsia="Times New Roman" w:hAnsi="Times New Roman" w:cs="Times New Roman"/>
          <w:i/>
          <w:iCs/>
          <w:sz w:val="24"/>
          <w:szCs w:val="24"/>
          <w:lang w:eastAsia="en-GB"/>
        </w:rPr>
        <w:t>JMIR medical informatics</w:t>
      </w:r>
      <w:r w:rsidRPr="00D53237">
        <w:rPr>
          <w:rFonts w:ascii="Times New Roman" w:eastAsia="Times New Roman" w:hAnsi="Times New Roman" w:cs="Times New Roman"/>
          <w:sz w:val="24"/>
          <w:szCs w:val="24"/>
          <w:lang w:eastAsia="en-GB"/>
        </w:rPr>
        <w:t xml:space="preserve">, 12. Available at: </w:t>
      </w:r>
      <w:hyperlink r:id="rId32" w:history="1">
        <w:r w:rsidRPr="00D53237">
          <w:rPr>
            <w:rStyle w:val="Hyperlink"/>
            <w:rFonts w:ascii="Times New Roman" w:eastAsia="Times New Roman" w:hAnsi="Times New Roman" w:cs="Times New Roman"/>
            <w:sz w:val="24"/>
            <w:szCs w:val="24"/>
            <w:lang w:eastAsia="en-GB"/>
          </w:rPr>
          <w:t>https://doi.org/10.2196/58130</w:t>
        </w:r>
      </w:hyperlink>
      <w:r w:rsidRPr="00D53237">
        <w:rPr>
          <w:rFonts w:ascii="Times New Roman" w:eastAsia="Times New Roman" w:hAnsi="Times New Roman" w:cs="Times New Roman"/>
          <w:sz w:val="24"/>
          <w:szCs w:val="24"/>
          <w:lang w:eastAsia="en-GB"/>
        </w:rPr>
        <w:t>.</w:t>
      </w:r>
    </w:p>
    <w:p w14:paraId="6061CC3C" w14:textId="77777777" w:rsidR="00924347" w:rsidRPr="00D53237" w:rsidRDefault="00924347" w:rsidP="00924347">
      <w:pPr>
        <w:spacing w:after="0" w:line="240" w:lineRule="auto"/>
        <w:rPr>
          <w:rFonts w:ascii="Times New Roman" w:eastAsia="Times New Roman" w:hAnsi="Times New Roman" w:cs="Times New Roman"/>
          <w:sz w:val="24"/>
          <w:szCs w:val="24"/>
          <w:lang w:eastAsia="en-GB"/>
        </w:rPr>
      </w:pPr>
    </w:p>
    <w:p w14:paraId="22E4FF54" w14:textId="77777777" w:rsidR="00924347" w:rsidRPr="00D53237" w:rsidRDefault="00924347" w:rsidP="00924347">
      <w:pPr>
        <w:spacing w:after="0" w:line="240" w:lineRule="auto"/>
        <w:rPr>
          <w:rFonts w:ascii="Times New Roman" w:eastAsia="Times New Roman" w:hAnsi="Times New Roman" w:cs="Times New Roman"/>
          <w:sz w:val="24"/>
          <w:szCs w:val="24"/>
          <w:lang w:eastAsia="en-GB"/>
        </w:rPr>
      </w:pPr>
      <w:r w:rsidRPr="00D53237">
        <w:rPr>
          <w:rFonts w:ascii="Times New Roman" w:eastAsia="Times New Roman" w:hAnsi="Times New Roman" w:cs="Times New Roman"/>
          <w:sz w:val="24"/>
          <w:szCs w:val="24"/>
          <w:lang w:eastAsia="en-GB"/>
        </w:rPr>
        <w:t xml:space="preserve">Phillips, M.R. </w:t>
      </w:r>
      <w:r w:rsidRPr="00D53237">
        <w:rPr>
          <w:rFonts w:ascii="Times New Roman" w:eastAsia="Times New Roman" w:hAnsi="Times New Roman" w:cs="Times New Roman"/>
          <w:i/>
          <w:iCs/>
          <w:sz w:val="24"/>
          <w:szCs w:val="24"/>
          <w:lang w:eastAsia="en-GB"/>
        </w:rPr>
        <w:t>et al.</w:t>
      </w:r>
      <w:r w:rsidRPr="00D53237">
        <w:rPr>
          <w:rFonts w:ascii="Times New Roman" w:eastAsia="Times New Roman" w:hAnsi="Times New Roman" w:cs="Times New Roman"/>
          <w:sz w:val="24"/>
          <w:szCs w:val="24"/>
          <w:lang w:eastAsia="en-GB"/>
        </w:rPr>
        <w:t xml:space="preserve"> (2022) “Correction to: The clinician’s guide </w:t>
      </w:r>
      <w:proofErr w:type="spellStart"/>
      <w:r w:rsidRPr="00D53237">
        <w:rPr>
          <w:rFonts w:ascii="Times New Roman" w:eastAsia="Times New Roman" w:hAnsi="Times New Roman" w:cs="Times New Roman"/>
          <w:sz w:val="24"/>
          <w:szCs w:val="24"/>
          <w:lang w:eastAsia="en-GB"/>
        </w:rPr>
        <w:t>to p</w:t>
      </w:r>
      <w:proofErr w:type="spellEnd"/>
      <w:r w:rsidRPr="00D53237">
        <w:rPr>
          <w:rFonts w:ascii="Times New Roman" w:eastAsia="Times New Roman" w:hAnsi="Times New Roman" w:cs="Times New Roman"/>
          <w:sz w:val="24"/>
          <w:szCs w:val="24"/>
          <w:lang w:eastAsia="en-GB"/>
        </w:rPr>
        <w:t xml:space="preserve"> values, confidence intervals, and magnitude of effects,” </w:t>
      </w:r>
      <w:r w:rsidRPr="00D53237">
        <w:rPr>
          <w:rFonts w:ascii="Times New Roman" w:eastAsia="Times New Roman" w:hAnsi="Times New Roman" w:cs="Times New Roman"/>
          <w:i/>
          <w:iCs/>
          <w:sz w:val="24"/>
          <w:szCs w:val="24"/>
          <w:lang w:eastAsia="en-GB"/>
        </w:rPr>
        <w:t>Eye</w:t>
      </w:r>
      <w:r w:rsidRPr="00D53237">
        <w:rPr>
          <w:rFonts w:ascii="Times New Roman" w:eastAsia="Times New Roman" w:hAnsi="Times New Roman" w:cs="Times New Roman"/>
          <w:sz w:val="24"/>
          <w:szCs w:val="24"/>
          <w:lang w:eastAsia="en-GB"/>
        </w:rPr>
        <w:t xml:space="preserve">, 37(7), p. 1515. Available at: </w:t>
      </w:r>
      <w:hyperlink r:id="rId33" w:history="1">
        <w:r w:rsidRPr="00D53237">
          <w:rPr>
            <w:rStyle w:val="Hyperlink"/>
            <w:rFonts w:ascii="Times New Roman" w:eastAsia="Times New Roman" w:hAnsi="Times New Roman" w:cs="Times New Roman"/>
            <w:sz w:val="24"/>
            <w:szCs w:val="24"/>
            <w:lang w:eastAsia="en-GB"/>
          </w:rPr>
          <w:t>https://doi.org/10.1038/S41433-021-01914-2</w:t>
        </w:r>
      </w:hyperlink>
      <w:r w:rsidRPr="00D53237">
        <w:rPr>
          <w:rFonts w:ascii="Times New Roman" w:eastAsia="Times New Roman" w:hAnsi="Times New Roman" w:cs="Times New Roman"/>
          <w:sz w:val="24"/>
          <w:szCs w:val="24"/>
          <w:lang w:eastAsia="en-GB"/>
        </w:rPr>
        <w:t>.</w:t>
      </w:r>
    </w:p>
    <w:p w14:paraId="4623F1B6" w14:textId="77777777" w:rsidR="00924347" w:rsidRPr="00D53237" w:rsidRDefault="00924347" w:rsidP="00924347">
      <w:pPr>
        <w:spacing w:after="0" w:line="240" w:lineRule="auto"/>
        <w:rPr>
          <w:rFonts w:ascii="Times New Roman" w:eastAsia="Times New Roman" w:hAnsi="Times New Roman" w:cs="Times New Roman"/>
          <w:sz w:val="24"/>
          <w:szCs w:val="24"/>
          <w:lang w:eastAsia="en-GB"/>
        </w:rPr>
      </w:pPr>
    </w:p>
    <w:p w14:paraId="6BFCB5CC" w14:textId="77777777" w:rsidR="00924347" w:rsidRPr="00D53237" w:rsidRDefault="00924347" w:rsidP="00924347">
      <w:pPr>
        <w:spacing w:after="0" w:line="240" w:lineRule="auto"/>
        <w:rPr>
          <w:rFonts w:ascii="Times New Roman" w:eastAsia="Times New Roman" w:hAnsi="Times New Roman" w:cs="Times New Roman"/>
          <w:sz w:val="24"/>
          <w:szCs w:val="24"/>
          <w:lang w:eastAsia="en-GB"/>
        </w:rPr>
      </w:pPr>
      <w:r w:rsidRPr="00D53237">
        <w:rPr>
          <w:rFonts w:ascii="Times New Roman" w:eastAsia="Times New Roman" w:hAnsi="Times New Roman" w:cs="Times New Roman"/>
          <w:sz w:val="24"/>
          <w:szCs w:val="24"/>
          <w:lang w:eastAsia="en-GB"/>
        </w:rPr>
        <w:t xml:space="preserve">Plano Clark, </w:t>
      </w:r>
      <w:proofErr w:type="gramStart"/>
      <w:r w:rsidRPr="00D53237">
        <w:rPr>
          <w:rFonts w:ascii="Times New Roman" w:eastAsia="Times New Roman" w:hAnsi="Times New Roman" w:cs="Times New Roman"/>
          <w:sz w:val="24"/>
          <w:szCs w:val="24"/>
          <w:lang w:eastAsia="en-GB"/>
        </w:rPr>
        <w:t xml:space="preserve">V.L  </w:t>
      </w:r>
      <w:proofErr w:type="spellStart"/>
      <w:r w:rsidRPr="00D53237">
        <w:rPr>
          <w:rFonts w:ascii="Times New Roman" w:eastAsia="Times New Roman" w:hAnsi="Times New Roman" w:cs="Times New Roman"/>
          <w:sz w:val="24"/>
          <w:szCs w:val="24"/>
          <w:lang w:eastAsia="en-GB"/>
        </w:rPr>
        <w:t>Ivankova</w:t>
      </w:r>
      <w:proofErr w:type="spellEnd"/>
      <w:proofErr w:type="gramEnd"/>
      <w:r w:rsidRPr="00D53237">
        <w:rPr>
          <w:rFonts w:ascii="Times New Roman" w:eastAsia="Times New Roman" w:hAnsi="Times New Roman" w:cs="Times New Roman"/>
          <w:sz w:val="24"/>
          <w:szCs w:val="24"/>
          <w:lang w:eastAsia="en-GB"/>
        </w:rPr>
        <w:t>, N.V (2016) ‘Mixed Methods Research: A Guide to the Field’ Sage Publications Inc.</w:t>
      </w:r>
    </w:p>
    <w:p w14:paraId="58D7356A" w14:textId="77777777" w:rsidR="00924347" w:rsidRPr="00D53237" w:rsidRDefault="00924347" w:rsidP="00924347">
      <w:pPr>
        <w:spacing w:after="0" w:line="240" w:lineRule="auto"/>
        <w:rPr>
          <w:rFonts w:ascii="Times New Roman" w:eastAsia="Times New Roman" w:hAnsi="Times New Roman" w:cs="Times New Roman"/>
          <w:sz w:val="24"/>
          <w:szCs w:val="24"/>
          <w:lang w:eastAsia="en-GB"/>
        </w:rPr>
      </w:pPr>
    </w:p>
    <w:p w14:paraId="53290956" w14:textId="77777777" w:rsidR="00924347" w:rsidRPr="00D53237" w:rsidRDefault="00924347" w:rsidP="00924347">
      <w:pPr>
        <w:spacing w:after="0" w:line="240" w:lineRule="auto"/>
        <w:rPr>
          <w:rFonts w:ascii="Times New Roman" w:eastAsia="Times New Roman" w:hAnsi="Times New Roman" w:cs="Times New Roman"/>
          <w:sz w:val="24"/>
          <w:szCs w:val="24"/>
          <w:lang w:eastAsia="en-GB"/>
        </w:rPr>
      </w:pPr>
      <w:proofErr w:type="spellStart"/>
      <w:r w:rsidRPr="00D53237">
        <w:rPr>
          <w:rFonts w:ascii="Times New Roman" w:eastAsia="Times New Roman" w:hAnsi="Times New Roman" w:cs="Times New Roman"/>
          <w:sz w:val="24"/>
          <w:szCs w:val="24"/>
          <w:lang w:eastAsia="en-GB"/>
        </w:rPr>
        <w:t>Pilbeam</w:t>
      </w:r>
      <w:proofErr w:type="spellEnd"/>
      <w:r w:rsidRPr="00D53237">
        <w:rPr>
          <w:rFonts w:ascii="Times New Roman" w:eastAsia="Times New Roman" w:hAnsi="Times New Roman" w:cs="Times New Roman"/>
          <w:sz w:val="24"/>
          <w:szCs w:val="24"/>
          <w:lang w:eastAsia="en-GB"/>
        </w:rPr>
        <w:t xml:space="preserve">, C. </w:t>
      </w:r>
      <w:r w:rsidRPr="00D53237">
        <w:rPr>
          <w:rFonts w:ascii="Times New Roman" w:eastAsia="Times New Roman" w:hAnsi="Times New Roman" w:cs="Times New Roman"/>
          <w:i/>
          <w:iCs/>
          <w:sz w:val="24"/>
          <w:szCs w:val="24"/>
          <w:lang w:eastAsia="en-GB"/>
        </w:rPr>
        <w:t>et al.</w:t>
      </w:r>
      <w:r w:rsidRPr="00D53237">
        <w:rPr>
          <w:rFonts w:ascii="Times New Roman" w:eastAsia="Times New Roman" w:hAnsi="Times New Roman" w:cs="Times New Roman"/>
          <w:sz w:val="24"/>
          <w:szCs w:val="24"/>
          <w:lang w:eastAsia="en-GB"/>
        </w:rPr>
        <w:t xml:space="preserve"> (2022) “Methodological and Ethical Considerations when Conducting Qualitative Interview Research With Healthcare Professionals: Reflections and Recommendations as a Result of a Pandemic,” </w:t>
      </w:r>
      <w:r w:rsidRPr="00D53237">
        <w:rPr>
          <w:rFonts w:ascii="Times New Roman" w:eastAsia="Times New Roman" w:hAnsi="Times New Roman" w:cs="Times New Roman"/>
          <w:i/>
          <w:iCs/>
          <w:sz w:val="24"/>
          <w:szCs w:val="24"/>
          <w:lang w:eastAsia="en-GB"/>
        </w:rPr>
        <w:t>International Journal of Qualitative Methods</w:t>
      </w:r>
      <w:r w:rsidRPr="00D53237">
        <w:rPr>
          <w:rFonts w:ascii="Times New Roman" w:eastAsia="Times New Roman" w:hAnsi="Times New Roman" w:cs="Times New Roman"/>
          <w:sz w:val="24"/>
          <w:szCs w:val="24"/>
          <w:lang w:eastAsia="en-GB"/>
        </w:rPr>
        <w:t xml:space="preserve">, 21. Available at: </w:t>
      </w:r>
      <w:hyperlink r:id="rId34" w:history="1">
        <w:r w:rsidRPr="00D53237">
          <w:rPr>
            <w:rStyle w:val="Hyperlink"/>
            <w:rFonts w:ascii="Times New Roman" w:eastAsia="Times New Roman" w:hAnsi="Times New Roman" w:cs="Times New Roman"/>
            <w:sz w:val="24"/>
            <w:szCs w:val="24"/>
            <w:lang w:eastAsia="en-GB"/>
          </w:rPr>
          <w:t>https://doi.org/10.1177/16094069221077763;REQUESTEDJOURNAL:JOURNAL:IJQA;WEBSITE:WEBSITE:SAGE;WGROUP:STRING:PUBLICATION</w:t>
        </w:r>
      </w:hyperlink>
      <w:r w:rsidRPr="00D53237">
        <w:rPr>
          <w:rFonts w:ascii="Times New Roman" w:eastAsia="Times New Roman" w:hAnsi="Times New Roman" w:cs="Times New Roman"/>
          <w:sz w:val="24"/>
          <w:szCs w:val="24"/>
          <w:lang w:eastAsia="en-GB"/>
        </w:rPr>
        <w:t>.</w:t>
      </w:r>
    </w:p>
    <w:p w14:paraId="6857FC4F" w14:textId="77777777" w:rsidR="00924347" w:rsidRPr="00D53237" w:rsidRDefault="00924347" w:rsidP="00924347">
      <w:pPr>
        <w:spacing w:after="0" w:line="240" w:lineRule="auto"/>
        <w:rPr>
          <w:rFonts w:ascii="Times New Roman" w:eastAsia="Times New Roman" w:hAnsi="Times New Roman" w:cs="Times New Roman"/>
          <w:sz w:val="24"/>
          <w:szCs w:val="24"/>
          <w:lang w:eastAsia="en-GB"/>
        </w:rPr>
      </w:pPr>
    </w:p>
    <w:p w14:paraId="12775B43" w14:textId="77777777" w:rsidR="00924347" w:rsidRPr="00D53237" w:rsidRDefault="00924347" w:rsidP="00924347">
      <w:pPr>
        <w:spacing w:after="0" w:line="240" w:lineRule="auto"/>
        <w:rPr>
          <w:rFonts w:ascii="Times New Roman" w:eastAsia="Times New Roman" w:hAnsi="Times New Roman" w:cs="Times New Roman"/>
          <w:sz w:val="24"/>
          <w:szCs w:val="24"/>
          <w:lang w:eastAsia="en-GB"/>
        </w:rPr>
      </w:pPr>
      <w:r w:rsidRPr="00D53237">
        <w:rPr>
          <w:rFonts w:ascii="Times New Roman" w:eastAsia="Times New Roman" w:hAnsi="Times New Roman" w:cs="Times New Roman"/>
          <w:sz w:val="24"/>
          <w:szCs w:val="24"/>
          <w:lang w:eastAsia="en-GB"/>
        </w:rPr>
        <w:t xml:space="preserve">Riley, R.D. </w:t>
      </w:r>
      <w:r w:rsidRPr="00D53237">
        <w:rPr>
          <w:rFonts w:ascii="Times New Roman" w:eastAsia="Times New Roman" w:hAnsi="Times New Roman" w:cs="Times New Roman"/>
          <w:i/>
          <w:iCs/>
          <w:sz w:val="24"/>
          <w:szCs w:val="24"/>
          <w:lang w:eastAsia="en-GB"/>
        </w:rPr>
        <w:t>et al.</w:t>
      </w:r>
      <w:r w:rsidRPr="00D53237">
        <w:rPr>
          <w:rFonts w:ascii="Times New Roman" w:eastAsia="Times New Roman" w:hAnsi="Times New Roman" w:cs="Times New Roman"/>
          <w:sz w:val="24"/>
          <w:szCs w:val="24"/>
          <w:lang w:eastAsia="en-GB"/>
        </w:rPr>
        <w:t xml:space="preserve"> (2025) “Importance of sample size on the quality and utility of AI-based prediction models for healthcare,” </w:t>
      </w:r>
      <w:r w:rsidRPr="00D53237">
        <w:rPr>
          <w:rFonts w:ascii="Times New Roman" w:eastAsia="Times New Roman" w:hAnsi="Times New Roman" w:cs="Times New Roman"/>
          <w:i/>
          <w:iCs/>
          <w:sz w:val="24"/>
          <w:szCs w:val="24"/>
          <w:lang w:eastAsia="en-GB"/>
        </w:rPr>
        <w:t>The Lancet Digital Health</w:t>
      </w:r>
      <w:r w:rsidRPr="00D53237">
        <w:rPr>
          <w:rFonts w:ascii="Times New Roman" w:eastAsia="Times New Roman" w:hAnsi="Times New Roman" w:cs="Times New Roman"/>
          <w:sz w:val="24"/>
          <w:szCs w:val="24"/>
          <w:lang w:eastAsia="en-GB"/>
        </w:rPr>
        <w:t xml:space="preserve">, 7(6). Available at: </w:t>
      </w:r>
      <w:hyperlink r:id="rId35" w:history="1">
        <w:r w:rsidRPr="00D53237">
          <w:rPr>
            <w:rStyle w:val="Hyperlink"/>
            <w:rFonts w:ascii="Times New Roman" w:eastAsia="Times New Roman" w:hAnsi="Times New Roman" w:cs="Times New Roman"/>
            <w:sz w:val="24"/>
            <w:szCs w:val="24"/>
            <w:lang w:eastAsia="en-GB"/>
          </w:rPr>
          <w:t>https://doi.org/10.1016/j.landig.2025.01.013</w:t>
        </w:r>
      </w:hyperlink>
      <w:r w:rsidRPr="00D53237">
        <w:rPr>
          <w:rFonts w:ascii="Times New Roman" w:eastAsia="Times New Roman" w:hAnsi="Times New Roman" w:cs="Times New Roman"/>
          <w:sz w:val="24"/>
          <w:szCs w:val="24"/>
          <w:lang w:eastAsia="en-GB"/>
        </w:rPr>
        <w:t>.</w:t>
      </w:r>
    </w:p>
    <w:p w14:paraId="07F4D6C9" w14:textId="77777777" w:rsidR="00924347" w:rsidRPr="00D53237" w:rsidRDefault="00924347" w:rsidP="00924347">
      <w:pPr>
        <w:spacing w:after="0" w:line="240" w:lineRule="auto"/>
        <w:rPr>
          <w:rFonts w:ascii="Times New Roman" w:eastAsia="Times New Roman" w:hAnsi="Times New Roman" w:cs="Times New Roman"/>
          <w:sz w:val="24"/>
          <w:szCs w:val="24"/>
          <w:lang w:eastAsia="en-GB"/>
        </w:rPr>
      </w:pPr>
    </w:p>
    <w:p w14:paraId="56E08E65" w14:textId="77777777" w:rsidR="00924347" w:rsidRPr="00D53237" w:rsidRDefault="00924347" w:rsidP="00924347">
      <w:pPr>
        <w:spacing w:after="0" w:line="240" w:lineRule="auto"/>
        <w:rPr>
          <w:rFonts w:ascii="Times New Roman" w:eastAsia="Times New Roman" w:hAnsi="Times New Roman" w:cs="Times New Roman"/>
          <w:sz w:val="24"/>
          <w:szCs w:val="24"/>
          <w:lang w:eastAsia="en-GB"/>
        </w:rPr>
      </w:pPr>
      <w:r w:rsidRPr="00D53237">
        <w:rPr>
          <w:rFonts w:ascii="Times New Roman" w:eastAsia="Times New Roman" w:hAnsi="Times New Roman" w:cs="Times New Roman"/>
          <w:sz w:val="24"/>
          <w:szCs w:val="24"/>
          <w:lang w:eastAsia="en-GB"/>
        </w:rPr>
        <w:t xml:space="preserve">Saunders, B. </w:t>
      </w:r>
      <w:r w:rsidRPr="00D53237">
        <w:rPr>
          <w:rFonts w:ascii="Times New Roman" w:eastAsia="Times New Roman" w:hAnsi="Times New Roman" w:cs="Times New Roman"/>
          <w:i/>
          <w:iCs/>
          <w:sz w:val="24"/>
          <w:szCs w:val="24"/>
          <w:lang w:eastAsia="en-GB"/>
        </w:rPr>
        <w:t>et al.</w:t>
      </w:r>
      <w:r w:rsidRPr="00D53237">
        <w:rPr>
          <w:rFonts w:ascii="Times New Roman" w:eastAsia="Times New Roman" w:hAnsi="Times New Roman" w:cs="Times New Roman"/>
          <w:sz w:val="24"/>
          <w:szCs w:val="24"/>
          <w:lang w:eastAsia="en-GB"/>
        </w:rPr>
        <w:t xml:space="preserve"> (2017) “Saturation in qualitative research: exploring its conceptualization and operationalization,” </w:t>
      </w:r>
      <w:r w:rsidRPr="00D53237">
        <w:rPr>
          <w:rFonts w:ascii="Times New Roman" w:eastAsia="Times New Roman" w:hAnsi="Times New Roman" w:cs="Times New Roman"/>
          <w:i/>
          <w:iCs/>
          <w:sz w:val="24"/>
          <w:szCs w:val="24"/>
          <w:lang w:eastAsia="en-GB"/>
        </w:rPr>
        <w:t>Quality &amp; Quantity 2017 52:4</w:t>
      </w:r>
      <w:r w:rsidRPr="00D53237">
        <w:rPr>
          <w:rFonts w:ascii="Times New Roman" w:eastAsia="Times New Roman" w:hAnsi="Times New Roman" w:cs="Times New Roman"/>
          <w:sz w:val="24"/>
          <w:szCs w:val="24"/>
          <w:lang w:eastAsia="en-GB"/>
        </w:rPr>
        <w:t xml:space="preserve">, 52(4), pp. 1893–1907. Available at: </w:t>
      </w:r>
      <w:hyperlink r:id="rId36" w:history="1">
        <w:r w:rsidRPr="00D53237">
          <w:rPr>
            <w:rStyle w:val="Hyperlink"/>
            <w:rFonts w:ascii="Times New Roman" w:eastAsia="Times New Roman" w:hAnsi="Times New Roman" w:cs="Times New Roman"/>
            <w:sz w:val="24"/>
            <w:szCs w:val="24"/>
            <w:lang w:eastAsia="en-GB"/>
          </w:rPr>
          <w:t>https://doi.org/10.1007/S11135-017-0574-8</w:t>
        </w:r>
      </w:hyperlink>
      <w:r w:rsidRPr="00D53237">
        <w:rPr>
          <w:rFonts w:ascii="Times New Roman" w:eastAsia="Times New Roman" w:hAnsi="Times New Roman" w:cs="Times New Roman"/>
          <w:sz w:val="24"/>
          <w:szCs w:val="24"/>
          <w:lang w:eastAsia="en-GB"/>
        </w:rPr>
        <w:t>.</w:t>
      </w:r>
    </w:p>
    <w:p w14:paraId="7FC3AD6D" w14:textId="77777777" w:rsidR="00924347" w:rsidRPr="00D53237" w:rsidRDefault="00924347" w:rsidP="00924347">
      <w:pPr>
        <w:spacing w:after="0" w:line="240" w:lineRule="auto"/>
        <w:rPr>
          <w:rFonts w:ascii="Times New Roman" w:eastAsia="Times New Roman" w:hAnsi="Times New Roman" w:cs="Times New Roman"/>
          <w:sz w:val="24"/>
          <w:szCs w:val="24"/>
          <w:lang w:eastAsia="en-GB"/>
        </w:rPr>
      </w:pPr>
    </w:p>
    <w:p w14:paraId="10E12EA7" w14:textId="77777777" w:rsidR="00924347" w:rsidRPr="00D53237" w:rsidRDefault="00924347" w:rsidP="00924347">
      <w:pPr>
        <w:spacing w:after="0" w:line="240" w:lineRule="auto"/>
        <w:rPr>
          <w:rFonts w:ascii="Times New Roman" w:eastAsia="Times New Roman" w:hAnsi="Times New Roman" w:cs="Times New Roman"/>
          <w:sz w:val="24"/>
          <w:szCs w:val="24"/>
          <w:lang w:eastAsia="en-GB"/>
        </w:rPr>
      </w:pPr>
      <w:r w:rsidRPr="00D53237">
        <w:rPr>
          <w:rFonts w:ascii="Times New Roman" w:eastAsia="Times New Roman" w:hAnsi="Times New Roman" w:cs="Times New Roman"/>
          <w:sz w:val="24"/>
          <w:szCs w:val="24"/>
          <w:lang w:eastAsia="en-GB"/>
        </w:rPr>
        <w:lastRenderedPageBreak/>
        <w:t xml:space="preserve">Sedgwick, P. (2015) “Confidence intervals, P values, and statistical significance,” </w:t>
      </w:r>
      <w:r w:rsidRPr="00D53237">
        <w:rPr>
          <w:rFonts w:ascii="Times New Roman" w:eastAsia="Times New Roman" w:hAnsi="Times New Roman" w:cs="Times New Roman"/>
          <w:i/>
          <w:iCs/>
          <w:sz w:val="24"/>
          <w:szCs w:val="24"/>
          <w:lang w:eastAsia="en-GB"/>
        </w:rPr>
        <w:t>BMJ</w:t>
      </w:r>
      <w:r w:rsidRPr="00D53237">
        <w:rPr>
          <w:rFonts w:ascii="Times New Roman" w:eastAsia="Times New Roman" w:hAnsi="Times New Roman" w:cs="Times New Roman"/>
          <w:sz w:val="24"/>
          <w:szCs w:val="24"/>
          <w:lang w:eastAsia="en-GB"/>
        </w:rPr>
        <w:t xml:space="preserve">, 350. Available at: </w:t>
      </w:r>
      <w:hyperlink r:id="rId37" w:history="1">
        <w:r w:rsidRPr="00D53237">
          <w:rPr>
            <w:rStyle w:val="Hyperlink"/>
            <w:rFonts w:ascii="Times New Roman" w:eastAsia="Times New Roman" w:hAnsi="Times New Roman" w:cs="Times New Roman"/>
            <w:sz w:val="24"/>
            <w:szCs w:val="24"/>
            <w:lang w:eastAsia="en-GB"/>
          </w:rPr>
          <w:t>https://doi.org/10.1136/BMJ.H1113</w:t>
        </w:r>
      </w:hyperlink>
      <w:r w:rsidRPr="00D53237">
        <w:rPr>
          <w:rFonts w:ascii="Times New Roman" w:eastAsia="Times New Roman" w:hAnsi="Times New Roman" w:cs="Times New Roman"/>
          <w:sz w:val="24"/>
          <w:szCs w:val="24"/>
          <w:lang w:eastAsia="en-GB"/>
        </w:rPr>
        <w:t>.</w:t>
      </w:r>
    </w:p>
    <w:p w14:paraId="29C7807B" w14:textId="77777777" w:rsidR="00924347" w:rsidRPr="00D53237" w:rsidRDefault="00924347" w:rsidP="00924347">
      <w:pPr>
        <w:spacing w:after="0" w:line="240" w:lineRule="auto"/>
        <w:rPr>
          <w:rFonts w:ascii="Times New Roman" w:eastAsia="Times New Roman" w:hAnsi="Times New Roman" w:cs="Times New Roman"/>
          <w:sz w:val="24"/>
          <w:szCs w:val="24"/>
          <w:lang w:eastAsia="en-GB"/>
        </w:rPr>
      </w:pPr>
    </w:p>
    <w:p w14:paraId="6598B0EB" w14:textId="77777777" w:rsidR="00924347" w:rsidRPr="00D53237" w:rsidRDefault="00924347" w:rsidP="00924347">
      <w:pPr>
        <w:spacing w:after="0" w:line="240" w:lineRule="auto"/>
        <w:rPr>
          <w:rFonts w:ascii="Times New Roman" w:eastAsia="Times New Roman" w:hAnsi="Times New Roman" w:cs="Times New Roman"/>
          <w:sz w:val="24"/>
          <w:szCs w:val="24"/>
          <w:lang w:eastAsia="en-GB"/>
        </w:rPr>
      </w:pPr>
      <w:proofErr w:type="spellStart"/>
      <w:r w:rsidRPr="00D53237">
        <w:rPr>
          <w:rFonts w:ascii="Times New Roman" w:eastAsia="Times New Roman" w:hAnsi="Times New Roman" w:cs="Times New Roman"/>
          <w:sz w:val="24"/>
          <w:szCs w:val="24"/>
          <w:lang w:eastAsia="en-GB"/>
        </w:rPr>
        <w:t>Stalmeijer</w:t>
      </w:r>
      <w:proofErr w:type="spellEnd"/>
      <w:r w:rsidRPr="00D53237">
        <w:rPr>
          <w:rFonts w:ascii="Times New Roman" w:eastAsia="Times New Roman" w:hAnsi="Times New Roman" w:cs="Times New Roman"/>
          <w:sz w:val="24"/>
          <w:szCs w:val="24"/>
          <w:lang w:eastAsia="en-GB"/>
        </w:rPr>
        <w:t xml:space="preserve">, R.E., Brown, M.E.L. and O’Brien, B.C. (2024) “How to discuss transferability of qualitative research in health professions education,” </w:t>
      </w:r>
      <w:r w:rsidRPr="00D53237">
        <w:rPr>
          <w:rFonts w:ascii="Times New Roman" w:eastAsia="Times New Roman" w:hAnsi="Times New Roman" w:cs="Times New Roman"/>
          <w:i/>
          <w:iCs/>
          <w:sz w:val="24"/>
          <w:szCs w:val="24"/>
          <w:lang w:eastAsia="en-GB"/>
        </w:rPr>
        <w:t>Clinical Teacher</w:t>
      </w:r>
      <w:r w:rsidRPr="00D53237">
        <w:rPr>
          <w:rFonts w:ascii="Times New Roman" w:eastAsia="Times New Roman" w:hAnsi="Times New Roman" w:cs="Times New Roman"/>
          <w:sz w:val="24"/>
          <w:szCs w:val="24"/>
          <w:lang w:eastAsia="en-GB"/>
        </w:rPr>
        <w:t xml:space="preserve">, 21(6), p. e13762. Available at: </w:t>
      </w:r>
      <w:hyperlink r:id="rId38" w:history="1">
        <w:r w:rsidRPr="00D53237">
          <w:rPr>
            <w:rStyle w:val="Hyperlink"/>
            <w:rFonts w:ascii="Times New Roman" w:eastAsia="Times New Roman" w:hAnsi="Times New Roman" w:cs="Times New Roman"/>
            <w:sz w:val="24"/>
            <w:szCs w:val="24"/>
            <w:lang w:eastAsia="en-GB"/>
          </w:rPr>
          <w:t>https://doi.org/10.1111/TCT.13762;SUBPAGE:STRING:FRAMEDPDF;PAGE:STRING:ARTICLE/CHAPTER</w:t>
        </w:r>
      </w:hyperlink>
      <w:r w:rsidRPr="00D53237">
        <w:rPr>
          <w:rFonts w:ascii="Times New Roman" w:eastAsia="Times New Roman" w:hAnsi="Times New Roman" w:cs="Times New Roman"/>
          <w:sz w:val="24"/>
          <w:szCs w:val="24"/>
          <w:lang w:eastAsia="en-GB"/>
        </w:rPr>
        <w:t>.</w:t>
      </w:r>
    </w:p>
    <w:p w14:paraId="2DC81717" w14:textId="77777777" w:rsidR="00924347" w:rsidRPr="00D53237" w:rsidRDefault="00924347" w:rsidP="00924347">
      <w:pPr>
        <w:spacing w:after="0" w:line="240" w:lineRule="auto"/>
        <w:rPr>
          <w:rFonts w:ascii="Times New Roman" w:eastAsia="Times New Roman" w:hAnsi="Times New Roman" w:cs="Times New Roman"/>
          <w:sz w:val="24"/>
          <w:szCs w:val="24"/>
          <w:lang w:eastAsia="en-GB"/>
        </w:rPr>
      </w:pPr>
    </w:p>
    <w:p w14:paraId="702AA086" w14:textId="77777777" w:rsidR="00924347" w:rsidRPr="00D53237" w:rsidRDefault="00924347" w:rsidP="00924347">
      <w:pPr>
        <w:spacing w:after="0" w:line="240" w:lineRule="auto"/>
        <w:rPr>
          <w:rFonts w:ascii="Times New Roman" w:eastAsia="Times New Roman" w:hAnsi="Times New Roman" w:cs="Times New Roman"/>
          <w:sz w:val="24"/>
          <w:szCs w:val="24"/>
          <w:lang w:eastAsia="en-GB"/>
        </w:rPr>
      </w:pPr>
      <w:r w:rsidRPr="00D53237">
        <w:rPr>
          <w:rFonts w:ascii="Times New Roman" w:eastAsia="Times New Roman" w:hAnsi="Times New Roman" w:cs="Times New Roman"/>
          <w:sz w:val="24"/>
          <w:szCs w:val="24"/>
          <w:lang w:eastAsia="en-GB"/>
        </w:rPr>
        <w:t xml:space="preserve">Sullivan, G.M. and Anthony R </w:t>
      </w:r>
      <w:proofErr w:type="spellStart"/>
      <w:r w:rsidRPr="00D53237">
        <w:rPr>
          <w:rFonts w:ascii="Times New Roman" w:eastAsia="Times New Roman" w:hAnsi="Times New Roman" w:cs="Times New Roman"/>
          <w:sz w:val="24"/>
          <w:szCs w:val="24"/>
          <w:lang w:eastAsia="en-GB"/>
        </w:rPr>
        <w:t>Artino</w:t>
      </w:r>
      <w:proofErr w:type="spellEnd"/>
      <w:r w:rsidRPr="00D53237">
        <w:rPr>
          <w:rFonts w:ascii="Times New Roman" w:eastAsia="Times New Roman" w:hAnsi="Times New Roman" w:cs="Times New Roman"/>
          <w:sz w:val="24"/>
          <w:szCs w:val="24"/>
          <w:lang w:eastAsia="en-GB"/>
        </w:rPr>
        <w:t>, J. (2013) “</w:t>
      </w:r>
      <w:proofErr w:type="spellStart"/>
      <w:r w:rsidRPr="00D53237">
        <w:rPr>
          <w:rFonts w:ascii="Times New Roman" w:eastAsia="Times New Roman" w:hAnsi="Times New Roman" w:cs="Times New Roman"/>
          <w:sz w:val="24"/>
          <w:szCs w:val="24"/>
          <w:lang w:eastAsia="en-GB"/>
        </w:rPr>
        <w:t>Analyzing</w:t>
      </w:r>
      <w:proofErr w:type="spellEnd"/>
      <w:r w:rsidRPr="00D53237">
        <w:rPr>
          <w:rFonts w:ascii="Times New Roman" w:eastAsia="Times New Roman" w:hAnsi="Times New Roman" w:cs="Times New Roman"/>
          <w:sz w:val="24"/>
          <w:szCs w:val="24"/>
          <w:lang w:eastAsia="en-GB"/>
        </w:rPr>
        <w:t xml:space="preserve"> and Interpreting Data </w:t>
      </w:r>
      <w:proofErr w:type="gramStart"/>
      <w:r w:rsidRPr="00D53237">
        <w:rPr>
          <w:rFonts w:ascii="Times New Roman" w:eastAsia="Times New Roman" w:hAnsi="Times New Roman" w:cs="Times New Roman"/>
          <w:sz w:val="24"/>
          <w:szCs w:val="24"/>
          <w:lang w:eastAsia="en-GB"/>
        </w:rPr>
        <w:t>From</w:t>
      </w:r>
      <w:proofErr w:type="gramEnd"/>
      <w:r w:rsidRPr="00D53237">
        <w:rPr>
          <w:rFonts w:ascii="Times New Roman" w:eastAsia="Times New Roman" w:hAnsi="Times New Roman" w:cs="Times New Roman"/>
          <w:sz w:val="24"/>
          <w:szCs w:val="24"/>
          <w:lang w:eastAsia="en-GB"/>
        </w:rPr>
        <w:t xml:space="preserve"> Likert-Type Scales,” </w:t>
      </w:r>
      <w:r w:rsidRPr="00D53237">
        <w:rPr>
          <w:rFonts w:ascii="Times New Roman" w:eastAsia="Times New Roman" w:hAnsi="Times New Roman" w:cs="Times New Roman"/>
          <w:i/>
          <w:iCs/>
          <w:sz w:val="24"/>
          <w:szCs w:val="24"/>
          <w:lang w:eastAsia="en-GB"/>
        </w:rPr>
        <w:t>Journal of Graduate Medical Education</w:t>
      </w:r>
      <w:r w:rsidRPr="00D53237">
        <w:rPr>
          <w:rFonts w:ascii="Times New Roman" w:eastAsia="Times New Roman" w:hAnsi="Times New Roman" w:cs="Times New Roman"/>
          <w:sz w:val="24"/>
          <w:szCs w:val="24"/>
          <w:lang w:eastAsia="en-GB"/>
        </w:rPr>
        <w:t xml:space="preserve">, 5(4), p. 541. Available at: </w:t>
      </w:r>
      <w:hyperlink r:id="rId39" w:history="1">
        <w:r w:rsidRPr="00D53237">
          <w:rPr>
            <w:rStyle w:val="Hyperlink"/>
            <w:rFonts w:ascii="Times New Roman" w:eastAsia="Times New Roman" w:hAnsi="Times New Roman" w:cs="Times New Roman"/>
            <w:sz w:val="24"/>
            <w:szCs w:val="24"/>
            <w:lang w:eastAsia="en-GB"/>
          </w:rPr>
          <w:t>https://doi.org/10.4300/JGME-5-4-18</w:t>
        </w:r>
      </w:hyperlink>
      <w:r w:rsidRPr="00D53237">
        <w:rPr>
          <w:rFonts w:ascii="Times New Roman" w:eastAsia="Times New Roman" w:hAnsi="Times New Roman" w:cs="Times New Roman"/>
          <w:sz w:val="24"/>
          <w:szCs w:val="24"/>
          <w:lang w:eastAsia="en-GB"/>
        </w:rPr>
        <w:t>.</w:t>
      </w:r>
    </w:p>
    <w:p w14:paraId="2E5D2659" w14:textId="77777777" w:rsidR="00924347" w:rsidRPr="00D53237" w:rsidRDefault="00924347" w:rsidP="00924347">
      <w:pPr>
        <w:spacing w:after="0" w:line="240" w:lineRule="auto"/>
        <w:rPr>
          <w:rFonts w:ascii="Times New Roman" w:eastAsia="Times New Roman" w:hAnsi="Times New Roman" w:cs="Times New Roman"/>
          <w:sz w:val="24"/>
          <w:szCs w:val="24"/>
          <w:lang w:eastAsia="en-GB"/>
        </w:rPr>
      </w:pPr>
    </w:p>
    <w:p w14:paraId="4694ECF0" w14:textId="77777777" w:rsidR="00924347" w:rsidRPr="00D53237" w:rsidRDefault="00924347" w:rsidP="00924347">
      <w:pPr>
        <w:spacing w:after="0" w:line="240" w:lineRule="auto"/>
        <w:rPr>
          <w:rFonts w:ascii="Times New Roman" w:eastAsia="Times New Roman" w:hAnsi="Times New Roman" w:cs="Times New Roman"/>
          <w:sz w:val="24"/>
          <w:szCs w:val="24"/>
          <w:lang w:eastAsia="en-GB"/>
        </w:rPr>
      </w:pPr>
      <w:r w:rsidRPr="00D53237">
        <w:rPr>
          <w:rFonts w:ascii="Times New Roman" w:eastAsia="Times New Roman" w:hAnsi="Times New Roman" w:cs="Times New Roman"/>
          <w:sz w:val="24"/>
          <w:szCs w:val="24"/>
          <w:lang w:eastAsia="en-GB"/>
        </w:rPr>
        <w:t xml:space="preserve">Sutton, D.E. </w:t>
      </w:r>
      <w:r w:rsidRPr="00D53237">
        <w:rPr>
          <w:rFonts w:ascii="Times New Roman" w:eastAsia="Times New Roman" w:hAnsi="Times New Roman" w:cs="Times New Roman"/>
          <w:i/>
          <w:iCs/>
          <w:sz w:val="24"/>
          <w:szCs w:val="24"/>
          <w:lang w:eastAsia="en-GB"/>
        </w:rPr>
        <w:t>et al.</w:t>
      </w:r>
      <w:r w:rsidRPr="00D53237">
        <w:rPr>
          <w:rFonts w:ascii="Times New Roman" w:eastAsia="Times New Roman" w:hAnsi="Times New Roman" w:cs="Times New Roman"/>
          <w:sz w:val="24"/>
          <w:szCs w:val="24"/>
          <w:lang w:eastAsia="en-GB"/>
        </w:rPr>
        <w:t xml:space="preserve"> (2020) “Defining an Essential Clinical Dataset for Admission Patient History to Reduce Nursing Documentation Burden,” </w:t>
      </w:r>
      <w:r w:rsidRPr="00D53237">
        <w:rPr>
          <w:rFonts w:ascii="Times New Roman" w:eastAsia="Times New Roman" w:hAnsi="Times New Roman" w:cs="Times New Roman"/>
          <w:i/>
          <w:iCs/>
          <w:sz w:val="24"/>
          <w:szCs w:val="24"/>
          <w:lang w:eastAsia="en-GB"/>
        </w:rPr>
        <w:t>Applied Clinical Informatics</w:t>
      </w:r>
      <w:r w:rsidRPr="00D53237">
        <w:rPr>
          <w:rFonts w:ascii="Times New Roman" w:eastAsia="Times New Roman" w:hAnsi="Times New Roman" w:cs="Times New Roman"/>
          <w:sz w:val="24"/>
          <w:szCs w:val="24"/>
          <w:lang w:eastAsia="en-GB"/>
        </w:rPr>
        <w:t xml:space="preserve">, 11(3), pp. 464–473. Available at: </w:t>
      </w:r>
      <w:hyperlink r:id="rId40" w:history="1">
        <w:r w:rsidRPr="00D53237">
          <w:rPr>
            <w:rStyle w:val="Hyperlink"/>
            <w:rFonts w:ascii="Times New Roman" w:eastAsia="Times New Roman" w:hAnsi="Times New Roman" w:cs="Times New Roman"/>
            <w:sz w:val="24"/>
            <w:szCs w:val="24"/>
            <w:lang w:eastAsia="en-GB"/>
          </w:rPr>
          <w:t>https://doi.org/10.1055/S-0040-1713634/ID/OR190239SOA-17/BIB</w:t>
        </w:r>
      </w:hyperlink>
      <w:r w:rsidRPr="00D53237">
        <w:rPr>
          <w:rFonts w:ascii="Times New Roman" w:eastAsia="Times New Roman" w:hAnsi="Times New Roman" w:cs="Times New Roman"/>
          <w:sz w:val="24"/>
          <w:szCs w:val="24"/>
          <w:lang w:eastAsia="en-GB"/>
        </w:rPr>
        <w:t>.</w:t>
      </w:r>
    </w:p>
    <w:p w14:paraId="5A528D66" w14:textId="77777777" w:rsidR="00924347" w:rsidRPr="00D53237" w:rsidRDefault="00924347" w:rsidP="00924347">
      <w:pPr>
        <w:spacing w:after="0" w:line="240" w:lineRule="auto"/>
        <w:rPr>
          <w:rFonts w:ascii="Times New Roman" w:eastAsia="Times New Roman" w:hAnsi="Times New Roman" w:cs="Times New Roman"/>
          <w:sz w:val="24"/>
          <w:szCs w:val="24"/>
          <w:lang w:eastAsia="en-GB"/>
        </w:rPr>
      </w:pPr>
    </w:p>
    <w:p w14:paraId="2C077692" w14:textId="77777777" w:rsidR="00924347" w:rsidRPr="00D53237" w:rsidRDefault="00924347" w:rsidP="00924347">
      <w:pPr>
        <w:spacing w:after="0" w:line="240" w:lineRule="auto"/>
        <w:rPr>
          <w:rFonts w:ascii="Times New Roman" w:eastAsia="Times New Roman" w:hAnsi="Times New Roman" w:cs="Times New Roman"/>
          <w:sz w:val="24"/>
          <w:szCs w:val="24"/>
          <w:lang w:eastAsia="en-GB"/>
        </w:rPr>
      </w:pPr>
      <w:proofErr w:type="spellStart"/>
      <w:r w:rsidRPr="00D53237">
        <w:rPr>
          <w:rFonts w:ascii="Times New Roman" w:eastAsia="Times New Roman" w:hAnsi="Times New Roman" w:cs="Times New Roman"/>
          <w:sz w:val="24"/>
          <w:szCs w:val="24"/>
          <w:lang w:eastAsia="en-GB"/>
        </w:rPr>
        <w:t>Thate</w:t>
      </w:r>
      <w:proofErr w:type="spellEnd"/>
      <w:r w:rsidRPr="00D53237">
        <w:rPr>
          <w:rFonts w:ascii="Times New Roman" w:eastAsia="Times New Roman" w:hAnsi="Times New Roman" w:cs="Times New Roman"/>
          <w:sz w:val="24"/>
          <w:szCs w:val="24"/>
          <w:lang w:eastAsia="en-GB"/>
        </w:rPr>
        <w:t xml:space="preserve">, J. </w:t>
      </w:r>
      <w:r w:rsidRPr="00D53237">
        <w:rPr>
          <w:rFonts w:ascii="Times New Roman" w:eastAsia="Times New Roman" w:hAnsi="Times New Roman" w:cs="Times New Roman"/>
          <w:i/>
          <w:iCs/>
          <w:sz w:val="24"/>
          <w:szCs w:val="24"/>
          <w:lang w:eastAsia="en-GB"/>
        </w:rPr>
        <w:t>et al.</w:t>
      </w:r>
      <w:r w:rsidRPr="00D53237">
        <w:rPr>
          <w:rFonts w:ascii="Times New Roman" w:eastAsia="Times New Roman" w:hAnsi="Times New Roman" w:cs="Times New Roman"/>
          <w:sz w:val="24"/>
          <w:szCs w:val="24"/>
          <w:lang w:eastAsia="en-GB"/>
        </w:rPr>
        <w:t xml:space="preserve"> (2025) “Choosing between Patient Care Needs and Accurate Data Capture: Exploring Nurses’ Experiences of Excessive Documentation Burden,” </w:t>
      </w:r>
      <w:r w:rsidRPr="00D53237">
        <w:rPr>
          <w:rFonts w:ascii="Times New Roman" w:eastAsia="Times New Roman" w:hAnsi="Times New Roman" w:cs="Times New Roman"/>
          <w:i/>
          <w:iCs/>
          <w:sz w:val="24"/>
          <w:szCs w:val="24"/>
          <w:lang w:eastAsia="en-GB"/>
        </w:rPr>
        <w:t>Applied clinical informatics</w:t>
      </w:r>
      <w:r w:rsidRPr="00D53237">
        <w:rPr>
          <w:rFonts w:ascii="Times New Roman" w:eastAsia="Times New Roman" w:hAnsi="Times New Roman" w:cs="Times New Roman"/>
          <w:sz w:val="24"/>
          <w:szCs w:val="24"/>
          <w:lang w:eastAsia="en-GB"/>
        </w:rPr>
        <w:t xml:space="preserve">, 16(4), pp. 1231–1243. Available at: </w:t>
      </w:r>
      <w:hyperlink r:id="rId41" w:history="1">
        <w:r w:rsidRPr="00D53237">
          <w:rPr>
            <w:rStyle w:val="Hyperlink"/>
            <w:rFonts w:ascii="Times New Roman" w:eastAsia="Times New Roman" w:hAnsi="Times New Roman" w:cs="Times New Roman"/>
            <w:sz w:val="24"/>
            <w:szCs w:val="24"/>
            <w:lang w:eastAsia="en-GB"/>
          </w:rPr>
          <w:t>https://doi.org/10.1055/A-2683-5752</w:t>
        </w:r>
      </w:hyperlink>
      <w:r w:rsidRPr="00D53237">
        <w:rPr>
          <w:rFonts w:ascii="Times New Roman" w:eastAsia="Times New Roman" w:hAnsi="Times New Roman" w:cs="Times New Roman"/>
          <w:sz w:val="24"/>
          <w:szCs w:val="24"/>
          <w:lang w:eastAsia="en-GB"/>
        </w:rPr>
        <w:t>.</w:t>
      </w:r>
    </w:p>
    <w:p w14:paraId="355C83D3" w14:textId="77777777" w:rsidR="00924347" w:rsidRPr="00D53237" w:rsidRDefault="00924347" w:rsidP="00924347">
      <w:pPr>
        <w:spacing w:after="0" w:line="240" w:lineRule="auto"/>
        <w:rPr>
          <w:rFonts w:ascii="Times New Roman" w:eastAsia="Times New Roman" w:hAnsi="Times New Roman" w:cs="Times New Roman"/>
          <w:sz w:val="24"/>
          <w:szCs w:val="24"/>
          <w:lang w:eastAsia="en-GB"/>
        </w:rPr>
      </w:pPr>
    </w:p>
    <w:p w14:paraId="393A05C0" w14:textId="77777777" w:rsidR="00924347" w:rsidRPr="00D53237" w:rsidRDefault="00924347" w:rsidP="00924347">
      <w:pPr>
        <w:spacing w:after="0" w:line="240" w:lineRule="auto"/>
        <w:rPr>
          <w:rFonts w:ascii="Times New Roman" w:eastAsia="Times New Roman" w:hAnsi="Times New Roman" w:cs="Times New Roman"/>
          <w:sz w:val="24"/>
          <w:szCs w:val="24"/>
          <w:lang w:eastAsia="en-GB"/>
        </w:rPr>
      </w:pPr>
      <w:r w:rsidRPr="00D53237">
        <w:rPr>
          <w:rFonts w:ascii="Times New Roman" w:eastAsia="Times New Roman" w:hAnsi="Times New Roman" w:cs="Times New Roman"/>
          <w:sz w:val="24"/>
          <w:szCs w:val="24"/>
          <w:lang w:eastAsia="en-GB"/>
        </w:rPr>
        <w:t>The Data Protection Act (2018) c.12 Available at:</w:t>
      </w:r>
      <w:r w:rsidRPr="00D53237">
        <w:rPr>
          <w:rFonts w:ascii="Times New Roman" w:hAnsi="Times New Roman" w:cs="Times New Roman"/>
          <w:sz w:val="24"/>
          <w:szCs w:val="24"/>
        </w:rPr>
        <w:t xml:space="preserve"> </w:t>
      </w:r>
      <w:hyperlink r:id="rId42" w:history="1">
        <w:r w:rsidRPr="00D53237">
          <w:rPr>
            <w:rFonts w:ascii="Times New Roman" w:hAnsi="Times New Roman" w:cs="Times New Roman"/>
            <w:color w:val="0000FF"/>
            <w:sz w:val="24"/>
            <w:szCs w:val="24"/>
            <w:u w:val="single"/>
          </w:rPr>
          <w:t>Data Protection Act 2018 (legislation.gov.uk)</w:t>
        </w:r>
      </w:hyperlink>
      <w:r w:rsidRPr="00D53237">
        <w:rPr>
          <w:rFonts w:ascii="Times New Roman" w:hAnsi="Times New Roman" w:cs="Times New Roman"/>
          <w:sz w:val="24"/>
          <w:szCs w:val="24"/>
        </w:rPr>
        <w:t xml:space="preserve"> accessed 12.4.26</w:t>
      </w:r>
      <w:r w:rsidRPr="00D53237">
        <w:rPr>
          <w:rFonts w:ascii="Times New Roman" w:eastAsia="Times New Roman" w:hAnsi="Times New Roman" w:cs="Times New Roman"/>
          <w:sz w:val="24"/>
          <w:szCs w:val="24"/>
          <w:lang w:eastAsia="en-GB"/>
        </w:rPr>
        <w:t xml:space="preserve">  </w:t>
      </w:r>
    </w:p>
    <w:p w14:paraId="01FB7743" w14:textId="77777777" w:rsidR="00924347" w:rsidRPr="00D53237" w:rsidRDefault="00924347" w:rsidP="00924347">
      <w:pPr>
        <w:spacing w:after="0" w:line="240" w:lineRule="auto"/>
        <w:rPr>
          <w:rFonts w:ascii="Times New Roman" w:eastAsia="Times New Roman" w:hAnsi="Times New Roman" w:cs="Times New Roman"/>
          <w:sz w:val="24"/>
          <w:szCs w:val="24"/>
          <w:lang w:eastAsia="en-GB"/>
        </w:rPr>
      </w:pPr>
    </w:p>
    <w:p w14:paraId="271AF705" w14:textId="77777777" w:rsidR="00924347" w:rsidRPr="00D53237" w:rsidRDefault="00924347" w:rsidP="00924347">
      <w:pPr>
        <w:spacing w:after="0" w:line="240" w:lineRule="auto"/>
        <w:rPr>
          <w:rFonts w:ascii="Times New Roman" w:eastAsia="Times New Roman" w:hAnsi="Times New Roman" w:cs="Times New Roman"/>
          <w:sz w:val="24"/>
          <w:szCs w:val="24"/>
          <w:lang w:eastAsia="en-GB"/>
        </w:rPr>
      </w:pPr>
      <w:r w:rsidRPr="00D53237">
        <w:rPr>
          <w:rFonts w:ascii="Times New Roman" w:eastAsia="Times New Roman" w:hAnsi="Times New Roman" w:cs="Times New Roman"/>
          <w:sz w:val="24"/>
          <w:szCs w:val="24"/>
          <w:lang w:eastAsia="en-GB"/>
        </w:rPr>
        <w:t xml:space="preserve">Tsai, C.H. </w:t>
      </w:r>
      <w:r w:rsidRPr="00D53237">
        <w:rPr>
          <w:rFonts w:ascii="Times New Roman" w:eastAsia="Times New Roman" w:hAnsi="Times New Roman" w:cs="Times New Roman"/>
          <w:i/>
          <w:iCs/>
          <w:sz w:val="24"/>
          <w:szCs w:val="24"/>
          <w:lang w:eastAsia="en-GB"/>
        </w:rPr>
        <w:t>et al.</w:t>
      </w:r>
      <w:r w:rsidRPr="00D53237">
        <w:rPr>
          <w:rFonts w:ascii="Times New Roman" w:eastAsia="Times New Roman" w:hAnsi="Times New Roman" w:cs="Times New Roman"/>
          <w:sz w:val="24"/>
          <w:szCs w:val="24"/>
          <w:lang w:eastAsia="en-GB"/>
        </w:rPr>
        <w:t xml:space="preserve"> (2020) “Effects of Electronic Health Record Implementation and Barriers to Adoption and Use: A Scoping Review and Qualitative Analysis of the Content,” </w:t>
      </w:r>
      <w:r w:rsidRPr="00D53237">
        <w:rPr>
          <w:rFonts w:ascii="Times New Roman" w:eastAsia="Times New Roman" w:hAnsi="Times New Roman" w:cs="Times New Roman"/>
          <w:i/>
          <w:iCs/>
          <w:sz w:val="24"/>
          <w:szCs w:val="24"/>
          <w:lang w:eastAsia="en-GB"/>
        </w:rPr>
        <w:t>Life 2020, Vol. 10, Page 327</w:t>
      </w:r>
      <w:r w:rsidRPr="00D53237">
        <w:rPr>
          <w:rFonts w:ascii="Times New Roman" w:eastAsia="Times New Roman" w:hAnsi="Times New Roman" w:cs="Times New Roman"/>
          <w:sz w:val="24"/>
          <w:szCs w:val="24"/>
          <w:lang w:eastAsia="en-GB"/>
        </w:rPr>
        <w:t xml:space="preserve">, 10(12), p. 327. Available at: </w:t>
      </w:r>
      <w:hyperlink r:id="rId43" w:history="1">
        <w:r w:rsidRPr="00D53237">
          <w:rPr>
            <w:rStyle w:val="Hyperlink"/>
            <w:rFonts w:ascii="Times New Roman" w:eastAsia="Times New Roman" w:hAnsi="Times New Roman" w:cs="Times New Roman"/>
            <w:sz w:val="24"/>
            <w:szCs w:val="24"/>
            <w:lang w:eastAsia="en-GB"/>
          </w:rPr>
          <w:t>https://doi.org/10.3390/LIFE10120327</w:t>
        </w:r>
      </w:hyperlink>
      <w:r w:rsidRPr="00D53237">
        <w:rPr>
          <w:rFonts w:ascii="Times New Roman" w:eastAsia="Times New Roman" w:hAnsi="Times New Roman" w:cs="Times New Roman"/>
          <w:sz w:val="24"/>
          <w:szCs w:val="24"/>
          <w:lang w:eastAsia="en-GB"/>
        </w:rPr>
        <w:t>.</w:t>
      </w:r>
    </w:p>
    <w:p w14:paraId="50833EB4" w14:textId="77777777" w:rsidR="00924347" w:rsidRPr="00D53237" w:rsidRDefault="00924347" w:rsidP="00924347">
      <w:pPr>
        <w:spacing w:after="0" w:line="240" w:lineRule="auto"/>
        <w:rPr>
          <w:rFonts w:ascii="Times New Roman" w:eastAsia="Times New Roman" w:hAnsi="Times New Roman" w:cs="Times New Roman"/>
          <w:sz w:val="24"/>
          <w:szCs w:val="24"/>
          <w:lang w:eastAsia="en-GB"/>
        </w:rPr>
      </w:pPr>
    </w:p>
    <w:p w14:paraId="56095F99" w14:textId="43476759" w:rsidR="00924347" w:rsidRPr="00D53237" w:rsidRDefault="00924347" w:rsidP="00924347">
      <w:pPr>
        <w:spacing w:after="0" w:line="240" w:lineRule="auto"/>
        <w:rPr>
          <w:rFonts w:ascii="Times New Roman" w:hAnsi="Times New Roman" w:cs="Times New Roman"/>
          <w:sz w:val="24"/>
          <w:szCs w:val="24"/>
        </w:rPr>
      </w:pPr>
      <w:r w:rsidRPr="00D53237">
        <w:rPr>
          <w:rFonts w:ascii="Times New Roman" w:hAnsi="Times New Roman" w:cs="Times New Roman"/>
          <w:sz w:val="24"/>
          <w:szCs w:val="24"/>
        </w:rPr>
        <w:t xml:space="preserve">University of Wales Trinity Saint David (UWTSD) (2025) ‘Research Ethics and Integrity Policy 2025-2026’ Available at: </w:t>
      </w:r>
      <w:hyperlink r:id="rId44" w:history="1">
        <w:r w:rsidRPr="00D53237">
          <w:rPr>
            <w:rFonts w:ascii="Times New Roman" w:hAnsi="Times New Roman" w:cs="Times New Roman"/>
            <w:color w:val="0000FF"/>
            <w:sz w:val="24"/>
            <w:szCs w:val="24"/>
            <w:u w:val="single"/>
          </w:rPr>
          <w:t>Research Integrity and Ethics | University of Wales Trinity Saint David</w:t>
        </w:r>
      </w:hyperlink>
      <w:r w:rsidRPr="00D53237">
        <w:rPr>
          <w:rFonts w:ascii="Times New Roman" w:hAnsi="Times New Roman" w:cs="Times New Roman"/>
          <w:sz w:val="24"/>
          <w:szCs w:val="24"/>
        </w:rPr>
        <w:t xml:space="preserve">  Accessed on: 16.4.26</w:t>
      </w:r>
    </w:p>
    <w:p w14:paraId="25549F25" w14:textId="3A6A11CD" w:rsidR="000C4596" w:rsidRPr="00D53237" w:rsidRDefault="000C4596" w:rsidP="00924347">
      <w:pPr>
        <w:spacing w:after="0" w:line="240" w:lineRule="auto"/>
        <w:rPr>
          <w:rFonts w:ascii="Times New Roman" w:hAnsi="Times New Roman" w:cs="Times New Roman"/>
          <w:sz w:val="24"/>
          <w:szCs w:val="24"/>
        </w:rPr>
      </w:pPr>
    </w:p>
    <w:p w14:paraId="4E1F3E35" w14:textId="2F632136" w:rsidR="000C4596" w:rsidRPr="00D53237" w:rsidRDefault="000C4596" w:rsidP="000C4596">
      <w:pPr>
        <w:rPr>
          <w:rFonts w:ascii="Times New Roman" w:hAnsi="Times New Roman" w:cs="Times New Roman"/>
          <w:sz w:val="24"/>
          <w:szCs w:val="24"/>
        </w:rPr>
      </w:pPr>
      <w:r w:rsidRPr="00D53237">
        <w:rPr>
          <w:rFonts w:ascii="Times New Roman" w:eastAsia="Times New Roman" w:hAnsi="Times New Roman" w:cs="Times New Roman"/>
          <w:sz w:val="24"/>
          <w:szCs w:val="24"/>
          <w:lang w:eastAsia="en-GB"/>
        </w:rPr>
        <w:t xml:space="preserve">Welsh Assembly Government (WAG) (2021) ‘Digital Strategy for Wales’. Available at:  </w:t>
      </w:r>
      <w:hyperlink r:id="rId45" w:history="1">
        <w:r w:rsidRPr="00D53237">
          <w:rPr>
            <w:rFonts w:ascii="Times New Roman" w:hAnsi="Times New Roman" w:cs="Times New Roman"/>
            <w:color w:val="0000FF"/>
            <w:sz w:val="24"/>
            <w:szCs w:val="24"/>
          </w:rPr>
          <w:t>Digital strategy for Wales | GOV.WALES</w:t>
        </w:r>
      </w:hyperlink>
      <w:r w:rsidRPr="00D53237">
        <w:rPr>
          <w:rFonts w:ascii="Times New Roman" w:hAnsi="Times New Roman" w:cs="Times New Roman"/>
          <w:sz w:val="24"/>
          <w:szCs w:val="24"/>
        </w:rPr>
        <w:t xml:space="preserve">  accessed on 1.4.26</w:t>
      </w:r>
    </w:p>
    <w:p w14:paraId="40A5531D" w14:textId="77777777" w:rsidR="00924347" w:rsidRPr="00D53237" w:rsidRDefault="00924347" w:rsidP="00924347">
      <w:pPr>
        <w:spacing w:after="0" w:line="240" w:lineRule="auto"/>
        <w:rPr>
          <w:rFonts w:ascii="Times New Roman" w:eastAsia="Times New Roman" w:hAnsi="Times New Roman" w:cs="Times New Roman"/>
          <w:sz w:val="24"/>
          <w:szCs w:val="24"/>
          <w:lang w:eastAsia="en-GB"/>
        </w:rPr>
      </w:pPr>
    </w:p>
    <w:p w14:paraId="217253E8" w14:textId="77777777" w:rsidR="00924347" w:rsidRPr="00D53237" w:rsidRDefault="00924347" w:rsidP="00924347">
      <w:pPr>
        <w:spacing w:after="0" w:line="240" w:lineRule="auto"/>
        <w:rPr>
          <w:rFonts w:ascii="Times New Roman" w:eastAsia="Times New Roman" w:hAnsi="Times New Roman" w:cs="Times New Roman"/>
          <w:sz w:val="24"/>
          <w:szCs w:val="24"/>
          <w:lang w:eastAsia="en-GB"/>
        </w:rPr>
      </w:pPr>
      <w:r w:rsidRPr="00D53237">
        <w:rPr>
          <w:rFonts w:ascii="Times New Roman" w:eastAsia="Times New Roman" w:hAnsi="Times New Roman" w:cs="Times New Roman"/>
          <w:sz w:val="24"/>
          <w:szCs w:val="24"/>
          <w:lang w:eastAsia="en-GB"/>
        </w:rPr>
        <w:t xml:space="preserve">Walker, S.A. and </w:t>
      </w:r>
      <w:proofErr w:type="spellStart"/>
      <w:r w:rsidRPr="00D53237">
        <w:rPr>
          <w:rFonts w:ascii="Times New Roman" w:eastAsia="Times New Roman" w:hAnsi="Times New Roman" w:cs="Times New Roman"/>
          <w:sz w:val="24"/>
          <w:szCs w:val="24"/>
          <w:lang w:eastAsia="en-GB"/>
        </w:rPr>
        <w:t>MacCann</w:t>
      </w:r>
      <w:proofErr w:type="spellEnd"/>
      <w:r w:rsidRPr="00D53237">
        <w:rPr>
          <w:rFonts w:ascii="Times New Roman" w:eastAsia="Times New Roman" w:hAnsi="Times New Roman" w:cs="Times New Roman"/>
          <w:sz w:val="24"/>
          <w:szCs w:val="24"/>
          <w:lang w:eastAsia="en-GB"/>
        </w:rPr>
        <w:t xml:space="preserve">, C. (2024) “Faking Good on Self-Reports Versus Informant-Reports of Emotional Intelligence,” </w:t>
      </w:r>
      <w:r w:rsidRPr="00D53237">
        <w:rPr>
          <w:rFonts w:ascii="Times New Roman" w:eastAsia="Times New Roman" w:hAnsi="Times New Roman" w:cs="Times New Roman"/>
          <w:i/>
          <w:iCs/>
          <w:sz w:val="24"/>
          <w:szCs w:val="24"/>
          <w:lang w:eastAsia="en-GB"/>
        </w:rPr>
        <w:t>Assessment</w:t>
      </w:r>
      <w:r w:rsidRPr="00D53237">
        <w:rPr>
          <w:rFonts w:ascii="Times New Roman" w:eastAsia="Times New Roman" w:hAnsi="Times New Roman" w:cs="Times New Roman"/>
          <w:sz w:val="24"/>
          <w:szCs w:val="24"/>
          <w:lang w:eastAsia="en-GB"/>
        </w:rPr>
        <w:t xml:space="preserve">, 31(5), pp. 1011–1019. Available at: </w:t>
      </w:r>
      <w:hyperlink r:id="rId46" w:history="1">
        <w:r w:rsidRPr="00D53237">
          <w:rPr>
            <w:rStyle w:val="Hyperlink"/>
            <w:rFonts w:ascii="Times New Roman" w:eastAsia="Times New Roman" w:hAnsi="Times New Roman" w:cs="Times New Roman"/>
            <w:sz w:val="24"/>
            <w:szCs w:val="24"/>
            <w:lang w:eastAsia="en-GB"/>
          </w:rPr>
          <w:t>https://doi.org/10.1177/10731911231203960</w:t>
        </w:r>
      </w:hyperlink>
      <w:r w:rsidRPr="00D53237">
        <w:rPr>
          <w:rFonts w:ascii="Times New Roman" w:eastAsia="Times New Roman" w:hAnsi="Times New Roman" w:cs="Times New Roman"/>
          <w:sz w:val="24"/>
          <w:szCs w:val="24"/>
          <w:lang w:eastAsia="en-GB"/>
        </w:rPr>
        <w:t>.</w:t>
      </w:r>
    </w:p>
    <w:p w14:paraId="2124673C" w14:textId="77777777" w:rsidR="00924347" w:rsidRPr="00D53237" w:rsidRDefault="00924347" w:rsidP="00924347">
      <w:pPr>
        <w:spacing w:before="100" w:beforeAutospacing="1" w:after="100" w:afterAutospacing="1" w:line="240" w:lineRule="auto"/>
        <w:outlineLvl w:val="1"/>
        <w:rPr>
          <w:rFonts w:ascii="Times New Roman" w:eastAsia="Times New Roman" w:hAnsi="Times New Roman" w:cs="Times New Roman"/>
          <w:sz w:val="24"/>
          <w:szCs w:val="24"/>
          <w:lang w:eastAsia="en-GB"/>
        </w:rPr>
      </w:pPr>
      <w:r w:rsidRPr="00D53237">
        <w:rPr>
          <w:rFonts w:ascii="Times New Roman" w:eastAsia="Times New Roman" w:hAnsi="Times New Roman" w:cs="Times New Roman"/>
          <w:sz w:val="24"/>
          <w:szCs w:val="24"/>
          <w:lang w:eastAsia="en-GB"/>
        </w:rPr>
        <w:t>Williams, C (2026) ‘</w:t>
      </w:r>
      <w:r w:rsidRPr="00D53237">
        <w:rPr>
          <w:rFonts w:ascii="Times New Roman" w:eastAsia="Times New Roman" w:hAnsi="Times New Roman" w:cs="Times New Roman"/>
          <w:bCs/>
          <w:sz w:val="24"/>
          <w:szCs w:val="24"/>
          <w:lang w:eastAsia="en-GB"/>
        </w:rPr>
        <w:t xml:space="preserve">Service Transformation through People: Industry E-Portfolio of Work’ </w:t>
      </w:r>
      <w:r w:rsidRPr="00D53237">
        <w:rPr>
          <w:rFonts w:ascii="Times New Roman" w:eastAsia="Times New Roman" w:hAnsi="Times New Roman" w:cs="Times New Roman"/>
          <w:bCs/>
          <w:i/>
          <w:sz w:val="24"/>
          <w:szCs w:val="24"/>
          <w:lang w:eastAsia="en-GB"/>
        </w:rPr>
        <w:t>BMDS7010 Data Analysis.</w:t>
      </w:r>
      <w:r w:rsidRPr="00D53237">
        <w:rPr>
          <w:rFonts w:ascii="Times New Roman" w:eastAsia="Times New Roman" w:hAnsi="Times New Roman" w:cs="Times New Roman"/>
          <w:bCs/>
          <w:sz w:val="24"/>
          <w:szCs w:val="24"/>
          <w:lang w:eastAsia="en-GB"/>
        </w:rPr>
        <w:t xml:space="preserve"> UWTSD. Unpublished essay.</w:t>
      </w:r>
    </w:p>
    <w:p w14:paraId="0C991BAD" w14:textId="0DB53294" w:rsidR="00924347" w:rsidRPr="00D53237" w:rsidRDefault="00924347" w:rsidP="00924347">
      <w:pPr>
        <w:spacing w:after="0" w:line="240" w:lineRule="auto"/>
        <w:rPr>
          <w:rFonts w:ascii="Times New Roman" w:eastAsia="Times New Roman" w:hAnsi="Times New Roman" w:cs="Times New Roman"/>
          <w:sz w:val="24"/>
          <w:szCs w:val="24"/>
          <w:lang w:eastAsia="en-GB"/>
        </w:rPr>
      </w:pPr>
      <w:r w:rsidRPr="00D53237">
        <w:rPr>
          <w:rFonts w:ascii="Times New Roman" w:eastAsia="Times New Roman" w:hAnsi="Times New Roman" w:cs="Times New Roman"/>
          <w:sz w:val="24"/>
          <w:szCs w:val="24"/>
          <w:lang w:eastAsia="en-GB"/>
        </w:rPr>
        <w:t xml:space="preserve">Wisner, K., Lyndon, A. and </w:t>
      </w:r>
      <w:proofErr w:type="spellStart"/>
      <w:r w:rsidRPr="00D53237">
        <w:rPr>
          <w:rFonts w:ascii="Times New Roman" w:eastAsia="Times New Roman" w:hAnsi="Times New Roman" w:cs="Times New Roman"/>
          <w:sz w:val="24"/>
          <w:szCs w:val="24"/>
          <w:lang w:eastAsia="en-GB"/>
        </w:rPr>
        <w:t>Chesla</w:t>
      </w:r>
      <w:proofErr w:type="spellEnd"/>
      <w:r w:rsidRPr="00D53237">
        <w:rPr>
          <w:rFonts w:ascii="Times New Roman" w:eastAsia="Times New Roman" w:hAnsi="Times New Roman" w:cs="Times New Roman"/>
          <w:sz w:val="24"/>
          <w:szCs w:val="24"/>
          <w:lang w:eastAsia="en-GB"/>
        </w:rPr>
        <w:t xml:space="preserve">, C.A. (2019) “The electronic health record’s impact on nurses’ cognitive work: An integrative review,” </w:t>
      </w:r>
      <w:r w:rsidRPr="00D53237">
        <w:rPr>
          <w:rFonts w:ascii="Times New Roman" w:eastAsia="Times New Roman" w:hAnsi="Times New Roman" w:cs="Times New Roman"/>
          <w:i/>
          <w:iCs/>
          <w:sz w:val="24"/>
          <w:szCs w:val="24"/>
          <w:lang w:eastAsia="en-GB"/>
        </w:rPr>
        <w:t>International Journal of Nursing Studies</w:t>
      </w:r>
      <w:r w:rsidRPr="00D53237">
        <w:rPr>
          <w:rFonts w:ascii="Times New Roman" w:eastAsia="Times New Roman" w:hAnsi="Times New Roman" w:cs="Times New Roman"/>
          <w:sz w:val="24"/>
          <w:szCs w:val="24"/>
          <w:lang w:eastAsia="en-GB"/>
        </w:rPr>
        <w:t xml:space="preserve">, 94, pp. 74–84. Available at: </w:t>
      </w:r>
      <w:hyperlink r:id="rId47" w:history="1">
        <w:r w:rsidRPr="00D53237">
          <w:rPr>
            <w:rStyle w:val="Hyperlink"/>
            <w:rFonts w:ascii="Times New Roman" w:eastAsia="Times New Roman" w:hAnsi="Times New Roman" w:cs="Times New Roman"/>
            <w:sz w:val="24"/>
            <w:szCs w:val="24"/>
            <w:lang w:eastAsia="en-GB"/>
          </w:rPr>
          <w:t>https://doi.org/10.1016/J.IJNURSTU.2019.03.003</w:t>
        </w:r>
      </w:hyperlink>
      <w:r w:rsidRPr="00D53237">
        <w:rPr>
          <w:rFonts w:ascii="Times New Roman" w:eastAsia="Times New Roman" w:hAnsi="Times New Roman" w:cs="Times New Roman"/>
          <w:sz w:val="24"/>
          <w:szCs w:val="24"/>
          <w:lang w:eastAsia="en-GB"/>
        </w:rPr>
        <w:t>.</w:t>
      </w:r>
    </w:p>
    <w:p w14:paraId="7B6220D1" w14:textId="7E91F5F2" w:rsidR="000C4596" w:rsidRPr="00D53237" w:rsidRDefault="000C4596" w:rsidP="00924347">
      <w:pPr>
        <w:spacing w:after="0" w:line="240" w:lineRule="auto"/>
        <w:rPr>
          <w:rFonts w:ascii="Times New Roman" w:eastAsia="Times New Roman" w:hAnsi="Times New Roman" w:cs="Times New Roman"/>
          <w:sz w:val="24"/>
          <w:szCs w:val="24"/>
          <w:lang w:eastAsia="en-GB"/>
        </w:rPr>
      </w:pPr>
    </w:p>
    <w:p w14:paraId="39D9DE06" w14:textId="479B1512" w:rsidR="000C4596" w:rsidRPr="00D53237" w:rsidRDefault="000C4596" w:rsidP="000C4596">
      <w:pPr>
        <w:rPr>
          <w:rFonts w:ascii="Times New Roman" w:eastAsia="Times New Roman" w:hAnsi="Times New Roman" w:cs="Times New Roman"/>
          <w:sz w:val="24"/>
          <w:szCs w:val="24"/>
          <w:lang w:eastAsia="en-GB"/>
        </w:rPr>
      </w:pPr>
      <w:r w:rsidRPr="00D53237">
        <w:rPr>
          <w:rFonts w:ascii="Times New Roman" w:hAnsi="Times New Roman" w:cs="Times New Roman"/>
          <w:sz w:val="24"/>
          <w:szCs w:val="24"/>
        </w:rPr>
        <w:t xml:space="preserve">World Health Organisation (WHO) (2021) ‘Global Strategy on Digital Health 2020-2025’ Available at: </w:t>
      </w:r>
      <w:hyperlink r:id="rId48" w:history="1">
        <w:r w:rsidRPr="00D53237">
          <w:rPr>
            <w:rFonts w:ascii="Times New Roman" w:hAnsi="Times New Roman" w:cs="Times New Roman"/>
            <w:color w:val="0000FF"/>
            <w:sz w:val="24"/>
            <w:szCs w:val="24"/>
          </w:rPr>
          <w:t>content</w:t>
        </w:r>
      </w:hyperlink>
      <w:r w:rsidRPr="00D53237">
        <w:rPr>
          <w:rFonts w:ascii="Times New Roman" w:hAnsi="Times New Roman" w:cs="Times New Roman"/>
          <w:sz w:val="24"/>
          <w:szCs w:val="24"/>
        </w:rPr>
        <w:t xml:space="preserve"> accessed on 1.4.26</w:t>
      </w:r>
    </w:p>
    <w:p w14:paraId="47F21EB6" w14:textId="77777777" w:rsidR="00924347" w:rsidRPr="00D53237" w:rsidRDefault="00924347" w:rsidP="00924347">
      <w:pPr>
        <w:spacing w:after="0" w:line="240" w:lineRule="auto"/>
        <w:rPr>
          <w:rFonts w:ascii="Times New Roman" w:hAnsi="Times New Roman" w:cs="Times New Roman"/>
          <w:sz w:val="24"/>
          <w:szCs w:val="24"/>
        </w:rPr>
      </w:pPr>
      <w:proofErr w:type="spellStart"/>
      <w:r w:rsidRPr="00D53237">
        <w:rPr>
          <w:rFonts w:ascii="Times New Roman" w:eastAsia="Times New Roman" w:hAnsi="Times New Roman" w:cs="Times New Roman"/>
          <w:sz w:val="24"/>
          <w:szCs w:val="24"/>
          <w:lang w:eastAsia="en-GB"/>
        </w:rPr>
        <w:lastRenderedPageBreak/>
        <w:t>QuantHub</w:t>
      </w:r>
      <w:proofErr w:type="spellEnd"/>
      <w:r w:rsidRPr="00D53237">
        <w:rPr>
          <w:rFonts w:ascii="Times New Roman" w:eastAsia="Times New Roman" w:hAnsi="Times New Roman" w:cs="Times New Roman"/>
          <w:sz w:val="24"/>
          <w:szCs w:val="24"/>
          <w:lang w:eastAsia="en-GB"/>
        </w:rPr>
        <w:t xml:space="preserve"> (2023) ‘Importance of Planning Data Collection in Statistical Studies’. Available at: </w:t>
      </w:r>
      <w:hyperlink r:id="rId49" w:history="1">
        <w:r w:rsidRPr="00D53237">
          <w:rPr>
            <w:rFonts w:ascii="Times New Roman" w:hAnsi="Times New Roman" w:cs="Times New Roman"/>
            <w:color w:val="0000FF"/>
            <w:sz w:val="24"/>
            <w:szCs w:val="24"/>
            <w:u w:val="single"/>
          </w:rPr>
          <w:t xml:space="preserve">Importance of Planning Data Collection in Statistical Studies | </w:t>
        </w:r>
        <w:proofErr w:type="spellStart"/>
        <w:r w:rsidRPr="00D53237">
          <w:rPr>
            <w:rFonts w:ascii="Times New Roman" w:hAnsi="Times New Roman" w:cs="Times New Roman"/>
            <w:color w:val="0000FF"/>
            <w:sz w:val="24"/>
            <w:szCs w:val="24"/>
            <w:u w:val="single"/>
          </w:rPr>
          <w:t>QHub</w:t>
        </w:r>
        <w:proofErr w:type="spellEnd"/>
      </w:hyperlink>
      <w:r w:rsidRPr="00D53237">
        <w:rPr>
          <w:rFonts w:ascii="Times New Roman" w:hAnsi="Times New Roman" w:cs="Times New Roman"/>
          <w:sz w:val="24"/>
          <w:szCs w:val="24"/>
        </w:rPr>
        <w:t xml:space="preserve">  Accessed on: 10.4.26</w:t>
      </w:r>
    </w:p>
    <w:p w14:paraId="2E90F759" w14:textId="77777777" w:rsidR="00924347" w:rsidRPr="00D53237" w:rsidRDefault="00924347" w:rsidP="00924347">
      <w:pPr>
        <w:spacing w:after="0" w:line="240" w:lineRule="auto"/>
        <w:rPr>
          <w:rFonts w:ascii="Times New Roman" w:hAnsi="Times New Roman" w:cs="Times New Roman"/>
          <w:sz w:val="24"/>
          <w:szCs w:val="24"/>
        </w:rPr>
      </w:pPr>
    </w:p>
    <w:p w14:paraId="0A6DD2E6" w14:textId="77777777" w:rsidR="00924347" w:rsidRPr="00D53237" w:rsidRDefault="00924347" w:rsidP="00924347">
      <w:pPr>
        <w:spacing w:after="0" w:line="240" w:lineRule="auto"/>
        <w:rPr>
          <w:rFonts w:ascii="Times New Roman" w:eastAsia="Times New Roman" w:hAnsi="Times New Roman" w:cs="Times New Roman"/>
          <w:sz w:val="24"/>
          <w:szCs w:val="24"/>
          <w:lang w:eastAsia="en-GB"/>
        </w:rPr>
      </w:pPr>
      <w:r w:rsidRPr="00D53237">
        <w:rPr>
          <w:rFonts w:ascii="Times New Roman" w:eastAsia="Times New Roman" w:hAnsi="Times New Roman" w:cs="Times New Roman"/>
          <w:sz w:val="24"/>
          <w:szCs w:val="24"/>
          <w:lang w:eastAsia="en-GB"/>
        </w:rPr>
        <w:t xml:space="preserve">He, Z. (2023) “From Privacy-Enhancing to Health Data Utilisation: The Traces of Anonymisation and Pseudonymisation in EU Data Protection Law,” </w:t>
      </w:r>
      <w:r w:rsidRPr="00D53237">
        <w:rPr>
          <w:rFonts w:ascii="Times New Roman" w:eastAsia="Times New Roman" w:hAnsi="Times New Roman" w:cs="Times New Roman"/>
          <w:i/>
          <w:iCs/>
          <w:sz w:val="24"/>
          <w:szCs w:val="24"/>
          <w:lang w:eastAsia="en-GB"/>
        </w:rPr>
        <w:t>Digital Society 2023 2:2</w:t>
      </w:r>
      <w:r w:rsidRPr="00D53237">
        <w:rPr>
          <w:rFonts w:ascii="Times New Roman" w:eastAsia="Times New Roman" w:hAnsi="Times New Roman" w:cs="Times New Roman"/>
          <w:sz w:val="24"/>
          <w:szCs w:val="24"/>
          <w:lang w:eastAsia="en-GB"/>
        </w:rPr>
        <w:t xml:space="preserve">, 2(2), pp. 17-. Available at: </w:t>
      </w:r>
      <w:hyperlink r:id="rId50" w:history="1">
        <w:r w:rsidRPr="00D53237">
          <w:rPr>
            <w:rStyle w:val="Hyperlink"/>
            <w:rFonts w:ascii="Times New Roman" w:eastAsia="Times New Roman" w:hAnsi="Times New Roman" w:cs="Times New Roman"/>
            <w:sz w:val="24"/>
            <w:szCs w:val="24"/>
            <w:lang w:eastAsia="en-GB"/>
          </w:rPr>
          <w:t>https://doi.org/10.1007/S44206-023-00043-5</w:t>
        </w:r>
      </w:hyperlink>
      <w:r w:rsidRPr="00D53237">
        <w:rPr>
          <w:rFonts w:ascii="Times New Roman" w:eastAsia="Times New Roman" w:hAnsi="Times New Roman" w:cs="Times New Roman"/>
          <w:sz w:val="24"/>
          <w:szCs w:val="24"/>
          <w:lang w:eastAsia="en-GB"/>
        </w:rPr>
        <w:t>.</w:t>
      </w:r>
    </w:p>
    <w:p w14:paraId="3240728F" w14:textId="77777777" w:rsidR="00924347" w:rsidRPr="00D53237" w:rsidRDefault="00924347" w:rsidP="00924347">
      <w:pPr>
        <w:spacing w:after="0" w:line="240" w:lineRule="auto"/>
        <w:rPr>
          <w:rFonts w:ascii="Times New Roman" w:eastAsia="Times New Roman" w:hAnsi="Times New Roman" w:cs="Times New Roman"/>
          <w:sz w:val="24"/>
          <w:szCs w:val="24"/>
          <w:lang w:eastAsia="en-GB"/>
        </w:rPr>
      </w:pPr>
    </w:p>
    <w:p w14:paraId="6D77A9D8" w14:textId="77777777" w:rsidR="00924347" w:rsidRPr="00D53237" w:rsidRDefault="00924347" w:rsidP="00924347">
      <w:pPr>
        <w:spacing w:after="0" w:line="240" w:lineRule="auto"/>
        <w:rPr>
          <w:rFonts w:ascii="Times New Roman" w:eastAsia="Times New Roman" w:hAnsi="Times New Roman" w:cs="Times New Roman"/>
          <w:sz w:val="24"/>
          <w:szCs w:val="24"/>
          <w:lang w:eastAsia="en-GB"/>
        </w:rPr>
      </w:pPr>
    </w:p>
    <w:p w14:paraId="22BBB1C4" w14:textId="77777777" w:rsidR="00924347" w:rsidRPr="00D53237" w:rsidRDefault="00924347" w:rsidP="00924347">
      <w:pPr>
        <w:spacing w:after="0" w:line="240" w:lineRule="auto"/>
        <w:rPr>
          <w:rFonts w:ascii="Times New Roman" w:eastAsia="Times New Roman" w:hAnsi="Times New Roman" w:cs="Times New Roman"/>
          <w:sz w:val="24"/>
          <w:szCs w:val="24"/>
          <w:lang w:eastAsia="en-GB"/>
        </w:rPr>
      </w:pPr>
    </w:p>
    <w:p w14:paraId="159F6E11" w14:textId="77777777" w:rsidR="00924347" w:rsidRPr="00D53237" w:rsidRDefault="00924347" w:rsidP="00924347">
      <w:pPr>
        <w:spacing w:before="100" w:beforeAutospacing="1" w:after="100" w:afterAutospacing="1" w:line="240" w:lineRule="auto"/>
        <w:rPr>
          <w:rFonts w:ascii="Times New Roman" w:eastAsia="Times New Roman" w:hAnsi="Times New Roman" w:cs="Times New Roman"/>
          <w:sz w:val="24"/>
          <w:szCs w:val="24"/>
          <w:lang w:eastAsia="en-GB"/>
        </w:rPr>
      </w:pPr>
    </w:p>
    <w:p w14:paraId="204E4F0E" w14:textId="77777777" w:rsidR="00924347" w:rsidRPr="00D53237" w:rsidRDefault="00924347" w:rsidP="00924347">
      <w:pPr>
        <w:rPr>
          <w:rFonts w:ascii="Times New Roman" w:hAnsi="Times New Roman" w:cs="Times New Roman"/>
          <w:sz w:val="24"/>
          <w:szCs w:val="24"/>
        </w:rPr>
      </w:pPr>
    </w:p>
    <w:p w14:paraId="773B8D7F" w14:textId="77777777" w:rsidR="00924347" w:rsidRPr="0022709D" w:rsidRDefault="00924347" w:rsidP="00924347">
      <w:pPr>
        <w:rPr>
          <w:rFonts w:ascii="Times New Roman" w:hAnsi="Times New Roman" w:cs="Times New Roman"/>
          <w:b/>
          <w:sz w:val="24"/>
          <w:szCs w:val="24"/>
        </w:rPr>
      </w:pPr>
    </w:p>
    <w:p w14:paraId="42B030EE" w14:textId="77777777" w:rsidR="006D1471" w:rsidRDefault="00E02206"/>
    <w:sectPr w:rsidR="006D1471">
      <w:footerReference w:type="default" r:id="rId5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BF0D4E" w14:textId="77777777" w:rsidR="00E02206" w:rsidRDefault="00E02206" w:rsidP="00E02206">
      <w:pPr>
        <w:spacing w:after="0" w:line="240" w:lineRule="auto"/>
      </w:pPr>
      <w:r>
        <w:separator/>
      </w:r>
    </w:p>
  </w:endnote>
  <w:endnote w:type="continuationSeparator" w:id="0">
    <w:p w14:paraId="51105CC9" w14:textId="77777777" w:rsidR="00E02206" w:rsidRDefault="00E02206" w:rsidP="00E022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1002AFF" w:usb1="4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9B0154" w14:textId="33878A64" w:rsidR="00E02206" w:rsidRDefault="00E02206">
    <w:pPr>
      <w:pStyle w:val="Footer"/>
    </w:pPr>
    <w:r>
      <w:rPr>
        <w:noProof/>
      </w:rPr>
      <mc:AlternateContent>
        <mc:Choice Requires="wpg">
          <w:drawing>
            <wp:anchor distT="0" distB="0" distL="114300" distR="114300" simplePos="0" relativeHeight="251659264" behindDoc="0" locked="0" layoutInCell="1" allowOverlap="1" wp14:anchorId="13D5661B" wp14:editId="7CBAE58F">
              <wp:simplePos x="0" y="0"/>
              <wp:positionH relativeFrom="page">
                <wp:align>left</wp:align>
              </wp:positionH>
              <wp:positionV relativeFrom="bottomMargin">
                <wp:align>center</wp:align>
              </wp:positionV>
              <wp:extent cx="5943600" cy="274320"/>
              <wp:effectExtent l="0" t="0" r="0" b="0"/>
              <wp:wrapNone/>
              <wp:docPr id="155" name="Group 155"/>
              <wp:cNvGraphicFramePr/>
              <a:graphic xmlns:a="http://schemas.openxmlformats.org/drawingml/2006/main">
                <a:graphicData uri="http://schemas.microsoft.com/office/word/2010/wordprocessingGroup">
                  <wpg:wgp>
                    <wpg:cNvGrpSpPr/>
                    <wpg:grpSpPr>
                      <a:xfrm>
                        <a:off x="0" y="0"/>
                        <a:ext cx="5943600" cy="274320"/>
                        <a:chOff x="0" y="0"/>
                        <a:chExt cx="5943600" cy="274320"/>
                      </a:xfrm>
                    </wpg:grpSpPr>
                    <wps:wsp>
                      <wps:cNvPr id="156" name="Rectangle 156"/>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7" name="Text Box 157"/>
                      <wps:cNvSpPr txBox="1"/>
                      <wps:spPr>
                        <a:xfrm>
                          <a:off x="228600" y="0"/>
                          <a:ext cx="5353050" cy="2527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6F5CD4D" w14:textId="06F56F86" w:rsidR="00E02206" w:rsidRDefault="00E02206">
                            <w:pPr>
                              <w:pStyle w:val="Footer"/>
                              <w:rPr>
                                <w:caps/>
                                <w:color w:val="808080" w:themeColor="background1" w:themeShade="80"/>
                                <w:sz w:val="20"/>
                                <w:szCs w:val="20"/>
                              </w:rPr>
                            </w:pPr>
                            <w:sdt>
                              <w:sdtPr>
                                <w:rPr>
                                  <w:color w:val="808080" w:themeColor="background1" w:themeShade="80"/>
                                  <w:sz w:val="20"/>
                                  <w:szCs w:val="20"/>
                                </w:rPr>
                                <w:alias w:val="Author"/>
                                <w:tag w:val=""/>
                                <w:id w:val="-959653791"/>
                                <w:dataBinding w:prefixMappings="xmlns:ns0='http://purl.org/dc/elements/1.1/' xmlns:ns1='http://schemas.openxmlformats.org/package/2006/metadata/core-properties' " w:xpath="/ns1:coreProperties[1]/ns0:creator[1]" w:storeItemID="{6C3C8BC8-F283-45AE-878A-BAB7291924A1}"/>
                                <w:text/>
                              </w:sdtPr>
                              <w:sdtContent>
                                <w:r>
                                  <w:rPr>
                                    <w:color w:val="808080" w:themeColor="background1" w:themeShade="80"/>
                                    <w:sz w:val="20"/>
                                    <w:szCs w:val="20"/>
                                  </w:rPr>
                                  <w:t>Carly Williams (Swansea Bay UHB - Integrated Sexual Health)</w:t>
                                </w:r>
                              </w:sdtContent>
                            </w:sdt>
                            <w:r>
                              <w:rPr>
                                <w:caps/>
                                <w:color w:val="808080" w:themeColor="background1" w:themeShade="80"/>
                                <w:sz w:val="20"/>
                                <w:szCs w:val="20"/>
                              </w:rPr>
                              <w:t> | </w:t>
                            </w:r>
                            <w:sdt>
                              <w:sdtPr>
                                <w:rPr>
                                  <w:caps/>
                                  <w:color w:val="808080" w:themeColor="background1" w:themeShade="80"/>
                                  <w:sz w:val="20"/>
                                  <w:szCs w:val="20"/>
                                </w:rPr>
                                <w:alias w:val="School"/>
                                <w:tag w:val="School"/>
                                <w:id w:val="1660265181"/>
                                <w:dataBinding w:prefixMappings="xmlns:ns0='http://schemas.openxmlformats.org/officeDocument/2006/extended-properties' " w:xpath="/ns0:Properties[1]/ns0:Company[1]" w:storeItemID="{6668398D-A668-4E3E-A5EB-62B293D839F1}"/>
                                <w:text/>
                              </w:sdtPr>
                              <w:sdtContent>
                                <w:r>
                                  <w:rPr>
                                    <w:caps/>
                                    <w:color w:val="808080" w:themeColor="background1" w:themeShade="80"/>
                                    <w:sz w:val="20"/>
                                    <w:szCs w:val="20"/>
                                  </w:rPr>
                                  <w:t>ABMU LHB</w:t>
                                </w:r>
                              </w:sdtContent>
                            </w:sdt>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wpg:wgp>
                </a:graphicData>
              </a:graphic>
            </wp:anchor>
          </w:drawing>
        </mc:Choice>
        <mc:Fallback>
          <w:pict>
            <v:group w14:anchorId="13D5661B" id="Group 155" o:spid="_x0000_s1026" style="position:absolute;margin-left:0;margin-top:0;width:468pt;height:21.6pt;z-index:251659264;mso-position-horizontal:left;mso-position-horizontal-relative:page;mso-position-vertical:center;mso-position-vertical-relative:bottom-margin-area" coordsize="59436,27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">
              <v:rect id="Rectangle 156" o:spid="_x0000_s1027" style="position:absolute;width:59436;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" fillcolor="white [3212]" stroked="f" strokeweight="1pt">
                <v:fill opacity="0"/>
              </v:rect>
              <v:shapetype id="_x0000_t202" coordsize="21600,21600" o:spt="202" path="m,l,21600r21600,l21600,xe">
                <v:stroke joinstyle="miter"/>
                <v:path gradientshapeok="t" o:connecttype="rect"/>
              </v:shapetype>
              <v:shape id="Text Box 157" o:spid="_x0000_s1028" type="#_x0000_t202" style="position:absolute;left:2286;width:53530;height:25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" filled="f" stroked="f" strokeweight=".5pt">
                <v:textbox style="mso-fit-shape-to-text:t" inset="0,,0">
                  <w:txbxContent>
                    <w:p w14:paraId="46F5CD4D" w14:textId="06F56F86" w:rsidR="00E02206" w:rsidRDefault="00E02206">
                      <w:pPr>
                        <w:pStyle w:val="Footer"/>
                        <w:rPr>
                          <w:caps/>
                          <w:color w:val="808080" w:themeColor="background1" w:themeShade="80"/>
                          <w:sz w:val="20"/>
                          <w:szCs w:val="20"/>
                        </w:rPr>
                      </w:pPr>
                      <w:sdt>
                        <w:sdtPr>
                          <w:rPr>
                            <w:color w:val="808080" w:themeColor="background1" w:themeShade="80"/>
                            <w:sz w:val="20"/>
                            <w:szCs w:val="20"/>
                          </w:rPr>
                          <w:alias w:val="Author"/>
                          <w:tag w:val=""/>
                          <w:id w:val="-959653791"/>
                          <w:dataBinding w:prefixMappings="xmlns:ns0='http://purl.org/dc/elements/1.1/' xmlns:ns1='http://schemas.openxmlformats.org/package/2006/metadata/core-properties' " w:xpath="/ns1:coreProperties[1]/ns0:creator[1]" w:storeItemID="{6C3C8BC8-F283-45AE-878A-BAB7291924A1}"/>
                          <w:text/>
                        </w:sdtPr>
                        <w:sdtContent>
                          <w:r>
                            <w:rPr>
                              <w:color w:val="808080" w:themeColor="background1" w:themeShade="80"/>
                              <w:sz w:val="20"/>
                              <w:szCs w:val="20"/>
                            </w:rPr>
                            <w:t>Carly Williams (Swansea Bay UHB - Integrated Sexual Health)</w:t>
                          </w:r>
                        </w:sdtContent>
                      </w:sdt>
                      <w:r>
                        <w:rPr>
                          <w:caps/>
                          <w:color w:val="808080" w:themeColor="background1" w:themeShade="80"/>
                          <w:sz w:val="20"/>
                          <w:szCs w:val="20"/>
                        </w:rPr>
                        <w:t> | </w:t>
                      </w:r>
                      <w:sdt>
                        <w:sdtPr>
                          <w:rPr>
                            <w:caps/>
                            <w:color w:val="808080" w:themeColor="background1" w:themeShade="80"/>
                            <w:sz w:val="20"/>
                            <w:szCs w:val="20"/>
                          </w:rPr>
                          <w:alias w:val="School"/>
                          <w:tag w:val="School"/>
                          <w:id w:val="1660265181"/>
                          <w:dataBinding w:prefixMappings="xmlns:ns0='http://schemas.openxmlformats.org/officeDocument/2006/extended-properties' " w:xpath="/ns0:Properties[1]/ns0:Company[1]" w:storeItemID="{6668398D-A668-4E3E-A5EB-62B293D839F1}"/>
                          <w:text/>
                        </w:sdtPr>
                        <w:sdtContent>
                          <w:r>
                            <w:rPr>
                              <w:caps/>
                              <w:color w:val="808080" w:themeColor="background1" w:themeShade="80"/>
                              <w:sz w:val="20"/>
                              <w:szCs w:val="20"/>
                            </w:rPr>
                            <w:t>ABMU LHB</w:t>
                          </w:r>
                        </w:sdtContent>
                      </w:sdt>
                    </w:p>
                  </w:txbxContent>
                </v:textbox>
              </v:shape>
              <w10:wrap anchorx="page" anchory="margin"/>
            </v:group>
          </w:pict>
        </mc:Fallback>
      </mc:AlternateContent>
    </w:r>
    <w:r>
      <w:t>2418372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68B622" w14:textId="77777777" w:rsidR="00E02206" w:rsidRDefault="00E02206" w:rsidP="00E02206">
      <w:pPr>
        <w:spacing w:after="0" w:line="240" w:lineRule="auto"/>
      </w:pPr>
      <w:r>
        <w:separator/>
      </w:r>
    </w:p>
  </w:footnote>
  <w:footnote w:type="continuationSeparator" w:id="0">
    <w:p w14:paraId="38DB82C6" w14:textId="77777777" w:rsidR="00E02206" w:rsidRDefault="00E02206" w:rsidP="00E0220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076742B"/>
    <w:multiLevelType w:val="multilevel"/>
    <w:tmpl w:val="D9C644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4347"/>
    <w:rsid w:val="00090D9A"/>
    <w:rsid w:val="000C4596"/>
    <w:rsid w:val="002C507E"/>
    <w:rsid w:val="00324173"/>
    <w:rsid w:val="004173F4"/>
    <w:rsid w:val="005A6713"/>
    <w:rsid w:val="00752A3F"/>
    <w:rsid w:val="00924347"/>
    <w:rsid w:val="00B324D2"/>
    <w:rsid w:val="00D53237"/>
    <w:rsid w:val="00E02206"/>
    <w:rsid w:val="00E161DC"/>
    <w:rsid w:val="00FE10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7BACDC3"/>
  <w15:chartTrackingRefBased/>
  <w15:docId w15:val="{6E5403E0-DABE-44B6-A12C-087D11608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434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924347"/>
    <w:rPr>
      <w:i/>
      <w:iCs/>
    </w:rPr>
  </w:style>
  <w:style w:type="paragraph" w:styleId="NormalWeb">
    <w:name w:val="Normal (Web)"/>
    <w:basedOn w:val="Normal"/>
    <w:uiPriority w:val="99"/>
    <w:unhideWhenUsed/>
    <w:rsid w:val="0092434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924347"/>
    <w:pPr>
      <w:spacing w:after="0" w:line="240" w:lineRule="auto"/>
      <w:ind w:left="720"/>
      <w:contextualSpacing/>
    </w:pPr>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924347"/>
    <w:rPr>
      <w:color w:val="0000FF"/>
      <w:u w:val="single"/>
    </w:rPr>
  </w:style>
  <w:style w:type="character" w:customStyle="1" w:styleId="whitespace-normal">
    <w:name w:val="whitespace-normal"/>
    <w:basedOn w:val="DefaultParagraphFont"/>
    <w:rsid w:val="00924347"/>
  </w:style>
  <w:style w:type="paragraph" w:styleId="Header">
    <w:name w:val="header"/>
    <w:basedOn w:val="Normal"/>
    <w:link w:val="HeaderChar"/>
    <w:uiPriority w:val="99"/>
    <w:unhideWhenUsed/>
    <w:rsid w:val="00E022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2206"/>
  </w:style>
  <w:style w:type="paragraph" w:styleId="Footer">
    <w:name w:val="footer"/>
    <w:basedOn w:val="Normal"/>
    <w:link w:val="FooterChar"/>
    <w:uiPriority w:val="99"/>
    <w:unhideWhenUsed/>
    <w:rsid w:val="00E022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22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80/14780887.2024.2382244" TargetMode="External"/><Relationship Id="rId18" Type="http://schemas.openxmlformats.org/officeDocument/2006/relationships/hyperlink" Target="https://www.cosrh.org/Common/Uploaded%20files/documents/fsrh-service-standards-for-record-keeping-2019.pdf" TargetMode="External"/><Relationship Id="rId26" Type="http://schemas.openxmlformats.org/officeDocument/2006/relationships/hyperlink" Target="https://doi.org/10.1016/J.MAYOCP.2019.09.024" TargetMode="External"/><Relationship Id="rId39" Type="http://schemas.openxmlformats.org/officeDocument/2006/relationships/hyperlink" Target="https://doi.org/10.4300/JGME-5-4-18" TargetMode="External"/><Relationship Id="rId21" Type="http://schemas.openxmlformats.org/officeDocument/2006/relationships/hyperlink" Target="https://doi.org/10.1371/JOURNAL.PONE.0232076" TargetMode="External"/><Relationship Id="rId34" Type="http://schemas.openxmlformats.org/officeDocument/2006/relationships/hyperlink" Target="https://doi.org/10.1177/16094069221077763;REQUESTEDJOURNAL:JOURNAL:IJQA;WEBSITE:WEBSITE:SAGE;WGROUP:STRING:PUBLICATION" TargetMode="External"/><Relationship Id="rId42" Type="http://schemas.openxmlformats.org/officeDocument/2006/relationships/hyperlink" Target="https://www.legislation.gov.uk/ukpga/2018/12/contents/enacted" TargetMode="External"/><Relationship Id="rId47" Type="http://schemas.openxmlformats.org/officeDocument/2006/relationships/hyperlink" Target="https://doi.org/10.1016/J.IJNURSTU.2019.03.003" TargetMode="External"/><Relationship Id="rId50" Type="http://schemas.openxmlformats.org/officeDocument/2006/relationships/hyperlink" Target="https://doi.org/10.1007/S44206-023-00043-5" TargetMode="External"/><Relationship Id="rId7" Type="http://schemas.openxmlformats.org/officeDocument/2006/relationships/image" Target="media/image1.emf"/><Relationship Id="rId2" Type="http://schemas.openxmlformats.org/officeDocument/2006/relationships/styles" Target="styles.xml"/><Relationship Id="rId16" Type="http://schemas.openxmlformats.org/officeDocument/2006/relationships/hyperlink" Target="https://www.ecdc.europa.eu/en/publications-data/mapping-and-review-harnessing-sexual-behaviour-survey-data-prevention-sexually?utm_source=chatgpt.com" TargetMode="External"/><Relationship Id="rId29" Type="http://schemas.openxmlformats.org/officeDocument/2006/relationships/hyperlink" Target="https://digitalregulations.innovation.nhs.uk/regulations-and-guidance-for-adopters/all-adopters-guidance/data-access-and-re-identification-risk-intervention/?utm_source=chatgpt.com" TargetMode="External"/><Relationship Id="rId11" Type="http://schemas.openxmlformats.org/officeDocument/2006/relationships/hyperlink" Target="https://doi.org/10.1186/S44247-023-00030-3" TargetMode="External"/><Relationship Id="rId24" Type="http://schemas.openxmlformats.org/officeDocument/2006/relationships/hyperlink" Target="https://doi.org/10.1016/J.DSS.2019.113137" TargetMode="External"/><Relationship Id="rId32" Type="http://schemas.openxmlformats.org/officeDocument/2006/relationships/hyperlink" Target="https://doi.org/10.2196/58130" TargetMode="External"/><Relationship Id="rId37" Type="http://schemas.openxmlformats.org/officeDocument/2006/relationships/hyperlink" Target="https://doi.org/10.1136/BMJ.H1113" TargetMode="External"/><Relationship Id="rId40" Type="http://schemas.openxmlformats.org/officeDocument/2006/relationships/hyperlink" Target="https://doi.org/10.1055/S-0040-1713634/ID/OR190239SOA-17/BIB" TargetMode="External"/><Relationship Id="rId45" Type="http://schemas.openxmlformats.org/officeDocument/2006/relationships/hyperlink" Target="https://www.gov.wales/sites/default/files/pdf-versions/2022/3/4/1646322827/digital-strategy-wales.pdf" TargetMode="External"/><Relationship Id="rId53"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hyperlink" Target="https://doi.org/10.1016/J.HEALTHPOL.2018.05.014" TargetMode="External"/><Relationship Id="rId19" Type="http://schemas.openxmlformats.org/officeDocument/2006/relationships/hyperlink" Target="https://doi.org/10.1071/SH22068" TargetMode="External"/><Relationship Id="rId31" Type="http://schemas.openxmlformats.org/officeDocument/2006/relationships/hyperlink" Target="https://doi.org/10.1111/jep.70189" TargetMode="External"/><Relationship Id="rId44" Type="http://schemas.openxmlformats.org/officeDocument/2006/relationships/hyperlink" Target="https://www.uwtsd.ac.uk/research/research-integrity-and-ethics" TargetMode="External"/><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4103/IJPSYM.IJPSYM_504_19;CTYPE:STRING:JOURNAL" TargetMode="External"/><Relationship Id="rId14" Type="http://schemas.openxmlformats.org/officeDocument/2006/relationships/hyperlink" Target="https://doi.org/10.46743/2160-3715/2021.5010" TargetMode="External"/><Relationship Id="rId22" Type="http://schemas.openxmlformats.org/officeDocument/2006/relationships/hyperlink" Target="https://www.hra.nhs.uk/planning-and-improving-research/" TargetMode="External"/><Relationship Id="rId27" Type="http://schemas.openxmlformats.org/officeDocument/2006/relationships/hyperlink" Target="https://doi.org/10.1093/JAMIA/OCAD038" TargetMode="External"/><Relationship Id="rId30" Type="http://schemas.openxmlformats.org/officeDocument/2006/relationships/hyperlink" Target="https://nwssp.nhs.wales/about-us/information-governance/" TargetMode="External"/><Relationship Id="rId35" Type="http://schemas.openxmlformats.org/officeDocument/2006/relationships/hyperlink" Target="https://doi.org/10.1016/j.landig.2025.01.013" TargetMode="External"/><Relationship Id="rId43" Type="http://schemas.openxmlformats.org/officeDocument/2006/relationships/hyperlink" Target="https://doi.org/10.3390/LIFE10120327" TargetMode="External"/><Relationship Id="rId48" Type="http://schemas.openxmlformats.org/officeDocument/2006/relationships/hyperlink" Target="https://iris.who.int/server/api/core/bitstreams/1f4d4a08-b20d-4c36-9148-a59429ac3477/content" TargetMode="External"/><Relationship Id="rId8" Type="http://schemas.openxmlformats.org/officeDocument/2006/relationships/package" Target="embeddings/Microsoft_Word_Document.docx"/><Relationship Id="rId51" Type="http://schemas.openxmlformats.org/officeDocument/2006/relationships/footer" Target="footer1.xml"/><Relationship Id="rId3" Type="http://schemas.openxmlformats.org/officeDocument/2006/relationships/settings" Target="settings.xml"/><Relationship Id="rId12" Type="http://schemas.openxmlformats.org/officeDocument/2006/relationships/hyperlink" Target="https://doi.org/10.1080/2159676X.2019.1628806" TargetMode="External"/><Relationship Id="rId17" Type="http://schemas.openxmlformats.org/officeDocument/2006/relationships/hyperlink" Target="https://doi.org/10.1111/1475-6773.12117;JOURNAL:JOURNAL:14756773;REQUESTEDJOURNAL:JOURNAL:14756773;WGROUP:STRING:PUBLICATION" TargetMode="External"/><Relationship Id="rId25" Type="http://schemas.openxmlformats.org/officeDocument/2006/relationships/hyperlink" Target="https://doi.org/10.1136/EJHPHARM-2021-003081" TargetMode="External"/><Relationship Id="rId33" Type="http://schemas.openxmlformats.org/officeDocument/2006/relationships/hyperlink" Target="https://doi.org/10.1038/S41433-021-01914-2" TargetMode="External"/><Relationship Id="rId38" Type="http://schemas.openxmlformats.org/officeDocument/2006/relationships/hyperlink" Target="https://doi.org/10.1111/TCT.13762;SUBPAGE:STRING:FRAMEDPDF;PAGE:STRING:ARTICLE/CHAPTER" TargetMode="External"/><Relationship Id="rId46" Type="http://schemas.openxmlformats.org/officeDocument/2006/relationships/hyperlink" Target="https://doi.org/10.1177/10731911231203960" TargetMode="External"/><Relationship Id="rId20" Type="http://schemas.openxmlformats.org/officeDocument/2006/relationships/hyperlink" Target="https://doi.org/10.1136/BMJ.315.7110.740" TargetMode="External"/><Relationship Id="rId41" Type="http://schemas.openxmlformats.org/officeDocument/2006/relationships/hyperlink" Target="https://doi.org/10.1055/A-2683-5752"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doi.org/10.1016/j.jclinepi.2022.11.022" TargetMode="External"/><Relationship Id="rId23" Type="http://schemas.openxmlformats.org/officeDocument/2006/relationships/hyperlink" Target="https://doi.org/10.1093/EURPUB/CKZ157" TargetMode="External"/><Relationship Id="rId28" Type="http://schemas.openxmlformats.org/officeDocument/2006/relationships/hyperlink" Target="https://www.longtermplan.nhs.uk/wp-content/uploads/2019/08/nhs-long-term-plan-version-1.2.pdf" TargetMode="External"/><Relationship Id="rId36" Type="http://schemas.openxmlformats.org/officeDocument/2006/relationships/hyperlink" Target="https://doi.org/10.1007/S11135-017-0574-8" TargetMode="External"/><Relationship Id="rId49" Type="http://schemas.openxmlformats.org/officeDocument/2006/relationships/hyperlink" Target="https://www.quanthub.com/importance-of-planning-data-collection-in-statistical-stud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14</Pages>
  <Words>7037</Words>
  <Characters>40114</Characters>
  <Application>Microsoft Office Word</Application>
  <DocSecurity>0</DocSecurity>
  <Lines>334</Lines>
  <Paragraphs>94</Paragraphs>
  <ScaleCrop>false</ScaleCrop>
  <HeadingPairs>
    <vt:vector size="2" baseType="variant">
      <vt:variant>
        <vt:lpstr>Title</vt:lpstr>
      </vt:variant>
      <vt:variant>
        <vt:i4>1</vt:i4>
      </vt:variant>
    </vt:vector>
  </HeadingPairs>
  <TitlesOfParts>
    <vt:vector size="1" baseType="lpstr">
      <vt:lpstr/>
    </vt:vector>
  </TitlesOfParts>
  <Company>ABMU LHB</Company>
  <LinksUpToDate>false</LinksUpToDate>
  <CharactersWithSpaces>47057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Carly Williams (Swansea Bay UHB - Integrated Sexual Health)</dc:creator>
  <cp:keywords/>
  <dc:description/>
  <cp:lastModifiedBy>Carly Williams (Swansea Bay UHB - Integrated Sexual Health)</cp:lastModifiedBy>
  <cp:revision>8</cp:revision>
  <dcterms:created xsi:type="dcterms:W3CDTF">2026-04-25T23:20:00Z</dcterms:created>
  <dcterms:modified xsi:type="dcterms:W3CDTF">2026-04-30T13:49:00Z</dcterms:modified>
</cp:coreProperties>
</file>