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8AD0D4" w14:textId="77777777" w:rsidR="000F2687" w:rsidRPr="00EE3493" w:rsidRDefault="000F2687" w:rsidP="000F2687">
      <w:pPr>
        <w:pStyle w:val="Title"/>
        <w:rPr>
          <w:rFonts w:asciiTheme="minorHAnsi" w:hAnsiTheme="minorHAnsi" w:cs="Arial"/>
          <w:sz w:val="32"/>
          <w:szCs w:val="32"/>
        </w:rPr>
      </w:pPr>
      <w:r w:rsidRPr="00EE3493">
        <w:rPr>
          <w:rFonts w:asciiTheme="minorHAnsi" w:hAnsiTheme="minorHAnsi" w:cs="Arial"/>
          <w:sz w:val="32"/>
          <w:szCs w:val="32"/>
        </w:rPr>
        <w:t>The Impact of Responsible Gambling Initiatives on Customer Loyalty: A Case Study of Entain plc</w:t>
      </w:r>
    </w:p>
    <w:p w14:paraId="383B60F8" w14:textId="2EC37C5E" w:rsidR="00D456B2" w:rsidRDefault="000B7D5C">
      <w:pPr>
        <w:rPr>
          <w:rFonts w:ascii="Arial" w:hAnsi="Arial" w:cs="Arial"/>
          <w:b/>
          <w:bCs/>
          <w:sz w:val="32"/>
          <w:szCs w:val="32"/>
        </w:rPr>
      </w:pPr>
      <w:r w:rsidRPr="00E362BA">
        <w:rPr>
          <w:noProof/>
        </w:rPr>
        <w:drawing>
          <wp:anchor distT="0" distB="0" distL="114300" distR="114300" simplePos="0" relativeHeight="251658240" behindDoc="1" locked="0" layoutInCell="1" allowOverlap="1" wp14:anchorId="36E7513E" wp14:editId="257AABE6">
            <wp:simplePos x="0" y="0"/>
            <wp:positionH relativeFrom="margin">
              <wp:posOffset>1022985</wp:posOffset>
            </wp:positionH>
            <wp:positionV relativeFrom="paragraph">
              <wp:posOffset>5715</wp:posOffset>
            </wp:positionV>
            <wp:extent cx="2710601" cy="1330325"/>
            <wp:effectExtent l="0" t="0" r="0" b="3175"/>
            <wp:wrapNone/>
            <wp:docPr id="113486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86414" name="Picture 113486414"/>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10601" cy="1330325"/>
                    </a:xfrm>
                    <a:prstGeom prst="rect">
                      <a:avLst/>
                    </a:prstGeom>
                  </pic:spPr>
                </pic:pic>
              </a:graphicData>
            </a:graphic>
            <wp14:sizeRelH relativeFrom="margin">
              <wp14:pctWidth>0</wp14:pctWidth>
            </wp14:sizeRelH>
            <wp14:sizeRelV relativeFrom="margin">
              <wp14:pctHeight>0</wp14:pctHeight>
            </wp14:sizeRelV>
          </wp:anchor>
        </w:drawing>
      </w:r>
      <w:r w:rsidR="00D456B2">
        <w:rPr>
          <w:rFonts w:ascii="Arial" w:hAnsi="Arial" w:cs="Arial"/>
          <w:b/>
          <w:bCs/>
          <w:sz w:val="32"/>
          <w:szCs w:val="32"/>
        </w:rPr>
        <w:t xml:space="preserve">                          </w:t>
      </w:r>
    </w:p>
    <w:p w14:paraId="7F4499BF" w14:textId="77777777" w:rsidR="003E3930" w:rsidRDefault="003E3930">
      <w:pPr>
        <w:rPr>
          <w:rFonts w:ascii="Arial" w:hAnsi="Arial" w:cs="Arial"/>
          <w:b/>
          <w:bCs/>
          <w:sz w:val="32"/>
          <w:szCs w:val="32"/>
        </w:rPr>
      </w:pPr>
    </w:p>
    <w:p w14:paraId="31BAC4C1" w14:textId="77777777" w:rsidR="00C92A6B" w:rsidRDefault="003E3930">
      <w:pPr>
        <w:rPr>
          <w:rFonts w:ascii="Arial" w:hAnsi="Arial" w:cs="Arial"/>
          <w:b/>
          <w:bCs/>
          <w:sz w:val="32"/>
          <w:szCs w:val="32"/>
        </w:rPr>
      </w:pPr>
      <w:r>
        <w:rPr>
          <w:rFonts w:ascii="Arial" w:hAnsi="Arial" w:cs="Arial"/>
          <w:b/>
          <w:bCs/>
          <w:sz w:val="32"/>
          <w:szCs w:val="32"/>
        </w:rPr>
        <w:t xml:space="preserve">                            </w:t>
      </w:r>
    </w:p>
    <w:p w14:paraId="36E0F836" w14:textId="77777777" w:rsidR="00C92A6B" w:rsidRDefault="00C92A6B">
      <w:pPr>
        <w:rPr>
          <w:rFonts w:ascii="Arial" w:hAnsi="Arial" w:cs="Arial"/>
          <w:b/>
          <w:bCs/>
          <w:sz w:val="32"/>
          <w:szCs w:val="32"/>
        </w:rPr>
      </w:pPr>
      <w:r>
        <w:rPr>
          <w:rFonts w:ascii="Arial" w:hAnsi="Arial" w:cs="Arial"/>
          <w:b/>
          <w:bCs/>
          <w:sz w:val="32"/>
          <w:szCs w:val="32"/>
        </w:rPr>
        <w:t xml:space="preserve">                         </w:t>
      </w:r>
    </w:p>
    <w:p w14:paraId="372DFC59" w14:textId="35349A31" w:rsidR="00C05D2D" w:rsidRPr="00146AE1" w:rsidRDefault="00C92A6B" w:rsidP="000A4266">
      <w:pPr>
        <w:jc w:val="both"/>
        <w:rPr>
          <w:rFonts w:cs="Arial"/>
          <w:b/>
          <w:bCs/>
          <w:sz w:val="28"/>
          <w:szCs w:val="28"/>
        </w:rPr>
      </w:pPr>
      <w:r w:rsidRPr="00146AE1">
        <w:rPr>
          <w:rFonts w:cs="Arial"/>
          <w:b/>
          <w:bCs/>
          <w:sz w:val="32"/>
          <w:szCs w:val="32"/>
        </w:rPr>
        <w:t xml:space="preserve">                         </w:t>
      </w:r>
      <w:r w:rsidR="003E3930" w:rsidRPr="00146AE1">
        <w:rPr>
          <w:rFonts w:cs="Arial"/>
          <w:b/>
          <w:bCs/>
          <w:sz w:val="32"/>
          <w:szCs w:val="32"/>
        </w:rPr>
        <w:t xml:space="preserve">   </w:t>
      </w:r>
      <w:r w:rsidR="0021292D" w:rsidRPr="00146AE1">
        <w:rPr>
          <w:rFonts w:cs="Arial"/>
          <w:b/>
          <w:bCs/>
          <w:sz w:val="32"/>
          <w:szCs w:val="32"/>
        </w:rPr>
        <w:t xml:space="preserve"> </w:t>
      </w:r>
      <w:r w:rsidR="003E3930" w:rsidRPr="00146AE1">
        <w:rPr>
          <w:rFonts w:cs="Arial"/>
          <w:b/>
          <w:bCs/>
          <w:sz w:val="32"/>
          <w:szCs w:val="32"/>
        </w:rPr>
        <w:t xml:space="preserve"> </w:t>
      </w:r>
      <w:r w:rsidR="00016525">
        <w:rPr>
          <w:rFonts w:cs="Arial"/>
          <w:b/>
          <w:bCs/>
          <w:sz w:val="32"/>
          <w:szCs w:val="32"/>
        </w:rPr>
        <w:tab/>
      </w:r>
      <w:r w:rsidR="003E3930" w:rsidRPr="00146AE1">
        <w:rPr>
          <w:rFonts w:cs="Arial"/>
          <w:b/>
          <w:bCs/>
          <w:sz w:val="32"/>
          <w:szCs w:val="32"/>
        </w:rPr>
        <w:t xml:space="preserve"> </w:t>
      </w:r>
      <w:r w:rsidR="00956F0E">
        <w:rPr>
          <w:rFonts w:cs="Arial"/>
          <w:b/>
          <w:bCs/>
          <w:sz w:val="32"/>
          <w:szCs w:val="32"/>
        </w:rPr>
        <w:tab/>
      </w:r>
      <w:r w:rsidR="00C05D2D" w:rsidRPr="00146AE1">
        <w:rPr>
          <w:rFonts w:cs="Arial"/>
          <w:b/>
          <w:bCs/>
          <w:sz w:val="28"/>
          <w:szCs w:val="28"/>
        </w:rPr>
        <w:t>S</w:t>
      </w:r>
      <w:r w:rsidR="00CE4A01" w:rsidRPr="00146AE1">
        <w:rPr>
          <w:rFonts w:cs="Arial"/>
          <w:b/>
          <w:bCs/>
          <w:sz w:val="28"/>
          <w:szCs w:val="28"/>
        </w:rPr>
        <w:t>ubmi</w:t>
      </w:r>
      <w:r w:rsidR="00C05D2D" w:rsidRPr="00146AE1">
        <w:rPr>
          <w:rFonts w:cs="Arial"/>
          <w:b/>
          <w:bCs/>
          <w:sz w:val="28"/>
          <w:szCs w:val="28"/>
        </w:rPr>
        <w:t>tted by</w:t>
      </w:r>
      <w:r w:rsidR="002D20DD" w:rsidRPr="00146AE1">
        <w:rPr>
          <w:rFonts w:cs="Arial"/>
          <w:b/>
          <w:bCs/>
          <w:sz w:val="28"/>
          <w:szCs w:val="28"/>
        </w:rPr>
        <w:t>:</w:t>
      </w:r>
    </w:p>
    <w:p w14:paraId="3709BECF" w14:textId="3E0C1002" w:rsidR="00C05D2D" w:rsidRPr="00146AE1" w:rsidRDefault="003E3930" w:rsidP="000A4266">
      <w:pPr>
        <w:jc w:val="both"/>
        <w:rPr>
          <w:b/>
          <w:bCs/>
          <w:sz w:val="24"/>
          <w:szCs w:val="24"/>
        </w:rPr>
      </w:pPr>
      <w:r w:rsidRPr="00146AE1">
        <w:rPr>
          <w:b/>
          <w:bCs/>
        </w:rPr>
        <w:t xml:space="preserve">                            </w:t>
      </w:r>
      <w:r w:rsidR="0021292D" w:rsidRPr="00146AE1">
        <w:rPr>
          <w:b/>
          <w:bCs/>
        </w:rPr>
        <w:t xml:space="preserve">           </w:t>
      </w:r>
      <w:r w:rsidR="0047247E" w:rsidRPr="00146AE1">
        <w:rPr>
          <w:b/>
          <w:bCs/>
        </w:rPr>
        <w:t xml:space="preserve">        </w:t>
      </w:r>
      <w:r w:rsidR="00016525">
        <w:rPr>
          <w:b/>
          <w:bCs/>
        </w:rPr>
        <w:tab/>
        <w:t xml:space="preserve"> </w:t>
      </w:r>
      <w:r w:rsidR="00956F0E">
        <w:rPr>
          <w:b/>
          <w:bCs/>
        </w:rPr>
        <w:tab/>
      </w:r>
      <w:r w:rsidR="00016525">
        <w:rPr>
          <w:b/>
          <w:bCs/>
        </w:rPr>
        <w:t xml:space="preserve"> </w:t>
      </w:r>
      <w:r w:rsidR="00C05D2D" w:rsidRPr="00146AE1">
        <w:rPr>
          <w:b/>
          <w:bCs/>
          <w:sz w:val="24"/>
          <w:szCs w:val="24"/>
        </w:rPr>
        <w:t xml:space="preserve">Rajeshwari </w:t>
      </w:r>
      <w:r w:rsidR="00146AE1" w:rsidRPr="00146AE1">
        <w:rPr>
          <w:b/>
          <w:bCs/>
          <w:sz w:val="24"/>
          <w:szCs w:val="24"/>
        </w:rPr>
        <w:t>B</w:t>
      </w:r>
      <w:r w:rsidR="00C05D2D" w:rsidRPr="00146AE1">
        <w:rPr>
          <w:b/>
          <w:bCs/>
          <w:sz w:val="24"/>
          <w:szCs w:val="24"/>
        </w:rPr>
        <w:t>ingi</w:t>
      </w:r>
    </w:p>
    <w:p w14:paraId="57A20A0D" w14:textId="6FCEFE21" w:rsidR="006838B2" w:rsidRPr="00016525" w:rsidRDefault="006838B2" w:rsidP="000A4266">
      <w:pPr>
        <w:jc w:val="both"/>
        <w:rPr>
          <w:rFonts w:cs="Arial"/>
          <w:sz w:val="28"/>
          <w:szCs w:val="28"/>
        </w:rPr>
      </w:pPr>
      <w:r w:rsidRPr="00016525">
        <w:rPr>
          <w:rFonts w:cs="Arial"/>
          <w:sz w:val="28"/>
          <w:szCs w:val="28"/>
        </w:rPr>
        <w:t xml:space="preserve">                                        </w:t>
      </w:r>
      <w:r w:rsidR="00956F0E">
        <w:rPr>
          <w:rFonts w:cs="Arial"/>
          <w:sz w:val="28"/>
          <w:szCs w:val="28"/>
        </w:rPr>
        <w:tab/>
      </w:r>
      <w:r w:rsidRPr="00016525">
        <w:rPr>
          <w:rFonts w:cs="Arial"/>
          <w:sz w:val="28"/>
          <w:szCs w:val="28"/>
        </w:rPr>
        <w:t xml:space="preserve"> </w:t>
      </w:r>
      <w:r w:rsidR="00146AE1" w:rsidRPr="00016525">
        <w:rPr>
          <w:rFonts w:cs="Arial"/>
          <w:sz w:val="28"/>
          <w:szCs w:val="28"/>
        </w:rPr>
        <w:t>229271</w:t>
      </w:r>
      <w:r w:rsidRPr="00016525">
        <w:rPr>
          <w:rFonts w:cs="Arial"/>
          <w:sz w:val="28"/>
          <w:szCs w:val="28"/>
        </w:rPr>
        <w:t xml:space="preserve"> </w:t>
      </w:r>
    </w:p>
    <w:p w14:paraId="4C3865C2" w14:textId="77777777" w:rsidR="00A41D39" w:rsidRDefault="00A41D39" w:rsidP="000A4266">
      <w:pPr>
        <w:jc w:val="both"/>
        <w:rPr>
          <w:rFonts w:ascii="Arial" w:hAnsi="Arial" w:cs="Arial"/>
          <w:b/>
          <w:bCs/>
          <w:sz w:val="28"/>
          <w:szCs w:val="28"/>
        </w:rPr>
      </w:pPr>
    </w:p>
    <w:p w14:paraId="25EF6F82" w14:textId="72F83D48" w:rsidR="002D20DD" w:rsidRPr="00A41D39" w:rsidRDefault="002D20DD" w:rsidP="000A4266">
      <w:pPr>
        <w:jc w:val="both"/>
        <w:rPr>
          <w:rFonts w:cs="Arial"/>
          <w:b/>
          <w:bCs/>
          <w:sz w:val="28"/>
          <w:szCs w:val="28"/>
        </w:rPr>
      </w:pPr>
      <w:r w:rsidRPr="00A41D39">
        <w:rPr>
          <w:rFonts w:cs="Arial"/>
          <w:b/>
          <w:bCs/>
          <w:sz w:val="28"/>
          <w:szCs w:val="28"/>
        </w:rPr>
        <w:t xml:space="preserve">                              </w:t>
      </w:r>
      <w:r w:rsidR="00E4791A" w:rsidRPr="00A41D39">
        <w:rPr>
          <w:rFonts w:cs="Arial"/>
          <w:b/>
          <w:bCs/>
          <w:sz w:val="28"/>
          <w:szCs w:val="28"/>
        </w:rPr>
        <w:t xml:space="preserve"> </w:t>
      </w:r>
      <w:r w:rsidR="00A41D39">
        <w:rPr>
          <w:rFonts w:cs="Arial"/>
          <w:b/>
          <w:bCs/>
          <w:sz w:val="28"/>
          <w:szCs w:val="28"/>
        </w:rPr>
        <w:tab/>
        <w:t xml:space="preserve"> </w:t>
      </w:r>
      <w:r w:rsidR="00956F0E">
        <w:rPr>
          <w:rFonts w:cs="Arial"/>
          <w:b/>
          <w:bCs/>
          <w:sz w:val="28"/>
          <w:szCs w:val="28"/>
        </w:rPr>
        <w:tab/>
      </w:r>
      <w:r w:rsidR="005D23B1" w:rsidRPr="00A41D39">
        <w:rPr>
          <w:rFonts w:cs="Arial"/>
          <w:b/>
          <w:bCs/>
          <w:sz w:val="28"/>
          <w:szCs w:val="28"/>
        </w:rPr>
        <w:t>Submitted to:</w:t>
      </w:r>
    </w:p>
    <w:p w14:paraId="5FA1D1FB" w14:textId="3853F8C1" w:rsidR="005D23B1" w:rsidRPr="00A41D39" w:rsidRDefault="005D23B1" w:rsidP="000A4266">
      <w:pPr>
        <w:jc w:val="both"/>
        <w:rPr>
          <w:rFonts w:cs="Arial"/>
          <w:b/>
          <w:bCs/>
          <w:sz w:val="28"/>
          <w:szCs w:val="28"/>
        </w:rPr>
      </w:pPr>
      <w:r w:rsidRPr="00A41D39">
        <w:rPr>
          <w:rFonts w:cs="Arial"/>
          <w:b/>
          <w:bCs/>
          <w:sz w:val="28"/>
          <w:szCs w:val="28"/>
        </w:rPr>
        <w:t xml:space="preserve">                               </w:t>
      </w:r>
      <w:r w:rsidR="00E4791A" w:rsidRPr="00A41D39">
        <w:rPr>
          <w:rFonts w:cs="Arial"/>
          <w:b/>
          <w:bCs/>
          <w:sz w:val="28"/>
          <w:szCs w:val="28"/>
        </w:rPr>
        <w:t xml:space="preserve">   </w:t>
      </w:r>
      <w:r w:rsidRPr="00A41D39">
        <w:rPr>
          <w:rFonts w:cs="Arial"/>
          <w:b/>
          <w:bCs/>
          <w:sz w:val="28"/>
          <w:szCs w:val="28"/>
        </w:rPr>
        <w:t xml:space="preserve"> </w:t>
      </w:r>
      <w:r w:rsidR="00A41D39">
        <w:rPr>
          <w:rFonts w:cs="Arial"/>
          <w:b/>
          <w:bCs/>
          <w:sz w:val="28"/>
          <w:szCs w:val="28"/>
        </w:rPr>
        <w:tab/>
      </w:r>
      <w:r w:rsidRPr="00A41D39">
        <w:rPr>
          <w:rFonts w:cs="Arial"/>
          <w:b/>
          <w:bCs/>
          <w:sz w:val="28"/>
          <w:szCs w:val="28"/>
        </w:rPr>
        <w:t xml:space="preserve"> </w:t>
      </w:r>
      <w:r w:rsidR="00956F0E">
        <w:rPr>
          <w:rFonts w:cs="Arial"/>
          <w:b/>
          <w:bCs/>
          <w:sz w:val="28"/>
          <w:szCs w:val="28"/>
        </w:rPr>
        <w:tab/>
      </w:r>
      <w:r w:rsidR="006F2A66" w:rsidRPr="00A41D39">
        <w:rPr>
          <w:rFonts w:cs="Arial"/>
          <w:b/>
          <w:bCs/>
          <w:sz w:val="28"/>
          <w:szCs w:val="28"/>
        </w:rPr>
        <w:t>Dr</w:t>
      </w:r>
      <w:r w:rsidRPr="00A41D39">
        <w:rPr>
          <w:rFonts w:cs="Arial"/>
          <w:b/>
          <w:bCs/>
          <w:sz w:val="28"/>
          <w:szCs w:val="28"/>
        </w:rPr>
        <w:t xml:space="preserve"> Jia </w:t>
      </w:r>
      <w:proofErr w:type="spellStart"/>
      <w:r w:rsidRPr="00A41D39">
        <w:rPr>
          <w:rFonts w:cs="Arial"/>
          <w:b/>
          <w:bCs/>
          <w:sz w:val="28"/>
          <w:szCs w:val="28"/>
        </w:rPr>
        <w:t>miao</w:t>
      </w:r>
      <w:proofErr w:type="spellEnd"/>
      <w:r w:rsidR="001B69C0" w:rsidRPr="00A41D39">
        <w:rPr>
          <w:rFonts w:cs="Arial"/>
          <w:b/>
          <w:bCs/>
          <w:sz w:val="28"/>
          <w:szCs w:val="28"/>
        </w:rPr>
        <w:t xml:space="preserve">, </w:t>
      </w:r>
      <w:r w:rsidR="00E4791A" w:rsidRPr="00A41D39">
        <w:rPr>
          <w:rFonts w:cs="Arial"/>
          <w:b/>
          <w:bCs/>
          <w:sz w:val="28"/>
          <w:szCs w:val="28"/>
        </w:rPr>
        <w:t xml:space="preserve">PHD </w:t>
      </w:r>
    </w:p>
    <w:p w14:paraId="49D6E387" w14:textId="77777777" w:rsidR="00B249CA" w:rsidRDefault="00B249CA">
      <w:pPr>
        <w:rPr>
          <w:rFonts w:ascii="Arial" w:hAnsi="Arial" w:cs="Arial"/>
          <w:b/>
          <w:bCs/>
          <w:sz w:val="28"/>
          <w:szCs w:val="28"/>
        </w:rPr>
      </w:pPr>
    </w:p>
    <w:p w14:paraId="2C9A1970" w14:textId="77777777" w:rsidR="00B249CA" w:rsidRDefault="00B249CA">
      <w:pPr>
        <w:rPr>
          <w:rFonts w:ascii="Arial" w:hAnsi="Arial" w:cs="Arial"/>
          <w:b/>
          <w:bCs/>
          <w:sz w:val="28"/>
          <w:szCs w:val="28"/>
        </w:rPr>
      </w:pPr>
    </w:p>
    <w:p w14:paraId="02ABD664" w14:textId="579B196F" w:rsidR="00470E24" w:rsidRPr="00956F0E" w:rsidRDefault="00B249CA" w:rsidP="00956F0E">
      <w:pPr>
        <w:jc w:val="both"/>
        <w:rPr>
          <w:rFonts w:cs="Arial"/>
          <w:b/>
          <w:bCs/>
          <w:sz w:val="28"/>
          <w:szCs w:val="28"/>
        </w:rPr>
      </w:pPr>
      <w:r>
        <w:rPr>
          <w:rFonts w:ascii="Arial" w:hAnsi="Arial" w:cs="Arial"/>
          <w:b/>
          <w:bCs/>
          <w:sz w:val="28"/>
          <w:szCs w:val="28"/>
        </w:rPr>
        <w:t xml:space="preserve">                                    </w:t>
      </w:r>
      <w:r w:rsidR="00C92A6B">
        <w:rPr>
          <w:rFonts w:ascii="Arial" w:hAnsi="Arial" w:cs="Arial"/>
          <w:b/>
          <w:bCs/>
          <w:sz w:val="28"/>
          <w:szCs w:val="28"/>
        </w:rPr>
        <w:t xml:space="preserve"> </w:t>
      </w:r>
      <w:r w:rsidRPr="00956F0E">
        <w:rPr>
          <w:rFonts w:cs="Arial"/>
          <w:b/>
          <w:bCs/>
          <w:sz w:val="28"/>
          <w:szCs w:val="28"/>
        </w:rPr>
        <w:t>Dissertation</w:t>
      </w:r>
    </w:p>
    <w:p w14:paraId="3D46C605" w14:textId="7B5DC6A8" w:rsidR="00B249CA" w:rsidRPr="00956F0E" w:rsidRDefault="00470E24" w:rsidP="00956F0E">
      <w:pPr>
        <w:jc w:val="both"/>
        <w:rPr>
          <w:rFonts w:cs="Arial"/>
          <w:b/>
          <w:bCs/>
          <w:sz w:val="28"/>
          <w:szCs w:val="28"/>
        </w:rPr>
      </w:pPr>
      <w:r w:rsidRPr="00956F0E">
        <w:rPr>
          <w:rFonts w:cs="Arial"/>
          <w:b/>
          <w:bCs/>
          <w:sz w:val="28"/>
          <w:szCs w:val="28"/>
        </w:rPr>
        <w:t xml:space="preserve">                                       </w:t>
      </w:r>
      <w:r w:rsidR="00345742">
        <w:rPr>
          <w:rFonts w:cs="Arial"/>
          <w:b/>
          <w:bCs/>
          <w:sz w:val="28"/>
          <w:szCs w:val="28"/>
        </w:rPr>
        <w:tab/>
      </w:r>
      <w:r w:rsidRPr="00956F0E">
        <w:rPr>
          <w:rFonts w:cs="Arial"/>
          <w:b/>
          <w:bCs/>
          <w:sz w:val="28"/>
          <w:szCs w:val="28"/>
        </w:rPr>
        <w:t xml:space="preserve"> LCBB6000</w:t>
      </w:r>
      <w:r w:rsidR="00B249CA" w:rsidRPr="00956F0E">
        <w:rPr>
          <w:rFonts w:cs="Arial"/>
          <w:b/>
          <w:bCs/>
          <w:sz w:val="28"/>
          <w:szCs w:val="28"/>
        </w:rPr>
        <w:t xml:space="preserve"> </w:t>
      </w:r>
    </w:p>
    <w:p w14:paraId="58D84A5C" w14:textId="5B609D33" w:rsidR="0053372F" w:rsidRPr="00972B06" w:rsidRDefault="00470E24">
      <w:pPr>
        <w:rPr>
          <w:rFonts w:cs="Arial"/>
          <w:sz w:val="24"/>
          <w:szCs w:val="24"/>
        </w:rPr>
      </w:pPr>
      <w:r w:rsidRPr="008A7CFC">
        <w:rPr>
          <w:rFonts w:cs="Arial"/>
          <w:sz w:val="32"/>
          <w:szCs w:val="32"/>
        </w:rPr>
        <w:t xml:space="preserve">    </w:t>
      </w:r>
      <w:r w:rsidR="007C145C" w:rsidRPr="008A7CFC">
        <w:rPr>
          <w:rFonts w:cs="Arial"/>
          <w:sz w:val="32"/>
          <w:szCs w:val="32"/>
        </w:rPr>
        <w:t xml:space="preserve">    </w:t>
      </w:r>
      <w:r w:rsidR="008A7CFC">
        <w:rPr>
          <w:rFonts w:cs="Arial"/>
          <w:sz w:val="32"/>
          <w:szCs w:val="32"/>
        </w:rPr>
        <w:tab/>
      </w:r>
      <w:r w:rsidR="007C145C" w:rsidRPr="008A7CFC">
        <w:rPr>
          <w:rFonts w:cs="Arial"/>
          <w:sz w:val="32"/>
          <w:szCs w:val="32"/>
        </w:rPr>
        <w:t xml:space="preserve">   </w:t>
      </w:r>
      <w:r w:rsidR="0053372F" w:rsidRPr="008A7CFC">
        <w:rPr>
          <w:rFonts w:cs="Arial"/>
          <w:sz w:val="32"/>
          <w:szCs w:val="32"/>
        </w:rPr>
        <w:t xml:space="preserve"> </w:t>
      </w:r>
      <w:r w:rsidRPr="008A7CFC">
        <w:rPr>
          <w:rFonts w:cs="Arial"/>
          <w:sz w:val="32"/>
          <w:szCs w:val="32"/>
        </w:rPr>
        <w:t xml:space="preserve">   </w:t>
      </w:r>
      <w:r w:rsidR="00972B06">
        <w:rPr>
          <w:rFonts w:cs="Arial"/>
          <w:sz w:val="32"/>
          <w:szCs w:val="32"/>
        </w:rPr>
        <w:t xml:space="preserve">       </w:t>
      </w:r>
      <w:r w:rsidR="007C145C" w:rsidRPr="00972B06">
        <w:rPr>
          <w:rFonts w:cs="Arial"/>
          <w:sz w:val="24"/>
          <w:szCs w:val="24"/>
        </w:rPr>
        <w:t xml:space="preserve">University of </w:t>
      </w:r>
      <w:r w:rsidR="0053372F" w:rsidRPr="00972B06">
        <w:rPr>
          <w:rFonts w:cs="Arial"/>
          <w:sz w:val="24"/>
          <w:szCs w:val="24"/>
        </w:rPr>
        <w:t>W</w:t>
      </w:r>
      <w:r w:rsidR="007C145C" w:rsidRPr="00972B06">
        <w:rPr>
          <w:rFonts w:cs="Arial"/>
          <w:sz w:val="24"/>
          <w:szCs w:val="24"/>
        </w:rPr>
        <w:t xml:space="preserve">ales </w:t>
      </w:r>
      <w:r w:rsidR="0053372F" w:rsidRPr="00972B06">
        <w:rPr>
          <w:rFonts w:cs="Arial"/>
          <w:sz w:val="24"/>
          <w:szCs w:val="24"/>
        </w:rPr>
        <w:t>T</w:t>
      </w:r>
      <w:r w:rsidR="007C145C" w:rsidRPr="00972B06">
        <w:rPr>
          <w:rFonts w:cs="Arial"/>
          <w:sz w:val="24"/>
          <w:szCs w:val="24"/>
        </w:rPr>
        <w:t xml:space="preserve">rinity </w:t>
      </w:r>
      <w:r w:rsidR="0053372F" w:rsidRPr="00972B06">
        <w:rPr>
          <w:rFonts w:cs="Arial"/>
          <w:sz w:val="24"/>
          <w:szCs w:val="24"/>
        </w:rPr>
        <w:t>S</w:t>
      </w:r>
      <w:r w:rsidR="007C145C" w:rsidRPr="00972B06">
        <w:rPr>
          <w:rFonts w:cs="Arial"/>
          <w:sz w:val="24"/>
          <w:szCs w:val="24"/>
        </w:rPr>
        <w:t xml:space="preserve">aint </w:t>
      </w:r>
      <w:r w:rsidR="008A7CFC" w:rsidRPr="00972B06">
        <w:rPr>
          <w:rFonts w:cs="Arial"/>
          <w:sz w:val="24"/>
          <w:szCs w:val="24"/>
        </w:rPr>
        <w:t>David, London</w:t>
      </w:r>
    </w:p>
    <w:p w14:paraId="7E3B6939" w14:textId="77777777" w:rsidR="00896C62" w:rsidRPr="00972B06" w:rsidRDefault="00896C62">
      <w:pPr>
        <w:rPr>
          <w:rFonts w:cs="Arial"/>
          <w:sz w:val="24"/>
          <w:szCs w:val="24"/>
        </w:rPr>
      </w:pPr>
    </w:p>
    <w:p w14:paraId="58161DF5" w14:textId="6DFBF05E" w:rsidR="00503F3B" w:rsidRPr="00972B06" w:rsidRDefault="00CC2409">
      <w:pPr>
        <w:rPr>
          <w:rFonts w:cs="Arial"/>
          <w:sz w:val="24"/>
          <w:szCs w:val="24"/>
        </w:rPr>
      </w:pPr>
      <w:r>
        <w:rPr>
          <w:rFonts w:cs="Arial"/>
          <w:sz w:val="24"/>
          <w:szCs w:val="24"/>
        </w:rPr>
        <w:t xml:space="preserve">        </w:t>
      </w:r>
      <w:r w:rsidR="00BF7055" w:rsidRPr="00972B06">
        <w:rPr>
          <w:rFonts w:cs="Arial"/>
          <w:sz w:val="24"/>
          <w:szCs w:val="24"/>
        </w:rPr>
        <w:t xml:space="preserve">This dissertation is for the partial </w:t>
      </w:r>
      <w:r w:rsidR="0097054C" w:rsidRPr="00972B06">
        <w:rPr>
          <w:rFonts w:cs="Arial"/>
          <w:sz w:val="24"/>
          <w:szCs w:val="24"/>
        </w:rPr>
        <w:t xml:space="preserve">fulfilment of the degree of BA </w:t>
      </w:r>
      <w:r w:rsidR="00D60D8D" w:rsidRPr="00972B06">
        <w:rPr>
          <w:rFonts w:cs="Arial"/>
          <w:sz w:val="24"/>
          <w:szCs w:val="24"/>
        </w:rPr>
        <w:t>(Hons) Busi</w:t>
      </w:r>
      <w:r w:rsidR="00896C62" w:rsidRPr="00972B06">
        <w:rPr>
          <w:rFonts w:cs="Arial"/>
          <w:sz w:val="24"/>
          <w:szCs w:val="24"/>
        </w:rPr>
        <w:t xml:space="preserve">ness </w:t>
      </w:r>
      <w:r w:rsidR="007C145C" w:rsidRPr="00972B06">
        <w:rPr>
          <w:rFonts w:cs="Arial"/>
          <w:sz w:val="24"/>
          <w:szCs w:val="24"/>
        </w:rPr>
        <w:t xml:space="preserve"> </w:t>
      </w:r>
      <w:r w:rsidR="00BC36D8" w:rsidRPr="00972B06">
        <w:rPr>
          <w:rFonts w:cs="Arial"/>
          <w:sz w:val="24"/>
          <w:szCs w:val="24"/>
        </w:rPr>
        <w:t xml:space="preserve">   </w:t>
      </w:r>
    </w:p>
    <w:p w14:paraId="023ABD18" w14:textId="6119AD3B" w:rsidR="004E257D" w:rsidRPr="00972B06" w:rsidRDefault="00503F3B">
      <w:pPr>
        <w:rPr>
          <w:rFonts w:cs="Arial"/>
          <w:sz w:val="24"/>
          <w:szCs w:val="24"/>
        </w:rPr>
      </w:pPr>
      <w:r w:rsidRPr="00972B06">
        <w:rPr>
          <w:rFonts w:cs="Arial"/>
          <w:sz w:val="24"/>
          <w:szCs w:val="24"/>
        </w:rPr>
        <w:t xml:space="preserve">            </w:t>
      </w:r>
      <w:r w:rsidR="00CC2409">
        <w:rPr>
          <w:rFonts w:cs="Arial"/>
          <w:sz w:val="24"/>
          <w:szCs w:val="24"/>
        </w:rPr>
        <w:t xml:space="preserve"> </w:t>
      </w:r>
      <w:r w:rsidR="00CC2409">
        <w:rPr>
          <w:rFonts w:cs="Arial"/>
          <w:sz w:val="24"/>
          <w:szCs w:val="24"/>
        </w:rPr>
        <w:tab/>
      </w:r>
      <w:r w:rsidR="00CC2409">
        <w:rPr>
          <w:rFonts w:cs="Arial"/>
          <w:sz w:val="24"/>
          <w:szCs w:val="24"/>
        </w:rPr>
        <w:tab/>
      </w:r>
      <w:r w:rsidR="00CC2409">
        <w:rPr>
          <w:rFonts w:cs="Arial"/>
          <w:sz w:val="24"/>
          <w:szCs w:val="24"/>
        </w:rPr>
        <w:tab/>
      </w:r>
      <w:r w:rsidR="00CC2409">
        <w:rPr>
          <w:rFonts w:cs="Arial"/>
          <w:sz w:val="24"/>
          <w:szCs w:val="24"/>
        </w:rPr>
        <w:tab/>
      </w:r>
      <w:r w:rsidRPr="00972B06">
        <w:rPr>
          <w:rFonts w:cs="Arial"/>
          <w:sz w:val="24"/>
          <w:szCs w:val="24"/>
        </w:rPr>
        <w:t>Mana</w:t>
      </w:r>
      <w:r w:rsidR="004E257D" w:rsidRPr="00972B06">
        <w:rPr>
          <w:rFonts w:cs="Arial"/>
          <w:sz w:val="24"/>
          <w:szCs w:val="24"/>
        </w:rPr>
        <w:t>gement.</w:t>
      </w:r>
      <w:r w:rsidR="00BC36D8" w:rsidRPr="00972B06">
        <w:rPr>
          <w:rFonts w:cs="Arial"/>
          <w:sz w:val="24"/>
          <w:szCs w:val="24"/>
        </w:rPr>
        <w:t xml:space="preserve">    </w:t>
      </w:r>
    </w:p>
    <w:p w14:paraId="0083BB87" w14:textId="77777777" w:rsidR="004E257D" w:rsidRDefault="004E257D">
      <w:pPr>
        <w:rPr>
          <w:rFonts w:ascii="Arial" w:hAnsi="Arial" w:cs="Arial"/>
          <w:sz w:val="24"/>
          <w:szCs w:val="24"/>
        </w:rPr>
      </w:pPr>
      <w:r>
        <w:rPr>
          <w:rFonts w:ascii="Arial" w:hAnsi="Arial" w:cs="Arial"/>
          <w:sz w:val="24"/>
          <w:szCs w:val="24"/>
        </w:rPr>
        <w:t xml:space="preserve">                                            </w:t>
      </w:r>
    </w:p>
    <w:p w14:paraId="03055D9C" w14:textId="4590C37C" w:rsidR="005B3B3C" w:rsidRDefault="004E257D">
      <w:pPr>
        <w:rPr>
          <w:rFonts w:ascii="Arial" w:hAnsi="Arial" w:cs="Arial"/>
          <w:b/>
          <w:bCs/>
          <w:sz w:val="24"/>
          <w:szCs w:val="24"/>
        </w:rPr>
      </w:pPr>
      <w:r w:rsidRPr="00253BEF">
        <w:rPr>
          <w:rFonts w:ascii="Arial" w:hAnsi="Arial" w:cs="Arial"/>
          <w:b/>
          <w:bCs/>
          <w:sz w:val="24"/>
          <w:szCs w:val="24"/>
        </w:rPr>
        <w:t xml:space="preserve">                                          </w:t>
      </w:r>
      <w:r w:rsidR="00253BEF" w:rsidRPr="00253BEF">
        <w:rPr>
          <w:rFonts w:ascii="Arial" w:hAnsi="Arial" w:cs="Arial"/>
          <w:b/>
          <w:bCs/>
          <w:sz w:val="24"/>
          <w:szCs w:val="24"/>
        </w:rPr>
        <w:t xml:space="preserve">   22/12/2025</w:t>
      </w:r>
      <w:r w:rsidR="00BC36D8" w:rsidRPr="00253BEF">
        <w:rPr>
          <w:rFonts w:ascii="Arial" w:hAnsi="Arial" w:cs="Arial"/>
          <w:b/>
          <w:bCs/>
          <w:sz w:val="24"/>
          <w:szCs w:val="24"/>
        </w:rPr>
        <w:t xml:space="preserve">        </w:t>
      </w:r>
    </w:p>
    <w:p w14:paraId="2C6AD665" w14:textId="77777777" w:rsidR="00E023BC" w:rsidRDefault="00E023BC">
      <w:pPr>
        <w:rPr>
          <w:rFonts w:ascii="Arial" w:hAnsi="Arial" w:cs="Arial"/>
          <w:b/>
          <w:bCs/>
          <w:sz w:val="24"/>
          <w:szCs w:val="24"/>
        </w:rPr>
      </w:pPr>
    </w:p>
    <w:p w14:paraId="01314796" w14:textId="77777777" w:rsidR="00E023BC" w:rsidRDefault="00E023BC">
      <w:pPr>
        <w:rPr>
          <w:rFonts w:ascii="Arial" w:hAnsi="Arial" w:cs="Arial"/>
          <w:b/>
          <w:bCs/>
          <w:sz w:val="24"/>
          <w:szCs w:val="24"/>
        </w:rPr>
      </w:pPr>
    </w:p>
    <w:p w14:paraId="7685C913" w14:textId="77777777" w:rsidR="00E023BC" w:rsidRDefault="00E023BC">
      <w:pPr>
        <w:rPr>
          <w:rFonts w:ascii="Arial" w:hAnsi="Arial" w:cs="Arial"/>
          <w:b/>
          <w:bCs/>
          <w:sz w:val="24"/>
          <w:szCs w:val="24"/>
        </w:rPr>
      </w:pPr>
    </w:p>
    <w:p w14:paraId="1433B23F" w14:textId="77777777" w:rsidR="00E023BC" w:rsidRDefault="00E023BC">
      <w:pPr>
        <w:rPr>
          <w:rFonts w:ascii="Arial" w:hAnsi="Arial" w:cs="Arial"/>
          <w:b/>
          <w:bCs/>
          <w:sz w:val="24"/>
          <w:szCs w:val="24"/>
        </w:rPr>
      </w:pPr>
    </w:p>
    <w:p w14:paraId="13501700" w14:textId="77777777" w:rsidR="00E023BC" w:rsidRDefault="00E023BC">
      <w:pPr>
        <w:rPr>
          <w:rFonts w:ascii="Arial" w:hAnsi="Arial" w:cs="Arial"/>
          <w:b/>
          <w:bCs/>
          <w:sz w:val="24"/>
          <w:szCs w:val="24"/>
        </w:rPr>
      </w:pPr>
    </w:p>
    <w:p w14:paraId="45508E50" w14:textId="77777777" w:rsidR="00E023BC" w:rsidRDefault="00E023BC">
      <w:pPr>
        <w:rPr>
          <w:rFonts w:ascii="Arial" w:hAnsi="Arial" w:cs="Arial"/>
          <w:b/>
          <w:bCs/>
          <w:sz w:val="24"/>
          <w:szCs w:val="24"/>
        </w:rPr>
      </w:pPr>
    </w:p>
    <w:p w14:paraId="4196496D" w14:textId="630CF44F" w:rsidR="00B226C7" w:rsidRPr="00CB53C4" w:rsidRDefault="00B226C7">
      <w:pPr>
        <w:rPr>
          <w:rFonts w:cs="Arial"/>
          <w:b/>
          <w:bCs/>
          <w:i/>
          <w:sz w:val="32"/>
          <w:szCs w:val="32"/>
        </w:rPr>
      </w:pPr>
      <w:r w:rsidRPr="00B226C7">
        <w:rPr>
          <w:rFonts w:cs="Arial"/>
          <w:b/>
          <w:bCs/>
          <w:sz w:val="32"/>
          <w:szCs w:val="32"/>
        </w:rPr>
        <w:lastRenderedPageBreak/>
        <w:t>D</w:t>
      </w:r>
      <w:r w:rsidR="002D4A3F" w:rsidRPr="00B226C7">
        <w:rPr>
          <w:rFonts w:cs="Arial"/>
          <w:b/>
          <w:bCs/>
          <w:sz w:val="32"/>
          <w:szCs w:val="32"/>
        </w:rPr>
        <w:t>ecla</w:t>
      </w:r>
      <w:r w:rsidRPr="00B226C7">
        <w:rPr>
          <w:rFonts w:cs="Arial"/>
          <w:b/>
          <w:bCs/>
          <w:sz w:val="32"/>
          <w:szCs w:val="32"/>
        </w:rPr>
        <w:t xml:space="preserve">ration </w:t>
      </w:r>
    </w:p>
    <w:p w14:paraId="4EED4601" w14:textId="57990090" w:rsidR="00782BCE" w:rsidRPr="00CE6D2F" w:rsidRDefault="00782BCE" w:rsidP="00782BCE">
      <w:pPr>
        <w:rPr>
          <w:rFonts w:cs="Arial"/>
          <w:sz w:val="24"/>
          <w:szCs w:val="24"/>
        </w:rPr>
      </w:pPr>
      <w:r w:rsidRPr="00CE6D2F">
        <w:rPr>
          <w:rFonts w:cs="Arial"/>
          <w:sz w:val="24"/>
          <w:szCs w:val="24"/>
        </w:rPr>
        <w:t xml:space="preserve">I, </w:t>
      </w:r>
      <w:r w:rsidR="00E14B78" w:rsidRPr="00CE6D2F">
        <w:rPr>
          <w:rFonts w:cs="Arial"/>
          <w:sz w:val="24"/>
          <w:szCs w:val="24"/>
        </w:rPr>
        <w:t>Rajeshwari Bingi</w:t>
      </w:r>
      <w:r w:rsidRPr="00CE6D2F">
        <w:rPr>
          <w:rFonts w:cs="Arial"/>
          <w:sz w:val="24"/>
          <w:szCs w:val="24"/>
        </w:rPr>
        <w:t xml:space="preserve">, a </w:t>
      </w:r>
      <w:r w:rsidR="000102B5" w:rsidRPr="00CE6D2F">
        <w:rPr>
          <w:rFonts w:cs="Arial"/>
          <w:sz w:val="24"/>
          <w:szCs w:val="24"/>
        </w:rPr>
        <w:t>Student</w:t>
      </w:r>
      <w:r w:rsidRPr="00CE6D2F">
        <w:rPr>
          <w:rFonts w:cs="Arial"/>
          <w:sz w:val="24"/>
          <w:szCs w:val="24"/>
        </w:rPr>
        <w:t xml:space="preserve"> at </w:t>
      </w:r>
      <w:r w:rsidR="000102B5" w:rsidRPr="00CE6D2F">
        <w:rPr>
          <w:rFonts w:cs="Arial"/>
          <w:sz w:val="24"/>
          <w:szCs w:val="24"/>
        </w:rPr>
        <w:t xml:space="preserve">University of </w:t>
      </w:r>
      <w:r w:rsidR="00A37C93" w:rsidRPr="00CE6D2F">
        <w:rPr>
          <w:rFonts w:cs="Arial"/>
          <w:sz w:val="24"/>
          <w:szCs w:val="24"/>
        </w:rPr>
        <w:t xml:space="preserve">Wales </w:t>
      </w:r>
      <w:r w:rsidR="00CE6D2F" w:rsidRPr="00CE6D2F">
        <w:rPr>
          <w:rFonts w:cs="Arial"/>
          <w:sz w:val="24"/>
          <w:szCs w:val="24"/>
        </w:rPr>
        <w:t xml:space="preserve">Trinity saint </w:t>
      </w:r>
      <w:r w:rsidR="00D86061">
        <w:rPr>
          <w:rFonts w:cs="Arial"/>
          <w:sz w:val="24"/>
          <w:szCs w:val="24"/>
        </w:rPr>
        <w:t>D</w:t>
      </w:r>
      <w:r w:rsidR="00CE6D2F" w:rsidRPr="00CE6D2F">
        <w:rPr>
          <w:rFonts w:cs="Arial"/>
          <w:sz w:val="24"/>
          <w:szCs w:val="24"/>
        </w:rPr>
        <w:t>avid</w:t>
      </w:r>
      <w:r w:rsidRPr="00CE6D2F">
        <w:rPr>
          <w:rFonts w:cs="Arial"/>
          <w:sz w:val="24"/>
          <w:szCs w:val="24"/>
        </w:rPr>
        <w:t>, hereby declare that the research titled "</w:t>
      </w:r>
      <w:r w:rsidR="00A316F4" w:rsidRPr="00A316F4">
        <w:rPr>
          <w:rFonts w:cs="Arial"/>
          <w:sz w:val="24"/>
          <w:szCs w:val="24"/>
        </w:rPr>
        <w:t xml:space="preserve"> </w:t>
      </w:r>
      <w:r w:rsidR="00A316F4" w:rsidRPr="00A316F4">
        <w:rPr>
          <w:rFonts w:cs="Arial"/>
          <w:sz w:val="24"/>
          <w:szCs w:val="24"/>
        </w:rPr>
        <w:t>The Impact of Responsible Gambling Initiatives on Customer Loyalty: A Case Study of Entain plc</w:t>
      </w:r>
      <w:r w:rsidRPr="00CE6D2F">
        <w:rPr>
          <w:rFonts w:cs="Arial"/>
          <w:sz w:val="24"/>
          <w:szCs w:val="24"/>
        </w:rPr>
        <w:t xml:space="preserve">" is an original work conducted by me. The study aims to investigate </w:t>
      </w:r>
      <w:r w:rsidR="00D63199" w:rsidRPr="00D63199">
        <w:rPr>
          <w:rFonts w:cs="Arial"/>
          <w:sz w:val="24"/>
          <w:szCs w:val="24"/>
        </w:rPr>
        <w:t>to</w:t>
      </w:r>
      <w:r w:rsidR="00D63199" w:rsidRPr="00D63199">
        <w:rPr>
          <w:rFonts w:cs="Arial"/>
          <w:sz w:val="24"/>
          <w:szCs w:val="24"/>
        </w:rPr>
        <w:t xml:space="preserve"> assess the impact of responsible gambling initiatives on customer loyalty within Entain plc’s online betting </w:t>
      </w:r>
      <w:r w:rsidR="00D63199" w:rsidRPr="00D63199">
        <w:rPr>
          <w:rFonts w:cs="Arial"/>
          <w:sz w:val="24"/>
          <w:szCs w:val="24"/>
        </w:rPr>
        <w:t>platforms.</w:t>
      </w:r>
    </w:p>
    <w:p w14:paraId="7FA3717F" w14:textId="77777777" w:rsidR="00782BCE" w:rsidRPr="00CE6D2F" w:rsidRDefault="00782BCE" w:rsidP="00782BCE">
      <w:pPr>
        <w:rPr>
          <w:rFonts w:cs="Arial"/>
          <w:sz w:val="24"/>
          <w:szCs w:val="24"/>
        </w:rPr>
      </w:pPr>
      <w:r w:rsidRPr="00CE6D2F">
        <w:rPr>
          <w:rFonts w:cs="Arial"/>
          <w:sz w:val="24"/>
          <w:szCs w:val="24"/>
        </w:rPr>
        <w:t>The research follows ethical guidelines, ensuring confidentiality and voluntary participation of all subjects. The methodology used includes [Briefly Describe Methods]. Any funding received for this study has been disclosed, and there is no conflict of interest.</w:t>
      </w:r>
    </w:p>
    <w:p w14:paraId="3C460CDF" w14:textId="77777777" w:rsidR="00782BCE" w:rsidRPr="00CE6D2F" w:rsidRDefault="00782BCE" w:rsidP="00782BCE">
      <w:pPr>
        <w:rPr>
          <w:rFonts w:cs="Arial"/>
          <w:sz w:val="24"/>
          <w:szCs w:val="24"/>
        </w:rPr>
      </w:pPr>
      <w:r w:rsidRPr="00CE6D2F">
        <w:rPr>
          <w:rFonts w:cs="Arial"/>
          <w:sz w:val="24"/>
          <w:szCs w:val="24"/>
        </w:rPr>
        <w:t>I affirm that this research adheres to the ethical standards set by [Institution/Organization] and has not been submitted elsewhere for publication or evaluation.</w:t>
      </w:r>
    </w:p>
    <w:p w14:paraId="6668AB0A" w14:textId="61E4DA66" w:rsidR="00782BCE" w:rsidRPr="00CE6D2F" w:rsidRDefault="00EF51EB" w:rsidP="00782BCE">
      <w:pPr>
        <w:rPr>
          <w:rFonts w:cs="Arial"/>
          <w:sz w:val="24"/>
          <w:szCs w:val="24"/>
        </w:rPr>
      </w:pPr>
      <w:r>
        <w:rPr>
          <w:rFonts w:cs="Arial"/>
          <w:sz w:val="24"/>
          <w:szCs w:val="24"/>
        </w:rPr>
        <w:t>Rajeshwari Bingi</w:t>
      </w:r>
    </w:p>
    <w:p w14:paraId="58768B47" w14:textId="398A20E2" w:rsidR="00782BCE" w:rsidRPr="00CE6D2F" w:rsidRDefault="00EF51EB" w:rsidP="00782BCE">
      <w:pPr>
        <w:rPr>
          <w:rFonts w:cs="Arial"/>
          <w:sz w:val="24"/>
          <w:szCs w:val="24"/>
        </w:rPr>
      </w:pPr>
      <w:r>
        <w:rPr>
          <w:rFonts w:cs="Arial"/>
          <w:sz w:val="24"/>
          <w:szCs w:val="24"/>
        </w:rPr>
        <w:t>University of Wales Trinity saint David</w:t>
      </w:r>
    </w:p>
    <w:p w14:paraId="5D90FC21" w14:textId="12604606" w:rsidR="00686B66" w:rsidRPr="00782BCE" w:rsidRDefault="00EF51EB" w:rsidP="00782BCE">
      <w:pPr>
        <w:rPr>
          <w:rFonts w:cs="Arial"/>
          <w:sz w:val="28"/>
          <w:szCs w:val="28"/>
        </w:rPr>
      </w:pPr>
      <w:r>
        <w:rPr>
          <w:rFonts w:cs="Arial"/>
          <w:sz w:val="24"/>
          <w:szCs w:val="24"/>
        </w:rPr>
        <w:t>22/</w:t>
      </w:r>
      <w:r w:rsidR="00B04953">
        <w:rPr>
          <w:rFonts w:cs="Arial"/>
          <w:sz w:val="24"/>
          <w:szCs w:val="24"/>
        </w:rPr>
        <w:t>12/2025</w:t>
      </w:r>
      <w:r w:rsidR="00686B66" w:rsidRPr="00782BCE">
        <w:rPr>
          <w:rFonts w:cs="Arial"/>
          <w:sz w:val="28"/>
          <w:szCs w:val="28"/>
        </w:rPr>
        <w:br w:type="page"/>
      </w:r>
    </w:p>
    <w:p w14:paraId="4E248F58" w14:textId="67A21328" w:rsidR="000531B9" w:rsidRDefault="000531B9" w:rsidP="003D2329">
      <w:pPr>
        <w:rPr>
          <w:rFonts w:ascii="Arial" w:hAnsi="Arial" w:cs="Arial"/>
          <w:b/>
          <w:bCs/>
          <w:sz w:val="32"/>
          <w:szCs w:val="32"/>
        </w:rPr>
      </w:pPr>
    </w:p>
    <w:p w14:paraId="541860CB" w14:textId="295316B8" w:rsidR="00E45F80" w:rsidRDefault="00E45F80" w:rsidP="003D2329">
      <w:pPr>
        <w:rPr>
          <w:rFonts w:ascii="Arial" w:hAnsi="Arial" w:cs="Arial"/>
          <w:b/>
          <w:bCs/>
          <w:sz w:val="32"/>
          <w:szCs w:val="32"/>
        </w:rPr>
      </w:pPr>
      <w:r>
        <w:rPr>
          <w:rFonts w:ascii="Arial" w:hAnsi="Arial" w:cs="Arial"/>
          <w:b/>
          <w:bCs/>
          <w:sz w:val="32"/>
          <w:szCs w:val="32"/>
        </w:rPr>
        <w:lastRenderedPageBreak/>
        <w:t xml:space="preserve">   </w:t>
      </w:r>
      <w:r w:rsidR="00373B9D">
        <w:rPr>
          <w:rFonts w:ascii="Arial" w:hAnsi="Arial" w:cs="Arial"/>
          <w:b/>
          <w:bCs/>
          <w:sz w:val="32"/>
          <w:szCs w:val="32"/>
        </w:rPr>
        <w:t xml:space="preserve">                               </w:t>
      </w:r>
    </w:p>
    <w:p w14:paraId="511E9F67" w14:textId="77777777" w:rsidR="00B77775" w:rsidRPr="00495A94" w:rsidRDefault="00B77775" w:rsidP="00B77775">
      <w:pPr>
        <w:pStyle w:val="Title"/>
        <w:rPr>
          <w:rFonts w:ascii="Arial" w:hAnsi="Arial" w:cs="Arial"/>
          <w:sz w:val="32"/>
          <w:szCs w:val="32"/>
        </w:rPr>
      </w:pPr>
      <w:r w:rsidRPr="00495A94">
        <w:rPr>
          <w:rFonts w:ascii="Arial" w:hAnsi="Arial" w:cs="Arial"/>
          <w:sz w:val="32"/>
          <w:szCs w:val="32"/>
        </w:rPr>
        <w:t>The Impact of Responsible Gambling Initiatives on Customer Loyalty: A Case Study of Entain plc</w:t>
      </w:r>
    </w:p>
    <w:p w14:paraId="6C1DA0E5" w14:textId="77777777" w:rsidR="00716270" w:rsidRDefault="00716270" w:rsidP="003D2329">
      <w:pPr>
        <w:rPr>
          <w:rFonts w:ascii="Arial" w:hAnsi="Arial" w:cs="Arial"/>
          <w:b/>
          <w:bCs/>
          <w:sz w:val="32"/>
          <w:szCs w:val="32"/>
        </w:rPr>
      </w:pPr>
    </w:p>
    <w:p w14:paraId="542FC845" w14:textId="77777777" w:rsidR="00AD3EE2" w:rsidRPr="00495A94" w:rsidRDefault="00EE3E28" w:rsidP="003D2329">
      <w:pPr>
        <w:rPr>
          <w:rFonts w:cs="Arial"/>
          <w:b/>
          <w:bCs/>
          <w:sz w:val="24"/>
          <w:szCs w:val="24"/>
        </w:rPr>
      </w:pPr>
      <w:r w:rsidRPr="00495A94">
        <w:rPr>
          <w:rFonts w:cs="Arial"/>
          <w:b/>
          <w:bCs/>
          <w:sz w:val="24"/>
          <w:szCs w:val="24"/>
        </w:rPr>
        <w:t>Chapter</w:t>
      </w:r>
      <w:r w:rsidR="00AD3EE2" w:rsidRPr="00495A94">
        <w:rPr>
          <w:rFonts w:cs="Arial"/>
          <w:b/>
          <w:bCs/>
          <w:sz w:val="24"/>
          <w:szCs w:val="24"/>
        </w:rPr>
        <w:t xml:space="preserve"> 1</w:t>
      </w:r>
    </w:p>
    <w:p w14:paraId="7A9BD059" w14:textId="65E66EA6" w:rsidR="008C10C5" w:rsidRPr="00495A94" w:rsidRDefault="003D2329" w:rsidP="003D2329">
      <w:pPr>
        <w:rPr>
          <w:rFonts w:cs="Arial"/>
          <w:b/>
          <w:bCs/>
        </w:rPr>
      </w:pPr>
      <w:r w:rsidRPr="00495A94">
        <w:rPr>
          <w:rFonts w:cs="Arial"/>
          <w:b/>
          <w:bCs/>
        </w:rPr>
        <w:t>Introduction</w:t>
      </w:r>
    </w:p>
    <w:p w14:paraId="48AF3996" w14:textId="025EB308" w:rsidR="00940128" w:rsidRPr="00F77CF6" w:rsidRDefault="00940128" w:rsidP="002C5662">
      <w:pPr>
        <w:spacing w:after="100" w:afterAutospacing="1"/>
        <w:rPr>
          <w:rFonts w:cs="Arial"/>
          <w:sz w:val="20"/>
          <w:szCs w:val="20"/>
        </w:rPr>
      </w:pPr>
      <w:r w:rsidRPr="00F77CF6">
        <w:rPr>
          <w:rFonts w:cs="Arial"/>
          <w:sz w:val="20"/>
          <w:szCs w:val="20"/>
        </w:rPr>
        <w:t>Responsible gambling (RG) has become a central strategic priority within the global betting and gaming industry, reflecting increasing expectations for operators to ensure player safety while maintaining sustainable business growth. This study investigates the impact of responsible gambling initiatives on customer loyalty, focusing specifically on Entain plc, one of the world’s largest sports betting and gaming operators. With increasing regulatory scrutiny and growing public awareness of gambling-related harm, companies like Entain have implemented a range of RG tools</w:t>
      </w:r>
      <w:r w:rsidR="000C74C7" w:rsidRPr="00F77CF6">
        <w:rPr>
          <w:rFonts w:cs="Arial"/>
          <w:sz w:val="20"/>
          <w:szCs w:val="20"/>
        </w:rPr>
        <w:t xml:space="preserve"> </w:t>
      </w:r>
      <w:r w:rsidRPr="00F77CF6">
        <w:rPr>
          <w:rFonts w:cs="Arial"/>
          <w:sz w:val="20"/>
          <w:szCs w:val="20"/>
        </w:rPr>
        <w:t>such as deposit limits, self-exclusion options, and behavioural analytics</w:t>
      </w:r>
      <w:r w:rsidR="000C74C7" w:rsidRPr="00F77CF6">
        <w:rPr>
          <w:rFonts w:cs="Arial"/>
          <w:sz w:val="20"/>
          <w:szCs w:val="20"/>
        </w:rPr>
        <w:t xml:space="preserve"> </w:t>
      </w:r>
      <w:r w:rsidRPr="00F77CF6">
        <w:rPr>
          <w:rFonts w:cs="Arial"/>
          <w:sz w:val="20"/>
          <w:szCs w:val="20"/>
        </w:rPr>
        <w:t>designed to support safer gambling practices (Hing et al., 2019). This research examines how these initiatives influence customer perceptions, trust, and long-term loyalty within both Entain’s online and retail betting platforms.</w:t>
      </w:r>
    </w:p>
    <w:p w14:paraId="0AA101EB" w14:textId="38B655F3" w:rsidR="00A252F5" w:rsidRPr="00AB5BEB" w:rsidRDefault="00FC3CC2" w:rsidP="00AB5BEB">
      <w:pPr>
        <w:spacing w:after="100" w:afterAutospacing="1"/>
        <w:rPr>
          <w:rFonts w:cs="Arial"/>
          <w:sz w:val="20"/>
          <w:szCs w:val="20"/>
        </w:rPr>
      </w:pPr>
      <w:r w:rsidRPr="00F77CF6">
        <w:rPr>
          <w:rFonts w:cs="Arial"/>
          <w:sz w:val="20"/>
          <w:szCs w:val="20"/>
        </w:rPr>
        <w:t xml:space="preserve">Over recent years, the gambling industry has faced increasing scrutiny due to concerns about gambling-related harm, prompting operators to adopt RG practices to protect consumers (e.g., deposit/time limits, self-exclusion, behavioural monitoring). Recognising the need for a more proactive and technology-driven approach, Entain introduced a player-protection programme called ARC™ (Advanced Responsibility &amp; Care). ARC uses AI and behavioural analytics to identify risk </w:t>
      </w:r>
      <w:r w:rsidR="00CC7F0A" w:rsidRPr="00F77CF6">
        <w:rPr>
          <w:rFonts w:cs="Arial"/>
          <w:sz w:val="20"/>
          <w:szCs w:val="20"/>
        </w:rPr>
        <w:t>indicators such</w:t>
      </w:r>
      <w:r w:rsidRPr="00F77CF6">
        <w:rPr>
          <w:rFonts w:cs="Arial"/>
          <w:sz w:val="20"/>
          <w:szCs w:val="20"/>
        </w:rPr>
        <w:t xml:space="preserve"> as erratic stake fluctuations, long sessions or signs of chasing </w:t>
      </w:r>
      <w:r w:rsidR="00CC7F0A" w:rsidRPr="00F77CF6">
        <w:rPr>
          <w:rFonts w:cs="Arial"/>
          <w:sz w:val="20"/>
          <w:szCs w:val="20"/>
        </w:rPr>
        <w:t>losses and</w:t>
      </w:r>
      <w:r w:rsidRPr="00F77CF6">
        <w:rPr>
          <w:rFonts w:cs="Arial"/>
          <w:sz w:val="20"/>
          <w:szCs w:val="20"/>
        </w:rPr>
        <w:t xml:space="preserve"> triggers tailored interventions aimed at harm prevention.</w:t>
      </w:r>
      <w:r w:rsidR="00CC7F0A" w:rsidRPr="00F77CF6">
        <w:rPr>
          <w:rFonts w:cs="Arial"/>
          <w:sz w:val="20"/>
          <w:szCs w:val="20"/>
        </w:rPr>
        <w:t xml:space="preserve"> The impact of ARC has been significant: according to Entain’s ESG reports, by 2023 ARC-based player protection interventions rose sharply, with 742,112 customers using ARC tools and 8.7 million total interventions over the year, marking a 98% increase from the previous period. </w:t>
      </w:r>
      <w:r w:rsidR="00056670" w:rsidRPr="00F77CF6">
        <w:rPr>
          <w:rFonts w:cs="Arial"/>
          <w:sz w:val="20"/>
          <w:szCs w:val="20"/>
        </w:rPr>
        <w:t>These efforts have been recognised externally: Entain received the highest-level accreditation under the RG framework from GamCare the “Advanced Safer Gambling Standard” for both its online and land-based operations.</w:t>
      </w:r>
      <w:r w:rsidR="00350D8B" w:rsidRPr="00F77CF6">
        <w:rPr>
          <w:rFonts w:cs="Arial"/>
          <w:sz w:val="20"/>
          <w:szCs w:val="20"/>
        </w:rPr>
        <w:t xml:space="preserve"> Meanwhile, research on “positive play” behaviours such as setting betting limits, understanding odds realistically, and using RG tools suggests that such behaviours may influence loyalty. For example, a study found that positive play beliefs and behaviours predict attitudinal loyalty</w:t>
      </w:r>
      <w:r w:rsidR="00E95DBF" w:rsidRPr="00F77CF6">
        <w:rPr>
          <w:rFonts w:cs="Arial"/>
          <w:sz w:val="20"/>
          <w:szCs w:val="20"/>
        </w:rPr>
        <w:t xml:space="preserve"> among casino loyalty-program members.</w:t>
      </w:r>
      <w:r w:rsidR="00A5279A" w:rsidRPr="00F77CF6">
        <w:rPr>
          <w:rFonts w:cs="Arial"/>
          <w:sz w:val="20"/>
          <w:szCs w:val="20"/>
        </w:rPr>
        <w:t xml:space="preserve"> Therefore, exploring the link between RG practices and customer loyalty in a real-world operator context like Entain represents an important and timely research opportunity.</w:t>
      </w:r>
    </w:p>
    <w:p w14:paraId="131B5AD2" w14:textId="0DEAFAB7" w:rsidR="001B6282" w:rsidRPr="00AB5BEB" w:rsidRDefault="001B6282" w:rsidP="00AB5BEB">
      <w:pPr>
        <w:spacing w:after="100" w:afterAutospacing="1"/>
        <w:rPr>
          <w:rFonts w:cs="Arial"/>
          <w:sz w:val="20"/>
          <w:szCs w:val="20"/>
        </w:rPr>
      </w:pPr>
      <w:r w:rsidRPr="00AB5BEB">
        <w:rPr>
          <w:rFonts w:cs="Arial"/>
          <w:sz w:val="20"/>
          <w:szCs w:val="20"/>
        </w:rPr>
        <w:t>Entain plc (formerly GVC Holdings) is one of the leading FTSE 100 operators, as well as the worthy case study to evaluate the role of responsible gambling in enhancing customer loyalty. Entain</w:t>
      </w:r>
      <w:r w:rsidR="008C01A5" w:rsidRPr="00AB5BEB">
        <w:rPr>
          <w:rFonts w:cs="Arial"/>
          <w:sz w:val="20"/>
          <w:szCs w:val="20"/>
        </w:rPr>
        <w:t xml:space="preserve"> </w:t>
      </w:r>
      <w:r w:rsidRPr="00AB5BEB">
        <w:rPr>
          <w:rFonts w:cs="Arial"/>
          <w:sz w:val="20"/>
          <w:szCs w:val="20"/>
        </w:rPr>
        <w:t xml:space="preserve">owns major brands including Ladbrokes, coral, bwin and </w:t>
      </w:r>
      <w:proofErr w:type="spellStart"/>
      <w:r w:rsidRPr="00AB5BEB">
        <w:rPr>
          <w:rFonts w:cs="Arial"/>
          <w:sz w:val="20"/>
          <w:szCs w:val="20"/>
        </w:rPr>
        <w:t>BetMGM</w:t>
      </w:r>
      <w:proofErr w:type="spellEnd"/>
      <w:r w:rsidRPr="00AB5BEB">
        <w:rPr>
          <w:rFonts w:cs="Arial"/>
          <w:sz w:val="20"/>
          <w:szCs w:val="20"/>
        </w:rPr>
        <w:t xml:space="preserve"> which attract millions of customers in the international markets, particularly in the area of online services. The rebranding that the company has done in 2020 and the focus on sustainability, innovation, and safe gambling have made the company one of the first to transform the industry. The platform, which it uses in its label, Advanced Responsibility and Care (</w:t>
      </w:r>
      <w:proofErr w:type="spellStart"/>
      <w:r w:rsidRPr="00AB5BEB">
        <w:rPr>
          <w:rFonts w:cs="Arial"/>
          <w:sz w:val="20"/>
          <w:szCs w:val="20"/>
        </w:rPr>
        <w:t>ARCtm</w:t>
      </w:r>
      <w:proofErr w:type="spellEnd"/>
      <w:r w:rsidRPr="00AB5BEB">
        <w:rPr>
          <w:rFonts w:cs="Arial"/>
          <w:sz w:val="20"/>
          <w:szCs w:val="20"/>
        </w:rPr>
        <w:t xml:space="preserve">), is based on artificial intelligence to understand risky </w:t>
      </w:r>
      <w:proofErr w:type="spellStart"/>
      <w:r w:rsidRPr="00AB5BEB">
        <w:rPr>
          <w:rFonts w:cs="Arial"/>
          <w:sz w:val="20"/>
          <w:szCs w:val="20"/>
        </w:rPr>
        <w:t>behaviors</w:t>
      </w:r>
      <w:proofErr w:type="spellEnd"/>
      <w:r w:rsidRPr="00AB5BEB">
        <w:rPr>
          <w:rFonts w:cs="Arial"/>
          <w:sz w:val="20"/>
          <w:szCs w:val="20"/>
        </w:rPr>
        <w:t xml:space="preserve"> and provide individualized interventions, which is the core of its campaign, Changing for the Bettor. Entain has also put more into research, education, and harm treatment, over PS18 million in 2023- which is associated with corporate responsibility as well as strategic adjustment to more challenging regulatory environments.</w:t>
      </w:r>
    </w:p>
    <w:p w14:paraId="7A965C70" w14:textId="0DB746D9" w:rsidR="00421DF1" w:rsidRPr="00AB5BEB" w:rsidRDefault="00421DF1" w:rsidP="00AB5BEB">
      <w:pPr>
        <w:spacing w:after="100" w:afterAutospacing="1"/>
        <w:rPr>
          <w:rFonts w:cs="Arial"/>
          <w:sz w:val="20"/>
          <w:szCs w:val="20"/>
        </w:rPr>
      </w:pPr>
      <w:r w:rsidRPr="00AB5BEB">
        <w:rPr>
          <w:rFonts w:cs="Arial"/>
          <w:sz w:val="20"/>
          <w:szCs w:val="20"/>
        </w:rPr>
        <w:t xml:space="preserve">This study is motivated by the fact that gaming operators are facing a twofold problem in that they need to have strong consumer protection and be able to sustain their businesses and customer loyalty in the highly competitive regulated markets. The interaction of both the responsible gambling programs and the trust of the customers is very vital in this contemporary environment since companies, which do a good </w:t>
      </w:r>
      <w:r w:rsidRPr="00AB5BEB">
        <w:rPr>
          <w:rFonts w:cs="Arial"/>
          <w:sz w:val="20"/>
          <w:szCs w:val="20"/>
        </w:rPr>
        <w:lastRenderedPageBreak/>
        <w:t xml:space="preserve">job at protecting the players, are better placed to gain a </w:t>
      </w:r>
      <w:r w:rsidR="00AB5BEB" w:rsidRPr="00AB5BEB">
        <w:rPr>
          <w:rFonts w:cs="Arial"/>
          <w:sz w:val="20"/>
          <w:szCs w:val="20"/>
        </w:rPr>
        <w:t>long-term</w:t>
      </w:r>
      <w:r w:rsidRPr="00AB5BEB">
        <w:rPr>
          <w:rFonts w:cs="Arial"/>
          <w:sz w:val="20"/>
          <w:szCs w:val="20"/>
        </w:rPr>
        <w:t xml:space="preserve"> loyalty and good publics. In the context of Entain, it is not only a regulatory necessity but also a channel to a sustainable growth and a lead brand.</w:t>
      </w:r>
    </w:p>
    <w:p w14:paraId="6D08DA4E" w14:textId="77777777" w:rsidR="0089387E" w:rsidRPr="00AB5BEB" w:rsidRDefault="0089387E" w:rsidP="0089387E">
      <w:pPr>
        <w:rPr>
          <w:rFonts w:cs="Arial"/>
          <w:b/>
          <w:bCs/>
          <w:sz w:val="24"/>
          <w:szCs w:val="24"/>
        </w:rPr>
      </w:pPr>
      <w:r w:rsidRPr="00AB5BEB">
        <w:rPr>
          <w:rFonts w:cs="Arial"/>
          <w:b/>
          <w:bCs/>
          <w:sz w:val="24"/>
          <w:szCs w:val="24"/>
        </w:rPr>
        <w:t>2. Research Aim and Objectives</w:t>
      </w:r>
    </w:p>
    <w:p w14:paraId="07ABC0F9" w14:textId="77777777" w:rsidR="0089387E" w:rsidRPr="008D4F1E" w:rsidRDefault="0089387E" w:rsidP="0089387E">
      <w:pPr>
        <w:rPr>
          <w:rFonts w:cs="Arial"/>
          <w:sz w:val="24"/>
          <w:szCs w:val="24"/>
        </w:rPr>
      </w:pPr>
      <w:r w:rsidRPr="00AB5BEB">
        <w:rPr>
          <w:rFonts w:cs="Arial"/>
          <w:b/>
          <w:bCs/>
        </w:rPr>
        <w:t>Aim:</w:t>
      </w:r>
      <w:r w:rsidRPr="008D4F1E">
        <w:rPr>
          <w:rFonts w:cs="Arial"/>
          <w:sz w:val="24"/>
          <w:szCs w:val="24"/>
        </w:rPr>
        <w:br/>
      </w:r>
      <w:r w:rsidRPr="00CD034D">
        <w:rPr>
          <w:rFonts w:cs="Arial"/>
          <w:sz w:val="20"/>
          <w:szCs w:val="20"/>
        </w:rPr>
        <w:t>To assess the impact of responsible gambling initiatives on customer loyalty within Entain plc’s online betting platforms.</w:t>
      </w:r>
    </w:p>
    <w:p w14:paraId="42CEB6C9" w14:textId="77777777" w:rsidR="007A57FB" w:rsidRPr="00CD034D" w:rsidRDefault="007A57FB" w:rsidP="007A57FB">
      <w:pPr>
        <w:rPr>
          <w:rFonts w:cs="Arial"/>
          <w:sz w:val="20"/>
          <w:szCs w:val="20"/>
        </w:rPr>
      </w:pPr>
      <w:r w:rsidRPr="008D4F1E">
        <w:rPr>
          <w:rFonts w:cs="Arial"/>
          <w:b/>
          <w:bCs/>
        </w:rPr>
        <w:t>Objectives:</w:t>
      </w:r>
      <w:r w:rsidRPr="008D4F1E">
        <w:rPr>
          <w:rFonts w:cs="Arial"/>
        </w:rPr>
        <w:br/>
      </w:r>
      <w:r w:rsidRPr="00CD034D">
        <w:rPr>
          <w:rFonts w:cs="Arial"/>
          <w:sz w:val="20"/>
          <w:szCs w:val="20"/>
        </w:rPr>
        <w:t>1. To explore consumer perceptions of responsible gambling tools offered by Entain.</w:t>
      </w:r>
      <w:r w:rsidRPr="00CD034D">
        <w:rPr>
          <w:rFonts w:cs="Arial"/>
          <w:sz w:val="20"/>
          <w:szCs w:val="20"/>
        </w:rPr>
        <w:br/>
        <w:t>2. To evaluate the relationship between responsible gambling initiatives and customer trust.</w:t>
      </w:r>
      <w:r w:rsidRPr="00CD034D">
        <w:rPr>
          <w:rFonts w:cs="Arial"/>
          <w:sz w:val="20"/>
          <w:szCs w:val="20"/>
        </w:rPr>
        <w:br/>
        <w:t>3. To determine how these initiatives influence customer retention and loyalty.</w:t>
      </w:r>
      <w:r w:rsidRPr="00CD034D">
        <w:rPr>
          <w:rFonts w:cs="Arial"/>
          <w:sz w:val="20"/>
          <w:szCs w:val="20"/>
        </w:rPr>
        <w:br/>
        <w:t>4. To provide recommendations to improve the balance between player protection and business performance.</w:t>
      </w:r>
    </w:p>
    <w:p w14:paraId="560587AA" w14:textId="77777777" w:rsidR="00101855" w:rsidRPr="00CD034D" w:rsidRDefault="00101855" w:rsidP="00101855">
      <w:pPr>
        <w:rPr>
          <w:rFonts w:cs="Arial"/>
          <w:b/>
          <w:bCs/>
          <w:sz w:val="24"/>
          <w:szCs w:val="24"/>
        </w:rPr>
      </w:pPr>
      <w:r w:rsidRPr="00CD034D">
        <w:rPr>
          <w:rFonts w:cs="Arial"/>
          <w:b/>
          <w:bCs/>
          <w:sz w:val="24"/>
          <w:szCs w:val="24"/>
        </w:rPr>
        <w:t>3. Research Questions</w:t>
      </w:r>
    </w:p>
    <w:p w14:paraId="6CFB170A" w14:textId="6E18A1AB" w:rsidR="00A10F41" w:rsidRPr="00CD034D" w:rsidRDefault="00101855" w:rsidP="00A10F41">
      <w:pPr>
        <w:rPr>
          <w:rFonts w:cs="Arial"/>
          <w:sz w:val="20"/>
          <w:szCs w:val="20"/>
        </w:rPr>
      </w:pPr>
      <w:r w:rsidRPr="00CD034D">
        <w:rPr>
          <w:rFonts w:cs="Arial"/>
          <w:sz w:val="20"/>
          <w:szCs w:val="20"/>
        </w:rPr>
        <w:t>1. How do Entain’s customers perceive the company’s responsible gambling initiatives?</w:t>
      </w:r>
      <w:r w:rsidRPr="00CD034D">
        <w:rPr>
          <w:rFonts w:cs="Arial"/>
          <w:sz w:val="20"/>
          <w:szCs w:val="20"/>
        </w:rPr>
        <w:br/>
        <w:t>2. What is the relationship between responsible gambling practices and consumer trust?</w:t>
      </w:r>
      <w:r w:rsidRPr="00CD034D">
        <w:rPr>
          <w:rFonts w:cs="Arial"/>
          <w:sz w:val="20"/>
          <w:szCs w:val="20"/>
        </w:rPr>
        <w:br/>
        <w:t>3. To what extent do responsible gambling tools influence long-term customer loyalty?</w:t>
      </w:r>
      <w:r w:rsidRPr="00CD034D">
        <w:rPr>
          <w:rFonts w:cs="Arial"/>
          <w:sz w:val="20"/>
          <w:szCs w:val="20"/>
        </w:rPr>
        <w:br/>
        <w:t>4. How can Entain enhance responsible gambling policies while maintaining customer satisfaction?</w:t>
      </w:r>
    </w:p>
    <w:p w14:paraId="3608CF68" w14:textId="785A6F3B" w:rsidR="00A10F41" w:rsidRPr="007402F7" w:rsidRDefault="00A10F41" w:rsidP="00A10F41">
      <w:pPr>
        <w:rPr>
          <w:rFonts w:cs="Arial"/>
          <w:b/>
          <w:bCs/>
          <w:sz w:val="24"/>
          <w:szCs w:val="24"/>
        </w:rPr>
      </w:pPr>
      <w:r w:rsidRPr="007402F7">
        <w:rPr>
          <w:rFonts w:cs="Arial"/>
          <w:b/>
          <w:bCs/>
          <w:sz w:val="24"/>
          <w:szCs w:val="24"/>
        </w:rPr>
        <w:t>Metho</w:t>
      </w:r>
      <w:r w:rsidR="001A6029" w:rsidRPr="007402F7">
        <w:rPr>
          <w:rFonts w:cs="Arial"/>
          <w:b/>
          <w:bCs/>
          <w:sz w:val="24"/>
          <w:szCs w:val="24"/>
        </w:rPr>
        <w:t>dology and limitations:</w:t>
      </w:r>
    </w:p>
    <w:p w14:paraId="596BDF95" w14:textId="4CCE3943" w:rsidR="006D671F" w:rsidRPr="007402F7" w:rsidRDefault="0040268A" w:rsidP="006D671F">
      <w:pPr>
        <w:rPr>
          <w:rFonts w:cs="Arial"/>
          <w:sz w:val="20"/>
          <w:szCs w:val="20"/>
        </w:rPr>
      </w:pPr>
      <w:r w:rsidRPr="007402F7">
        <w:rPr>
          <w:rFonts w:cs="Arial"/>
          <w:sz w:val="20"/>
          <w:szCs w:val="20"/>
        </w:rPr>
        <w:t>The research will rely on secondary data analysis to utilize the primary sources such as the annual and ESG reports of Entain, regulatory documents, scholarly literature, and market research databases. Online customer survey will be done by the convenience sampling and potential qualitative interview. Ethical protection such as anonymity and harmlessness will be strictly enforced. Limitations include possible sample bias, use of external sources and limited access to internal proprietary data.</w:t>
      </w:r>
    </w:p>
    <w:p w14:paraId="27A1F889" w14:textId="00FF2113" w:rsidR="006D671F" w:rsidRPr="00056397" w:rsidRDefault="006D671F" w:rsidP="006D671F">
      <w:pPr>
        <w:rPr>
          <w:rFonts w:cs="Arial"/>
        </w:rPr>
      </w:pPr>
      <w:r w:rsidRPr="00056397">
        <w:rPr>
          <w:rFonts w:cs="Arial"/>
        </w:rPr>
        <w:t>Dissertation Structure:</w:t>
      </w:r>
    </w:p>
    <w:p w14:paraId="0BC85FB0" w14:textId="2E0C54EA" w:rsidR="006D671F" w:rsidRPr="007402F7" w:rsidRDefault="006D671F" w:rsidP="00C8571A">
      <w:pPr>
        <w:rPr>
          <w:rFonts w:cs="Arial"/>
          <w:sz w:val="20"/>
          <w:szCs w:val="20"/>
        </w:rPr>
      </w:pPr>
      <w:r w:rsidRPr="007402F7">
        <w:rPr>
          <w:rFonts w:cs="Arial"/>
          <w:sz w:val="20"/>
          <w:szCs w:val="20"/>
        </w:rPr>
        <w:t xml:space="preserve">Chapter 2: Literature review on RG, regulation, customer </w:t>
      </w:r>
      <w:r w:rsidR="00107F8F" w:rsidRPr="007402F7">
        <w:rPr>
          <w:rFonts w:cs="Arial"/>
          <w:sz w:val="20"/>
          <w:szCs w:val="20"/>
        </w:rPr>
        <w:t>behaviour</w:t>
      </w:r>
      <w:r w:rsidRPr="007402F7">
        <w:rPr>
          <w:rFonts w:cs="Arial"/>
          <w:sz w:val="20"/>
          <w:szCs w:val="20"/>
        </w:rPr>
        <w:t>, and loyalty</w:t>
      </w:r>
    </w:p>
    <w:p w14:paraId="210B9418" w14:textId="77777777" w:rsidR="006D671F" w:rsidRPr="007402F7" w:rsidRDefault="006D671F" w:rsidP="00C8571A">
      <w:pPr>
        <w:rPr>
          <w:rFonts w:cs="Arial"/>
          <w:sz w:val="20"/>
          <w:szCs w:val="20"/>
        </w:rPr>
      </w:pPr>
      <w:r w:rsidRPr="007402F7">
        <w:rPr>
          <w:rFonts w:cs="Arial"/>
          <w:sz w:val="20"/>
          <w:szCs w:val="20"/>
        </w:rPr>
        <w:t>Chapter 3: Methodology and data analysis approach</w:t>
      </w:r>
    </w:p>
    <w:p w14:paraId="543D1630" w14:textId="77777777" w:rsidR="006D671F" w:rsidRPr="007402F7" w:rsidRDefault="006D671F" w:rsidP="00C8571A">
      <w:pPr>
        <w:rPr>
          <w:rFonts w:cs="Arial"/>
          <w:sz w:val="20"/>
          <w:szCs w:val="20"/>
        </w:rPr>
      </w:pPr>
      <w:r w:rsidRPr="007402F7">
        <w:rPr>
          <w:rFonts w:cs="Arial"/>
          <w:sz w:val="20"/>
          <w:szCs w:val="20"/>
        </w:rPr>
        <w:t>Chapter 4: Findings from research</w:t>
      </w:r>
    </w:p>
    <w:p w14:paraId="4689157D" w14:textId="77777777" w:rsidR="006D671F" w:rsidRPr="007402F7" w:rsidRDefault="006D671F" w:rsidP="00C8571A">
      <w:pPr>
        <w:rPr>
          <w:rFonts w:cs="Arial"/>
          <w:sz w:val="20"/>
          <w:szCs w:val="20"/>
        </w:rPr>
      </w:pPr>
      <w:r w:rsidRPr="007402F7">
        <w:rPr>
          <w:rFonts w:cs="Arial"/>
          <w:sz w:val="20"/>
          <w:szCs w:val="20"/>
        </w:rPr>
        <w:t>Chapter 5: Discussion and evaluation</w:t>
      </w:r>
    </w:p>
    <w:p w14:paraId="140A4563" w14:textId="77777777" w:rsidR="006D671F" w:rsidRPr="007402F7" w:rsidRDefault="006D671F" w:rsidP="00C454B0">
      <w:pPr>
        <w:rPr>
          <w:rFonts w:cs="Arial"/>
          <w:sz w:val="20"/>
          <w:szCs w:val="20"/>
        </w:rPr>
      </w:pPr>
      <w:r w:rsidRPr="007402F7">
        <w:rPr>
          <w:rFonts w:cs="Arial"/>
          <w:sz w:val="20"/>
          <w:szCs w:val="20"/>
        </w:rPr>
        <w:t>Chapter 6: Conclusion and recommendations</w:t>
      </w:r>
    </w:p>
    <w:p w14:paraId="2E70A138" w14:textId="77777777" w:rsidR="00266604" w:rsidRPr="006A3E0C" w:rsidRDefault="00266604" w:rsidP="00C454B0"/>
    <w:p w14:paraId="47062DFB" w14:textId="77777777" w:rsidR="00AE7C2A" w:rsidRPr="007C7F55" w:rsidRDefault="00AE7C2A" w:rsidP="00AE7C2A">
      <w:pPr>
        <w:rPr>
          <w:b/>
          <w:bCs/>
          <w:sz w:val="24"/>
          <w:szCs w:val="24"/>
        </w:rPr>
      </w:pPr>
      <w:r w:rsidRPr="007C7F55">
        <w:rPr>
          <w:b/>
          <w:bCs/>
          <w:sz w:val="24"/>
          <w:szCs w:val="24"/>
        </w:rPr>
        <w:t>CHAPTER 2: LITERATURE REVIEW</w:t>
      </w:r>
    </w:p>
    <w:p w14:paraId="531EDA36" w14:textId="77777777" w:rsidR="00AE7C2A" w:rsidRPr="007402F7" w:rsidRDefault="00AE7C2A" w:rsidP="00AE7C2A">
      <w:pPr>
        <w:rPr>
          <w:b/>
          <w:bCs/>
        </w:rPr>
      </w:pPr>
      <w:r w:rsidRPr="007402F7">
        <w:rPr>
          <w:b/>
          <w:bCs/>
        </w:rPr>
        <w:t>2.1 Introduction</w:t>
      </w:r>
    </w:p>
    <w:p w14:paraId="61A63643" w14:textId="0BFF6165" w:rsidR="00AE7C2A" w:rsidRPr="007B2802" w:rsidRDefault="00AE7C2A" w:rsidP="00AE7C2A">
      <w:pPr>
        <w:rPr>
          <w:rFonts w:cs="Arial"/>
          <w:sz w:val="20"/>
          <w:szCs w:val="20"/>
        </w:rPr>
      </w:pPr>
      <w:r w:rsidRPr="007B2802">
        <w:rPr>
          <w:rFonts w:cs="Arial"/>
          <w:sz w:val="20"/>
          <w:szCs w:val="20"/>
        </w:rPr>
        <w:t xml:space="preserve">Responsible gambling (RG) has become a central concern for gambling operators, regulators and public </w:t>
      </w:r>
      <w:r w:rsidRPr="007402F7">
        <w:rPr>
          <w:rFonts w:cs="Arial"/>
          <w:sz w:val="20"/>
          <w:szCs w:val="20"/>
        </w:rPr>
        <w:t>health</w:t>
      </w:r>
      <w:r w:rsidRPr="007B2802">
        <w:rPr>
          <w:rFonts w:cs="Arial"/>
          <w:sz w:val="20"/>
          <w:szCs w:val="20"/>
        </w:rPr>
        <w:t xml:space="preserve"> bodies, especially in online markets where availability and speed can intensify harm. RG initiatives are intended to minimise gambling</w:t>
      </w:r>
      <w:r w:rsidR="00522369" w:rsidRPr="007B2802">
        <w:rPr>
          <w:rFonts w:cs="Arial"/>
          <w:sz w:val="20"/>
          <w:szCs w:val="20"/>
        </w:rPr>
        <w:t xml:space="preserve"> </w:t>
      </w:r>
      <w:r w:rsidRPr="007B2802">
        <w:rPr>
          <w:rFonts w:cs="Arial"/>
          <w:sz w:val="20"/>
          <w:szCs w:val="20"/>
        </w:rPr>
        <w:t xml:space="preserve">related problems while allowing adults to gamble recreationally. At the same time, operators compete in highly saturated digital markets where customer </w:t>
      </w:r>
      <w:r w:rsidR="00522369" w:rsidRPr="007B2802">
        <w:rPr>
          <w:rFonts w:cs="Arial"/>
          <w:sz w:val="20"/>
          <w:szCs w:val="20"/>
        </w:rPr>
        <w:t>loyalty repeat</w:t>
      </w:r>
      <w:r w:rsidRPr="007B2802">
        <w:rPr>
          <w:rFonts w:cs="Arial"/>
          <w:sz w:val="20"/>
          <w:szCs w:val="20"/>
        </w:rPr>
        <w:t xml:space="preserve"> use, positive attitudes and resistance to switching is commercially critical.</w:t>
      </w:r>
    </w:p>
    <w:p w14:paraId="407C90B7" w14:textId="125A0B56" w:rsidR="00AE7C2A" w:rsidRPr="007B2802" w:rsidRDefault="00AE7C2A" w:rsidP="00AE7C2A">
      <w:pPr>
        <w:rPr>
          <w:rFonts w:cs="Arial"/>
          <w:sz w:val="20"/>
          <w:szCs w:val="20"/>
        </w:rPr>
      </w:pPr>
      <w:r w:rsidRPr="007B2802">
        <w:rPr>
          <w:rFonts w:cs="Arial"/>
          <w:sz w:val="20"/>
          <w:szCs w:val="20"/>
        </w:rPr>
        <w:t>Entain plc, which owns Ladbrokes, Coral and other brands, presents itself as an industry leader in safer gambling. Its “Advanced Responsibility and Care” (ARC) system uses real-time behavioural data and artificial intelligence to identify risky play and trigger tailored interventions before serious harm emerges.</w:t>
      </w:r>
      <w:sdt>
        <w:sdtPr>
          <w:rPr>
            <w:rFonts w:cs="Arial"/>
            <w:sz w:val="20"/>
            <w:szCs w:val="20"/>
          </w:rPr>
          <w:id w:val="-715739351"/>
          <w:citation/>
        </w:sdtPr>
        <w:sdtEndPr/>
        <w:sdtContent>
          <w:r w:rsidR="00384984" w:rsidRPr="007B2802">
            <w:rPr>
              <w:rFonts w:cs="Arial"/>
              <w:sz w:val="20"/>
              <w:szCs w:val="20"/>
            </w:rPr>
            <w:fldChar w:fldCharType="begin"/>
          </w:r>
          <w:r w:rsidR="00384984" w:rsidRPr="007B2802">
            <w:rPr>
              <w:rFonts w:cs="Arial"/>
              <w:sz w:val="20"/>
              <w:szCs w:val="20"/>
            </w:rPr>
            <w:instrText xml:space="preserve"> CITATION ENT25 \l 16393 </w:instrText>
          </w:r>
          <w:r w:rsidR="00384984" w:rsidRPr="007B2802">
            <w:rPr>
              <w:rFonts w:cs="Arial"/>
              <w:sz w:val="20"/>
              <w:szCs w:val="20"/>
            </w:rPr>
            <w:fldChar w:fldCharType="separate"/>
          </w:r>
          <w:r w:rsidR="009E45A7" w:rsidRPr="007B2802">
            <w:rPr>
              <w:rFonts w:cs="Arial"/>
              <w:sz w:val="20"/>
              <w:szCs w:val="20"/>
            </w:rPr>
            <w:t xml:space="preserve"> </w:t>
          </w:r>
          <w:r w:rsidR="009E45A7" w:rsidRPr="007B2802">
            <w:rPr>
              <w:rFonts w:cs="Arial"/>
              <w:sz w:val="20"/>
              <w:szCs w:val="20"/>
            </w:rPr>
            <w:lastRenderedPageBreak/>
            <w:t>(ENTAIN, n.d.)</w:t>
          </w:r>
          <w:r w:rsidR="00384984" w:rsidRPr="007B2802">
            <w:rPr>
              <w:rFonts w:cs="Arial"/>
              <w:sz w:val="20"/>
              <w:szCs w:val="20"/>
            </w:rPr>
            <w:fldChar w:fldCharType="end"/>
          </w:r>
        </w:sdtContent>
      </w:sdt>
      <w:r w:rsidRPr="007B2802">
        <w:rPr>
          <w:rFonts w:cs="Arial"/>
          <w:sz w:val="20"/>
          <w:szCs w:val="20"/>
        </w:rPr>
        <w:t xml:space="preserve"> Entain has also received GamCare’s Advanced Safer Gambling Standard accreditation, signalling high standards of player protection in its UK operations.</w:t>
      </w:r>
      <w:sdt>
        <w:sdtPr>
          <w:rPr>
            <w:rFonts w:cs="Arial"/>
            <w:sz w:val="20"/>
            <w:szCs w:val="20"/>
          </w:rPr>
          <w:id w:val="408360596"/>
          <w:citation/>
        </w:sdtPr>
        <w:sdtEndPr/>
        <w:sdtContent>
          <w:r w:rsidR="009E1971" w:rsidRPr="007B2802">
            <w:rPr>
              <w:rFonts w:cs="Arial"/>
              <w:sz w:val="20"/>
              <w:szCs w:val="20"/>
            </w:rPr>
            <w:fldChar w:fldCharType="begin"/>
          </w:r>
          <w:r w:rsidR="009E1971" w:rsidRPr="007B2802">
            <w:rPr>
              <w:rFonts w:cs="Arial"/>
              <w:sz w:val="20"/>
              <w:szCs w:val="20"/>
            </w:rPr>
            <w:instrText xml:space="preserve"> CITATION Ent22 \l 16393 </w:instrText>
          </w:r>
          <w:r w:rsidR="009E1971" w:rsidRPr="007B2802">
            <w:rPr>
              <w:rFonts w:cs="Arial"/>
              <w:sz w:val="20"/>
              <w:szCs w:val="20"/>
            </w:rPr>
            <w:fldChar w:fldCharType="separate"/>
          </w:r>
          <w:r w:rsidR="009E45A7" w:rsidRPr="007B2802">
            <w:rPr>
              <w:rFonts w:cs="Arial"/>
              <w:sz w:val="20"/>
              <w:szCs w:val="20"/>
            </w:rPr>
            <w:t xml:space="preserve"> (Entain Plc, 2022)</w:t>
          </w:r>
          <w:r w:rsidR="009E1971" w:rsidRPr="007B2802">
            <w:rPr>
              <w:rFonts w:cs="Arial"/>
              <w:sz w:val="20"/>
              <w:szCs w:val="20"/>
            </w:rPr>
            <w:fldChar w:fldCharType="end"/>
          </w:r>
        </w:sdtContent>
      </w:sdt>
    </w:p>
    <w:p w14:paraId="05C8974C" w14:textId="77777777" w:rsidR="00AE7C2A" w:rsidRPr="007B2802" w:rsidRDefault="00AE7C2A" w:rsidP="00AE7C2A">
      <w:pPr>
        <w:rPr>
          <w:rFonts w:cs="Arial"/>
          <w:sz w:val="20"/>
          <w:szCs w:val="20"/>
        </w:rPr>
      </w:pPr>
      <w:r w:rsidRPr="007B2802">
        <w:rPr>
          <w:rFonts w:cs="Arial"/>
          <w:sz w:val="20"/>
          <w:szCs w:val="20"/>
        </w:rPr>
        <w:t>Despite these developments, academic evidence on whether such initiatives strengthen, weaken or have no effect on customer loyalty is limited and mixed. This chapter reviews the literature relevant to the impact of RG initiatives on customer loyalty, with specific reference to Entain. Section 2.2 introduces key concepts and background; Section 2.3 discusses relevant theoretical frameworks; Section 2.4 reviews empirical studies and practice-based evidence; Section 2.5 identifies gaps that motivate the current research; and Section 2.6 summarises the key points.</w:t>
      </w:r>
    </w:p>
    <w:p w14:paraId="7B60F7C7" w14:textId="3D855133" w:rsidR="00AE7C2A" w:rsidRPr="007C7F55" w:rsidRDefault="00AE7C2A" w:rsidP="00AE7C2A"/>
    <w:p w14:paraId="520E7DD6" w14:textId="77777777" w:rsidR="00AE7C2A" w:rsidRDefault="00AE7C2A" w:rsidP="00AE7C2A">
      <w:pPr>
        <w:rPr>
          <w:b/>
          <w:bCs/>
          <w:sz w:val="24"/>
          <w:szCs w:val="24"/>
        </w:rPr>
      </w:pPr>
      <w:r w:rsidRPr="007C7F55">
        <w:rPr>
          <w:b/>
          <w:bCs/>
          <w:sz w:val="24"/>
          <w:szCs w:val="24"/>
        </w:rPr>
        <w:t>2.2 Base Theory and Background Aspects</w:t>
      </w:r>
    </w:p>
    <w:p w14:paraId="559E637F" w14:textId="77777777" w:rsidR="00D1173B" w:rsidRPr="007B2802" w:rsidRDefault="007D5C06" w:rsidP="00D1173B">
      <w:pPr>
        <w:rPr>
          <w:b/>
          <w:bCs/>
        </w:rPr>
      </w:pPr>
      <w:r w:rsidRPr="007B2802">
        <w:rPr>
          <w:b/>
          <w:bCs/>
        </w:rPr>
        <w:t>2</w:t>
      </w:r>
      <w:r w:rsidR="004C6104" w:rsidRPr="007B2802">
        <w:rPr>
          <w:b/>
          <w:bCs/>
        </w:rPr>
        <w:t>.2.1</w:t>
      </w:r>
      <w:r w:rsidR="008302D7" w:rsidRPr="007B2802">
        <w:rPr>
          <w:b/>
          <w:bCs/>
        </w:rPr>
        <w:t xml:space="preserve"> </w:t>
      </w:r>
      <w:r w:rsidR="00D1173B" w:rsidRPr="007B2802">
        <w:rPr>
          <w:b/>
          <w:bCs/>
        </w:rPr>
        <w:t>Responsible Gambling and Its Impact on Customer Behaviour and Mental Health</w:t>
      </w:r>
    </w:p>
    <w:p w14:paraId="2665D6A6" w14:textId="408EDCD8" w:rsidR="008740E6" w:rsidRDefault="00054E1B" w:rsidP="008740E6">
      <w:pPr>
        <w:rPr>
          <w:b/>
          <w:bCs/>
        </w:rPr>
      </w:pPr>
      <w:r w:rsidRPr="004E34D0">
        <w:rPr>
          <w:sz w:val="20"/>
          <w:szCs w:val="20"/>
        </w:rPr>
        <w:t xml:space="preserve">Responsible gambling (RG) is a collection of policies, practices, and protective measures aimed at preventing and reducing gambling-related harm and yet enable gambling to continue to be an adult form of entertainment. The common RG measures are self-exclusion programmes, limits on deposits and losses, time-out, reality checks, age and identity checks, staff training and behavioural monitoring to identify risky gambling habits. The initial versions of RG put much emphasis on personal responsibility, including informed choice and self-regulation. Nevertheless, these findings are being counterbalanced by more and more evidence in </w:t>
      </w:r>
      <w:proofErr w:type="spellStart"/>
      <w:r w:rsidRPr="004E34D0">
        <w:rPr>
          <w:sz w:val="20"/>
          <w:szCs w:val="20"/>
        </w:rPr>
        <w:t>favor</w:t>
      </w:r>
      <w:proofErr w:type="spellEnd"/>
      <w:r w:rsidRPr="004E34D0">
        <w:rPr>
          <w:sz w:val="20"/>
          <w:szCs w:val="20"/>
        </w:rPr>
        <w:t xml:space="preserve"> of a shared-responsibility approach, in which gambling operators and regulators have a role to play in minimizing harm, especially with regard to online gambling where the pace, accessibility and the design of products can render personal self-control ineffective.</w:t>
      </w:r>
      <w:r w:rsidR="008740E6" w:rsidRPr="0087617C">
        <w:t xml:space="preserve"> </w:t>
      </w:r>
      <w:sdt>
        <w:sdtPr>
          <w:id w:val="-1404374727"/>
          <w:citation/>
        </w:sdtPr>
        <w:sdtContent>
          <w:r w:rsidR="00BE3D2D">
            <w:fldChar w:fldCharType="begin"/>
          </w:r>
          <w:r w:rsidR="00BE3D2D">
            <w:instrText xml:space="preserve"> CITATION Bla11 \l 16393 </w:instrText>
          </w:r>
          <w:r w:rsidR="00BE3D2D">
            <w:fldChar w:fldCharType="separate"/>
          </w:r>
          <w:r w:rsidR="00BE3D2D" w:rsidRPr="00BE3D2D">
            <w:rPr>
              <w:noProof/>
            </w:rPr>
            <w:t>(Blaszczynski, 2011)</w:t>
          </w:r>
          <w:r w:rsidR="00BE3D2D">
            <w:fldChar w:fldCharType="end"/>
          </w:r>
        </w:sdtContent>
      </w:sdt>
    </w:p>
    <w:p w14:paraId="0C3F355F" w14:textId="4B7F2B32" w:rsidR="00E1504E" w:rsidRDefault="00E1504E" w:rsidP="00E1504E">
      <w:r w:rsidRPr="00C90945">
        <w:rPr>
          <w:sz w:val="20"/>
          <w:szCs w:val="20"/>
        </w:rPr>
        <w:t>The significance of responsible gambling is based on the fact that it is a fundamental consumer protection and public health tool. Harm caused by gambling is not only monetary but also psychological, conflict with the family, decreased workplace productivity and strain on health and social care. The successful RG initiatives would focus on minimising the prevalence and severity of these harms by detecting the risky behaviour early and putting the proper protection. Regulation RG promotes fairness, transparency, and trustworthiness of the gambling markets, which makes their social legitimacy. RG is also of strategic value to the gambling operators since lack of successful full responsible gambling can result in regulatory fines, tarnished reputations, and loss of operating licences</w:t>
      </w:r>
      <w:r w:rsidRPr="004D4274">
        <w:t>.</w:t>
      </w:r>
      <w:sdt>
        <w:sdtPr>
          <w:id w:val="198362601"/>
          <w:citation/>
        </w:sdtPr>
        <w:sdtContent>
          <w:r w:rsidR="00B04FA2">
            <w:fldChar w:fldCharType="begin"/>
          </w:r>
          <w:r w:rsidR="00B04FA2">
            <w:instrText xml:space="preserve"> CITATION War20 \l 16393 </w:instrText>
          </w:r>
          <w:r w:rsidR="00B04FA2">
            <w:fldChar w:fldCharType="separate"/>
          </w:r>
          <w:r w:rsidR="00B04FA2">
            <w:rPr>
              <w:noProof/>
            </w:rPr>
            <w:t xml:space="preserve"> </w:t>
          </w:r>
          <w:r w:rsidR="00B04FA2" w:rsidRPr="00B04FA2">
            <w:rPr>
              <w:noProof/>
            </w:rPr>
            <w:t>(Wardle, 2020)</w:t>
          </w:r>
          <w:r w:rsidR="00B04FA2">
            <w:fldChar w:fldCharType="end"/>
          </w:r>
        </w:sdtContent>
      </w:sdt>
      <w:r w:rsidRPr="0087617C">
        <w:t xml:space="preserve"> </w:t>
      </w:r>
    </w:p>
    <w:p w14:paraId="70DEF981" w14:textId="66B29816" w:rsidR="00850A78" w:rsidRDefault="00850A78" w:rsidP="00850A78">
      <w:r w:rsidRPr="001E1FDC">
        <w:rPr>
          <w:sz w:val="20"/>
          <w:szCs w:val="20"/>
        </w:rPr>
        <w:t>Psychological reinforcement, emotional vulnerability and structural characteristics of gambling products, including rapid response play and variable reward schedules, determine the customer behaviour in the gambling settings. Although some people may gamble recreationally and have no side effects, extensive studies have been associated with excessive gambling as a negative effect on mental health, such as anxiety, depression, stress and emotional regulation. Loss of control and compulsive behaviour tend to characterize problem gambling as individuals tend to use gambling as a coping mechanism of negative emotions. This may form a vicious circle whereby psychological distress enhances gambling behaviour and gambling losses further enhance mental health.</w:t>
      </w:r>
      <w:sdt>
        <w:sdtPr>
          <w:rPr>
            <w:sz w:val="20"/>
            <w:szCs w:val="20"/>
          </w:rPr>
          <w:id w:val="-943840844"/>
          <w:citation/>
        </w:sdtPr>
        <w:sdtContent>
          <w:r w:rsidR="00B23D71">
            <w:rPr>
              <w:sz w:val="20"/>
              <w:szCs w:val="20"/>
            </w:rPr>
            <w:fldChar w:fldCharType="begin"/>
          </w:r>
          <w:r w:rsidR="00B23D71">
            <w:rPr>
              <w:sz w:val="20"/>
              <w:szCs w:val="20"/>
            </w:rPr>
            <w:instrText xml:space="preserve"> CITATION Fel11 \l 16393 </w:instrText>
          </w:r>
          <w:r w:rsidR="00B23D71">
            <w:rPr>
              <w:sz w:val="20"/>
              <w:szCs w:val="20"/>
            </w:rPr>
            <w:fldChar w:fldCharType="separate"/>
          </w:r>
          <w:r w:rsidR="00B23D71">
            <w:rPr>
              <w:noProof/>
              <w:sz w:val="20"/>
              <w:szCs w:val="20"/>
            </w:rPr>
            <w:t xml:space="preserve"> </w:t>
          </w:r>
          <w:r w:rsidR="00B23D71" w:rsidRPr="00B23D71">
            <w:rPr>
              <w:noProof/>
              <w:sz w:val="20"/>
              <w:szCs w:val="20"/>
            </w:rPr>
            <w:t>(Felicity K. Lorains, 2011)</w:t>
          </w:r>
          <w:r w:rsidR="00B23D71">
            <w:rPr>
              <w:sz w:val="20"/>
              <w:szCs w:val="20"/>
            </w:rPr>
            <w:fldChar w:fldCharType="end"/>
          </w:r>
        </w:sdtContent>
      </w:sdt>
      <w:r w:rsidRPr="001E1FDC">
        <w:rPr>
          <w:sz w:val="20"/>
          <w:szCs w:val="20"/>
        </w:rPr>
        <w:t xml:space="preserve"> </w:t>
      </w:r>
    </w:p>
    <w:p w14:paraId="117FDAB9" w14:textId="04E01AF9" w:rsidR="00CB4770" w:rsidRDefault="000D3238" w:rsidP="00CB4770">
      <w:r w:rsidRPr="000D3238">
        <w:rPr>
          <w:sz w:val="20"/>
          <w:szCs w:val="20"/>
        </w:rPr>
        <w:t>These psychological effects make conventional understandings of customer behaviour and loyalty difficult. The habit of gambling could be an indicator of compulsion and not satisfaction, trust or a positive attachment to the brand. Responsible gaming programs have the potential to break the cycles of harmful behaviour through raising awareness and perceived control and through safer gambling. Nonetheless, the reaction of customers to the RG tools is not uniform: some people see them as protective and helping, whereas some other people are invasive or inhibitory. In line with this, proportionality, transparency and perceived credibility of RG initiatives are key determinants of their success in improving mental health outcomes and customer attitudes.</w:t>
      </w:r>
      <w:sdt>
        <w:sdtPr>
          <w:rPr>
            <w:sz w:val="20"/>
            <w:szCs w:val="20"/>
          </w:rPr>
          <w:id w:val="1010336124"/>
          <w:citation/>
        </w:sdtPr>
        <w:sdtContent>
          <w:r w:rsidR="00B84C96">
            <w:rPr>
              <w:sz w:val="20"/>
              <w:szCs w:val="20"/>
            </w:rPr>
            <w:fldChar w:fldCharType="begin"/>
          </w:r>
          <w:r w:rsidR="00B84C96">
            <w:rPr>
              <w:sz w:val="20"/>
              <w:szCs w:val="20"/>
            </w:rPr>
            <w:instrText xml:space="preserve"> CITATION Gai18 \l 16393 </w:instrText>
          </w:r>
          <w:r w:rsidR="00B84C96">
            <w:rPr>
              <w:sz w:val="20"/>
              <w:szCs w:val="20"/>
            </w:rPr>
            <w:fldChar w:fldCharType="separate"/>
          </w:r>
          <w:r w:rsidR="00B84C96">
            <w:rPr>
              <w:noProof/>
              <w:sz w:val="20"/>
              <w:szCs w:val="20"/>
            </w:rPr>
            <w:t xml:space="preserve"> </w:t>
          </w:r>
          <w:r w:rsidR="00B84C96" w:rsidRPr="00B84C96">
            <w:rPr>
              <w:noProof/>
              <w:sz w:val="20"/>
              <w:szCs w:val="20"/>
            </w:rPr>
            <w:t>(Gainsbury, 2018)</w:t>
          </w:r>
          <w:r w:rsidR="00B84C96">
            <w:rPr>
              <w:sz w:val="20"/>
              <w:szCs w:val="20"/>
            </w:rPr>
            <w:fldChar w:fldCharType="end"/>
          </w:r>
        </w:sdtContent>
      </w:sdt>
      <w:r w:rsidR="00CB4770" w:rsidRPr="001E2867">
        <w:rPr>
          <w:sz w:val="20"/>
          <w:szCs w:val="20"/>
        </w:rPr>
        <w:t xml:space="preserve"> </w:t>
      </w:r>
    </w:p>
    <w:p w14:paraId="0E91D33B" w14:textId="385BE976" w:rsidR="000E5EBF" w:rsidRDefault="000E5EBF" w:rsidP="002C4C25">
      <w:pPr>
        <w:rPr>
          <w:sz w:val="20"/>
          <w:szCs w:val="20"/>
        </w:rPr>
      </w:pPr>
    </w:p>
    <w:p w14:paraId="28102D95" w14:textId="4745EBA2" w:rsidR="004A76C7" w:rsidRDefault="005112DE" w:rsidP="004A76C7">
      <w:pPr>
        <w:rPr>
          <w:b/>
          <w:bCs/>
          <w:sz w:val="24"/>
          <w:szCs w:val="24"/>
        </w:rPr>
      </w:pPr>
      <w:r>
        <w:rPr>
          <w:b/>
          <w:bCs/>
          <w:sz w:val="24"/>
          <w:szCs w:val="24"/>
        </w:rPr>
        <w:lastRenderedPageBreak/>
        <w:t xml:space="preserve">2.2.3 </w:t>
      </w:r>
      <w:r w:rsidR="004A76C7" w:rsidRPr="004A76C7">
        <w:rPr>
          <w:b/>
          <w:bCs/>
          <w:sz w:val="24"/>
          <w:szCs w:val="24"/>
        </w:rPr>
        <w:t>Entain’s Responsible Gambling initiatives &amp; Their Role in Enhancing customer loyalty</w:t>
      </w:r>
    </w:p>
    <w:p w14:paraId="26FDB599" w14:textId="6DBA5436" w:rsidR="00735491" w:rsidRPr="00136DD0" w:rsidRDefault="00735491" w:rsidP="00092220">
      <w:pPr>
        <w:rPr>
          <w:sz w:val="20"/>
          <w:szCs w:val="20"/>
        </w:rPr>
      </w:pPr>
      <w:r w:rsidRPr="00136DD0">
        <w:rPr>
          <w:sz w:val="20"/>
          <w:szCs w:val="20"/>
        </w:rPr>
        <w:t>Entain plc makes safer gambling central to its operating model, where its flagship Advanced Responsibility and Care (ARC™) system applies behavioural indicators and AI-driven analytics to detect signs of potential harm (e.g. unusual deposit frequency, lengthy sessions, quick changes in staking) and instigate more personalised customer interactions to prevent a problem. This turns safer gambling, in terms of loyalty, into a compliance add-on, however, and the brand may be viewed as a more trusted and professionally-managed service, when risk is proactively tracked and addressed</w:t>
      </w:r>
      <w:r w:rsidRPr="00D91CB9">
        <w:rPr>
          <w:sz w:val="20"/>
          <w:szCs w:val="20"/>
        </w:rPr>
        <w:t>.</w:t>
      </w:r>
      <w:sdt>
        <w:sdtPr>
          <w:id w:val="-2005114013"/>
          <w:citation/>
        </w:sdtPr>
        <w:sdtContent>
          <w:r w:rsidR="00D91CB9" w:rsidRPr="00D91CB9">
            <w:fldChar w:fldCharType="begin"/>
          </w:r>
          <w:r w:rsidR="00D91CB9" w:rsidRPr="00D91CB9">
            <w:instrText xml:space="preserve"> CITATION Ent232 \l 16393 </w:instrText>
          </w:r>
          <w:r w:rsidR="00D91CB9" w:rsidRPr="00D91CB9">
            <w:fldChar w:fldCharType="separate"/>
          </w:r>
          <w:r w:rsidR="00D91CB9" w:rsidRPr="00D91CB9">
            <w:rPr>
              <w:noProof/>
            </w:rPr>
            <w:t>(Entain plc, 2023)</w:t>
          </w:r>
          <w:r w:rsidR="00D91CB9" w:rsidRPr="00D91CB9">
            <w:fldChar w:fldCharType="end"/>
          </w:r>
        </w:sdtContent>
      </w:sdt>
      <w:sdt>
        <w:sdtPr>
          <w:id w:val="-1009755976"/>
          <w:citation/>
        </w:sdtPr>
        <w:sdtContent>
          <w:r w:rsidR="00026FAC">
            <w:fldChar w:fldCharType="begin"/>
          </w:r>
          <w:r w:rsidR="00026FAC">
            <w:instrText xml:space="preserve"> CITATION Ent21 \l 16393 </w:instrText>
          </w:r>
          <w:r w:rsidR="00026FAC">
            <w:fldChar w:fldCharType="separate"/>
          </w:r>
          <w:r w:rsidR="00026FAC">
            <w:rPr>
              <w:noProof/>
            </w:rPr>
            <w:t xml:space="preserve"> </w:t>
          </w:r>
          <w:r w:rsidR="00026FAC" w:rsidRPr="00026FAC">
            <w:rPr>
              <w:noProof/>
            </w:rPr>
            <w:t>(Entain plc, 2021)</w:t>
          </w:r>
          <w:r w:rsidR="00026FAC">
            <w:fldChar w:fldCharType="end"/>
          </w:r>
        </w:sdtContent>
      </w:sdt>
    </w:p>
    <w:p w14:paraId="3720B982" w14:textId="4D863A1A" w:rsidR="00446828" w:rsidRPr="00025230" w:rsidRDefault="00446828" w:rsidP="00092220">
      <w:pPr>
        <w:rPr>
          <w:sz w:val="20"/>
          <w:szCs w:val="20"/>
        </w:rPr>
      </w:pPr>
      <w:r w:rsidRPr="00136DD0">
        <w:rPr>
          <w:sz w:val="20"/>
          <w:szCs w:val="20"/>
        </w:rPr>
        <w:t>The self-reporting of Entain presents ARC as being compatible with sustained engagement, with such results as 92% of higher-risk customers maintaining or reducing a limit due to ARC interventions, and 95% still active 30 days after contact. These statistics (albeit operator-reported) create a case of sustainable loyalty: instead of maximising intensity, safer gambling will promote further involvement at lower risk levels of customer confidence and decrease the risk of crisis-induced self-exclusion or drop-out. Nonetheless, the causality in attitudinal loyalty (commitment and advocacy) cannot be well established without conducting research on customers separately.</w:t>
      </w:r>
      <w:sdt>
        <w:sdtPr>
          <w:rPr>
            <w:sz w:val="20"/>
            <w:szCs w:val="20"/>
          </w:rPr>
          <w:id w:val="1533693365"/>
          <w:citation/>
        </w:sdtPr>
        <w:sdtContent>
          <w:r w:rsidR="00042346">
            <w:rPr>
              <w:sz w:val="20"/>
              <w:szCs w:val="20"/>
            </w:rPr>
            <w:fldChar w:fldCharType="begin"/>
          </w:r>
          <w:r w:rsidR="00042346">
            <w:rPr>
              <w:sz w:val="20"/>
              <w:szCs w:val="20"/>
            </w:rPr>
            <w:instrText xml:space="preserve"> CITATION Ent233 \l 16393 </w:instrText>
          </w:r>
          <w:r w:rsidR="00042346">
            <w:rPr>
              <w:sz w:val="20"/>
              <w:szCs w:val="20"/>
            </w:rPr>
            <w:fldChar w:fldCharType="separate"/>
          </w:r>
          <w:r w:rsidR="00042346">
            <w:rPr>
              <w:noProof/>
              <w:sz w:val="20"/>
              <w:szCs w:val="20"/>
            </w:rPr>
            <w:t xml:space="preserve"> </w:t>
          </w:r>
          <w:r w:rsidR="00042346" w:rsidRPr="00042346">
            <w:rPr>
              <w:noProof/>
              <w:sz w:val="20"/>
              <w:szCs w:val="20"/>
            </w:rPr>
            <w:t>(Entain plc, 2023)</w:t>
          </w:r>
          <w:r w:rsidR="00042346">
            <w:rPr>
              <w:sz w:val="20"/>
              <w:szCs w:val="20"/>
            </w:rPr>
            <w:fldChar w:fldCharType="end"/>
          </w:r>
        </w:sdtContent>
      </w:sdt>
      <w:r w:rsidR="00D807FD">
        <w:t xml:space="preserve"> </w:t>
      </w:r>
      <w:sdt>
        <w:sdtPr>
          <w:id w:val="1125276259"/>
          <w:citation/>
        </w:sdtPr>
        <w:sdtContent>
          <w:r w:rsidR="00D4665B">
            <w:fldChar w:fldCharType="begin"/>
          </w:r>
          <w:r w:rsidR="00D4665B">
            <w:instrText xml:space="preserve"> CITATION Mac24 \l 16393 </w:instrText>
          </w:r>
          <w:r w:rsidR="00D4665B">
            <w:fldChar w:fldCharType="separate"/>
          </w:r>
          <w:r w:rsidR="00D4665B" w:rsidRPr="00D4665B">
            <w:rPr>
              <w:noProof/>
            </w:rPr>
            <w:t>(Macedo, 2024)</w:t>
          </w:r>
          <w:r w:rsidR="00D4665B">
            <w:fldChar w:fldCharType="end"/>
          </w:r>
        </w:sdtContent>
      </w:sdt>
    </w:p>
    <w:p w14:paraId="4DFA5187" w14:textId="2B563DA4" w:rsidR="00D807FD" w:rsidRPr="00830CC0" w:rsidRDefault="00D82681" w:rsidP="00092220">
      <w:pPr>
        <w:rPr>
          <w:sz w:val="20"/>
          <w:szCs w:val="20"/>
        </w:rPr>
      </w:pPr>
      <w:r w:rsidRPr="00830CC0">
        <w:rPr>
          <w:sz w:val="20"/>
          <w:szCs w:val="20"/>
        </w:rPr>
        <w:t>Entain also uses third-party validation as a way to enhance credibility, such as with the Safer Gambling Standard of GamCare at advanced levels to have its operations, which may help customers trust it by indicating that its operations and governance are audited. One of the antecedents of loyalty in the digital services is trust, particularly where the customers are high-risk perishers (fairness, data use, withdrawals). However, perceived authenticity is important to trust: and when the customers see accreditation as a sign of badge marketing as opposed to a sign of serious protection, the effects of loyalty might be minimal.</w:t>
      </w:r>
      <w:sdt>
        <w:sdtPr>
          <w:rPr>
            <w:sz w:val="20"/>
            <w:szCs w:val="20"/>
          </w:rPr>
          <w:id w:val="-1988617348"/>
          <w:citation/>
        </w:sdtPr>
        <w:sdtContent>
          <w:r w:rsidR="00CF0D01">
            <w:rPr>
              <w:sz w:val="20"/>
              <w:szCs w:val="20"/>
            </w:rPr>
            <w:fldChar w:fldCharType="begin"/>
          </w:r>
          <w:r w:rsidR="00CF0D01">
            <w:rPr>
              <w:sz w:val="20"/>
              <w:szCs w:val="20"/>
            </w:rPr>
            <w:instrText xml:space="preserve"> CITATION Ent22 \l 16393 </w:instrText>
          </w:r>
          <w:r w:rsidR="00CF0D01">
            <w:rPr>
              <w:sz w:val="20"/>
              <w:szCs w:val="20"/>
            </w:rPr>
            <w:fldChar w:fldCharType="separate"/>
          </w:r>
          <w:r w:rsidR="00CF0D01">
            <w:rPr>
              <w:noProof/>
              <w:sz w:val="20"/>
              <w:szCs w:val="20"/>
            </w:rPr>
            <w:t xml:space="preserve"> </w:t>
          </w:r>
          <w:r w:rsidR="00CF0D01" w:rsidRPr="00CF0D01">
            <w:rPr>
              <w:noProof/>
              <w:sz w:val="20"/>
              <w:szCs w:val="20"/>
            </w:rPr>
            <w:t>(Entain Plc, 2022)</w:t>
          </w:r>
          <w:r w:rsidR="00CF0D01">
            <w:rPr>
              <w:sz w:val="20"/>
              <w:szCs w:val="20"/>
            </w:rPr>
            <w:fldChar w:fldCharType="end"/>
          </w:r>
        </w:sdtContent>
      </w:sdt>
      <w:sdt>
        <w:sdtPr>
          <w:rPr>
            <w:sz w:val="20"/>
            <w:szCs w:val="20"/>
          </w:rPr>
          <w:id w:val="-1955937122"/>
          <w:citation/>
        </w:sdtPr>
        <w:sdtContent>
          <w:r w:rsidR="00A83021">
            <w:rPr>
              <w:sz w:val="20"/>
              <w:szCs w:val="20"/>
            </w:rPr>
            <w:fldChar w:fldCharType="begin"/>
          </w:r>
          <w:r w:rsidR="00A83021">
            <w:rPr>
              <w:sz w:val="20"/>
              <w:szCs w:val="20"/>
            </w:rPr>
            <w:instrText xml:space="preserve"> CITATION Ent243 \l 16393 </w:instrText>
          </w:r>
          <w:r w:rsidR="00A83021">
            <w:rPr>
              <w:sz w:val="20"/>
              <w:szCs w:val="20"/>
            </w:rPr>
            <w:fldChar w:fldCharType="separate"/>
          </w:r>
          <w:r w:rsidR="00A83021">
            <w:rPr>
              <w:noProof/>
              <w:sz w:val="20"/>
              <w:szCs w:val="20"/>
            </w:rPr>
            <w:t xml:space="preserve"> </w:t>
          </w:r>
          <w:r w:rsidR="00A83021" w:rsidRPr="00A83021">
            <w:rPr>
              <w:noProof/>
              <w:sz w:val="20"/>
              <w:szCs w:val="20"/>
            </w:rPr>
            <w:t>(Entain plc, 2024)</w:t>
          </w:r>
          <w:r w:rsidR="00A83021">
            <w:rPr>
              <w:sz w:val="20"/>
              <w:szCs w:val="20"/>
            </w:rPr>
            <w:fldChar w:fldCharType="end"/>
          </w:r>
        </w:sdtContent>
      </w:sdt>
    </w:p>
    <w:p w14:paraId="503C1433" w14:textId="6699D0FE" w:rsidR="006A16AA" w:rsidRPr="002B0879" w:rsidRDefault="006A16AA" w:rsidP="00092220">
      <w:pPr>
        <w:rPr>
          <w:sz w:val="20"/>
          <w:szCs w:val="20"/>
        </w:rPr>
      </w:pPr>
      <w:r w:rsidRPr="002B0879">
        <w:rPr>
          <w:sz w:val="20"/>
          <w:szCs w:val="20"/>
        </w:rPr>
        <w:t>One of them is a critical aspect since the effect of loyalty may not be the same across the customer segments. Customers whose preferences are high intensity (can be affected by interventions, like limits, checks, friction) can perceive it as invasive and can move to the competition, whereas recreational ones can appreciate a safer environment. The reputational history can also limit the responsible positioning of Entain, as any historical failed regulatory practices can undermine the effectiveness of the present-day ones and influence the way in which the customers will decipher the message of responsibility. This renders customer perception rather than tool deployment a key point when gauging the level to which RG initiatives contribute to loyalty.</w:t>
      </w:r>
      <w:sdt>
        <w:sdtPr>
          <w:rPr>
            <w:sz w:val="20"/>
            <w:szCs w:val="20"/>
          </w:rPr>
          <w:id w:val="-1684744327"/>
          <w:citation/>
        </w:sdtPr>
        <w:sdtContent>
          <w:r w:rsidR="00A353A7">
            <w:rPr>
              <w:sz w:val="20"/>
              <w:szCs w:val="20"/>
            </w:rPr>
            <w:fldChar w:fldCharType="begin"/>
          </w:r>
          <w:r w:rsidR="00A353A7">
            <w:rPr>
              <w:sz w:val="20"/>
              <w:szCs w:val="20"/>
            </w:rPr>
            <w:instrText xml:space="preserve"> CITATION Rac22 \l 16393 </w:instrText>
          </w:r>
          <w:r w:rsidR="00A353A7">
            <w:rPr>
              <w:sz w:val="20"/>
              <w:szCs w:val="20"/>
            </w:rPr>
            <w:fldChar w:fldCharType="separate"/>
          </w:r>
          <w:r w:rsidR="00A353A7">
            <w:rPr>
              <w:noProof/>
              <w:sz w:val="20"/>
              <w:szCs w:val="20"/>
            </w:rPr>
            <w:t xml:space="preserve"> </w:t>
          </w:r>
          <w:r w:rsidR="00A353A7" w:rsidRPr="00A353A7">
            <w:rPr>
              <w:noProof/>
              <w:sz w:val="20"/>
              <w:szCs w:val="20"/>
            </w:rPr>
            <w:t>(Racing Post, 2022)</w:t>
          </w:r>
          <w:r w:rsidR="00A353A7">
            <w:rPr>
              <w:sz w:val="20"/>
              <w:szCs w:val="20"/>
            </w:rPr>
            <w:fldChar w:fldCharType="end"/>
          </w:r>
        </w:sdtContent>
      </w:sdt>
      <w:r w:rsidR="009641BE">
        <w:rPr>
          <w:sz w:val="20"/>
          <w:szCs w:val="20"/>
        </w:rPr>
        <w:t xml:space="preserve"> </w:t>
      </w:r>
      <w:sdt>
        <w:sdtPr>
          <w:rPr>
            <w:sz w:val="20"/>
            <w:szCs w:val="20"/>
          </w:rPr>
          <w:id w:val="1724706507"/>
          <w:citation/>
        </w:sdtPr>
        <w:sdtContent>
          <w:r w:rsidR="009641BE">
            <w:rPr>
              <w:sz w:val="20"/>
              <w:szCs w:val="20"/>
            </w:rPr>
            <w:fldChar w:fldCharType="begin"/>
          </w:r>
          <w:r w:rsidR="009641BE">
            <w:rPr>
              <w:sz w:val="20"/>
              <w:szCs w:val="20"/>
            </w:rPr>
            <w:instrText xml:space="preserve"> CITATION Ent234 \l 16393 </w:instrText>
          </w:r>
          <w:r w:rsidR="009641BE">
            <w:rPr>
              <w:sz w:val="20"/>
              <w:szCs w:val="20"/>
            </w:rPr>
            <w:fldChar w:fldCharType="separate"/>
          </w:r>
          <w:r w:rsidR="009641BE" w:rsidRPr="009641BE">
            <w:rPr>
              <w:noProof/>
              <w:sz w:val="20"/>
              <w:szCs w:val="20"/>
            </w:rPr>
            <w:t>(Entain plc, 2023)</w:t>
          </w:r>
          <w:r w:rsidR="009641BE">
            <w:rPr>
              <w:sz w:val="20"/>
              <w:szCs w:val="20"/>
            </w:rPr>
            <w:fldChar w:fldCharType="end"/>
          </w:r>
        </w:sdtContent>
      </w:sdt>
    </w:p>
    <w:p w14:paraId="59EA552C" w14:textId="2EC71858" w:rsidR="00092220" w:rsidRDefault="007F5CF1" w:rsidP="00092220">
      <w:pPr>
        <w:rPr>
          <w:b/>
          <w:bCs/>
          <w:sz w:val="24"/>
          <w:szCs w:val="24"/>
        </w:rPr>
      </w:pPr>
      <w:r>
        <w:rPr>
          <w:b/>
          <w:bCs/>
          <w:sz w:val="24"/>
          <w:szCs w:val="24"/>
        </w:rPr>
        <w:t xml:space="preserve">2.2.4 </w:t>
      </w:r>
      <w:r w:rsidR="00092220" w:rsidRPr="00092220">
        <w:rPr>
          <w:b/>
          <w:bCs/>
          <w:sz w:val="24"/>
          <w:szCs w:val="24"/>
        </w:rPr>
        <w:t>Effectiveness and customer benefits</w:t>
      </w:r>
    </w:p>
    <w:p w14:paraId="40C90FAB" w14:textId="61923ED8" w:rsidR="005B566D" w:rsidRPr="00C44580" w:rsidRDefault="006716E2" w:rsidP="00AE7C2A">
      <w:pPr>
        <w:rPr>
          <w:sz w:val="20"/>
          <w:szCs w:val="20"/>
        </w:rPr>
      </w:pPr>
      <w:r w:rsidRPr="006716E2">
        <w:rPr>
          <w:sz w:val="20"/>
          <w:szCs w:val="20"/>
        </w:rPr>
        <w:t>In Entain plc, the responsible gambling initiatives are implemented in its Advanced Responsibility and Care (ARC™) programme, which operates on the basis of real-time behavioural data and artificial intelligence to detect signs of harm and set up customised customer responses. According to Entain, ARC interventions have caused a large share of the higher-risk customers to switch to or keep to safer gambling controls, a substantial number of which remain at lower risk levels. This implies that proactive and individualised interventions may work in alleviating damage without an immediate lack of engagement with customers and therefore a model of sustainable play and not unlimited gambling may be effective</w:t>
      </w:r>
      <w:r w:rsidR="000706E2">
        <w:rPr>
          <w:sz w:val="20"/>
          <w:szCs w:val="20"/>
        </w:rPr>
        <w:t>.</w:t>
      </w:r>
      <w:sdt>
        <w:sdtPr>
          <w:rPr>
            <w:sz w:val="20"/>
            <w:szCs w:val="20"/>
          </w:rPr>
          <w:id w:val="1635824146"/>
          <w:citation/>
        </w:sdtPr>
        <w:sdtContent>
          <w:r w:rsidR="00122CAC" w:rsidRPr="00122CAC">
            <w:rPr>
              <w:sz w:val="20"/>
              <w:szCs w:val="20"/>
            </w:rPr>
            <w:fldChar w:fldCharType="begin"/>
          </w:r>
          <w:r w:rsidR="00122CAC" w:rsidRPr="00122CAC">
            <w:rPr>
              <w:sz w:val="20"/>
              <w:szCs w:val="20"/>
            </w:rPr>
            <w:instrText xml:space="preserve"> CITATION Ent234 \l 16393 </w:instrText>
          </w:r>
          <w:r w:rsidR="00122CAC" w:rsidRPr="00122CAC">
            <w:rPr>
              <w:sz w:val="20"/>
              <w:szCs w:val="20"/>
            </w:rPr>
            <w:fldChar w:fldCharType="separate"/>
          </w:r>
          <w:r w:rsidR="00122CAC" w:rsidRPr="00122CAC">
            <w:rPr>
              <w:noProof/>
              <w:sz w:val="20"/>
              <w:szCs w:val="20"/>
            </w:rPr>
            <w:t xml:space="preserve"> (Entain plc, 2023)</w:t>
          </w:r>
          <w:r w:rsidR="00122CAC" w:rsidRPr="00122CAC">
            <w:rPr>
              <w:sz w:val="20"/>
              <w:szCs w:val="20"/>
            </w:rPr>
            <w:fldChar w:fldCharType="end"/>
          </w:r>
        </w:sdtContent>
      </w:sdt>
      <w:r w:rsidR="00922BA0" w:rsidRPr="00C44580">
        <w:rPr>
          <w:sz w:val="20"/>
          <w:szCs w:val="20"/>
        </w:rPr>
        <w:t xml:space="preserve"> </w:t>
      </w:r>
      <w:sdt>
        <w:sdtPr>
          <w:rPr>
            <w:sz w:val="20"/>
            <w:szCs w:val="20"/>
          </w:rPr>
          <w:id w:val="1081491355"/>
          <w:citation/>
        </w:sdtPr>
        <w:sdtContent>
          <w:r w:rsidR="002341D0">
            <w:rPr>
              <w:sz w:val="20"/>
              <w:szCs w:val="20"/>
            </w:rPr>
            <w:fldChar w:fldCharType="begin"/>
          </w:r>
          <w:r w:rsidR="002341D0">
            <w:rPr>
              <w:sz w:val="20"/>
              <w:szCs w:val="20"/>
            </w:rPr>
            <w:instrText xml:space="preserve"> CITATION iGa24 \l 16393 </w:instrText>
          </w:r>
          <w:r w:rsidR="002341D0">
            <w:rPr>
              <w:sz w:val="20"/>
              <w:szCs w:val="20"/>
            </w:rPr>
            <w:fldChar w:fldCharType="separate"/>
          </w:r>
          <w:r w:rsidR="002341D0" w:rsidRPr="002341D0">
            <w:rPr>
              <w:noProof/>
              <w:sz w:val="20"/>
              <w:szCs w:val="20"/>
            </w:rPr>
            <w:t>(iGaming Business, 2024)</w:t>
          </w:r>
          <w:r w:rsidR="002341D0">
            <w:rPr>
              <w:sz w:val="20"/>
              <w:szCs w:val="20"/>
            </w:rPr>
            <w:fldChar w:fldCharType="end"/>
          </w:r>
        </w:sdtContent>
      </w:sdt>
    </w:p>
    <w:p w14:paraId="705535A4" w14:textId="011F7D8A" w:rsidR="00AB788B" w:rsidRDefault="0005476E" w:rsidP="00AE7C2A">
      <w:pPr>
        <w:rPr>
          <w:sz w:val="20"/>
          <w:szCs w:val="20"/>
        </w:rPr>
      </w:pPr>
      <w:r w:rsidRPr="0005476E">
        <w:rPr>
          <w:sz w:val="20"/>
          <w:szCs w:val="20"/>
        </w:rPr>
        <w:t xml:space="preserve">From a consumer perspective such an approach could be considered to have positive effects including </w:t>
      </w:r>
      <w:r w:rsidR="00600440" w:rsidRPr="0005476E">
        <w:rPr>
          <w:sz w:val="20"/>
          <w:szCs w:val="20"/>
        </w:rPr>
        <w:t>increased control over the gambling behaviour, less financial and psychological harm experienced and increased belief in the operator’s commitment to the safety of the players. The use of external validated measures such as GamCare’s Advanced Safer Gambling Standard adds further trust and credibility and would contribute to longer-term relationships with customers, even if short-term expenditure might be moderated.</w:t>
      </w:r>
      <w:sdt>
        <w:sdtPr>
          <w:rPr>
            <w:sz w:val="20"/>
            <w:szCs w:val="20"/>
          </w:rPr>
          <w:id w:val="1892845105"/>
          <w:citation/>
        </w:sdtPr>
        <w:sdtContent>
          <w:r w:rsidR="002649B0">
            <w:rPr>
              <w:sz w:val="20"/>
              <w:szCs w:val="20"/>
            </w:rPr>
            <w:fldChar w:fldCharType="begin"/>
          </w:r>
          <w:r w:rsidR="002649B0">
            <w:rPr>
              <w:sz w:val="20"/>
              <w:szCs w:val="20"/>
            </w:rPr>
            <w:instrText xml:space="preserve"> CITATION UKG25 \l 16393 </w:instrText>
          </w:r>
          <w:r w:rsidR="002649B0">
            <w:rPr>
              <w:sz w:val="20"/>
              <w:szCs w:val="20"/>
            </w:rPr>
            <w:fldChar w:fldCharType="separate"/>
          </w:r>
          <w:r w:rsidR="002649B0">
            <w:rPr>
              <w:noProof/>
              <w:sz w:val="20"/>
              <w:szCs w:val="20"/>
            </w:rPr>
            <w:t xml:space="preserve"> </w:t>
          </w:r>
          <w:r w:rsidR="002649B0" w:rsidRPr="002649B0">
            <w:rPr>
              <w:noProof/>
              <w:sz w:val="20"/>
              <w:szCs w:val="20"/>
            </w:rPr>
            <w:t>(UK Gambling Commission, 2025)</w:t>
          </w:r>
          <w:r w:rsidR="002649B0">
            <w:rPr>
              <w:sz w:val="20"/>
              <w:szCs w:val="20"/>
            </w:rPr>
            <w:fldChar w:fldCharType="end"/>
          </w:r>
        </w:sdtContent>
      </w:sdt>
      <w:sdt>
        <w:sdtPr>
          <w:rPr>
            <w:sz w:val="20"/>
            <w:szCs w:val="20"/>
          </w:rPr>
          <w:id w:val="-709722446"/>
          <w:citation/>
        </w:sdtPr>
        <w:sdtContent>
          <w:r w:rsidR="00386B63">
            <w:rPr>
              <w:sz w:val="20"/>
              <w:szCs w:val="20"/>
            </w:rPr>
            <w:fldChar w:fldCharType="begin"/>
          </w:r>
          <w:r w:rsidR="00386B63">
            <w:rPr>
              <w:sz w:val="20"/>
              <w:szCs w:val="20"/>
            </w:rPr>
            <w:instrText xml:space="preserve"> CITATION Gam19 \l 16393 </w:instrText>
          </w:r>
          <w:r w:rsidR="00386B63">
            <w:rPr>
              <w:sz w:val="20"/>
              <w:szCs w:val="20"/>
            </w:rPr>
            <w:fldChar w:fldCharType="separate"/>
          </w:r>
          <w:r w:rsidR="00386B63">
            <w:rPr>
              <w:noProof/>
              <w:sz w:val="20"/>
              <w:szCs w:val="20"/>
            </w:rPr>
            <w:t xml:space="preserve"> </w:t>
          </w:r>
          <w:r w:rsidR="00386B63" w:rsidRPr="00386B63">
            <w:rPr>
              <w:noProof/>
              <w:sz w:val="20"/>
              <w:szCs w:val="20"/>
            </w:rPr>
            <w:t>(GamCare, 2019)</w:t>
          </w:r>
          <w:r w:rsidR="00386B63">
            <w:rPr>
              <w:sz w:val="20"/>
              <w:szCs w:val="20"/>
            </w:rPr>
            <w:fldChar w:fldCharType="end"/>
          </w:r>
        </w:sdtContent>
      </w:sdt>
      <w:r w:rsidR="008D1645">
        <w:rPr>
          <w:sz w:val="20"/>
          <w:szCs w:val="20"/>
        </w:rPr>
        <w:t>.</w:t>
      </w:r>
    </w:p>
    <w:p w14:paraId="253EB9F2" w14:textId="77777777" w:rsidR="00427F3B" w:rsidRPr="006716E2" w:rsidRDefault="00427F3B" w:rsidP="00AE7C2A">
      <w:pPr>
        <w:rPr>
          <w:sz w:val="20"/>
          <w:szCs w:val="20"/>
        </w:rPr>
      </w:pPr>
    </w:p>
    <w:p w14:paraId="2EAF8F49" w14:textId="77777777" w:rsidR="00AE7C2A" w:rsidRPr="007C7F55" w:rsidRDefault="00AE7C2A" w:rsidP="00AE7C2A">
      <w:pPr>
        <w:rPr>
          <w:b/>
          <w:bCs/>
          <w:sz w:val="24"/>
          <w:szCs w:val="24"/>
        </w:rPr>
      </w:pPr>
      <w:r w:rsidRPr="007C7F55">
        <w:rPr>
          <w:b/>
          <w:bCs/>
          <w:sz w:val="24"/>
          <w:szCs w:val="24"/>
        </w:rPr>
        <w:t>2.3 Theoretical Frameworks, Models and Related Issues</w:t>
      </w:r>
    </w:p>
    <w:p w14:paraId="2018B15F" w14:textId="77777777" w:rsidR="00AE7C2A" w:rsidRPr="00600440" w:rsidRDefault="00AE7C2A" w:rsidP="00AE7C2A">
      <w:pPr>
        <w:rPr>
          <w:b/>
          <w:bCs/>
        </w:rPr>
      </w:pPr>
      <w:r w:rsidRPr="00600440">
        <w:rPr>
          <w:b/>
          <w:bCs/>
        </w:rPr>
        <w:lastRenderedPageBreak/>
        <w:t>2.3.1 Stakeholder Theory</w:t>
      </w:r>
    </w:p>
    <w:p w14:paraId="6E5958C9" w14:textId="52142B5F" w:rsidR="00AE7C2A" w:rsidRPr="00A2751C" w:rsidRDefault="00AE7C2A" w:rsidP="00AE7C2A">
      <w:pPr>
        <w:rPr>
          <w:sz w:val="20"/>
          <w:szCs w:val="20"/>
        </w:rPr>
      </w:pPr>
      <w:r w:rsidRPr="00A2751C">
        <w:rPr>
          <w:sz w:val="20"/>
          <w:szCs w:val="20"/>
        </w:rPr>
        <w:t xml:space="preserve">Stakeholder theory argues that firms should create value for a broad set of stakeholders, not just shareholders </w:t>
      </w:r>
      <w:sdt>
        <w:sdtPr>
          <w:rPr>
            <w:sz w:val="20"/>
            <w:szCs w:val="20"/>
          </w:rPr>
          <w:id w:val="-1475515796"/>
          <w:citation/>
        </w:sdtPr>
        <w:sdtEndPr/>
        <w:sdtContent>
          <w:r w:rsidR="0057533C" w:rsidRPr="00A2751C">
            <w:rPr>
              <w:sz w:val="20"/>
              <w:szCs w:val="20"/>
            </w:rPr>
            <w:fldChar w:fldCharType="begin"/>
          </w:r>
          <w:r w:rsidR="0057533C" w:rsidRPr="00A2751C">
            <w:rPr>
              <w:sz w:val="20"/>
              <w:szCs w:val="20"/>
            </w:rPr>
            <w:instrText xml:space="preserve"> CITATION Fre10 \l 16393 </w:instrText>
          </w:r>
          <w:r w:rsidR="0057533C" w:rsidRPr="00A2751C">
            <w:rPr>
              <w:sz w:val="20"/>
              <w:szCs w:val="20"/>
            </w:rPr>
            <w:fldChar w:fldCharType="separate"/>
          </w:r>
          <w:r w:rsidR="009E45A7" w:rsidRPr="009E45A7">
            <w:rPr>
              <w:noProof/>
              <w:sz w:val="20"/>
              <w:szCs w:val="20"/>
            </w:rPr>
            <w:t>(Freeman, 2010)</w:t>
          </w:r>
          <w:r w:rsidR="0057533C" w:rsidRPr="00A2751C">
            <w:rPr>
              <w:sz w:val="20"/>
              <w:szCs w:val="20"/>
            </w:rPr>
            <w:fldChar w:fldCharType="end"/>
          </w:r>
        </w:sdtContent>
      </w:sdt>
      <w:r w:rsidRPr="00A2751C">
        <w:rPr>
          <w:sz w:val="20"/>
          <w:szCs w:val="20"/>
        </w:rPr>
        <w:t>. Applied to gambling, RG is a concrete expression of duties to customers, regulators, communities and advocacy groups. From this perspective, Entain’s investment in ARC, RET funding and higher-standard accreditations can be interpreted as seeking alignment between shareholder interests and those of other stakeholders.</w:t>
      </w:r>
      <w:sdt>
        <w:sdtPr>
          <w:rPr>
            <w:sz w:val="20"/>
            <w:szCs w:val="20"/>
          </w:rPr>
          <w:id w:val="154113269"/>
          <w:citation/>
        </w:sdtPr>
        <w:sdtEndPr/>
        <w:sdtContent>
          <w:r w:rsidR="00F32375" w:rsidRPr="00A2751C">
            <w:rPr>
              <w:sz w:val="20"/>
              <w:szCs w:val="20"/>
            </w:rPr>
            <w:fldChar w:fldCharType="begin"/>
          </w:r>
          <w:r w:rsidR="00F32375" w:rsidRPr="00A2751C">
            <w:rPr>
              <w:sz w:val="20"/>
              <w:szCs w:val="20"/>
            </w:rPr>
            <w:instrText xml:space="preserve"> CITATION Eur22 \l 16393 </w:instrText>
          </w:r>
          <w:r w:rsidR="00F32375" w:rsidRPr="00A2751C">
            <w:rPr>
              <w:sz w:val="20"/>
              <w:szCs w:val="20"/>
            </w:rPr>
            <w:fldChar w:fldCharType="separate"/>
          </w:r>
          <w:r w:rsidR="009E45A7">
            <w:rPr>
              <w:noProof/>
              <w:sz w:val="20"/>
              <w:szCs w:val="20"/>
            </w:rPr>
            <w:t xml:space="preserve"> </w:t>
          </w:r>
          <w:r w:rsidR="009E45A7" w:rsidRPr="009E45A7">
            <w:rPr>
              <w:noProof/>
              <w:sz w:val="20"/>
              <w:szCs w:val="20"/>
            </w:rPr>
            <w:t>(Association, 2022)</w:t>
          </w:r>
          <w:r w:rsidR="00F32375" w:rsidRPr="00A2751C">
            <w:rPr>
              <w:sz w:val="20"/>
              <w:szCs w:val="20"/>
            </w:rPr>
            <w:fldChar w:fldCharType="end"/>
          </w:r>
        </w:sdtContent>
      </w:sdt>
      <w:r w:rsidR="005C258B" w:rsidRPr="00A2751C">
        <w:rPr>
          <w:sz w:val="20"/>
          <w:szCs w:val="20"/>
        </w:rPr>
        <w:t xml:space="preserve"> </w:t>
      </w:r>
    </w:p>
    <w:p w14:paraId="74AFF799" w14:textId="77777777" w:rsidR="00AE7C2A" w:rsidRPr="00A2751C" w:rsidRDefault="00AE7C2A" w:rsidP="00AE7C2A">
      <w:pPr>
        <w:rPr>
          <w:sz w:val="20"/>
          <w:szCs w:val="20"/>
        </w:rPr>
      </w:pPr>
      <w:r w:rsidRPr="00A2751C">
        <w:rPr>
          <w:sz w:val="20"/>
          <w:szCs w:val="20"/>
        </w:rPr>
        <w:t>However, stakeholder theory is sometimes criticised for glossing over conflicts between stakeholder groups. In practice, high-value customers who generate a large proportion of revenue may also face the highest risk of harm. For Entain, restricting or closing such accounts for RG reasons could reduce short-term profit. The literature offers little empirical insight into how operators actually balance these trade-offs, or how customers perceive them, leaving an important theoretical and practical gap.</w:t>
      </w:r>
    </w:p>
    <w:p w14:paraId="1DBAAE08" w14:textId="77777777" w:rsidR="00AE7C2A" w:rsidRPr="001F25BA" w:rsidRDefault="00AE7C2A" w:rsidP="00AE7C2A">
      <w:pPr>
        <w:rPr>
          <w:b/>
          <w:bCs/>
        </w:rPr>
      </w:pPr>
      <w:r w:rsidRPr="001F25BA">
        <w:rPr>
          <w:b/>
          <w:bCs/>
        </w:rPr>
        <w:t>2.3.2 Social Exchange Theory</w:t>
      </w:r>
    </w:p>
    <w:p w14:paraId="7077DB18" w14:textId="4854D767" w:rsidR="0010523B" w:rsidRDefault="0010523B" w:rsidP="00AE7C2A">
      <w:pPr>
        <w:rPr>
          <w:sz w:val="20"/>
          <w:szCs w:val="20"/>
        </w:rPr>
      </w:pPr>
      <w:r w:rsidRPr="0010523B">
        <w:rPr>
          <w:sz w:val="20"/>
          <w:szCs w:val="20"/>
        </w:rPr>
        <w:t>Social Exchange Theory (SET) simply provides that individuals will maintain relationships as long as what they receive in this relationship is worth the work. Trust, fairness, and the extent to which a brand is supportive are all working benefits that make customers remain loyal in a services marketing. In its application to gambling, responsible gambling (RG) initiatives are visible as those non-cash benefits, operators provide tools, information and proactive assistance to the wellbeing of players, which can be returned in the form of loyalty and good word-of-mouth. But SET presupposes that all of us are making rational and voluntary decisions, which is questionable when people are uncontrolled or addicted. In case of high-risk customers, such as affordability checks or data-based surveillance, may seem intrusive or limiting, in the short term, the loyalty of players may be decreased, but over time, they may protect them.</w:t>
      </w:r>
      <w:sdt>
        <w:sdtPr>
          <w:rPr>
            <w:sz w:val="20"/>
            <w:szCs w:val="20"/>
          </w:rPr>
          <w:id w:val="-1910914641"/>
          <w:citation/>
        </w:sdtPr>
        <w:sdtContent>
          <w:r w:rsidR="00662E8C">
            <w:rPr>
              <w:sz w:val="20"/>
              <w:szCs w:val="20"/>
            </w:rPr>
            <w:fldChar w:fldCharType="begin"/>
          </w:r>
          <w:r w:rsidR="00662E8C">
            <w:rPr>
              <w:sz w:val="20"/>
              <w:szCs w:val="20"/>
            </w:rPr>
            <w:instrText xml:space="preserve"> CITATION Ahm23 \l 16393 </w:instrText>
          </w:r>
          <w:r w:rsidR="00662E8C">
            <w:rPr>
              <w:sz w:val="20"/>
              <w:szCs w:val="20"/>
            </w:rPr>
            <w:fldChar w:fldCharType="separate"/>
          </w:r>
          <w:r w:rsidR="00662E8C">
            <w:rPr>
              <w:noProof/>
              <w:sz w:val="20"/>
              <w:szCs w:val="20"/>
            </w:rPr>
            <w:t xml:space="preserve"> </w:t>
          </w:r>
          <w:r w:rsidR="00662E8C" w:rsidRPr="00662E8C">
            <w:rPr>
              <w:noProof/>
              <w:sz w:val="20"/>
              <w:szCs w:val="20"/>
            </w:rPr>
            <w:t>(Ahmad, 2023)</w:t>
          </w:r>
          <w:r w:rsidR="00662E8C">
            <w:rPr>
              <w:sz w:val="20"/>
              <w:szCs w:val="20"/>
            </w:rPr>
            <w:fldChar w:fldCharType="end"/>
          </w:r>
        </w:sdtContent>
      </w:sdt>
      <w:sdt>
        <w:sdtPr>
          <w:rPr>
            <w:sz w:val="20"/>
            <w:szCs w:val="20"/>
          </w:rPr>
          <w:id w:val="-43758076"/>
          <w:citation/>
        </w:sdtPr>
        <w:sdtContent>
          <w:r w:rsidR="001841E4">
            <w:rPr>
              <w:sz w:val="20"/>
              <w:szCs w:val="20"/>
            </w:rPr>
            <w:fldChar w:fldCharType="begin"/>
          </w:r>
          <w:r w:rsidR="001841E4">
            <w:rPr>
              <w:sz w:val="20"/>
              <w:szCs w:val="20"/>
            </w:rPr>
            <w:instrText xml:space="preserve"> CITATION Cro17 \l 16393 </w:instrText>
          </w:r>
          <w:r w:rsidR="001841E4">
            <w:rPr>
              <w:sz w:val="20"/>
              <w:szCs w:val="20"/>
            </w:rPr>
            <w:fldChar w:fldCharType="separate"/>
          </w:r>
          <w:r w:rsidR="001841E4">
            <w:rPr>
              <w:noProof/>
              <w:sz w:val="20"/>
              <w:szCs w:val="20"/>
            </w:rPr>
            <w:t xml:space="preserve"> </w:t>
          </w:r>
          <w:r w:rsidR="001841E4" w:rsidRPr="001841E4">
            <w:rPr>
              <w:noProof/>
              <w:sz w:val="20"/>
              <w:szCs w:val="20"/>
            </w:rPr>
            <w:t>(Cropanzano, 2017)</w:t>
          </w:r>
          <w:r w:rsidR="001841E4">
            <w:rPr>
              <w:sz w:val="20"/>
              <w:szCs w:val="20"/>
            </w:rPr>
            <w:fldChar w:fldCharType="end"/>
          </w:r>
        </w:sdtContent>
      </w:sdt>
      <w:sdt>
        <w:sdtPr>
          <w:rPr>
            <w:sz w:val="20"/>
            <w:szCs w:val="20"/>
          </w:rPr>
          <w:id w:val="-1243479390"/>
          <w:citation/>
        </w:sdtPr>
        <w:sdtContent>
          <w:r w:rsidR="00357D89">
            <w:rPr>
              <w:sz w:val="20"/>
              <w:szCs w:val="20"/>
            </w:rPr>
            <w:fldChar w:fldCharType="begin"/>
          </w:r>
          <w:r w:rsidR="00357D89">
            <w:rPr>
              <w:sz w:val="20"/>
              <w:szCs w:val="20"/>
            </w:rPr>
            <w:instrText xml:space="preserve"> CITATION War24 \l 16393 </w:instrText>
          </w:r>
          <w:r w:rsidR="00357D89">
            <w:rPr>
              <w:sz w:val="20"/>
              <w:szCs w:val="20"/>
            </w:rPr>
            <w:fldChar w:fldCharType="separate"/>
          </w:r>
          <w:r w:rsidR="00357D89">
            <w:rPr>
              <w:noProof/>
              <w:sz w:val="20"/>
              <w:szCs w:val="20"/>
            </w:rPr>
            <w:t xml:space="preserve"> </w:t>
          </w:r>
          <w:r w:rsidR="00357D89" w:rsidRPr="00357D89">
            <w:rPr>
              <w:noProof/>
              <w:sz w:val="20"/>
              <w:szCs w:val="20"/>
            </w:rPr>
            <w:t>(Wardle, 2024)</w:t>
          </w:r>
          <w:r w:rsidR="00357D89">
            <w:rPr>
              <w:sz w:val="20"/>
              <w:szCs w:val="20"/>
            </w:rPr>
            <w:fldChar w:fldCharType="end"/>
          </w:r>
        </w:sdtContent>
      </w:sdt>
    </w:p>
    <w:p w14:paraId="1D7EE79D" w14:textId="0B41A587" w:rsidR="00AE7C2A" w:rsidRPr="007C7F55" w:rsidRDefault="00AE7C2A" w:rsidP="00AE7C2A">
      <w:pPr>
        <w:rPr>
          <w:b/>
          <w:bCs/>
          <w:sz w:val="24"/>
          <w:szCs w:val="24"/>
        </w:rPr>
      </w:pPr>
      <w:r w:rsidRPr="007C7F55">
        <w:rPr>
          <w:b/>
          <w:bCs/>
          <w:sz w:val="24"/>
          <w:szCs w:val="24"/>
        </w:rPr>
        <w:t>2.3.3 Theory of Planned Behaviour</w:t>
      </w:r>
    </w:p>
    <w:p w14:paraId="28882DE8" w14:textId="5FEEB993" w:rsidR="00AE7C2A" w:rsidRPr="00C57D39" w:rsidRDefault="00B97442" w:rsidP="00AE7C2A">
      <w:pPr>
        <w:rPr>
          <w:sz w:val="20"/>
          <w:szCs w:val="20"/>
        </w:rPr>
      </w:pPr>
      <w:r w:rsidRPr="00B97442">
        <w:rPr>
          <w:sz w:val="20"/>
          <w:szCs w:val="20"/>
        </w:rPr>
        <w:t>In simple terms, the Theory of Planned Behaviour states that what we actually do is motivated by what we think we are going to do, and what we think we are going to do is motivated by how we feel about it, what our friends and the society consider it to be okay and how much we perceive we control. Responsible Gambling programs have tools to help them feel that they have more control over gambling such as the setting deposit limits, making time-outs and sending of personalised messages. The feeling of increased control can indeed positively affect our attitude towards the gambling itself and the operator who is providing us with those tools</w:t>
      </w:r>
      <w:r w:rsidR="00AE7C2A" w:rsidRPr="00C57D39">
        <w:rPr>
          <w:sz w:val="20"/>
          <w:szCs w:val="20"/>
        </w:rPr>
        <w:t>.</w:t>
      </w:r>
      <w:sdt>
        <w:sdtPr>
          <w:rPr>
            <w:sz w:val="20"/>
            <w:szCs w:val="20"/>
          </w:rPr>
          <w:id w:val="-1963100353"/>
          <w:citation/>
        </w:sdtPr>
        <w:sdtEndPr/>
        <w:sdtContent>
          <w:r w:rsidR="00E056E6" w:rsidRPr="00862CD0">
            <w:rPr>
              <w:sz w:val="20"/>
              <w:szCs w:val="20"/>
            </w:rPr>
            <w:fldChar w:fldCharType="begin"/>
          </w:r>
          <w:r w:rsidR="00E056E6" w:rsidRPr="00862CD0">
            <w:rPr>
              <w:sz w:val="20"/>
              <w:szCs w:val="20"/>
            </w:rPr>
            <w:instrText xml:space="preserve"> CITATION Ice91 \l 16393 </w:instrText>
          </w:r>
          <w:r w:rsidR="00E056E6" w:rsidRPr="00862CD0">
            <w:rPr>
              <w:sz w:val="20"/>
              <w:szCs w:val="20"/>
            </w:rPr>
            <w:fldChar w:fldCharType="separate"/>
          </w:r>
          <w:r w:rsidR="00E056E6" w:rsidRPr="00862CD0">
            <w:rPr>
              <w:noProof/>
              <w:sz w:val="20"/>
              <w:szCs w:val="20"/>
            </w:rPr>
            <w:t xml:space="preserve"> (Icek Ajzen, 1991)</w:t>
          </w:r>
          <w:r w:rsidR="00E056E6" w:rsidRPr="00862CD0">
            <w:rPr>
              <w:sz w:val="20"/>
              <w:szCs w:val="20"/>
            </w:rPr>
            <w:fldChar w:fldCharType="end"/>
          </w:r>
        </w:sdtContent>
      </w:sdt>
    </w:p>
    <w:p w14:paraId="76F70B7B" w14:textId="308FC6F0" w:rsidR="00AE7C2A" w:rsidRDefault="00897911" w:rsidP="00897911">
      <w:pPr>
        <w:rPr>
          <w:sz w:val="20"/>
          <w:szCs w:val="20"/>
        </w:rPr>
      </w:pPr>
      <w:r w:rsidRPr="00897911">
        <w:rPr>
          <w:sz w:val="20"/>
          <w:szCs w:val="20"/>
        </w:rPr>
        <w:t>Hence, in essence, individual behavioural feedback can reduce the amount of time and money individuals spend gambling, demonstrating the fact that RG tools are indeed effective when provided with the clear and timely information. The fact that ARC uses real-time information to instigate personalised interventions is a TPB logic fit: when players are aware of what they are doing and believe that they have the capability to do something about it, then they will adjust their play and start to think more positively about the operator.</w:t>
      </w:r>
      <w:r>
        <w:rPr>
          <w:sz w:val="20"/>
          <w:szCs w:val="20"/>
        </w:rPr>
        <w:t xml:space="preserve"> </w:t>
      </w:r>
      <w:r w:rsidRPr="00897911">
        <w:rPr>
          <w:sz w:val="20"/>
          <w:szCs w:val="20"/>
        </w:rPr>
        <w:t>But, no, TPB is watered down because it does not actually address the emotional and compulsive aspect of it. In video games, motives are hyper wobbly and get confused by mood, close calls and all those cognition biases. The theory does not also specify how the players feel towards interventions such as affordability checks: in their opinion, are they beneficial, neutral or suspicious? Therefore, TPB does assist in explaining the possibility of RG having an impact to behaviour although it is not that powerful as far as predicting deeper loyalty is concerned</w:t>
      </w:r>
      <w:r w:rsidR="00AE7C2A" w:rsidRPr="00C57D39">
        <w:rPr>
          <w:sz w:val="20"/>
          <w:szCs w:val="20"/>
        </w:rPr>
        <w:t>.</w:t>
      </w:r>
      <w:r w:rsidR="00FD7720">
        <w:rPr>
          <w:sz w:val="20"/>
          <w:szCs w:val="20"/>
        </w:rPr>
        <w:t xml:space="preserve"> </w:t>
      </w:r>
      <w:sdt>
        <w:sdtPr>
          <w:rPr>
            <w:sz w:val="20"/>
            <w:szCs w:val="20"/>
          </w:rPr>
          <w:id w:val="1592353620"/>
          <w:citation/>
        </w:sdtPr>
        <w:sdtEndPr/>
        <w:sdtContent>
          <w:r w:rsidR="00FD7720" w:rsidRPr="004010A7">
            <w:rPr>
              <w:sz w:val="20"/>
              <w:szCs w:val="20"/>
            </w:rPr>
            <w:fldChar w:fldCharType="begin"/>
          </w:r>
          <w:r w:rsidR="00FD7720" w:rsidRPr="004010A7">
            <w:rPr>
              <w:sz w:val="20"/>
              <w:szCs w:val="20"/>
            </w:rPr>
            <w:instrText xml:space="preserve"> CITATION Mic16 \l 16393 </w:instrText>
          </w:r>
          <w:r w:rsidR="00FD7720" w:rsidRPr="004010A7">
            <w:rPr>
              <w:sz w:val="20"/>
              <w:szCs w:val="20"/>
            </w:rPr>
            <w:fldChar w:fldCharType="separate"/>
          </w:r>
          <w:r w:rsidR="00FD7720" w:rsidRPr="004010A7">
            <w:rPr>
              <w:noProof/>
              <w:sz w:val="20"/>
              <w:szCs w:val="20"/>
            </w:rPr>
            <w:t>(Michael M Auer, 2016)</w:t>
          </w:r>
          <w:r w:rsidR="00FD7720" w:rsidRPr="004010A7">
            <w:rPr>
              <w:sz w:val="20"/>
              <w:szCs w:val="20"/>
            </w:rPr>
            <w:fldChar w:fldCharType="end"/>
          </w:r>
        </w:sdtContent>
      </w:sdt>
    </w:p>
    <w:p w14:paraId="033F1E7E" w14:textId="77777777" w:rsidR="00216EF0" w:rsidRPr="00C57D39" w:rsidRDefault="00216EF0" w:rsidP="00897911">
      <w:pPr>
        <w:rPr>
          <w:sz w:val="20"/>
          <w:szCs w:val="20"/>
        </w:rPr>
      </w:pPr>
    </w:p>
    <w:p w14:paraId="7E8065DD" w14:textId="77777777" w:rsidR="00AE7C2A" w:rsidRPr="007C7F55" w:rsidRDefault="00AE7C2A" w:rsidP="00AE7C2A">
      <w:pPr>
        <w:rPr>
          <w:b/>
          <w:bCs/>
          <w:sz w:val="24"/>
          <w:szCs w:val="24"/>
        </w:rPr>
      </w:pPr>
      <w:r w:rsidRPr="007C7F55">
        <w:rPr>
          <w:b/>
          <w:bCs/>
          <w:sz w:val="24"/>
          <w:szCs w:val="24"/>
        </w:rPr>
        <w:t>2.3.4 Relationship Marketing and Brand Trust</w:t>
      </w:r>
    </w:p>
    <w:p w14:paraId="1ED0DCFA" w14:textId="66711372" w:rsidR="00AE7C2A" w:rsidRPr="00A8024F" w:rsidRDefault="00AE7C2A" w:rsidP="00AE7C2A">
      <w:pPr>
        <w:rPr>
          <w:sz w:val="20"/>
          <w:szCs w:val="20"/>
        </w:rPr>
      </w:pPr>
      <w:r w:rsidRPr="00A8024F">
        <w:rPr>
          <w:sz w:val="20"/>
          <w:szCs w:val="20"/>
        </w:rPr>
        <w:t xml:space="preserve">Relationship marketing emphasises trust and commitment as core mediators of long-term customer relationships In this view, RG can be interpreted as a trust-building mechanism: by visibly protecting </w:t>
      </w:r>
      <w:r w:rsidRPr="00A8024F">
        <w:rPr>
          <w:sz w:val="20"/>
          <w:szCs w:val="20"/>
        </w:rPr>
        <w:lastRenderedPageBreak/>
        <w:t>customers, an operator signals integrity and long-term orientation, potentially enhancing brand attachment and loyalty.</w:t>
      </w:r>
      <w:sdt>
        <w:sdtPr>
          <w:rPr>
            <w:sz w:val="20"/>
            <w:szCs w:val="20"/>
          </w:rPr>
          <w:id w:val="195741285"/>
          <w:citation/>
        </w:sdtPr>
        <w:sdtEndPr/>
        <w:sdtContent>
          <w:r w:rsidR="009140D7">
            <w:rPr>
              <w:sz w:val="20"/>
              <w:szCs w:val="20"/>
            </w:rPr>
            <w:fldChar w:fldCharType="begin"/>
          </w:r>
          <w:r w:rsidR="009140D7">
            <w:rPr>
              <w:sz w:val="20"/>
              <w:szCs w:val="20"/>
            </w:rPr>
            <w:instrText xml:space="preserve"> CITATION Robly \l 16393 </w:instrText>
          </w:r>
          <w:r w:rsidR="009140D7">
            <w:rPr>
              <w:sz w:val="20"/>
              <w:szCs w:val="20"/>
            </w:rPr>
            <w:fldChar w:fldCharType="separate"/>
          </w:r>
          <w:r w:rsidR="009140D7">
            <w:rPr>
              <w:noProof/>
              <w:sz w:val="20"/>
              <w:szCs w:val="20"/>
            </w:rPr>
            <w:t xml:space="preserve"> </w:t>
          </w:r>
          <w:r w:rsidR="009140D7" w:rsidRPr="009140D7">
            <w:rPr>
              <w:noProof/>
              <w:sz w:val="20"/>
              <w:szCs w:val="20"/>
            </w:rPr>
            <w:t>(Robert M. Morgan, 1994 july)</w:t>
          </w:r>
          <w:r w:rsidR="009140D7">
            <w:rPr>
              <w:sz w:val="20"/>
              <w:szCs w:val="20"/>
            </w:rPr>
            <w:fldChar w:fldCharType="end"/>
          </w:r>
        </w:sdtContent>
      </w:sdt>
    </w:p>
    <w:p w14:paraId="4DBA28E1" w14:textId="6095ABD1" w:rsidR="00AE7C2A" w:rsidRPr="00A8024F" w:rsidRDefault="00AF7394" w:rsidP="00AE7C2A">
      <w:pPr>
        <w:rPr>
          <w:sz w:val="20"/>
          <w:szCs w:val="20"/>
        </w:rPr>
      </w:pPr>
      <w:r w:rsidRPr="00AF7394">
        <w:rPr>
          <w:sz w:val="20"/>
          <w:szCs w:val="20"/>
        </w:rPr>
        <w:t xml:space="preserve">The communication of </w:t>
      </w:r>
      <w:proofErr w:type="spellStart"/>
      <w:r w:rsidRPr="00AF7394">
        <w:rPr>
          <w:sz w:val="20"/>
          <w:szCs w:val="20"/>
        </w:rPr>
        <w:t>Entaine</w:t>
      </w:r>
      <w:proofErr w:type="spellEnd"/>
      <w:r w:rsidRPr="00AF7394">
        <w:rPr>
          <w:sz w:val="20"/>
          <w:szCs w:val="20"/>
        </w:rPr>
        <w:t xml:space="preserve"> about ARC as being pioneering and concerned with intervening before a problem arises fits into this logic of relationship marketing. But gambling CSR critics argue that these stories could simply be nothing but reputation management especially when you consider it in comparison to the aggressive marketing and all the previous failures. When customers see a disconnect between what the company claims to do and what it actually does, trust is destroyed rather than created and therefore the loyalty implications of RG truly hang on whether people believe it is authentic.</w:t>
      </w:r>
      <w:sdt>
        <w:sdtPr>
          <w:rPr>
            <w:sz w:val="20"/>
            <w:szCs w:val="20"/>
          </w:rPr>
          <w:id w:val="-433213257"/>
          <w:citation/>
        </w:sdtPr>
        <w:sdtEndPr/>
        <w:sdtContent>
          <w:r w:rsidR="00AF5708" w:rsidRPr="00A8024F">
            <w:rPr>
              <w:sz w:val="20"/>
              <w:szCs w:val="20"/>
            </w:rPr>
            <w:fldChar w:fldCharType="begin"/>
          </w:r>
          <w:r w:rsidR="00AF5708" w:rsidRPr="00A8024F">
            <w:rPr>
              <w:sz w:val="20"/>
              <w:szCs w:val="20"/>
            </w:rPr>
            <w:instrText xml:space="preserve"> CITATION ENT21 \l 16393 </w:instrText>
          </w:r>
          <w:r w:rsidR="00AF5708" w:rsidRPr="00A8024F">
            <w:rPr>
              <w:sz w:val="20"/>
              <w:szCs w:val="20"/>
            </w:rPr>
            <w:fldChar w:fldCharType="separate"/>
          </w:r>
          <w:r w:rsidR="00AF5708" w:rsidRPr="009E45A7">
            <w:rPr>
              <w:noProof/>
              <w:sz w:val="20"/>
              <w:szCs w:val="20"/>
            </w:rPr>
            <w:t>(ENTAIN PLC, 2021)</w:t>
          </w:r>
          <w:r w:rsidR="00AF5708" w:rsidRPr="00A8024F">
            <w:rPr>
              <w:sz w:val="20"/>
              <w:szCs w:val="20"/>
            </w:rPr>
            <w:fldChar w:fldCharType="end"/>
          </w:r>
        </w:sdtContent>
      </w:sdt>
      <w:r w:rsidR="00AF5708" w:rsidRPr="00A8024F">
        <w:rPr>
          <w:sz w:val="20"/>
          <w:szCs w:val="20"/>
        </w:rPr>
        <w:t>.</w:t>
      </w:r>
    </w:p>
    <w:p w14:paraId="79BF1335" w14:textId="16203C77" w:rsidR="00AE7C2A" w:rsidRPr="00A8024F" w:rsidRDefault="00AE7C2A" w:rsidP="00AE7C2A">
      <w:pPr>
        <w:rPr>
          <w:sz w:val="20"/>
          <w:szCs w:val="20"/>
        </w:rPr>
      </w:pPr>
    </w:p>
    <w:p w14:paraId="3250BF6E" w14:textId="77777777" w:rsidR="00AE7C2A" w:rsidRPr="007C7F55" w:rsidRDefault="00AE7C2A" w:rsidP="00AE7C2A">
      <w:pPr>
        <w:rPr>
          <w:b/>
          <w:bCs/>
          <w:sz w:val="24"/>
          <w:szCs w:val="24"/>
        </w:rPr>
      </w:pPr>
      <w:r w:rsidRPr="007C7F55">
        <w:rPr>
          <w:b/>
          <w:bCs/>
          <w:sz w:val="24"/>
          <w:szCs w:val="24"/>
        </w:rPr>
        <w:t>2.4 Previous Studies and Lessons Learnt</w:t>
      </w:r>
    </w:p>
    <w:p w14:paraId="5ECCBD72" w14:textId="77777777" w:rsidR="00AE7C2A" w:rsidRPr="007C7F55" w:rsidRDefault="00AE7C2A" w:rsidP="00AE7C2A">
      <w:pPr>
        <w:rPr>
          <w:b/>
          <w:bCs/>
          <w:sz w:val="24"/>
          <w:szCs w:val="24"/>
        </w:rPr>
      </w:pPr>
      <w:r w:rsidRPr="007C7F55">
        <w:rPr>
          <w:b/>
          <w:bCs/>
          <w:sz w:val="24"/>
          <w:szCs w:val="24"/>
        </w:rPr>
        <w:t>2.4.1 Customer Attitudes to RG Tools</w:t>
      </w:r>
    </w:p>
    <w:p w14:paraId="6F8C9A20" w14:textId="0984C5B9" w:rsidR="00AE7C2A" w:rsidRPr="00D732D2" w:rsidRDefault="00CC3BAA" w:rsidP="00AE7C2A">
      <w:pPr>
        <w:rPr>
          <w:sz w:val="20"/>
          <w:szCs w:val="20"/>
        </w:rPr>
      </w:pPr>
      <w:r w:rsidRPr="00CC3BAA">
        <w:rPr>
          <w:sz w:val="20"/>
          <w:szCs w:val="20"/>
        </w:rPr>
        <w:t>Empirical studies indicate that gamblers are more likely to be in a favourable attitude towards the use of responsible gambling (RG) tools, particularly, when they are easily accessible and presented in a clear manner, and the tools have not gone beyond the comprehension of the player.</w:t>
      </w:r>
      <w:sdt>
        <w:sdtPr>
          <w:rPr>
            <w:sz w:val="20"/>
            <w:szCs w:val="20"/>
          </w:rPr>
          <w:id w:val="-652220807"/>
          <w:citation/>
        </w:sdtPr>
        <w:sdtContent>
          <w:r w:rsidR="00D31F5D">
            <w:rPr>
              <w:sz w:val="20"/>
              <w:szCs w:val="20"/>
            </w:rPr>
            <w:fldChar w:fldCharType="begin"/>
          </w:r>
          <w:r w:rsidR="00D31F5D">
            <w:rPr>
              <w:sz w:val="20"/>
              <w:szCs w:val="20"/>
            </w:rPr>
            <w:instrText xml:space="preserve"> CITATION Gai18 \l 16393 </w:instrText>
          </w:r>
          <w:r w:rsidR="00D31F5D">
            <w:rPr>
              <w:sz w:val="20"/>
              <w:szCs w:val="20"/>
            </w:rPr>
            <w:fldChar w:fldCharType="separate"/>
          </w:r>
          <w:r w:rsidR="00D31F5D">
            <w:rPr>
              <w:noProof/>
              <w:sz w:val="20"/>
              <w:szCs w:val="20"/>
            </w:rPr>
            <w:t xml:space="preserve"> </w:t>
          </w:r>
          <w:r w:rsidR="00D31F5D" w:rsidRPr="00D31F5D">
            <w:rPr>
              <w:noProof/>
              <w:sz w:val="20"/>
              <w:szCs w:val="20"/>
            </w:rPr>
            <w:t>(Gainsbury, 2018)</w:t>
          </w:r>
          <w:r w:rsidR="00D31F5D">
            <w:rPr>
              <w:sz w:val="20"/>
              <w:szCs w:val="20"/>
            </w:rPr>
            <w:fldChar w:fldCharType="end"/>
          </w:r>
        </w:sdtContent>
      </w:sdt>
      <w:r w:rsidR="000D405B" w:rsidRPr="00D31F5D">
        <w:rPr>
          <w:sz w:val="20"/>
          <w:szCs w:val="20"/>
        </w:rPr>
        <w:t>suggest</w:t>
      </w:r>
      <w:r w:rsidR="000D405B" w:rsidRPr="000D405B">
        <w:rPr>
          <w:sz w:val="20"/>
          <w:szCs w:val="20"/>
        </w:rPr>
        <w:t xml:space="preserve"> that the availability of unambiguous responsible gambling (RG) information and the availability of consumer protective measures do positively influence the perception of fairness and overall satisfaction of the user in an online gambling environment.</w:t>
      </w:r>
      <w:sdt>
        <w:sdtPr>
          <w:rPr>
            <w:sz w:val="20"/>
            <w:szCs w:val="20"/>
          </w:rPr>
          <w:id w:val="-574206201"/>
          <w:citation/>
        </w:sdtPr>
        <w:sdtEndPr/>
        <w:sdtContent>
          <w:r w:rsidR="00EE4293" w:rsidRPr="00D732D2">
            <w:rPr>
              <w:sz w:val="20"/>
              <w:szCs w:val="20"/>
            </w:rPr>
            <w:fldChar w:fldCharType="begin"/>
          </w:r>
          <w:r w:rsidR="00EE4293" w:rsidRPr="00D732D2">
            <w:rPr>
              <w:sz w:val="20"/>
              <w:szCs w:val="20"/>
            </w:rPr>
            <w:instrText xml:space="preserve"> CITATION Mic16 \l 16393 </w:instrText>
          </w:r>
          <w:r w:rsidR="00EE4293" w:rsidRPr="00D732D2">
            <w:rPr>
              <w:sz w:val="20"/>
              <w:szCs w:val="20"/>
            </w:rPr>
            <w:fldChar w:fldCharType="separate"/>
          </w:r>
          <w:r w:rsidR="009E45A7">
            <w:rPr>
              <w:noProof/>
              <w:sz w:val="20"/>
              <w:szCs w:val="20"/>
            </w:rPr>
            <w:t xml:space="preserve"> </w:t>
          </w:r>
          <w:r w:rsidR="009E45A7" w:rsidRPr="009E45A7">
            <w:rPr>
              <w:noProof/>
              <w:sz w:val="20"/>
              <w:szCs w:val="20"/>
            </w:rPr>
            <w:t>(Michael M Auer, 2016)</w:t>
          </w:r>
          <w:r w:rsidR="00EE4293" w:rsidRPr="00D732D2">
            <w:rPr>
              <w:sz w:val="20"/>
              <w:szCs w:val="20"/>
            </w:rPr>
            <w:fldChar w:fldCharType="end"/>
          </w:r>
        </w:sdtContent>
      </w:sdt>
      <w:r w:rsidR="00AE7C2A" w:rsidRPr="00D732D2">
        <w:rPr>
          <w:sz w:val="20"/>
          <w:szCs w:val="20"/>
        </w:rPr>
        <w:t xml:space="preserve"> </w:t>
      </w:r>
      <w:r w:rsidR="00727FCB" w:rsidRPr="00727FCB">
        <w:rPr>
          <w:sz w:val="20"/>
          <w:szCs w:val="20"/>
        </w:rPr>
        <w:t>According to other empirical surveys, a substantial number of players expect the operators to provide risk-management tools as a standard service, and the consumers may thus perceive the companies lacking such mechanisms as less reliable.</w:t>
      </w:r>
      <w:sdt>
        <w:sdtPr>
          <w:rPr>
            <w:sz w:val="20"/>
            <w:szCs w:val="20"/>
          </w:rPr>
          <w:id w:val="-1800600809"/>
          <w:citation/>
        </w:sdtPr>
        <w:sdtEndPr/>
        <w:sdtContent>
          <w:r w:rsidR="009D7557" w:rsidRPr="00D732D2">
            <w:rPr>
              <w:sz w:val="20"/>
              <w:szCs w:val="20"/>
            </w:rPr>
            <w:fldChar w:fldCharType="begin"/>
          </w:r>
          <w:r w:rsidR="009D7557" w:rsidRPr="00D732D2">
            <w:rPr>
              <w:sz w:val="20"/>
              <w:szCs w:val="20"/>
            </w:rPr>
            <w:instrText xml:space="preserve"> CITATION Rui21 \l 16393 </w:instrText>
          </w:r>
          <w:r w:rsidR="009D7557" w:rsidRPr="00D732D2">
            <w:rPr>
              <w:sz w:val="20"/>
              <w:szCs w:val="20"/>
            </w:rPr>
            <w:fldChar w:fldCharType="separate"/>
          </w:r>
          <w:r w:rsidR="009E45A7">
            <w:rPr>
              <w:noProof/>
              <w:sz w:val="20"/>
              <w:szCs w:val="20"/>
            </w:rPr>
            <w:t xml:space="preserve"> </w:t>
          </w:r>
          <w:r w:rsidR="009E45A7" w:rsidRPr="009E45A7">
            <w:rPr>
              <w:noProof/>
              <w:sz w:val="20"/>
              <w:szCs w:val="20"/>
            </w:rPr>
            <w:t>(Keith Phalp, 2021)</w:t>
          </w:r>
          <w:r w:rsidR="009D7557" w:rsidRPr="00D732D2">
            <w:rPr>
              <w:sz w:val="20"/>
              <w:szCs w:val="20"/>
            </w:rPr>
            <w:fldChar w:fldCharType="end"/>
          </w:r>
        </w:sdtContent>
      </w:sdt>
      <w:r w:rsidR="00804D68" w:rsidRPr="00D732D2">
        <w:rPr>
          <w:sz w:val="20"/>
          <w:szCs w:val="20"/>
        </w:rPr>
        <w:t xml:space="preserve"> </w:t>
      </w:r>
    </w:p>
    <w:p w14:paraId="0001A40E" w14:textId="77777777" w:rsidR="00AE7C2A" w:rsidRDefault="00AE7C2A" w:rsidP="00AE7C2A">
      <w:pPr>
        <w:rPr>
          <w:sz w:val="20"/>
          <w:szCs w:val="20"/>
        </w:rPr>
      </w:pPr>
      <w:r w:rsidRPr="00D732D2">
        <w:rPr>
          <w:sz w:val="20"/>
          <w:szCs w:val="20"/>
        </w:rPr>
        <w:t>For Entain, these findings imply that integrating ARC-style protections and visible RG messaging into the user experience can support positive attitudes and perhaps loyalty, particularly among lower-risk or more risk-averse customers. However, these studies mostly measure attitudes, not actual loyalty behaviours (e.g. retention, share of wallet), and often do not isolate the effect of RG from other factors such as odds, usability or brand familiarity.</w:t>
      </w:r>
    </w:p>
    <w:p w14:paraId="6C8AFB1A" w14:textId="77777777" w:rsidR="00D732D2" w:rsidRPr="00D732D2" w:rsidRDefault="00D732D2" w:rsidP="00AE7C2A">
      <w:pPr>
        <w:rPr>
          <w:sz w:val="20"/>
          <w:szCs w:val="20"/>
        </w:rPr>
      </w:pPr>
    </w:p>
    <w:p w14:paraId="59FF6C40" w14:textId="77777777" w:rsidR="00AE7C2A" w:rsidRPr="007C7F55" w:rsidRDefault="00AE7C2A" w:rsidP="00AE7C2A">
      <w:pPr>
        <w:rPr>
          <w:b/>
          <w:bCs/>
          <w:sz w:val="24"/>
          <w:szCs w:val="24"/>
        </w:rPr>
      </w:pPr>
      <w:r w:rsidRPr="007C7F55">
        <w:rPr>
          <w:b/>
          <w:bCs/>
          <w:sz w:val="24"/>
          <w:szCs w:val="24"/>
        </w:rPr>
        <w:t>2.4.2 Behavioural Evidence on RG Interventions</w:t>
      </w:r>
    </w:p>
    <w:p w14:paraId="36E8B1D0" w14:textId="53CA82C4" w:rsidR="00AE7C2A" w:rsidRPr="00B75F77" w:rsidRDefault="00150E9D" w:rsidP="00AE7C2A">
      <w:pPr>
        <w:rPr>
          <w:sz w:val="20"/>
          <w:szCs w:val="20"/>
        </w:rPr>
      </w:pPr>
      <w:sdt>
        <w:sdtPr>
          <w:rPr>
            <w:sz w:val="20"/>
            <w:szCs w:val="20"/>
          </w:rPr>
          <w:id w:val="-238181700"/>
          <w:citation/>
        </w:sdtPr>
        <w:sdtContent>
          <w:r w:rsidRPr="00150E9D">
            <w:rPr>
              <w:sz w:val="20"/>
              <w:szCs w:val="20"/>
            </w:rPr>
            <w:fldChar w:fldCharType="begin"/>
          </w:r>
          <w:r w:rsidRPr="00150E9D">
            <w:rPr>
              <w:sz w:val="20"/>
              <w:szCs w:val="20"/>
            </w:rPr>
            <w:instrText xml:space="preserve"> CITATION Aue15 \l 16393 </w:instrText>
          </w:r>
          <w:r w:rsidRPr="00150E9D">
            <w:rPr>
              <w:sz w:val="20"/>
              <w:szCs w:val="20"/>
            </w:rPr>
            <w:fldChar w:fldCharType="separate"/>
          </w:r>
          <w:r w:rsidRPr="00150E9D">
            <w:rPr>
              <w:noProof/>
              <w:sz w:val="20"/>
              <w:szCs w:val="20"/>
            </w:rPr>
            <w:t>(Auer, 2015)</w:t>
          </w:r>
          <w:r w:rsidRPr="00150E9D">
            <w:rPr>
              <w:sz w:val="20"/>
              <w:szCs w:val="20"/>
            </w:rPr>
            <w:fldChar w:fldCharType="end"/>
          </w:r>
        </w:sdtContent>
      </w:sdt>
      <w:sdt>
        <w:sdtPr>
          <w:rPr>
            <w:sz w:val="20"/>
            <w:szCs w:val="20"/>
          </w:rPr>
          <w:id w:val="685873181"/>
          <w:citation/>
        </w:sdtPr>
        <w:sdtContent>
          <w:r w:rsidRPr="00150E9D">
            <w:rPr>
              <w:sz w:val="20"/>
              <w:szCs w:val="20"/>
            </w:rPr>
            <w:fldChar w:fldCharType="begin"/>
          </w:r>
          <w:r w:rsidRPr="00150E9D">
            <w:rPr>
              <w:sz w:val="20"/>
              <w:szCs w:val="20"/>
            </w:rPr>
            <w:instrText xml:space="preserve"> CITATION Aue161 \l 16393 </w:instrText>
          </w:r>
          <w:r w:rsidRPr="00150E9D">
            <w:rPr>
              <w:sz w:val="20"/>
              <w:szCs w:val="20"/>
            </w:rPr>
            <w:fldChar w:fldCharType="separate"/>
          </w:r>
          <w:r w:rsidRPr="00150E9D">
            <w:rPr>
              <w:noProof/>
              <w:sz w:val="20"/>
              <w:szCs w:val="20"/>
            </w:rPr>
            <w:t xml:space="preserve"> (Auer, 2016)</w:t>
          </w:r>
          <w:r w:rsidRPr="00150E9D">
            <w:rPr>
              <w:sz w:val="20"/>
              <w:szCs w:val="20"/>
            </w:rPr>
            <w:fldChar w:fldCharType="end"/>
          </w:r>
        </w:sdtContent>
      </w:sdt>
      <w:r w:rsidR="00D44A12" w:rsidRPr="00D44A12">
        <w:rPr>
          <w:sz w:val="20"/>
          <w:szCs w:val="20"/>
        </w:rPr>
        <w:t xml:space="preserve"> and similar studies provide strong evidence that behavioural feedback and restrictive measures work in reducing the level of gambling among some of the participants. The participants who subscribe to voluntary restrictions or provided with individualised feedback tend to have lower future spending compared to control groups.</w:t>
      </w:r>
      <w:sdt>
        <w:sdtPr>
          <w:rPr>
            <w:sz w:val="20"/>
            <w:szCs w:val="20"/>
          </w:rPr>
          <w:id w:val="-1318652034"/>
          <w:citation/>
        </w:sdtPr>
        <w:sdtEndPr/>
        <w:sdtContent>
          <w:r w:rsidR="002C77DF" w:rsidRPr="00B75F77">
            <w:rPr>
              <w:sz w:val="20"/>
              <w:szCs w:val="20"/>
            </w:rPr>
            <w:fldChar w:fldCharType="begin"/>
          </w:r>
          <w:r w:rsidR="002C77DF" w:rsidRPr="00B75F77">
            <w:rPr>
              <w:sz w:val="20"/>
              <w:szCs w:val="20"/>
            </w:rPr>
            <w:instrText xml:space="preserve"> CITATION Mic16 \l 16393 </w:instrText>
          </w:r>
          <w:r w:rsidR="002C77DF" w:rsidRPr="00B75F77">
            <w:rPr>
              <w:sz w:val="20"/>
              <w:szCs w:val="20"/>
            </w:rPr>
            <w:fldChar w:fldCharType="separate"/>
          </w:r>
          <w:r w:rsidR="009E45A7">
            <w:rPr>
              <w:noProof/>
              <w:sz w:val="20"/>
              <w:szCs w:val="20"/>
            </w:rPr>
            <w:t xml:space="preserve"> </w:t>
          </w:r>
          <w:r w:rsidR="009E45A7" w:rsidRPr="009E45A7">
            <w:rPr>
              <w:noProof/>
              <w:sz w:val="20"/>
              <w:szCs w:val="20"/>
            </w:rPr>
            <w:t>(Michael M Auer, 2016)</w:t>
          </w:r>
          <w:r w:rsidR="002C77DF" w:rsidRPr="00B75F77">
            <w:rPr>
              <w:sz w:val="20"/>
              <w:szCs w:val="20"/>
            </w:rPr>
            <w:fldChar w:fldCharType="end"/>
          </w:r>
        </w:sdtContent>
      </w:sdt>
      <w:r w:rsidR="00AE7C2A" w:rsidRPr="00B75F77">
        <w:rPr>
          <w:sz w:val="20"/>
          <w:szCs w:val="20"/>
        </w:rPr>
        <w:t xml:space="preserve"> </w:t>
      </w:r>
      <w:r w:rsidR="001565A0" w:rsidRPr="001565A0">
        <w:rPr>
          <w:sz w:val="20"/>
          <w:szCs w:val="20"/>
        </w:rPr>
        <w:t>Such results support the technical design of systems like ARC that use behavioural tracking systems to trigger individualised messages and interventions.</w:t>
      </w:r>
      <w:sdt>
        <w:sdtPr>
          <w:rPr>
            <w:sz w:val="20"/>
            <w:szCs w:val="20"/>
          </w:rPr>
          <w:id w:val="1231268172"/>
          <w:citation/>
        </w:sdtPr>
        <w:sdtEndPr/>
        <w:sdtContent>
          <w:r w:rsidR="00AE4BDC" w:rsidRPr="00B75F77">
            <w:rPr>
              <w:sz w:val="20"/>
              <w:szCs w:val="20"/>
            </w:rPr>
            <w:fldChar w:fldCharType="begin"/>
          </w:r>
          <w:r w:rsidR="00AE4BDC" w:rsidRPr="00B75F77">
            <w:rPr>
              <w:sz w:val="20"/>
              <w:szCs w:val="20"/>
            </w:rPr>
            <w:instrText xml:space="preserve"> CITATION ENT21 \l 16393 </w:instrText>
          </w:r>
          <w:r w:rsidR="00AE4BDC" w:rsidRPr="00B75F77">
            <w:rPr>
              <w:sz w:val="20"/>
              <w:szCs w:val="20"/>
            </w:rPr>
            <w:fldChar w:fldCharType="separate"/>
          </w:r>
          <w:r w:rsidR="009E45A7">
            <w:rPr>
              <w:noProof/>
              <w:sz w:val="20"/>
              <w:szCs w:val="20"/>
            </w:rPr>
            <w:t xml:space="preserve"> </w:t>
          </w:r>
          <w:r w:rsidR="009E45A7" w:rsidRPr="009E45A7">
            <w:rPr>
              <w:noProof/>
              <w:sz w:val="20"/>
              <w:szCs w:val="20"/>
            </w:rPr>
            <w:t>(ENTAIN PLC, 2021)</w:t>
          </w:r>
          <w:r w:rsidR="00AE4BDC" w:rsidRPr="00B75F77">
            <w:rPr>
              <w:sz w:val="20"/>
              <w:szCs w:val="20"/>
            </w:rPr>
            <w:fldChar w:fldCharType="end"/>
          </w:r>
        </w:sdtContent>
      </w:sdt>
      <w:r w:rsidR="00AE4BDC" w:rsidRPr="00B75F77">
        <w:rPr>
          <w:sz w:val="20"/>
          <w:szCs w:val="20"/>
        </w:rPr>
        <w:t xml:space="preserve"> </w:t>
      </w:r>
    </w:p>
    <w:p w14:paraId="7F789763" w14:textId="5054BA15" w:rsidR="0054112B" w:rsidRDefault="0054112B" w:rsidP="00AE7C2A">
      <w:pPr>
        <w:rPr>
          <w:b/>
          <w:bCs/>
          <w:sz w:val="24"/>
          <w:szCs w:val="24"/>
        </w:rPr>
      </w:pPr>
      <w:r w:rsidRPr="0054112B">
        <w:rPr>
          <w:sz w:val="20"/>
          <w:szCs w:val="20"/>
        </w:rPr>
        <w:t>Moreover, there is limited analysis of the segment-specific responses. High-risk or high-motivated gamblers might also be found to be unwilling to accept the wagering restrictions or may instead transfer to other operators that have a more permissive responsible-gambling policy, posing specific risks to major branded players such as Entain who express a much more conspicuous safer-gambling stance</w:t>
      </w:r>
      <w:r>
        <w:rPr>
          <w:sz w:val="20"/>
          <w:szCs w:val="20"/>
        </w:rPr>
        <w:t>.</w:t>
      </w:r>
    </w:p>
    <w:p w14:paraId="76DF461E" w14:textId="7F76AED9" w:rsidR="00AE7C2A" w:rsidRPr="007C7F55" w:rsidRDefault="00AE7C2A" w:rsidP="00AE7C2A">
      <w:pPr>
        <w:rPr>
          <w:b/>
          <w:bCs/>
          <w:sz w:val="24"/>
          <w:szCs w:val="24"/>
        </w:rPr>
      </w:pPr>
      <w:r w:rsidRPr="007C7F55">
        <w:rPr>
          <w:b/>
          <w:bCs/>
          <w:sz w:val="24"/>
          <w:szCs w:val="24"/>
        </w:rPr>
        <w:t>2.4.3 CSR, RG and Loyalty in Gambling and Other Risky Industries</w:t>
      </w:r>
    </w:p>
    <w:p w14:paraId="6E91D798" w14:textId="105DF90D" w:rsidR="00AE7C2A" w:rsidRPr="00AB6284" w:rsidRDefault="00257264" w:rsidP="00AE7C2A">
      <w:pPr>
        <w:rPr>
          <w:sz w:val="20"/>
          <w:szCs w:val="20"/>
        </w:rPr>
      </w:pPr>
      <w:r w:rsidRPr="00257264">
        <w:rPr>
          <w:sz w:val="20"/>
          <w:szCs w:val="20"/>
        </w:rPr>
        <w:t xml:space="preserve">The systematic review of corporate social responsibility (CSR) in the gambling industry suggests that operators use the CSR activities, especially responsible gambling (RG) programs, as the main means of gaining favourable publicity, reinforce their legitimacy and protect their survival amidst criticisms by the society. There is some contradictory evidence on whether CSR has a direct influence on customer loyalty. According to some consumer research that has been performed in the alcohol, tobacco, and gambling </w:t>
      </w:r>
      <w:r w:rsidRPr="00257264">
        <w:rPr>
          <w:sz w:val="20"/>
          <w:szCs w:val="20"/>
        </w:rPr>
        <w:lastRenderedPageBreak/>
        <w:t>sectors, certain consumer segments are more willing to buy and trust responsible branding, but other research indicates doubt and suggestions of health-washing.</w:t>
      </w:r>
      <w:sdt>
        <w:sdtPr>
          <w:rPr>
            <w:sz w:val="20"/>
            <w:szCs w:val="20"/>
          </w:rPr>
          <w:id w:val="894089158"/>
          <w:citation/>
        </w:sdtPr>
        <w:sdtEndPr/>
        <w:sdtContent>
          <w:r w:rsidR="00F671AE">
            <w:rPr>
              <w:sz w:val="20"/>
              <w:szCs w:val="20"/>
            </w:rPr>
            <w:fldChar w:fldCharType="begin"/>
          </w:r>
          <w:r w:rsidR="00F671AE">
            <w:rPr>
              <w:sz w:val="20"/>
              <w:szCs w:val="20"/>
            </w:rPr>
            <w:instrText xml:space="preserve"> CITATION Lib23 \l 16393 </w:instrText>
          </w:r>
          <w:r w:rsidR="00F671AE">
            <w:rPr>
              <w:sz w:val="20"/>
              <w:szCs w:val="20"/>
            </w:rPr>
            <w:fldChar w:fldCharType="separate"/>
          </w:r>
          <w:r w:rsidR="00F671AE">
            <w:rPr>
              <w:noProof/>
              <w:sz w:val="20"/>
              <w:szCs w:val="20"/>
            </w:rPr>
            <w:t xml:space="preserve"> </w:t>
          </w:r>
          <w:r w:rsidR="00F671AE" w:rsidRPr="00F671AE">
            <w:rPr>
              <w:noProof/>
              <w:sz w:val="20"/>
              <w:szCs w:val="20"/>
            </w:rPr>
            <w:t>(Tetrevova, 2023)</w:t>
          </w:r>
          <w:r w:rsidR="00F671AE">
            <w:rPr>
              <w:sz w:val="20"/>
              <w:szCs w:val="20"/>
            </w:rPr>
            <w:fldChar w:fldCharType="end"/>
          </w:r>
        </w:sdtContent>
      </w:sdt>
      <w:r w:rsidR="00FF6E93" w:rsidRPr="00AB6284">
        <w:rPr>
          <w:sz w:val="20"/>
          <w:szCs w:val="20"/>
        </w:rPr>
        <w:t xml:space="preserve"> </w:t>
      </w:r>
    </w:p>
    <w:p w14:paraId="6C08D53B" w14:textId="2FB218E9" w:rsidR="00AE7C2A" w:rsidRPr="00AB6284" w:rsidRDefault="00AE7C2A" w:rsidP="00AE7C2A">
      <w:pPr>
        <w:rPr>
          <w:sz w:val="20"/>
          <w:szCs w:val="20"/>
        </w:rPr>
      </w:pPr>
      <w:r w:rsidRPr="00AB6284">
        <w:rPr>
          <w:sz w:val="20"/>
          <w:szCs w:val="20"/>
        </w:rPr>
        <w:t>Entain’s ESG narrative, GamCare accreditation and public commitment to RET funding clearly align with the “strategic CSR” model, where responsibility is expected to generate long-term competitive advantage.</w:t>
      </w:r>
      <w:r w:rsidR="00773B57" w:rsidRPr="00AB6284">
        <w:rPr>
          <w:sz w:val="20"/>
          <w:szCs w:val="20"/>
        </w:rPr>
        <w:t xml:space="preserve"> </w:t>
      </w:r>
      <w:r w:rsidRPr="00AB6284">
        <w:rPr>
          <w:sz w:val="20"/>
          <w:szCs w:val="20"/>
        </w:rPr>
        <w:t>Yet there is little independent empirical work assessing whether Entain’s customers actually reward these efforts with increased loyalty, or whether such initiatives simply mitigate reputational risk and regulatory pressure without major effects on customer behaviour.</w:t>
      </w:r>
      <w:sdt>
        <w:sdtPr>
          <w:rPr>
            <w:sz w:val="20"/>
            <w:szCs w:val="20"/>
          </w:rPr>
          <w:id w:val="-872998870"/>
          <w:citation/>
        </w:sdtPr>
        <w:sdtEndPr/>
        <w:sdtContent>
          <w:r w:rsidR="00773B57">
            <w:rPr>
              <w:sz w:val="20"/>
              <w:szCs w:val="20"/>
            </w:rPr>
            <w:fldChar w:fldCharType="begin"/>
          </w:r>
          <w:r w:rsidR="00773B57">
            <w:rPr>
              <w:sz w:val="20"/>
              <w:szCs w:val="20"/>
            </w:rPr>
            <w:instrText xml:space="preserve"> CITATION Ent22 \l 16393 </w:instrText>
          </w:r>
          <w:r w:rsidR="00773B57">
            <w:rPr>
              <w:sz w:val="20"/>
              <w:szCs w:val="20"/>
            </w:rPr>
            <w:fldChar w:fldCharType="separate"/>
          </w:r>
          <w:r w:rsidR="00773B57">
            <w:rPr>
              <w:noProof/>
              <w:sz w:val="20"/>
              <w:szCs w:val="20"/>
            </w:rPr>
            <w:t xml:space="preserve"> </w:t>
          </w:r>
          <w:r w:rsidR="00773B57" w:rsidRPr="007B23B0">
            <w:rPr>
              <w:noProof/>
              <w:sz w:val="20"/>
              <w:szCs w:val="20"/>
            </w:rPr>
            <w:t>(Entain Plc, 2022)</w:t>
          </w:r>
          <w:r w:rsidR="00773B57">
            <w:rPr>
              <w:sz w:val="20"/>
              <w:szCs w:val="20"/>
            </w:rPr>
            <w:fldChar w:fldCharType="end"/>
          </w:r>
        </w:sdtContent>
      </w:sdt>
    </w:p>
    <w:p w14:paraId="29E931BF" w14:textId="77777777" w:rsidR="00AE7C2A" w:rsidRPr="007C7F55" w:rsidRDefault="00AE7C2A" w:rsidP="00AE7C2A">
      <w:pPr>
        <w:rPr>
          <w:b/>
          <w:bCs/>
          <w:sz w:val="24"/>
          <w:szCs w:val="24"/>
        </w:rPr>
      </w:pPr>
      <w:r w:rsidRPr="007C7F55">
        <w:rPr>
          <w:b/>
          <w:bCs/>
          <w:sz w:val="24"/>
          <w:szCs w:val="24"/>
        </w:rPr>
        <w:t>2.4.4 Transparency, Trust and Authenticity</w:t>
      </w:r>
    </w:p>
    <w:p w14:paraId="722622DB" w14:textId="415937FB" w:rsidR="00AE7C2A" w:rsidRPr="00C91C28" w:rsidRDefault="00C26491" w:rsidP="00AE7C2A">
      <w:pPr>
        <w:rPr>
          <w:sz w:val="20"/>
          <w:szCs w:val="20"/>
        </w:rPr>
      </w:pPr>
      <w:r w:rsidRPr="00C26491">
        <w:rPr>
          <w:sz w:val="20"/>
          <w:szCs w:val="20"/>
        </w:rPr>
        <w:t>It has been identified that transparency is a vital aspect of responsible g</w:t>
      </w:r>
      <w:r w:rsidR="00294A21">
        <w:rPr>
          <w:sz w:val="20"/>
          <w:szCs w:val="20"/>
        </w:rPr>
        <w:t>ambling</w:t>
      </w:r>
      <w:r w:rsidRPr="00C26491">
        <w:rPr>
          <w:sz w:val="20"/>
          <w:szCs w:val="20"/>
        </w:rPr>
        <w:t xml:space="preserve"> (RG) that entails honesty in the use of tools, data use, and protection limits.</w:t>
      </w:r>
      <w:sdt>
        <w:sdtPr>
          <w:rPr>
            <w:sz w:val="20"/>
            <w:szCs w:val="20"/>
          </w:rPr>
          <w:id w:val="723259667"/>
          <w:citation/>
        </w:sdtPr>
        <w:sdtEndPr/>
        <w:sdtContent>
          <w:r w:rsidR="00BB447E">
            <w:rPr>
              <w:sz w:val="20"/>
              <w:szCs w:val="20"/>
            </w:rPr>
            <w:fldChar w:fldCharType="begin"/>
          </w:r>
          <w:r w:rsidR="00BB447E">
            <w:rPr>
              <w:sz w:val="20"/>
              <w:szCs w:val="20"/>
            </w:rPr>
            <w:instrText xml:space="preserve"> CITATION Wan211 \l 16393 </w:instrText>
          </w:r>
          <w:r w:rsidR="00BB447E">
            <w:rPr>
              <w:sz w:val="20"/>
              <w:szCs w:val="20"/>
            </w:rPr>
            <w:fldChar w:fldCharType="separate"/>
          </w:r>
          <w:r w:rsidR="00BB447E" w:rsidRPr="00BB447E">
            <w:rPr>
              <w:noProof/>
              <w:sz w:val="20"/>
              <w:szCs w:val="20"/>
            </w:rPr>
            <w:t>(Wang, et al., 2021)</w:t>
          </w:r>
          <w:r w:rsidR="00BB447E">
            <w:rPr>
              <w:sz w:val="20"/>
              <w:szCs w:val="20"/>
            </w:rPr>
            <w:fldChar w:fldCharType="end"/>
          </w:r>
        </w:sdtContent>
      </w:sdt>
      <w:r w:rsidR="008D6646">
        <w:rPr>
          <w:sz w:val="20"/>
          <w:szCs w:val="20"/>
        </w:rPr>
        <w:t>.</w:t>
      </w:r>
      <w:r w:rsidR="00A57B24" w:rsidRPr="00A57B24">
        <w:rPr>
          <w:sz w:val="20"/>
          <w:szCs w:val="20"/>
        </w:rPr>
        <w:t>Entain claims that ARC uses customer data to identify risk and take action at an early stage, however, publicly accessible records give scarce details on both the type of the algorithms and performance indicators.</w:t>
      </w:r>
      <w:sdt>
        <w:sdtPr>
          <w:rPr>
            <w:sz w:val="20"/>
            <w:szCs w:val="20"/>
          </w:rPr>
          <w:id w:val="2048869137"/>
          <w:citation/>
        </w:sdtPr>
        <w:sdtEndPr/>
        <w:sdtContent>
          <w:r w:rsidR="009A0892">
            <w:rPr>
              <w:sz w:val="20"/>
              <w:szCs w:val="20"/>
            </w:rPr>
            <w:fldChar w:fldCharType="begin"/>
          </w:r>
          <w:r w:rsidR="009A0892">
            <w:rPr>
              <w:sz w:val="20"/>
              <w:szCs w:val="20"/>
            </w:rPr>
            <w:instrText xml:space="preserve"> CITATION ENT21 \l 16393 </w:instrText>
          </w:r>
          <w:r w:rsidR="009A0892">
            <w:rPr>
              <w:sz w:val="20"/>
              <w:szCs w:val="20"/>
            </w:rPr>
            <w:fldChar w:fldCharType="separate"/>
          </w:r>
          <w:r w:rsidR="009A0892">
            <w:rPr>
              <w:noProof/>
              <w:sz w:val="20"/>
              <w:szCs w:val="20"/>
            </w:rPr>
            <w:t xml:space="preserve"> </w:t>
          </w:r>
          <w:r w:rsidR="009A0892" w:rsidRPr="009A0892">
            <w:rPr>
              <w:noProof/>
              <w:sz w:val="20"/>
              <w:szCs w:val="20"/>
            </w:rPr>
            <w:t>(ENTAIN PLC, 2021)</w:t>
          </w:r>
          <w:r w:rsidR="009A0892">
            <w:rPr>
              <w:sz w:val="20"/>
              <w:szCs w:val="20"/>
            </w:rPr>
            <w:fldChar w:fldCharType="end"/>
          </w:r>
        </w:sdtContent>
      </w:sdt>
      <w:r w:rsidR="00AE7C2A" w:rsidRPr="00C91C28">
        <w:rPr>
          <w:sz w:val="20"/>
          <w:szCs w:val="20"/>
        </w:rPr>
        <w:t xml:space="preserve"> review of RG transparency suggests that vague or selective disclosure can undermine trust and invites suspicion that RG is more about image than substance.</w:t>
      </w:r>
      <w:r w:rsidR="00654818" w:rsidRPr="00C91C28">
        <w:rPr>
          <w:sz w:val="20"/>
          <w:szCs w:val="20"/>
        </w:rPr>
        <w:t xml:space="preserve"> </w:t>
      </w:r>
      <w:sdt>
        <w:sdtPr>
          <w:rPr>
            <w:sz w:val="20"/>
            <w:szCs w:val="20"/>
          </w:rPr>
          <w:id w:val="-2126833115"/>
          <w:citation/>
        </w:sdtPr>
        <w:sdtEndPr/>
        <w:sdtContent>
          <w:r w:rsidR="00654818">
            <w:rPr>
              <w:sz w:val="20"/>
              <w:szCs w:val="20"/>
            </w:rPr>
            <w:fldChar w:fldCharType="begin"/>
          </w:r>
          <w:r w:rsidR="00654818">
            <w:rPr>
              <w:sz w:val="20"/>
              <w:szCs w:val="20"/>
            </w:rPr>
            <w:instrText xml:space="preserve"> CITATION Wan211 \l 16393 </w:instrText>
          </w:r>
          <w:r w:rsidR="00654818">
            <w:rPr>
              <w:sz w:val="20"/>
              <w:szCs w:val="20"/>
            </w:rPr>
            <w:fldChar w:fldCharType="separate"/>
          </w:r>
          <w:r w:rsidR="00654818" w:rsidRPr="00BB447E">
            <w:rPr>
              <w:noProof/>
              <w:sz w:val="20"/>
              <w:szCs w:val="20"/>
            </w:rPr>
            <w:t>(Wang, et al., 2021)</w:t>
          </w:r>
          <w:r w:rsidR="00654818">
            <w:rPr>
              <w:sz w:val="20"/>
              <w:szCs w:val="20"/>
            </w:rPr>
            <w:fldChar w:fldCharType="end"/>
          </w:r>
        </w:sdtContent>
      </w:sdt>
    </w:p>
    <w:p w14:paraId="6D2D462B" w14:textId="516CAFEC" w:rsidR="00AE7C2A" w:rsidRPr="007C7F55" w:rsidRDefault="00B45EB1" w:rsidP="00AE7C2A">
      <w:pPr>
        <w:rPr>
          <w:sz w:val="24"/>
          <w:szCs w:val="24"/>
        </w:rPr>
      </w:pPr>
      <w:r w:rsidRPr="00B45EB1">
        <w:rPr>
          <w:sz w:val="20"/>
          <w:szCs w:val="20"/>
        </w:rPr>
        <w:t>In a statement released by GamCare after a regulatory settlement with Entain, this tension is emphasized: the statement recognizes the subsequent changes and accreditation of Entain, but also points at the fact that the deficiencies existed previously, which had effectual consequences on the customers. This shows how compliance concerns in the past can be present together with modern-day best practices designation, which may make it difficult to interpret the claims of regulatory groups by customers and their impact on their loyalty</w:t>
      </w:r>
      <w:r w:rsidR="00AE7C2A" w:rsidRPr="00B45EB1">
        <w:rPr>
          <w:sz w:val="20"/>
          <w:szCs w:val="20"/>
        </w:rPr>
        <w:t>.</w:t>
      </w:r>
      <w:sdt>
        <w:sdtPr>
          <w:rPr>
            <w:sz w:val="20"/>
            <w:szCs w:val="20"/>
          </w:rPr>
          <w:id w:val="791104869"/>
          <w:citation/>
        </w:sdtPr>
        <w:sdtEndPr/>
        <w:sdtContent>
          <w:r w:rsidR="004C446C" w:rsidRPr="004C446C">
            <w:rPr>
              <w:sz w:val="20"/>
              <w:szCs w:val="20"/>
            </w:rPr>
            <w:fldChar w:fldCharType="begin"/>
          </w:r>
          <w:r w:rsidR="004C446C" w:rsidRPr="004C446C">
            <w:rPr>
              <w:sz w:val="20"/>
              <w:szCs w:val="20"/>
            </w:rPr>
            <w:instrText xml:space="preserve"> CITATION Gam222 \l 16393 </w:instrText>
          </w:r>
          <w:r w:rsidR="004C446C" w:rsidRPr="004C446C">
            <w:rPr>
              <w:sz w:val="20"/>
              <w:szCs w:val="20"/>
            </w:rPr>
            <w:fldChar w:fldCharType="separate"/>
          </w:r>
          <w:r w:rsidR="004C446C" w:rsidRPr="004C446C">
            <w:rPr>
              <w:noProof/>
              <w:sz w:val="20"/>
              <w:szCs w:val="20"/>
            </w:rPr>
            <w:t xml:space="preserve"> (GamCare, 2022)</w:t>
          </w:r>
          <w:r w:rsidR="004C446C" w:rsidRPr="004C446C">
            <w:rPr>
              <w:sz w:val="20"/>
              <w:szCs w:val="20"/>
            </w:rPr>
            <w:fldChar w:fldCharType="end"/>
          </w:r>
        </w:sdtContent>
      </w:sdt>
    </w:p>
    <w:p w14:paraId="7CE9CAC4" w14:textId="77777777" w:rsidR="00AE7C2A" w:rsidRPr="007C7F55" w:rsidRDefault="00AE7C2A" w:rsidP="00AE7C2A">
      <w:pPr>
        <w:rPr>
          <w:b/>
          <w:bCs/>
          <w:sz w:val="24"/>
          <w:szCs w:val="24"/>
        </w:rPr>
      </w:pPr>
      <w:r w:rsidRPr="007C7F55">
        <w:rPr>
          <w:b/>
          <w:bCs/>
          <w:sz w:val="24"/>
          <w:szCs w:val="24"/>
        </w:rPr>
        <w:t>2.5 Gaps Identified to Situate the Present Research</w:t>
      </w:r>
    </w:p>
    <w:p w14:paraId="3014B7D1" w14:textId="77777777" w:rsidR="00AE7C2A" w:rsidRPr="00672820" w:rsidRDefault="00AE7C2A" w:rsidP="00C059E2">
      <w:pPr>
        <w:rPr>
          <w:sz w:val="20"/>
          <w:szCs w:val="20"/>
        </w:rPr>
      </w:pPr>
      <w:r w:rsidRPr="00672820">
        <w:rPr>
          <w:sz w:val="20"/>
          <w:szCs w:val="20"/>
        </w:rPr>
        <w:t>The review above highlights several important gaps that the present dissertation aims to address:</w:t>
      </w:r>
    </w:p>
    <w:p w14:paraId="65DACD0C" w14:textId="36F0A517" w:rsidR="007D489A" w:rsidRPr="00672820" w:rsidRDefault="00672820" w:rsidP="00C059E2">
      <w:pPr>
        <w:rPr>
          <w:b/>
          <w:bCs/>
        </w:rPr>
      </w:pPr>
      <w:r>
        <w:rPr>
          <w:b/>
          <w:bCs/>
        </w:rPr>
        <w:t>1.</w:t>
      </w:r>
      <w:r w:rsidR="007D489A" w:rsidRPr="00672820">
        <w:rPr>
          <w:b/>
          <w:bCs/>
        </w:rPr>
        <w:t>Minimal support of responsible gambling (RG) on customer loyalty.</w:t>
      </w:r>
    </w:p>
    <w:p w14:paraId="70136DB9" w14:textId="17AB0FCC" w:rsidR="007D489A" w:rsidRPr="00C059E2" w:rsidRDefault="007D489A" w:rsidP="00C059E2">
      <w:pPr>
        <w:rPr>
          <w:sz w:val="20"/>
          <w:szCs w:val="20"/>
        </w:rPr>
      </w:pPr>
      <w:r w:rsidRPr="00C059E2">
        <w:rPr>
          <w:sz w:val="20"/>
          <w:szCs w:val="20"/>
        </w:rPr>
        <w:t>Recent empirical research on RG has focused heavily on harm reduction and there is relatively little research assessing effects of RG on other metrics like customer loyalty, trust and retention in the long term. The character of the relations between RG initiatives and such customer outcomes, therefore, is not studied fully enough.</w:t>
      </w:r>
      <w:sdt>
        <w:sdtPr>
          <w:rPr>
            <w:sz w:val="20"/>
            <w:szCs w:val="20"/>
          </w:rPr>
          <w:id w:val="1604997379"/>
          <w:citation/>
        </w:sdtPr>
        <w:sdtEndPr/>
        <w:sdtContent>
          <w:r w:rsidR="006112E9" w:rsidRPr="00C059E2">
            <w:rPr>
              <w:sz w:val="20"/>
              <w:szCs w:val="20"/>
            </w:rPr>
            <w:fldChar w:fldCharType="begin"/>
          </w:r>
          <w:r w:rsidR="006112E9" w:rsidRPr="00C059E2">
            <w:rPr>
              <w:sz w:val="20"/>
              <w:szCs w:val="20"/>
            </w:rPr>
            <w:instrText xml:space="preserve"> CITATION Rob16 \l 16393 </w:instrText>
          </w:r>
          <w:r w:rsidR="006112E9" w:rsidRPr="00C059E2">
            <w:rPr>
              <w:sz w:val="20"/>
              <w:szCs w:val="20"/>
            </w:rPr>
            <w:fldChar w:fldCharType="separate"/>
          </w:r>
          <w:r w:rsidR="006112E9" w:rsidRPr="00C059E2">
            <w:rPr>
              <w:sz w:val="20"/>
              <w:szCs w:val="20"/>
            </w:rPr>
            <w:t xml:space="preserve"> (Robert Ladouceur, 2016)</w:t>
          </w:r>
          <w:r w:rsidR="006112E9" w:rsidRPr="00C059E2">
            <w:rPr>
              <w:sz w:val="20"/>
              <w:szCs w:val="20"/>
            </w:rPr>
            <w:fldChar w:fldCharType="end"/>
          </w:r>
        </w:sdtContent>
      </w:sdt>
    </w:p>
    <w:p w14:paraId="12092F60" w14:textId="4418ACAE" w:rsidR="007D489A" w:rsidRPr="00672820" w:rsidRDefault="00672820" w:rsidP="009A67D7">
      <w:pPr>
        <w:rPr>
          <w:b/>
          <w:bCs/>
        </w:rPr>
      </w:pPr>
      <w:r>
        <w:rPr>
          <w:b/>
          <w:bCs/>
        </w:rPr>
        <w:t>2.</w:t>
      </w:r>
      <w:r w:rsidR="007D489A" w:rsidRPr="00672820">
        <w:rPr>
          <w:b/>
          <w:bCs/>
        </w:rPr>
        <w:t>Limited Insight into how individual operators implement RG</w:t>
      </w:r>
    </w:p>
    <w:p w14:paraId="2230688D" w14:textId="7BC95879" w:rsidR="00672820" w:rsidRPr="00B90399" w:rsidRDefault="007D489A" w:rsidP="009A67D7">
      <w:pPr>
        <w:rPr>
          <w:sz w:val="20"/>
          <w:szCs w:val="20"/>
        </w:rPr>
      </w:pPr>
      <w:r w:rsidRPr="00B90399">
        <w:rPr>
          <w:sz w:val="20"/>
          <w:szCs w:val="20"/>
        </w:rPr>
        <w:t>Available literature often draws on the information provided by the anonymous operators or regulatory authorities, which provide little information on the integration of RG practices in the frameworks of large, multinational gambling businesses. This dependence on generic datasets is a challenge to a sophisticated interpretation of brand-specific RG implementation strategies.</w:t>
      </w:r>
      <w:sdt>
        <w:sdtPr>
          <w:rPr>
            <w:sz w:val="20"/>
            <w:szCs w:val="20"/>
          </w:rPr>
          <w:id w:val="2096440543"/>
          <w:citation/>
        </w:sdtPr>
        <w:sdtEndPr/>
        <w:sdtContent>
          <w:r w:rsidR="00EE77C3" w:rsidRPr="00B90399">
            <w:rPr>
              <w:sz w:val="20"/>
              <w:szCs w:val="20"/>
            </w:rPr>
            <w:fldChar w:fldCharType="begin"/>
          </w:r>
          <w:r w:rsidR="00EE77C3" w:rsidRPr="00B90399">
            <w:rPr>
              <w:sz w:val="20"/>
              <w:szCs w:val="20"/>
            </w:rPr>
            <w:instrText xml:space="preserve"> CITATION Han17 \l 16393 </w:instrText>
          </w:r>
          <w:r w:rsidR="00EE77C3" w:rsidRPr="00B90399">
            <w:rPr>
              <w:sz w:val="20"/>
              <w:szCs w:val="20"/>
            </w:rPr>
            <w:fldChar w:fldCharType="separate"/>
          </w:r>
          <w:r w:rsidR="00EE77C3" w:rsidRPr="00B90399">
            <w:rPr>
              <w:noProof/>
              <w:sz w:val="20"/>
              <w:szCs w:val="20"/>
            </w:rPr>
            <w:t xml:space="preserve"> (Hancock, 2017)</w:t>
          </w:r>
          <w:r w:rsidR="00EE77C3" w:rsidRPr="00B90399">
            <w:rPr>
              <w:sz w:val="20"/>
              <w:szCs w:val="20"/>
            </w:rPr>
            <w:fldChar w:fldCharType="end"/>
          </w:r>
        </w:sdtContent>
      </w:sdt>
    </w:p>
    <w:p w14:paraId="370A13D6" w14:textId="411AF0A3" w:rsidR="007D489A" w:rsidRPr="00672820" w:rsidRDefault="00672820" w:rsidP="00B90399">
      <w:pPr>
        <w:rPr>
          <w:b/>
          <w:bCs/>
        </w:rPr>
      </w:pPr>
      <w:r>
        <w:rPr>
          <w:b/>
          <w:bCs/>
        </w:rPr>
        <w:t>3.</w:t>
      </w:r>
      <w:r w:rsidR="007D489A" w:rsidRPr="00672820">
        <w:rPr>
          <w:b/>
          <w:bCs/>
        </w:rPr>
        <w:t>Minimally studied AI-based RG systems</w:t>
      </w:r>
    </w:p>
    <w:p w14:paraId="0BE43C62" w14:textId="0E387F4C" w:rsidR="007D489A" w:rsidRPr="00061F03" w:rsidRDefault="007D489A" w:rsidP="00061F03">
      <w:pPr>
        <w:rPr>
          <w:b/>
          <w:bCs/>
          <w:sz w:val="20"/>
          <w:szCs w:val="20"/>
        </w:rPr>
      </w:pPr>
      <w:r w:rsidRPr="00061F03">
        <w:rPr>
          <w:sz w:val="20"/>
          <w:szCs w:val="20"/>
        </w:rPr>
        <w:t>Although behavioural monitoring has received a lot of focus in the literature, it still lacks rigorous academic examination with regards to real-time, artificial-intelligence-based RG systems. Specifically, researchers have not explored the perceptions of consumers regarding the transparency of such technologically mediated interventions and their intrusiveness in details.</w:t>
      </w:r>
      <w:sdt>
        <w:sdtPr>
          <w:rPr>
            <w:sz w:val="20"/>
            <w:szCs w:val="20"/>
          </w:rPr>
          <w:id w:val="665513012"/>
          <w:citation/>
        </w:sdtPr>
        <w:sdtEndPr/>
        <w:sdtContent>
          <w:r w:rsidR="0000299A" w:rsidRPr="00061F03">
            <w:rPr>
              <w:sz w:val="20"/>
              <w:szCs w:val="20"/>
            </w:rPr>
            <w:fldChar w:fldCharType="begin"/>
          </w:r>
          <w:r w:rsidR="0000299A" w:rsidRPr="00061F03">
            <w:rPr>
              <w:sz w:val="20"/>
              <w:szCs w:val="20"/>
            </w:rPr>
            <w:instrText xml:space="preserve"> CITATION Aue16 \l 16393 </w:instrText>
          </w:r>
          <w:r w:rsidR="0000299A" w:rsidRPr="00061F03">
            <w:rPr>
              <w:sz w:val="20"/>
              <w:szCs w:val="20"/>
            </w:rPr>
            <w:fldChar w:fldCharType="separate"/>
          </w:r>
          <w:r w:rsidR="0000299A" w:rsidRPr="00061F03">
            <w:rPr>
              <w:noProof/>
              <w:sz w:val="20"/>
              <w:szCs w:val="20"/>
            </w:rPr>
            <w:t xml:space="preserve"> (Auer, 2016)</w:t>
          </w:r>
          <w:r w:rsidR="0000299A" w:rsidRPr="00061F03">
            <w:rPr>
              <w:sz w:val="20"/>
              <w:szCs w:val="20"/>
            </w:rPr>
            <w:fldChar w:fldCharType="end"/>
          </w:r>
        </w:sdtContent>
      </w:sdt>
    </w:p>
    <w:p w14:paraId="4DED282F" w14:textId="2E22921B" w:rsidR="007D489A" w:rsidRDefault="00672820" w:rsidP="00A349C5">
      <w:r>
        <w:rPr>
          <w:b/>
          <w:bCs/>
        </w:rPr>
        <w:t>4.</w:t>
      </w:r>
      <w:r w:rsidR="007D489A" w:rsidRPr="00672820">
        <w:rPr>
          <w:b/>
          <w:bCs/>
        </w:rPr>
        <w:t>The lack of segmentation of gambler responses</w:t>
      </w:r>
    </w:p>
    <w:p w14:paraId="1E2B6FD6" w14:textId="15054675" w:rsidR="007D489A" w:rsidRDefault="007D489A" w:rsidP="00A349C5">
      <w:r w:rsidRPr="003E2062">
        <w:rPr>
          <w:sz w:val="20"/>
          <w:szCs w:val="20"/>
        </w:rPr>
        <w:t xml:space="preserve">Most of the studies consider gamblers as a homogeneous group of people, yet the evidence keeps piling up to show that the perception of RG is different depending on the stratification of risk, the motive of gambling, and the intensity of the play. In this regard, a severe gap in research is required to disaggregate </w:t>
      </w:r>
      <w:r w:rsidRPr="00D62B0D">
        <w:rPr>
          <w:sz w:val="20"/>
          <w:szCs w:val="20"/>
        </w:rPr>
        <w:t>the populations of gamblers to be able to capture heterogeneity in the RG attitudes and behaviours.</w:t>
      </w:r>
      <w:r w:rsidR="008F67B9" w:rsidRPr="00D62B0D">
        <w:rPr>
          <w:sz w:val="20"/>
          <w:szCs w:val="20"/>
        </w:rPr>
        <w:t xml:space="preserve"> </w:t>
      </w:r>
      <w:sdt>
        <w:sdtPr>
          <w:rPr>
            <w:sz w:val="20"/>
            <w:szCs w:val="20"/>
          </w:rPr>
          <w:id w:val="1949034870"/>
          <w:citation/>
        </w:sdtPr>
        <w:sdtContent>
          <w:r w:rsidR="00B24191" w:rsidRPr="00B24191">
            <w:rPr>
              <w:sz w:val="20"/>
              <w:szCs w:val="20"/>
            </w:rPr>
            <w:fldChar w:fldCharType="begin"/>
          </w:r>
          <w:r w:rsidR="00B24191" w:rsidRPr="00B24191">
            <w:rPr>
              <w:sz w:val="20"/>
              <w:szCs w:val="20"/>
            </w:rPr>
            <w:instrText xml:space="preserve"> CITATION Hin211 \l 16393 </w:instrText>
          </w:r>
          <w:r w:rsidR="00B24191" w:rsidRPr="00B24191">
            <w:rPr>
              <w:sz w:val="20"/>
              <w:szCs w:val="20"/>
            </w:rPr>
            <w:fldChar w:fldCharType="separate"/>
          </w:r>
          <w:r w:rsidR="00B24191" w:rsidRPr="00B24191">
            <w:rPr>
              <w:noProof/>
              <w:sz w:val="20"/>
              <w:szCs w:val="20"/>
            </w:rPr>
            <w:t>(Hing, 2021)</w:t>
          </w:r>
          <w:r w:rsidR="00B24191" w:rsidRPr="00B24191">
            <w:rPr>
              <w:sz w:val="20"/>
              <w:szCs w:val="20"/>
            </w:rPr>
            <w:fldChar w:fldCharType="end"/>
          </w:r>
        </w:sdtContent>
      </w:sdt>
    </w:p>
    <w:p w14:paraId="036E39A4" w14:textId="06AE706F" w:rsidR="007D489A" w:rsidRDefault="00672820" w:rsidP="004175C6">
      <w:r>
        <w:rPr>
          <w:b/>
          <w:bCs/>
        </w:rPr>
        <w:lastRenderedPageBreak/>
        <w:t xml:space="preserve">5. </w:t>
      </w:r>
      <w:r w:rsidR="007D489A" w:rsidRPr="00672820">
        <w:rPr>
          <w:b/>
          <w:bCs/>
        </w:rPr>
        <w:t>Poorly developed regulatory and trust situations</w:t>
      </w:r>
      <w:r w:rsidR="007D489A" w:rsidRPr="00356B4B">
        <w:t xml:space="preserve"> </w:t>
      </w:r>
    </w:p>
    <w:p w14:paraId="02916CF0" w14:textId="685A2E9E" w:rsidR="00AE7C2A" w:rsidRPr="006A6FCA" w:rsidRDefault="007D489A" w:rsidP="004175C6">
      <w:pPr>
        <w:rPr>
          <w:sz w:val="20"/>
          <w:szCs w:val="20"/>
        </w:rPr>
      </w:pPr>
      <w:r w:rsidRPr="006A6FCA">
        <w:rPr>
          <w:sz w:val="20"/>
          <w:szCs w:val="20"/>
        </w:rPr>
        <w:t>There are limited studies that evaluate RG initiatives in the wider context of regulatory systems, reputational forces, and trust relationships, particularly in those jurisdictions where regulatory systems are highly regulated, like the United Kingdom. The absence of such a gap shows that there is a deficiency in grounded analysis about the influence of legal and trust environment on the effectiveness of RG strategies.</w:t>
      </w:r>
      <w:sdt>
        <w:sdtPr>
          <w:rPr>
            <w:sz w:val="20"/>
            <w:szCs w:val="20"/>
          </w:rPr>
          <w:id w:val="1238061724"/>
          <w:citation/>
        </w:sdtPr>
        <w:sdtContent>
          <w:r w:rsidR="000B4444">
            <w:rPr>
              <w:sz w:val="20"/>
              <w:szCs w:val="20"/>
            </w:rPr>
            <w:fldChar w:fldCharType="begin"/>
          </w:r>
          <w:r w:rsidR="000B4444">
            <w:rPr>
              <w:sz w:val="20"/>
              <w:szCs w:val="20"/>
            </w:rPr>
            <w:instrText xml:space="preserve"> CITATION Lad17 \l 16393 </w:instrText>
          </w:r>
          <w:r w:rsidR="000B4444">
            <w:rPr>
              <w:sz w:val="20"/>
              <w:szCs w:val="20"/>
            </w:rPr>
            <w:fldChar w:fldCharType="separate"/>
          </w:r>
          <w:r w:rsidR="000B4444">
            <w:rPr>
              <w:noProof/>
              <w:sz w:val="20"/>
              <w:szCs w:val="20"/>
            </w:rPr>
            <w:t xml:space="preserve"> </w:t>
          </w:r>
          <w:r w:rsidR="000B4444" w:rsidRPr="000B4444">
            <w:rPr>
              <w:noProof/>
              <w:sz w:val="20"/>
              <w:szCs w:val="20"/>
            </w:rPr>
            <w:t>(Ladouceur, 2017)</w:t>
          </w:r>
          <w:r w:rsidR="000B4444">
            <w:rPr>
              <w:sz w:val="20"/>
              <w:szCs w:val="20"/>
            </w:rPr>
            <w:fldChar w:fldCharType="end"/>
          </w:r>
        </w:sdtContent>
      </w:sdt>
    </w:p>
    <w:p w14:paraId="200CEDA2" w14:textId="77777777" w:rsidR="00AE7C2A" w:rsidRPr="007C7F55" w:rsidRDefault="00AE7C2A" w:rsidP="00AE7C2A">
      <w:pPr>
        <w:rPr>
          <w:b/>
          <w:bCs/>
          <w:sz w:val="24"/>
          <w:szCs w:val="24"/>
        </w:rPr>
      </w:pPr>
      <w:r w:rsidRPr="007C7F55">
        <w:rPr>
          <w:b/>
          <w:bCs/>
          <w:sz w:val="24"/>
          <w:szCs w:val="24"/>
        </w:rPr>
        <w:t>2.6 Summary of Chapter 2</w:t>
      </w:r>
    </w:p>
    <w:p w14:paraId="3F898037" w14:textId="77777777" w:rsidR="001C1B42" w:rsidRDefault="00353A0F" w:rsidP="00AE7C2A">
      <w:pPr>
        <w:rPr>
          <w:sz w:val="20"/>
          <w:szCs w:val="20"/>
        </w:rPr>
      </w:pPr>
      <w:r w:rsidRPr="00353A0F">
        <w:rPr>
          <w:sz w:val="20"/>
          <w:szCs w:val="20"/>
        </w:rPr>
        <w:t>The chapter has discussed the main ideas, theoretical framework and empirical data concerning the effect of responsible gambling programs on the loyalty of customers with reference to Entain plc in particular. RG has become a leading component of gambling CSR and ESG policies, and the ARC framework adopted by Entain is a technologically advanced effort to operationalise proactive harm-minimisation.</w:t>
      </w:r>
    </w:p>
    <w:p w14:paraId="0C8A1DBD" w14:textId="421BCCB8" w:rsidR="00EB22CE" w:rsidRDefault="00AE7C2A" w:rsidP="00AE7C2A">
      <w:pPr>
        <w:rPr>
          <w:sz w:val="20"/>
          <w:szCs w:val="20"/>
        </w:rPr>
      </w:pPr>
      <w:r w:rsidRPr="00AF760F">
        <w:rPr>
          <w:sz w:val="20"/>
          <w:szCs w:val="20"/>
        </w:rPr>
        <w:t xml:space="preserve">The chapter introduced core theoretical </w:t>
      </w:r>
      <w:r w:rsidR="00DB7F4F" w:rsidRPr="00AF760F">
        <w:rPr>
          <w:sz w:val="20"/>
          <w:szCs w:val="20"/>
        </w:rPr>
        <w:t>perspectives stakeholder</w:t>
      </w:r>
      <w:r w:rsidRPr="00AF760F">
        <w:rPr>
          <w:sz w:val="20"/>
          <w:szCs w:val="20"/>
        </w:rPr>
        <w:t xml:space="preserve"> theory, Social Exchange Theory, the Theory of Planned Behaviour and relationship </w:t>
      </w:r>
      <w:r w:rsidR="00DB7F4F" w:rsidRPr="00AF760F">
        <w:rPr>
          <w:sz w:val="20"/>
          <w:szCs w:val="20"/>
        </w:rPr>
        <w:t>marketing that</w:t>
      </w:r>
      <w:r w:rsidRPr="00AF760F">
        <w:rPr>
          <w:sz w:val="20"/>
          <w:szCs w:val="20"/>
        </w:rPr>
        <w:t xml:space="preserve"> help explain possible pathways linking RG initiatives to customer loyalty via trust, perceived control and ethical alignment. However, these frameworks also have limitations when applied to an industry characterised by addiction risks, asymmetric information and contested legitimacy.</w:t>
      </w:r>
    </w:p>
    <w:p w14:paraId="36691AAD" w14:textId="76183A70" w:rsidR="00DA729E" w:rsidRDefault="00DA729E" w:rsidP="00AE7C2A">
      <w:pPr>
        <w:rPr>
          <w:sz w:val="20"/>
          <w:szCs w:val="20"/>
        </w:rPr>
      </w:pPr>
      <w:r w:rsidRPr="00DA729E">
        <w:rPr>
          <w:sz w:val="20"/>
          <w:szCs w:val="20"/>
        </w:rPr>
        <w:t>The empirical evidence demonstrates that the RG tools can decrease harmful gambling behaviour and are generally rated positively by the customers. However, it is difficult to find direct evidence indicating that these tools lead to increased loyalty and little literature is devoted to particular large operators or AI-based systems such as ARC. Issues of authenticity, transparency and historic compliance shortcomings also complicate the positive relationship that is assumed to exist between RG and loyalty.</w:t>
      </w:r>
    </w:p>
    <w:p w14:paraId="1AA84894" w14:textId="226DA35A" w:rsidR="00EB22CE" w:rsidRDefault="00F8702B" w:rsidP="00AE7C2A">
      <w:pPr>
        <w:rPr>
          <w:sz w:val="20"/>
          <w:szCs w:val="20"/>
        </w:rPr>
      </w:pPr>
      <w:r w:rsidRPr="00F8702B">
        <w:rPr>
          <w:sz w:val="20"/>
          <w:szCs w:val="20"/>
        </w:rPr>
        <w:t>These gaps underlie the current study, which seeks to determine the perceptions of Entain customers about its responsible gambling programs and how such perceptions influence various aspects of customer loyalty. The following chapter presents the methodology that has been taken in answering these questions.</w:t>
      </w:r>
    </w:p>
    <w:p w14:paraId="3B844B8E" w14:textId="106CEE4B" w:rsidR="00F233AF" w:rsidRDefault="00F233AF" w:rsidP="00AE7C2A">
      <w:pPr>
        <w:rPr>
          <w:b/>
          <w:bCs/>
          <w:sz w:val="24"/>
          <w:szCs w:val="24"/>
        </w:rPr>
      </w:pPr>
      <w:r w:rsidRPr="00F233AF">
        <w:rPr>
          <w:b/>
          <w:bCs/>
          <w:sz w:val="24"/>
          <w:szCs w:val="24"/>
        </w:rPr>
        <w:t>Chapter 3 Methodology</w:t>
      </w:r>
    </w:p>
    <w:p w14:paraId="1A2C02C1" w14:textId="63A865FD" w:rsidR="00F233AF" w:rsidRDefault="007D2DAA" w:rsidP="00AE7C2A">
      <w:pPr>
        <w:rPr>
          <w:b/>
          <w:bCs/>
        </w:rPr>
      </w:pPr>
      <w:r w:rsidRPr="009D7352">
        <w:rPr>
          <w:b/>
          <w:bCs/>
        </w:rPr>
        <w:t>3.1</w:t>
      </w:r>
      <w:r w:rsidR="009D7352" w:rsidRPr="009D7352">
        <w:rPr>
          <w:b/>
          <w:bCs/>
        </w:rPr>
        <w:t xml:space="preserve"> Introduction </w:t>
      </w:r>
    </w:p>
    <w:p w14:paraId="6CB1AE39" w14:textId="5FB8143E" w:rsidR="00736487" w:rsidRPr="00736487" w:rsidRDefault="00736487" w:rsidP="00AE7C2A">
      <w:pPr>
        <w:rPr>
          <w:sz w:val="20"/>
          <w:szCs w:val="20"/>
        </w:rPr>
      </w:pPr>
      <w:r w:rsidRPr="00736487">
        <w:rPr>
          <w:sz w:val="20"/>
          <w:szCs w:val="20"/>
        </w:rPr>
        <w:t>This chapter describes the methodology followed to explore the effects of responsible gambling programs on loyalty to customers in the case of Entain plc. It describes the research philosophy, research design, data collection techniques, sampling plan, and data analysis techniques that were applied to answer the research aim and questions. Ethical issues and methodological constraints are also presented. Since the topic of gambling research is sensitive and the ethical issues related to direct interaction with potentially vulnerable individuals are high, the secondary qualitative research design was deemed as the most suitable one to use in this undergraduate research. This method lets the study be ethically accountable and yet come up with valuable and scholarly findings.</w:t>
      </w:r>
    </w:p>
    <w:p w14:paraId="6A4F28DD" w14:textId="4968D109" w:rsidR="008B5629" w:rsidRPr="00835CFE" w:rsidRDefault="00667118" w:rsidP="00AE7C2A">
      <w:pPr>
        <w:rPr>
          <w:b/>
          <w:bCs/>
        </w:rPr>
      </w:pPr>
      <w:r w:rsidRPr="00835CFE">
        <w:rPr>
          <w:b/>
          <w:bCs/>
        </w:rPr>
        <w:t>3.2 Research Philosophy</w:t>
      </w:r>
    </w:p>
    <w:p w14:paraId="02614172" w14:textId="47F595DE" w:rsidR="00667118" w:rsidRDefault="00F16C05" w:rsidP="00AE7C2A">
      <w:pPr>
        <w:rPr>
          <w:sz w:val="20"/>
          <w:szCs w:val="20"/>
        </w:rPr>
      </w:pPr>
      <w:r w:rsidRPr="00F16C05">
        <w:rPr>
          <w:sz w:val="20"/>
          <w:szCs w:val="20"/>
        </w:rPr>
        <w:t>The research philosophy applied in this study is an interpretivist research philosophy since it involves seeking to explain social phenomena in terms of meanings, experiences, and interpretation of contexts instead of using objective measurement. Interpretivism should be used especially well when focusing on such concepts like trust, perception, and loyalty because they are subjective and socially constructed.</w:t>
      </w:r>
      <w:sdt>
        <w:sdtPr>
          <w:rPr>
            <w:sz w:val="20"/>
            <w:szCs w:val="20"/>
          </w:rPr>
          <w:id w:val="-1033800390"/>
          <w:citation/>
        </w:sdtPr>
        <w:sdtEndPr/>
        <w:sdtContent>
          <w:r w:rsidR="008D6D9F">
            <w:rPr>
              <w:sz w:val="20"/>
              <w:szCs w:val="20"/>
            </w:rPr>
            <w:fldChar w:fldCharType="begin"/>
          </w:r>
          <w:r w:rsidR="008D6D9F">
            <w:rPr>
              <w:sz w:val="20"/>
              <w:szCs w:val="20"/>
            </w:rPr>
            <w:instrText xml:space="preserve"> CITATION Cre18 \l 16393 </w:instrText>
          </w:r>
          <w:r w:rsidR="008D6D9F">
            <w:rPr>
              <w:sz w:val="20"/>
              <w:szCs w:val="20"/>
            </w:rPr>
            <w:fldChar w:fldCharType="separate"/>
          </w:r>
          <w:r w:rsidR="008D6D9F">
            <w:rPr>
              <w:noProof/>
              <w:sz w:val="20"/>
              <w:szCs w:val="20"/>
            </w:rPr>
            <w:t xml:space="preserve"> </w:t>
          </w:r>
          <w:r w:rsidR="008D6D9F" w:rsidRPr="008D6D9F">
            <w:rPr>
              <w:noProof/>
              <w:sz w:val="20"/>
              <w:szCs w:val="20"/>
            </w:rPr>
            <w:t>(Creswell, 2018)</w:t>
          </w:r>
          <w:r w:rsidR="008D6D9F">
            <w:rPr>
              <w:sz w:val="20"/>
              <w:szCs w:val="20"/>
            </w:rPr>
            <w:fldChar w:fldCharType="end"/>
          </w:r>
        </w:sdtContent>
      </w:sdt>
      <w:r w:rsidR="007864CB" w:rsidRPr="007864CB">
        <w:t xml:space="preserve"> </w:t>
      </w:r>
      <w:r w:rsidR="00466570" w:rsidRPr="00466570">
        <w:rPr>
          <w:sz w:val="20"/>
          <w:szCs w:val="20"/>
        </w:rPr>
        <w:t>The focus is not on the development of universal causal relationships but exploring the presentation, understanding, and interpretation of responsible gambling initiatives in a particular organisational and regulatory setting. This philosophical stance is consistent with the fact that the study was based on documentary evidence and interpretation of the data using qualitative methods.</w:t>
      </w:r>
    </w:p>
    <w:p w14:paraId="75790784" w14:textId="67EFD9B7" w:rsidR="00DF3C8F" w:rsidRPr="009F0AA5" w:rsidRDefault="00DF3C8F" w:rsidP="00AE7C2A">
      <w:pPr>
        <w:rPr>
          <w:b/>
          <w:bCs/>
        </w:rPr>
      </w:pPr>
      <w:r w:rsidRPr="009F0AA5">
        <w:rPr>
          <w:b/>
          <w:bCs/>
        </w:rPr>
        <w:lastRenderedPageBreak/>
        <w:t xml:space="preserve">3.3 </w:t>
      </w:r>
      <w:r w:rsidR="00DE6A21">
        <w:rPr>
          <w:b/>
          <w:bCs/>
        </w:rPr>
        <w:t>R</w:t>
      </w:r>
      <w:r w:rsidRPr="009F0AA5">
        <w:rPr>
          <w:b/>
          <w:bCs/>
        </w:rPr>
        <w:t xml:space="preserve">esearch Approach </w:t>
      </w:r>
      <w:r w:rsidR="00A5297A" w:rsidRPr="009F0AA5">
        <w:rPr>
          <w:b/>
          <w:bCs/>
        </w:rPr>
        <w:t xml:space="preserve">and design </w:t>
      </w:r>
    </w:p>
    <w:p w14:paraId="53ED8A46" w14:textId="2CE2CDD3" w:rsidR="00E11807" w:rsidRDefault="009F0AA5" w:rsidP="00AE7C2A">
      <w:pPr>
        <w:rPr>
          <w:sz w:val="20"/>
          <w:szCs w:val="20"/>
        </w:rPr>
      </w:pPr>
      <w:r w:rsidRPr="009F0AA5">
        <w:rPr>
          <w:sz w:val="20"/>
          <w:szCs w:val="20"/>
        </w:rPr>
        <w:t>The qualitative research design was adopted with the use of one case study design based on Entain plc. Case studies allow researchers to examine detailed complex organisational practice in the context of their real practice, and are commonly applied in both business and social research</w:t>
      </w:r>
      <w:sdt>
        <w:sdtPr>
          <w:rPr>
            <w:sz w:val="20"/>
            <w:szCs w:val="20"/>
          </w:rPr>
          <w:id w:val="30696328"/>
          <w:citation/>
        </w:sdtPr>
        <w:sdtEndPr/>
        <w:sdtContent>
          <w:r w:rsidR="00125750" w:rsidRPr="00125750">
            <w:rPr>
              <w:sz w:val="20"/>
              <w:szCs w:val="20"/>
            </w:rPr>
            <w:fldChar w:fldCharType="begin"/>
          </w:r>
          <w:r w:rsidR="00125750" w:rsidRPr="00125750">
            <w:instrText xml:space="preserve"> CITATION Yin18 \l 16393 </w:instrText>
          </w:r>
          <w:r w:rsidR="00125750" w:rsidRPr="00125750">
            <w:rPr>
              <w:sz w:val="20"/>
              <w:szCs w:val="20"/>
            </w:rPr>
            <w:fldChar w:fldCharType="separate"/>
          </w:r>
          <w:r w:rsidR="00125750" w:rsidRPr="00125750">
            <w:rPr>
              <w:noProof/>
            </w:rPr>
            <w:t xml:space="preserve"> (Yin, 2018)</w:t>
          </w:r>
          <w:r w:rsidR="00125750" w:rsidRPr="00125750">
            <w:rPr>
              <w:sz w:val="20"/>
              <w:szCs w:val="20"/>
            </w:rPr>
            <w:fldChar w:fldCharType="end"/>
          </w:r>
        </w:sdtContent>
      </w:sdt>
      <w:r w:rsidR="00125750">
        <w:rPr>
          <w:sz w:val="20"/>
          <w:szCs w:val="20"/>
        </w:rPr>
        <w:t>.</w:t>
      </w:r>
      <w:r w:rsidR="00F02BF1" w:rsidRPr="00F02BF1">
        <w:rPr>
          <w:sz w:val="20"/>
          <w:szCs w:val="20"/>
        </w:rPr>
        <w:t>The reason why Entain was chosen is that it occupies a leading role in the UK gambling sector and its widespread reporting in the responsibility of gambling practices. This design enables to have a closer look at the ways in which responsible gambling initiatives can be incorporated into the corporate strategy and how they can impact customer loyalty outcomes</w:t>
      </w:r>
      <w:r w:rsidR="00262AAA">
        <w:rPr>
          <w:sz w:val="20"/>
          <w:szCs w:val="20"/>
        </w:rPr>
        <w:t>.</w:t>
      </w:r>
    </w:p>
    <w:p w14:paraId="6251703E" w14:textId="0EF541BF" w:rsidR="00262AAA" w:rsidRDefault="00C92B4B" w:rsidP="00AE7C2A">
      <w:pPr>
        <w:rPr>
          <w:b/>
          <w:bCs/>
        </w:rPr>
      </w:pPr>
      <w:r w:rsidRPr="00DE6A21">
        <w:rPr>
          <w:b/>
          <w:bCs/>
        </w:rPr>
        <w:t xml:space="preserve">3.4 Data Collection </w:t>
      </w:r>
      <w:r w:rsidR="00DE6A21" w:rsidRPr="00DE6A21">
        <w:rPr>
          <w:b/>
          <w:bCs/>
        </w:rPr>
        <w:t>Methods</w:t>
      </w:r>
    </w:p>
    <w:p w14:paraId="6DFD3339" w14:textId="61BA9BAC" w:rsidR="001644F9" w:rsidRDefault="00E1362F" w:rsidP="00AE7C2A">
      <w:pPr>
        <w:rPr>
          <w:sz w:val="20"/>
          <w:szCs w:val="20"/>
        </w:rPr>
      </w:pPr>
      <w:r w:rsidRPr="00E1362F">
        <w:rPr>
          <w:sz w:val="20"/>
          <w:szCs w:val="20"/>
        </w:rPr>
        <w:t xml:space="preserve">The research is based solely on secondary and qualitative data that has been obtained in a few reputable and publicly available documents. These will be annual and ESG reports of Entain, regulatory publications issued by UK gambling regulators, academic literature published by scholars and report of industry policies. This has been due to the ethical implication of carrying out </w:t>
      </w:r>
      <w:r w:rsidR="00F54DA7" w:rsidRPr="00E1362F">
        <w:rPr>
          <w:sz w:val="20"/>
          <w:szCs w:val="20"/>
        </w:rPr>
        <w:t>primary research</w:t>
      </w:r>
      <w:r w:rsidRPr="00E1362F">
        <w:rPr>
          <w:sz w:val="20"/>
          <w:szCs w:val="20"/>
        </w:rPr>
        <w:t xml:space="preserve"> amongst gambling consumers, and practical aspects of time and access to the secondary data. In addition, the usage of documentary sources allows </w:t>
      </w:r>
      <w:r w:rsidR="00F54DA7" w:rsidRPr="00E1362F">
        <w:rPr>
          <w:sz w:val="20"/>
          <w:szCs w:val="20"/>
        </w:rPr>
        <w:t>analysing</w:t>
      </w:r>
      <w:r w:rsidRPr="00E1362F">
        <w:rPr>
          <w:sz w:val="20"/>
          <w:szCs w:val="20"/>
        </w:rPr>
        <w:t xml:space="preserve"> institutional practices and regulatory expectations on a temporal basis</w:t>
      </w:r>
      <w:r w:rsidR="008B35BB" w:rsidRPr="008B35BB">
        <w:t xml:space="preserve"> </w:t>
      </w:r>
      <w:sdt>
        <w:sdtPr>
          <w:id w:val="-779413222"/>
          <w:citation/>
        </w:sdtPr>
        <w:sdtEndPr/>
        <w:sdtContent>
          <w:r w:rsidR="00683841" w:rsidRPr="00683841">
            <w:fldChar w:fldCharType="begin"/>
          </w:r>
          <w:r w:rsidR="00683841" w:rsidRPr="00683841">
            <w:instrText xml:space="preserve"> CITATION Joh17 \l 16393 </w:instrText>
          </w:r>
          <w:r w:rsidR="00683841" w:rsidRPr="00683841">
            <w:fldChar w:fldCharType="separate"/>
          </w:r>
          <w:r w:rsidR="00683841" w:rsidRPr="00683841">
            <w:rPr>
              <w:noProof/>
            </w:rPr>
            <w:t>(Johnston, 2017)</w:t>
          </w:r>
          <w:r w:rsidR="00683841" w:rsidRPr="00683841">
            <w:fldChar w:fldCharType="end"/>
          </w:r>
        </w:sdtContent>
      </w:sdt>
      <w:r w:rsidR="008B35BB" w:rsidRPr="00BD6C74">
        <w:t>.</w:t>
      </w:r>
      <w:r w:rsidR="000C33AD" w:rsidRPr="000C33AD">
        <w:rPr>
          <w:sz w:val="20"/>
          <w:szCs w:val="20"/>
        </w:rPr>
        <w:t>A critical review of all data sources served to determine the relevance of information that directly addresses the research questions.</w:t>
      </w:r>
    </w:p>
    <w:p w14:paraId="71D032DB" w14:textId="4A0CE233" w:rsidR="00982B8E" w:rsidRPr="000D3413" w:rsidRDefault="00982B8E" w:rsidP="00AE7C2A">
      <w:pPr>
        <w:rPr>
          <w:b/>
          <w:bCs/>
        </w:rPr>
      </w:pPr>
      <w:r w:rsidRPr="000D3413">
        <w:rPr>
          <w:b/>
          <w:bCs/>
        </w:rPr>
        <w:t xml:space="preserve">3.5 Sampling </w:t>
      </w:r>
      <w:r w:rsidR="001D0D3E" w:rsidRPr="000D3413">
        <w:rPr>
          <w:b/>
          <w:bCs/>
        </w:rPr>
        <w:t>Strate</w:t>
      </w:r>
      <w:r w:rsidR="009D6F6F" w:rsidRPr="000D3413">
        <w:rPr>
          <w:b/>
          <w:bCs/>
        </w:rPr>
        <w:t>gy</w:t>
      </w:r>
    </w:p>
    <w:p w14:paraId="3F2FD73B" w14:textId="052B77EE" w:rsidR="009D6F6F" w:rsidRDefault="000D3413" w:rsidP="00AE7C2A">
      <w:pPr>
        <w:rPr>
          <w:sz w:val="20"/>
          <w:szCs w:val="20"/>
        </w:rPr>
      </w:pPr>
      <w:r w:rsidRPr="000D3413">
        <w:rPr>
          <w:sz w:val="20"/>
          <w:szCs w:val="20"/>
        </w:rPr>
        <w:t xml:space="preserve">The documents and sources that were the most relevant to the issues of responsible gambling, customer trust, and loyalty were identified using a purposive sampling strategy. These selection criteria included relevance, credibility and correlation with United Kingdom gambling context. Recent publications were prioritized because of the need to capture the current regulatory and industry developments. This type of non-probability sampling is considered appropriate in qualitative studies, where the focus is on the depth of the understanding as opposed to statistical </w:t>
      </w:r>
      <w:r w:rsidR="009755EB" w:rsidRPr="000D3413">
        <w:rPr>
          <w:sz w:val="20"/>
          <w:szCs w:val="20"/>
        </w:rPr>
        <w:t>generalisability</w:t>
      </w:r>
      <w:r w:rsidR="00DF5F08">
        <w:t>(</w:t>
      </w:r>
      <w:sdt>
        <w:sdtPr>
          <w:id w:val="-118767079"/>
          <w:citation/>
        </w:sdtPr>
        <w:sdtEndPr/>
        <w:sdtContent>
          <w:r w:rsidR="0047187D">
            <w:fldChar w:fldCharType="begin"/>
          </w:r>
          <w:r w:rsidR="0047187D">
            <w:instrText xml:space="preserve"> CITATION Alk16 \l 16393 </w:instrText>
          </w:r>
          <w:r w:rsidR="0047187D">
            <w:fldChar w:fldCharType="separate"/>
          </w:r>
          <w:r w:rsidR="0047187D">
            <w:rPr>
              <w:noProof/>
            </w:rPr>
            <w:t xml:space="preserve"> </w:t>
          </w:r>
          <w:r w:rsidR="0047187D" w:rsidRPr="0047187D">
            <w:rPr>
              <w:noProof/>
            </w:rPr>
            <w:t>(Alkassim, 2016)</w:t>
          </w:r>
          <w:r w:rsidR="0047187D">
            <w:fldChar w:fldCharType="end"/>
          </w:r>
        </w:sdtContent>
      </w:sdt>
      <w:r w:rsidR="00386D4B" w:rsidRPr="00BD6C74">
        <w:t>).</w:t>
      </w:r>
      <w:r w:rsidR="009755EB" w:rsidRPr="009755EB">
        <w:rPr>
          <w:sz w:val="20"/>
          <w:szCs w:val="20"/>
        </w:rPr>
        <w:t>The methodology ensures long term concentration and at the same time ensures high standards of academic rigor.</w:t>
      </w:r>
    </w:p>
    <w:p w14:paraId="20F57F60" w14:textId="501EDF60" w:rsidR="00E13ED9" w:rsidRPr="008204BA" w:rsidRDefault="00641117" w:rsidP="00AE7C2A">
      <w:pPr>
        <w:rPr>
          <w:b/>
          <w:bCs/>
        </w:rPr>
      </w:pPr>
      <w:r w:rsidRPr="008204BA">
        <w:rPr>
          <w:b/>
          <w:bCs/>
        </w:rPr>
        <w:t xml:space="preserve">3.6 </w:t>
      </w:r>
      <w:r w:rsidR="008204BA" w:rsidRPr="008204BA">
        <w:rPr>
          <w:b/>
          <w:bCs/>
        </w:rPr>
        <w:t>Data Analysis Method</w:t>
      </w:r>
    </w:p>
    <w:p w14:paraId="2900B1FC" w14:textId="54EE3218" w:rsidR="007B5E7F" w:rsidRDefault="00CE4BA5" w:rsidP="00D651AC">
      <w:pPr>
        <w:rPr>
          <w:sz w:val="20"/>
          <w:szCs w:val="20"/>
        </w:rPr>
      </w:pPr>
      <w:r w:rsidRPr="00CE4BA5">
        <w:rPr>
          <w:sz w:val="20"/>
          <w:szCs w:val="20"/>
        </w:rPr>
        <w:t xml:space="preserve">The data were analysed using thematic analysis, a qualitative method that tries to identify and explain common patterns in textual data. It followed a methodological process that included the familiarisation of data, initial coding, theme building and further </w:t>
      </w:r>
      <w:r w:rsidR="00565E1E" w:rsidRPr="00CE4BA5">
        <w:rPr>
          <w:sz w:val="20"/>
          <w:szCs w:val="20"/>
        </w:rPr>
        <w:t>interpretatio</w:t>
      </w:r>
      <w:r w:rsidR="00565E1E" w:rsidRPr="00D8538E">
        <w:rPr>
          <w:sz w:val="20"/>
          <w:szCs w:val="20"/>
        </w:rPr>
        <w:t>n</w:t>
      </w:r>
      <w:r w:rsidR="00565E1E" w:rsidRPr="00D8538E">
        <w:t xml:space="preserve"> (</w:t>
      </w:r>
      <w:sdt>
        <w:sdtPr>
          <w:id w:val="-573049800"/>
          <w:citation/>
        </w:sdtPr>
        <w:sdtEndPr/>
        <w:sdtContent>
          <w:r w:rsidR="00D8538E" w:rsidRPr="00D8538E">
            <w:fldChar w:fldCharType="begin"/>
          </w:r>
          <w:r w:rsidR="00D8538E" w:rsidRPr="00D8538E">
            <w:instrText xml:space="preserve"> CITATION Vir06 \l 16393 </w:instrText>
          </w:r>
          <w:r w:rsidR="00D8538E" w:rsidRPr="00D8538E">
            <w:fldChar w:fldCharType="separate"/>
          </w:r>
          <w:r w:rsidR="00D8538E" w:rsidRPr="00D8538E">
            <w:rPr>
              <w:noProof/>
            </w:rPr>
            <w:t xml:space="preserve"> (Virginia Braun, 2006)</w:t>
          </w:r>
          <w:r w:rsidR="00D8538E" w:rsidRPr="00D8538E">
            <w:fldChar w:fldCharType="end"/>
          </w:r>
        </w:sdtContent>
      </w:sdt>
      <w:r w:rsidR="00565E1E" w:rsidRPr="00BD6C74">
        <w:t>)</w:t>
      </w:r>
      <w:r w:rsidRPr="00D8538E">
        <w:rPr>
          <w:sz w:val="20"/>
          <w:szCs w:val="20"/>
        </w:rPr>
        <w:t>.</w:t>
      </w:r>
      <w:r w:rsidR="00EE21C1" w:rsidRPr="00EE21C1">
        <w:t xml:space="preserve"> </w:t>
      </w:r>
      <w:r w:rsidR="00EE21C1" w:rsidRPr="00EE21C1">
        <w:rPr>
          <w:sz w:val="20"/>
          <w:szCs w:val="20"/>
        </w:rPr>
        <w:t>Themes were mainly obtained based on the research questions with customer perception, trust, and loyalty being the main aspects. Such a methodological position enabled making an organized comparative analysis of the responsible gambling practices of Entain and the current academic and regulatory frameworks, thus enhancing the analytical rigor.</w:t>
      </w:r>
    </w:p>
    <w:p w14:paraId="6AF493EB" w14:textId="77777777" w:rsidR="00C13B5E" w:rsidRDefault="00C13B5E" w:rsidP="00D651AC">
      <w:pPr>
        <w:rPr>
          <w:sz w:val="20"/>
          <w:szCs w:val="20"/>
        </w:rPr>
      </w:pPr>
    </w:p>
    <w:p w14:paraId="73804210" w14:textId="6E9365BC" w:rsidR="00DB6E81" w:rsidRPr="00E56BBE" w:rsidRDefault="0096125A" w:rsidP="00D651AC">
      <w:pPr>
        <w:rPr>
          <w:b/>
          <w:bCs/>
        </w:rPr>
      </w:pPr>
      <w:r w:rsidRPr="00E56BBE">
        <w:rPr>
          <w:b/>
          <w:bCs/>
        </w:rPr>
        <w:t xml:space="preserve">3.7 Reliability and </w:t>
      </w:r>
      <w:r w:rsidR="0001057C" w:rsidRPr="00E56BBE">
        <w:rPr>
          <w:b/>
          <w:bCs/>
        </w:rPr>
        <w:t>Va</w:t>
      </w:r>
      <w:r w:rsidR="00507747" w:rsidRPr="00E56BBE">
        <w:rPr>
          <w:b/>
          <w:bCs/>
        </w:rPr>
        <w:t xml:space="preserve">lidity </w:t>
      </w:r>
    </w:p>
    <w:p w14:paraId="6280C120" w14:textId="0F4A0F80" w:rsidR="00DB6E81" w:rsidRDefault="00F66255" w:rsidP="00D651AC">
      <w:pPr>
        <w:rPr>
          <w:sz w:val="20"/>
          <w:szCs w:val="20"/>
        </w:rPr>
      </w:pPr>
      <w:r w:rsidRPr="00F66255">
        <w:rPr>
          <w:sz w:val="20"/>
          <w:szCs w:val="20"/>
        </w:rPr>
        <w:t>Reliability and validity were achieved through data triangulation and adoption of transparent research procedures. The information was supported with a wide range of different sources, such as corporate reports, peer-reviewed academic researches, or even regulatory documents, to increase the overall validity of the results</w:t>
      </w:r>
      <w:r w:rsidR="00312CA1">
        <w:rPr>
          <w:sz w:val="20"/>
          <w:szCs w:val="20"/>
        </w:rPr>
        <w:t xml:space="preserve"> </w:t>
      </w:r>
      <w:sdt>
        <w:sdtPr>
          <w:rPr>
            <w:sz w:val="20"/>
            <w:szCs w:val="20"/>
          </w:rPr>
          <w:id w:val="2059730191"/>
          <w:citation/>
        </w:sdtPr>
        <w:sdtEndPr/>
        <w:sdtContent>
          <w:r w:rsidR="00956506">
            <w:rPr>
              <w:sz w:val="20"/>
              <w:szCs w:val="20"/>
            </w:rPr>
            <w:fldChar w:fldCharType="begin"/>
          </w:r>
          <w:r w:rsidR="00956506">
            <w:rPr>
              <w:sz w:val="20"/>
              <w:szCs w:val="20"/>
            </w:rPr>
            <w:instrText xml:space="preserve"> CITATION Bow09 \l 16393 </w:instrText>
          </w:r>
          <w:r w:rsidR="00956506">
            <w:rPr>
              <w:sz w:val="20"/>
              <w:szCs w:val="20"/>
            </w:rPr>
            <w:fldChar w:fldCharType="separate"/>
          </w:r>
          <w:r w:rsidR="00956506" w:rsidRPr="00956506">
            <w:rPr>
              <w:noProof/>
              <w:sz w:val="20"/>
              <w:szCs w:val="20"/>
            </w:rPr>
            <w:t>(Bowen, 2009)</w:t>
          </w:r>
          <w:r w:rsidR="00956506">
            <w:rPr>
              <w:sz w:val="20"/>
              <w:szCs w:val="20"/>
            </w:rPr>
            <w:fldChar w:fldCharType="end"/>
          </w:r>
        </w:sdtContent>
      </w:sdt>
      <w:r w:rsidR="00956506">
        <w:t>.</w:t>
      </w:r>
      <w:r w:rsidR="008153D4" w:rsidRPr="00A04067">
        <w:rPr>
          <w:sz w:val="20"/>
          <w:szCs w:val="20"/>
        </w:rPr>
        <w:t>Ensuring an audit trail of information sources, and decisions made in analytics, is the foundation of reliability and repeatability of a research study at the undergraduate level. Though qualitative case study enquiry makes no attempt at statistical generalisation, analytical validity is achieved by establishing an explicit connection between evidence and the mentioned research objectives and questions.</w:t>
      </w:r>
    </w:p>
    <w:p w14:paraId="478D6FD5" w14:textId="5D042676" w:rsidR="000D38CE" w:rsidRDefault="000D38CE" w:rsidP="00D651AC">
      <w:pPr>
        <w:rPr>
          <w:b/>
          <w:bCs/>
        </w:rPr>
      </w:pPr>
      <w:r w:rsidRPr="00F24DE1">
        <w:rPr>
          <w:b/>
          <w:bCs/>
        </w:rPr>
        <w:t xml:space="preserve">3.8 </w:t>
      </w:r>
      <w:r w:rsidR="00F24DE1" w:rsidRPr="00F24DE1">
        <w:rPr>
          <w:b/>
          <w:bCs/>
        </w:rPr>
        <w:t xml:space="preserve">Ethical Considerations </w:t>
      </w:r>
    </w:p>
    <w:p w14:paraId="41300E83" w14:textId="51BB0D47" w:rsidR="00F24DE1" w:rsidRDefault="00D83156" w:rsidP="00D651AC">
      <w:pPr>
        <w:rPr>
          <w:sz w:val="20"/>
          <w:szCs w:val="20"/>
        </w:rPr>
      </w:pPr>
      <w:r w:rsidRPr="00D83156">
        <w:rPr>
          <w:sz w:val="20"/>
          <w:szCs w:val="20"/>
        </w:rPr>
        <w:lastRenderedPageBreak/>
        <w:t>The use of ethical considerations was formally built into the research design. The fact that the primary data collection was not done was an effective way of reducing risks of harm to the participants, problem of informed consent and confidentiality. Any empirical material used was taken out of publicly accessible sources and referenced accordingly. Empirical data were used to outline unique reflective observations, which were based on professional praxis in order to maintain an ethical level of transparency. As a result, this methodological position is consistent with the existing ethical regulations of the studies of sensitive sociocultural phenomena</w:t>
      </w:r>
      <w:sdt>
        <w:sdtPr>
          <w:id w:val="-115600319"/>
          <w:citation/>
        </w:sdtPr>
        <w:sdtEndPr/>
        <w:sdtContent>
          <w:r w:rsidR="00C65C53" w:rsidRPr="00C65C53">
            <w:fldChar w:fldCharType="begin"/>
          </w:r>
          <w:r w:rsidR="00C65C53" w:rsidRPr="00C65C53">
            <w:instrText xml:space="preserve"> CITATION Isr06 \l 16393 </w:instrText>
          </w:r>
          <w:r w:rsidR="00C65C53" w:rsidRPr="00C65C53">
            <w:fldChar w:fldCharType="separate"/>
          </w:r>
          <w:r w:rsidR="00C65C53" w:rsidRPr="00C65C53">
            <w:rPr>
              <w:noProof/>
            </w:rPr>
            <w:t xml:space="preserve"> (Israel, 2006)</w:t>
          </w:r>
          <w:r w:rsidR="00C65C53" w:rsidRPr="00C65C53">
            <w:fldChar w:fldCharType="end"/>
          </w:r>
        </w:sdtContent>
      </w:sdt>
      <w:r w:rsidRPr="00C65C53">
        <w:rPr>
          <w:sz w:val="20"/>
          <w:szCs w:val="20"/>
        </w:rPr>
        <w:t>.</w:t>
      </w:r>
    </w:p>
    <w:p w14:paraId="2E84CC26" w14:textId="096C14F5" w:rsidR="00EF705A" w:rsidRDefault="00EF705A" w:rsidP="00D651AC">
      <w:pPr>
        <w:rPr>
          <w:b/>
          <w:bCs/>
        </w:rPr>
      </w:pPr>
      <w:r w:rsidRPr="00460E8F">
        <w:rPr>
          <w:b/>
          <w:bCs/>
        </w:rPr>
        <w:t xml:space="preserve">3.9 </w:t>
      </w:r>
      <w:r w:rsidR="00460E8F" w:rsidRPr="00460E8F">
        <w:rPr>
          <w:b/>
          <w:bCs/>
        </w:rPr>
        <w:t>Methodological Limitations</w:t>
      </w:r>
    </w:p>
    <w:p w14:paraId="1FC80EFB" w14:textId="7A0C27A9" w:rsidR="007A2A87" w:rsidRDefault="007A2A87" w:rsidP="00D651AC">
      <w:pPr>
        <w:rPr>
          <w:sz w:val="20"/>
          <w:szCs w:val="20"/>
        </w:rPr>
      </w:pPr>
      <w:r w:rsidRPr="007A2A87">
        <w:rPr>
          <w:sz w:val="20"/>
          <w:szCs w:val="20"/>
        </w:rPr>
        <w:t>The use of secondary data limits the ability to directly measure customer sentiments and to establish cause-and-effect relationships between customer loyalty and responsible gambling programs. Corporate disclosures can also create a positive picture of responsible gambling practices, which can likely bring bias. Besides, by focusing on one organisation only, one cannot reasonably extrapolate the results to other gambling operators. However, these restrictions are considered to be acceptable in the framework of exploration of the research and are rightfully noted in the interpretation of the findings.</w:t>
      </w:r>
    </w:p>
    <w:p w14:paraId="6821AA7A" w14:textId="445FF1C3" w:rsidR="007A2A87" w:rsidRDefault="007A2A87" w:rsidP="00D651AC">
      <w:pPr>
        <w:rPr>
          <w:b/>
          <w:bCs/>
        </w:rPr>
      </w:pPr>
      <w:r w:rsidRPr="007A2A87">
        <w:rPr>
          <w:b/>
          <w:bCs/>
        </w:rPr>
        <w:t xml:space="preserve">3.10 </w:t>
      </w:r>
      <w:r w:rsidR="007D6B62">
        <w:rPr>
          <w:b/>
          <w:bCs/>
        </w:rPr>
        <w:t>Summary of the chapter</w:t>
      </w:r>
    </w:p>
    <w:p w14:paraId="45DA07A2" w14:textId="77777777" w:rsidR="00F01F45" w:rsidRPr="00F01F45" w:rsidRDefault="00F01F45" w:rsidP="00F01F45">
      <w:pPr>
        <w:rPr>
          <w:sz w:val="20"/>
          <w:szCs w:val="20"/>
        </w:rPr>
      </w:pPr>
      <w:r w:rsidRPr="00F01F45">
        <w:rPr>
          <w:sz w:val="20"/>
          <w:szCs w:val="20"/>
        </w:rPr>
        <w:t>This chapter has outlined the methodology that would be used to research on the connection between responsible gambling programs and customer retention at Entain plc. The approach taken to secure the level of ethical integrity and contextual depth was an interpretivist and qualitative case study approach based on secondary data. The methodology provides a solid basis of the analysis of the results that are presented in the following chapter and forms the basis of the critical analysis that will follow.</w:t>
      </w:r>
    </w:p>
    <w:p w14:paraId="59CC5CFF" w14:textId="00DE6C93" w:rsidR="00097CC7" w:rsidRPr="00F01F45" w:rsidRDefault="00F01F45" w:rsidP="00F01F45">
      <w:pPr>
        <w:rPr>
          <w:sz w:val="20"/>
          <w:szCs w:val="20"/>
        </w:rPr>
      </w:pPr>
      <w:r w:rsidRPr="00F01F45">
        <w:rPr>
          <w:sz w:val="20"/>
          <w:szCs w:val="20"/>
        </w:rPr>
        <w:t>Moreover, the chapter is methodologically coherent since the philosophical assumptions, research design, and analytical techniques approach are aligned with the dissertation objectives, enhancing the credibility, transparency, and scholarly contribution of the study as a whole in the context of the undergraduate research and fulfilling the assessment requirements in full.</w:t>
      </w:r>
    </w:p>
    <w:p w14:paraId="301AC040" w14:textId="77777777" w:rsidR="006E4EA0" w:rsidRPr="00AF760F" w:rsidRDefault="006E4EA0" w:rsidP="00D651AC">
      <w:pPr>
        <w:rPr>
          <w:rFonts w:cs="Arial"/>
          <w:sz w:val="20"/>
          <w:szCs w:val="20"/>
        </w:rPr>
      </w:pPr>
    </w:p>
    <w:p w14:paraId="3EA83533" w14:textId="4547B03B" w:rsidR="0030217C" w:rsidRPr="00FC34A8" w:rsidRDefault="00286A10" w:rsidP="005102F7">
      <w:pPr>
        <w:tabs>
          <w:tab w:val="num" w:pos="720"/>
        </w:tabs>
        <w:rPr>
          <w:rFonts w:cs="Arial"/>
          <w:b/>
          <w:bCs/>
          <w:sz w:val="24"/>
          <w:szCs w:val="24"/>
        </w:rPr>
      </w:pPr>
      <w:r w:rsidRPr="00FC34A8">
        <w:rPr>
          <w:rFonts w:cs="Arial"/>
          <w:b/>
          <w:bCs/>
          <w:sz w:val="24"/>
          <w:szCs w:val="24"/>
        </w:rPr>
        <w:t xml:space="preserve">Chapter 4: </w:t>
      </w:r>
      <w:r w:rsidR="00F44BC0" w:rsidRPr="00FC34A8">
        <w:rPr>
          <w:rFonts w:cs="Arial"/>
          <w:b/>
          <w:bCs/>
          <w:sz w:val="24"/>
          <w:szCs w:val="24"/>
        </w:rPr>
        <w:t>Findings and Discussion</w:t>
      </w:r>
    </w:p>
    <w:p w14:paraId="55E14274" w14:textId="77777777" w:rsidR="0030217C" w:rsidRPr="00DE25DF" w:rsidRDefault="0030217C" w:rsidP="00DE25DF">
      <w:pPr>
        <w:rPr>
          <w:b/>
          <w:bCs/>
        </w:rPr>
      </w:pPr>
      <w:r w:rsidRPr="00DE25DF">
        <w:rPr>
          <w:b/>
          <w:bCs/>
        </w:rPr>
        <w:t>4.1 Introduction</w:t>
      </w:r>
    </w:p>
    <w:p w14:paraId="22ED9EB3" w14:textId="119ECC1C" w:rsidR="00FC34A8" w:rsidRDefault="00C13F3F" w:rsidP="00CA69E8">
      <w:pPr>
        <w:tabs>
          <w:tab w:val="num" w:pos="720"/>
        </w:tabs>
        <w:rPr>
          <w:rFonts w:cs="Arial"/>
          <w:sz w:val="20"/>
          <w:szCs w:val="20"/>
        </w:rPr>
      </w:pPr>
      <w:r w:rsidRPr="00C13F3F">
        <w:rPr>
          <w:rFonts w:cs="Arial"/>
          <w:sz w:val="20"/>
          <w:szCs w:val="20"/>
        </w:rPr>
        <w:t xml:space="preserve">The chapter provides and explains the results of the research conducted to determine how responsible gambling programs affect customer loyalty using </w:t>
      </w:r>
      <w:r w:rsidRPr="00BE7834">
        <w:rPr>
          <w:rFonts w:cs="Arial"/>
          <w:b/>
          <w:bCs/>
          <w:sz w:val="20"/>
          <w:szCs w:val="20"/>
        </w:rPr>
        <w:t>Entain plc</w:t>
      </w:r>
      <w:r w:rsidRPr="00C13F3F">
        <w:rPr>
          <w:rFonts w:cs="Arial"/>
          <w:sz w:val="20"/>
          <w:szCs w:val="20"/>
        </w:rPr>
        <w:t xml:space="preserve"> as a case</w:t>
      </w:r>
      <w:r w:rsidR="00185304">
        <w:rPr>
          <w:rFonts w:cs="Arial"/>
          <w:sz w:val="20"/>
          <w:szCs w:val="20"/>
        </w:rPr>
        <w:t xml:space="preserve"> study</w:t>
      </w:r>
      <w:r w:rsidRPr="00C13F3F">
        <w:rPr>
          <w:rFonts w:cs="Arial"/>
          <w:sz w:val="20"/>
          <w:szCs w:val="20"/>
        </w:rPr>
        <w:t xml:space="preserve">. In particular, the analysis is based on </w:t>
      </w:r>
      <w:r w:rsidRPr="00952E07">
        <w:rPr>
          <w:rFonts w:cs="Arial"/>
          <w:b/>
          <w:bCs/>
          <w:sz w:val="20"/>
          <w:szCs w:val="20"/>
        </w:rPr>
        <w:t>online betting platforms of Entain</w:t>
      </w:r>
      <w:r w:rsidRPr="00C13F3F">
        <w:rPr>
          <w:rFonts w:cs="Arial"/>
          <w:sz w:val="20"/>
          <w:szCs w:val="20"/>
        </w:rPr>
        <w:t xml:space="preserve"> and </w:t>
      </w:r>
      <w:r w:rsidRPr="00C12B33">
        <w:rPr>
          <w:rFonts w:cs="Arial"/>
          <w:b/>
          <w:bCs/>
          <w:sz w:val="20"/>
          <w:szCs w:val="20"/>
        </w:rPr>
        <w:t>UK retail betting shops</w:t>
      </w:r>
      <w:r w:rsidRPr="00C13F3F">
        <w:rPr>
          <w:rFonts w:cs="Arial"/>
          <w:sz w:val="20"/>
          <w:szCs w:val="20"/>
        </w:rPr>
        <w:t xml:space="preserve"> because this organisation has a multi-channel business model that is described in its annual and sustainability reporting (Entain plc, 2023). The analysis is fully rooted in the </w:t>
      </w:r>
      <w:r w:rsidRPr="000F71C1">
        <w:rPr>
          <w:rFonts w:cs="Arial"/>
          <w:b/>
          <w:bCs/>
          <w:sz w:val="20"/>
          <w:szCs w:val="20"/>
        </w:rPr>
        <w:t>secondary qualitative data</w:t>
      </w:r>
      <w:r w:rsidRPr="00C13F3F">
        <w:rPr>
          <w:rFonts w:cs="Arial"/>
          <w:sz w:val="20"/>
          <w:szCs w:val="20"/>
        </w:rPr>
        <w:t>, such as scholarly and academic research, regulatory documents published by UK Gambling Commission, and publicly available corporate and ESG reports released by Entain</w:t>
      </w:r>
      <w:r w:rsidR="00E1187E">
        <w:rPr>
          <w:rFonts w:cs="Arial"/>
          <w:sz w:val="20"/>
          <w:szCs w:val="20"/>
        </w:rPr>
        <w:t xml:space="preserve"> (</w:t>
      </w:r>
      <w:sdt>
        <w:sdtPr>
          <w:rPr>
            <w:rFonts w:cs="Arial"/>
            <w:sz w:val="20"/>
            <w:szCs w:val="20"/>
          </w:rPr>
          <w:id w:val="-1717495356"/>
          <w:citation/>
        </w:sdtPr>
        <w:sdtEndPr/>
        <w:sdtContent>
          <w:r w:rsidR="00E1187E">
            <w:rPr>
              <w:rFonts w:cs="Arial"/>
              <w:sz w:val="20"/>
              <w:szCs w:val="20"/>
            </w:rPr>
            <w:fldChar w:fldCharType="begin"/>
          </w:r>
          <w:r w:rsidR="00E1187E">
            <w:rPr>
              <w:rFonts w:cs="Arial"/>
              <w:sz w:val="20"/>
              <w:szCs w:val="20"/>
            </w:rPr>
            <w:instrText xml:space="preserve"> CITATION UKG23 \l 16393 </w:instrText>
          </w:r>
          <w:r w:rsidR="00E1187E">
            <w:rPr>
              <w:rFonts w:cs="Arial"/>
              <w:sz w:val="20"/>
              <w:szCs w:val="20"/>
            </w:rPr>
            <w:fldChar w:fldCharType="separate"/>
          </w:r>
          <w:r w:rsidR="00E1187E">
            <w:rPr>
              <w:rFonts w:cs="Arial"/>
              <w:noProof/>
              <w:sz w:val="20"/>
              <w:szCs w:val="20"/>
            </w:rPr>
            <w:t xml:space="preserve"> </w:t>
          </w:r>
          <w:r w:rsidR="00E1187E" w:rsidRPr="00E1187E">
            <w:rPr>
              <w:rFonts w:cs="Arial"/>
              <w:noProof/>
              <w:sz w:val="20"/>
              <w:szCs w:val="20"/>
            </w:rPr>
            <w:t>(UK Gambling Commission, 2023)</w:t>
          </w:r>
          <w:r w:rsidR="00E1187E">
            <w:rPr>
              <w:rFonts w:cs="Arial"/>
              <w:sz w:val="20"/>
              <w:szCs w:val="20"/>
            </w:rPr>
            <w:fldChar w:fldCharType="end"/>
          </w:r>
        </w:sdtContent>
      </w:sdt>
      <w:r w:rsidRPr="00C13F3F">
        <w:rPr>
          <w:rFonts w:cs="Arial"/>
          <w:sz w:val="20"/>
          <w:szCs w:val="20"/>
        </w:rPr>
        <w:t xml:space="preserve"> </w:t>
      </w:r>
      <w:sdt>
        <w:sdtPr>
          <w:rPr>
            <w:rFonts w:cs="Arial"/>
            <w:sz w:val="20"/>
            <w:szCs w:val="20"/>
          </w:rPr>
          <w:id w:val="2131425248"/>
          <w:citation/>
        </w:sdtPr>
        <w:sdtEndPr/>
        <w:sdtContent>
          <w:r w:rsidR="00B81DA0" w:rsidRPr="00B81DA0">
            <w:rPr>
              <w:rFonts w:cs="Arial"/>
              <w:sz w:val="20"/>
              <w:szCs w:val="20"/>
            </w:rPr>
            <w:fldChar w:fldCharType="begin"/>
          </w:r>
          <w:r w:rsidR="00B81DA0" w:rsidRPr="00B81DA0">
            <w:rPr>
              <w:rFonts w:cs="Arial"/>
              <w:sz w:val="20"/>
              <w:szCs w:val="20"/>
            </w:rPr>
            <w:instrText xml:space="preserve"> CITATION ENT23 \l 16393 </w:instrText>
          </w:r>
          <w:r w:rsidR="00B81DA0" w:rsidRPr="00B81DA0">
            <w:rPr>
              <w:rFonts w:cs="Arial"/>
              <w:sz w:val="20"/>
              <w:szCs w:val="20"/>
            </w:rPr>
            <w:fldChar w:fldCharType="separate"/>
          </w:r>
          <w:r w:rsidR="00B81DA0" w:rsidRPr="00B81DA0">
            <w:rPr>
              <w:rFonts w:cs="Arial"/>
              <w:noProof/>
              <w:sz w:val="20"/>
              <w:szCs w:val="20"/>
            </w:rPr>
            <w:t>(ENTAIN plc, 2023)</w:t>
          </w:r>
          <w:r w:rsidR="00B81DA0" w:rsidRPr="00B81DA0">
            <w:rPr>
              <w:rFonts w:cs="Arial"/>
              <w:sz w:val="20"/>
              <w:szCs w:val="20"/>
            </w:rPr>
            <w:fldChar w:fldCharType="end"/>
          </w:r>
        </w:sdtContent>
      </w:sdt>
      <w:r w:rsidRPr="00C13F3F">
        <w:rPr>
          <w:rFonts w:cs="Arial"/>
          <w:sz w:val="20"/>
          <w:szCs w:val="20"/>
        </w:rPr>
        <w:t xml:space="preserve">Results are presented in terms of the research questions and identified themes and then discussed, which clarifies and evaluates their importance based on responsible gambling practices of Entain. This has been appropriately addressed by clearly </w:t>
      </w:r>
      <w:r w:rsidR="000F71C1" w:rsidRPr="00C13F3F">
        <w:rPr>
          <w:rFonts w:cs="Arial"/>
          <w:sz w:val="20"/>
          <w:szCs w:val="20"/>
        </w:rPr>
        <w:t>labelling</w:t>
      </w:r>
      <w:r w:rsidRPr="00C13F3F">
        <w:rPr>
          <w:rFonts w:cs="Arial"/>
          <w:sz w:val="20"/>
          <w:szCs w:val="20"/>
        </w:rPr>
        <w:t xml:space="preserve"> any allusions to the professional experience of the researcher as reflective context, and not as research data as is appropriate to the established guidelines of qualitative research.</w:t>
      </w:r>
      <w:sdt>
        <w:sdtPr>
          <w:rPr>
            <w:rFonts w:cs="Arial"/>
            <w:sz w:val="20"/>
            <w:szCs w:val="20"/>
          </w:rPr>
          <w:id w:val="1627593325"/>
          <w:citation/>
        </w:sdtPr>
        <w:sdtEndPr/>
        <w:sdtContent>
          <w:r w:rsidR="001608E1">
            <w:rPr>
              <w:rFonts w:cs="Arial"/>
              <w:sz w:val="20"/>
              <w:szCs w:val="20"/>
            </w:rPr>
            <w:fldChar w:fldCharType="begin"/>
          </w:r>
          <w:r w:rsidR="001608E1">
            <w:rPr>
              <w:rFonts w:cs="Arial"/>
              <w:sz w:val="20"/>
              <w:szCs w:val="20"/>
            </w:rPr>
            <w:instrText xml:space="preserve"> CITATION Sau23 \l 16393 </w:instrText>
          </w:r>
          <w:r w:rsidR="001608E1">
            <w:rPr>
              <w:rFonts w:cs="Arial"/>
              <w:sz w:val="20"/>
              <w:szCs w:val="20"/>
            </w:rPr>
            <w:fldChar w:fldCharType="separate"/>
          </w:r>
          <w:r w:rsidR="001608E1">
            <w:rPr>
              <w:rFonts w:cs="Arial"/>
              <w:noProof/>
              <w:sz w:val="20"/>
              <w:szCs w:val="20"/>
            </w:rPr>
            <w:t xml:space="preserve"> </w:t>
          </w:r>
          <w:r w:rsidR="001608E1" w:rsidRPr="001608E1">
            <w:rPr>
              <w:rFonts w:cs="Arial"/>
              <w:noProof/>
              <w:sz w:val="20"/>
              <w:szCs w:val="20"/>
            </w:rPr>
            <w:t>(Saunders, et al., 2023)</w:t>
          </w:r>
          <w:r w:rsidR="001608E1">
            <w:rPr>
              <w:rFonts w:cs="Arial"/>
              <w:sz w:val="20"/>
              <w:szCs w:val="20"/>
            </w:rPr>
            <w:fldChar w:fldCharType="end"/>
          </w:r>
        </w:sdtContent>
      </w:sdt>
    </w:p>
    <w:p w14:paraId="72C0CFE4" w14:textId="77777777" w:rsidR="006A1D2F" w:rsidRDefault="006A1D2F" w:rsidP="00CA69E8">
      <w:pPr>
        <w:tabs>
          <w:tab w:val="num" w:pos="720"/>
        </w:tabs>
        <w:rPr>
          <w:rFonts w:cs="Arial"/>
          <w:sz w:val="20"/>
          <w:szCs w:val="20"/>
        </w:rPr>
      </w:pPr>
    </w:p>
    <w:p w14:paraId="5ACBB87D" w14:textId="77777777" w:rsidR="006A1D2F" w:rsidRDefault="006A1D2F" w:rsidP="00CA69E8">
      <w:pPr>
        <w:tabs>
          <w:tab w:val="num" w:pos="720"/>
        </w:tabs>
        <w:rPr>
          <w:rFonts w:cs="Arial"/>
          <w:sz w:val="20"/>
          <w:szCs w:val="20"/>
        </w:rPr>
      </w:pPr>
    </w:p>
    <w:p w14:paraId="69794D67" w14:textId="4720C0D5" w:rsidR="00FF76E5" w:rsidRPr="00450102" w:rsidRDefault="0043241C" w:rsidP="00CA69E8">
      <w:pPr>
        <w:tabs>
          <w:tab w:val="num" w:pos="720"/>
        </w:tabs>
        <w:rPr>
          <w:rFonts w:cs="Arial"/>
          <w:b/>
          <w:bCs/>
          <w:sz w:val="24"/>
          <w:szCs w:val="24"/>
        </w:rPr>
      </w:pPr>
      <w:r w:rsidRPr="00450102">
        <w:rPr>
          <w:rFonts w:cs="Arial"/>
          <w:b/>
          <w:bCs/>
          <w:sz w:val="24"/>
          <w:szCs w:val="24"/>
        </w:rPr>
        <w:t>4.2 Customer perception</w:t>
      </w:r>
      <w:r w:rsidR="00BC6B12" w:rsidRPr="00450102">
        <w:rPr>
          <w:rFonts w:cs="Arial"/>
          <w:b/>
          <w:bCs/>
          <w:sz w:val="24"/>
          <w:szCs w:val="24"/>
        </w:rPr>
        <w:t xml:space="preserve">s of </w:t>
      </w:r>
      <w:r w:rsidR="00156E72" w:rsidRPr="00450102">
        <w:rPr>
          <w:rFonts w:cs="Arial"/>
          <w:b/>
          <w:bCs/>
          <w:sz w:val="24"/>
          <w:szCs w:val="24"/>
        </w:rPr>
        <w:t xml:space="preserve">Responsible Gambling </w:t>
      </w:r>
      <w:r w:rsidR="00EE7F16" w:rsidRPr="00450102">
        <w:rPr>
          <w:rFonts w:cs="Arial"/>
          <w:b/>
          <w:bCs/>
          <w:sz w:val="24"/>
          <w:szCs w:val="24"/>
        </w:rPr>
        <w:t xml:space="preserve">Initiatives </w:t>
      </w:r>
      <w:r w:rsidR="00450102" w:rsidRPr="00450102">
        <w:rPr>
          <w:rFonts w:cs="Arial"/>
          <w:b/>
          <w:bCs/>
          <w:sz w:val="24"/>
          <w:szCs w:val="24"/>
        </w:rPr>
        <w:t>at Entain Plc</w:t>
      </w:r>
    </w:p>
    <w:p w14:paraId="4679E5E8" w14:textId="37C972A7" w:rsidR="00E96218" w:rsidRDefault="006E4795" w:rsidP="005102F7">
      <w:pPr>
        <w:tabs>
          <w:tab w:val="num" w:pos="720"/>
        </w:tabs>
        <w:rPr>
          <w:rFonts w:cs="Arial"/>
          <w:sz w:val="20"/>
          <w:szCs w:val="20"/>
        </w:rPr>
      </w:pPr>
      <w:r w:rsidRPr="006E4795">
        <w:rPr>
          <w:rFonts w:cs="Arial"/>
          <w:sz w:val="20"/>
          <w:szCs w:val="20"/>
        </w:rPr>
        <w:t xml:space="preserve">Results show that the perceptions of customers towards responsible gambling efforts by Entain depend on their visibility, consistency and precise expression on the web and retail platforms. Entain gives safer </w:t>
      </w:r>
      <w:r w:rsidRPr="006E4795">
        <w:rPr>
          <w:rFonts w:cs="Arial"/>
          <w:sz w:val="20"/>
          <w:szCs w:val="20"/>
        </w:rPr>
        <w:lastRenderedPageBreak/>
        <w:t>gambling messages, deposit limits, time reminders, and self-exclusion schemes as responsible gambling tools to ensure protection of customers and regulatory compliance. Past research on other operators of online forms of gambling implies that tippers have a better shot of viewing the tools as positive when they are simple to comprehend and are in a supportive format opposed to being restrictive.</w:t>
      </w:r>
      <w:sdt>
        <w:sdtPr>
          <w:rPr>
            <w:rFonts w:cs="Arial"/>
            <w:sz w:val="20"/>
            <w:szCs w:val="20"/>
          </w:rPr>
          <w:id w:val="-872069580"/>
          <w:citation/>
        </w:sdtPr>
        <w:sdtEndPr/>
        <w:sdtContent>
          <w:r w:rsidR="00CC3F0E">
            <w:rPr>
              <w:rFonts w:cs="Arial"/>
              <w:sz w:val="20"/>
              <w:szCs w:val="20"/>
            </w:rPr>
            <w:fldChar w:fldCharType="begin"/>
          </w:r>
          <w:r w:rsidR="00CC3F0E">
            <w:rPr>
              <w:rFonts w:cs="Arial"/>
              <w:sz w:val="20"/>
              <w:szCs w:val="20"/>
            </w:rPr>
            <w:instrText xml:space="preserve"> CITATION Rus19 \l 16393 </w:instrText>
          </w:r>
          <w:r w:rsidR="00CC3F0E">
            <w:rPr>
              <w:rFonts w:cs="Arial"/>
              <w:sz w:val="20"/>
              <w:szCs w:val="20"/>
            </w:rPr>
            <w:fldChar w:fldCharType="separate"/>
          </w:r>
          <w:r w:rsidR="00CC3F0E">
            <w:rPr>
              <w:rFonts w:cs="Arial"/>
              <w:noProof/>
              <w:sz w:val="20"/>
              <w:szCs w:val="20"/>
            </w:rPr>
            <w:t xml:space="preserve"> </w:t>
          </w:r>
          <w:r w:rsidR="00CC3F0E" w:rsidRPr="00CC3F0E">
            <w:rPr>
              <w:rFonts w:cs="Arial"/>
              <w:noProof/>
              <w:sz w:val="20"/>
              <w:szCs w:val="20"/>
            </w:rPr>
            <w:t>(Russell, 2019)</w:t>
          </w:r>
          <w:r w:rsidR="00CC3F0E">
            <w:rPr>
              <w:rFonts w:cs="Arial"/>
              <w:sz w:val="20"/>
              <w:szCs w:val="20"/>
            </w:rPr>
            <w:fldChar w:fldCharType="end"/>
          </w:r>
        </w:sdtContent>
      </w:sdt>
    </w:p>
    <w:p w14:paraId="5B86235B" w14:textId="7CAC3B36" w:rsidR="008B37ED" w:rsidRDefault="002B21FF" w:rsidP="005102F7">
      <w:pPr>
        <w:tabs>
          <w:tab w:val="num" w:pos="720"/>
        </w:tabs>
        <w:rPr>
          <w:rFonts w:cs="Arial"/>
          <w:sz w:val="20"/>
          <w:szCs w:val="20"/>
        </w:rPr>
      </w:pPr>
      <w:r w:rsidRPr="002B21FF">
        <w:rPr>
          <w:rFonts w:cs="Arial"/>
          <w:sz w:val="20"/>
          <w:szCs w:val="20"/>
        </w:rPr>
        <w:t>In Entain UK retail betting shops, responsible gambling efforts become more prominent with on-shop communications and interactions facilitated by the staff members and online with the help of automated tools and digital notifications. Studies have indicated that consumers demand uniformity in these channels and variation in the implementation can influence the notions of fairness and accountability.</w:t>
      </w:r>
      <w:sdt>
        <w:sdtPr>
          <w:rPr>
            <w:rFonts w:cs="Arial"/>
            <w:sz w:val="20"/>
            <w:szCs w:val="20"/>
          </w:rPr>
          <w:id w:val="823702822"/>
          <w:citation/>
        </w:sdtPr>
        <w:sdtEndPr/>
        <w:sdtContent>
          <w:r w:rsidR="00F91358">
            <w:rPr>
              <w:rFonts w:cs="Arial"/>
              <w:sz w:val="20"/>
              <w:szCs w:val="20"/>
            </w:rPr>
            <w:fldChar w:fldCharType="begin"/>
          </w:r>
          <w:r w:rsidR="00F91358">
            <w:rPr>
              <w:rFonts w:cs="Arial"/>
              <w:sz w:val="20"/>
              <w:szCs w:val="20"/>
            </w:rPr>
            <w:instrText xml:space="preserve"> CITATION UKG23 \l 16393 </w:instrText>
          </w:r>
          <w:r w:rsidR="00F91358">
            <w:rPr>
              <w:rFonts w:cs="Arial"/>
              <w:sz w:val="20"/>
              <w:szCs w:val="20"/>
            </w:rPr>
            <w:fldChar w:fldCharType="separate"/>
          </w:r>
          <w:r w:rsidR="00F91358">
            <w:rPr>
              <w:rFonts w:cs="Arial"/>
              <w:noProof/>
              <w:sz w:val="20"/>
              <w:szCs w:val="20"/>
            </w:rPr>
            <w:t xml:space="preserve"> </w:t>
          </w:r>
          <w:r w:rsidR="00F91358" w:rsidRPr="00F91358">
            <w:rPr>
              <w:rFonts w:cs="Arial"/>
              <w:noProof/>
              <w:sz w:val="20"/>
              <w:szCs w:val="20"/>
            </w:rPr>
            <w:t>(UK Gambling Commission, 2023)</w:t>
          </w:r>
          <w:r w:rsidR="00F91358">
            <w:rPr>
              <w:rFonts w:cs="Arial"/>
              <w:sz w:val="20"/>
              <w:szCs w:val="20"/>
            </w:rPr>
            <w:fldChar w:fldCharType="end"/>
          </w:r>
        </w:sdtContent>
      </w:sdt>
    </w:p>
    <w:p w14:paraId="1F79C11C" w14:textId="03A8CCF2" w:rsidR="00F91358" w:rsidRPr="009F63F9" w:rsidRDefault="00B54E57" w:rsidP="005102F7">
      <w:pPr>
        <w:tabs>
          <w:tab w:val="num" w:pos="720"/>
        </w:tabs>
        <w:rPr>
          <w:rFonts w:cs="Arial"/>
          <w:b/>
          <w:bCs/>
        </w:rPr>
      </w:pPr>
      <w:r w:rsidRPr="009F63F9">
        <w:rPr>
          <w:rFonts w:cs="Arial"/>
          <w:b/>
          <w:bCs/>
        </w:rPr>
        <w:t>Discussion</w:t>
      </w:r>
    </w:p>
    <w:p w14:paraId="07468E48" w14:textId="524087BC" w:rsidR="001A094E" w:rsidRDefault="00D56829" w:rsidP="005102F7">
      <w:pPr>
        <w:tabs>
          <w:tab w:val="num" w:pos="720"/>
        </w:tabs>
        <w:rPr>
          <w:sz w:val="20"/>
          <w:szCs w:val="20"/>
        </w:rPr>
      </w:pPr>
      <w:r w:rsidRPr="00D56829">
        <w:rPr>
          <w:rFonts w:cs="Arial"/>
          <w:sz w:val="20"/>
          <w:szCs w:val="20"/>
        </w:rPr>
        <w:t>These results answer Research Question 1 by demonstrating that the customer perception of the responsible gambling programs of Entain is highly contingent on the transparency and consistency between the retail and online setting. The connection can be explained by the stakeholder theory that states that organisations that take customer wellbeing into account actively have higher chances to be perceived positively by stakeholders.</w:t>
      </w:r>
      <w:r w:rsidR="00C3586F" w:rsidRPr="00C3586F">
        <w:t xml:space="preserve"> </w:t>
      </w:r>
      <w:sdt>
        <w:sdtPr>
          <w:rPr>
            <w:sz w:val="20"/>
            <w:szCs w:val="20"/>
          </w:rPr>
          <w:id w:val="-612821921"/>
          <w:citation/>
        </w:sdtPr>
        <w:sdtEndPr/>
        <w:sdtContent>
          <w:r w:rsidR="00CC2AA4" w:rsidRPr="005F24C8">
            <w:rPr>
              <w:sz w:val="20"/>
              <w:szCs w:val="20"/>
            </w:rPr>
            <w:fldChar w:fldCharType="begin"/>
          </w:r>
          <w:r w:rsidR="00CC2AA4" w:rsidRPr="005F24C8">
            <w:rPr>
              <w:sz w:val="20"/>
              <w:szCs w:val="20"/>
            </w:rPr>
            <w:instrText xml:space="preserve"> CITATION Fre84 \l 16393 </w:instrText>
          </w:r>
          <w:r w:rsidR="00CC2AA4" w:rsidRPr="005F24C8">
            <w:rPr>
              <w:sz w:val="20"/>
              <w:szCs w:val="20"/>
            </w:rPr>
            <w:fldChar w:fldCharType="separate"/>
          </w:r>
          <w:r w:rsidR="00CC2AA4" w:rsidRPr="005F24C8">
            <w:rPr>
              <w:noProof/>
              <w:sz w:val="20"/>
              <w:szCs w:val="20"/>
            </w:rPr>
            <w:t>(Freeman, 1984)</w:t>
          </w:r>
          <w:r w:rsidR="00CC2AA4" w:rsidRPr="005F24C8">
            <w:rPr>
              <w:sz w:val="20"/>
              <w:szCs w:val="20"/>
            </w:rPr>
            <w:fldChar w:fldCharType="end"/>
          </w:r>
        </w:sdtContent>
      </w:sdt>
      <w:r w:rsidR="005F24C8">
        <w:rPr>
          <w:sz w:val="20"/>
          <w:szCs w:val="20"/>
        </w:rPr>
        <w:t xml:space="preserve"> By i</w:t>
      </w:r>
      <w:r w:rsidR="005F24C8" w:rsidRPr="005F24C8">
        <w:rPr>
          <w:sz w:val="20"/>
          <w:szCs w:val="20"/>
        </w:rPr>
        <w:t>mplementing responsible gambling practices at all channels regularly, Entain stands more chances of becoming ethical and customer-oriented by the customers.</w:t>
      </w:r>
    </w:p>
    <w:p w14:paraId="2112B809" w14:textId="5157000C" w:rsidR="00B67847" w:rsidRPr="00444B32" w:rsidRDefault="00243AFF" w:rsidP="005102F7">
      <w:pPr>
        <w:tabs>
          <w:tab w:val="num" w:pos="720"/>
        </w:tabs>
        <w:rPr>
          <w:rFonts w:cs="Arial"/>
          <w:b/>
          <w:bCs/>
        </w:rPr>
      </w:pPr>
      <w:r w:rsidRPr="00444B32">
        <w:rPr>
          <w:rFonts w:cs="Arial"/>
          <w:b/>
          <w:bCs/>
        </w:rPr>
        <w:t xml:space="preserve">Reflective </w:t>
      </w:r>
      <w:r w:rsidR="0005463F" w:rsidRPr="00444B32">
        <w:rPr>
          <w:rFonts w:cs="Arial"/>
          <w:b/>
          <w:bCs/>
        </w:rPr>
        <w:t xml:space="preserve">Context </w:t>
      </w:r>
      <w:r w:rsidR="00EF2DC8" w:rsidRPr="00444B32">
        <w:rPr>
          <w:rFonts w:cs="Arial"/>
          <w:b/>
          <w:bCs/>
        </w:rPr>
        <w:t>(Not a research Data)</w:t>
      </w:r>
    </w:p>
    <w:p w14:paraId="3DDEA922" w14:textId="79397C66" w:rsidR="00B210AD" w:rsidRPr="00CA11F3" w:rsidRDefault="00896391" w:rsidP="005102F7">
      <w:pPr>
        <w:tabs>
          <w:tab w:val="num" w:pos="720"/>
        </w:tabs>
        <w:rPr>
          <w:rFonts w:cs="Arial"/>
          <w:sz w:val="20"/>
          <w:szCs w:val="20"/>
        </w:rPr>
      </w:pPr>
      <w:r w:rsidRPr="00896391">
        <w:rPr>
          <w:rFonts w:cs="Arial"/>
          <w:sz w:val="20"/>
          <w:szCs w:val="20"/>
        </w:rPr>
        <w:t>Based on the experience of the researcher, being a customer service manager, Entain customers tend to respond negatively to gambling limits or interventions initially. Nonetheless, in case the cause of these actions can be clarified, customers will be more accepting. The reflections are not taken as evidence but they assist in the explanation of patterns that have been detected previously in the studies on customer perception and communication.</w:t>
      </w:r>
      <w:sdt>
        <w:sdtPr>
          <w:rPr>
            <w:rFonts w:cs="Arial"/>
            <w:sz w:val="20"/>
            <w:szCs w:val="20"/>
          </w:rPr>
          <w:id w:val="-1080445775"/>
          <w:citation/>
        </w:sdtPr>
        <w:sdtEndPr/>
        <w:sdtContent>
          <w:r w:rsidR="00A7208D">
            <w:rPr>
              <w:rFonts w:cs="Arial"/>
              <w:sz w:val="20"/>
              <w:szCs w:val="20"/>
            </w:rPr>
            <w:fldChar w:fldCharType="begin"/>
          </w:r>
          <w:r w:rsidR="00A7208D">
            <w:rPr>
              <w:rFonts w:cs="Arial"/>
              <w:sz w:val="20"/>
              <w:szCs w:val="20"/>
            </w:rPr>
            <w:instrText xml:space="preserve"> CITATION Hin21 \l 16393 </w:instrText>
          </w:r>
          <w:r w:rsidR="00A7208D">
            <w:rPr>
              <w:rFonts w:cs="Arial"/>
              <w:sz w:val="20"/>
              <w:szCs w:val="20"/>
            </w:rPr>
            <w:fldChar w:fldCharType="separate"/>
          </w:r>
          <w:r w:rsidR="00A7208D">
            <w:rPr>
              <w:rFonts w:cs="Arial"/>
              <w:noProof/>
              <w:sz w:val="20"/>
              <w:szCs w:val="20"/>
            </w:rPr>
            <w:t xml:space="preserve"> </w:t>
          </w:r>
          <w:r w:rsidR="00A7208D" w:rsidRPr="00A7208D">
            <w:rPr>
              <w:rFonts w:cs="Arial"/>
              <w:noProof/>
              <w:sz w:val="20"/>
              <w:szCs w:val="20"/>
            </w:rPr>
            <w:t>(Hing, 2021)</w:t>
          </w:r>
          <w:r w:rsidR="00A7208D">
            <w:rPr>
              <w:rFonts w:cs="Arial"/>
              <w:sz w:val="20"/>
              <w:szCs w:val="20"/>
            </w:rPr>
            <w:fldChar w:fldCharType="end"/>
          </w:r>
        </w:sdtContent>
      </w:sdt>
    </w:p>
    <w:p w14:paraId="08481EFB" w14:textId="11630950" w:rsidR="0031229E" w:rsidRDefault="0031229E" w:rsidP="005102F7">
      <w:pPr>
        <w:tabs>
          <w:tab w:val="num" w:pos="720"/>
        </w:tabs>
        <w:rPr>
          <w:rFonts w:cs="Arial"/>
          <w:b/>
          <w:bCs/>
          <w:sz w:val="24"/>
          <w:szCs w:val="24"/>
        </w:rPr>
      </w:pPr>
      <w:r w:rsidRPr="00721B54">
        <w:rPr>
          <w:rFonts w:cs="Arial"/>
          <w:b/>
          <w:bCs/>
          <w:sz w:val="24"/>
          <w:szCs w:val="24"/>
        </w:rPr>
        <w:t xml:space="preserve">4.3 Relationship Between </w:t>
      </w:r>
      <w:r w:rsidR="004A50E8" w:rsidRPr="00721B54">
        <w:rPr>
          <w:rFonts w:cs="Arial"/>
          <w:b/>
          <w:bCs/>
          <w:sz w:val="24"/>
          <w:szCs w:val="24"/>
        </w:rPr>
        <w:t xml:space="preserve">Responsible </w:t>
      </w:r>
      <w:r w:rsidR="00B210AD" w:rsidRPr="00721B54">
        <w:rPr>
          <w:rFonts w:cs="Arial"/>
          <w:b/>
          <w:bCs/>
          <w:sz w:val="24"/>
          <w:szCs w:val="24"/>
        </w:rPr>
        <w:t>Gambling practices</w:t>
      </w:r>
      <w:r w:rsidR="007159EE" w:rsidRPr="00721B54">
        <w:rPr>
          <w:rFonts w:cs="Arial"/>
          <w:b/>
          <w:bCs/>
          <w:sz w:val="24"/>
          <w:szCs w:val="24"/>
        </w:rPr>
        <w:t xml:space="preserve"> and consumer trust </w:t>
      </w:r>
      <w:r w:rsidR="00D72155" w:rsidRPr="00721B54">
        <w:rPr>
          <w:rFonts w:cs="Arial"/>
          <w:b/>
          <w:bCs/>
          <w:sz w:val="24"/>
          <w:szCs w:val="24"/>
        </w:rPr>
        <w:t>at Entain</w:t>
      </w:r>
      <w:r w:rsidR="00721B54" w:rsidRPr="00721B54">
        <w:rPr>
          <w:rFonts w:cs="Arial"/>
          <w:b/>
          <w:bCs/>
          <w:sz w:val="24"/>
          <w:szCs w:val="24"/>
        </w:rPr>
        <w:t xml:space="preserve"> Plc</w:t>
      </w:r>
      <w:r w:rsidR="00295981" w:rsidRPr="00721B54">
        <w:rPr>
          <w:rFonts w:cs="Arial"/>
          <w:b/>
          <w:bCs/>
          <w:sz w:val="24"/>
          <w:szCs w:val="24"/>
        </w:rPr>
        <w:t xml:space="preserve"> </w:t>
      </w:r>
    </w:p>
    <w:p w14:paraId="2A5372FE" w14:textId="1B40B875" w:rsidR="00721B54" w:rsidRPr="00CA11F3" w:rsidRDefault="000473EB" w:rsidP="005102F7">
      <w:pPr>
        <w:tabs>
          <w:tab w:val="num" w:pos="720"/>
        </w:tabs>
        <w:rPr>
          <w:rFonts w:cs="Arial"/>
          <w:b/>
          <w:bCs/>
        </w:rPr>
      </w:pPr>
      <w:r w:rsidRPr="00CA11F3">
        <w:rPr>
          <w:rFonts w:cs="Arial"/>
          <w:b/>
          <w:bCs/>
        </w:rPr>
        <w:t>Findings</w:t>
      </w:r>
    </w:p>
    <w:p w14:paraId="0AE28D05" w14:textId="5C877286" w:rsidR="00EF2DC8" w:rsidRPr="001F799D" w:rsidRDefault="00B210AD" w:rsidP="005102F7">
      <w:pPr>
        <w:tabs>
          <w:tab w:val="num" w:pos="720"/>
        </w:tabs>
        <w:rPr>
          <w:rFonts w:cs="Arial"/>
          <w:sz w:val="20"/>
          <w:szCs w:val="20"/>
        </w:rPr>
      </w:pPr>
      <w:r w:rsidRPr="001F799D">
        <w:rPr>
          <w:rFonts w:cs="Arial"/>
          <w:sz w:val="20"/>
          <w:szCs w:val="20"/>
        </w:rPr>
        <w:t>Trust becomes a key element of the connections between responsible gambling practices and customer loyalty at Entain. Research has always indicated that trust is significant especially in services where money is at stake as well as services that are emotionally charged like gambling.</w:t>
      </w:r>
      <w:r w:rsidR="00326A06" w:rsidRPr="001F799D">
        <w:rPr>
          <w:rFonts w:cs="Arial"/>
          <w:sz w:val="20"/>
          <w:szCs w:val="20"/>
        </w:rPr>
        <w:t xml:space="preserve"> </w:t>
      </w:r>
      <w:sdt>
        <w:sdtPr>
          <w:rPr>
            <w:rFonts w:cs="Arial"/>
            <w:sz w:val="20"/>
            <w:szCs w:val="20"/>
          </w:rPr>
          <w:id w:val="182405951"/>
          <w:citation/>
        </w:sdtPr>
        <w:sdtEndPr/>
        <w:sdtContent>
          <w:r w:rsidR="002B4D00" w:rsidRPr="001F799D">
            <w:rPr>
              <w:rFonts w:cs="Arial"/>
              <w:sz w:val="20"/>
              <w:szCs w:val="20"/>
            </w:rPr>
            <w:fldChar w:fldCharType="begin"/>
          </w:r>
          <w:r w:rsidR="002B4D00" w:rsidRPr="001F799D">
            <w:rPr>
              <w:rFonts w:cs="Arial"/>
              <w:sz w:val="20"/>
              <w:szCs w:val="20"/>
            </w:rPr>
            <w:instrText xml:space="preserve"> CITATION She94 \l 16393 </w:instrText>
          </w:r>
          <w:r w:rsidR="002B4D00" w:rsidRPr="001F799D">
            <w:rPr>
              <w:rFonts w:cs="Arial"/>
              <w:sz w:val="20"/>
              <w:szCs w:val="20"/>
            </w:rPr>
            <w:fldChar w:fldCharType="separate"/>
          </w:r>
          <w:r w:rsidR="002B4D00" w:rsidRPr="001F799D">
            <w:rPr>
              <w:rFonts w:cs="Arial"/>
              <w:sz w:val="20"/>
              <w:szCs w:val="20"/>
            </w:rPr>
            <w:t>(Shelby Hunt, 1994)</w:t>
          </w:r>
          <w:r w:rsidR="002B4D00" w:rsidRPr="001F799D">
            <w:rPr>
              <w:rFonts w:cs="Arial"/>
              <w:sz w:val="20"/>
              <w:szCs w:val="20"/>
            </w:rPr>
            <w:fldChar w:fldCharType="end"/>
          </w:r>
        </w:sdtContent>
      </w:sdt>
      <w:r w:rsidR="005B7231" w:rsidRPr="001F799D">
        <w:rPr>
          <w:rFonts w:cs="Arial"/>
          <w:sz w:val="20"/>
          <w:szCs w:val="20"/>
        </w:rPr>
        <w:t>Affordability checks, proactive approach and training of staff in retail stores are some of the responsible gambling initiatives that are meant to show that Entain does care about its customers. Studies show that operators who work proactively to avert harm will be more likely to be viewed as being trustworthy.</w:t>
      </w:r>
      <w:r w:rsidR="00493241" w:rsidRPr="001F799D">
        <w:rPr>
          <w:rFonts w:cs="Arial"/>
          <w:sz w:val="20"/>
          <w:szCs w:val="20"/>
        </w:rPr>
        <w:t xml:space="preserve"> </w:t>
      </w:r>
      <w:sdt>
        <w:sdtPr>
          <w:rPr>
            <w:rFonts w:cs="Arial"/>
            <w:sz w:val="20"/>
            <w:szCs w:val="20"/>
          </w:rPr>
          <w:id w:val="-1832434263"/>
          <w:citation/>
        </w:sdtPr>
        <w:sdtEndPr/>
        <w:sdtContent>
          <w:r w:rsidR="00882D25" w:rsidRPr="001F799D">
            <w:rPr>
              <w:rFonts w:cs="Arial"/>
              <w:sz w:val="20"/>
              <w:szCs w:val="20"/>
            </w:rPr>
            <w:fldChar w:fldCharType="begin"/>
          </w:r>
          <w:r w:rsidR="00882D25" w:rsidRPr="001F799D">
            <w:rPr>
              <w:rFonts w:cs="Arial"/>
              <w:sz w:val="20"/>
              <w:szCs w:val="20"/>
            </w:rPr>
            <w:instrText xml:space="preserve">CITATION New22 \l 16393 </w:instrText>
          </w:r>
          <w:r w:rsidR="00882D25" w:rsidRPr="001F799D">
            <w:rPr>
              <w:rFonts w:cs="Arial"/>
              <w:sz w:val="20"/>
              <w:szCs w:val="20"/>
            </w:rPr>
            <w:fldChar w:fldCharType="separate"/>
          </w:r>
          <w:r w:rsidR="00882D25" w:rsidRPr="001F799D">
            <w:rPr>
              <w:rFonts w:cs="Arial"/>
              <w:sz w:val="20"/>
              <w:szCs w:val="20"/>
            </w:rPr>
            <w:t>(Newall, 2022)</w:t>
          </w:r>
          <w:r w:rsidR="00882D25" w:rsidRPr="001F799D">
            <w:rPr>
              <w:rFonts w:cs="Arial"/>
              <w:sz w:val="20"/>
              <w:szCs w:val="20"/>
            </w:rPr>
            <w:fldChar w:fldCharType="end"/>
          </w:r>
        </w:sdtContent>
      </w:sdt>
    </w:p>
    <w:p w14:paraId="6525C220" w14:textId="2AC022DD" w:rsidR="005B7231" w:rsidRPr="001F799D" w:rsidRDefault="007D4DAF" w:rsidP="005102F7">
      <w:pPr>
        <w:tabs>
          <w:tab w:val="num" w:pos="720"/>
        </w:tabs>
        <w:rPr>
          <w:rFonts w:cs="Arial"/>
          <w:sz w:val="20"/>
          <w:szCs w:val="20"/>
        </w:rPr>
      </w:pPr>
      <w:r w:rsidRPr="001F799D">
        <w:rPr>
          <w:rFonts w:cs="Arial"/>
          <w:sz w:val="20"/>
          <w:szCs w:val="20"/>
        </w:rPr>
        <w:t>The fact that Entain adheres to the regulatory requirements of the UK online, as well as offline environment is another strength that builds the trust. Consumers will trust more those operators who exceed expectations of the regulatory authorities and show responsibility by apparent safer gambling practices.</w:t>
      </w:r>
      <w:sdt>
        <w:sdtPr>
          <w:rPr>
            <w:rFonts w:cs="Arial"/>
            <w:sz w:val="20"/>
            <w:szCs w:val="20"/>
          </w:rPr>
          <w:id w:val="1930923560"/>
          <w:citation/>
        </w:sdtPr>
        <w:sdtEndPr/>
        <w:sdtContent>
          <w:r w:rsidR="00340084" w:rsidRPr="001F799D">
            <w:rPr>
              <w:rFonts w:cs="Arial"/>
              <w:sz w:val="20"/>
              <w:szCs w:val="20"/>
            </w:rPr>
            <w:fldChar w:fldCharType="begin"/>
          </w:r>
          <w:r w:rsidR="00340084" w:rsidRPr="001F799D">
            <w:rPr>
              <w:rFonts w:cs="Arial"/>
              <w:sz w:val="20"/>
              <w:szCs w:val="20"/>
            </w:rPr>
            <w:instrText xml:space="preserve"> CITATION UKG23 \l 16393 </w:instrText>
          </w:r>
          <w:r w:rsidR="00340084" w:rsidRPr="001F799D">
            <w:rPr>
              <w:rFonts w:cs="Arial"/>
              <w:sz w:val="20"/>
              <w:szCs w:val="20"/>
            </w:rPr>
            <w:fldChar w:fldCharType="separate"/>
          </w:r>
          <w:r w:rsidR="00340084" w:rsidRPr="001F799D">
            <w:rPr>
              <w:rFonts w:cs="Arial"/>
              <w:sz w:val="20"/>
              <w:szCs w:val="20"/>
            </w:rPr>
            <w:t xml:space="preserve"> (UK Gambling Commission, 2023)</w:t>
          </w:r>
          <w:r w:rsidR="00340084" w:rsidRPr="001F799D">
            <w:rPr>
              <w:rFonts w:cs="Arial"/>
              <w:sz w:val="20"/>
              <w:szCs w:val="20"/>
            </w:rPr>
            <w:fldChar w:fldCharType="end"/>
          </w:r>
        </w:sdtContent>
      </w:sdt>
    </w:p>
    <w:p w14:paraId="742B2887" w14:textId="0EB37092" w:rsidR="00124C53" w:rsidRPr="00304013" w:rsidRDefault="007D0BBA" w:rsidP="005102F7">
      <w:pPr>
        <w:tabs>
          <w:tab w:val="num" w:pos="720"/>
        </w:tabs>
        <w:rPr>
          <w:b/>
          <w:bCs/>
        </w:rPr>
      </w:pPr>
      <w:r w:rsidRPr="00304013">
        <w:rPr>
          <w:b/>
          <w:bCs/>
        </w:rPr>
        <w:t>Discussion</w:t>
      </w:r>
    </w:p>
    <w:p w14:paraId="0F03347C" w14:textId="3D1E68F8" w:rsidR="00304013" w:rsidRPr="001F799D" w:rsidRDefault="00F7258C" w:rsidP="005102F7">
      <w:pPr>
        <w:tabs>
          <w:tab w:val="num" w:pos="720"/>
        </w:tabs>
        <w:rPr>
          <w:rFonts w:cs="Arial"/>
          <w:sz w:val="20"/>
          <w:szCs w:val="20"/>
        </w:rPr>
      </w:pPr>
      <w:r w:rsidRPr="001F799D">
        <w:rPr>
          <w:rFonts w:cs="Arial"/>
          <w:sz w:val="20"/>
          <w:szCs w:val="20"/>
        </w:rPr>
        <w:t>Regarding Research Question 2, the results indicate that there is a positive correlation between the responsible gambling behaviour of Entain and consumer trust. The theory of relationship marketing states that customer relationship is an important factor that entails trust and commitment in the long run</w:t>
      </w:r>
      <w:r w:rsidR="004776E6" w:rsidRPr="001F799D">
        <w:rPr>
          <w:rFonts w:cs="Arial"/>
          <w:sz w:val="20"/>
          <w:szCs w:val="20"/>
        </w:rPr>
        <w:t xml:space="preserve"> </w:t>
      </w:r>
      <w:sdt>
        <w:sdtPr>
          <w:rPr>
            <w:rFonts w:cs="Arial"/>
            <w:sz w:val="20"/>
            <w:szCs w:val="20"/>
          </w:rPr>
          <w:id w:val="943258809"/>
          <w:citation/>
        </w:sdtPr>
        <w:sdtEndPr/>
        <w:sdtContent>
          <w:r w:rsidR="002B4D00" w:rsidRPr="001F799D">
            <w:rPr>
              <w:rFonts w:cs="Arial"/>
              <w:sz w:val="20"/>
              <w:szCs w:val="20"/>
            </w:rPr>
            <w:fldChar w:fldCharType="begin"/>
          </w:r>
          <w:r w:rsidR="002B4D00" w:rsidRPr="001F799D">
            <w:rPr>
              <w:rFonts w:cs="Arial"/>
              <w:sz w:val="20"/>
              <w:szCs w:val="20"/>
            </w:rPr>
            <w:instrText xml:space="preserve"> CITATION Mor94 \l 16393 </w:instrText>
          </w:r>
          <w:r w:rsidR="002B4D00" w:rsidRPr="001F799D">
            <w:rPr>
              <w:rFonts w:cs="Arial"/>
              <w:sz w:val="20"/>
              <w:szCs w:val="20"/>
            </w:rPr>
            <w:fldChar w:fldCharType="separate"/>
          </w:r>
          <w:r w:rsidR="002B4D00" w:rsidRPr="001F799D">
            <w:rPr>
              <w:rFonts w:cs="Arial"/>
              <w:sz w:val="20"/>
              <w:szCs w:val="20"/>
            </w:rPr>
            <w:t>(Morgan, 1994)</w:t>
          </w:r>
          <w:r w:rsidR="002B4D00" w:rsidRPr="001F799D">
            <w:rPr>
              <w:rFonts w:cs="Arial"/>
              <w:sz w:val="20"/>
              <w:szCs w:val="20"/>
            </w:rPr>
            <w:fldChar w:fldCharType="end"/>
          </w:r>
        </w:sdtContent>
      </w:sdt>
      <w:r w:rsidR="004776E6" w:rsidRPr="001F799D">
        <w:rPr>
          <w:rFonts w:cs="Arial"/>
          <w:sz w:val="20"/>
          <w:szCs w:val="20"/>
        </w:rPr>
        <w:t xml:space="preserve"> </w:t>
      </w:r>
      <w:r w:rsidR="005C1796" w:rsidRPr="001F799D">
        <w:rPr>
          <w:rFonts w:cs="Arial"/>
          <w:sz w:val="20"/>
          <w:szCs w:val="20"/>
        </w:rPr>
        <w:t>Focusing on customer protection, Entain demonstrates a long-term orientation, which enhances trust and contributes to the ongoing engagement.</w:t>
      </w:r>
    </w:p>
    <w:p w14:paraId="15D92523" w14:textId="6B2584AE" w:rsidR="00DB1BD7" w:rsidRDefault="00100DAC" w:rsidP="005102F7">
      <w:pPr>
        <w:tabs>
          <w:tab w:val="num" w:pos="720"/>
        </w:tabs>
        <w:rPr>
          <w:b/>
          <w:bCs/>
        </w:rPr>
      </w:pPr>
      <w:r w:rsidRPr="00C859DE">
        <w:rPr>
          <w:b/>
          <w:bCs/>
        </w:rPr>
        <w:t xml:space="preserve">Reflective </w:t>
      </w:r>
      <w:r w:rsidR="00FE1DDE" w:rsidRPr="00C859DE">
        <w:rPr>
          <w:b/>
          <w:bCs/>
        </w:rPr>
        <w:t xml:space="preserve">Context (Not a </w:t>
      </w:r>
      <w:r w:rsidR="00C859DE" w:rsidRPr="00C859DE">
        <w:rPr>
          <w:b/>
          <w:bCs/>
        </w:rPr>
        <w:t>Research Data)</w:t>
      </w:r>
    </w:p>
    <w:p w14:paraId="626D700A" w14:textId="47806898" w:rsidR="001B784B" w:rsidRPr="004963C6" w:rsidRDefault="00814B3E" w:rsidP="005B4B2F">
      <w:pPr>
        <w:tabs>
          <w:tab w:val="num" w:pos="720"/>
        </w:tabs>
        <w:rPr>
          <w:rFonts w:cs="Arial"/>
          <w:sz w:val="20"/>
          <w:szCs w:val="20"/>
        </w:rPr>
      </w:pPr>
      <w:r w:rsidRPr="005B4B2F">
        <w:rPr>
          <w:rFonts w:cs="Arial"/>
          <w:sz w:val="20"/>
          <w:szCs w:val="20"/>
        </w:rPr>
        <w:lastRenderedPageBreak/>
        <w:t>According to professional experience, when dealing with customers, speaking with Entain customer support teams, they will tend to show more trust when the responsible gambling behaviours are described in a clear and calming tone. Such considerations aid in the current studies that indicate that effective communication safeguards trust when seeking sensitive accounts interventions.</w:t>
      </w:r>
      <w:r w:rsidR="001B784B" w:rsidRPr="005B4B2F">
        <w:rPr>
          <w:rFonts w:cs="Arial"/>
          <w:sz w:val="20"/>
          <w:szCs w:val="20"/>
        </w:rPr>
        <w:t xml:space="preserve"> </w:t>
      </w:r>
      <w:sdt>
        <w:sdtPr>
          <w:rPr>
            <w:rFonts w:cs="Arial"/>
            <w:sz w:val="20"/>
            <w:szCs w:val="20"/>
          </w:rPr>
          <w:id w:val="1587570433"/>
          <w:citation/>
        </w:sdtPr>
        <w:sdtEndPr/>
        <w:sdtContent>
          <w:r w:rsidR="00FB584D" w:rsidRPr="005B4B2F">
            <w:rPr>
              <w:rFonts w:cs="Arial"/>
              <w:sz w:val="20"/>
              <w:szCs w:val="20"/>
            </w:rPr>
            <w:fldChar w:fldCharType="begin"/>
          </w:r>
          <w:r w:rsidR="00FB584D" w:rsidRPr="005B4B2F">
            <w:rPr>
              <w:rFonts w:cs="Arial"/>
              <w:sz w:val="20"/>
              <w:szCs w:val="20"/>
            </w:rPr>
            <w:instrText xml:space="preserve"> CITATION Tho21 \l 16393 </w:instrText>
          </w:r>
          <w:r w:rsidR="00FB584D" w:rsidRPr="005B4B2F">
            <w:rPr>
              <w:rFonts w:cs="Arial"/>
              <w:sz w:val="20"/>
              <w:szCs w:val="20"/>
            </w:rPr>
            <w:fldChar w:fldCharType="separate"/>
          </w:r>
          <w:r w:rsidR="00FB584D" w:rsidRPr="005B4B2F">
            <w:rPr>
              <w:rFonts w:cs="Arial"/>
              <w:sz w:val="20"/>
              <w:szCs w:val="20"/>
            </w:rPr>
            <w:t>(Thomas, 2021)</w:t>
          </w:r>
          <w:r w:rsidR="00FB584D" w:rsidRPr="005B4B2F">
            <w:rPr>
              <w:rFonts w:cs="Arial"/>
              <w:sz w:val="20"/>
              <w:szCs w:val="20"/>
            </w:rPr>
            <w:fldChar w:fldCharType="end"/>
          </w:r>
        </w:sdtContent>
      </w:sdt>
    </w:p>
    <w:p w14:paraId="4311AC09" w14:textId="4269B3E7" w:rsidR="000535E3" w:rsidRDefault="00BC3841" w:rsidP="005102F7">
      <w:pPr>
        <w:tabs>
          <w:tab w:val="num" w:pos="720"/>
        </w:tabs>
        <w:rPr>
          <w:rFonts w:cs="Arial"/>
          <w:b/>
          <w:bCs/>
          <w:sz w:val="24"/>
          <w:szCs w:val="24"/>
        </w:rPr>
      </w:pPr>
      <w:r w:rsidRPr="00014DCE">
        <w:rPr>
          <w:rFonts w:cs="Arial"/>
          <w:b/>
          <w:bCs/>
          <w:sz w:val="24"/>
          <w:szCs w:val="24"/>
        </w:rPr>
        <w:t xml:space="preserve">4.4 </w:t>
      </w:r>
      <w:r w:rsidR="003F2D01" w:rsidRPr="00014DCE">
        <w:rPr>
          <w:rFonts w:cs="Arial"/>
          <w:b/>
          <w:bCs/>
          <w:sz w:val="24"/>
          <w:szCs w:val="24"/>
        </w:rPr>
        <w:t xml:space="preserve">Influence of Responsible Gambling </w:t>
      </w:r>
      <w:r w:rsidR="008842BB" w:rsidRPr="00014DCE">
        <w:rPr>
          <w:rFonts w:cs="Arial"/>
          <w:b/>
          <w:bCs/>
          <w:sz w:val="24"/>
          <w:szCs w:val="24"/>
        </w:rPr>
        <w:t xml:space="preserve">Tools </w:t>
      </w:r>
      <w:r w:rsidR="00E6301C" w:rsidRPr="00014DCE">
        <w:rPr>
          <w:rFonts w:cs="Arial"/>
          <w:b/>
          <w:bCs/>
          <w:sz w:val="24"/>
          <w:szCs w:val="24"/>
        </w:rPr>
        <w:t>on Long</w:t>
      </w:r>
      <w:r w:rsidR="00D81F83" w:rsidRPr="00014DCE">
        <w:rPr>
          <w:rFonts w:cs="Arial"/>
          <w:b/>
          <w:bCs/>
          <w:sz w:val="24"/>
          <w:szCs w:val="24"/>
        </w:rPr>
        <w:t xml:space="preserve">-Term </w:t>
      </w:r>
      <w:r w:rsidR="00DE4605" w:rsidRPr="00014DCE">
        <w:rPr>
          <w:rFonts w:cs="Arial"/>
          <w:b/>
          <w:bCs/>
          <w:sz w:val="24"/>
          <w:szCs w:val="24"/>
        </w:rPr>
        <w:t xml:space="preserve">customer Loyalty </w:t>
      </w:r>
      <w:r w:rsidR="00264DE6" w:rsidRPr="00014DCE">
        <w:rPr>
          <w:rFonts w:cs="Arial"/>
          <w:b/>
          <w:bCs/>
          <w:sz w:val="24"/>
          <w:szCs w:val="24"/>
        </w:rPr>
        <w:t xml:space="preserve">at </w:t>
      </w:r>
      <w:r w:rsidR="00014DCE" w:rsidRPr="00014DCE">
        <w:rPr>
          <w:rFonts w:cs="Arial"/>
          <w:b/>
          <w:bCs/>
          <w:sz w:val="24"/>
          <w:szCs w:val="24"/>
        </w:rPr>
        <w:t>Entain Plc</w:t>
      </w:r>
    </w:p>
    <w:p w14:paraId="0CC40B09" w14:textId="080436ED" w:rsidR="005559AA" w:rsidRPr="005559AA" w:rsidRDefault="005559AA" w:rsidP="005102F7">
      <w:pPr>
        <w:tabs>
          <w:tab w:val="num" w:pos="720"/>
        </w:tabs>
        <w:rPr>
          <w:b/>
          <w:bCs/>
        </w:rPr>
      </w:pPr>
      <w:r w:rsidRPr="005559AA">
        <w:rPr>
          <w:b/>
          <w:bCs/>
        </w:rPr>
        <w:t>Findings</w:t>
      </w:r>
    </w:p>
    <w:p w14:paraId="129AB081" w14:textId="427F9DA3" w:rsidR="00B35C2E" w:rsidRPr="00CA11F3" w:rsidRDefault="0070170D" w:rsidP="0070170D">
      <w:r w:rsidRPr="00690539">
        <w:rPr>
          <w:rFonts w:cs="Arial"/>
          <w:sz w:val="20"/>
          <w:szCs w:val="20"/>
        </w:rPr>
        <w:t>The results indicate that customer loyalty is impacted by the responsible gambling tools of Entain both in the long term and short term. There are other instances where customers cut down or halt the gambling activity after limits or self-exclusion is imposed especially in the retail environments where the interventions are more noticeable. Nevertheless, past research demonstrates that customers who feel that the tools support them will be willing to come back and be loyal even in the long-term</w:t>
      </w:r>
      <w:r w:rsidR="00C575B7" w:rsidRPr="00690539">
        <w:rPr>
          <w:rFonts w:cs="Arial"/>
          <w:sz w:val="20"/>
          <w:szCs w:val="20"/>
        </w:rPr>
        <w:t xml:space="preserve"> </w:t>
      </w:r>
      <w:sdt>
        <w:sdtPr>
          <w:rPr>
            <w:rFonts w:cs="Arial"/>
            <w:sz w:val="20"/>
            <w:szCs w:val="20"/>
          </w:rPr>
          <w:id w:val="-2143407645"/>
          <w:citation/>
        </w:sdtPr>
        <w:sdtEndPr/>
        <w:sdtContent>
          <w:r w:rsidR="00FA5BD0" w:rsidRPr="00690539">
            <w:rPr>
              <w:rFonts w:cs="Arial"/>
              <w:sz w:val="20"/>
              <w:szCs w:val="20"/>
            </w:rPr>
            <w:fldChar w:fldCharType="begin"/>
          </w:r>
          <w:r w:rsidR="00FA5BD0" w:rsidRPr="00690539">
            <w:rPr>
              <w:rFonts w:cs="Arial"/>
              <w:sz w:val="20"/>
              <w:szCs w:val="20"/>
            </w:rPr>
            <w:instrText xml:space="preserve"> CITATION Rus20 \l 16393 </w:instrText>
          </w:r>
          <w:r w:rsidR="00FA5BD0" w:rsidRPr="00690539">
            <w:rPr>
              <w:rFonts w:cs="Arial"/>
              <w:sz w:val="20"/>
              <w:szCs w:val="20"/>
            </w:rPr>
            <w:fldChar w:fldCharType="separate"/>
          </w:r>
          <w:r w:rsidR="00FA5BD0" w:rsidRPr="00690539">
            <w:rPr>
              <w:rFonts w:cs="Arial"/>
              <w:sz w:val="20"/>
              <w:szCs w:val="20"/>
            </w:rPr>
            <w:t>(Russell, 2020)</w:t>
          </w:r>
          <w:r w:rsidR="00FA5BD0" w:rsidRPr="00690539">
            <w:rPr>
              <w:rFonts w:cs="Arial"/>
              <w:sz w:val="20"/>
              <w:szCs w:val="20"/>
            </w:rPr>
            <w:fldChar w:fldCharType="end"/>
          </w:r>
        </w:sdtContent>
      </w:sdt>
      <w:r w:rsidR="00FA5BD0" w:rsidRPr="00690539">
        <w:rPr>
          <w:rFonts w:cs="Arial"/>
          <w:sz w:val="20"/>
          <w:szCs w:val="20"/>
        </w:rPr>
        <w:t>.</w:t>
      </w:r>
      <w:r w:rsidR="000D2A5D" w:rsidRPr="00690539">
        <w:rPr>
          <w:rFonts w:cs="Arial"/>
          <w:sz w:val="20"/>
          <w:szCs w:val="20"/>
        </w:rPr>
        <w:t xml:space="preserve">This customer loyalty is not only the process of repeat use but includes emotional trust and </w:t>
      </w:r>
      <w:r w:rsidR="006610AB" w:rsidRPr="00690539">
        <w:rPr>
          <w:rFonts w:cs="Arial"/>
          <w:sz w:val="20"/>
          <w:szCs w:val="20"/>
        </w:rPr>
        <w:t>favourable</w:t>
      </w:r>
      <w:r w:rsidR="000D2A5D" w:rsidRPr="00690539">
        <w:rPr>
          <w:rFonts w:cs="Arial"/>
          <w:sz w:val="20"/>
          <w:szCs w:val="20"/>
        </w:rPr>
        <w:t xml:space="preserve"> brand attitudes as well.</w:t>
      </w:r>
      <w:sdt>
        <w:sdtPr>
          <w:rPr>
            <w:rFonts w:cs="Arial"/>
            <w:sz w:val="20"/>
            <w:szCs w:val="20"/>
          </w:rPr>
          <w:id w:val="-2007664198"/>
          <w:citation/>
        </w:sdtPr>
        <w:sdtEndPr/>
        <w:sdtContent>
          <w:r w:rsidR="00917694" w:rsidRPr="00690539">
            <w:rPr>
              <w:rFonts w:cs="Arial"/>
              <w:sz w:val="20"/>
              <w:szCs w:val="20"/>
            </w:rPr>
            <w:fldChar w:fldCharType="begin"/>
          </w:r>
          <w:r w:rsidR="00917694" w:rsidRPr="00690539">
            <w:rPr>
              <w:rFonts w:cs="Arial"/>
              <w:sz w:val="20"/>
              <w:szCs w:val="20"/>
            </w:rPr>
            <w:instrText xml:space="preserve"> CITATION Dic94 \l 16393 </w:instrText>
          </w:r>
          <w:r w:rsidR="00917694" w:rsidRPr="00690539">
            <w:rPr>
              <w:rFonts w:cs="Arial"/>
              <w:sz w:val="20"/>
              <w:szCs w:val="20"/>
            </w:rPr>
            <w:fldChar w:fldCharType="separate"/>
          </w:r>
          <w:r w:rsidR="00917694" w:rsidRPr="00690539">
            <w:rPr>
              <w:rFonts w:cs="Arial"/>
              <w:sz w:val="20"/>
              <w:szCs w:val="20"/>
            </w:rPr>
            <w:t xml:space="preserve"> (Dick, 1994)</w:t>
          </w:r>
          <w:r w:rsidR="00917694" w:rsidRPr="00690539">
            <w:rPr>
              <w:rFonts w:cs="Arial"/>
              <w:sz w:val="20"/>
              <w:szCs w:val="20"/>
            </w:rPr>
            <w:fldChar w:fldCharType="end"/>
          </w:r>
        </w:sdtContent>
      </w:sdt>
      <w:r w:rsidR="0009762D" w:rsidRPr="00690539">
        <w:rPr>
          <w:rFonts w:cs="Arial"/>
          <w:sz w:val="20"/>
          <w:szCs w:val="20"/>
        </w:rPr>
        <w:t xml:space="preserve"> </w:t>
      </w:r>
      <w:r w:rsidR="00633E1B" w:rsidRPr="00690539">
        <w:rPr>
          <w:rFonts w:cs="Arial"/>
          <w:sz w:val="20"/>
          <w:szCs w:val="20"/>
        </w:rPr>
        <w:t>Responsible gambling on online and retail platforms, a principle promoted by Entain, facilitates sustainable customer interaction through the minimisation of gambling-related harm and enhancement of long-term relationships, as opposed to short-term revenue maximisation.</w:t>
      </w:r>
      <w:sdt>
        <w:sdtPr>
          <w:rPr>
            <w:rFonts w:cs="Arial"/>
            <w:sz w:val="20"/>
            <w:szCs w:val="20"/>
          </w:rPr>
          <w:id w:val="416059675"/>
          <w:citation/>
        </w:sdtPr>
        <w:sdtEndPr/>
        <w:sdtContent>
          <w:r w:rsidR="00C8206B" w:rsidRPr="00690539">
            <w:rPr>
              <w:rFonts w:cs="Arial"/>
              <w:sz w:val="20"/>
              <w:szCs w:val="20"/>
            </w:rPr>
            <w:fldChar w:fldCharType="begin"/>
          </w:r>
          <w:r w:rsidR="00C02AB5" w:rsidRPr="00690539">
            <w:rPr>
              <w:rFonts w:cs="Arial"/>
              <w:sz w:val="20"/>
              <w:szCs w:val="20"/>
            </w:rPr>
            <w:instrText xml:space="preserve">CITATION Bin14 \l 16393 </w:instrText>
          </w:r>
          <w:r w:rsidR="00C8206B" w:rsidRPr="00690539">
            <w:rPr>
              <w:rFonts w:cs="Arial"/>
              <w:sz w:val="20"/>
              <w:szCs w:val="20"/>
            </w:rPr>
            <w:fldChar w:fldCharType="separate"/>
          </w:r>
          <w:r w:rsidR="00C02AB5" w:rsidRPr="00690539">
            <w:rPr>
              <w:rFonts w:cs="Arial"/>
              <w:sz w:val="20"/>
              <w:szCs w:val="20"/>
            </w:rPr>
            <w:t xml:space="preserve"> (Binde, 2014)</w:t>
          </w:r>
          <w:r w:rsidR="00C8206B" w:rsidRPr="00690539">
            <w:rPr>
              <w:rFonts w:cs="Arial"/>
              <w:sz w:val="20"/>
              <w:szCs w:val="20"/>
            </w:rPr>
            <w:fldChar w:fldCharType="end"/>
          </w:r>
        </w:sdtContent>
      </w:sdt>
      <w:r w:rsidR="009A0771" w:rsidRPr="00690539">
        <w:rPr>
          <w:rFonts w:cs="Arial"/>
          <w:sz w:val="20"/>
          <w:szCs w:val="20"/>
        </w:rPr>
        <w:t>.</w:t>
      </w:r>
      <w:r w:rsidR="00633E1B" w:rsidRPr="00633E1B">
        <w:br/>
      </w:r>
      <w:r w:rsidR="009A339C" w:rsidRPr="009A339C">
        <w:rPr>
          <w:b/>
          <w:bCs/>
        </w:rPr>
        <w:t>Discussion</w:t>
      </w:r>
    </w:p>
    <w:p w14:paraId="07D7F834" w14:textId="7C4771D9" w:rsidR="0005480F" w:rsidRPr="00690539" w:rsidRDefault="0005480F" w:rsidP="0070170D">
      <w:pPr>
        <w:rPr>
          <w:rFonts w:cs="Arial"/>
          <w:sz w:val="20"/>
          <w:szCs w:val="20"/>
        </w:rPr>
      </w:pPr>
      <w:r w:rsidRPr="00690539">
        <w:rPr>
          <w:rFonts w:cs="Arial"/>
          <w:sz w:val="20"/>
          <w:szCs w:val="20"/>
        </w:rPr>
        <w:t>Responding to Research Question 3, the results show that responsible gambling tools are capable of enhancing the long-term customer loyalty at Entain by making customers develop trust and emotional attachment. This interpretation is upheld by the attitude loyalty theory whereby loyalty depends on customer feelings and confidence, rather than the repetition of behaviour.</w:t>
      </w:r>
      <w:sdt>
        <w:sdtPr>
          <w:rPr>
            <w:rFonts w:cs="Arial"/>
            <w:sz w:val="20"/>
            <w:szCs w:val="20"/>
          </w:rPr>
          <w:id w:val="552429418"/>
          <w:citation/>
        </w:sdtPr>
        <w:sdtEndPr/>
        <w:sdtContent>
          <w:r w:rsidR="007A44E1" w:rsidRPr="00690539">
            <w:rPr>
              <w:rFonts w:cs="Arial"/>
              <w:sz w:val="20"/>
              <w:szCs w:val="20"/>
            </w:rPr>
            <w:fldChar w:fldCharType="begin"/>
          </w:r>
          <w:r w:rsidR="007A44E1" w:rsidRPr="00690539">
            <w:rPr>
              <w:rFonts w:cs="Arial"/>
              <w:sz w:val="20"/>
              <w:szCs w:val="20"/>
            </w:rPr>
            <w:instrText xml:space="preserve"> CITATION Dic94 \l 16393 </w:instrText>
          </w:r>
          <w:r w:rsidR="007A44E1" w:rsidRPr="00690539">
            <w:rPr>
              <w:rFonts w:cs="Arial"/>
              <w:sz w:val="20"/>
              <w:szCs w:val="20"/>
            </w:rPr>
            <w:fldChar w:fldCharType="separate"/>
          </w:r>
          <w:r w:rsidR="007A44E1" w:rsidRPr="00690539">
            <w:rPr>
              <w:rFonts w:cs="Arial"/>
              <w:sz w:val="20"/>
              <w:szCs w:val="20"/>
            </w:rPr>
            <w:t xml:space="preserve"> (Dick, 1994)</w:t>
          </w:r>
          <w:r w:rsidR="007A44E1" w:rsidRPr="00690539">
            <w:rPr>
              <w:rFonts w:cs="Arial"/>
              <w:sz w:val="20"/>
              <w:szCs w:val="20"/>
            </w:rPr>
            <w:fldChar w:fldCharType="end"/>
          </w:r>
        </w:sdtContent>
      </w:sdt>
      <w:r w:rsidR="00796C09" w:rsidRPr="00690539">
        <w:rPr>
          <w:rFonts w:cs="Arial"/>
          <w:sz w:val="20"/>
          <w:szCs w:val="20"/>
        </w:rPr>
        <w:t xml:space="preserve"> Customers who perceive protection are more inclined to have a positive relationship with Entain.</w:t>
      </w:r>
    </w:p>
    <w:p w14:paraId="6D62F009" w14:textId="74C4B81A" w:rsidR="0022663D" w:rsidRPr="00C1591A" w:rsidRDefault="00E52223" w:rsidP="0070170D">
      <w:pPr>
        <w:rPr>
          <w:b/>
          <w:bCs/>
        </w:rPr>
      </w:pPr>
      <w:r w:rsidRPr="00C1591A">
        <w:rPr>
          <w:b/>
          <w:bCs/>
        </w:rPr>
        <w:t xml:space="preserve">Reflective Context </w:t>
      </w:r>
      <w:r w:rsidR="00B96DB3" w:rsidRPr="00C1591A">
        <w:rPr>
          <w:b/>
          <w:bCs/>
        </w:rPr>
        <w:t xml:space="preserve">(Not a research data) </w:t>
      </w:r>
    </w:p>
    <w:p w14:paraId="405B0635" w14:textId="0C58F98B" w:rsidR="00610B20" w:rsidRPr="00690539" w:rsidRDefault="00FC1C0B" w:rsidP="0070170D">
      <w:pPr>
        <w:rPr>
          <w:rFonts w:cs="Arial"/>
          <w:sz w:val="20"/>
          <w:szCs w:val="20"/>
        </w:rPr>
      </w:pPr>
      <w:r w:rsidRPr="00690539">
        <w:rPr>
          <w:rFonts w:cs="Arial"/>
          <w:sz w:val="20"/>
          <w:szCs w:val="20"/>
        </w:rPr>
        <w:t>According to professional experience of the researcher, later some Entain customers state gratitude towards responsible gambling interventions offered at the hard times. These considerations are only illustrative and consistent with past research that responsible gambling programs are capable of fostering closer long-term loyalty.</w:t>
      </w:r>
      <w:sdt>
        <w:sdtPr>
          <w:rPr>
            <w:rFonts w:cs="Arial"/>
            <w:sz w:val="20"/>
            <w:szCs w:val="20"/>
          </w:rPr>
          <w:id w:val="1394388267"/>
          <w:citation/>
        </w:sdtPr>
        <w:sdtEndPr/>
        <w:sdtContent>
          <w:r w:rsidR="00112FC7" w:rsidRPr="00690539">
            <w:rPr>
              <w:rFonts w:cs="Arial"/>
              <w:sz w:val="20"/>
              <w:szCs w:val="20"/>
            </w:rPr>
            <w:fldChar w:fldCharType="begin"/>
          </w:r>
          <w:r w:rsidR="00112FC7" w:rsidRPr="00690539">
            <w:rPr>
              <w:rFonts w:cs="Arial"/>
              <w:sz w:val="20"/>
              <w:szCs w:val="20"/>
            </w:rPr>
            <w:instrText xml:space="preserve"> CITATION Hin19 \l 16393 </w:instrText>
          </w:r>
          <w:r w:rsidR="00112FC7" w:rsidRPr="00690539">
            <w:rPr>
              <w:rFonts w:cs="Arial"/>
              <w:sz w:val="20"/>
              <w:szCs w:val="20"/>
            </w:rPr>
            <w:fldChar w:fldCharType="separate"/>
          </w:r>
          <w:r w:rsidR="00112FC7" w:rsidRPr="00690539">
            <w:rPr>
              <w:rFonts w:cs="Arial"/>
              <w:sz w:val="20"/>
              <w:szCs w:val="20"/>
            </w:rPr>
            <w:t xml:space="preserve"> (Hing, 2019)</w:t>
          </w:r>
          <w:r w:rsidR="00112FC7" w:rsidRPr="00690539">
            <w:rPr>
              <w:rFonts w:cs="Arial"/>
              <w:sz w:val="20"/>
              <w:szCs w:val="20"/>
            </w:rPr>
            <w:fldChar w:fldCharType="end"/>
          </w:r>
        </w:sdtContent>
      </w:sdt>
    </w:p>
    <w:p w14:paraId="41071A85" w14:textId="0949673F" w:rsidR="00654280" w:rsidRDefault="00654280" w:rsidP="00531DC6">
      <w:pPr>
        <w:tabs>
          <w:tab w:val="num" w:pos="720"/>
        </w:tabs>
        <w:rPr>
          <w:rFonts w:cs="Arial"/>
          <w:b/>
          <w:bCs/>
          <w:sz w:val="24"/>
          <w:szCs w:val="24"/>
        </w:rPr>
      </w:pPr>
      <w:r w:rsidRPr="00531DC6">
        <w:rPr>
          <w:rFonts w:cs="Arial"/>
          <w:b/>
          <w:bCs/>
          <w:sz w:val="24"/>
          <w:szCs w:val="24"/>
        </w:rPr>
        <w:t xml:space="preserve">4.5 Enhancing </w:t>
      </w:r>
      <w:r w:rsidR="00096D21" w:rsidRPr="00531DC6">
        <w:rPr>
          <w:rFonts w:cs="Arial"/>
          <w:b/>
          <w:bCs/>
          <w:sz w:val="24"/>
          <w:szCs w:val="24"/>
        </w:rPr>
        <w:t xml:space="preserve">Responsible Gambling </w:t>
      </w:r>
      <w:r w:rsidR="00BE7126" w:rsidRPr="00531DC6">
        <w:rPr>
          <w:rFonts w:cs="Arial"/>
          <w:b/>
          <w:bCs/>
          <w:sz w:val="24"/>
          <w:szCs w:val="24"/>
        </w:rPr>
        <w:t xml:space="preserve">at Entain </w:t>
      </w:r>
      <w:r w:rsidR="00AC48AE" w:rsidRPr="00531DC6">
        <w:rPr>
          <w:rFonts w:cs="Arial"/>
          <w:b/>
          <w:bCs/>
          <w:sz w:val="24"/>
          <w:szCs w:val="24"/>
        </w:rPr>
        <w:t xml:space="preserve">Plc while </w:t>
      </w:r>
      <w:r w:rsidR="00531DC6" w:rsidRPr="00531DC6">
        <w:rPr>
          <w:rFonts w:cs="Arial"/>
          <w:b/>
          <w:bCs/>
          <w:sz w:val="24"/>
          <w:szCs w:val="24"/>
        </w:rPr>
        <w:t>Maintaining Customer Satisfaction</w:t>
      </w:r>
    </w:p>
    <w:p w14:paraId="7892AB71" w14:textId="4E105389" w:rsidR="00531DC6" w:rsidRDefault="00A511C4" w:rsidP="00A511C4">
      <w:pPr>
        <w:rPr>
          <w:b/>
          <w:bCs/>
        </w:rPr>
      </w:pPr>
      <w:r w:rsidRPr="00A511C4">
        <w:rPr>
          <w:b/>
          <w:bCs/>
        </w:rPr>
        <w:t>Findings</w:t>
      </w:r>
    </w:p>
    <w:p w14:paraId="3AA16F9F" w14:textId="45667B38" w:rsidR="00A511C4" w:rsidRPr="00071604" w:rsidRDefault="00071EFC" w:rsidP="00A511C4">
      <w:pPr>
        <w:rPr>
          <w:rFonts w:cs="Arial"/>
          <w:sz w:val="20"/>
          <w:szCs w:val="20"/>
        </w:rPr>
      </w:pPr>
      <w:r w:rsidRPr="00071604">
        <w:rPr>
          <w:rFonts w:cs="Arial"/>
          <w:sz w:val="20"/>
          <w:szCs w:val="20"/>
        </w:rPr>
        <w:t>The results indicate that Entain will be able to reinforce responsible gambling programs without losing customer satisfaction through personalisation, staff education, and effective communication. It has been found that behaviour-based tools can more effectively and less irritably influence an individual customer than a uniform restriction.</w:t>
      </w:r>
      <w:sdt>
        <w:sdtPr>
          <w:rPr>
            <w:rFonts w:cs="Arial"/>
            <w:sz w:val="20"/>
            <w:szCs w:val="20"/>
          </w:rPr>
          <w:id w:val="280074070"/>
          <w:citation/>
        </w:sdtPr>
        <w:sdtEndPr/>
        <w:sdtContent>
          <w:r w:rsidR="00392E9A" w:rsidRPr="00071604">
            <w:rPr>
              <w:rFonts w:cs="Arial"/>
              <w:sz w:val="20"/>
              <w:szCs w:val="20"/>
            </w:rPr>
            <w:fldChar w:fldCharType="begin"/>
          </w:r>
          <w:r w:rsidR="00392E9A" w:rsidRPr="00071604">
            <w:rPr>
              <w:rFonts w:cs="Arial"/>
              <w:sz w:val="20"/>
              <w:szCs w:val="20"/>
            </w:rPr>
            <w:instrText xml:space="preserve"> CITATION Gai20 \l 16393 </w:instrText>
          </w:r>
          <w:r w:rsidR="00392E9A" w:rsidRPr="00071604">
            <w:rPr>
              <w:rFonts w:cs="Arial"/>
              <w:sz w:val="20"/>
              <w:szCs w:val="20"/>
            </w:rPr>
            <w:fldChar w:fldCharType="separate"/>
          </w:r>
          <w:r w:rsidR="00392E9A" w:rsidRPr="00071604">
            <w:rPr>
              <w:rFonts w:cs="Arial"/>
              <w:sz w:val="20"/>
              <w:szCs w:val="20"/>
            </w:rPr>
            <w:t xml:space="preserve"> (Gainsbury, 2020)</w:t>
          </w:r>
          <w:r w:rsidR="00392E9A" w:rsidRPr="00071604">
            <w:rPr>
              <w:rFonts w:cs="Arial"/>
              <w:sz w:val="20"/>
              <w:szCs w:val="20"/>
            </w:rPr>
            <w:fldChar w:fldCharType="end"/>
          </w:r>
        </w:sdtContent>
      </w:sdt>
      <w:r w:rsidR="00F94F9F" w:rsidRPr="00071604">
        <w:rPr>
          <w:rFonts w:cs="Arial"/>
          <w:sz w:val="20"/>
          <w:szCs w:val="20"/>
        </w:rPr>
        <w:t>.</w:t>
      </w:r>
      <w:r w:rsidR="001B794D" w:rsidRPr="00071604">
        <w:rPr>
          <w:rFonts w:cs="Arial"/>
          <w:sz w:val="20"/>
          <w:szCs w:val="20"/>
        </w:rPr>
        <w:t>Staff competence is crucial to customer acceptance of safer methods of gambling in retail betting shops whereas on-line methods depend on transparent digital communications.</w:t>
      </w:r>
      <w:sdt>
        <w:sdtPr>
          <w:rPr>
            <w:rFonts w:cs="Arial"/>
            <w:sz w:val="20"/>
            <w:szCs w:val="20"/>
          </w:rPr>
          <w:id w:val="-1976055300"/>
          <w:citation/>
        </w:sdtPr>
        <w:sdtEndPr/>
        <w:sdtContent>
          <w:r w:rsidR="005B0B7E" w:rsidRPr="00071604">
            <w:rPr>
              <w:rFonts w:cs="Arial"/>
              <w:sz w:val="20"/>
              <w:szCs w:val="20"/>
            </w:rPr>
            <w:fldChar w:fldCharType="begin"/>
          </w:r>
          <w:r w:rsidR="005B0B7E" w:rsidRPr="00071604">
            <w:rPr>
              <w:rFonts w:cs="Arial"/>
              <w:sz w:val="20"/>
              <w:szCs w:val="20"/>
            </w:rPr>
            <w:instrText xml:space="preserve"> CITATION Tho21 \l 16393 </w:instrText>
          </w:r>
          <w:r w:rsidR="005B0B7E" w:rsidRPr="00071604">
            <w:rPr>
              <w:rFonts w:cs="Arial"/>
              <w:sz w:val="20"/>
              <w:szCs w:val="20"/>
            </w:rPr>
            <w:fldChar w:fldCharType="separate"/>
          </w:r>
          <w:r w:rsidR="005B0B7E" w:rsidRPr="00071604">
            <w:rPr>
              <w:rFonts w:cs="Arial"/>
              <w:sz w:val="20"/>
              <w:szCs w:val="20"/>
            </w:rPr>
            <w:t xml:space="preserve"> (Thomas, 2021)</w:t>
          </w:r>
          <w:r w:rsidR="005B0B7E" w:rsidRPr="00071604">
            <w:rPr>
              <w:rFonts w:cs="Arial"/>
              <w:sz w:val="20"/>
              <w:szCs w:val="20"/>
            </w:rPr>
            <w:fldChar w:fldCharType="end"/>
          </w:r>
        </w:sdtContent>
      </w:sdt>
    </w:p>
    <w:p w14:paraId="042C4612" w14:textId="2382AB6B" w:rsidR="009163FD" w:rsidRDefault="009163FD" w:rsidP="00A511C4">
      <w:pPr>
        <w:rPr>
          <w:b/>
          <w:bCs/>
        </w:rPr>
      </w:pPr>
      <w:r w:rsidRPr="00AF1366">
        <w:rPr>
          <w:b/>
          <w:bCs/>
        </w:rPr>
        <w:t>Discussion</w:t>
      </w:r>
    </w:p>
    <w:p w14:paraId="1658EE5A" w14:textId="397E635E" w:rsidR="00AF1366" w:rsidRPr="00071604" w:rsidRDefault="002E1B17" w:rsidP="00A511C4">
      <w:pPr>
        <w:rPr>
          <w:rFonts w:cs="Arial"/>
          <w:sz w:val="20"/>
          <w:szCs w:val="20"/>
        </w:rPr>
      </w:pPr>
      <w:r w:rsidRPr="00071604">
        <w:rPr>
          <w:rFonts w:cs="Arial"/>
          <w:sz w:val="20"/>
          <w:szCs w:val="20"/>
        </w:rPr>
        <w:t>To answer Research Question 4, the results indicate that Entain can improve responsible gambling practices through making online and retail gambling sites consistent, training staff, and providing transparent communication. Service-dominant logic helps to justify this approach as it discusses the value creation on the basis of positive interactions between organisations and customers.</w:t>
      </w:r>
      <w:sdt>
        <w:sdtPr>
          <w:rPr>
            <w:rFonts w:cs="Arial"/>
            <w:sz w:val="20"/>
            <w:szCs w:val="20"/>
          </w:rPr>
          <w:id w:val="1977254685"/>
          <w:citation/>
        </w:sdtPr>
        <w:sdtEndPr/>
        <w:sdtContent>
          <w:r w:rsidR="00DE4DBA" w:rsidRPr="00071604">
            <w:rPr>
              <w:rFonts w:cs="Arial"/>
              <w:sz w:val="20"/>
              <w:szCs w:val="20"/>
            </w:rPr>
            <w:fldChar w:fldCharType="begin"/>
          </w:r>
          <w:r w:rsidR="00DE4DBA" w:rsidRPr="00071604">
            <w:rPr>
              <w:rFonts w:cs="Arial"/>
              <w:sz w:val="20"/>
              <w:szCs w:val="20"/>
            </w:rPr>
            <w:instrText xml:space="preserve"> CITATION Var08 \l 16393 </w:instrText>
          </w:r>
          <w:r w:rsidR="00DE4DBA" w:rsidRPr="00071604">
            <w:rPr>
              <w:rFonts w:cs="Arial"/>
              <w:sz w:val="20"/>
              <w:szCs w:val="20"/>
            </w:rPr>
            <w:fldChar w:fldCharType="separate"/>
          </w:r>
          <w:r w:rsidR="00DE4DBA" w:rsidRPr="00071604">
            <w:rPr>
              <w:rFonts w:cs="Arial"/>
              <w:sz w:val="20"/>
              <w:szCs w:val="20"/>
            </w:rPr>
            <w:t xml:space="preserve"> (Vargo, 2008)</w:t>
          </w:r>
          <w:r w:rsidR="00DE4DBA" w:rsidRPr="00071604">
            <w:rPr>
              <w:rFonts w:cs="Arial"/>
              <w:sz w:val="20"/>
              <w:szCs w:val="20"/>
            </w:rPr>
            <w:fldChar w:fldCharType="end"/>
          </w:r>
        </w:sdtContent>
      </w:sdt>
    </w:p>
    <w:p w14:paraId="1DCFDFC1" w14:textId="11DA99A1" w:rsidR="003D1F6F" w:rsidRPr="00781004" w:rsidRDefault="003D1F6F" w:rsidP="00A511C4">
      <w:pPr>
        <w:rPr>
          <w:b/>
          <w:bCs/>
        </w:rPr>
      </w:pPr>
      <w:r w:rsidRPr="00781004">
        <w:rPr>
          <w:b/>
          <w:bCs/>
        </w:rPr>
        <w:t xml:space="preserve">Reflective </w:t>
      </w:r>
      <w:r w:rsidR="002835E2" w:rsidRPr="00781004">
        <w:rPr>
          <w:b/>
          <w:bCs/>
        </w:rPr>
        <w:t xml:space="preserve">Context </w:t>
      </w:r>
      <w:r w:rsidR="00BE64A3" w:rsidRPr="00781004">
        <w:rPr>
          <w:b/>
          <w:bCs/>
        </w:rPr>
        <w:t xml:space="preserve">(Not Research </w:t>
      </w:r>
      <w:r w:rsidR="008A5E4C" w:rsidRPr="00781004">
        <w:rPr>
          <w:b/>
          <w:bCs/>
        </w:rPr>
        <w:t>Data)</w:t>
      </w:r>
    </w:p>
    <w:p w14:paraId="76175F53" w14:textId="4607CBF5" w:rsidR="001E6137" w:rsidRPr="00C46AB0" w:rsidRDefault="008027EB" w:rsidP="00C46AB0">
      <w:pPr>
        <w:rPr>
          <w:rFonts w:cs="Arial"/>
          <w:sz w:val="20"/>
          <w:szCs w:val="20"/>
        </w:rPr>
      </w:pPr>
      <w:r w:rsidRPr="00A23187">
        <w:rPr>
          <w:rFonts w:cs="Arial"/>
          <w:sz w:val="20"/>
          <w:szCs w:val="20"/>
        </w:rPr>
        <w:lastRenderedPageBreak/>
        <w:t>Experience shows that customers of Entain will be more satisfied when both retail and online support staff approach the topic of responsible gambling with confidence and empathy. Such considerations assist in interpreting the results of past researches, and are not accepted as evidence.</w:t>
      </w:r>
      <w:sdt>
        <w:sdtPr>
          <w:rPr>
            <w:rFonts w:cs="Arial"/>
            <w:sz w:val="20"/>
            <w:szCs w:val="20"/>
          </w:rPr>
          <w:id w:val="2099283407"/>
          <w:citation/>
        </w:sdtPr>
        <w:sdtEndPr/>
        <w:sdtContent>
          <w:r w:rsidR="00850B42" w:rsidRPr="00A23187">
            <w:rPr>
              <w:rFonts w:cs="Arial"/>
              <w:sz w:val="20"/>
              <w:szCs w:val="20"/>
            </w:rPr>
            <w:fldChar w:fldCharType="begin"/>
          </w:r>
          <w:r w:rsidR="00850B42" w:rsidRPr="00A23187">
            <w:rPr>
              <w:rFonts w:cs="Arial"/>
              <w:sz w:val="20"/>
              <w:szCs w:val="20"/>
            </w:rPr>
            <w:instrText xml:space="preserve"> CITATION Tho21 \l 16393 </w:instrText>
          </w:r>
          <w:r w:rsidR="00850B42" w:rsidRPr="00A23187">
            <w:rPr>
              <w:rFonts w:cs="Arial"/>
              <w:sz w:val="20"/>
              <w:szCs w:val="20"/>
            </w:rPr>
            <w:fldChar w:fldCharType="separate"/>
          </w:r>
          <w:r w:rsidR="00850B42" w:rsidRPr="00A23187">
            <w:rPr>
              <w:rFonts w:cs="Arial"/>
              <w:sz w:val="20"/>
              <w:szCs w:val="20"/>
            </w:rPr>
            <w:t xml:space="preserve"> (Thomas, 2021)</w:t>
          </w:r>
          <w:r w:rsidR="00850B42" w:rsidRPr="00A23187">
            <w:rPr>
              <w:rFonts w:cs="Arial"/>
              <w:sz w:val="20"/>
              <w:szCs w:val="20"/>
            </w:rPr>
            <w:fldChar w:fldCharType="end"/>
          </w:r>
        </w:sdtContent>
      </w:sdt>
    </w:p>
    <w:p w14:paraId="4AC9D359" w14:textId="27D4A8BC" w:rsidR="000E404D" w:rsidRPr="00EF229D" w:rsidRDefault="003A22D8" w:rsidP="00EF229D">
      <w:pPr>
        <w:rPr>
          <w:b/>
          <w:bCs/>
          <w:sz w:val="24"/>
          <w:szCs w:val="24"/>
        </w:rPr>
      </w:pPr>
      <w:r w:rsidRPr="00EF229D">
        <w:rPr>
          <w:b/>
          <w:bCs/>
          <w:sz w:val="24"/>
          <w:szCs w:val="24"/>
        </w:rPr>
        <w:t>5.</w:t>
      </w:r>
      <w:r w:rsidR="00526F4B" w:rsidRPr="00EF229D">
        <w:rPr>
          <w:b/>
          <w:bCs/>
          <w:sz w:val="24"/>
          <w:szCs w:val="24"/>
        </w:rPr>
        <w:t xml:space="preserve">Evaluation </w:t>
      </w:r>
    </w:p>
    <w:p w14:paraId="0BBCBD29" w14:textId="629671E5" w:rsidR="00FA1448" w:rsidRPr="00EF229D" w:rsidRDefault="00FA1448" w:rsidP="00EF229D">
      <w:pPr>
        <w:rPr>
          <w:b/>
          <w:bCs/>
        </w:rPr>
      </w:pPr>
      <w:r w:rsidRPr="00EF229D">
        <w:rPr>
          <w:b/>
          <w:bCs/>
        </w:rPr>
        <w:t xml:space="preserve">5.1 </w:t>
      </w:r>
      <w:r w:rsidR="00AC3768" w:rsidRPr="00EF229D">
        <w:rPr>
          <w:b/>
          <w:bCs/>
        </w:rPr>
        <w:t xml:space="preserve">Introduction </w:t>
      </w:r>
    </w:p>
    <w:p w14:paraId="48FDFB74" w14:textId="3D9F29E7" w:rsidR="00AC3768" w:rsidRPr="00EF229D" w:rsidRDefault="00A2340A" w:rsidP="00A2340A">
      <w:pPr>
        <w:rPr>
          <w:rFonts w:cs="Arial"/>
          <w:sz w:val="20"/>
          <w:szCs w:val="20"/>
        </w:rPr>
      </w:pPr>
      <w:r w:rsidRPr="00EF229D">
        <w:rPr>
          <w:rFonts w:cs="Arial"/>
          <w:sz w:val="20"/>
          <w:szCs w:val="20"/>
        </w:rPr>
        <w:t>This chapter presents a review of the research design and the quality of the study in general in regards to Entain plc. It talks about strengths and limitations, reliability and validity, ethical considerations, and future research recommendations. This critique reflects critical knowledge of the research procedure in the undergraduate level.</w:t>
      </w:r>
      <w:sdt>
        <w:sdtPr>
          <w:rPr>
            <w:rFonts w:cs="Arial"/>
            <w:sz w:val="20"/>
            <w:szCs w:val="20"/>
          </w:rPr>
          <w:id w:val="-1524008357"/>
          <w:citation/>
        </w:sdtPr>
        <w:sdtEndPr/>
        <w:sdtContent>
          <w:r w:rsidR="00951AFB" w:rsidRPr="00EF229D">
            <w:rPr>
              <w:rFonts w:cs="Arial"/>
              <w:sz w:val="20"/>
              <w:szCs w:val="20"/>
            </w:rPr>
            <w:fldChar w:fldCharType="begin"/>
          </w:r>
          <w:r w:rsidR="00951AFB" w:rsidRPr="00EF229D">
            <w:rPr>
              <w:rFonts w:cs="Arial"/>
              <w:sz w:val="20"/>
              <w:szCs w:val="20"/>
            </w:rPr>
            <w:instrText xml:space="preserve"> CITATION Bry16 \l 16393 </w:instrText>
          </w:r>
          <w:r w:rsidR="00951AFB" w:rsidRPr="00EF229D">
            <w:rPr>
              <w:rFonts w:cs="Arial"/>
              <w:sz w:val="20"/>
              <w:szCs w:val="20"/>
            </w:rPr>
            <w:fldChar w:fldCharType="separate"/>
          </w:r>
          <w:r w:rsidR="00951AFB" w:rsidRPr="00EF229D">
            <w:rPr>
              <w:rFonts w:cs="Arial"/>
              <w:sz w:val="20"/>
              <w:szCs w:val="20"/>
            </w:rPr>
            <w:t xml:space="preserve"> (Bryman, 2016)</w:t>
          </w:r>
          <w:r w:rsidR="00951AFB" w:rsidRPr="00EF229D">
            <w:rPr>
              <w:rFonts w:cs="Arial"/>
              <w:sz w:val="20"/>
              <w:szCs w:val="20"/>
            </w:rPr>
            <w:fldChar w:fldCharType="end"/>
          </w:r>
        </w:sdtContent>
      </w:sdt>
    </w:p>
    <w:p w14:paraId="36B1A35F" w14:textId="77777777" w:rsidR="0056353B" w:rsidRDefault="005854C9" w:rsidP="00E31751">
      <w:pPr>
        <w:tabs>
          <w:tab w:val="num" w:pos="720"/>
        </w:tabs>
        <w:rPr>
          <w:rFonts w:cs="Arial"/>
          <w:b/>
          <w:bCs/>
        </w:rPr>
      </w:pPr>
      <w:r w:rsidRPr="00E31751">
        <w:rPr>
          <w:rFonts w:cs="Arial"/>
          <w:b/>
          <w:bCs/>
        </w:rPr>
        <w:t xml:space="preserve">5.2 Strengths of </w:t>
      </w:r>
      <w:r w:rsidR="0056353B" w:rsidRPr="00E31751">
        <w:rPr>
          <w:rFonts w:cs="Arial"/>
          <w:b/>
          <w:bCs/>
        </w:rPr>
        <w:t xml:space="preserve">the Research </w:t>
      </w:r>
    </w:p>
    <w:p w14:paraId="755B9D24" w14:textId="17D5D32A" w:rsidR="00F42C1F" w:rsidRPr="00EF229D" w:rsidRDefault="00F42C1F" w:rsidP="00F42C1F">
      <w:pPr>
        <w:rPr>
          <w:rFonts w:cs="Arial"/>
          <w:sz w:val="20"/>
          <w:szCs w:val="20"/>
        </w:rPr>
      </w:pPr>
      <w:r w:rsidRPr="00EF229D">
        <w:rPr>
          <w:rFonts w:cs="Arial"/>
          <w:sz w:val="20"/>
          <w:szCs w:val="20"/>
        </w:rPr>
        <w:t>The main strength of this paper is that it is limited to Entain plc and its responsible gambling approach on both online and offline platforms. This is permitting the thorough analysis of organisations in a real UK gambling operator. The credibility of the findings is enhanced by means of using various secondary sources, whereas the distinctiveness of evidence and the reflective context enhance methodological transparency.</w:t>
      </w:r>
      <w:sdt>
        <w:sdtPr>
          <w:rPr>
            <w:rFonts w:cs="Arial"/>
            <w:sz w:val="20"/>
            <w:szCs w:val="20"/>
          </w:rPr>
          <w:id w:val="-452557881"/>
          <w:citation/>
        </w:sdtPr>
        <w:sdtEndPr/>
        <w:sdtContent>
          <w:r w:rsidR="0008173A" w:rsidRPr="00EF229D">
            <w:rPr>
              <w:rFonts w:cs="Arial"/>
              <w:sz w:val="20"/>
              <w:szCs w:val="20"/>
            </w:rPr>
            <w:fldChar w:fldCharType="begin"/>
          </w:r>
          <w:r w:rsidR="0008173A" w:rsidRPr="00EF229D">
            <w:rPr>
              <w:rFonts w:cs="Arial"/>
              <w:sz w:val="20"/>
              <w:szCs w:val="20"/>
            </w:rPr>
            <w:instrText xml:space="preserve"> CITATION Tho19 \l 16393 </w:instrText>
          </w:r>
          <w:r w:rsidR="0008173A" w:rsidRPr="00EF229D">
            <w:rPr>
              <w:rFonts w:cs="Arial"/>
              <w:sz w:val="20"/>
              <w:szCs w:val="20"/>
            </w:rPr>
            <w:fldChar w:fldCharType="separate"/>
          </w:r>
          <w:r w:rsidR="0008173A" w:rsidRPr="00EF229D">
            <w:rPr>
              <w:rFonts w:cs="Arial"/>
              <w:sz w:val="20"/>
              <w:szCs w:val="20"/>
            </w:rPr>
            <w:t xml:space="preserve"> (Thornhill, 2019)</w:t>
          </w:r>
          <w:r w:rsidR="0008173A" w:rsidRPr="00EF229D">
            <w:rPr>
              <w:rFonts w:cs="Arial"/>
              <w:sz w:val="20"/>
              <w:szCs w:val="20"/>
            </w:rPr>
            <w:fldChar w:fldCharType="end"/>
          </w:r>
        </w:sdtContent>
      </w:sdt>
    </w:p>
    <w:p w14:paraId="3143DBC1" w14:textId="6F1DDADF" w:rsidR="00F50EA3" w:rsidRDefault="00F50E06" w:rsidP="00F50E06">
      <w:pPr>
        <w:tabs>
          <w:tab w:val="num" w:pos="720"/>
        </w:tabs>
        <w:rPr>
          <w:rFonts w:cs="Arial"/>
          <w:b/>
          <w:bCs/>
        </w:rPr>
      </w:pPr>
      <w:r w:rsidRPr="00F50E06">
        <w:rPr>
          <w:rFonts w:cs="Arial"/>
          <w:b/>
          <w:bCs/>
        </w:rPr>
        <w:t>5.3 Limitations of the research</w:t>
      </w:r>
    </w:p>
    <w:p w14:paraId="1AF37254" w14:textId="3E635B4E" w:rsidR="00F50E06" w:rsidRPr="00EF229D" w:rsidRDefault="00006518" w:rsidP="00006518">
      <w:pPr>
        <w:rPr>
          <w:rFonts w:cs="Arial"/>
          <w:sz w:val="20"/>
          <w:szCs w:val="20"/>
        </w:rPr>
      </w:pPr>
      <w:r w:rsidRPr="00EF229D">
        <w:rPr>
          <w:rFonts w:cs="Arial"/>
          <w:sz w:val="20"/>
          <w:szCs w:val="20"/>
        </w:rPr>
        <w:t>The primary limitation of the study is that no primary data was gathered with the customers of Entain. Since the perception and the loyalty of customers are assumed based on the past research, there is no possibility to test the causal relations empirically</w:t>
      </w:r>
      <w:sdt>
        <w:sdtPr>
          <w:rPr>
            <w:rFonts w:cs="Arial"/>
            <w:sz w:val="20"/>
            <w:szCs w:val="20"/>
          </w:rPr>
          <w:id w:val="-699548368"/>
          <w:citation/>
        </w:sdtPr>
        <w:sdtEndPr/>
        <w:sdtContent>
          <w:r w:rsidR="003A7F0B" w:rsidRPr="00EF229D">
            <w:rPr>
              <w:rFonts w:cs="Arial"/>
              <w:sz w:val="20"/>
              <w:szCs w:val="20"/>
            </w:rPr>
            <w:fldChar w:fldCharType="begin"/>
          </w:r>
          <w:r w:rsidR="003A7F0B" w:rsidRPr="00EF229D">
            <w:rPr>
              <w:rFonts w:cs="Arial"/>
              <w:sz w:val="20"/>
              <w:szCs w:val="20"/>
            </w:rPr>
            <w:instrText xml:space="preserve"> CITATION Bry16 \l 16393 </w:instrText>
          </w:r>
          <w:r w:rsidR="003A7F0B" w:rsidRPr="00EF229D">
            <w:rPr>
              <w:rFonts w:cs="Arial"/>
              <w:sz w:val="20"/>
              <w:szCs w:val="20"/>
            </w:rPr>
            <w:fldChar w:fldCharType="separate"/>
          </w:r>
          <w:r w:rsidR="003A7F0B" w:rsidRPr="00EF229D">
            <w:rPr>
              <w:rFonts w:cs="Arial"/>
              <w:sz w:val="20"/>
              <w:szCs w:val="20"/>
            </w:rPr>
            <w:t xml:space="preserve"> (Bryman, 2016)</w:t>
          </w:r>
          <w:r w:rsidR="003A7F0B" w:rsidRPr="00EF229D">
            <w:rPr>
              <w:rFonts w:cs="Arial"/>
              <w:sz w:val="20"/>
              <w:szCs w:val="20"/>
            </w:rPr>
            <w:fldChar w:fldCharType="end"/>
          </w:r>
        </w:sdtContent>
      </w:sdt>
      <w:r w:rsidRPr="00EF229D">
        <w:rPr>
          <w:rFonts w:cs="Arial"/>
          <w:sz w:val="20"/>
          <w:szCs w:val="20"/>
        </w:rPr>
        <w:t>. Moreover, concentration on one organisation restricts the extrapolation of the results to other organisations other than Entain plc.</w:t>
      </w:r>
    </w:p>
    <w:p w14:paraId="310C3CAB" w14:textId="31AC91AC" w:rsidR="003B2546" w:rsidRDefault="003B2546" w:rsidP="003B2546">
      <w:pPr>
        <w:tabs>
          <w:tab w:val="num" w:pos="720"/>
        </w:tabs>
        <w:rPr>
          <w:rFonts w:cs="Arial"/>
          <w:b/>
          <w:bCs/>
        </w:rPr>
      </w:pPr>
      <w:r w:rsidRPr="003B2546">
        <w:rPr>
          <w:rFonts w:cs="Arial"/>
          <w:b/>
          <w:bCs/>
        </w:rPr>
        <w:t>5.4</w:t>
      </w:r>
      <w:r w:rsidR="001D59EE">
        <w:rPr>
          <w:rFonts w:cs="Arial"/>
          <w:b/>
          <w:bCs/>
        </w:rPr>
        <w:t xml:space="preserve"> Reliab</w:t>
      </w:r>
      <w:r w:rsidR="00715CF5">
        <w:rPr>
          <w:rFonts w:cs="Arial"/>
          <w:b/>
          <w:bCs/>
        </w:rPr>
        <w:t>ility, Validity, Ethics</w:t>
      </w:r>
    </w:p>
    <w:p w14:paraId="717D6B23" w14:textId="6CF03EF7" w:rsidR="004F4389" w:rsidRPr="00EF229D" w:rsidRDefault="004F4389" w:rsidP="004F4389">
      <w:pPr>
        <w:rPr>
          <w:rFonts w:cs="Arial"/>
          <w:sz w:val="20"/>
          <w:szCs w:val="20"/>
        </w:rPr>
      </w:pPr>
      <w:r w:rsidRPr="00EF229D">
        <w:rPr>
          <w:rFonts w:cs="Arial"/>
          <w:sz w:val="20"/>
          <w:szCs w:val="20"/>
        </w:rPr>
        <w:t>The reliability is ensured by applying established academic and regulatory sources. The validity is enhanced by a close correspondence of the research questions to the responsible gambling practices at Entain. Only publicly available data and anonymised professional reflections have been used, with no confidential customer or company information being used to maintain ethical standards.</w:t>
      </w:r>
    </w:p>
    <w:p w14:paraId="1A20888F" w14:textId="086FE8C6" w:rsidR="00736C0C" w:rsidRDefault="00736C0C" w:rsidP="00093933">
      <w:pPr>
        <w:tabs>
          <w:tab w:val="num" w:pos="720"/>
        </w:tabs>
        <w:rPr>
          <w:rFonts w:cs="Arial"/>
          <w:b/>
          <w:bCs/>
        </w:rPr>
      </w:pPr>
      <w:r w:rsidRPr="00093933">
        <w:rPr>
          <w:rFonts w:cs="Arial"/>
          <w:b/>
          <w:bCs/>
        </w:rPr>
        <w:t xml:space="preserve">5.5 </w:t>
      </w:r>
      <w:r w:rsidR="00516FF6" w:rsidRPr="00093933">
        <w:rPr>
          <w:rFonts w:cs="Arial"/>
          <w:b/>
          <w:bCs/>
        </w:rPr>
        <w:t xml:space="preserve">Recommendations for the future </w:t>
      </w:r>
      <w:r w:rsidR="003D545B" w:rsidRPr="00093933">
        <w:rPr>
          <w:rFonts w:cs="Arial"/>
          <w:b/>
          <w:bCs/>
        </w:rPr>
        <w:t>Research</w:t>
      </w:r>
    </w:p>
    <w:p w14:paraId="774C4223" w14:textId="5450B934" w:rsidR="00EF229D" w:rsidRPr="00EF229D" w:rsidRDefault="00D4598B" w:rsidP="00D4598B">
      <w:pPr>
        <w:rPr>
          <w:rFonts w:cs="Arial"/>
          <w:sz w:val="20"/>
          <w:szCs w:val="20"/>
        </w:rPr>
      </w:pPr>
      <w:r w:rsidRPr="00EF229D">
        <w:rPr>
          <w:rFonts w:cs="Arial"/>
          <w:sz w:val="20"/>
          <w:szCs w:val="20"/>
        </w:rPr>
        <w:t>Further studies may involve interviews or surveys of Entain customers both online and on the retail platform to have a first-hand experience of customer perceptions. This could be strengthened by comparative research with other UK gambling operators or longitudinal research that looks at the change of customer behaviour over time.</w:t>
      </w:r>
      <w:sdt>
        <w:sdtPr>
          <w:rPr>
            <w:rFonts w:cs="Arial"/>
            <w:sz w:val="20"/>
            <w:szCs w:val="20"/>
          </w:rPr>
          <w:id w:val="-1936203930"/>
          <w:citation/>
        </w:sdtPr>
        <w:sdtEndPr/>
        <w:sdtContent>
          <w:r w:rsidR="004F2026" w:rsidRPr="00EF229D">
            <w:rPr>
              <w:rFonts w:cs="Arial"/>
              <w:sz w:val="20"/>
              <w:szCs w:val="20"/>
            </w:rPr>
            <w:fldChar w:fldCharType="begin"/>
          </w:r>
          <w:r w:rsidR="004F2026" w:rsidRPr="00EF229D">
            <w:rPr>
              <w:rFonts w:cs="Arial"/>
              <w:sz w:val="20"/>
              <w:szCs w:val="20"/>
            </w:rPr>
            <w:instrText xml:space="preserve"> CITATION Gai20 \l 16393 </w:instrText>
          </w:r>
          <w:r w:rsidR="004F2026" w:rsidRPr="00EF229D">
            <w:rPr>
              <w:rFonts w:cs="Arial"/>
              <w:sz w:val="20"/>
              <w:szCs w:val="20"/>
            </w:rPr>
            <w:fldChar w:fldCharType="separate"/>
          </w:r>
          <w:r w:rsidR="004F2026" w:rsidRPr="00EF229D">
            <w:rPr>
              <w:rFonts w:cs="Arial"/>
              <w:sz w:val="20"/>
              <w:szCs w:val="20"/>
            </w:rPr>
            <w:t xml:space="preserve"> (Gainsbury, 2020)</w:t>
          </w:r>
          <w:r w:rsidR="004F2026" w:rsidRPr="00EF229D">
            <w:rPr>
              <w:rFonts w:cs="Arial"/>
              <w:sz w:val="20"/>
              <w:szCs w:val="20"/>
            </w:rPr>
            <w:fldChar w:fldCharType="end"/>
          </w:r>
        </w:sdtContent>
      </w:sdt>
    </w:p>
    <w:p w14:paraId="58171622" w14:textId="36D2E3CE" w:rsidR="00EE2BF0" w:rsidRDefault="00EE2BF0" w:rsidP="00EE2BF0">
      <w:pPr>
        <w:tabs>
          <w:tab w:val="num" w:pos="720"/>
        </w:tabs>
        <w:rPr>
          <w:rFonts w:cs="Arial"/>
          <w:b/>
          <w:bCs/>
        </w:rPr>
      </w:pPr>
      <w:r w:rsidRPr="00EE2BF0">
        <w:rPr>
          <w:rFonts w:cs="Arial"/>
          <w:b/>
          <w:bCs/>
        </w:rPr>
        <w:t>5.6 Conclusion</w:t>
      </w:r>
    </w:p>
    <w:p w14:paraId="28A58084" w14:textId="5E251C23" w:rsidR="00EE2BF0" w:rsidRDefault="009548D7" w:rsidP="009548D7">
      <w:pPr>
        <w:rPr>
          <w:rFonts w:cs="Arial"/>
          <w:sz w:val="20"/>
          <w:szCs w:val="20"/>
        </w:rPr>
      </w:pPr>
      <w:r w:rsidRPr="00EF229D">
        <w:rPr>
          <w:rFonts w:cs="Arial"/>
          <w:sz w:val="20"/>
          <w:szCs w:val="20"/>
        </w:rPr>
        <w:t>This case study concludes that the responsible gambling efforts of Entain plc on the online and retail platforms can have a positive impact on consumer trust, long-term customer loyalty in case they are applied on a regular basis and communicated. Although the research needs more work, the results indicate the significance of responsible gambling approaches that are customer-centric in the functioning of Entain.</w:t>
      </w:r>
      <w:sdt>
        <w:sdtPr>
          <w:rPr>
            <w:rFonts w:cs="Arial"/>
            <w:sz w:val="20"/>
            <w:szCs w:val="20"/>
          </w:rPr>
          <w:id w:val="-1239471197"/>
          <w:citation/>
        </w:sdtPr>
        <w:sdtEndPr/>
        <w:sdtContent>
          <w:r w:rsidR="00B46218" w:rsidRPr="00EF229D">
            <w:rPr>
              <w:rFonts w:cs="Arial"/>
              <w:sz w:val="20"/>
              <w:szCs w:val="20"/>
            </w:rPr>
            <w:fldChar w:fldCharType="begin"/>
          </w:r>
          <w:r w:rsidR="00B46218" w:rsidRPr="00EF229D">
            <w:rPr>
              <w:rFonts w:cs="Arial"/>
              <w:sz w:val="20"/>
              <w:szCs w:val="20"/>
            </w:rPr>
            <w:instrText xml:space="preserve"> CITATION Bry16 \l 16393 </w:instrText>
          </w:r>
          <w:r w:rsidR="00B46218" w:rsidRPr="00EF229D">
            <w:rPr>
              <w:rFonts w:cs="Arial"/>
              <w:sz w:val="20"/>
              <w:szCs w:val="20"/>
            </w:rPr>
            <w:fldChar w:fldCharType="separate"/>
          </w:r>
          <w:r w:rsidR="00B46218" w:rsidRPr="00EF229D">
            <w:rPr>
              <w:rFonts w:cs="Arial"/>
              <w:sz w:val="20"/>
              <w:szCs w:val="20"/>
            </w:rPr>
            <w:t xml:space="preserve"> (Bryman, 2016)</w:t>
          </w:r>
          <w:r w:rsidR="00B46218" w:rsidRPr="00EF229D">
            <w:rPr>
              <w:rFonts w:cs="Arial"/>
              <w:sz w:val="20"/>
              <w:szCs w:val="20"/>
            </w:rPr>
            <w:fldChar w:fldCharType="end"/>
          </w:r>
        </w:sdtContent>
      </w:sdt>
    </w:p>
    <w:p w14:paraId="346B9D2A" w14:textId="77777777" w:rsidR="00B64026" w:rsidRDefault="00B64026" w:rsidP="009548D7">
      <w:pPr>
        <w:rPr>
          <w:rFonts w:cs="Arial"/>
          <w:sz w:val="20"/>
          <w:szCs w:val="20"/>
        </w:rPr>
      </w:pPr>
    </w:p>
    <w:p w14:paraId="07C79CCD" w14:textId="77777777" w:rsidR="00B64026" w:rsidRDefault="00B64026" w:rsidP="009548D7">
      <w:pPr>
        <w:rPr>
          <w:rFonts w:cs="Arial"/>
          <w:sz w:val="20"/>
          <w:szCs w:val="20"/>
        </w:rPr>
      </w:pPr>
    </w:p>
    <w:p w14:paraId="481DC9B4" w14:textId="77777777" w:rsidR="00B64026" w:rsidRDefault="00B64026" w:rsidP="009548D7">
      <w:pPr>
        <w:rPr>
          <w:rFonts w:cs="Arial"/>
          <w:sz w:val="20"/>
          <w:szCs w:val="20"/>
        </w:rPr>
      </w:pPr>
    </w:p>
    <w:p w14:paraId="73261DF1" w14:textId="77777777" w:rsidR="00B64026" w:rsidRDefault="00B64026" w:rsidP="009548D7">
      <w:pPr>
        <w:rPr>
          <w:rFonts w:cs="Arial"/>
          <w:sz w:val="20"/>
          <w:szCs w:val="20"/>
        </w:rPr>
      </w:pPr>
    </w:p>
    <w:p w14:paraId="7895D18C" w14:textId="77777777" w:rsidR="00537681" w:rsidRDefault="00537681" w:rsidP="009548D7">
      <w:pPr>
        <w:rPr>
          <w:rFonts w:cs="Arial"/>
          <w:sz w:val="20"/>
          <w:szCs w:val="20"/>
        </w:rPr>
      </w:pPr>
    </w:p>
    <w:p w14:paraId="7551AFAF" w14:textId="7C3A1817" w:rsidR="00B64026" w:rsidRDefault="00B64026" w:rsidP="009548D7">
      <w:pPr>
        <w:rPr>
          <w:rFonts w:cs="Arial"/>
          <w:b/>
          <w:bCs/>
          <w:sz w:val="24"/>
          <w:szCs w:val="24"/>
        </w:rPr>
      </w:pPr>
      <w:r w:rsidRPr="00B64026">
        <w:rPr>
          <w:rFonts w:cs="Arial"/>
          <w:b/>
          <w:bCs/>
          <w:sz w:val="24"/>
          <w:szCs w:val="24"/>
        </w:rPr>
        <w:t>6. Conclusion</w:t>
      </w:r>
    </w:p>
    <w:p w14:paraId="16933730" w14:textId="1E257130" w:rsidR="00B56CCB" w:rsidRDefault="00B56CCB" w:rsidP="00B56CCB">
      <w:pPr>
        <w:rPr>
          <w:rFonts w:cs="Arial"/>
          <w:sz w:val="20"/>
          <w:szCs w:val="20"/>
        </w:rPr>
      </w:pPr>
      <w:r w:rsidRPr="00B56CCB">
        <w:rPr>
          <w:rFonts w:cs="Arial"/>
          <w:sz w:val="20"/>
          <w:szCs w:val="20"/>
        </w:rPr>
        <w:lastRenderedPageBreak/>
        <w:t xml:space="preserve">This dissertation </w:t>
      </w:r>
      <w:r w:rsidRPr="00B56CCB">
        <w:rPr>
          <w:rFonts w:cs="Arial"/>
          <w:sz w:val="20"/>
          <w:szCs w:val="20"/>
        </w:rPr>
        <w:t>analysed</w:t>
      </w:r>
      <w:r w:rsidRPr="00B56CCB">
        <w:rPr>
          <w:rFonts w:cs="Arial"/>
          <w:sz w:val="20"/>
          <w:szCs w:val="20"/>
        </w:rPr>
        <w:t xml:space="preserve"> the impact that responsible gambling (RG) programs have on customer loyalty in the United Kingdom gambling industry using Entain plc as a case study. It fills a recognized gap in the current academic literature by examining RG as a source of harm reduction as well as a strategic precondition of trust and long-term customer relationships to a highly regulated environment.</w:t>
      </w:r>
    </w:p>
    <w:p w14:paraId="6273A1C9" w14:textId="130F2571" w:rsidR="00B56CCB" w:rsidRPr="00B56CCB" w:rsidRDefault="00B56CCB" w:rsidP="00B56CCB">
      <w:pPr>
        <w:rPr>
          <w:rFonts w:cs="Arial"/>
          <w:sz w:val="20"/>
          <w:szCs w:val="20"/>
        </w:rPr>
      </w:pPr>
      <w:r w:rsidRPr="00B56CCB">
        <w:rPr>
          <w:rFonts w:cs="Arial"/>
          <w:sz w:val="20"/>
          <w:szCs w:val="20"/>
        </w:rPr>
        <w:t xml:space="preserve">In theory, the proposed study will make contributions to the existing body of knowledge on responsible gambling and relationship marketing by empirically establishing trust as a central mediating variable between RG initiatives and customer loyalty. Scholarship has mainly focused on discrete behavioural outcomes in the past including reduction of expenditures or frequency of gambling. On the other hand, the present study places RG in a larger context of trust based and </w:t>
      </w:r>
      <w:r w:rsidRPr="00B56CCB">
        <w:rPr>
          <w:rFonts w:cs="Arial"/>
          <w:sz w:val="20"/>
          <w:szCs w:val="20"/>
        </w:rPr>
        <w:t>stakeholder-oriented</w:t>
      </w:r>
      <w:r w:rsidRPr="00B56CCB">
        <w:rPr>
          <w:rFonts w:cs="Arial"/>
          <w:sz w:val="20"/>
          <w:szCs w:val="20"/>
        </w:rPr>
        <w:t xml:space="preserve"> frameworks.</w:t>
      </w:r>
    </w:p>
    <w:p w14:paraId="256E1D04" w14:textId="77777777" w:rsidR="00B56CCB" w:rsidRPr="00B56CCB" w:rsidRDefault="00B56CCB" w:rsidP="00B56CCB">
      <w:pPr>
        <w:rPr>
          <w:rFonts w:cs="Arial"/>
          <w:sz w:val="20"/>
          <w:szCs w:val="20"/>
        </w:rPr>
      </w:pPr>
      <w:r w:rsidRPr="00B56CCB">
        <w:rPr>
          <w:rFonts w:cs="Arial"/>
          <w:sz w:val="20"/>
          <w:szCs w:val="20"/>
        </w:rPr>
        <w:t>In a practical sense, the results provide practical advice to casino operators. To begin with, RG initiatives have to be part of the core business strategy and not regarded as compliance requirements. Other programmes, including personalised feedback mechanisms, risk-based interventions, and affordability checks are more effective as supportive programmes. Second, operators should put the investment into staff training to provide the reliability of the delivery of RG interactions in the digital and retail channel with empathy. Third, openness in communication, such as the explanation of the logic of interventions and customer data usage, can significantly affect the development of trust and reduce suspicions of unfair limitation. Together, these practices would help operators to balance between customer protection and commercial sustainability.</w:t>
      </w:r>
    </w:p>
    <w:p w14:paraId="3E3E4E30" w14:textId="77777777" w:rsidR="00B56CCB" w:rsidRPr="00B56CCB" w:rsidRDefault="00B56CCB" w:rsidP="00B56CCB">
      <w:pPr>
        <w:rPr>
          <w:rFonts w:cs="Arial"/>
          <w:sz w:val="20"/>
          <w:szCs w:val="20"/>
        </w:rPr>
      </w:pPr>
      <w:r w:rsidRPr="00B56CCB">
        <w:rPr>
          <w:rFonts w:cs="Arial"/>
          <w:sz w:val="20"/>
          <w:szCs w:val="20"/>
        </w:rPr>
        <w:t>The research also gives pertinent policy implications to policy makers and regulators. The indications are that regulatory systems ought to be inclined towards risk based, proportionate RG strategies and not blanket controls. The policymakers could benefit by supporting the standards that emphasise early intervention, behavioural understanding, and evidence-based instruments, allowing operators to exercise flexibility in its implementation. The promotion of cooperation between the regulatory bodies, the treatment providers, and the industry stakeholders can also strengthen the trust in regulatory frameworks and increase the RG efficacy.</w:t>
      </w:r>
    </w:p>
    <w:p w14:paraId="7B7A12D9" w14:textId="77777777" w:rsidR="00B56CCB" w:rsidRPr="00B56CCB" w:rsidRDefault="00B56CCB" w:rsidP="00B56CCB">
      <w:pPr>
        <w:rPr>
          <w:rFonts w:cs="Arial"/>
          <w:sz w:val="20"/>
          <w:szCs w:val="20"/>
        </w:rPr>
      </w:pPr>
      <w:r w:rsidRPr="00B56CCB">
        <w:rPr>
          <w:rFonts w:cs="Arial"/>
          <w:sz w:val="20"/>
          <w:szCs w:val="20"/>
        </w:rPr>
        <w:t>In the social perspective, the study highlights the macro-level advantages of effective RG strategies. RG initiatives reduce the individual well-being of individuals and social costs related to problem gambling by reducing gambling-related damage and encouraging less harmful gambling practices. As long as the customers believe that the operators are responsible, more confidence in the gambling industry and the regulatory apparatus is enhanced, thus sustaining the legitimacy of the population and social sustainability.</w:t>
      </w:r>
    </w:p>
    <w:p w14:paraId="74E81C08" w14:textId="77777777" w:rsidR="00B56CCB" w:rsidRDefault="00B56CCB" w:rsidP="00B56CCB">
      <w:pPr>
        <w:rPr>
          <w:rFonts w:cs="Arial"/>
          <w:sz w:val="20"/>
          <w:szCs w:val="20"/>
        </w:rPr>
      </w:pPr>
      <w:r w:rsidRPr="00B56CCB">
        <w:rPr>
          <w:rFonts w:cs="Arial"/>
          <w:sz w:val="20"/>
          <w:szCs w:val="20"/>
        </w:rPr>
        <w:t xml:space="preserve">The current study is limited by its use of secondary data and consideration of a single organisation though it has its merits. The insights may be further extended in future studies by using primary data of gamblers, making comparative study of various jurisdictions or studying the results of </w:t>
      </w:r>
      <w:proofErr w:type="gramStart"/>
      <w:r w:rsidRPr="00B56CCB">
        <w:rPr>
          <w:rFonts w:cs="Arial"/>
          <w:sz w:val="20"/>
          <w:szCs w:val="20"/>
        </w:rPr>
        <w:t>long term</w:t>
      </w:r>
      <w:proofErr w:type="gramEnd"/>
      <w:r w:rsidRPr="00B56CCB">
        <w:rPr>
          <w:rFonts w:cs="Arial"/>
          <w:sz w:val="20"/>
          <w:szCs w:val="20"/>
        </w:rPr>
        <w:t xml:space="preserve"> behaviour and attitudes.</w:t>
      </w:r>
    </w:p>
    <w:p w14:paraId="38C068BD" w14:textId="72CB1B6D" w:rsidR="000C179C" w:rsidRPr="00C6082A" w:rsidRDefault="00B56CCB" w:rsidP="00B56CCB">
      <w:pPr>
        <w:rPr>
          <w:rFonts w:cs="Arial"/>
          <w:sz w:val="20"/>
          <w:szCs w:val="20"/>
        </w:rPr>
      </w:pPr>
      <w:r w:rsidRPr="00B56CCB">
        <w:rPr>
          <w:rFonts w:cs="Arial"/>
          <w:sz w:val="20"/>
          <w:szCs w:val="20"/>
        </w:rPr>
        <w:t>Overall, this dissertation proves the fact that responsible gambling programs, implemented in an authentic and strategic manner, can be valuable in theory, practice, and society. Therefore, RG needs not only to be viewed as an obligatory restriction but also as a core of trust-based and sustainable gambling activities.</w:t>
      </w:r>
    </w:p>
    <w:p w14:paraId="33AF2D7E" w14:textId="77777777" w:rsidR="005B03BA" w:rsidRPr="00EF229D" w:rsidRDefault="005B03BA" w:rsidP="00EF229D">
      <w:pPr>
        <w:rPr>
          <w:rFonts w:cs="Arial"/>
          <w:sz w:val="20"/>
          <w:szCs w:val="20"/>
        </w:rPr>
      </w:pPr>
    </w:p>
    <w:p w14:paraId="27E03123" w14:textId="0F93DDD3" w:rsidR="00BA73CA" w:rsidRPr="00EF229D" w:rsidRDefault="00A26423" w:rsidP="00A2340A">
      <w:pPr>
        <w:rPr>
          <w:rFonts w:cs="Arial"/>
          <w:sz w:val="20"/>
          <w:szCs w:val="20"/>
        </w:rPr>
      </w:pPr>
      <w:r w:rsidRPr="00EF229D">
        <w:rPr>
          <w:rFonts w:cs="Arial"/>
          <w:sz w:val="20"/>
          <w:szCs w:val="20"/>
        </w:rPr>
        <w:t xml:space="preserve"> </w:t>
      </w:r>
    </w:p>
    <w:p w14:paraId="694C4BB0" w14:textId="77777777" w:rsidR="00AF1366" w:rsidRPr="00EF229D" w:rsidRDefault="00AF1366" w:rsidP="00A511C4">
      <w:pPr>
        <w:rPr>
          <w:rFonts w:cs="Arial"/>
          <w:sz w:val="20"/>
          <w:szCs w:val="20"/>
        </w:rPr>
      </w:pPr>
    </w:p>
    <w:p w14:paraId="31057DDF" w14:textId="77777777" w:rsidR="009A339C" w:rsidRPr="0070170D" w:rsidRDefault="009A339C" w:rsidP="0070170D"/>
    <w:p w14:paraId="35CDE9C7" w14:textId="77777777" w:rsidR="00E77CDA" w:rsidRPr="006E4795" w:rsidRDefault="00E77CDA" w:rsidP="005102F7">
      <w:pPr>
        <w:tabs>
          <w:tab w:val="num" w:pos="720"/>
        </w:tabs>
        <w:rPr>
          <w:rFonts w:cs="Arial"/>
          <w:sz w:val="20"/>
          <w:szCs w:val="20"/>
        </w:rPr>
      </w:pPr>
    </w:p>
    <w:sdt>
      <w:sdtPr>
        <w:id w:val="-1951696180"/>
        <w:docPartObj>
          <w:docPartGallery w:val="Bibliographies"/>
          <w:docPartUnique/>
        </w:docPartObj>
      </w:sdtPr>
      <w:sdtEndPr>
        <w:rPr>
          <w:rFonts w:asciiTheme="minorHAnsi" w:eastAsiaTheme="minorHAnsi" w:hAnsiTheme="minorHAnsi" w:cstheme="minorBidi"/>
          <w:color w:val="auto"/>
          <w:sz w:val="22"/>
          <w:szCs w:val="22"/>
        </w:rPr>
      </w:sdtEndPr>
      <w:sdtContent>
        <w:p w14:paraId="00E9637C" w14:textId="4A1FED0E" w:rsidR="00253EDE" w:rsidRPr="00253EDE" w:rsidRDefault="00253EDE">
          <w:pPr>
            <w:pStyle w:val="Heading1"/>
            <w:rPr>
              <w:rFonts w:asciiTheme="minorHAnsi" w:eastAsiaTheme="minorHAnsi" w:hAnsiTheme="minorHAnsi" w:cs="Arial"/>
              <w:b/>
              <w:bCs/>
              <w:color w:val="auto"/>
              <w:sz w:val="24"/>
              <w:szCs w:val="24"/>
            </w:rPr>
          </w:pPr>
          <w:r w:rsidRPr="00253EDE">
            <w:rPr>
              <w:rFonts w:asciiTheme="minorHAnsi" w:eastAsiaTheme="minorHAnsi" w:hAnsiTheme="minorHAnsi" w:cs="Arial"/>
              <w:b/>
              <w:bCs/>
              <w:color w:val="auto"/>
              <w:sz w:val="24"/>
              <w:szCs w:val="24"/>
            </w:rPr>
            <w:t>References</w:t>
          </w:r>
        </w:p>
        <w:sdt>
          <w:sdtPr>
            <w:id w:val="-573587230"/>
            <w:bibliography/>
          </w:sdtPr>
          <w:sdtEndPr>
            <w:rPr>
              <w:rFonts w:eastAsiaTheme="minorHAnsi"/>
              <w:kern w:val="2"/>
              <w:lang w:val="en-IN"/>
              <w14:ligatures w14:val="standardContextual"/>
            </w:rPr>
          </w:sdtEndPr>
          <w:sdtContent>
            <w:p w14:paraId="0B9C366D" w14:textId="77777777" w:rsidR="00253EDE" w:rsidRDefault="00253EDE" w:rsidP="00253EDE">
              <w:pPr>
                <w:pStyle w:val="Bibliography"/>
                <w:rPr>
                  <w:noProof/>
                  <w:sz w:val="24"/>
                  <w:szCs w:val="24"/>
                </w:rPr>
              </w:pPr>
              <w:r>
                <w:fldChar w:fldCharType="begin"/>
              </w:r>
              <w:r>
                <w:instrText xml:space="preserve"> BIBLIOGRAPHY </w:instrText>
              </w:r>
              <w:r>
                <w:fldChar w:fldCharType="separate"/>
              </w:r>
              <w:r>
                <w:rPr>
                  <w:noProof/>
                </w:rPr>
                <w:t xml:space="preserve">Ahmad, R., 2023. Social exchange theory: A systematic review and future research directions. </w:t>
              </w:r>
              <w:r>
                <w:rPr>
                  <w:i/>
                  <w:iCs/>
                  <w:noProof/>
                </w:rPr>
                <w:t xml:space="preserve">Frontiers in Psychology, </w:t>
              </w:r>
              <w:r>
                <w:rPr>
                  <w:noProof/>
                </w:rPr>
                <w:t>Volume 13, p. 1015921.</w:t>
              </w:r>
            </w:p>
            <w:p w14:paraId="02E0BB15" w14:textId="77777777" w:rsidR="00253EDE" w:rsidRDefault="00253EDE" w:rsidP="00253EDE">
              <w:pPr>
                <w:pStyle w:val="Bibliography"/>
                <w:rPr>
                  <w:noProof/>
                </w:rPr>
              </w:pPr>
              <w:r>
                <w:rPr>
                  <w:noProof/>
                </w:rPr>
                <w:t xml:space="preserve">Alkassim, R. S. M. S. A. E. I., 2016. Comparison of convenience sampling and purposive sampling. </w:t>
              </w:r>
              <w:r>
                <w:rPr>
                  <w:i/>
                  <w:iCs/>
                  <w:noProof/>
                </w:rPr>
                <w:t xml:space="preserve">American Journal of Theoretical and Applied Statistics, </w:t>
              </w:r>
              <w:r>
                <w:rPr>
                  <w:noProof/>
                </w:rPr>
                <w:t>5(1), p. 1–4.</w:t>
              </w:r>
            </w:p>
            <w:p w14:paraId="0275D30C" w14:textId="77777777" w:rsidR="00253EDE" w:rsidRDefault="00253EDE" w:rsidP="00253EDE">
              <w:pPr>
                <w:pStyle w:val="Bibliography"/>
                <w:rPr>
                  <w:noProof/>
                </w:rPr>
              </w:pPr>
              <w:r>
                <w:rPr>
                  <w:noProof/>
                </w:rPr>
                <w:t xml:space="preserve">Anon., 01 Feb 2023. </w:t>
              </w:r>
              <w:r>
                <w:rPr>
                  <w:i/>
                  <w:iCs/>
                  <w:noProof/>
                </w:rPr>
                <w:t xml:space="preserve">Entain. </w:t>
              </w:r>
              <w:r>
                <w:rPr>
                  <w:noProof/>
                </w:rPr>
                <w:t xml:space="preserve">[Online] </w:t>
              </w:r>
              <w:r>
                <w:rPr>
                  <w:noProof/>
                </w:rPr>
                <w:br/>
                <w:t xml:space="preserve">Available at: </w:t>
              </w:r>
              <w:r>
                <w:rPr>
                  <w:noProof/>
                  <w:u w:val="single"/>
                </w:rPr>
                <w:t>https://www.entaingroup.com/news-insights/insights/2023/protecting-players-the-entain-way/</w:t>
              </w:r>
              <w:r>
                <w:rPr>
                  <w:noProof/>
                </w:rPr>
                <w:br/>
                <w:t>[Accessed 21st Thursday August 2025].</w:t>
              </w:r>
            </w:p>
            <w:p w14:paraId="7D2E3299" w14:textId="77777777" w:rsidR="00253EDE" w:rsidRDefault="00253EDE" w:rsidP="00253EDE">
              <w:pPr>
                <w:pStyle w:val="Bibliography"/>
                <w:rPr>
                  <w:noProof/>
                </w:rPr>
              </w:pPr>
              <w:r>
                <w:rPr>
                  <w:noProof/>
                </w:rPr>
                <w:t xml:space="preserve">Anon., 2022. </w:t>
              </w:r>
              <w:r>
                <w:rPr>
                  <w:i/>
                  <w:iCs/>
                  <w:noProof/>
                </w:rPr>
                <w:t xml:space="preserve">EGBA European Gaming &amp; Betting Association. </w:t>
              </w:r>
              <w:r>
                <w:rPr>
                  <w:noProof/>
                </w:rPr>
                <w:t xml:space="preserve">[Online] </w:t>
              </w:r>
              <w:r>
                <w:rPr>
                  <w:noProof/>
                </w:rPr>
                <w:br/>
                <w:t xml:space="preserve">Available at: </w:t>
              </w:r>
              <w:r>
                <w:rPr>
                  <w:noProof/>
                  <w:u w:val="single"/>
                </w:rPr>
                <w:t>https://www.egba.eu/news-post/entain-advanced-responsibility-care-arc/</w:t>
              </w:r>
              <w:r>
                <w:rPr>
                  <w:noProof/>
                </w:rPr>
                <w:br/>
                <w:t>[Accessed 15th Friday August 2025].</w:t>
              </w:r>
            </w:p>
            <w:p w14:paraId="7058141B" w14:textId="77777777" w:rsidR="00253EDE" w:rsidRDefault="00253EDE" w:rsidP="00253EDE">
              <w:pPr>
                <w:pStyle w:val="Bibliography"/>
                <w:rPr>
                  <w:noProof/>
                </w:rPr>
              </w:pPr>
              <w:r>
                <w:rPr>
                  <w:noProof/>
                </w:rPr>
                <w:t xml:space="preserve">Anon., 2023. </w:t>
              </w:r>
              <w:r>
                <w:rPr>
                  <w:i/>
                  <w:iCs/>
                  <w:noProof/>
                </w:rPr>
                <w:t xml:space="preserve">Entain. </w:t>
              </w:r>
              <w:r>
                <w:rPr>
                  <w:noProof/>
                </w:rPr>
                <w:t xml:space="preserve">[Online] </w:t>
              </w:r>
              <w:r>
                <w:rPr>
                  <w:noProof/>
                </w:rPr>
                <w:br/>
                <w:t xml:space="preserve">Available at: </w:t>
              </w:r>
              <w:r>
                <w:rPr>
                  <w:noProof/>
                  <w:u w:val="single"/>
                </w:rPr>
                <w:t>https://www.entaingroup.com/news-insights/insights/2023/protecting-players-the-entain-way/</w:t>
              </w:r>
              <w:r>
                <w:rPr>
                  <w:noProof/>
                </w:rPr>
                <w:br/>
                <w:t>[Accessed wednesday 20th August August 2025].</w:t>
              </w:r>
            </w:p>
            <w:p w14:paraId="7E08442B" w14:textId="77777777" w:rsidR="00253EDE" w:rsidRDefault="00253EDE" w:rsidP="00253EDE">
              <w:pPr>
                <w:pStyle w:val="Bibliography"/>
                <w:rPr>
                  <w:noProof/>
                </w:rPr>
              </w:pPr>
              <w:r>
                <w:rPr>
                  <w:noProof/>
                </w:rPr>
                <w:t xml:space="preserve">Anon., 2025. </w:t>
              </w:r>
              <w:r>
                <w:rPr>
                  <w:i/>
                  <w:iCs/>
                  <w:noProof/>
                </w:rPr>
                <w:t xml:space="preserve">SBC NEWS. </w:t>
              </w:r>
              <w:r>
                <w:rPr>
                  <w:noProof/>
                </w:rPr>
                <w:t xml:space="preserve">[Online] </w:t>
              </w:r>
              <w:r>
                <w:rPr>
                  <w:noProof/>
                </w:rPr>
                <w:br/>
                <w:t xml:space="preserve">Available at: </w:t>
              </w:r>
              <w:r>
                <w:rPr>
                  <w:noProof/>
                  <w:u w:val="single"/>
                </w:rPr>
                <w:t>https://sbcnews.co.uk/europe/uk/2025/05/01/gamstop-sucess-uk/</w:t>
              </w:r>
              <w:r>
                <w:rPr>
                  <w:noProof/>
                </w:rPr>
                <w:br/>
                <w:t>[Accessed 20th Wednesday August 2025].</w:t>
              </w:r>
            </w:p>
            <w:p w14:paraId="1E2C2946" w14:textId="77777777" w:rsidR="00253EDE" w:rsidRDefault="00253EDE" w:rsidP="00253EDE">
              <w:pPr>
                <w:pStyle w:val="Bibliography"/>
                <w:rPr>
                  <w:noProof/>
                </w:rPr>
              </w:pPr>
              <w:r>
                <w:rPr>
                  <w:noProof/>
                </w:rPr>
                <w:t>Anon., n.d. [Online].</w:t>
              </w:r>
            </w:p>
            <w:p w14:paraId="1F381B74" w14:textId="77777777" w:rsidR="00253EDE" w:rsidRDefault="00253EDE" w:rsidP="00253EDE">
              <w:pPr>
                <w:pStyle w:val="Bibliography"/>
                <w:rPr>
                  <w:noProof/>
                </w:rPr>
              </w:pPr>
              <w:r>
                <w:rPr>
                  <w:noProof/>
                </w:rPr>
                <w:t xml:space="preserve">Association, E. G. &amp;. B., 2022. </w:t>
              </w:r>
              <w:r>
                <w:rPr>
                  <w:i/>
                  <w:iCs/>
                  <w:noProof/>
                </w:rPr>
                <w:t xml:space="preserve">Entain: Advanced Responsibility &amp; Care (ARC). </w:t>
              </w:r>
              <w:r>
                <w:rPr>
                  <w:noProof/>
                </w:rPr>
                <w:t xml:space="preserve">[Online] </w:t>
              </w:r>
              <w:r>
                <w:rPr>
                  <w:noProof/>
                </w:rPr>
                <w:br/>
                <w:t xml:space="preserve">Available at: </w:t>
              </w:r>
              <w:r>
                <w:rPr>
                  <w:noProof/>
                  <w:u w:val="single"/>
                </w:rPr>
                <w:t>https://www.egba.eu/news-post/entain-advanced-responsibility-care-arc/?</w:t>
              </w:r>
              <w:r>
                <w:rPr>
                  <w:noProof/>
                </w:rPr>
                <w:br/>
                <w:t>[Accessed 15th Novemebr 2025].</w:t>
              </w:r>
            </w:p>
            <w:p w14:paraId="4681ED62" w14:textId="77777777" w:rsidR="00253EDE" w:rsidRDefault="00253EDE" w:rsidP="00253EDE">
              <w:pPr>
                <w:pStyle w:val="Bibliography"/>
                <w:rPr>
                  <w:noProof/>
                </w:rPr>
              </w:pPr>
              <w:r>
                <w:rPr>
                  <w:noProof/>
                </w:rPr>
                <w:t xml:space="preserve">Auer, M. G. M. D., 2015. The use of personalized behavioral feedback for online gamblers: An empirical study. </w:t>
              </w:r>
              <w:r>
                <w:rPr>
                  <w:i/>
                  <w:iCs/>
                  <w:noProof/>
                </w:rPr>
                <w:t xml:space="preserve">Frontiers in Psychology, </w:t>
              </w:r>
              <w:r>
                <w:rPr>
                  <w:noProof/>
                </w:rPr>
                <w:t>Volume 6, p. 1406.</w:t>
              </w:r>
            </w:p>
            <w:p w14:paraId="017CA3F1" w14:textId="77777777" w:rsidR="00253EDE" w:rsidRDefault="00253EDE" w:rsidP="00253EDE">
              <w:pPr>
                <w:pStyle w:val="Bibliography"/>
                <w:rPr>
                  <w:noProof/>
                </w:rPr>
              </w:pPr>
              <w:r>
                <w:rPr>
                  <w:noProof/>
                </w:rPr>
                <w:t xml:space="preserve">Auer, M. G. M. D., 2016. Self-reported losses versus actual losses in online gambling: An empirical study. </w:t>
              </w:r>
              <w:r>
                <w:rPr>
                  <w:i/>
                  <w:iCs/>
                  <w:noProof/>
                </w:rPr>
                <w:t xml:space="preserve">Journal of Gambling Studies, </w:t>
              </w:r>
              <w:r>
                <w:rPr>
                  <w:noProof/>
                </w:rPr>
                <w:t>32(3), p. 795–806.</w:t>
              </w:r>
            </w:p>
            <w:p w14:paraId="25AA1823" w14:textId="77777777" w:rsidR="00253EDE" w:rsidRDefault="00253EDE" w:rsidP="00253EDE">
              <w:pPr>
                <w:pStyle w:val="Bibliography"/>
                <w:rPr>
                  <w:noProof/>
                </w:rPr>
              </w:pPr>
              <w:r>
                <w:rPr>
                  <w:noProof/>
                </w:rPr>
                <w:t xml:space="preserve">Auer, M. M. G. M. D., 2016. Personalized behavioral feedback for online gamblers: A real-world empirical study. </w:t>
              </w:r>
              <w:r>
                <w:rPr>
                  <w:i/>
                  <w:iCs/>
                  <w:noProof/>
                </w:rPr>
                <w:t xml:space="preserve">Frontiers in Psychology, </w:t>
              </w:r>
              <w:r>
                <w:rPr>
                  <w:noProof/>
                </w:rPr>
                <w:t>Volume 7, p. 1875.</w:t>
              </w:r>
            </w:p>
            <w:p w14:paraId="096CCA6A" w14:textId="77777777" w:rsidR="00253EDE" w:rsidRDefault="00253EDE" w:rsidP="00253EDE">
              <w:pPr>
                <w:pStyle w:val="Bibliography"/>
                <w:rPr>
                  <w:noProof/>
                </w:rPr>
              </w:pPr>
              <w:r>
                <w:rPr>
                  <w:noProof/>
                </w:rPr>
                <w:t xml:space="preserve">Binde, P., 2014. </w:t>
              </w:r>
              <w:r>
                <w:rPr>
                  <w:i/>
                  <w:iCs/>
                  <w:noProof/>
                </w:rPr>
                <w:t xml:space="preserve">Gambling advertising: A critical research review, </w:t>
              </w:r>
              <w:r>
                <w:rPr>
                  <w:noProof/>
                </w:rPr>
                <w:t>London: Responsible Gambling Trust.</w:t>
              </w:r>
            </w:p>
            <w:p w14:paraId="2D9DFF5E" w14:textId="77777777" w:rsidR="00253EDE" w:rsidRDefault="00253EDE" w:rsidP="00253EDE">
              <w:pPr>
                <w:pStyle w:val="Bibliography"/>
                <w:rPr>
                  <w:noProof/>
                </w:rPr>
              </w:pPr>
              <w:r>
                <w:rPr>
                  <w:noProof/>
                </w:rPr>
                <w:t xml:space="preserve">Blaszczynski, A. L. R. S. H., 2011. A science-based framework for responsible gambling. </w:t>
              </w:r>
              <w:r>
                <w:rPr>
                  <w:i/>
                  <w:iCs/>
                  <w:noProof/>
                </w:rPr>
                <w:t xml:space="preserve">Journal of Gambling Studies, </w:t>
              </w:r>
              <w:r>
                <w:rPr>
                  <w:noProof/>
                </w:rPr>
                <w:t>27(2), p. 217–230.</w:t>
              </w:r>
            </w:p>
            <w:p w14:paraId="215A737B" w14:textId="77777777" w:rsidR="00253EDE" w:rsidRDefault="00253EDE" w:rsidP="00253EDE">
              <w:pPr>
                <w:pStyle w:val="Bibliography"/>
                <w:rPr>
                  <w:noProof/>
                </w:rPr>
              </w:pPr>
              <w:r>
                <w:rPr>
                  <w:noProof/>
                </w:rPr>
                <w:t xml:space="preserve">Bowen, G. A., 2009. Document analysis as a qualitative research method. </w:t>
              </w:r>
              <w:r>
                <w:rPr>
                  <w:i/>
                  <w:iCs/>
                  <w:noProof/>
                </w:rPr>
                <w:t xml:space="preserve">Qualitative Research Journal, </w:t>
              </w:r>
              <w:r>
                <w:rPr>
                  <w:noProof/>
                </w:rPr>
                <w:t>9(2), p. 27–40.</w:t>
              </w:r>
            </w:p>
            <w:p w14:paraId="260D0BF7" w14:textId="77777777" w:rsidR="00253EDE" w:rsidRDefault="00253EDE" w:rsidP="00253EDE">
              <w:pPr>
                <w:pStyle w:val="Bibliography"/>
                <w:rPr>
                  <w:noProof/>
                </w:rPr>
              </w:pPr>
              <w:r>
                <w:rPr>
                  <w:noProof/>
                </w:rPr>
                <w:lastRenderedPageBreak/>
                <w:t xml:space="preserve">Bryman, A., 2016. </w:t>
              </w:r>
              <w:r>
                <w:rPr>
                  <w:i/>
                  <w:iCs/>
                  <w:noProof/>
                </w:rPr>
                <w:t xml:space="preserve">Social research methods. </w:t>
              </w:r>
              <w:r>
                <w:rPr>
                  <w:noProof/>
                </w:rPr>
                <w:t>5 ed. Oxford: Oxford University Press.</w:t>
              </w:r>
            </w:p>
            <w:p w14:paraId="5D90CF7E" w14:textId="77777777" w:rsidR="00253EDE" w:rsidRDefault="00253EDE" w:rsidP="00253EDE">
              <w:pPr>
                <w:pStyle w:val="Bibliography"/>
                <w:rPr>
                  <w:noProof/>
                </w:rPr>
              </w:pPr>
              <w:r>
                <w:rPr>
                  <w:noProof/>
                </w:rPr>
                <w:t xml:space="preserve">Creswell, J. W. P. C. N., 2018. </w:t>
              </w:r>
              <w:r>
                <w:rPr>
                  <w:i/>
                  <w:iCs/>
                  <w:noProof/>
                </w:rPr>
                <w:t xml:space="preserve">Qualitative inquiry and research design: Choosing among five approaches. </w:t>
              </w:r>
              <w:r>
                <w:rPr>
                  <w:noProof/>
                </w:rPr>
                <w:t>Thousand Oaks, CA: SAGE.</w:t>
              </w:r>
            </w:p>
            <w:p w14:paraId="17750548" w14:textId="77777777" w:rsidR="00253EDE" w:rsidRDefault="00253EDE" w:rsidP="00253EDE">
              <w:pPr>
                <w:pStyle w:val="Bibliography"/>
                <w:rPr>
                  <w:noProof/>
                </w:rPr>
              </w:pPr>
              <w:r>
                <w:rPr>
                  <w:noProof/>
                </w:rPr>
                <w:t xml:space="preserve">Cropanzano, R. A. E. D. S. H. A., 2017. Social exchange theory: A critical review with theoretical remedies. </w:t>
              </w:r>
              <w:r>
                <w:rPr>
                  <w:i/>
                  <w:iCs/>
                  <w:noProof/>
                </w:rPr>
                <w:t xml:space="preserve">Academy of Management Annals, </w:t>
              </w:r>
              <w:r>
                <w:rPr>
                  <w:noProof/>
                </w:rPr>
                <w:t>11(1), p. 479–516.</w:t>
              </w:r>
            </w:p>
            <w:p w14:paraId="7F58578B" w14:textId="77777777" w:rsidR="00253EDE" w:rsidRDefault="00253EDE" w:rsidP="00253EDE">
              <w:pPr>
                <w:pStyle w:val="Bibliography"/>
                <w:rPr>
                  <w:noProof/>
                </w:rPr>
              </w:pPr>
              <w:r>
                <w:rPr>
                  <w:noProof/>
                </w:rPr>
                <w:t xml:space="preserve">Dick, A. B. K., 1994. Customer loyalty: Toward an integrated conceptual framework. </w:t>
              </w:r>
              <w:r>
                <w:rPr>
                  <w:i/>
                  <w:iCs/>
                  <w:noProof/>
                </w:rPr>
                <w:t xml:space="preserve">Journal of the Academy of Marketing Science, </w:t>
              </w:r>
              <w:r>
                <w:rPr>
                  <w:noProof/>
                </w:rPr>
                <w:t>22(2), p. 99–113.</w:t>
              </w:r>
            </w:p>
            <w:p w14:paraId="7B237F21" w14:textId="77777777" w:rsidR="00253EDE" w:rsidRDefault="00253EDE" w:rsidP="00253EDE">
              <w:pPr>
                <w:pStyle w:val="Bibliography"/>
                <w:rPr>
                  <w:noProof/>
                </w:rPr>
              </w:pPr>
              <w:r>
                <w:rPr>
                  <w:noProof/>
                </w:rPr>
                <w:t xml:space="preserve">Entain plc, 2021. </w:t>
              </w:r>
              <w:r>
                <w:rPr>
                  <w:i/>
                  <w:iCs/>
                  <w:noProof/>
                </w:rPr>
                <w:t xml:space="preserve">Protecting players with ARC™, </w:t>
              </w:r>
              <w:r>
                <w:rPr>
                  <w:noProof/>
                </w:rPr>
                <w:t>London: Entain plc.</w:t>
              </w:r>
            </w:p>
            <w:p w14:paraId="1BD11D23" w14:textId="77777777" w:rsidR="00253EDE" w:rsidRDefault="00253EDE" w:rsidP="00253EDE">
              <w:pPr>
                <w:pStyle w:val="Bibliography"/>
                <w:rPr>
                  <w:noProof/>
                </w:rPr>
              </w:pPr>
              <w:r>
                <w:rPr>
                  <w:noProof/>
                </w:rPr>
                <w:t xml:space="preserve">ENTAIN PLC, 2021. </w:t>
              </w:r>
              <w:r>
                <w:rPr>
                  <w:i/>
                  <w:iCs/>
                  <w:noProof/>
                </w:rPr>
                <w:t xml:space="preserve">Protecting players with ARC™. </w:t>
              </w:r>
              <w:r>
                <w:rPr>
                  <w:noProof/>
                </w:rPr>
                <w:t xml:space="preserve">[Online] </w:t>
              </w:r>
              <w:r>
                <w:rPr>
                  <w:noProof/>
                </w:rPr>
                <w:br/>
                <w:t xml:space="preserve">Available at: </w:t>
              </w:r>
              <w:r>
                <w:rPr>
                  <w:noProof/>
                  <w:u w:val="single"/>
                </w:rPr>
                <w:t>https://www.entaingroup.com/news-insights/insights/2021/protecting-players-with-arc/</w:t>
              </w:r>
              <w:r>
                <w:rPr>
                  <w:noProof/>
                </w:rPr>
                <w:br/>
                <w:t>[Accessed tuesday,2nd december 2025].</w:t>
              </w:r>
            </w:p>
            <w:p w14:paraId="40577CD7" w14:textId="77777777" w:rsidR="00253EDE" w:rsidRDefault="00253EDE" w:rsidP="00253EDE">
              <w:pPr>
                <w:pStyle w:val="Bibliography"/>
                <w:rPr>
                  <w:noProof/>
                </w:rPr>
              </w:pPr>
              <w:r>
                <w:rPr>
                  <w:noProof/>
                </w:rPr>
                <w:t xml:space="preserve">Entain Plc, 2022. </w:t>
              </w:r>
              <w:r>
                <w:rPr>
                  <w:i/>
                  <w:iCs/>
                  <w:noProof/>
                </w:rPr>
                <w:t xml:space="preserve">Entain (Entain awarded Advanced Safer Gambling Standard). </w:t>
              </w:r>
              <w:r>
                <w:rPr>
                  <w:noProof/>
                </w:rPr>
                <w:t xml:space="preserve">[Online] </w:t>
              </w:r>
              <w:r>
                <w:rPr>
                  <w:noProof/>
                </w:rPr>
                <w:br/>
                <w:t xml:space="preserve">Available at: </w:t>
              </w:r>
              <w:r>
                <w:rPr>
                  <w:noProof/>
                  <w:u w:val="single"/>
                </w:rPr>
                <w:t>https://www.entaingroup.com/news-insights/latest-news/2022/entain-awarded-advanced-safer-gambling-standard-as-it-leads-the-industry-in-player-protection/?</w:t>
              </w:r>
              <w:r>
                <w:rPr>
                  <w:noProof/>
                </w:rPr>
                <w:br/>
                <w:t>[Accessed 15th, saturday novemebr 2025].</w:t>
              </w:r>
            </w:p>
            <w:p w14:paraId="775D15A0" w14:textId="77777777" w:rsidR="00253EDE" w:rsidRDefault="00253EDE" w:rsidP="00253EDE">
              <w:pPr>
                <w:pStyle w:val="Bibliography"/>
                <w:rPr>
                  <w:noProof/>
                </w:rPr>
              </w:pPr>
              <w:r>
                <w:rPr>
                  <w:noProof/>
                </w:rPr>
                <w:t xml:space="preserve">ENTAIN plc, 2023. </w:t>
              </w:r>
              <w:r>
                <w:rPr>
                  <w:i/>
                  <w:iCs/>
                  <w:noProof/>
                </w:rPr>
                <w:t xml:space="preserve">Annual report and accounts 2023, </w:t>
              </w:r>
              <w:r>
                <w:rPr>
                  <w:noProof/>
                </w:rPr>
                <w:t>London, United Kingdom: Entain plc.</w:t>
              </w:r>
            </w:p>
            <w:p w14:paraId="49138CF1" w14:textId="77777777" w:rsidR="00253EDE" w:rsidRDefault="00253EDE" w:rsidP="00253EDE">
              <w:pPr>
                <w:pStyle w:val="Bibliography"/>
                <w:rPr>
                  <w:noProof/>
                </w:rPr>
              </w:pPr>
              <w:r>
                <w:rPr>
                  <w:noProof/>
                </w:rPr>
                <w:t xml:space="preserve">Entain plc, 2023. </w:t>
              </w:r>
              <w:r>
                <w:rPr>
                  <w:i/>
                  <w:iCs/>
                  <w:noProof/>
                </w:rPr>
                <w:t xml:space="preserve">Entain Sustainability &amp; ESG. </w:t>
              </w:r>
              <w:r>
                <w:rPr>
                  <w:noProof/>
                </w:rPr>
                <w:t xml:space="preserve">[Online] </w:t>
              </w:r>
              <w:r>
                <w:rPr>
                  <w:noProof/>
                </w:rPr>
                <w:br/>
                <w:t xml:space="preserve">Available at: </w:t>
              </w:r>
              <w:r>
                <w:rPr>
                  <w:noProof/>
                  <w:u w:val="single"/>
                </w:rPr>
                <w:t>https://www.entaingroup.com/sustainability-esg/safer-betting-and-gaming/</w:t>
              </w:r>
              <w:r>
                <w:rPr>
                  <w:noProof/>
                </w:rPr>
                <w:br/>
                <w:t>[Accessed Friday 7th November 2025].</w:t>
              </w:r>
            </w:p>
            <w:p w14:paraId="0E12D019" w14:textId="77777777" w:rsidR="00253EDE" w:rsidRDefault="00253EDE" w:rsidP="00253EDE">
              <w:pPr>
                <w:pStyle w:val="Bibliography"/>
                <w:rPr>
                  <w:noProof/>
                </w:rPr>
              </w:pPr>
              <w:r>
                <w:rPr>
                  <w:noProof/>
                </w:rPr>
                <w:t xml:space="preserve">Entain plc, 2023. </w:t>
              </w:r>
              <w:r>
                <w:rPr>
                  <w:i/>
                  <w:iCs/>
                  <w:noProof/>
                </w:rPr>
                <w:t xml:space="preserve">Protecting players the Entain way, </w:t>
              </w:r>
              <w:r>
                <w:rPr>
                  <w:noProof/>
                </w:rPr>
                <w:t>London: Entain plc.</w:t>
              </w:r>
            </w:p>
            <w:p w14:paraId="02C5FAB2" w14:textId="77777777" w:rsidR="00253EDE" w:rsidRDefault="00253EDE" w:rsidP="00253EDE">
              <w:pPr>
                <w:pStyle w:val="Bibliography"/>
                <w:rPr>
                  <w:noProof/>
                </w:rPr>
              </w:pPr>
              <w:r>
                <w:rPr>
                  <w:noProof/>
                </w:rPr>
                <w:t xml:space="preserve">Entain plc, 2023. </w:t>
              </w:r>
              <w:r>
                <w:rPr>
                  <w:i/>
                  <w:iCs/>
                  <w:noProof/>
                </w:rPr>
                <w:t xml:space="preserve">Protecting players the Entain way, </w:t>
              </w:r>
              <w:r>
                <w:rPr>
                  <w:noProof/>
                </w:rPr>
                <w:t>London: Entain plc.</w:t>
              </w:r>
            </w:p>
            <w:p w14:paraId="002F2734" w14:textId="77777777" w:rsidR="00253EDE" w:rsidRDefault="00253EDE" w:rsidP="00253EDE">
              <w:pPr>
                <w:pStyle w:val="Bibliography"/>
                <w:rPr>
                  <w:noProof/>
                </w:rPr>
              </w:pPr>
              <w:r>
                <w:rPr>
                  <w:noProof/>
                </w:rPr>
                <w:t xml:space="preserve">Entain plc, 2024. </w:t>
              </w:r>
              <w:r>
                <w:rPr>
                  <w:i/>
                  <w:iCs/>
                  <w:noProof/>
                </w:rPr>
                <w:t xml:space="preserve">Entain publishes 2023–24 ESG report, </w:t>
              </w:r>
              <w:r>
                <w:rPr>
                  <w:noProof/>
                </w:rPr>
                <w:t>London: Entain plc.</w:t>
              </w:r>
            </w:p>
            <w:p w14:paraId="2BFFB3A3" w14:textId="77777777" w:rsidR="00253EDE" w:rsidRDefault="00253EDE" w:rsidP="00253EDE">
              <w:pPr>
                <w:pStyle w:val="Bibliography"/>
                <w:rPr>
                  <w:noProof/>
                </w:rPr>
              </w:pPr>
              <w:r>
                <w:rPr>
                  <w:noProof/>
                </w:rPr>
                <w:t xml:space="preserve">Entain..plc, n.d. </w:t>
              </w:r>
              <w:r>
                <w:rPr>
                  <w:i/>
                  <w:iCs/>
                  <w:noProof/>
                </w:rPr>
                <w:t xml:space="preserve">Safer betting and gaming. </w:t>
              </w:r>
              <w:r>
                <w:rPr>
                  <w:noProof/>
                </w:rPr>
                <w:t xml:space="preserve">[Online] </w:t>
              </w:r>
              <w:r>
                <w:rPr>
                  <w:noProof/>
                </w:rPr>
                <w:br/>
                <w:t xml:space="preserve">Available at: </w:t>
              </w:r>
              <w:r>
                <w:rPr>
                  <w:noProof/>
                  <w:u w:val="single"/>
                </w:rPr>
                <w:t>https://www.entaingroup.com/sustainability-esg/safer-betting-and-gaming/</w:t>
              </w:r>
              <w:r>
                <w:rPr>
                  <w:noProof/>
                </w:rPr>
                <w:br/>
                <w:t>[Accessed 15th November 2025].</w:t>
              </w:r>
            </w:p>
            <w:p w14:paraId="0B9B321B" w14:textId="77777777" w:rsidR="00253EDE" w:rsidRDefault="00253EDE" w:rsidP="00253EDE">
              <w:pPr>
                <w:pStyle w:val="Bibliography"/>
                <w:rPr>
                  <w:noProof/>
                </w:rPr>
              </w:pPr>
              <w:r>
                <w:rPr>
                  <w:noProof/>
                </w:rPr>
                <w:t xml:space="preserve">ENTAIN, n.d. </w:t>
              </w:r>
              <w:r>
                <w:rPr>
                  <w:i/>
                  <w:iCs/>
                  <w:noProof/>
                </w:rPr>
                <w:t xml:space="preserve">ENTAIN(Safer betting and gaming). </w:t>
              </w:r>
              <w:r>
                <w:rPr>
                  <w:noProof/>
                </w:rPr>
                <w:t xml:space="preserve">[Online] </w:t>
              </w:r>
              <w:r>
                <w:rPr>
                  <w:noProof/>
                </w:rPr>
                <w:br/>
                <w:t xml:space="preserve">Available at: </w:t>
              </w:r>
              <w:r>
                <w:rPr>
                  <w:noProof/>
                  <w:u w:val="single"/>
                </w:rPr>
                <w:t>https://www.entaingroup.com/sustainability-esg/safer-betting-and-gaming/</w:t>
              </w:r>
              <w:r>
                <w:rPr>
                  <w:noProof/>
                </w:rPr>
                <w:br/>
                <w:t>[Accessed saturday november 2025].</w:t>
              </w:r>
            </w:p>
            <w:p w14:paraId="5BDDDA5F" w14:textId="77777777" w:rsidR="00253EDE" w:rsidRDefault="00253EDE" w:rsidP="00253EDE">
              <w:pPr>
                <w:pStyle w:val="Bibliography"/>
                <w:rPr>
                  <w:noProof/>
                </w:rPr>
              </w:pPr>
              <w:r>
                <w:rPr>
                  <w:noProof/>
                </w:rPr>
                <w:t xml:space="preserve">Felicity K. Lorains, S. C. &amp;. S. A. T., 2011. Prevalence of comorbid disorders in problem gambling. </w:t>
              </w:r>
              <w:r>
                <w:rPr>
                  <w:i/>
                  <w:iCs/>
                  <w:noProof/>
                </w:rPr>
                <w:t xml:space="preserve">Journal of Gambling Studies, </w:t>
              </w:r>
              <w:r>
                <w:rPr>
                  <w:noProof/>
                </w:rPr>
                <w:t>27(2), p. 189–206.</w:t>
              </w:r>
            </w:p>
            <w:p w14:paraId="690F60ED" w14:textId="77777777" w:rsidR="00253EDE" w:rsidRDefault="00253EDE" w:rsidP="00253EDE">
              <w:pPr>
                <w:pStyle w:val="Bibliography"/>
                <w:rPr>
                  <w:noProof/>
                </w:rPr>
              </w:pPr>
              <w:r>
                <w:rPr>
                  <w:noProof/>
                </w:rPr>
                <w:t xml:space="preserve">Freeman, R. E., 1984. </w:t>
              </w:r>
              <w:r>
                <w:rPr>
                  <w:i/>
                  <w:iCs/>
                  <w:noProof/>
                </w:rPr>
                <w:t xml:space="preserve">Strategic management: A stakeholder approach. </w:t>
              </w:r>
              <w:r>
                <w:rPr>
                  <w:noProof/>
                </w:rPr>
                <w:t>Boston: Pitman.</w:t>
              </w:r>
            </w:p>
            <w:p w14:paraId="0E064BF4" w14:textId="77777777" w:rsidR="00253EDE" w:rsidRDefault="00253EDE" w:rsidP="00253EDE">
              <w:pPr>
                <w:pStyle w:val="Bibliography"/>
                <w:rPr>
                  <w:noProof/>
                </w:rPr>
              </w:pPr>
              <w:r>
                <w:rPr>
                  <w:noProof/>
                </w:rPr>
                <w:t xml:space="preserve">Freeman, R. E., 2010. </w:t>
              </w:r>
              <w:r>
                <w:rPr>
                  <w:i/>
                  <w:iCs/>
                  <w:noProof/>
                </w:rPr>
                <w:t xml:space="preserve">Strategic management: A stakeholder approach.. </w:t>
              </w:r>
              <w:r>
                <w:rPr>
                  <w:noProof/>
                </w:rPr>
                <w:t>cambridge, UK: Cambridge university.</w:t>
              </w:r>
            </w:p>
            <w:p w14:paraId="229C79AD" w14:textId="77777777" w:rsidR="00253EDE" w:rsidRDefault="00253EDE" w:rsidP="00253EDE">
              <w:pPr>
                <w:pStyle w:val="Bibliography"/>
                <w:rPr>
                  <w:noProof/>
                </w:rPr>
              </w:pPr>
              <w:r>
                <w:rPr>
                  <w:noProof/>
                </w:rPr>
                <w:lastRenderedPageBreak/>
                <w:t xml:space="preserve">Gainsbury, S., 2018. Consumer attitudes towards responsible gambling tools. </w:t>
              </w:r>
              <w:r>
                <w:rPr>
                  <w:i/>
                  <w:iCs/>
                  <w:noProof/>
                </w:rPr>
                <w:t xml:space="preserve">International Gambling Studies, </w:t>
              </w:r>
              <w:r>
                <w:rPr>
                  <w:noProof/>
                </w:rPr>
                <w:t>18(3), p. 404–421.</w:t>
              </w:r>
            </w:p>
            <w:p w14:paraId="67F4B7DD" w14:textId="77777777" w:rsidR="00253EDE" w:rsidRDefault="00253EDE" w:rsidP="00253EDE">
              <w:pPr>
                <w:pStyle w:val="Bibliography"/>
                <w:rPr>
                  <w:noProof/>
                </w:rPr>
              </w:pPr>
              <w:r>
                <w:rPr>
                  <w:noProof/>
                </w:rPr>
                <w:t xml:space="preserve">Gainsbury, S. M. D. J. L. A., 2020. Use of consumer protection tools in online gambling: Evidence from players. </w:t>
              </w:r>
              <w:r>
                <w:rPr>
                  <w:i/>
                  <w:iCs/>
                  <w:noProof/>
                </w:rPr>
                <w:t xml:space="preserve">International Gambling Studies, </w:t>
              </w:r>
              <w:r>
                <w:rPr>
                  <w:noProof/>
                </w:rPr>
                <w:t>20(2), p. 1–20.</w:t>
              </w:r>
            </w:p>
            <w:p w14:paraId="323E8735" w14:textId="77777777" w:rsidR="00253EDE" w:rsidRDefault="00253EDE" w:rsidP="00253EDE">
              <w:pPr>
                <w:pStyle w:val="Bibliography"/>
                <w:rPr>
                  <w:noProof/>
                </w:rPr>
              </w:pPr>
              <w:r>
                <w:rPr>
                  <w:noProof/>
                </w:rPr>
                <w:t xml:space="preserve">GamCare, 2019. </w:t>
              </w:r>
              <w:r>
                <w:rPr>
                  <w:i/>
                  <w:iCs/>
                  <w:noProof/>
                </w:rPr>
                <w:t xml:space="preserve">Safer gambling standard consultation for industry and wider public, </w:t>
              </w:r>
              <w:r>
                <w:rPr>
                  <w:noProof/>
                </w:rPr>
                <w:t>London: GamCare.</w:t>
              </w:r>
            </w:p>
            <w:p w14:paraId="23D5C1A4" w14:textId="77777777" w:rsidR="00253EDE" w:rsidRDefault="00253EDE" w:rsidP="00253EDE">
              <w:pPr>
                <w:pStyle w:val="Bibliography"/>
                <w:rPr>
                  <w:noProof/>
                </w:rPr>
              </w:pPr>
              <w:r>
                <w:rPr>
                  <w:noProof/>
                </w:rPr>
                <w:t xml:space="preserve">GamCare, 2022. </w:t>
              </w:r>
              <w:r>
                <w:rPr>
                  <w:i/>
                  <w:iCs/>
                  <w:noProof/>
                </w:rPr>
                <w:t xml:space="preserve">GamCare. </w:t>
              </w:r>
              <w:r>
                <w:rPr>
                  <w:noProof/>
                </w:rPr>
                <w:t xml:space="preserve">[Online] </w:t>
              </w:r>
              <w:r>
                <w:rPr>
                  <w:noProof/>
                </w:rPr>
                <w:br/>
                <w:t xml:space="preserve">Available at: </w:t>
              </w:r>
              <w:r>
                <w:rPr>
                  <w:noProof/>
                  <w:u w:val="single"/>
                </w:rPr>
                <w:t>https://www.gamcare.org.uk/news-and-blog/news/gamcares-response-to-the-entain-regulation-settlement/</w:t>
              </w:r>
              <w:r>
                <w:rPr>
                  <w:noProof/>
                </w:rPr>
                <w:br/>
                <w:t>[Accessed Tuesday december 2025].</w:t>
              </w:r>
            </w:p>
            <w:p w14:paraId="5A726BB2" w14:textId="77777777" w:rsidR="00253EDE" w:rsidRDefault="00253EDE" w:rsidP="00253EDE">
              <w:pPr>
                <w:pStyle w:val="Bibliography"/>
                <w:rPr>
                  <w:noProof/>
                </w:rPr>
              </w:pPr>
              <w:r>
                <w:rPr>
                  <w:noProof/>
                </w:rPr>
                <w:t xml:space="preserve">Gamcare, 2022. </w:t>
              </w:r>
              <w:r>
                <w:rPr>
                  <w:i/>
                  <w:iCs/>
                  <w:noProof/>
                </w:rPr>
                <w:t xml:space="preserve">GamCare’s response to the Entain regulation settlement. </w:t>
              </w:r>
              <w:r>
                <w:rPr>
                  <w:noProof/>
                </w:rPr>
                <w:t xml:space="preserve">[Online] </w:t>
              </w:r>
              <w:r>
                <w:rPr>
                  <w:noProof/>
                </w:rPr>
                <w:br/>
                <w:t xml:space="preserve">Available at: </w:t>
              </w:r>
              <w:r>
                <w:rPr>
                  <w:noProof/>
                  <w:u w:val="single"/>
                </w:rPr>
                <w:t>https://www.gamcare.org.uk/news-and-blog/news/gamcares-response-to-the-entain-regulation-settlement/</w:t>
              </w:r>
              <w:r>
                <w:rPr>
                  <w:noProof/>
                </w:rPr>
                <w:br/>
                <w:t>[Accessed 15th saturday november 2025].</w:t>
              </w:r>
            </w:p>
            <w:p w14:paraId="729A7190" w14:textId="77777777" w:rsidR="00253EDE" w:rsidRDefault="00253EDE" w:rsidP="00253EDE">
              <w:pPr>
                <w:pStyle w:val="Bibliography"/>
                <w:rPr>
                  <w:noProof/>
                </w:rPr>
              </w:pPr>
              <w:r>
                <w:rPr>
                  <w:noProof/>
                </w:rPr>
                <w:t xml:space="preserve">Hancock, L. S. G., 2017. Critiquing the Reno Model I-IV International Influence on Regulators and Governments (2004–2015)— the Distorted Reality of “Responsible Gambling”. </w:t>
              </w:r>
              <w:r>
                <w:rPr>
                  <w:i/>
                  <w:iCs/>
                  <w:noProof/>
                </w:rPr>
                <w:t xml:space="preserve">International Journal of Mental Health and Addiction, </w:t>
              </w:r>
              <w:r>
                <w:rPr>
                  <w:noProof/>
                </w:rPr>
                <w:t>pp. 1151-1176.</w:t>
              </w:r>
            </w:p>
            <w:p w14:paraId="2A03A2B7" w14:textId="77777777" w:rsidR="00253EDE" w:rsidRDefault="00253EDE" w:rsidP="00253EDE">
              <w:pPr>
                <w:pStyle w:val="Bibliography"/>
                <w:rPr>
                  <w:noProof/>
                </w:rPr>
              </w:pPr>
              <w:r>
                <w:rPr>
                  <w:noProof/>
                </w:rPr>
                <w:t xml:space="preserve">Hing, N. N. E. A. M. T. G. S. M., 2021. Frontline staff perceptions of responsible gambling practices. </w:t>
              </w:r>
              <w:r>
                <w:rPr>
                  <w:i/>
                  <w:iCs/>
                  <w:noProof/>
                </w:rPr>
                <w:t xml:space="preserve">Journal of Business Ethics, </w:t>
              </w:r>
              <w:r>
                <w:rPr>
                  <w:noProof/>
                </w:rPr>
                <w:t>168(1), p. 1–15.</w:t>
              </w:r>
            </w:p>
            <w:p w14:paraId="688614A1" w14:textId="77777777" w:rsidR="00253EDE" w:rsidRDefault="00253EDE" w:rsidP="00253EDE">
              <w:pPr>
                <w:pStyle w:val="Bibliography"/>
                <w:rPr>
                  <w:noProof/>
                </w:rPr>
              </w:pPr>
              <w:r>
                <w:rPr>
                  <w:noProof/>
                </w:rPr>
                <w:t xml:space="preserve">Hing, N. N. E. R. A. M. T. G. S. M., 2021. Frontline staff perceptions of responsible gambling practices. </w:t>
              </w:r>
              <w:r>
                <w:rPr>
                  <w:i/>
                  <w:iCs/>
                  <w:noProof/>
                </w:rPr>
                <w:t xml:space="preserve">Journal of Business Ethics, </w:t>
              </w:r>
              <w:r>
                <w:rPr>
                  <w:noProof/>
                </w:rPr>
                <w:t>168(1), p. 1–15.</w:t>
              </w:r>
            </w:p>
            <w:p w14:paraId="7AD24FA2" w14:textId="77777777" w:rsidR="00253EDE" w:rsidRDefault="00253EDE" w:rsidP="00253EDE">
              <w:pPr>
                <w:pStyle w:val="Bibliography"/>
                <w:rPr>
                  <w:noProof/>
                </w:rPr>
              </w:pPr>
              <w:r>
                <w:rPr>
                  <w:noProof/>
                </w:rPr>
                <w:t xml:space="preserve">Hing, N. R. A. L. E. V. P., 2019. Does the uptake of responsible gambling tools predict gambling harm?. </w:t>
              </w:r>
              <w:r>
                <w:rPr>
                  <w:i/>
                  <w:iCs/>
                  <w:noProof/>
                </w:rPr>
                <w:t xml:space="preserve">Journal of Gambling Studies, </w:t>
              </w:r>
              <w:r>
                <w:rPr>
                  <w:noProof/>
                </w:rPr>
                <w:t>35(2).</w:t>
              </w:r>
            </w:p>
            <w:p w14:paraId="7145F04F" w14:textId="77777777" w:rsidR="00253EDE" w:rsidRDefault="00253EDE" w:rsidP="00253EDE">
              <w:pPr>
                <w:pStyle w:val="Bibliography"/>
                <w:rPr>
                  <w:noProof/>
                </w:rPr>
              </w:pPr>
              <w:r>
                <w:rPr>
                  <w:noProof/>
                </w:rPr>
                <w:t xml:space="preserve">Icek Ajzen, 1991. The theory of planned behavior. </w:t>
              </w:r>
              <w:r>
                <w:rPr>
                  <w:i/>
                  <w:iCs/>
                  <w:noProof/>
                </w:rPr>
                <w:t xml:space="preserve">Organizational Behavior and Human Decision Processes, </w:t>
              </w:r>
              <w:r>
                <w:rPr>
                  <w:noProof/>
                </w:rPr>
                <w:t>50(2), pp. 179-211.</w:t>
              </w:r>
            </w:p>
            <w:p w14:paraId="23210DA6" w14:textId="77777777" w:rsidR="00253EDE" w:rsidRDefault="00253EDE" w:rsidP="00253EDE">
              <w:pPr>
                <w:pStyle w:val="Bibliography"/>
                <w:rPr>
                  <w:noProof/>
                </w:rPr>
              </w:pPr>
              <w:r>
                <w:rPr>
                  <w:noProof/>
                </w:rPr>
                <w:t xml:space="preserve">iGaming Business, 2024. </w:t>
              </w:r>
              <w:r>
                <w:rPr>
                  <w:i/>
                  <w:iCs/>
                  <w:noProof/>
                </w:rPr>
                <w:t xml:space="preserve">Entain highlights ARC player protection outcomes, </w:t>
              </w:r>
              <w:r>
                <w:rPr>
                  <w:noProof/>
                </w:rPr>
                <w:t>London: iGaming Business.</w:t>
              </w:r>
            </w:p>
            <w:p w14:paraId="46155206" w14:textId="77777777" w:rsidR="00253EDE" w:rsidRDefault="00253EDE" w:rsidP="00253EDE">
              <w:pPr>
                <w:pStyle w:val="Bibliography"/>
                <w:rPr>
                  <w:noProof/>
                </w:rPr>
              </w:pPr>
              <w:r>
                <w:rPr>
                  <w:noProof/>
                </w:rPr>
                <w:t xml:space="preserve">Israel, M. H. I., 2006. </w:t>
              </w:r>
              <w:r>
                <w:rPr>
                  <w:i/>
                  <w:iCs/>
                  <w:noProof/>
                </w:rPr>
                <w:t xml:space="preserve">Research ethics for social scientists. </w:t>
              </w:r>
              <w:r>
                <w:rPr>
                  <w:noProof/>
                </w:rPr>
                <w:t>1 ed. London: SAGE.</w:t>
              </w:r>
            </w:p>
            <w:p w14:paraId="3AF89D47" w14:textId="77777777" w:rsidR="00253EDE" w:rsidRDefault="00253EDE" w:rsidP="00253EDE">
              <w:pPr>
                <w:pStyle w:val="Bibliography"/>
                <w:rPr>
                  <w:noProof/>
                </w:rPr>
              </w:pPr>
              <w:r>
                <w:rPr>
                  <w:noProof/>
                </w:rPr>
                <w:t xml:space="preserve">Johnston, M. P., 2017. Secondary data analysis: A method of which the time has come. </w:t>
              </w:r>
              <w:r>
                <w:rPr>
                  <w:i/>
                  <w:iCs/>
                  <w:noProof/>
                </w:rPr>
                <w:t xml:space="preserve">Qualitative and Quantitative Methods in Libraries, </w:t>
              </w:r>
              <w:r>
                <w:rPr>
                  <w:noProof/>
                </w:rPr>
                <w:t>3(3), p. 619–626.</w:t>
              </w:r>
            </w:p>
            <w:p w14:paraId="6EB67240" w14:textId="77777777" w:rsidR="00253EDE" w:rsidRDefault="00253EDE" w:rsidP="00253EDE">
              <w:pPr>
                <w:pStyle w:val="Bibliography"/>
                <w:rPr>
                  <w:noProof/>
                </w:rPr>
              </w:pPr>
              <w:r>
                <w:rPr>
                  <w:noProof/>
                </w:rPr>
                <w:t xml:space="preserve">Keith Phalp, R. W. E. A.-C. R. B.-E. S. T. S. H. J. M. E. B. K., 2021. </w:t>
              </w:r>
              <w:r>
                <w:rPr>
                  <w:i/>
                  <w:iCs/>
                  <w:noProof/>
                </w:rPr>
                <w:t xml:space="preserve">Transparency in Responsible Gambling: systematic review, </w:t>
              </w:r>
              <w:r>
                <w:rPr>
                  <w:noProof/>
                </w:rPr>
                <w:t>Bournemouth , united kingdom: BU.</w:t>
              </w:r>
            </w:p>
            <w:p w14:paraId="6849E9B3" w14:textId="77777777" w:rsidR="00253EDE" w:rsidRDefault="00253EDE" w:rsidP="00253EDE">
              <w:pPr>
                <w:pStyle w:val="Bibliography"/>
                <w:rPr>
                  <w:noProof/>
                </w:rPr>
              </w:pPr>
              <w:r>
                <w:rPr>
                  <w:noProof/>
                </w:rPr>
                <w:t xml:space="preserve">Ladouceur, R. L. R. S. H. J., 2017. Responsible gambling: A synthesis of the empirical evidence. </w:t>
              </w:r>
              <w:r>
                <w:rPr>
                  <w:i/>
                  <w:iCs/>
                  <w:noProof/>
                </w:rPr>
                <w:t xml:space="preserve">Addiction Research &amp; Theory, </w:t>
              </w:r>
              <w:r>
                <w:rPr>
                  <w:noProof/>
                </w:rPr>
                <w:t>25(3), p. 225–235.</w:t>
              </w:r>
            </w:p>
            <w:p w14:paraId="769759F5" w14:textId="77777777" w:rsidR="00253EDE" w:rsidRDefault="00253EDE" w:rsidP="00253EDE">
              <w:pPr>
                <w:pStyle w:val="Bibliography"/>
                <w:rPr>
                  <w:noProof/>
                </w:rPr>
              </w:pPr>
              <w:r>
                <w:rPr>
                  <w:noProof/>
                </w:rPr>
                <w:t xml:space="preserve">Macedo, N., 2024. </w:t>
              </w:r>
              <w:r>
                <w:rPr>
                  <w:i/>
                  <w:iCs/>
                  <w:noProof/>
                </w:rPr>
                <w:t xml:space="preserve">Entain player protection tool, </w:t>
              </w:r>
              <w:r>
                <w:rPr>
                  <w:noProof/>
                </w:rPr>
                <w:t>London: iGB.</w:t>
              </w:r>
            </w:p>
            <w:p w14:paraId="2762F55B" w14:textId="77777777" w:rsidR="00253EDE" w:rsidRDefault="00253EDE" w:rsidP="00253EDE">
              <w:pPr>
                <w:pStyle w:val="Bibliography"/>
                <w:rPr>
                  <w:noProof/>
                </w:rPr>
              </w:pPr>
              <w:r>
                <w:rPr>
                  <w:noProof/>
                </w:rPr>
                <w:lastRenderedPageBreak/>
                <w:t xml:space="preserve">Michael M Auer, M. D. G., 2016. Personalized Behavioral Feedback for Online Gamblers: A Real World Empirical Study. </w:t>
              </w:r>
              <w:r>
                <w:rPr>
                  <w:i/>
                  <w:iCs/>
                  <w:noProof/>
                </w:rPr>
                <w:t>Frontiers in psychology.</w:t>
              </w:r>
            </w:p>
            <w:p w14:paraId="1A6B6686" w14:textId="77777777" w:rsidR="00253EDE" w:rsidRDefault="00253EDE" w:rsidP="00253EDE">
              <w:pPr>
                <w:pStyle w:val="Bibliography"/>
                <w:rPr>
                  <w:noProof/>
                </w:rPr>
              </w:pPr>
              <w:r>
                <w:rPr>
                  <w:noProof/>
                </w:rPr>
                <w:t xml:space="preserve">Morgan, R. M. H. S. D., 1994. The commitment–trust theory of relationship marketing. </w:t>
              </w:r>
              <w:r>
                <w:rPr>
                  <w:i/>
                  <w:iCs/>
                  <w:noProof/>
                </w:rPr>
                <w:t xml:space="preserve">Journal of Marketing, </w:t>
              </w:r>
              <w:r>
                <w:rPr>
                  <w:noProof/>
                </w:rPr>
                <w:t>58(3), pp. 20-38.</w:t>
              </w:r>
            </w:p>
            <w:p w14:paraId="2548DA94" w14:textId="77777777" w:rsidR="00253EDE" w:rsidRDefault="00253EDE" w:rsidP="00253EDE">
              <w:pPr>
                <w:pStyle w:val="Bibliography"/>
                <w:rPr>
                  <w:noProof/>
                </w:rPr>
              </w:pPr>
              <w:r>
                <w:rPr>
                  <w:noProof/>
                </w:rPr>
                <w:t xml:space="preserve">Newall, P. W. S. T. A. W. L. C., 2022. Safer gambling tools and consumer trust. </w:t>
              </w:r>
              <w:r>
                <w:rPr>
                  <w:i/>
                  <w:iCs/>
                  <w:noProof/>
                </w:rPr>
                <w:t xml:space="preserve">Behavioral Public Policy, </w:t>
              </w:r>
              <w:r>
                <w:rPr>
                  <w:noProof/>
                </w:rPr>
                <w:t>6(3), p. 1–18.</w:t>
              </w:r>
            </w:p>
            <w:p w14:paraId="76F62692" w14:textId="77777777" w:rsidR="00253EDE" w:rsidRDefault="00253EDE" w:rsidP="00253EDE">
              <w:pPr>
                <w:pStyle w:val="Bibliography"/>
                <w:rPr>
                  <w:noProof/>
                </w:rPr>
              </w:pPr>
              <w:r>
                <w:rPr>
                  <w:noProof/>
                </w:rPr>
                <w:t xml:space="preserve">PLC, E., 2022. </w:t>
              </w:r>
              <w:r>
                <w:rPr>
                  <w:i/>
                  <w:iCs/>
                  <w:noProof/>
                </w:rPr>
                <w:t xml:space="preserve">Entain awarded Advanced Safer Gambling Standard. </w:t>
              </w:r>
              <w:r>
                <w:rPr>
                  <w:noProof/>
                </w:rPr>
                <w:t xml:space="preserve">[Online] </w:t>
              </w:r>
              <w:r>
                <w:rPr>
                  <w:noProof/>
                </w:rPr>
                <w:br/>
                <w:t xml:space="preserve">Available at: </w:t>
              </w:r>
              <w:r>
                <w:rPr>
                  <w:noProof/>
                  <w:u w:val="single"/>
                </w:rPr>
                <w:t>https://www.entaingroup.com/news-insights/latest-news/2022/entain-awarded-advanced-safer-gambling-standard-as-it-leads-the-industry-in-player-protection/</w:t>
              </w:r>
              <w:r>
                <w:rPr>
                  <w:noProof/>
                </w:rPr>
                <w:br/>
                <w:t>[Accessed 2 December 2025].</w:t>
              </w:r>
            </w:p>
            <w:p w14:paraId="5C32A1D4" w14:textId="77777777" w:rsidR="00253EDE" w:rsidRDefault="00253EDE" w:rsidP="00253EDE">
              <w:pPr>
                <w:pStyle w:val="Bibliography"/>
                <w:rPr>
                  <w:noProof/>
                </w:rPr>
              </w:pPr>
              <w:r>
                <w:rPr>
                  <w:noProof/>
                </w:rPr>
                <w:t xml:space="preserve">Racing Post, 2022. </w:t>
              </w:r>
              <w:r>
                <w:rPr>
                  <w:i/>
                  <w:iCs/>
                  <w:noProof/>
                </w:rPr>
                <w:t xml:space="preserve">Ladbrokes Coral owner Entain fined record £17 million over regulatory failures, </w:t>
              </w:r>
              <w:r>
                <w:rPr>
                  <w:noProof/>
                </w:rPr>
                <w:t>London: Racing Post.</w:t>
              </w:r>
            </w:p>
            <w:p w14:paraId="1D772659" w14:textId="77777777" w:rsidR="00253EDE" w:rsidRDefault="00253EDE" w:rsidP="00253EDE">
              <w:pPr>
                <w:pStyle w:val="Bibliography"/>
                <w:rPr>
                  <w:noProof/>
                </w:rPr>
              </w:pPr>
              <w:r>
                <w:rPr>
                  <w:noProof/>
                </w:rPr>
                <w:t xml:space="preserve">Robert Ladouceur, P. S. A. B. &amp;. H. J. S., 2016. Responsible gambling: a synthesis. </w:t>
              </w:r>
              <w:r>
                <w:rPr>
                  <w:i/>
                  <w:iCs/>
                  <w:noProof/>
                </w:rPr>
                <w:t>Addiction Research &amp; Theory.</w:t>
              </w:r>
            </w:p>
            <w:p w14:paraId="7F06E01F" w14:textId="77777777" w:rsidR="00253EDE" w:rsidRDefault="00253EDE" w:rsidP="00253EDE">
              <w:pPr>
                <w:pStyle w:val="Bibliography"/>
                <w:rPr>
                  <w:noProof/>
                </w:rPr>
              </w:pPr>
              <w:r>
                <w:rPr>
                  <w:noProof/>
                </w:rPr>
                <w:t xml:space="preserve">Robert M. Morgan, S. D. H., 1994 july. The Commitment-Trust Theory of Relationship Marketing. </w:t>
              </w:r>
              <w:r>
                <w:rPr>
                  <w:i/>
                  <w:iCs/>
                  <w:noProof/>
                </w:rPr>
                <w:t xml:space="preserve">Journal of Marketing, </w:t>
              </w:r>
              <w:r>
                <w:rPr>
                  <w:noProof/>
                </w:rPr>
                <w:t>Volume 58, pp. 20-38.</w:t>
              </w:r>
            </w:p>
            <w:p w14:paraId="45D10384" w14:textId="77777777" w:rsidR="00253EDE" w:rsidRDefault="00253EDE" w:rsidP="00253EDE">
              <w:pPr>
                <w:pStyle w:val="Bibliography"/>
                <w:rPr>
                  <w:noProof/>
                </w:rPr>
              </w:pPr>
              <w:r>
                <w:rPr>
                  <w:noProof/>
                </w:rPr>
                <w:t xml:space="preserve">Russell, A. L. E. N. V. P., 2019. Does the uptake of responsible gambling tools predict gambling harm?. </w:t>
              </w:r>
              <w:r>
                <w:rPr>
                  <w:i/>
                  <w:iCs/>
                  <w:noProof/>
                </w:rPr>
                <w:t xml:space="preserve">Journal of Gambling Studies, </w:t>
              </w:r>
              <w:r>
                <w:rPr>
                  <w:noProof/>
                </w:rPr>
                <w:t>35(2).</w:t>
              </w:r>
            </w:p>
            <w:p w14:paraId="7E80BB56" w14:textId="77777777" w:rsidR="00253EDE" w:rsidRDefault="00253EDE" w:rsidP="00253EDE">
              <w:pPr>
                <w:pStyle w:val="Bibliography"/>
                <w:rPr>
                  <w:noProof/>
                </w:rPr>
              </w:pPr>
              <w:r>
                <w:rPr>
                  <w:noProof/>
                </w:rPr>
                <w:t xml:space="preserve">Russell, A. M. T. V. P. M. H. N., 2020. Behavioural responses to gambling harm minimisation strategies. </w:t>
              </w:r>
              <w:r>
                <w:rPr>
                  <w:i/>
                  <w:iCs/>
                  <w:noProof/>
                </w:rPr>
                <w:t xml:space="preserve">Addictive Behaviors, </w:t>
              </w:r>
              <w:r>
                <w:rPr>
                  <w:noProof/>
                </w:rPr>
                <w:t>Volume 102, p. 106–118.</w:t>
              </w:r>
            </w:p>
            <w:p w14:paraId="2B9FD106" w14:textId="77777777" w:rsidR="00253EDE" w:rsidRDefault="00253EDE" w:rsidP="00253EDE">
              <w:pPr>
                <w:pStyle w:val="Bibliography"/>
                <w:rPr>
                  <w:noProof/>
                </w:rPr>
              </w:pPr>
              <w:r>
                <w:rPr>
                  <w:noProof/>
                </w:rPr>
                <w:t xml:space="preserve">Saunders, M. N. K., Lewis, P. &amp; Thornhill, A., 2023. </w:t>
              </w:r>
              <w:r>
                <w:rPr>
                  <w:i/>
                  <w:iCs/>
                  <w:noProof/>
                </w:rPr>
                <w:t xml:space="preserve">Research Methods for Business Students. </w:t>
              </w:r>
              <w:r>
                <w:rPr>
                  <w:noProof/>
                </w:rPr>
                <w:t>9 ed. Harlow / London / New York: Pearson Higher Education.</w:t>
              </w:r>
            </w:p>
            <w:p w14:paraId="2D22938B" w14:textId="77777777" w:rsidR="00253EDE" w:rsidRDefault="00253EDE" w:rsidP="00253EDE">
              <w:pPr>
                <w:pStyle w:val="Bibliography"/>
                <w:rPr>
                  <w:noProof/>
                </w:rPr>
              </w:pPr>
              <w:r>
                <w:rPr>
                  <w:noProof/>
                </w:rPr>
                <w:t xml:space="preserve">Shelby Hunt, D. M. R. M., 1994. The commitment–trust theory of relationship marketing. </w:t>
              </w:r>
              <w:r>
                <w:rPr>
                  <w:i/>
                  <w:iCs/>
                  <w:noProof/>
                </w:rPr>
                <w:t xml:space="preserve">Journal of Marketing, </w:t>
              </w:r>
              <w:r>
                <w:rPr>
                  <w:noProof/>
                </w:rPr>
                <w:t>58(3), p. 20–38.</w:t>
              </w:r>
            </w:p>
            <w:p w14:paraId="22831676" w14:textId="77777777" w:rsidR="00253EDE" w:rsidRDefault="00253EDE" w:rsidP="00253EDE">
              <w:pPr>
                <w:pStyle w:val="Bibliography"/>
                <w:rPr>
                  <w:noProof/>
                </w:rPr>
              </w:pPr>
              <w:r>
                <w:rPr>
                  <w:noProof/>
                </w:rPr>
                <w:t xml:space="preserve">Tetrevova, l., 2023. </w:t>
              </w:r>
              <w:r>
                <w:rPr>
                  <w:i/>
                  <w:iCs/>
                  <w:noProof/>
                </w:rPr>
                <w:t xml:space="preserve">A systematic review on corporate social responsibility in the gaming industry, </w:t>
              </w:r>
              <w:r>
                <w:rPr>
                  <w:noProof/>
                </w:rPr>
                <w:t>https://www.greo.ca/Modules/EvidenceCentre/files/Tetrevova%20%282023%29_Corporate%20social%20responsibility%20in%20the%20gambling%20industry_final.pdf?: Greo.</w:t>
              </w:r>
            </w:p>
            <w:p w14:paraId="1A0173FA" w14:textId="77777777" w:rsidR="00253EDE" w:rsidRDefault="00253EDE" w:rsidP="00253EDE">
              <w:pPr>
                <w:pStyle w:val="Bibliography"/>
                <w:rPr>
                  <w:noProof/>
                </w:rPr>
              </w:pPr>
              <w:r>
                <w:rPr>
                  <w:noProof/>
                </w:rPr>
                <w:t xml:space="preserve">Tetrevova, L., 2023. Corporate social responsibility in the gambling industry: A systematic review and conceptual framework. </w:t>
              </w:r>
              <w:r>
                <w:rPr>
                  <w:i/>
                  <w:iCs/>
                  <w:noProof/>
                </w:rPr>
                <w:t xml:space="preserve">International Gambling Studies, </w:t>
              </w:r>
              <w:r>
                <w:rPr>
                  <w:noProof/>
                </w:rPr>
                <w:t>Volume 23(Issue 3), pp. Pages 518-538.</w:t>
              </w:r>
            </w:p>
            <w:p w14:paraId="44CAFFC2" w14:textId="77777777" w:rsidR="00253EDE" w:rsidRDefault="00253EDE" w:rsidP="00253EDE">
              <w:pPr>
                <w:pStyle w:val="Bibliography"/>
                <w:rPr>
                  <w:noProof/>
                </w:rPr>
              </w:pPr>
              <w:r>
                <w:rPr>
                  <w:noProof/>
                </w:rPr>
                <w:t xml:space="preserve">Thomas, A. P. H. B. A. R. M., 2021. Responsible gambling communication and customer trust. </w:t>
              </w:r>
              <w:r>
                <w:rPr>
                  <w:i/>
                  <w:iCs/>
                  <w:noProof/>
                </w:rPr>
                <w:t xml:space="preserve">Journal of Consumer Policy, </w:t>
              </w:r>
              <w:r>
                <w:rPr>
                  <w:noProof/>
                </w:rPr>
                <w:t>44(2), p. 1–21.</w:t>
              </w:r>
            </w:p>
            <w:p w14:paraId="3AC28952" w14:textId="77777777" w:rsidR="00253EDE" w:rsidRDefault="00253EDE" w:rsidP="00253EDE">
              <w:pPr>
                <w:pStyle w:val="Bibliography"/>
                <w:rPr>
                  <w:noProof/>
                </w:rPr>
              </w:pPr>
              <w:r>
                <w:rPr>
                  <w:noProof/>
                </w:rPr>
                <w:t xml:space="preserve">Thornhill, A. L. P. S. M., 2019. </w:t>
              </w:r>
              <w:r>
                <w:rPr>
                  <w:i/>
                  <w:iCs/>
                  <w:noProof/>
                </w:rPr>
                <w:t xml:space="preserve">Research methods for business students. </w:t>
              </w:r>
              <w:r>
                <w:rPr>
                  <w:noProof/>
                </w:rPr>
                <w:t>8 ed. Harlow: Pearson Education.</w:t>
              </w:r>
            </w:p>
            <w:p w14:paraId="541AF271" w14:textId="77777777" w:rsidR="00253EDE" w:rsidRDefault="00253EDE" w:rsidP="00253EDE">
              <w:pPr>
                <w:pStyle w:val="Bibliography"/>
                <w:rPr>
                  <w:noProof/>
                </w:rPr>
              </w:pPr>
              <w:r>
                <w:rPr>
                  <w:noProof/>
                </w:rPr>
                <w:lastRenderedPageBreak/>
                <w:t xml:space="preserve">UK Gambling Commission, 2023. </w:t>
              </w:r>
              <w:r>
                <w:rPr>
                  <w:i/>
                  <w:iCs/>
                  <w:noProof/>
                </w:rPr>
                <w:t xml:space="preserve">Licence conditions and codes of practice, </w:t>
              </w:r>
              <w:r>
                <w:rPr>
                  <w:noProof/>
                </w:rPr>
                <w:t>Birmingham: UK Gambling Commission.</w:t>
              </w:r>
            </w:p>
            <w:p w14:paraId="28D3C938" w14:textId="77777777" w:rsidR="00253EDE" w:rsidRDefault="00253EDE" w:rsidP="00253EDE">
              <w:pPr>
                <w:pStyle w:val="Bibliography"/>
                <w:rPr>
                  <w:noProof/>
                </w:rPr>
              </w:pPr>
              <w:r>
                <w:rPr>
                  <w:noProof/>
                </w:rPr>
                <w:t xml:space="preserve">UK Gambling Commission, 2025. </w:t>
              </w:r>
              <w:r>
                <w:rPr>
                  <w:i/>
                  <w:iCs/>
                  <w:noProof/>
                </w:rPr>
                <w:t xml:space="preserve">UK Gambling Commission, </w:t>
              </w:r>
              <w:r>
                <w:rPr>
                  <w:noProof/>
                </w:rPr>
                <w:t>UK Gambling Commission: UK Gambling Commission.</w:t>
              </w:r>
            </w:p>
            <w:p w14:paraId="5FDB3FF6" w14:textId="77777777" w:rsidR="00253EDE" w:rsidRDefault="00253EDE" w:rsidP="00253EDE">
              <w:pPr>
                <w:pStyle w:val="Bibliography"/>
                <w:rPr>
                  <w:noProof/>
                </w:rPr>
              </w:pPr>
              <w:r>
                <w:rPr>
                  <w:noProof/>
                </w:rPr>
                <w:t xml:space="preserve">Vargo, S. L. L. R. F., 2008. Service-dominant logic: Continuing the evolution. </w:t>
              </w:r>
              <w:r>
                <w:rPr>
                  <w:i/>
                  <w:iCs/>
                  <w:noProof/>
                </w:rPr>
                <w:t xml:space="preserve">Journal of the Academy of Marketing Science, </w:t>
              </w:r>
              <w:r>
                <w:rPr>
                  <w:noProof/>
                </w:rPr>
                <w:t>36(1), p. 1–10.</w:t>
              </w:r>
            </w:p>
            <w:p w14:paraId="7931994E" w14:textId="77777777" w:rsidR="00253EDE" w:rsidRDefault="00253EDE" w:rsidP="00253EDE">
              <w:pPr>
                <w:pStyle w:val="Bibliography"/>
                <w:rPr>
                  <w:noProof/>
                </w:rPr>
              </w:pPr>
              <w:r>
                <w:rPr>
                  <w:noProof/>
                </w:rPr>
                <w:t xml:space="preserve">Virginia Braun, V. C., 2006. Using thematic analysis in psychology. </w:t>
              </w:r>
              <w:r>
                <w:rPr>
                  <w:i/>
                  <w:iCs/>
                  <w:noProof/>
                </w:rPr>
                <w:t xml:space="preserve">Qualitative Research in Psychology, </w:t>
              </w:r>
              <w:r>
                <w:rPr>
                  <w:noProof/>
                </w:rPr>
                <w:t>p. 77–101.</w:t>
              </w:r>
            </w:p>
            <w:p w14:paraId="7ED33679" w14:textId="77777777" w:rsidR="00253EDE" w:rsidRDefault="00253EDE" w:rsidP="00253EDE">
              <w:pPr>
                <w:pStyle w:val="Bibliography"/>
                <w:rPr>
                  <w:noProof/>
                </w:rPr>
              </w:pPr>
              <w:r>
                <w:rPr>
                  <w:noProof/>
                </w:rPr>
                <w:t xml:space="preserve">Wang, R., Bush-Evans, R., Arden-Close, E., Thomas, S., Hodge, S., McAlaney, J., Bolat, E. and Phalp, K. T., 2021. , 2021. </w:t>
              </w:r>
              <w:r>
                <w:rPr>
                  <w:i/>
                  <w:iCs/>
                  <w:noProof/>
                </w:rPr>
                <w:t xml:space="preserve">Transparency in Responsible Gambling: A Systematic Review, </w:t>
              </w:r>
              <w:r>
                <w:rPr>
                  <w:noProof/>
                </w:rPr>
                <w:t>Poole, England: Bournemouth university.</w:t>
              </w:r>
            </w:p>
            <w:p w14:paraId="07DDCAF4" w14:textId="77777777" w:rsidR="00253EDE" w:rsidRDefault="00253EDE" w:rsidP="00253EDE">
              <w:pPr>
                <w:pStyle w:val="Bibliography"/>
                <w:rPr>
                  <w:noProof/>
                </w:rPr>
              </w:pPr>
              <w:r>
                <w:rPr>
                  <w:noProof/>
                </w:rPr>
                <w:t xml:space="preserve">Wang, R. et al., 2021. </w:t>
              </w:r>
              <w:r>
                <w:rPr>
                  <w:i/>
                  <w:iCs/>
                  <w:noProof/>
                </w:rPr>
                <w:t xml:space="preserve">Transparency in Responsible Gambling: A Systematic Review, </w:t>
              </w:r>
              <w:r>
                <w:rPr>
                  <w:noProof/>
                </w:rPr>
                <w:t>Bournemouth, UK: BU.</w:t>
              </w:r>
            </w:p>
            <w:p w14:paraId="62BFA404" w14:textId="77777777" w:rsidR="00253EDE" w:rsidRDefault="00253EDE" w:rsidP="00253EDE">
              <w:pPr>
                <w:pStyle w:val="Bibliography"/>
                <w:rPr>
                  <w:noProof/>
                </w:rPr>
              </w:pPr>
              <w:r>
                <w:rPr>
                  <w:noProof/>
                </w:rPr>
                <w:t xml:space="preserve">Wardle, H. /. D. L. /. M. V. /. R. G. /. L. C. /. S. M. /. T. L. /. B. B. /. B. C. /. F. M. /. K. V. /. P. V. /. Q. J. /. R. J. /. R. A. /. S. M. /. S. J. /. S. K. /. U. D., 2024. The Lancet Public Health Commission on gambling. </w:t>
              </w:r>
              <w:r>
                <w:rPr>
                  <w:i/>
                  <w:iCs/>
                  <w:noProof/>
                </w:rPr>
                <w:t xml:space="preserve">The Lancet Public Health, </w:t>
              </w:r>
              <w:r>
                <w:rPr>
                  <w:noProof/>
                </w:rPr>
                <w:t>9(11), p. e950–e994.</w:t>
              </w:r>
            </w:p>
            <w:p w14:paraId="6D042230" w14:textId="77777777" w:rsidR="00253EDE" w:rsidRDefault="00253EDE" w:rsidP="00253EDE">
              <w:pPr>
                <w:pStyle w:val="Bibliography"/>
                <w:rPr>
                  <w:noProof/>
                </w:rPr>
              </w:pPr>
              <w:r>
                <w:rPr>
                  <w:noProof/>
                </w:rPr>
                <w:t xml:space="preserve">Wardle, H., 2020. Gambling harm and public health. </w:t>
              </w:r>
              <w:r>
                <w:rPr>
                  <w:i/>
                  <w:iCs/>
                  <w:noProof/>
                </w:rPr>
                <w:t xml:space="preserve">BMJ, </w:t>
              </w:r>
              <w:r>
                <w:rPr>
                  <w:noProof/>
                </w:rPr>
                <w:t>Volume 370, p. m3464.</w:t>
              </w:r>
            </w:p>
            <w:p w14:paraId="52A08B7D" w14:textId="77777777" w:rsidR="00253EDE" w:rsidRDefault="00253EDE" w:rsidP="00253EDE">
              <w:pPr>
                <w:pStyle w:val="Bibliography"/>
                <w:rPr>
                  <w:noProof/>
                </w:rPr>
              </w:pPr>
              <w:r>
                <w:rPr>
                  <w:noProof/>
                </w:rPr>
                <w:t xml:space="preserve">Yin, R. K., 2018. </w:t>
              </w:r>
              <w:r>
                <w:rPr>
                  <w:i/>
                  <w:iCs/>
                  <w:noProof/>
                </w:rPr>
                <w:t xml:space="preserve">Case study research and applications: Design and methods. </w:t>
              </w:r>
              <w:r>
                <w:rPr>
                  <w:noProof/>
                </w:rPr>
                <w:t>6 ed. Thousand Oaks, CA: SAGE.</w:t>
              </w:r>
            </w:p>
            <w:p w14:paraId="149A48AB" w14:textId="1041DF4B" w:rsidR="00253EDE" w:rsidRDefault="00253EDE" w:rsidP="00253EDE">
              <w:r>
                <w:rPr>
                  <w:b/>
                  <w:bCs/>
                  <w:noProof/>
                </w:rPr>
                <w:fldChar w:fldCharType="end"/>
              </w:r>
            </w:p>
          </w:sdtContent>
        </w:sdt>
      </w:sdtContent>
    </w:sdt>
    <w:p w14:paraId="78DC5628" w14:textId="77777777" w:rsidR="001C4036" w:rsidRPr="001C4036" w:rsidRDefault="001C4036" w:rsidP="005102F7">
      <w:pPr>
        <w:tabs>
          <w:tab w:val="num" w:pos="720"/>
        </w:tabs>
        <w:rPr>
          <w:rFonts w:cs="Arial"/>
          <w:b/>
          <w:bCs/>
          <w:sz w:val="24"/>
          <w:szCs w:val="24"/>
        </w:rPr>
      </w:pPr>
    </w:p>
    <w:p w14:paraId="3822D045" w14:textId="77777777" w:rsidR="001C4036" w:rsidRDefault="001C4036" w:rsidP="005102F7">
      <w:pPr>
        <w:tabs>
          <w:tab w:val="num" w:pos="720"/>
        </w:tabs>
        <w:rPr>
          <w:rFonts w:ascii="Arial" w:hAnsi="Arial" w:cs="Arial"/>
          <w:sz w:val="24"/>
          <w:szCs w:val="24"/>
        </w:rPr>
      </w:pPr>
    </w:p>
    <w:p w14:paraId="5BE9CCEB" w14:textId="77777777" w:rsidR="00E96218" w:rsidRDefault="00E96218" w:rsidP="005102F7">
      <w:pPr>
        <w:tabs>
          <w:tab w:val="num" w:pos="720"/>
        </w:tabs>
        <w:rPr>
          <w:rFonts w:ascii="Arial" w:hAnsi="Arial" w:cs="Arial"/>
          <w:sz w:val="24"/>
          <w:szCs w:val="24"/>
        </w:rPr>
      </w:pPr>
    </w:p>
    <w:p w14:paraId="1A88A7E9" w14:textId="77777777" w:rsidR="00E96218" w:rsidRDefault="00E96218" w:rsidP="005102F7">
      <w:pPr>
        <w:tabs>
          <w:tab w:val="num" w:pos="720"/>
        </w:tabs>
        <w:rPr>
          <w:rFonts w:ascii="Arial" w:hAnsi="Arial" w:cs="Arial"/>
          <w:sz w:val="24"/>
          <w:szCs w:val="24"/>
        </w:rPr>
      </w:pPr>
    </w:p>
    <w:p w14:paraId="5ED53705" w14:textId="77777777" w:rsidR="00E96218" w:rsidRDefault="00E96218" w:rsidP="005102F7">
      <w:pPr>
        <w:tabs>
          <w:tab w:val="num" w:pos="720"/>
        </w:tabs>
        <w:rPr>
          <w:rFonts w:ascii="Arial" w:hAnsi="Arial" w:cs="Arial"/>
          <w:sz w:val="24"/>
          <w:szCs w:val="24"/>
        </w:rPr>
      </w:pPr>
    </w:p>
    <w:p w14:paraId="73CC179C" w14:textId="6914ACCC" w:rsidR="0040268A" w:rsidRPr="0040268A" w:rsidRDefault="0040268A" w:rsidP="00A10F41">
      <w:pPr>
        <w:rPr>
          <w:rFonts w:ascii="Arial" w:hAnsi="Arial" w:cs="Arial"/>
        </w:rPr>
      </w:pPr>
    </w:p>
    <w:sectPr w:rsidR="0040268A" w:rsidRPr="0040268A" w:rsidSect="006B3D1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7610DE" w14:textId="77777777" w:rsidR="00362884" w:rsidRDefault="00362884" w:rsidP="0097083A">
      <w:pPr>
        <w:spacing w:after="0" w:line="240" w:lineRule="auto"/>
      </w:pPr>
      <w:r>
        <w:separator/>
      </w:r>
    </w:p>
  </w:endnote>
  <w:endnote w:type="continuationSeparator" w:id="0">
    <w:p w14:paraId="30981CF3" w14:textId="77777777" w:rsidR="00362884" w:rsidRDefault="00362884" w:rsidP="009708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6010056"/>
      <w:docPartObj>
        <w:docPartGallery w:val="Page Numbers (Bottom of Page)"/>
        <w:docPartUnique/>
      </w:docPartObj>
    </w:sdtPr>
    <w:sdtEndPr>
      <w:rPr>
        <w:noProof/>
      </w:rPr>
    </w:sdtEndPr>
    <w:sdtContent>
      <w:p w14:paraId="6F39DD72" w14:textId="65983F88" w:rsidR="009E3C55" w:rsidRDefault="009E3C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424CA6" w14:textId="77777777" w:rsidR="009E3C55" w:rsidRDefault="009E3C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5EAAB2" w14:textId="77777777" w:rsidR="00362884" w:rsidRDefault="00362884" w:rsidP="0097083A">
      <w:pPr>
        <w:spacing w:after="0" w:line="240" w:lineRule="auto"/>
      </w:pPr>
      <w:r>
        <w:separator/>
      </w:r>
    </w:p>
  </w:footnote>
  <w:footnote w:type="continuationSeparator" w:id="0">
    <w:p w14:paraId="1CEE1FD0" w14:textId="77777777" w:rsidR="00362884" w:rsidRDefault="00362884" w:rsidP="009708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96AC3"/>
    <w:multiLevelType w:val="multilevel"/>
    <w:tmpl w:val="194603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F40C90"/>
    <w:multiLevelType w:val="multilevel"/>
    <w:tmpl w:val="65EA3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F703BC"/>
    <w:multiLevelType w:val="hybridMultilevel"/>
    <w:tmpl w:val="E16EBED6"/>
    <w:lvl w:ilvl="0" w:tplc="40090003">
      <w:start w:val="1"/>
      <w:numFmt w:val="bullet"/>
      <w:lvlText w:val="o"/>
      <w:lvlJc w:val="left"/>
      <w:pPr>
        <w:ind w:left="720" w:hanging="360"/>
      </w:pPr>
      <w:rPr>
        <w:rFonts w:ascii="Courier New" w:hAnsi="Courier New" w:cs="Courier New"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A6F553D"/>
    <w:multiLevelType w:val="hybridMultilevel"/>
    <w:tmpl w:val="0CC67BAC"/>
    <w:lvl w:ilvl="0" w:tplc="40090003">
      <w:start w:val="1"/>
      <w:numFmt w:val="bullet"/>
      <w:lvlText w:val="o"/>
      <w:lvlJc w:val="left"/>
      <w:pPr>
        <w:ind w:left="720" w:hanging="360"/>
      </w:pPr>
      <w:rPr>
        <w:rFonts w:ascii="Courier New" w:hAnsi="Courier New" w:cs="Courier New"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DC119E3"/>
    <w:multiLevelType w:val="hybridMultilevel"/>
    <w:tmpl w:val="AAC4915A"/>
    <w:lvl w:ilvl="0" w:tplc="4009000B">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E916626"/>
    <w:multiLevelType w:val="multilevel"/>
    <w:tmpl w:val="F3580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5B5C12"/>
    <w:multiLevelType w:val="hybridMultilevel"/>
    <w:tmpl w:val="D250FF4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6AC4CF0"/>
    <w:multiLevelType w:val="multilevel"/>
    <w:tmpl w:val="AEF804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CC5468"/>
    <w:multiLevelType w:val="multilevel"/>
    <w:tmpl w:val="B888E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E60566F"/>
    <w:multiLevelType w:val="multilevel"/>
    <w:tmpl w:val="772E9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7C4431"/>
    <w:multiLevelType w:val="multilevel"/>
    <w:tmpl w:val="839457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37123DA"/>
    <w:multiLevelType w:val="multilevel"/>
    <w:tmpl w:val="31BC4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756A25"/>
    <w:multiLevelType w:val="multilevel"/>
    <w:tmpl w:val="AC0AA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970637"/>
    <w:multiLevelType w:val="multilevel"/>
    <w:tmpl w:val="3EFA4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876439"/>
    <w:multiLevelType w:val="multilevel"/>
    <w:tmpl w:val="6DDCF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30C391E"/>
    <w:multiLevelType w:val="multilevel"/>
    <w:tmpl w:val="D93EC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85B53F4"/>
    <w:multiLevelType w:val="multilevel"/>
    <w:tmpl w:val="F078C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4C53C6"/>
    <w:multiLevelType w:val="hybridMultilevel"/>
    <w:tmpl w:val="11E836F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CBD32A4"/>
    <w:multiLevelType w:val="multilevel"/>
    <w:tmpl w:val="FFC853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D8765F8"/>
    <w:multiLevelType w:val="multilevel"/>
    <w:tmpl w:val="579089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DB85267"/>
    <w:multiLevelType w:val="hybridMultilevel"/>
    <w:tmpl w:val="05084B8E"/>
    <w:lvl w:ilvl="0" w:tplc="4009000B">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02898425">
    <w:abstractNumId w:val="6"/>
  </w:num>
  <w:num w:numId="2" w16cid:durableId="563613594">
    <w:abstractNumId w:val="14"/>
  </w:num>
  <w:num w:numId="3" w16cid:durableId="1256206883">
    <w:abstractNumId w:val="15"/>
  </w:num>
  <w:num w:numId="4" w16cid:durableId="137110296">
    <w:abstractNumId w:val="19"/>
  </w:num>
  <w:num w:numId="5" w16cid:durableId="37244253">
    <w:abstractNumId w:val="12"/>
  </w:num>
  <w:num w:numId="6" w16cid:durableId="679701178">
    <w:abstractNumId w:val="10"/>
  </w:num>
  <w:num w:numId="7" w16cid:durableId="867835586">
    <w:abstractNumId w:val="7"/>
  </w:num>
  <w:num w:numId="8" w16cid:durableId="544217196">
    <w:abstractNumId w:val="13"/>
  </w:num>
  <w:num w:numId="9" w16cid:durableId="129137360">
    <w:abstractNumId w:val="1"/>
  </w:num>
  <w:num w:numId="10" w16cid:durableId="1359234226">
    <w:abstractNumId w:val="16"/>
  </w:num>
  <w:num w:numId="11" w16cid:durableId="429589983">
    <w:abstractNumId w:val="11"/>
  </w:num>
  <w:num w:numId="12" w16cid:durableId="734548027">
    <w:abstractNumId w:val="0"/>
  </w:num>
  <w:num w:numId="13" w16cid:durableId="1848252620">
    <w:abstractNumId w:val="18"/>
  </w:num>
  <w:num w:numId="14" w16cid:durableId="577329576">
    <w:abstractNumId w:val="8"/>
  </w:num>
  <w:num w:numId="15" w16cid:durableId="208811576">
    <w:abstractNumId w:val="5"/>
  </w:num>
  <w:num w:numId="16" w16cid:durableId="613639091">
    <w:abstractNumId w:val="9"/>
  </w:num>
  <w:num w:numId="17" w16cid:durableId="727412479">
    <w:abstractNumId w:val="17"/>
  </w:num>
  <w:num w:numId="18" w16cid:durableId="1773822692">
    <w:abstractNumId w:val="2"/>
  </w:num>
  <w:num w:numId="19" w16cid:durableId="699167794">
    <w:abstractNumId w:val="20"/>
  </w:num>
  <w:num w:numId="20" w16cid:durableId="1938444380">
    <w:abstractNumId w:val="4"/>
  </w:num>
  <w:num w:numId="21" w16cid:durableId="7797652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98E"/>
    <w:rsid w:val="0000299A"/>
    <w:rsid w:val="00002B3F"/>
    <w:rsid w:val="00006518"/>
    <w:rsid w:val="000102B5"/>
    <w:rsid w:val="0001057C"/>
    <w:rsid w:val="00012E19"/>
    <w:rsid w:val="00014029"/>
    <w:rsid w:val="00014DCE"/>
    <w:rsid w:val="00016525"/>
    <w:rsid w:val="00023012"/>
    <w:rsid w:val="00024324"/>
    <w:rsid w:val="00025230"/>
    <w:rsid w:val="00026FAC"/>
    <w:rsid w:val="00027101"/>
    <w:rsid w:val="00027A53"/>
    <w:rsid w:val="0003197E"/>
    <w:rsid w:val="00031F13"/>
    <w:rsid w:val="000348E2"/>
    <w:rsid w:val="000355FE"/>
    <w:rsid w:val="00042346"/>
    <w:rsid w:val="000473EB"/>
    <w:rsid w:val="000531B9"/>
    <w:rsid w:val="000535E3"/>
    <w:rsid w:val="0005463F"/>
    <w:rsid w:val="0005476E"/>
    <w:rsid w:val="0005480F"/>
    <w:rsid w:val="00054E1B"/>
    <w:rsid w:val="00056397"/>
    <w:rsid w:val="00056670"/>
    <w:rsid w:val="00056841"/>
    <w:rsid w:val="00056F63"/>
    <w:rsid w:val="00061B4A"/>
    <w:rsid w:val="00061F03"/>
    <w:rsid w:val="00061F9F"/>
    <w:rsid w:val="000651C0"/>
    <w:rsid w:val="000706E2"/>
    <w:rsid w:val="00070A9E"/>
    <w:rsid w:val="00071278"/>
    <w:rsid w:val="00071604"/>
    <w:rsid w:val="00071EFC"/>
    <w:rsid w:val="000756B8"/>
    <w:rsid w:val="0008173A"/>
    <w:rsid w:val="000845B5"/>
    <w:rsid w:val="000902B7"/>
    <w:rsid w:val="000904E6"/>
    <w:rsid w:val="00092220"/>
    <w:rsid w:val="00093933"/>
    <w:rsid w:val="0009488A"/>
    <w:rsid w:val="00096D21"/>
    <w:rsid w:val="0009762D"/>
    <w:rsid w:val="00097CC7"/>
    <w:rsid w:val="000A3063"/>
    <w:rsid w:val="000A4266"/>
    <w:rsid w:val="000A632B"/>
    <w:rsid w:val="000A6A24"/>
    <w:rsid w:val="000B4444"/>
    <w:rsid w:val="000B479F"/>
    <w:rsid w:val="000B7D5C"/>
    <w:rsid w:val="000B7D63"/>
    <w:rsid w:val="000C0CB5"/>
    <w:rsid w:val="000C179C"/>
    <w:rsid w:val="000C18AF"/>
    <w:rsid w:val="000C2D12"/>
    <w:rsid w:val="000C33AD"/>
    <w:rsid w:val="000C3454"/>
    <w:rsid w:val="000C74C7"/>
    <w:rsid w:val="000D2A5D"/>
    <w:rsid w:val="000D3238"/>
    <w:rsid w:val="000D3413"/>
    <w:rsid w:val="000D37FA"/>
    <w:rsid w:val="000D38CE"/>
    <w:rsid w:val="000D405B"/>
    <w:rsid w:val="000D6690"/>
    <w:rsid w:val="000D7052"/>
    <w:rsid w:val="000D7661"/>
    <w:rsid w:val="000E1321"/>
    <w:rsid w:val="000E404D"/>
    <w:rsid w:val="000E5EBF"/>
    <w:rsid w:val="000F2687"/>
    <w:rsid w:val="000F4BDD"/>
    <w:rsid w:val="000F5536"/>
    <w:rsid w:val="000F6330"/>
    <w:rsid w:val="000F71C1"/>
    <w:rsid w:val="00100DAC"/>
    <w:rsid w:val="00101783"/>
    <w:rsid w:val="00101855"/>
    <w:rsid w:val="0010523B"/>
    <w:rsid w:val="00107F8F"/>
    <w:rsid w:val="00111D3D"/>
    <w:rsid w:val="00112FC7"/>
    <w:rsid w:val="00113E5C"/>
    <w:rsid w:val="00113E81"/>
    <w:rsid w:val="00120DED"/>
    <w:rsid w:val="001212CC"/>
    <w:rsid w:val="001214BC"/>
    <w:rsid w:val="00121EF1"/>
    <w:rsid w:val="00122CAC"/>
    <w:rsid w:val="00124C53"/>
    <w:rsid w:val="00125750"/>
    <w:rsid w:val="0013436F"/>
    <w:rsid w:val="00136DD0"/>
    <w:rsid w:val="0014043D"/>
    <w:rsid w:val="00141CBC"/>
    <w:rsid w:val="00146AE1"/>
    <w:rsid w:val="00146FA9"/>
    <w:rsid w:val="00150E9D"/>
    <w:rsid w:val="001565A0"/>
    <w:rsid w:val="001566C3"/>
    <w:rsid w:val="00156716"/>
    <w:rsid w:val="00156E72"/>
    <w:rsid w:val="001608E1"/>
    <w:rsid w:val="001644F9"/>
    <w:rsid w:val="001745C3"/>
    <w:rsid w:val="00175C32"/>
    <w:rsid w:val="0017674F"/>
    <w:rsid w:val="001841E4"/>
    <w:rsid w:val="00185091"/>
    <w:rsid w:val="00185304"/>
    <w:rsid w:val="0019105B"/>
    <w:rsid w:val="001A094E"/>
    <w:rsid w:val="001A0FCE"/>
    <w:rsid w:val="001A6029"/>
    <w:rsid w:val="001B04E4"/>
    <w:rsid w:val="001B578A"/>
    <w:rsid w:val="001B6282"/>
    <w:rsid w:val="001B69C0"/>
    <w:rsid w:val="001B784B"/>
    <w:rsid w:val="001B794D"/>
    <w:rsid w:val="001C1B42"/>
    <w:rsid w:val="001C3378"/>
    <w:rsid w:val="001C4036"/>
    <w:rsid w:val="001C667F"/>
    <w:rsid w:val="001D0D3E"/>
    <w:rsid w:val="001D0E16"/>
    <w:rsid w:val="001D59EE"/>
    <w:rsid w:val="001E1FDC"/>
    <w:rsid w:val="001E2867"/>
    <w:rsid w:val="001E34ED"/>
    <w:rsid w:val="001E6137"/>
    <w:rsid w:val="001E63D6"/>
    <w:rsid w:val="001F25BA"/>
    <w:rsid w:val="001F799D"/>
    <w:rsid w:val="002034CA"/>
    <w:rsid w:val="00203641"/>
    <w:rsid w:val="00206D05"/>
    <w:rsid w:val="00207C07"/>
    <w:rsid w:val="00210CFB"/>
    <w:rsid w:val="0021292D"/>
    <w:rsid w:val="00212F90"/>
    <w:rsid w:val="00213160"/>
    <w:rsid w:val="00216EF0"/>
    <w:rsid w:val="00216F51"/>
    <w:rsid w:val="0022663D"/>
    <w:rsid w:val="002266FB"/>
    <w:rsid w:val="002306C2"/>
    <w:rsid w:val="0023235D"/>
    <w:rsid w:val="002326BB"/>
    <w:rsid w:val="002326E8"/>
    <w:rsid w:val="002341D0"/>
    <w:rsid w:val="002407DC"/>
    <w:rsid w:val="002410A9"/>
    <w:rsid w:val="00243AFF"/>
    <w:rsid w:val="00247B0D"/>
    <w:rsid w:val="002521A0"/>
    <w:rsid w:val="00252884"/>
    <w:rsid w:val="00253BEF"/>
    <w:rsid w:val="00253EDE"/>
    <w:rsid w:val="00257264"/>
    <w:rsid w:val="00262AAA"/>
    <w:rsid w:val="002648B5"/>
    <w:rsid w:val="002649B0"/>
    <w:rsid w:val="00264DE6"/>
    <w:rsid w:val="00266049"/>
    <w:rsid w:val="00266604"/>
    <w:rsid w:val="00274714"/>
    <w:rsid w:val="00275C03"/>
    <w:rsid w:val="002835E2"/>
    <w:rsid w:val="00284A3F"/>
    <w:rsid w:val="00286A10"/>
    <w:rsid w:val="00290036"/>
    <w:rsid w:val="002916E1"/>
    <w:rsid w:val="00294A21"/>
    <w:rsid w:val="00295981"/>
    <w:rsid w:val="00296648"/>
    <w:rsid w:val="002A2A95"/>
    <w:rsid w:val="002B0879"/>
    <w:rsid w:val="002B21FF"/>
    <w:rsid w:val="002B2EE0"/>
    <w:rsid w:val="002B4D00"/>
    <w:rsid w:val="002B5DB6"/>
    <w:rsid w:val="002B7065"/>
    <w:rsid w:val="002B72C3"/>
    <w:rsid w:val="002C1D9A"/>
    <w:rsid w:val="002C4C25"/>
    <w:rsid w:val="002C5662"/>
    <w:rsid w:val="002C77DF"/>
    <w:rsid w:val="002D20DD"/>
    <w:rsid w:val="002D3038"/>
    <w:rsid w:val="002D38DE"/>
    <w:rsid w:val="002D45B4"/>
    <w:rsid w:val="002D4A3F"/>
    <w:rsid w:val="002D7C3B"/>
    <w:rsid w:val="002E05B1"/>
    <w:rsid w:val="002E1B17"/>
    <w:rsid w:val="002F6277"/>
    <w:rsid w:val="002F798D"/>
    <w:rsid w:val="0030217C"/>
    <w:rsid w:val="00304013"/>
    <w:rsid w:val="0031229E"/>
    <w:rsid w:val="00312CA1"/>
    <w:rsid w:val="00316AF4"/>
    <w:rsid w:val="00320ECE"/>
    <w:rsid w:val="00322A62"/>
    <w:rsid w:val="00323249"/>
    <w:rsid w:val="00326460"/>
    <w:rsid w:val="00326A06"/>
    <w:rsid w:val="0032755E"/>
    <w:rsid w:val="003343B6"/>
    <w:rsid w:val="00340084"/>
    <w:rsid w:val="00344C94"/>
    <w:rsid w:val="00345742"/>
    <w:rsid w:val="00350D8B"/>
    <w:rsid w:val="00350EEA"/>
    <w:rsid w:val="003513D3"/>
    <w:rsid w:val="00353A0F"/>
    <w:rsid w:val="00357D89"/>
    <w:rsid w:val="003604F9"/>
    <w:rsid w:val="00362884"/>
    <w:rsid w:val="00367138"/>
    <w:rsid w:val="00373B9D"/>
    <w:rsid w:val="00374C03"/>
    <w:rsid w:val="00384984"/>
    <w:rsid w:val="00386B63"/>
    <w:rsid w:val="00386D4B"/>
    <w:rsid w:val="003928D7"/>
    <w:rsid w:val="00392E9A"/>
    <w:rsid w:val="003A1EDB"/>
    <w:rsid w:val="003A22D8"/>
    <w:rsid w:val="003A299A"/>
    <w:rsid w:val="003A6884"/>
    <w:rsid w:val="003A6DF2"/>
    <w:rsid w:val="003A7F0B"/>
    <w:rsid w:val="003B10DE"/>
    <w:rsid w:val="003B15A5"/>
    <w:rsid w:val="003B2546"/>
    <w:rsid w:val="003B5845"/>
    <w:rsid w:val="003D0B4B"/>
    <w:rsid w:val="003D1F6F"/>
    <w:rsid w:val="003D2329"/>
    <w:rsid w:val="003D545B"/>
    <w:rsid w:val="003D7EE7"/>
    <w:rsid w:val="003E1D01"/>
    <w:rsid w:val="003E2062"/>
    <w:rsid w:val="003E3930"/>
    <w:rsid w:val="003E6524"/>
    <w:rsid w:val="003E65D7"/>
    <w:rsid w:val="003E7F79"/>
    <w:rsid w:val="003F1228"/>
    <w:rsid w:val="003F2D01"/>
    <w:rsid w:val="003F6A7B"/>
    <w:rsid w:val="004010A7"/>
    <w:rsid w:val="0040268A"/>
    <w:rsid w:val="00404C73"/>
    <w:rsid w:val="00404C8A"/>
    <w:rsid w:val="004054E8"/>
    <w:rsid w:val="00406C12"/>
    <w:rsid w:val="00413718"/>
    <w:rsid w:val="00414F8F"/>
    <w:rsid w:val="00416E44"/>
    <w:rsid w:val="004175C6"/>
    <w:rsid w:val="00421DF1"/>
    <w:rsid w:val="004262EC"/>
    <w:rsid w:val="00427F3B"/>
    <w:rsid w:val="00431A57"/>
    <w:rsid w:val="0043241C"/>
    <w:rsid w:val="00434B64"/>
    <w:rsid w:val="004443DC"/>
    <w:rsid w:val="00444B32"/>
    <w:rsid w:val="00446828"/>
    <w:rsid w:val="00450102"/>
    <w:rsid w:val="0045380F"/>
    <w:rsid w:val="00454CAF"/>
    <w:rsid w:val="004553B8"/>
    <w:rsid w:val="00455D53"/>
    <w:rsid w:val="00460E8F"/>
    <w:rsid w:val="00465167"/>
    <w:rsid w:val="00466570"/>
    <w:rsid w:val="00470230"/>
    <w:rsid w:val="00470E24"/>
    <w:rsid w:val="0047187D"/>
    <w:rsid w:val="0047247E"/>
    <w:rsid w:val="00472E2A"/>
    <w:rsid w:val="004776E6"/>
    <w:rsid w:val="00477E92"/>
    <w:rsid w:val="00477FBA"/>
    <w:rsid w:val="00486271"/>
    <w:rsid w:val="00493241"/>
    <w:rsid w:val="00495A94"/>
    <w:rsid w:val="004977B3"/>
    <w:rsid w:val="004A2449"/>
    <w:rsid w:val="004A50E8"/>
    <w:rsid w:val="004A76C7"/>
    <w:rsid w:val="004B615D"/>
    <w:rsid w:val="004C446C"/>
    <w:rsid w:val="004C6099"/>
    <w:rsid w:val="004C6104"/>
    <w:rsid w:val="004D283E"/>
    <w:rsid w:val="004D2DEE"/>
    <w:rsid w:val="004D529F"/>
    <w:rsid w:val="004E0407"/>
    <w:rsid w:val="004E0B9B"/>
    <w:rsid w:val="004E0C9E"/>
    <w:rsid w:val="004E23BF"/>
    <w:rsid w:val="004E257D"/>
    <w:rsid w:val="004E34D0"/>
    <w:rsid w:val="004E6271"/>
    <w:rsid w:val="004F1195"/>
    <w:rsid w:val="004F2026"/>
    <w:rsid w:val="004F3115"/>
    <w:rsid w:val="004F4389"/>
    <w:rsid w:val="004F5CAD"/>
    <w:rsid w:val="00501423"/>
    <w:rsid w:val="00501E93"/>
    <w:rsid w:val="00503E09"/>
    <w:rsid w:val="00503F3B"/>
    <w:rsid w:val="00507747"/>
    <w:rsid w:val="005102F7"/>
    <w:rsid w:val="005112DE"/>
    <w:rsid w:val="005118E1"/>
    <w:rsid w:val="005119EE"/>
    <w:rsid w:val="0051675D"/>
    <w:rsid w:val="00516FF6"/>
    <w:rsid w:val="0052005A"/>
    <w:rsid w:val="00522369"/>
    <w:rsid w:val="00523E0F"/>
    <w:rsid w:val="00526F4B"/>
    <w:rsid w:val="00531CF3"/>
    <w:rsid w:val="00531DC6"/>
    <w:rsid w:val="0053372F"/>
    <w:rsid w:val="00537681"/>
    <w:rsid w:val="0054112B"/>
    <w:rsid w:val="005418F4"/>
    <w:rsid w:val="00542088"/>
    <w:rsid w:val="00551C3D"/>
    <w:rsid w:val="00551CBA"/>
    <w:rsid w:val="005559AA"/>
    <w:rsid w:val="00562ADF"/>
    <w:rsid w:val="00562B3A"/>
    <w:rsid w:val="0056353B"/>
    <w:rsid w:val="00564246"/>
    <w:rsid w:val="0056490B"/>
    <w:rsid w:val="00565E1E"/>
    <w:rsid w:val="0057533C"/>
    <w:rsid w:val="005778F8"/>
    <w:rsid w:val="00580BC5"/>
    <w:rsid w:val="005854C9"/>
    <w:rsid w:val="00587CD0"/>
    <w:rsid w:val="005B03BA"/>
    <w:rsid w:val="005B0B7E"/>
    <w:rsid w:val="005B16DE"/>
    <w:rsid w:val="005B2D6E"/>
    <w:rsid w:val="005B3B3C"/>
    <w:rsid w:val="005B4B2F"/>
    <w:rsid w:val="005B566D"/>
    <w:rsid w:val="005B7231"/>
    <w:rsid w:val="005C1796"/>
    <w:rsid w:val="005C258B"/>
    <w:rsid w:val="005C6B2B"/>
    <w:rsid w:val="005D23B1"/>
    <w:rsid w:val="005D34B6"/>
    <w:rsid w:val="005D4D27"/>
    <w:rsid w:val="005D6FF2"/>
    <w:rsid w:val="005E7477"/>
    <w:rsid w:val="005F1520"/>
    <w:rsid w:val="005F24C8"/>
    <w:rsid w:val="005F4DCB"/>
    <w:rsid w:val="005F666E"/>
    <w:rsid w:val="005F770B"/>
    <w:rsid w:val="00600440"/>
    <w:rsid w:val="00600A38"/>
    <w:rsid w:val="0060383D"/>
    <w:rsid w:val="00610B20"/>
    <w:rsid w:val="006112E9"/>
    <w:rsid w:val="00625616"/>
    <w:rsid w:val="00633E1B"/>
    <w:rsid w:val="00633FA0"/>
    <w:rsid w:val="00635A6D"/>
    <w:rsid w:val="00641117"/>
    <w:rsid w:val="006422F2"/>
    <w:rsid w:val="00645231"/>
    <w:rsid w:val="00654280"/>
    <w:rsid w:val="00654818"/>
    <w:rsid w:val="0065503E"/>
    <w:rsid w:val="006606B3"/>
    <w:rsid w:val="006610AB"/>
    <w:rsid w:val="0066179B"/>
    <w:rsid w:val="00662E8C"/>
    <w:rsid w:val="006637BE"/>
    <w:rsid w:val="00667118"/>
    <w:rsid w:val="006716E2"/>
    <w:rsid w:val="00672820"/>
    <w:rsid w:val="006756C9"/>
    <w:rsid w:val="00680589"/>
    <w:rsid w:val="00681D54"/>
    <w:rsid w:val="006830BB"/>
    <w:rsid w:val="00683841"/>
    <w:rsid w:val="006838B2"/>
    <w:rsid w:val="0068403F"/>
    <w:rsid w:val="00686B66"/>
    <w:rsid w:val="00686F44"/>
    <w:rsid w:val="0068712F"/>
    <w:rsid w:val="00690539"/>
    <w:rsid w:val="00691524"/>
    <w:rsid w:val="00697861"/>
    <w:rsid w:val="006A16AA"/>
    <w:rsid w:val="006A1D2F"/>
    <w:rsid w:val="006A33CB"/>
    <w:rsid w:val="006A3CD8"/>
    <w:rsid w:val="006A3E0C"/>
    <w:rsid w:val="006A6FCA"/>
    <w:rsid w:val="006B2B96"/>
    <w:rsid w:val="006B3119"/>
    <w:rsid w:val="006B398E"/>
    <w:rsid w:val="006B3D1F"/>
    <w:rsid w:val="006B62E9"/>
    <w:rsid w:val="006C1E97"/>
    <w:rsid w:val="006C378F"/>
    <w:rsid w:val="006C5431"/>
    <w:rsid w:val="006C630F"/>
    <w:rsid w:val="006D140E"/>
    <w:rsid w:val="006D671F"/>
    <w:rsid w:val="006D7429"/>
    <w:rsid w:val="006D7FDF"/>
    <w:rsid w:val="006E105E"/>
    <w:rsid w:val="006E4795"/>
    <w:rsid w:val="006E4EA0"/>
    <w:rsid w:val="006F2A66"/>
    <w:rsid w:val="0070170D"/>
    <w:rsid w:val="007061FF"/>
    <w:rsid w:val="00707591"/>
    <w:rsid w:val="00710B4C"/>
    <w:rsid w:val="00712490"/>
    <w:rsid w:val="007159EE"/>
    <w:rsid w:val="00715CF5"/>
    <w:rsid w:val="00716270"/>
    <w:rsid w:val="00717D88"/>
    <w:rsid w:val="00721B54"/>
    <w:rsid w:val="00722E75"/>
    <w:rsid w:val="00726E36"/>
    <w:rsid w:val="00727FCB"/>
    <w:rsid w:val="00735491"/>
    <w:rsid w:val="00736487"/>
    <w:rsid w:val="00736C0C"/>
    <w:rsid w:val="007402F7"/>
    <w:rsid w:val="00750E02"/>
    <w:rsid w:val="00751EBF"/>
    <w:rsid w:val="00752DDD"/>
    <w:rsid w:val="00752EC3"/>
    <w:rsid w:val="0076094C"/>
    <w:rsid w:val="00773B57"/>
    <w:rsid w:val="00773BC5"/>
    <w:rsid w:val="0077646E"/>
    <w:rsid w:val="00780380"/>
    <w:rsid w:val="00781004"/>
    <w:rsid w:val="00782BCE"/>
    <w:rsid w:val="00783205"/>
    <w:rsid w:val="007864CB"/>
    <w:rsid w:val="00796C09"/>
    <w:rsid w:val="007A2A87"/>
    <w:rsid w:val="007A44E1"/>
    <w:rsid w:val="007A57FB"/>
    <w:rsid w:val="007A6921"/>
    <w:rsid w:val="007A6E12"/>
    <w:rsid w:val="007B23B0"/>
    <w:rsid w:val="007B2802"/>
    <w:rsid w:val="007B5E7F"/>
    <w:rsid w:val="007C145C"/>
    <w:rsid w:val="007D0BBA"/>
    <w:rsid w:val="007D1343"/>
    <w:rsid w:val="007D2DAA"/>
    <w:rsid w:val="007D489A"/>
    <w:rsid w:val="007D4DAF"/>
    <w:rsid w:val="007D5C06"/>
    <w:rsid w:val="007D6B62"/>
    <w:rsid w:val="007E317F"/>
    <w:rsid w:val="007E5831"/>
    <w:rsid w:val="007F381A"/>
    <w:rsid w:val="007F5CF1"/>
    <w:rsid w:val="007F6F26"/>
    <w:rsid w:val="008027EB"/>
    <w:rsid w:val="00804D68"/>
    <w:rsid w:val="0081148A"/>
    <w:rsid w:val="00811904"/>
    <w:rsid w:val="00814B3E"/>
    <w:rsid w:val="008153D4"/>
    <w:rsid w:val="008204BA"/>
    <w:rsid w:val="00823E55"/>
    <w:rsid w:val="008302D7"/>
    <w:rsid w:val="00830CC0"/>
    <w:rsid w:val="00833243"/>
    <w:rsid w:val="00833678"/>
    <w:rsid w:val="008358A5"/>
    <w:rsid w:val="00835CFE"/>
    <w:rsid w:val="00842AD4"/>
    <w:rsid w:val="00842C90"/>
    <w:rsid w:val="00843FE3"/>
    <w:rsid w:val="0084432A"/>
    <w:rsid w:val="00844D59"/>
    <w:rsid w:val="00844F2D"/>
    <w:rsid w:val="00850A78"/>
    <w:rsid w:val="00850B42"/>
    <w:rsid w:val="00857857"/>
    <w:rsid w:val="00862CD0"/>
    <w:rsid w:val="00862FCD"/>
    <w:rsid w:val="00863F10"/>
    <w:rsid w:val="0086503A"/>
    <w:rsid w:val="0087065E"/>
    <w:rsid w:val="00870B53"/>
    <w:rsid w:val="00871C4F"/>
    <w:rsid w:val="008740E6"/>
    <w:rsid w:val="0087485B"/>
    <w:rsid w:val="00876F96"/>
    <w:rsid w:val="00881217"/>
    <w:rsid w:val="00882D25"/>
    <w:rsid w:val="008842BB"/>
    <w:rsid w:val="0089387E"/>
    <w:rsid w:val="00896391"/>
    <w:rsid w:val="00896C62"/>
    <w:rsid w:val="00897911"/>
    <w:rsid w:val="00897E3F"/>
    <w:rsid w:val="008A0084"/>
    <w:rsid w:val="008A1212"/>
    <w:rsid w:val="008A2CDA"/>
    <w:rsid w:val="008A5E4C"/>
    <w:rsid w:val="008A7CFC"/>
    <w:rsid w:val="008B276A"/>
    <w:rsid w:val="008B35BB"/>
    <w:rsid w:val="008B37ED"/>
    <w:rsid w:val="008B5629"/>
    <w:rsid w:val="008C01A5"/>
    <w:rsid w:val="008C10C5"/>
    <w:rsid w:val="008D1645"/>
    <w:rsid w:val="008D4E80"/>
    <w:rsid w:val="008D4F1E"/>
    <w:rsid w:val="008D5ACD"/>
    <w:rsid w:val="008D6646"/>
    <w:rsid w:val="008D6D9F"/>
    <w:rsid w:val="008E1F2C"/>
    <w:rsid w:val="008E6DFA"/>
    <w:rsid w:val="008E7BF3"/>
    <w:rsid w:val="008F0005"/>
    <w:rsid w:val="008F001B"/>
    <w:rsid w:val="008F67B9"/>
    <w:rsid w:val="009140D7"/>
    <w:rsid w:val="00914107"/>
    <w:rsid w:val="009163FD"/>
    <w:rsid w:val="00917694"/>
    <w:rsid w:val="0092185B"/>
    <w:rsid w:val="00921DE4"/>
    <w:rsid w:val="00922BA0"/>
    <w:rsid w:val="009253FD"/>
    <w:rsid w:val="00940128"/>
    <w:rsid w:val="009414DB"/>
    <w:rsid w:val="009444EB"/>
    <w:rsid w:val="009477A6"/>
    <w:rsid w:val="009506D9"/>
    <w:rsid w:val="009512A8"/>
    <w:rsid w:val="00951AFB"/>
    <w:rsid w:val="00952E07"/>
    <w:rsid w:val="009548D7"/>
    <w:rsid w:val="00956506"/>
    <w:rsid w:val="00956F0E"/>
    <w:rsid w:val="00960EE2"/>
    <w:rsid w:val="0096125A"/>
    <w:rsid w:val="00962374"/>
    <w:rsid w:val="009641BE"/>
    <w:rsid w:val="00967515"/>
    <w:rsid w:val="0097054C"/>
    <w:rsid w:val="0097083A"/>
    <w:rsid w:val="00971340"/>
    <w:rsid w:val="00971BC7"/>
    <w:rsid w:val="00971F90"/>
    <w:rsid w:val="00972B06"/>
    <w:rsid w:val="009755EB"/>
    <w:rsid w:val="00976A0F"/>
    <w:rsid w:val="00981E2E"/>
    <w:rsid w:val="00982B8E"/>
    <w:rsid w:val="00985136"/>
    <w:rsid w:val="0098584C"/>
    <w:rsid w:val="00985D4D"/>
    <w:rsid w:val="00990E85"/>
    <w:rsid w:val="00994170"/>
    <w:rsid w:val="009A0771"/>
    <w:rsid w:val="009A0892"/>
    <w:rsid w:val="009A15D9"/>
    <w:rsid w:val="009A339C"/>
    <w:rsid w:val="009A67D7"/>
    <w:rsid w:val="009B0AEC"/>
    <w:rsid w:val="009C648C"/>
    <w:rsid w:val="009D23B7"/>
    <w:rsid w:val="009D6F61"/>
    <w:rsid w:val="009D6F6F"/>
    <w:rsid w:val="009D7352"/>
    <w:rsid w:val="009D7557"/>
    <w:rsid w:val="009E0E3D"/>
    <w:rsid w:val="009E1971"/>
    <w:rsid w:val="009E275E"/>
    <w:rsid w:val="009E3C55"/>
    <w:rsid w:val="009E45A7"/>
    <w:rsid w:val="009E4A2C"/>
    <w:rsid w:val="009F08B9"/>
    <w:rsid w:val="009F0AA5"/>
    <w:rsid w:val="009F219C"/>
    <w:rsid w:val="009F3854"/>
    <w:rsid w:val="009F63F9"/>
    <w:rsid w:val="00A04067"/>
    <w:rsid w:val="00A10191"/>
    <w:rsid w:val="00A10F41"/>
    <w:rsid w:val="00A112F8"/>
    <w:rsid w:val="00A1543E"/>
    <w:rsid w:val="00A20444"/>
    <w:rsid w:val="00A21DCD"/>
    <w:rsid w:val="00A23187"/>
    <w:rsid w:val="00A2340A"/>
    <w:rsid w:val="00A252F5"/>
    <w:rsid w:val="00A26423"/>
    <w:rsid w:val="00A2751C"/>
    <w:rsid w:val="00A27B37"/>
    <w:rsid w:val="00A316F4"/>
    <w:rsid w:val="00A349C5"/>
    <w:rsid w:val="00A353A7"/>
    <w:rsid w:val="00A360CE"/>
    <w:rsid w:val="00A3695B"/>
    <w:rsid w:val="00A37C93"/>
    <w:rsid w:val="00A419B7"/>
    <w:rsid w:val="00A41D39"/>
    <w:rsid w:val="00A43646"/>
    <w:rsid w:val="00A43F37"/>
    <w:rsid w:val="00A501AD"/>
    <w:rsid w:val="00A511C4"/>
    <w:rsid w:val="00A5279A"/>
    <w:rsid w:val="00A5297A"/>
    <w:rsid w:val="00A57B24"/>
    <w:rsid w:val="00A6563A"/>
    <w:rsid w:val="00A6684D"/>
    <w:rsid w:val="00A71252"/>
    <w:rsid w:val="00A7208D"/>
    <w:rsid w:val="00A76076"/>
    <w:rsid w:val="00A8024F"/>
    <w:rsid w:val="00A80D5C"/>
    <w:rsid w:val="00A83021"/>
    <w:rsid w:val="00A84035"/>
    <w:rsid w:val="00A91210"/>
    <w:rsid w:val="00AB0664"/>
    <w:rsid w:val="00AB5BEB"/>
    <w:rsid w:val="00AB6284"/>
    <w:rsid w:val="00AB788B"/>
    <w:rsid w:val="00AC3768"/>
    <w:rsid w:val="00AC48AE"/>
    <w:rsid w:val="00AC65A6"/>
    <w:rsid w:val="00AC6EF3"/>
    <w:rsid w:val="00AD3EE2"/>
    <w:rsid w:val="00AD4DFF"/>
    <w:rsid w:val="00AD796D"/>
    <w:rsid w:val="00AE4BDC"/>
    <w:rsid w:val="00AE7C2A"/>
    <w:rsid w:val="00AE7EEF"/>
    <w:rsid w:val="00AF1366"/>
    <w:rsid w:val="00AF2779"/>
    <w:rsid w:val="00AF2DBE"/>
    <w:rsid w:val="00AF32E4"/>
    <w:rsid w:val="00AF5708"/>
    <w:rsid w:val="00AF7394"/>
    <w:rsid w:val="00AF760F"/>
    <w:rsid w:val="00B02820"/>
    <w:rsid w:val="00B03502"/>
    <w:rsid w:val="00B0382A"/>
    <w:rsid w:val="00B04953"/>
    <w:rsid w:val="00B04FA2"/>
    <w:rsid w:val="00B12F09"/>
    <w:rsid w:val="00B15671"/>
    <w:rsid w:val="00B1706F"/>
    <w:rsid w:val="00B210AD"/>
    <w:rsid w:val="00B2143C"/>
    <w:rsid w:val="00B226C7"/>
    <w:rsid w:val="00B23D71"/>
    <w:rsid w:val="00B24191"/>
    <w:rsid w:val="00B249CA"/>
    <w:rsid w:val="00B26E07"/>
    <w:rsid w:val="00B35C2E"/>
    <w:rsid w:val="00B4231D"/>
    <w:rsid w:val="00B45316"/>
    <w:rsid w:val="00B45EB1"/>
    <w:rsid w:val="00B46218"/>
    <w:rsid w:val="00B46411"/>
    <w:rsid w:val="00B50829"/>
    <w:rsid w:val="00B50E50"/>
    <w:rsid w:val="00B51730"/>
    <w:rsid w:val="00B53CFA"/>
    <w:rsid w:val="00B54E57"/>
    <w:rsid w:val="00B56CCB"/>
    <w:rsid w:val="00B64026"/>
    <w:rsid w:val="00B65902"/>
    <w:rsid w:val="00B67847"/>
    <w:rsid w:val="00B72016"/>
    <w:rsid w:val="00B72A34"/>
    <w:rsid w:val="00B75F77"/>
    <w:rsid w:val="00B77775"/>
    <w:rsid w:val="00B779E0"/>
    <w:rsid w:val="00B80305"/>
    <w:rsid w:val="00B81DA0"/>
    <w:rsid w:val="00B84C96"/>
    <w:rsid w:val="00B90399"/>
    <w:rsid w:val="00B96DB3"/>
    <w:rsid w:val="00B97442"/>
    <w:rsid w:val="00BA05C5"/>
    <w:rsid w:val="00BA116E"/>
    <w:rsid w:val="00BA548C"/>
    <w:rsid w:val="00BA73CA"/>
    <w:rsid w:val="00BB30FF"/>
    <w:rsid w:val="00BB447E"/>
    <w:rsid w:val="00BB67FB"/>
    <w:rsid w:val="00BC1E7E"/>
    <w:rsid w:val="00BC36D8"/>
    <w:rsid w:val="00BC3841"/>
    <w:rsid w:val="00BC45DB"/>
    <w:rsid w:val="00BC6B12"/>
    <w:rsid w:val="00BD066F"/>
    <w:rsid w:val="00BD14F0"/>
    <w:rsid w:val="00BD7C87"/>
    <w:rsid w:val="00BE14EF"/>
    <w:rsid w:val="00BE3D2D"/>
    <w:rsid w:val="00BE4F7C"/>
    <w:rsid w:val="00BE555D"/>
    <w:rsid w:val="00BE5A2C"/>
    <w:rsid w:val="00BE5ACB"/>
    <w:rsid w:val="00BE64A3"/>
    <w:rsid w:val="00BE7126"/>
    <w:rsid w:val="00BE7834"/>
    <w:rsid w:val="00BF4C5A"/>
    <w:rsid w:val="00BF7055"/>
    <w:rsid w:val="00C00AB3"/>
    <w:rsid w:val="00C00E8D"/>
    <w:rsid w:val="00C02AB5"/>
    <w:rsid w:val="00C059E2"/>
    <w:rsid w:val="00C05D2D"/>
    <w:rsid w:val="00C10FB8"/>
    <w:rsid w:val="00C10FD7"/>
    <w:rsid w:val="00C122C4"/>
    <w:rsid w:val="00C12B33"/>
    <w:rsid w:val="00C13B5E"/>
    <w:rsid w:val="00C13F3F"/>
    <w:rsid w:val="00C1591A"/>
    <w:rsid w:val="00C23256"/>
    <w:rsid w:val="00C26491"/>
    <w:rsid w:val="00C26B5B"/>
    <w:rsid w:val="00C31834"/>
    <w:rsid w:val="00C321E9"/>
    <w:rsid w:val="00C3586F"/>
    <w:rsid w:val="00C35E2D"/>
    <w:rsid w:val="00C41AEB"/>
    <w:rsid w:val="00C42D7A"/>
    <w:rsid w:val="00C44580"/>
    <w:rsid w:val="00C454B0"/>
    <w:rsid w:val="00C46AB0"/>
    <w:rsid w:val="00C47424"/>
    <w:rsid w:val="00C52D62"/>
    <w:rsid w:val="00C53893"/>
    <w:rsid w:val="00C53D8C"/>
    <w:rsid w:val="00C575B7"/>
    <w:rsid w:val="00C57CB8"/>
    <w:rsid w:val="00C57D39"/>
    <w:rsid w:val="00C6082A"/>
    <w:rsid w:val="00C6176E"/>
    <w:rsid w:val="00C65C53"/>
    <w:rsid w:val="00C732C5"/>
    <w:rsid w:val="00C76D4B"/>
    <w:rsid w:val="00C8206B"/>
    <w:rsid w:val="00C8571A"/>
    <w:rsid w:val="00C859DE"/>
    <w:rsid w:val="00C87DC1"/>
    <w:rsid w:val="00C90945"/>
    <w:rsid w:val="00C91C28"/>
    <w:rsid w:val="00C9214A"/>
    <w:rsid w:val="00C92A6B"/>
    <w:rsid w:val="00C92B4B"/>
    <w:rsid w:val="00C95610"/>
    <w:rsid w:val="00C97F3F"/>
    <w:rsid w:val="00CA10D3"/>
    <w:rsid w:val="00CA11F3"/>
    <w:rsid w:val="00CA4391"/>
    <w:rsid w:val="00CA69E8"/>
    <w:rsid w:val="00CB0CD8"/>
    <w:rsid w:val="00CB4770"/>
    <w:rsid w:val="00CB53C4"/>
    <w:rsid w:val="00CC0990"/>
    <w:rsid w:val="00CC18C5"/>
    <w:rsid w:val="00CC2409"/>
    <w:rsid w:val="00CC2AA4"/>
    <w:rsid w:val="00CC3281"/>
    <w:rsid w:val="00CC3BAA"/>
    <w:rsid w:val="00CC3F0E"/>
    <w:rsid w:val="00CC3FC6"/>
    <w:rsid w:val="00CC7467"/>
    <w:rsid w:val="00CC7F0A"/>
    <w:rsid w:val="00CD034D"/>
    <w:rsid w:val="00CD166C"/>
    <w:rsid w:val="00CD17D2"/>
    <w:rsid w:val="00CD5C27"/>
    <w:rsid w:val="00CE4A01"/>
    <w:rsid w:val="00CE4BA5"/>
    <w:rsid w:val="00CE52CF"/>
    <w:rsid w:val="00CE5612"/>
    <w:rsid w:val="00CE6D2F"/>
    <w:rsid w:val="00CE76F6"/>
    <w:rsid w:val="00CF0D01"/>
    <w:rsid w:val="00CF1A20"/>
    <w:rsid w:val="00CF39F0"/>
    <w:rsid w:val="00CF5505"/>
    <w:rsid w:val="00CF7D90"/>
    <w:rsid w:val="00D04C00"/>
    <w:rsid w:val="00D05BCF"/>
    <w:rsid w:val="00D07A70"/>
    <w:rsid w:val="00D10A29"/>
    <w:rsid w:val="00D1173B"/>
    <w:rsid w:val="00D14A4D"/>
    <w:rsid w:val="00D17719"/>
    <w:rsid w:val="00D17C0D"/>
    <w:rsid w:val="00D22007"/>
    <w:rsid w:val="00D31F5D"/>
    <w:rsid w:val="00D33FBC"/>
    <w:rsid w:val="00D35977"/>
    <w:rsid w:val="00D374E5"/>
    <w:rsid w:val="00D40B66"/>
    <w:rsid w:val="00D44540"/>
    <w:rsid w:val="00D44600"/>
    <w:rsid w:val="00D44A12"/>
    <w:rsid w:val="00D456B2"/>
    <w:rsid w:val="00D4598B"/>
    <w:rsid w:val="00D4665B"/>
    <w:rsid w:val="00D56829"/>
    <w:rsid w:val="00D60D8D"/>
    <w:rsid w:val="00D61A9C"/>
    <w:rsid w:val="00D62B0D"/>
    <w:rsid w:val="00D63199"/>
    <w:rsid w:val="00D64DAB"/>
    <w:rsid w:val="00D64F54"/>
    <w:rsid w:val="00D651AC"/>
    <w:rsid w:val="00D72155"/>
    <w:rsid w:val="00D732D2"/>
    <w:rsid w:val="00D74497"/>
    <w:rsid w:val="00D807FD"/>
    <w:rsid w:val="00D81F83"/>
    <w:rsid w:val="00D82681"/>
    <w:rsid w:val="00D82E49"/>
    <w:rsid w:val="00D83156"/>
    <w:rsid w:val="00D8538E"/>
    <w:rsid w:val="00D85E12"/>
    <w:rsid w:val="00D86061"/>
    <w:rsid w:val="00D91CB9"/>
    <w:rsid w:val="00D92D5C"/>
    <w:rsid w:val="00D936D5"/>
    <w:rsid w:val="00DA729E"/>
    <w:rsid w:val="00DB1BD7"/>
    <w:rsid w:val="00DB6E81"/>
    <w:rsid w:val="00DB7F4F"/>
    <w:rsid w:val="00DC3096"/>
    <w:rsid w:val="00DC5137"/>
    <w:rsid w:val="00DD1C44"/>
    <w:rsid w:val="00DD24D7"/>
    <w:rsid w:val="00DD4282"/>
    <w:rsid w:val="00DE05A6"/>
    <w:rsid w:val="00DE25DF"/>
    <w:rsid w:val="00DE4605"/>
    <w:rsid w:val="00DE4DBA"/>
    <w:rsid w:val="00DE6A21"/>
    <w:rsid w:val="00DF2DF7"/>
    <w:rsid w:val="00DF37D8"/>
    <w:rsid w:val="00DF3C8F"/>
    <w:rsid w:val="00DF5F08"/>
    <w:rsid w:val="00E023BC"/>
    <w:rsid w:val="00E056E6"/>
    <w:rsid w:val="00E057D7"/>
    <w:rsid w:val="00E11807"/>
    <w:rsid w:val="00E1187E"/>
    <w:rsid w:val="00E1362F"/>
    <w:rsid w:val="00E13ED9"/>
    <w:rsid w:val="00E14B78"/>
    <w:rsid w:val="00E1504E"/>
    <w:rsid w:val="00E24C0D"/>
    <w:rsid w:val="00E24F37"/>
    <w:rsid w:val="00E30BE1"/>
    <w:rsid w:val="00E31751"/>
    <w:rsid w:val="00E33516"/>
    <w:rsid w:val="00E3572A"/>
    <w:rsid w:val="00E362BA"/>
    <w:rsid w:val="00E44A98"/>
    <w:rsid w:val="00E45F80"/>
    <w:rsid w:val="00E47388"/>
    <w:rsid w:val="00E4791A"/>
    <w:rsid w:val="00E52223"/>
    <w:rsid w:val="00E56BBE"/>
    <w:rsid w:val="00E57437"/>
    <w:rsid w:val="00E576F3"/>
    <w:rsid w:val="00E6301C"/>
    <w:rsid w:val="00E643D0"/>
    <w:rsid w:val="00E66CD5"/>
    <w:rsid w:val="00E73EFE"/>
    <w:rsid w:val="00E767AA"/>
    <w:rsid w:val="00E77CDA"/>
    <w:rsid w:val="00E82C97"/>
    <w:rsid w:val="00E8339B"/>
    <w:rsid w:val="00E839B9"/>
    <w:rsid w:val="00E87F67"/>
    <w:rsid w:val="00E904C3"/>
    <w:rsid w:val="00E95DBF"/>
    <w:rsid w:val="00E96218"/>
    <w:rsid w:val="00EB22CE"/>
    <w:rsid w:val="00EC5D23"/>
    <w:rsid w:val="00EC6075"/>
    <w:rsid w:val="00ED0D6B"/>
    <w:rsid w:val="00ED41A9"/>
    <w:rsid w:val="00EE21C1"/>
    <w:rsid w:val="00EE2BF0"/>
    <w:rsid w:val="00EE3493"/>
    <w:rsid w:val="00EE3E28"/>
    <w:rsid w:val="00EE4293"/>
    <w:rsid w:val="00EE77C3"/>
    <w:rsid w:val="00EE7F16"/>
    <w:rsid w:val="00EF229D"/>
    <w:rsid w:val="00EF2DC8"/>
    <w:rsid w:val="00EF51EB"/>
    <w:rsid w:val="00EF705A"/>
    <w:rsid w:val="00F01F45"/>
    <w:rsid w:val="00F02931"/>
    <w:rsid w:val="00F02BF1"/>
    <w:rsid w:val="00F04D77"/>
    <w:rsid w:val="00F05C44"/>
    <w:rsid w:val="00F1234C"/>
    <w:rsid w:val="00F1365C"/>
    <w:rsid w:val="00F14C19"/>
    <w:rsid w:val="00F16745"/>
    <w:rsid w:val="00F16C05"/>
    <w:rsid w:val="00F233AF"/>
    <w:rsid w:val="00F24DE1"/>
    <w:rsid w:val="00F27414"/>
    <w:rsid w:val="00F32375"/>
    <w:rsid w:val="00F35D7E"/>
    <w:rsid w:val="00F42A4E"/>
    <w:rsid w:val="00F42C1F"/>
    <w:rsid w:val="00F44BC0"/>
    <w:rsid w:val="00F50E06"/>
    <w:rsid w:val="00F50EA3"/>
    <w:rsid w:val="00F54A8F"/>
    <w:rsid w:val="00F54DA7"/>
    <w:rsid w:val="00F54FE2"/>
    <w:rsid w:val="00F6070B"/>
    <w:rsid w:val="00F61964"/>
    <w:rsid w:val="00F66255"/>
    <w:rsid w:val="00F671AE"/>
    <w:rsid w:val="00F7258C"/>
    <w:rsid w:val="00F727F7"/>
    <w:rsid w:val="00F77CF6"/>
    <w:rsid w:val="00F8702B"/>
    <w:rsid w:val="00F91358"/>
    <w:rsid w:val="00F9473B"/>
    <w:rsid w:val="00F94F9F"/>
    <w:rsid w:val="00FA1448"/>
    <w:rsid w:val="00FA2436"/>
    <w:rsid w:val="00FA4F8A"/>
    <w:rsid w:val="00FA5BD0"/>
    <w:rsid w:val="00FB234A"/>
    <w:rsid w:val="00FB2F47"/>
    <w:rsid w:val="00FB35A7"/>
    <w:rsid w:val="00FB48BF"/>
    <w:rsid w:val="00FB584D"/>
    <w:rsid w:val="00FC1C0B"/>
    <w:rsid w:val="00FC34A8"/>
    <w:rsid w:val="00FC3BE9"/>
    <w:rsid w:val="00FC3CC2"/>
    <w:rsid w:val="00FC63EB"/>
    <w:rsid w:val="00FD2BF7"/>
    <w:rsid w:val="00FD7720"/>
    <w:rsid w:val="00FE03B7"/>
    <w:rsid w:val="00FE1BFA"/>
    <w:rsid w:val="00FE1DDE"/>
    <w:rsid w:val="00FE251D"/>
    <w:rsid w:val="00FE518F"/>
    <w:rsid w:val="00FE7F97"/>
    <w:rsid w:val="00FF13E6"/>
    <w:rsid w:val="00FF22AA"/>
    <w:rsid w:val="00FF5289"/>
    <w:rsid w:val="00FF6E93"/>
    <w:rsid w:val="00FF76E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D88AA"/>
  <w15:chartTrackingRefBased/>
  <w15:docId w15:val="{AEAF365C-FFE6-48FD-9BEE-7DD5CD363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39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39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B39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39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39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39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39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39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39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39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B39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B39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39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39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39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39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39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398E"/>
    <w:rPr>
      <w:rFonts w:eastAsiaTheme="majorEastAsia" w:cstheme="majorBidi"/>
      <w:color w:val="272727" w:themeColor="text1" w:themeTint="D8"/>
    </w:rPr>
  </w:style>
  <w:style w:type="paragraph" w:styleId="Title">
    <w:name w:val="Title"/>
    <w:basedOn w:val="Normal"/>
    <w:next w:val="Normal"/>
    <w:link w:val="TitleChar"/>
    <w:uiPriority w:val="10"/>
    <w:qFormat/>
    <w:rsid w:val="006B39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39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39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39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398E"/>
    <w:pPr>
      <w:spacing w:before="160"/>
      <w:jc w:val="center"/>
    </w:pPr>
    <w:rPr>
      <w:i/>
      <w:iCs/>
      <w:color w:val="404040" w:themeColor="text1" w:themeTint="BF"/>
    </w:rPr>
  </w:style>
  <w:style w:type="character" w:customStyle="1" w:styleId="QuoteChar">
    <w:name w:val="Quote Char"/>
    <w:basedOn w:val="DefaultParagraphFont"/>
    <w:link w:val="Quote"/>
    <w:uiPriority w:val="29"/>
    <w:rsid w:val="006B398E"/>
    <w:rPr>
      <w:i/>
      <w:iCs/>
      <w:color w:val="404040" w:themeColor="text1" w:themeTint="BF"/>
    </w:rPr>
  </w:style>
  <w:style w:type="paragraph" w:styleId="ListParagraph">
    <w:name w:val="List Paragraph"/>
    <w:basedOn w:val="Normal"/>
    <w:uiPriority w:val="34"/>
    <w:qFormat/>
    <w:rsid w:val="006B398E"/>
    <w:pPr>
      <w:ind w:left="720"/>
      <w:contextualSpacing/>
    </w:pPr>
  </w:style>
  <w:style w:type="character" w:styleId="IntenseEmphasis">
    <w:name w:val="Intense Emphasis"/>
    <w:basedOn w:val="DefaultParagraphFont"/>
    <w:uiPriority w:val="21"/>
    <w:qFormat/>
    <w:rsid w:val="006B398E"/>
    <w:rPr>
      <w:i/>
      <w:iCs/>
      <w:color w:val="0F4761" w:themeColor="accent1" w:themeShade="BF"/>
    </w:rPr>
  </w:style>
  <w:style w:type="paragraph" w:styleId="IntenseQuote">
    <w:name w:val="Intense Quote"/>
    <w:basedOn w:val="Normal"/>
    <w:next w:val="Normal"/>
    <w:link w:val="IntenseQuoteChar"/>
    <w:uiPriority w:val="30"/>
    <w:qFormat/>
    <w:rsid w:val="006B39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398E"/>
    <w:rPr>
      <w:i/>
      <w:iCs/>
      <w:color w:val="0F4761" w:themeColor="accent1" w:themeShade="BF"/>
    </w:rPr>
  </w:style>
  <w:style w:type="character" w:styleId="IntenseReference">
    <w:name w:val="Intense Reference"/>
    <w:basedOn w:val="DefaultParagraphFont"/>
    <w:uiPriority w:val="32"/>
    <w:qFormat/>
    <w:rsid w:val="006B398E"/>
    <w:rPr>
      <w:b/>
      <w:bCs/>
      <w:smallCaps/>
      <w:color w:val="0F4761" w:themeColor="accent1" w:themeShade="BF"/>
      <w:spacing w:val="5"/>
    </w:rPr>
  </w:style>
  <w:style w:type="paragraph" w:styleId="Bibliography">
    <w:name w:val="Bibliography"/>
    <w:basedOn w:val="Normal"/>
    <w:next w:val="Normal"/>
    <w:uiPriority w:val="37"/>
    <w:unhideWhenUsed/>
    <w:rsid w:val="00AD4DFF"/>
    <w:pPr>
      <w:spacing w:after="200" w:line="276" w:lineRule="auto"/>
    </w:pPr>
    <w:rPr>
      <w:rFonts w:eastAsiaTheme="minorEastAsia"/>
      <w:kern w:val="0"/>
      <w:lang w:val="en-US"/>
      <w14:ligatures w14:val="none"/>
    </w:rPr>
  </w:style>
  <w:style w:type="paragraph" w:styleId="NoSpacing">
    <w:name w:val="No Spacing"/>
    <w:uiPriority w:val="1"/>
    <w:qFormat/>
    <w:rsid w:val="0087065E"/>
    <w:pPr>
      <w:spacing w:after="0" w:line="240" w:lineRule="auto"/>
    </w:pPr>
  </w:style>
  <w:style w:type="character" w:styleId="Hyperlink">
    <w:name w:val="Hyperlink"/>
    <w:basedOn w:val="DefaultParagraphFont"/>
    <w:uiPriority w:val="99"/>
    <w:unhideWhenUsed/>
    <w:rsid w:val="00EC6075"/>
    <w:rPr>
      <w:color w:val="467886" w:themeColor="hyperlink"/>
      <w:u w:val="single"/>
    </w:rPr>
  </w:style>
  <w:style w:type="character" w:styleId="UnresolvedMention">
    <w:name w:val="Unresolved Mention"/>
    <w:basedOn w:val="DefaultParagraphFont"/>
    <w:uiPriority w:val="99"/>
    <w:semiHidden/>
    <w:unhideWhenUsed/>
    <w:rsid w:val="00EC6075"/>
    <w:rPr>
      <w:color w:val="605E5C"/>
      <w:shd w:val="clear" w:color="auto" w:fill="E1DFDD"/>
    </w:rPr>
  </w:style>
  <w:style w:type="character" w:styleId="FollowedHyperlink">
    <w:name w:val="FollowedHyperlink"/>
    <w:basedOn w:val="DefaultParagraphFont"/>
    <w:uiPriority w:val="99"/>
    <w:semiHidden/>
    <w:unhideWhenUsed/>
    <w:rsid w:val="00AE7C2A"/>
    <w:rPr>
      <w:color w:val="96607D" w:themeColor="followedHyperlink"/>
      <w:u w:val="single"/>
    </w:rPr>
  </w:style>
  <w:style w:type="character" w:styleId="Strong">
    <w:name w:val="Strong"/>
    <w:basedOn w:val="DefaultParagraphFont"/>
    <w:uiPriority w:val="22"/>
    <w:qFormat/>
    <w:rsid w:val="00914107"/>
    <w:rPr>
      <w:b/>
      <w:bCs/>
    </w:rPr>
  </w:style>
  <w:style w:type="paragraph" w:styleId="NormalWeb">
    <w:name w:val="Normal (Web)"/>
    <w:basedOn w:val="Normal"/>
    <w:uiPriority w:val="99"/>
    <w:semiHidden/>
    <w:unhideWhenUsed/>
    <w:rsid w:val="00914107"/>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Emphasis">
    <w:name w:val="Emphasis"/>
    <w:basedOn w:val="DefaultParagraphFont"/>
    <w:uiPriority w:val="20"/>
    <w:qFormat/>
    <w:rsid w:val="00914107"/>
    <w:rPr>
      <w:i/>
      <w:iCs/>
    </w:rPr>
  </w:style>
  <w:style w:type="paragraph" w:styleId="Revision">
    <w:name w:val="Revision"/>
    <w:hidden/>
    <w:uiPriority w:val="99"/>
    <w:semiHidden/>
    <w:rsid w:val="00B2143C"/>
    <w:pPr>
      <w:spacing w:after="0" w:line="240" w:lineRule="auto"/>
    </w:pPr>
  </w:style>
  <w:style w:type="paragraph" w:styleId="Header">
    <w:name w:val="header"/>
    <w:basedOn w:val="Normal"/>
    <w:link w:val="HeaderChar"/>
    <w:uiPriority w:val="99"/>
    <w:unhideWhenUsed/>
    <w:rsid w:val="009708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83A"/>
  </w:style>
  <w:style w:type="paragraph" w:styleId="Footer">
    <w:name w:val="footer"/>
    <w:basedOn w:val="Normal"/>
    <w:link w:val="FooterChar"/>
    <w:uiPriority w:val="99"/>
    <w:unhideWhenUsed/>
    <w:rsid w:val="009708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8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64713">
      <w:bodyDiv w:val="1"/>
      <w:marLeft w:val="0"/>
      <w:marRight w:val="0"/>
      <w:marTop w:val="0"/>
      <w:marBottom w:val="0"/>
      <w:divBdr>
        <w:top w:val="none" w:sz="0" w:space="0" w:color="auto"/>
        <w:left w:val="none" w:sz="0" w:space="0" w:color="auto"/>
        <w:bottom w:val="none" w:sz="0" w:space="0" w:color="auto"/>
        <w:right w:val="none" w:sz="0" w:space="0" w:color="auto"/>
      </w:divBdr>
    </w:div>
    <w:div w:id="19279117">
      <w:bodyDiv w:val="1"/>
      <w:marLeft w:val="0"/>
      <w:marRight w:val="0"/>
      <w:marTop w:val="0"/>
      <w:marBottom w:val="0"/>
      <w:divBdr>
        <w:top w:val="none" w:sz="0" w:space="0" w:color="auto"/>
        <w:left w:val="none" w:sz="0" w:space="0" w:color="auto"/>
        <w:bottom w:val="none" w:sz="0" w:space="0" w:color="auto"/>
        <w:right w:val="none" w:sz="0" w:space="0" w:color="auto"/>
      </w:divBdr>
    </w:div>
    <w:div w:id="34503693">
      <w:bodyDiv w:val="1"/>
      <w:marLeft w:val="0"/>
      <w:marRight w:val="0"/>
      <w:marTop w:val="0"/>
      <w:marBottom w:val="0"/>
      <w:divBdr>
        <w:top w:val="none" w:sz="0" w:space="0" w:color="auto"/>
        <w:left w:val="none" w:sz="0" w:space="0" w:color="auto"/>
        <w:bottom w:val="none" w:sz="0" w:space="0" w:color="auto"/>
        <w:right w:val="none" w:sz="0" w:space="0" w:color="auto"/>
      </w:divBdr>
    </w:div>
    <w:div w:id="51583820">
      <w:bodyDiv w:val="1"/>
      <w:marLeft w:val="0"/>
      <w:marRight w:val="0"/>
      <w:marTop w:val="0"/>
      <w:marBottom w:val="0"/>
      <w:divBdr>
        <w:top w:val="none" w:sz="0" w:space="0" w:color="auto"/>
        <w:left w:val="none" w:sz="0" w:space="0" w:color="auto"/>
        <w:bottom w:val="none" w:sz="0" w:space="0" w:color="auto"/>
        <w:right w:val="none" w:sz="0" w:space="0" w:color="auto"/>
      </w:divBdr>
    </w:div>
    <w:div w:id="52704429">
      <w:bodyDiv w:val="1"/>
      <w:marLeft w:val="0"/>
      <w:marRight w:val="0"/>
      <w:marTop w:val="0"/>
      <w:marBottom w:val="0"/>
      <w:divBdr>
        <w:top w:val="none" w:sz="0" w:space="0" w:color="auto"/>
        <w:left w:val="none" w:sz="0" w:space="0" w:color="auto"/>
        <w:bottom w:val="none" w:sz="0" w:space="0" w:color="auto"/>
        <w:right w:val="none" w:sz="0" w:space="0" w:color="auto"/>
      </w:divBdr>
    </w:div>
    <w:div w:id="76900805">
      <w:bodyDiv w:val="1"/>
      <w:marLeft w:val="0"/>
      <w:marRight w:val="0"/>
      <w:marTop w:val="0"/>
      <w:marBottom w:val="0"/>
      <w:divBdr>
        <w:top w:val="none" w:sz="0" w:space="0" w:color="auto"/>
        <w:left w:val="none" w:sz="0" w:space="0" w:color="auto"/>
        <w:bottom w:val="none" w:sz="0" w:space="0" w:color="auto"/>
        <w:right w:val="none" w:sz="0" w:space="0" w:color="auto"/>
      </w:divBdr>
    </w:div>
    <w:div w:id="86194826">
      <w:bodyDiv w:val="1"/>
      <w:marLeft w:val="0"/>
      <w:marRight w:val="0"/>
      <w:marTop w:val="0"/>
      <w:marBottom w:val="0"/>
      <w:divBdr>
        <w:top w:val="none" w:sz="0" w:space="0" w:color="auto"/>
        <w:left w:val="none" w:sz="0" w:space="0" w:color="auto"/>
        <w:bottom w:val="none" w:sz="0" w:space="0" w:color="auto"/>
        <w:right w:val="none" w:sz="0" w:space="0" w:color="auto"/>
      </w:divBdr>
    </w:div>
    <w:div w:id="87164049">
      <w:bodyDiv w:val="1"/>
      <w:marLeft w:val="0"/>
      <w:marRight w:val="0"/>
      <w:marTop w:val="0"/>
      <w:marBottom w:val="0"/>
      <w:divBdr>
        <w:top w:val="none" w:sz="0" w:space="0" w:color="auto"/>
        <w:left w:val="none" w:sz="0" w:space="0" w:color="auto"/>
        <w:bottom w:val="none" w:sz="0" w:space="0" w:color="auto"/>
        <w:right w:val="none" w:sz="0" w:space="0" w:color="auto"/>
      </w:divBdr>
    </w:div>
    <w:div w:id="101384401">
      <w:bodyDiv w:val="1"/>
      <w:marLeft w:val="0"/>
      <w:marRight w:val="0"/>
      <w:marTop w:val="0"/>
      <w:marBottom w:val="0"/>
      <w:divBdr>
        <w:top w:val="none" w:sz="0" w:space="0" w:color="auto"/>
        <w:left w:val="none" w:sz="0" w:space="0" w:color="auto"/>
        <w:bottom w:val="none" w:sz="0" w:space="0" w:color="auto"/>
        <w:right w:val="none" w:sz="0" w:space="0" w:color="auto"/>
      </w:divBdr>
    </w:div>
    <w:div w:id="106699047">
      <w:bodyDiv w:val="1"/>
      <w:marLeft w:val="0"/>
      <w:marRight w:val="0"/>
      <w:marTop w:val="0"/>
      <w:marBottom w:val="0"/>
      <w:divBdr>
        <w:top w:val="none" w:sz="0" w:space="0" w:color="auto"/>
        <w:left w:val="none" w:sz="0" w:space="0" w:color="auto"/>
        <w:bottom w:val="none" w:sz="0" w:space="0" w:color="auto"/>
        <w:right w:val="none" w:sz="0" w:space="0" w:color="auto"/>
      </w:divBdr>
    </w:div>
    <w:div w:id="106825572">
      <w:bodyDiv w:val="1"/>
      <w:marLeft w:val="0"/>
      <w:marRight w:val="0"/>
      <w:marTop w:val="0"/>
      <w:marBottom w:val="0"/>
      <w:divBdr>
        <w:top w:val="none" w:sz="0" w:space="0" w:color="auto"/>
        <w:left w:val="none" w:sz="0" w:space="0" w:color="auto"/>
        <w:bottom w:val="none" w:sz="0" w:space="0" w:color="auto"/>
        <w:right w:val="none" w:sz="0" w:space="0" w:color="auto"/>
      </w:divBdr>
    </w:div>
    <w:div w:id="108092594">
      <w:bodyDiv w:val="1"/>
      <w:marLeft w:val="0"/>
      <w:marRight w:val="0"/>
      <w:marTop w:val="0"/>
      <w:marBottom w:val="0"/>
      <w:divBdr>
        <w:top w:val="none" w:sz="0" w:space="0" w:color="auto"/>
        <w:left w:val="none" w:sz="0" w:space="0" w:color="auto"/>
        <w:bottom w:val="none" w:sz="0" w:space="0" w:color="auto"/>
        <w:right w:val="none" w:sz="0" w:space="0" w:color="auto"/>
      </w:divBdr>
    </w:div>
    <w:div w:id="125008682">
      <w:bodyDiv w:val="1"/>
      <w:marLeft w:val="0"/>
      <w:marRight w:val="0"/>
      <w:marTop w:val="0"/>
      <w:marBottom w:val="0"/>
      <w:divBdr>
        <w:top w:val="none" w:sz="0" w:space="0" w:color="auto"/>
        <w:left w:val="none" w:sz="0" w:space="0" w:color="auto"/>
        <w:bottom w:val="none" w:sz="0" w:space="0" w:color="auto"/>
        <w:right w:val="none" w:sz="0" w:space="0" w:color="auto"/>
      </w:divBdr>
    </w:div>
    <w:div w:id="136606618">
      <w:bodyDiv w:val="1"/>
      <w:marLeft w:val="0"/>
      <w:marRight w:val="0"/>
      <w:marTop w:val="0"/>
      <w:marBottom w:val="0"/>
      <w:divBdr>
        <w:top w:val="none" w:sz="0" w:space="0" w:color="auto"/>
        <w:left w:val="none" w:sz="0" w:space="0" w:color="auto"/>
        <w:bottom w:val="none" w:sz="0" w:space="0" w:color="auto"/>
        <w:right w:val="none" w:sz="0" w:space="0" w:color="auto"/>
      </w:divBdr>
    </w:div>
    <w:div w:id="141511266">
      <w:bodyDiv w:val="1"/>
      <w:marLeft w:val="0"/>
      <w:marRight w:val="0"/>
      <w:marTop w:val="0"/>
      <w:marBottom w:val="0"/>
      <w:divBdr>
        <w:top w:val="none" w:sz="0" w:space="0" w:color="auto"/>
        <w:left w:val="none" w:sz="0" w:space="0" w:color="auto"/>
        <w:bottom w:val="none" w:sz="0" w:space="0" w:color="auto"/>
        <w:right w:val="none" w:sz="0" w:space="0" w:color="auto"/>
      </w:divBdr>
    </w:div>
    <w:div w:id="155464245">
      <w:bodyDiv w:val="1"/>
      <w:marLeft w:val="0"/>
      <w:marRight w:val="0"/>
      <w:marTop w:val="0"/>
      <w:marBottom w:val="0"/>
      <w:divBdr>
        <w:top w:val="none" w:sz="0" w:space="0" w:color="auto"/>
        <w:left w:val="none" w:sz="0" w:space="0" w:color="auto"/>
        <w:bottom w:val="none" w:sz="0" w:space="0" w:color="auto"/>
        <w:right w:val="none" w:sz="0" w:space="0" w:color="auto"/>
      </w:divBdr>
    </w:div>
    <w:div w:id="162598509">
      <w:bodyDiv w:val="1"/>
      <w:marLeft w:val="0"/>
      <w:marRight w:val="0"/>
      <w:marTop w:val="0"/>
      <w:marBottom w:val="0"/>
      <w:divBdr>
        <w:top w:val="none" w:sz="0" w:space="0" w:color="auto"/>
        <w:left w:val="none" w:sz="0" w:space="0" w:color="auto"/>
        <w:bottom w:val="none" w:sz="0" w:space="0" w:color="auto"/>
        <w:right w:val="none" w:sz="0" w:space="0" w:color="auto"/>
      </w:divBdr>
    </w:div>
    <w:div w:id="168645936">
      <w:bodyDiv w:val="1"/>
      <w:marLeft w:val="0"/>
      <w:marRight w:val="0"/>
      <w:marTop w:val="0"/>
      <w:marBottom w:val="0"/>
      <w:divBdr>
        <w:top w:val="none" w:sz="0" w:space="0" w:color="auto"/>
        <w:left w:val="none" w:sz="0" w:space="0" w:color="auto"/>
        <w:bottom w:val="none" w:sz="0" w:space="0" w:color="auto"/>
        <w:right w:val="none" w:sz="0" w:space="0" w:color="auto"/>
      </w:divBdr>
    </w:div>
    <w:div w:id="188227932">
      <w:bodyDiv w:val="1"/>
      <w:marLeft w:val="0"/>
      <w:marRight w:val="0"/>
      <w:marTop w:val="0"/>
      <w:marBottom w:val="0"/>
      <w:divBdr>
        <w:top w:val="none" w:sz="0" w:space="0" w:color="auto"/>
        <w:left w:val="none" w:sz="0" w:space="0" w:color="auto"/>
        <w:bottom w:val="none" w:sz="0" w:space="0" w:color="auto"/>
        <w:right w:val="none" w:sz="0" w:space="0" w:color="auto"/>
      </w:divBdr>
    </w:div>
    <w:div w:id="191647917">
      <w:bodyDiv w:val="1"/>
      <w:marLeft w:val="0"/>
      <w:marRight w:val="0"/>
      <w:marTop w:val="0"/>
      <w:marBottom w:val="0"/>
      <w:divBdr>
        <w:top w:val="none" w:sz="0" w:space="0" w:color="auto"/>
        <w:left w:val="none" w:sz="0" w:space="0" w:color="auto"/>
        <w:bottom w:val="none" w:sz="0" w:space="0" w:color="auto"/>
        <w:right w:val="none" w:sz="0" w:space="0" w:color="auto"/>
      </w:divBdr>
    </w:div>
    <w:div w:id="203248708">
      <w:bodyDiv w:val="1"/>
      <w:marLeft w:val="0"/>
      <w:marRight w:val="0"/>
      <w:marTop w:val="0"/>
      <w:marBottom w:val="0"/>
      <w:divBdr>
        <w:top w:val="none" w:sz="0" w:space="0" w:color="auto"/>
        <w:left w:val="none" w:sz="0" w:space="0" w:color="auto"/>
        <w:bottom w:val="none" w:sz="0" w:space="0" w:color="auto"/>
        <w:right w:val="none" w:sz="0" w:space="0" w:color="auto"/>
      </w:divBdr>
    </w:div>
    <w:div w:id="204756327">
      <w:bodyDiv w:val="1"/>
      <w:marLeft w:val="0"/>
      <w:marRight w:val="0"/>
      <w:marTop w:val="0"/>
      <w:marBottom w:val="0"/>
      <w:divBdr>
        <w:top w:val="none" w:sz="0" w:space="0" w:color="auto"/>
        <w:left w:val="none" w:sz="0" w:space="0" w:color="auto"/>
        <w:bottom w:val="none" w:sz="0" w:space="0" w:color="auto"/>
        <w:right w:val="none" w:sz="0" w:space="0" w:color="auto"/>
      </w:divBdr>
    </w:div>
    <w:div w:id="247006519">
      <w:bodyDiv w:val="1"/>
      <w:marLeft w:val="0"/>
      <w:marRight w:val="0"/>
      <w:marTop w:val="0"/>
      <w:marBottom w:val="0"/>
      <w:divBdr>
        <w:top w:val="none" w:sz="0" w:space="0" w:color="auto"/>
        <w:left w:val="none" w:sz="0" w:space="0" w:color="auto"/>
        <w:bottom w:val="none" w:sz="0" w:space="0" w:color="auto"/>
        <w:right w:val="none" w:sz="0" w:space="0" w:color="auto"/>
      </w:divBdr>
    </w:div>
    <w:div w:id="249433527">
      <w:bodyDiv w:val="1"/>
      <w:marLeft w:val="0"/>
      <w:marRight w:val="0"/>
      <w:marTop w:val="0"/>
      <w:marBottom w:val="0"/>
      <w:divBdr>
        <w:top w:val="none" w:sz="0" w:space="0" w:color="auto"/>
        <w:left w:val="none" w:sz="0" w:space="0" w:color="auto"/>
        <w:bottom w:val="none" w:sz="0" w:space="0" w:color="auto"/>
        <w:right w:val="none" w:sz="0" w:space="0" w:color="auto"/>
      </w:divBdr>
    </w:div>
    <w:div w:id="250507069">
      <w:bodyDiv w:val="1"/>
      <w:marLeft w:val="0"/>
      <w:marRight w:val="0"/>
      <w:marTop w:val="0"/>
      <w:marBottom w:val="0"/>
      <w:divBdr>
        <w:top w:val="none" w:sz="0" w:space="0" w:color="auto"/>
        <w:left w:val="none" w:sz="0" w:space="0" w:color="auto"/>
        <w:bottom w:val="none" w:sz="0" w:space="0" w:color="auto"/>
        <w:right w:val="none" w:sz="0" w:space="0" w:color="auto"/>
      </w:divBdr>
    </w:div>
    <w:div w:id="251478504">
      <w:bodyDiv w:val="1"/>
      <w:marLeft w:val="0"/>
      <w:marRight w:val="0"/>
      <w:marTop w:val="0"/>
      <w:marBottom w:val="0"/>
      <w:divBdr>
        <w:top w:val="none" w:sz="0" w:space="0" w:color="auto"/>
        <w:left w:val="none" w:sz="0" w:space="0" w:color="auto"/>
        <w:bottom w:val="none" w:sz="0" w:space="0" w:color="auto"/>
        <w:right w:val="none" w:sz="0" w:space="0" w:color="auto"/>
      </w:divBdr>
    </w:div>
    <w:div w:id="272981446">
      <w:bodyDiv w:val="1"/>
      <w:marLeft w:val="0"/>
      <w:marRight w:val="0"/>
      <w:marTop w:val="0"/>
      <w:marBottom w:val="0"/>
      <w:divBdr>
        <w:top w:val="none" w:sz="0" w:space="0" w:color="auto"/>
        <w:left w:val="none" w:sz="0" w:space="0" w:color="auto"/>
        <w:bottom w:val="none" w:sz="0" w:space="0" w:color="auto"/>
        <w:right w:val="none" w:sz="0" w:space="0" w:color="auto"/>
      </w:divBdr>
    </w:div>
    <w:div w:id="284654955">
      <w:bodyDiv w:val="1"/>
      <w:marLeft w:val="0"/>
      <w:marRight w:val="0"/>
      <w:marTop w:val="0"/>
      <w:marBottom w:val="0"/>
      <w:divBdr>
        <w:top w:val="none" w:sz="0" w:space="0" w:color="auto"/>
        <w:left w:val="none" w:sz="0" w:space="0" w:color="auto"/>
        <w:bottom w:val="none" w:sz="0" w:space="0" w:color="auto"/>
        <w:right w:val="none" w:sz="0" w:space="0" w:color="auto"/>
      </w:divBdr>
    </w:div>
    <w:div w:id="287517617">
      <w:bodyDiv w:val="1"/>
      <w:marLeft w:val="0"/>
      <w:marRight w:val="0"/>
      <w:marTop w:val="0"/>
      <w:marBottom w:val="0"/>
      <w:divBdr>
        <w:top w:val="none" w:sz="0" w:space="0" w:color="auto"/>
        <w:left w:val="none" w:sz="0" w:space="0" w:color="auto"/>
        <w:bottom w:val="none" w:sz="0" w:space="0" w:color="auto"/>
        <w:right w:val="none" w:sz="0" w:space="0" w:color="auto"/>
      </w:divBdr>
    </w:div>
    <w:div w:id="288708275">
      <w:bodyDiv w:val="1"/>
      <w:marLeft w:val="0"/>
      <w:marRight w:val="0"/>
      <w:marTop w:val="0"/>
      <w:marBottom w:val="0"/>
      <w:divBdr>
        <w:top w:val="none" w:sz="0" w:space="0" w:color="auto"/>
        <w:left w:val="none" w:sz="0" w:space="0" w:color="auto"/>
        <w:bottom w:val="none" w:sz="0" w:space="0" w:color="auto"/>
        <w:right w:val="none" w:sz="0" w:space="0" w:color="auto"/>
      </w:divBdr>
    </w:div>
    <w:div w:id="294335461">
      <w:bodyDiv w:val="1"/>
      <w:marLeft w:val="0"/>
      <w:marRight w:val="0"/>
      <w:marTop w:val="0"/>
      <w:marBottom w:val="0"/>
      <w:divBdr>
        <w:top w:val="none" w:sz="0" w:space="0" w:color="auto"/>
        <w:left w:val="none" w:sz="0" w:space="0" w:color="auto"/>
        <w:bottom w:val="none" w:sz="0" w:space="0" w:color="auto"/>
        <w:right w:val="none" w:sz="0" w:space="0" w:color="auto"/>
      </w:divBdr>
    </w:div>
    <w:div w:id="296760918">
      <w:bodyDiv w:val="1"/>
      <w:marLeft w:val="0"/>
      <w:marRight w:val="0"/>
      <w:marTop w:val="0"/>
      <w:marBottom w:val="0"/>
      <w:divBdr>
        <w:top w:val="none" w:sz="0" w:space="0" w:color="auto"/>
        <w:left w:val="none" w:sz="0" w:space="0" w:color="auto"/>
        <w:bottom w:val="none" w:sz="0" w:space="0" w:color="auto"/>
        <w:right w:val="none" w:sz="0" w:space="0" w:color="auto"/>
      </w:divBdr>
    </w:div>
    <w:div w:id="300573603">
      <w:bodyDiv w:val="1"/>
      <w:marLeft w:val="0"/>
      <w:marRight w:val="0"/>
      <w:marTop w:val="0"/>
      <w:marBottom w:val="0"/>
      <w:divBdr>
        <w:top w:val="none" w:sz="0" w:space="0" w:color="auto"/>
        <w:left w:val="none" w:sz="0" w:space="0" w:color="auto"/>
        <w:bottom w:val="none" w:sz="0" w:space="0" w:color="auto"/>
        <w:right w:val="none" w:sz="0" w:space="0" w:color="auto"/>
      </w:divBdr>
    </w:div>
    <w:div w:id="308633958">
      <w:bodyDiv w:val="1"/>
      <w:marLeft w:val="0"/>
      <w:marRight w:val="0"/>
      <w:marTop w:val="0"/>
      <w:marBottom w:val="0"/>
      <w:divBdr>
        <w:top w:val="none" w:sz="0" w:space="0" w:color="auto"/>
        <w:left w:val="none" w:sz="0" w:space="0" w:color="auto"/>
        <w:bottom w:val="none" w:sz="0" w:space="0" w:color="auto"/>
        <w:right w:val="none" w:sz="0" w:space="0" w:color="auto"/>
      </w:divBdr>
    </w:div>
    <w:div w:id="312872990">
      <w:bodyDiv w:val="1"/>
      <w:marLeft w:val="0"/>
      <w:marRight w:val="0"/>
      <w:marTop w:val="0"/>
      <w:marBottom w:val="0"/>
      <w:divBdr>
        <w:top w:val="none" w:sz="0" w:space="0" w:color="auto"/>
        <w:left w:val="none" w:sz="0" w:space="0" w:color="auto"/>
        <w:bottom w:val="none" w:sz="0" w:space="0" w:color="auto"/>
        <w:right w:val="none" w:sz="0" w:space="0" w:color="auto"/>
      </w:divBdr>
    </w:div>
    <w:div w:id="315842264">
      <w:bodyDiv w:val="1"/>
      <w:marLeft w:val="0"/>
      <w:marRight w:val="0"/>
      <w:marTop w:val="0"/>
      <w:marBottom w:val="0"/>
      <w:divBdr>
        <w:top w:val="none" w:sz="0" w:space="0" w:color="auto"/>
        <w:left w:val="none" w:sz="0" w:space="0" w:color="auto"/>
        <w:bottom w:val="none" w:sz="0" w:space="0" w:color="auto"/>
        <w:right w:val="none" w:sz="0" w:space="0" w:color="auto"/>
      </w:divBdr>
    </w:div>
    <w:div w:id="316544326">
      <w:bodyDiv w:val="1"/>
      <w:marLeft w:val="0"/>
      <w:marRight w:val="0"/>
      <w:marTop w:val="0"/>
      <w:marBottom w:val="0"/>
      <w:divBdr>
        <w:top w:val="none" w:sz="0" w:space="0" w:color="auto"/>
        <w:left w:val="none" w:sz="0" w:space="0" w:color="auto"/>
        <w:bottom w:val="none" w:sz="0" w:space="0" w:color="auto"/>
        <w:right w:val="none" w:sz="0" w:space="0" w:color="auto"/>
      </w:divBdr>
    </w:div>
    <w:div w:id="331681465">
      <w:bodyDiv w:val="1"/>
      <w:marLeft w:val="0"/>
      <w:marRight w:val="0"/>
      <w:marTop w:val="0"/>
      <w:marBottom w:val="0"/>
      <w:divBdr>
        <w:top w:val="none" w:sz="0" w:space="0" w:color="auto"/>
        <w:left w:val="none" w:sz="0" w:space="0" w:color="auto"/>
        <w:bottom w:val="none" w:sz="0" w:space="0" w:color="auto"/>
        <w:right w:val="none" w:sz="0" w:space="0" w:color="auto"/>
      </w:divBdr>
    </w:div>
    <w:div w:id="334846483">
      <w:bodyDiv w:val="1"/>
      <w:marLeft w:val="0"/>
      <w:marRight w:val="0"/>
      <w:marTop w:val="0"/>
      <w:marBottom w:val="0"/>
      <w:divBdr>
        <w:top w:val="none" w:sz="0" w:space="0" w:color="auto"/>
        <w:left w:val="none" w:sz="0" w:space="0" w:color="auto"/>
        <w:bottom w:val="none" w:sz="0" w:space="0" w:color="auto"/>
        <w:right w:val="none" w:sz="0" w:space="0" w:color="auto"/>
      </w:divBdr>
    </w:div>
    <w:div w:id="346907332">
      <w:bodyDiv w:val="1"/>
      <w:marLeft w:val="0"/>
      <w:marRight w:val="0"/>
      <w:marTop w:val="0"/>
      <w:marBottom w:val="0"/>
      <w:divBdr>
        <w:top w:val="none" w:sz="0" w:space="0" w:color="auto"/>
        <w:left w:val="none" w:sz="0" w:space="0" w:color="auto"/>
        <w:bottom w:val="none" w:sz="0" w:space="0" w:color="auto"/>
        <w:right w:val="none" w:sz="0" w:space="0" w:color="auto"/>
      </w:divBdr>
    </w:div>
    <w:div w:id="346952258">
      <w:bodyDiv w:val="1"/>
      <w:marLeft w:val="0"/>
      <w:marRight w:val="0"/>
      <w:marTop w:val="0"/>
      <w:marBottom w:val="0"/>
      <w:divBdr>
        <w:top w:val="none" w:sz="0" w:space="0" w:color="auto"/>
        <w:left w:val="none" w:sz="0" w:space="0" w:color="auto"/>
        <w:bottom w:val="none" w:sz="0" w:space="0" w:color="auto"/>
        <w:right w:val="none" w:sz="0" w:space="0" w:color="auto"/>
      </w:divBdr>
    </w:div>
    <w:div w:id="351612331">
      <w:bodyDiv w:val="1"/>
      <w:marLeft w:val="0"/>
      <w:marRight w:val="0"/>
      <w:marTop w:val="0"/>
      <w:marBottom w:val="0"/>
      <w:divBdr>
        <w:top w:val="none" w:sz="0" w:space="0" w:color="auto"/>
        <w:left w:val="none" w:sz="0" w:space="0" w:color="auto"/>
        <w:bottom w:val="none" w:sz="0" w:space="0" w:color="auto"/>
        <w:right w:val="none" w:sz="0" w:space="0" w:color="auto"/>
      </w:divBdr>
    </w:div>
    <w:div w:id="361710329">
      <w:bodyDiv w:val="1"/>
      <w:marLeft w:val="0"/>
      <w:marRight w:val="0"/>
      <w:marTop w:val="0"/>
      <w:marBottom w:val="0"/>
      <w:divBdr>
        <w:top w:val="none" w:sz="0" w:space="0" w:color="auto"/>
        <w:left w:val="none" w:sz="0" w:space="0" w:color="auto"/>
        <w:bottom w:val="none" w:sz="0" w:space="0" w:color="auto"/>
        <w:right w:val="none" w:sz="0" w:space="0" w:color="auto"/>
      </w:divBdr>
    </w:div>
    <w:div w:id="380247344">
      <w:bodyDiv w:val="1"/>
      <w:marLeft w:val="0"/>
      <w:marRight w:val="0"/>
      <w:marTop w:val="0"/>
      <w:marBottom w:val="0"/>
      <w:divBdr>
        <w:top w:val="none" w:sz="0" w:space="0" w:color="auto"/>
        <w:left w:val="none" w:sz="0" w:space="0" w:color="auto"/>
        <w:bottom w:val="none" w:sz="0" w:space="0" w:color="auto"/>
        <w:right w:val="none" w:sz="0" w:space="0" w:color="auto"/>
      </w:divBdr>
    </w:div>
    <w:div w:id="383063256">
      <w:bodyDiv w:val="1"/>
      <w:marLeft w:val="0"/>
      <w:marRight w:val="0"/>
      <w:marTop w:val="0"/>
      <w:marBottom w:val="0"/>
      <w:divBdr>
        <w:top w:val="none" w:sz="0" w:space="0" w:color="auto"/>
        <w:left w:val="none" w:sz="0" w:space="0" w:color="auto"/>
        <w:bottom w:val="none" w:sz="0" w:space="0" w:color="auto"/>
        <w:right w:val="none" w:sz="0" w:space="0" w:color="auto"/>
      </w:divBdr>
    </w:div>
    <w:div w:id="383064568">
      <w:bodyDiv w:val="1"/>
      <w:marLeft w:val="0"/>
      <w:marRight w:val="0"/>
      <w:marTop w:val="0"/>
      <w:marBottom w:val="0"/>
      <w:divBdr>
        <w:top w:val="none" w:sz="0" w:space="0" w:color="auto"/>
        <w:left w:val="none" w:sz="0" w:space="0" w:color="auto"/>
        <w:bottom w:val="none" w:sz="0" w:space="0" w:color="auto"/>
        <w:right w:val="none" w:sz="0" w:space="0" w:color="auto"/>
      </w:divBdr>
    </w:div>
    <w:div w:id="411314415">
      <w:bodyDiv w:val="1"/>
      <w:marLeft w:val="0"/>
      <w:marRight w:val="0"/>
      <w:marTop w:val="0"/>
      <w:marBottom w:val="0"/>
      <w:divBdr>
        <w:top w:val="none" w:sz="0" w:space="0" w:color="auto"/>
        <w:left w:val="none" w:sz="0" w:space="0" w:color="auto"/>
        <w:bottom w:val="none" w:sz="0" w:space="0" w:color="auto"/>
        <w:right w:val="none" w:sz="0" w:space="0" w:color="auto"/>
      </w:divBdr>
    </w:div>
    <w:div w:id="420682994">
      <w:bodyDiv w:val="1"/>
      <w:marLeft w:val="0"/>
      <w:marRight w:val="0"/>
      <w:marTop w:val="0"/>
      <w:marBottom w:val="0"/>
      <w:divBdr>
        <w:top w:val="none" w:sz="0" w:space="0" w:color="auto"/>
        <w:left w:val="none" w:sz="0" w:space="0" w:color="auto"/>
        <w:bottom w:val="none" w:sz="0" w:space="0" w:color="auto"/>
        <w:right w:val="none" w:sz="0" w:space="0" w:color="auto"/>
      </w:divBdr>
    </w:div>
    <w:div w:id="431823912">
      <w:bodyDiv w:val="1"/>
      <w:marLeft w:val="0"/>
      <w:marRight w:val="0"/>
      <w:marTop w:val="0"/>
      <w:marBottom w:val="0"/>
      <w:divBdr>
        <w:top w:val="none" w:sz="0" w:space="0" w:color="auto"/>
        <w:left w:val="none" w:sz="0" w:space="0" w:color="auto"/>
        <w:bottom w:val="none" w:sz="0" w:space="0" w:color="auto"/>
        <w:right w:val="none" w:sz="0" w:space="0" w:color="auto"/>
      </w:divBdr>
    </w:div>
    <w:div w:id="434205842">
      <w:bodyDiv w:val="1"/>
      <w:marLeft w:val="0"/>
      <w:marRight w:val="0"/>
      <w:marTop w:val="0"/>
      <w:marBottom w:val="0"/>
      <w:divBdr>
        <w:top w:val="none" w:sz="0" w:space="0" w:color="auto"/>
        <w:left w:val="none" w:sz="0" w:space="0" w:color="auto"/>
        <w:bottom w:val="none" w:sz="0" w:space="0" w:color="auto"/>
        <w:right w:val="none" w:sz="0" w:space="0" w:color="auto"/>
      </w:divBdr>
    </w:div>
    <w:div w:id="467552783">
      <w:bodyDiv w:val="1"/>
      <w:marLeft w:val="0"/>
      <w:marRight w:val="0"/>
      <w:marTop w:val="0"/>
      <w:marBottom w:val="0"/>
      <w:divBdr>
        <w:top w:val="none" w:sz="0" w:space="0" w:color="auto"/>
        <w:left w:val="none" w:sz="0" w:space="0" w:color="auto"/>
        <w:bottom w:val="none" w:sz="0" w:space="0" w:color="auto"/>
        <w:right w:val="none" w:sz="0" w:space="0" w:color="auto"/>
      </w:divBdr>
    </w:div>
    <w:div w:id="478498850">
      <w:bodyDiv w:val="1"/>
      <w:marLeft w:val="0"/>
      <w:marRight w:val="0"/>
      <w:marTop w:val="0"/>
      <w:marBottom w:val="0"/>
      <w:divBdr>
        <w:top w:val="none" w:sz="0" w:space="0" w:color="auto"/>
        <w:left w:val="none" w:sz="0" w:space="0" w:color="auto"/>
        <w:bottom w:val="none" w:sz="0" w:space="0" w:color="auto"/>
        <w:right w:val="none" w:sz="0" w:space="0" w:color="auto"/>
      </w:divBdr>
    </w:div>
    <w:div w:id="485706168">
      <w:bodyDiv w:val="1"/>
      <w:marLeft w:val="0"/>
      <w:marRight w:val="0"/>
      <w:marTop w:val="0"/>
      <w:marBottom w:val="0"/>
      <w:divBdr>
        <w:top w:val="none" w:sz="0" w:space="0" w:color="auto"/>
        <w:left w:val="none" w:sz="0" w:space="0" w:color="auto"/>
        <w:bottom w:val="none" w:sz="0" w:space="0" w:color="auto"/>
        <w:right w:val="none" w:sz="0" w:space="0" w:color="auto"/>
      </w:divBdr>
    </w:div>
    <w:div w:id="491609272">
      <w:bodyDiv w:val="1"/>
      <w:marLeft w:val="0"/>
      <w:marRight w:val="0"/>
      <w:marTop w:val="0"/>
      <w:marBottom w:val="0"/>
      <w:divBdr>
        <w:top w:val="none" w:sz="0" w:space="0" w:color="auto"/>
        <w:left w:val="none" w:sz="0" w:space="0" w:color="auto"/>
        <w:bottom w:val="none" w:sz="0" w:space="0" w:color="auto"/>
        <w:right w:val="none" w:sz="0" w:space="0" w:color="auto"/>
      </w:divBdr>
    </w:div>
    <w:div w:id="507450600">
      <w:bodyDiv w:val="1"/>
      <w:marLeft w:val="0"/>
      <w:marRight w:val="0"/>
      <w:marTop w:val="0"/>
      <w:marBottom w:val="0"/>
      <w:divBdr>
        <w:top w:val="none" w:sz="0" w:space="0" w:color="auto"/>
        <w:left w:val="none" w:sz="0" w:space="0" w:color="auto"/>
        <w:bottom w:val="none" w:sz="0" w:space="0" w:color="auto"/>
        <w:right w:val="none" w:sz="0" w:space="0" w:color="auto"/>
      </w:divBdr>
    </w:div>
    <w:div w:id="512114620">
      <w:bodyDiv w:val="1"/>
      <w:marLeft w:val="0"/>
      <w:marRight w:val="0"/>
      <w:marTop w:val="0"/>
      <w:marBottom w:val="0"/>
      <w:divBdr>
        <w:top w:val="none" w:sz="0" w:space="0" w:color="auto"/>
        <w:left w:val="none" w:sz="0" w:space="0" w:color="auto"/>
        <w:bottom w:val="none" w:sz="0" w:space="0" w:color="auto"/>
        <w:right w:val="none" w:sz="0" w:space="0" w:color="auto"/>
      </w:divBdr>
    </w:div>
    <w:div w:id="532232627">
      <w:bodyDiv w:val="1"/>
      <w:marLeft w:val="0"/>
      <w:marRight w:val="0"/>
      <w:marTop w:val="0"/>
      <w:marBottom w:val="0"/>
      <w:divBdr>
        <w:top w:val="none" w:sz="0" w:space="0" w:color="auto"/>
        <w:left w:val="none" w:sz="0" w:space="0" w:color="auto"/>
        <w:bottom w:val="none" w:sz="0" w:space="0" w:color="auto"/>
        <w:right w:val="none" w:sz="0" w:space="0" w:color="auto"/>
      </w:divBdr>
    </w:div>
    <w:div w:id="539319589">
      <w:bodyDiv w:val="1"/>
      <w:marLeft w:val="0"/>
      <w:marRight w:val="0"/>
      <w:marTop w:val="0"/>
      <w:marBottom w:val="0"/>
      <w:divBdr>
        <w:top w:val="none" w:sz="0" w:space="0" w:color="auto"/>
        <w:left w:val="none" w:sz="0" w:space="0" w:color="auto"/>
        <w:bottom w:val="none" w:sz="0" w:space="0" w:color="auto"/>
        <w:right w:val="none" w:sz="0" w:space="0" w:color="auto"/>
      </w:divBdr>
    </w:div>
    <w:div w:id="541138915">
      <w:bodyDiv w:val="1"/>
      <w:marLeft w:val="0"/>
      <w:marRight w:val="0"/>
      <w:marTop w:val="0"/>
      <w:marBottom w:val="0"/>
      <w:divBdr>
        <w:top w:val="none" w:sz="0" w:space="0" w:color="auto"/>
        <w:left w:val="none" w:sz="0" w:space="0" w:color="auto"/>
        <w:bottom w:val="none" w:sz="0" w:space="0" w:color="auto"/>
        <w:right w:val="none" w:sz="0" w:space="0" w:color="auto"/>
      </w:divBdr>
    </w:div>
    <w:div w:id="545534279">
      <w:bodyDiv w:val="1"/>
      <w:marLeft w:val="0"/>
      <w:marRight w:val="0"/>
      <w:marTop w:val="0"/>
      <w:marBottom w:val="0"/>
      <w:divBdr>
        <w:top w:val="none" w:sz="0" w:space="0" w:color="auto"/>
        <w:left w:val="none" w:sz="0" w:space="0" w:color="auto"/>
        <w:bottom w:val="none" w:sz="0" w:space="0" w:color="auto"/>
        <w:right w:val="none" w:sz="0" w:space="0" w:color="auto"/>
      </w:divBdr>
    </w:div>
    <w:div w:id="563489454">
      <w:bodyDiv w:val="1"/>
      <w:marLeft w:val="0"/>
      <w:marRight w:val="0"/>
      <w:marTop w:val="0"/>
      <w:marBottom w:val="0"/>
      <w:divBdr>
        <w:top w:val="none" w:sz="0" w:space="0" w:color="auto"/>
        <w:left w:val="none" w:sz="0" w:space="0" w:color="auto"/>
        <w:bottom w:val="none" w:sz="0" w:space="0" w:color="auto"/>
        <w:right w:val="none" w:sz="0" w:space="0" w:color="auto"/>
      </w:divBdr>
    </w:div>
    <w:div w:id="564218152">
      <w:bodyDiv w:val="1"/>
      <w:marLeft w:val="0"/>
      <w:marRight w:val="0"/>
      <w:marTop w:val="0"/>
      <w:marBottom w:val="0"/>
      <w:divBdr>
        <w:top w:val="none" w:sz="0" w:space="0" w:color="auto"/>
        <w:left w:val="none" w:sz="0" w:space="0" w:color="auto"/>
        <w:bottom w:val="none" w:sz="0" w:space="0" w:color="auto"/>
        <w:right w:val="none" w:sz="0" w:space="0" w:color="auto"/>
      </w:divBdr>
    </w:div>
    <w:div w:id="564951689">
      <w:bodyDiv w:val="1"/>
      <w:marLeft w:val="0"/>
      <w:marRight w:val="0"/>
      <w:marTop w:val="0"/>
      <w:marBottom w:val="0"/>
      <w:divBdr>
        <w:top w:val="none" w:sz="0" w:space="0" w:color="auto"/>
        <w:left w:val="none" w:sz="0" w:space="0" w:color="auto"/>
        <w:bottom w:val="none" w:sz="0" w:space="0" w:color="auto"/>
        <w:right w:val="none" w:sz="0" w:space="0" w:color="auto"/>
      </w:divBdr>
    </w:div>
    <w:div w:id="573661163">
      <w:bodyDiv w:val="1"/>
      <w:marLeft w:val="0"/>
      <w:marRight w:val="0"/>
      <w:marTop w:val="0"/>
      <w:marBottom w:val="0"/>
      <w:divBdr>
        <w:top w:val="none" w:sz="0" w:space="0" w:color="auto"/>
        <w:left w:val="none" w:sz="0" w:space="0" w:color="auto"/>
        <w:bottom w:val="none" w:sz="0" w:space="0" w:color="auto"/>
        <w:right w:val="none" w:sz="0" w:space="0" w:color="auto"/>
      </w:divBdr>
    </w:div>
    <w:div w:id="574630438">
      <w:bodyDiv w:val="1"/>
      <w:marLeft w:val="0"/>
      <w:marRight w:val="0"/>
      <w:marTop w:val="0"/>
      <w:marBottom w:val="0"/>
      <w:divBdr>
        <w:top w:val="none" w:sz="0" w:space="0" w:color="auto"/>
        <w:left w:val="none" w:sz="0" w:space="0" w:color="auto"/>
        <w:bottom w:val="none" w:sz="0" w:space="0" w:color="auto"/>
        <w:right w:val="none" w:sz="0" w:space="0" w:color="auto"/>
      </w:divBdr>
    </w:div>
    <w:div w:id="574900731">
      <w:bodyDiv w:val="1"/>
      <w:marLeft w:val="0"/>
      <w:marRight w:val="0"/>
      <w:marTop w:val="0"/>
      <w:marBottom w:val="0"/>
      <w:divBdr>
        <w:top w:val="none" w:sz="0" w:space="0" w:color="auto"/>
        <w:left w:val="none" w:sz="0" w:space="0" w:color="auto"/>
        <w:bottom w:val="none" w:sz="0" w:space="0" w:color="auto"/>
        <w:right w:val="none" w:sz="0" w:space="0" w:color="auto"/>
      </w:divBdr>
    </w:div>
    <w:div w:id="601642611">
      <w:bodyDiv w:val="1"/>
      <w:marLeft w:val="0"/>
      <w:marRight w:val="0"/>
      <w:marTop w:val="0"/>
      <w:marBottom w:val="0"/>
      <w:divBdr>
        <w:top w:val="none" w:sz="0" w:space="0" w:color="auto"/>
        <w:left w:val="none" w:sz="0" w:space="0" w:color="auto"/>
        <w:bottom w:val="none" w:sz="0" w:space="0" w:color="auto"/>
        <w:right w:val="none" w:sz="0" w:space="0" w:color="auto"/>
      </w:divBdr>
    </w:div>
    <w:div w:id="601644436">
      <w:bodyDiv w:val="1"/>
      <w:marLeft w:val="0"/>
      <w:marRight w:val="0"/>
      <w:marTop w:val="0"/>
      <w:marBottom w:val="0"/>
      <w:divBdr>
        <w:top w:val="none" w:sz="0" w:space="0" w:color="auto"/>
        <w:left w:val="none" w:sz="0" w:space="0" w:color="auto"/>
        <w:bottom w:val="none" w:sz="0" w:space="0" w:color="auto"/>
        <w:right w:val="none" w:sz="0" w:space="0" w:color="auto"/>
      </w:divBdr>
    </w:div>
    <w:div w:id="605426568">
      <w:bodyDiv w:val="1"/>
      <w:marLeft w:val="0"/>
      <w:marRight w:val="0"/>
      <w:marTop w:val="0"/>
      <w:marBottom w:val="0"/>
      <w:divBdr>
        <w:top w:val="none" w:sz="0" w:space="0" w:color="auto"/>
        <w:left w:val="none" w:sz="0" w:space="0" w:color="auto"/>
        <w:bottom w:val="none" w:sz="0" w:space="0" w:color="auto"/>
        <w:right w:val="none" w:sz="0" w:space="0" w:color="auto"/>
      </w:divBdr>
    </w:div>
    <w:div w:id="628050563">
      <w:bodyDiv w:val="1"/>
      <w:marLeft w:val="0"/>
      <w:marRight w:val="0"/>
      <w:marTop w:val="0"/>
      <w:marBottom w:val="0"/>
      <w:divBdr>
        <w:top w:val="none" w:sz="0" w:space="0" w:color="auto"/>
        <w:left w:val="none" w:sz="0" w:space="0" w:color="auto"/>
        <w:bottom w:val="none" w:sz="0" w:space="0" w:color="auto"/>
        <w:right w:val="none" w:sz="0" w:space="0" w:color="auto"/>
      </w:divBdr>
    </w:div>
    <w:div w:id="639573687">
      <w:bodyDiv w:val="1"/>
      <w:marLeft w:val="0"/>
      <w:marRight w:val="0"/>
      <w:marTop w:val="0"/>
      <w:marBottom w:val="0"/>
      <w:divBdr>
        <w:top w:val="none" w:sz="0" w:space="0" w:color="auto"/>
        <w:left w:val="none" w:sz="0" w:space="0" w:color="auto"/>
        <w:bottom w:val="none" w:sz="0" w:space="0" w:color="auto"/>
        <w:right w:val="none" w:sz="0" w:space="0" w:color="auto"/>
      </w:divBdr>
    </w:div>
    <w:div w:id="686056446">
      <w:bodyDiv w:val="1"/>
      <w:marLeft w:val="0"/>
      <w:marRight w:val="0"/>
      <w:marTop w:val="0"/>
      <w:marBottom w:val="0"/>
      <w:divBdr>
        <w:top w:val="none" w:sz="0" w:space="0" w:color="auto"/>
        <w:left w:val="none" w:sz="0" w:space="0" w:color="auto"/>
        <w:bottom w:val="none" w:sz="0" w:space="0" w:color="auto"/>
        <w:right w:val="none" w:sz="0" w:space="0" w:color="auto"/>
      </w:divBdr>
    </w:div>
    <w:div w:id="694843204">
      <w:bodyDiv w:val="1"/>
      <w:marLeft w:val="0"/>
      <w:marRight w:val="0"/>
      <w:marTop w:val="0"/>
      <w:marBottom w:val="0"/>
      <w:divBdr>
        <w:top w:val="none" w:sz="0" w:space="0" w:color="auto"/>
        <w:left w:val="none" w:sz="0" w:space="0" w:color="auto"/>
        <w:bottom w:val="none" w:sz="0" w:space="0" w:color="auto"/>
        <w:right w:val="none" w:sz="0" w:space="0" w:color="auto"/>
      </w:divBdr>
    </w:div>
    <w:div w:id="721058694">
      <w:bodyDiv w:val="1"/>
      <w:marLeft w:val="0"/>
      <w:marRight w:val="0"/>
      <w:marTop w:val="0"/>
      <w:marBottom w:val="0"/>
      <w:divBdr>
        <w:top w:val="none" w:sz="0" w:space="0" w:color="auto"/>
        <w:left w:val="none" w:sz="0" w:space="0" w:color="auto"/>
        <w:bottom w:val="none" w:sz="0" w:space="0" w:color="auto"/>
        <w:right w:val="none" w:sz="0" w:space="0" w:color="auto"/>
      </w:divBdr>
    </w:div>
    <w:div w:id="732973899">
      <w:bodyDiv w:val="1"/>
      <w:marLeft w:val="0"/>
      <w:marRight w:val="0"/>
      <w:marTop w:val="0"/>
      <w:marBottom w:val="0"/>
      <w:divBdr>
        <w:top w:val="none" w:sz="0" w:space="0" w:color="auto"/>
        <w:left w:val="none" w:sz="0" w:space="0" w:color="auto"/>
        <w:bottom w:val="none" w:sz="0" w:space="0" w:color="auto"/>
        <w:right w:val="none" w:sz="0" w:space="0" w:color="auto"/>
      </w:divBdr>
    </w:div>
    <w:div w:id="746809433">
      <w:bodyDiv w:val="1"/>
      <w:marLeft w:val="0"/>
      <w:marRight w:val="0"/>
      <w:marTop w:val="0"/>
      <w:marBottom w:val="0"/>
      <w:divBdr>
        <w:top w:val="none" w:sz="0" w:space="0" w:color="auto"/>
        <w:left w:val="none" w:sz="0" w:space="0" w:color="auto"/>
        <w:bottom w:val="none" w:sz="0" w:space="0" w:color="auto"/>
        <w:right w:val="none" w:sz="0" w:space="0" w:color="auto"/>
      </w:divBdr>
    </w:div>
    <w:div w:id="752582192">
      <w:bodyDiv w:val="1"/>
      <w:marLeft w:val="0"/>
      <w:marRight w:val="0"/>
      <w:marTop w:val="0"/>
      <w:marBottom w:val="0"/>
      <w:divBdr>
        <w:top w:val="none" w:sz="0" w:space="0" w:color="auto"/>
        <w:left w:val="none" w:sz="0" w:space="0" w:color="auto"/>
        <w:bottom w:val="none" w:sz="0" w:space="0" w:color="auto"/>
        <w:right w:val="none" w:sz="0" w:space="0" w:color="auto"/>
      </w:divBdr>
    </w:div>
    <w:div w:id="765423090">
      <w:bodyDiv w:val="1"/>
      <w:marLeft w:val="0"/>
      <w:marRight w:val="0"/>
      <w:marTop w:val="0"/>
      <w:marBottom w:val="0"/>
      <w:divBdr>
        <w:top w:val="none" w:sz="0" w:space="0" w:color="auto"/>
        <w:left w:val="none" w:sz="0" w:space="0" w:color="auto"/>
        <w:bottom w:val="none" w:sz="0" w:space="0" w:color="auto"/>
        <w:right w:val="none" w:sz="0" w:space="0" w:color="auto"/>
      </w:divBdr>
    </w:div>
    <w:div w:id="774640851">
      <w:bodyDiv w:val="1"/>
      <w:marLeft w:val="0"/>
      <w:marRight w:val="0"/>
      <w:marTop w:val="0"/>
      <w:marBottom w:val="0"/>
      <w:divBdr>
        <w:top w:val="none" w:sz="0" w:space="0" w:color="auto"/>
        <w:left w:val="none" w:sz="0" w:space="0" w:color="auto"/>
        <w:bottom w:val="none" w:sz="0" w:space="0" w:color="auto"/>
        <w:right w:val="none" w:sz="0" w:space="0" w:color="auto"/>
      </w:divBdr>
    </w:div>
    <w:div w:id="785392194">
      <w:bodyDiv w:val="1"/>
      <w:marLeft w:val="0"/>
      <w:marRight w:val="0"/>
      <w:marTop w:val="0"/>
      <w:marBottom w:val="0"/>
      <w:divBdr>
        <w:top w:val="none" w:sz="0" w:space="0" w:color="auto"/>
        <w:left w:val="none" w:sz="0" w:space="0" w:color="auto"/>
        <w:bottom w:val="none" w:sz="0" w:space="0" w:color="auto"/>
        <w:right w:val="none" w:sz="0" w:space="0" w:color="auto"/>
      </w:divBdr>
    </w:div>
    <w:div w:id="789862673">
      <w:bodyDiv w:val="1"/>
      <w:marLeft w:val="0"/>
      <w:marRight w:val="0"/>
      <w:marTop w:val="0"/>
      <w:marBottom w:val="0"/>
      <w:divBdr>
        <w:top w:val="none" w:sz="0" w:space="0" w:color="auto"/>
        <w:left w:val="none" w:sz="0" w:space="0" w:color="auto"/>
        <w:bottom w:val="none" w:sz="0" w:space="0" w:color="auto"/>
        <w:right w:val="none" w:sz="0" w:space="0" w:color="auto"/>
      </w:divBdr>
    </w:div>
    <w:div w:id="793058858">
      <w:bodyDiv w:val="1"/>
      <w:marLeft w:val="0"/>
      <w:marRight w:val="0"/>
      <w:marTop w:val="0"/>
      <w:marBottom w:val="0"/>
      <w:divBdr>
        <w:top w:val="none" w:sz="0" w:space="0" w:color="auto"/>
        <w:left w:val="none" w:sz="0" w:space="0" w:color="auto"/>
        <w:bottom w:val="none" w:sz="0" w:space="0" w:color="auto"/>
        <w:right w:val="none" w:sz="0" w:space="0" w:color="auto"/>
      </w:divBdr>
    </w:div>
    <w:div w:id="801461098">
      <w:bodyDiv w:val="1"/>
      <w:marLeft w:val="0"/>
      <w:marRight w:val="0"/>
      <w:marTop w:val="0"/>
      <w:marBottom w:val="0"/>
      <w:divBdr>
        <w:top w:val="none" w:sz="0" w:space="0" w:color="auto"/>
        <w:left w:val="none" w:sz="0" w:space="0" w:color="auto"/>
        <w:bottom w:val="none" w:sz="0" w:space="0" w:color="auto"/>
        <w:right w:val="none" w:sz="0" w:space="0" w:color="auto"/>
      </w:divBdr>
    </w:div>
    <w:div w:id="809054864">
      <w:bodyDiv w:val="1"/>
      <w:marLeft w:val="0"/>
      <w:marRight w:val="0"/>
      <w:marTop w:val="0"/>
      <w:marBottom w:val="0"/>
      <w:divBdr>
        <w:top w:val="none" w:sz="0" w:space="0" w:color="auto"/>
        <w:left w:val="none" w:sz="0" w:space="0" w:color="auto"/>
        <w:bottom w:val="none" w:sz="0" w:space="0" w:color="auto"/>
        <w:right w:val="none" w:sz="0" w:space="0" w:color="auto"/>
      </w:divBdr>
    </w:div>
    <w:div w:id="815419720">
      <w:bodyDiv w:val="1"/>
      <w:marLeft w:val="0"/>
      <w:marRight w:val="0"/>
      <w:marTop w:val="0"/>
      <w:marBottom w:val="0"/>
      <w:divBdr>
        <w:top w:val="none" w:sz="0" w:space="0" w:color="auto"/>
        <w:left w:val="none" w:sz="0" w:space="0" w:color="auto"/>
        <w:bottom w:val="none" w:sz="0" w:space="0" w:color="auto"/>
        <w:right w:val="none" w:sz="0" w:space="0" w:color="auto"/>
      </w:divBdr>
    </w:div>
    <w:div w:id="822743172">
      <w:bodyDiv w:val="1"/>
      <w:marLeft w:val="0"/>
      <w:marRight w:val="0"/>
      <w:marTop w:val="0"/>
      <w:marBottom w:val="0"/>
      <w:divBdr>
        <w:top w:val="none" w:sz="0" w:space="0" w:color="auto"/>
        <w:left w:val="none" w:sz="0" w:space="0" w:color="auto"/>
        <w:bottom w:val="none" w:sz="0" w:space="0" w:color="auto"/>
        <w:right w:val="none" w:sz="0" w:space="0" w:color="auto"/>
      </w:divBdr>
    </w:div>
    <w:div w:id="827985845">
      <w:bodyDiv w:val="1"/>
      <w:marLeft w:val="0"/>
      <w:marRight w:val="0"/>
      <w:marTop w:val="0"/>
      <w:marBottom w:val="0"/>
      <w:divBdr>
        <w:top w:val="none" w:sz="0" w:space="0" w:color="auto"/>
        <w:left w:val="none" w:sz="0" w:space="0" w:color="auto"/>
        <w:bottom w:val="none" w:sz="0" w:space="0" w:color="auto"/>
        <w:right w:val="none" w:sz="0" w:space="0" w:color="auto"/>
      </w:divBdr>
    </w:div>
    <w:div w:id="833374746">
      <w:bodyDiv w:val="1"/>
      <w:marLeft w:val="0"/>
      <w:marRight w:val="0"/>
      <w:marTop w:val="0"/>
      <w:marBottom w:val="0"/>
      <w:divBdr>
        <w:top w:val="none" w:sz="0" w:space="0" w:color="auto"/>
        <w:left w:val="none" w:sz="0" w:space="0" w:color="auto"/>
        <w:bottom w:val="none" w:sz="0" w:space="0" w:color="auto"/>
        <w:right w:val="none" w:sz="0" w:space="0" w:color="auto"/>
      </w:divBdr>
    </w:div>
    <w:div w:id="835463026">
      <w:bodyDiv w:val="1"/>
      <w:marLeft w:val="0"/>
      <w:marRight w:val="0"/>
      <w:marTop w:val="0"/>
      <w:marBottom w:val="0"/>
      <w:divBdr>
        <w:top w:val="none" w:sz="0" w:space="0" w:color="auto"/>
        <w:left w:val="none" w:sz="0" w:space="0" w:color="auto"/>
        <w:bottom w:val="none" w:sz="0" w:space="0" w:color="auto"/>
        <w:right w:val="none" w:sz="0" w:space="0" w:color="auto"/>
      </w:divBdr>
    </w:div>
    <w:div w:id="840895936">
      <w:bodyDiv w:val="1"/>
      <w:marLeft w:val="0"/>
      <w:marRight w:val="0"/>
      <w:marTop w:val="0"/>
      <w:marBottom w:val="0"/>
      <w:divBdr>
        <w:top w:val="none" w:sz="0" w:space="0" w:color="auto"/>
        <w:left w:val="none" w:sz="0" w:space="0" w:color="auto"/>
        <w:bottom w:val="none" w:sz="0" w:space="0" w:color="auto"/>
        <w:right w:val="none" w:sz="0" w:space="0" w:color="auto"/>
      </w:divBdr>
    </w:div>
    <w:div w:id="841286231">
      <w:bodyDiv w:val="1"/>
      <w:marLeft w:val="0"/>
      <w:marRight w:val="0"/>
      <w:marTop w:val="0"/>
      <w:marBottom w:val="0"/>
      <w:divBdr>
        <w:top w:val="none" w:sz="0" w:space="0" w:color="auto"/>
        <w:left w:val="none" w:sz="0" w:space="0" w:color="auto"/>
        <w:bottom w:val="none" w:sz="0" w:space="0" w:color="auto"/>
        <w:right w:val="none" w:sz="0" w:space="0" w:color="auto"/>
      </w:divBdr>
    </w:div>
    <w:div w:id="846410701">
      <w:bodyDiv w:val="1"/>
      <w:marLeft w:val="0"/>
      <w:marRight w:val="0"/>
      <w:marTop w:val="0"/>
      <w:marBottom w:val="0"/>
      <w:divBdr>
        <w:top w:val="none" w:sz="0" w:space="0" w:color="auto"/>
        <w:left w:val="none" w:sz="0" w:space="0" w:color="auto"/>
        <w:bottom w:val="none" w:sz="0" w:space="0" w:color="auto"/>
        <w:right w:val="none" w:sz="0" w:space="0" w:color="auto"/>
      </w:divBdr>
    </w:div>
    <w:div w:id="847065738">
      <w:bodyDiv w:val="1"/>
      <w:marLeft w:val="0"/>
      <w:marRight w:val="0"/>
      <w:marTop w:val="0"/>
      <w:marBottom w:val="0"/>
      <w:divBdr>
        <w:top w:val="none" w:sz="0" w:space="0" w:color="auto"/>
        <w:left w:val="none" w:sz="0" w:space="0" w:color="auto"/>
        <w:bottom w:val="none" w:sz="0" w:space="0" w:color="auto"/>
        <w:right w:val="none" w:sz="0" w:space="0" w:color="auto"/>
      </w:divBdr>
    </w:div>
    <w:div w:id="850919853">
      <w:bodyDiv w:val="1"/>
      <w:marLeft w:val="0"/>
      <w:marRight w:val="0"/>
      <w:marTop w:val="0"/>
      <w:marBottom w:val="0"/>
      <w:divBdr>
        <w:top w:val="none" w:sz="0" w:space="0" w:color="auto"/>
        <w:left w:val="none" w:sz="0" w:space="0" w:color="auto"/>
        <w:bottom w:val="none" w:sz="0" w:space="0" w:color="auto"/>
        <w:right w:val="none" w:sz="0" w:space="0" w:color="auto"/>
      </w:divBdr>
    </w:div>
    <w:div w:id="857426850">
      <w:bodyDiv w:val="1"/>
      <w:marLeft w:val="0"/>
      <w:marRight w:val="0"/>
      <w:marTop w:val="0"/>
      <w:marBottom w:val="0"/>
      <w:divBdr>
        <w:top w:val="none" w:sz="0" w:space="0" w:color="auto"/>
        <w:left w:val="none" w:sz="0" w:space="0" w:color="auto"/>
        <w:bottom w:val="none" w:sz="0" w:space="0" w:color="auto"/>
        <w:right w:val="none" w:sz="0" w:space="0" w:color="auto"/>
      </w:divBdr>
    </w:div>
    <w:div w:id="863444470">
      <w:bodyDiv w:val="1"/>
      <w:marLeft w:val="0"/>
      <w:marRight w:val="0"/>
      <w:marTop w:val="0"/>
      <w:marBottom w:val="0"/>
      <w:divBdr>
        <w:top w:val="none" w:sz="0" w:space="0" w:color="auto"/>
        <w:left w:val="none" w:sz="0" w:space="0" w:color="auto"/>
        <w:bottom w:val="none" w:sz="0" w:space="0" w:color="auto"/>
        <w:right w:val="none" w:sz="0" w:space="0" w:color="auto"/>
      </w:divBdr>
    </w:div>
    <w:div w:id="905070192">
      <w:bodyDiv w:val="1"/>
      <w:marLeft w:val="0"/>
      <w:marRight w:val="0"/>
      <w:marTop w:val="0"/>
      <w:marBottom w:val="0"/>
      <w:divBdr>
        <w:top w:val="none" w:sz="0" w:space="0" w:color="auto"/>
        <w:left w:val="none" w:sz="0" w:space="0" w:color="auto"/>
        <w:bottom w:val="none" w:sz="0" w:space="0" w:color="auto"/>
        <w:right w:val="none" w:sz="0" w:space="0" w:color="auto"/>
      </w:divBdr>
    </w:div>
    <w:div w:id="907031329">
      <w:bodyDiv w:val="1"/>
      <w:marLeft w:val="0"/>
      <w:marRight w:val="0"/>
      <w:marTop w:val="0"/>
      <w:marBottom w:val="0"/>
      <w:divBdr>
        <w:top w:val="none" w:sz="0" w:space="0" w:color="auto"/>
        <w:left w:val="none" w:sz="0" w:space="0" w:color="auto"/>
        <w:bottom w:val="none" w:sz="0" w:space="0" w:color="auto"/>
        <w:right w:val="none" w:sz="0" w:space="0" w:color="auto"/>
      </w:divBdr>
    </w:div>
    <w:div w:id="910164621">
      <w:bodyDiv w:val="1"/>
      <w:marLeft w:val="0"/>
      <w:marRight w:val="0"/>
      <w:marTop w:val="0"/>
      <w:marBottom w:val="0"/>
      <w:divBdr>
        <w:top w:val="none" w:sz="0" w:space="0" w:color="auto"/>
        <w:left w:val="none" w:sz="0" w:space="0" w:color="auto"/>
        <w:bottom w:val="none" w:sz="0" w:space="0" w:color="auto"/>
        <w:right w:val="none" w:sz="0" w:space="0" w:color="auto"/>
      </w:divBdr>
    </w:div>
    <w:div w:id="928195123">
      <w:bodyDiv w:val="1"/>
      <w:marLeft w:val="0"/>
      <w:marRight w:val="0"/>
      <w:marTop w:val="0"/>
      <w:marBottom w:val="0"/>
      <w:divBdr>
        <w:top w:val="none" w:sz="0" w:space="0" w:color="auto"/>
        <w:left w:val="none" w:sz="0" w:space="0" w:color="auto"/>
        <w:bottom w:val="none" w:sz="0" w:space="0" w:color="auto"/>
        <w:right w:val="none" w:sz="0" w:space="0" w:color="auto"/>
      </w:divBdr>
    </w:div>
    <w:div w:id="930548011">
      <w:bodyDiv w:val="1"/>
      <w:marLeft w:val="0"/>
      <w:marRight w:val="0"/>
      <w:marTop w:val="0"/>
      <w:marBottom w:val="0"/>
      <w:divBdr>
        <w:top w:val="none" w:sz="0" w:space="0" w:color="auto"/>
        <w:left w:val="none" w:sz="0" w:space="0" w:color="auto"/>
        <w:bottom w:val="none" w:sz="0" w:space="0" w:color="auto"/>
        <w:right w:val="none" w:sz="0" w:space="0" w:color="auto"/>
      </w:divBdr>
    </w:div>
    <w:div w:id="936913141">
      <w:bodyDiv w:val="1"/>
      <w:marLeft w:val="0"/>
      <w:marRight w:val="0"/>
      <w:marTop w:val="0"/>
      <w:marBottom w:val="0"/>
      <w:divBdr>
        <w:top w:val="none" w:sz="0" w:space="0" w:color="auto"/>
        <w:left w:val="none" w:sz="0" w:space="0" w:color="auto"/>
        <w:bottom w:val="none" w:sz="0" w:space="0" w:color="auto"/>
        <w:right w:val="none" w:sz="0" w:space="0" w:color="auto"/>
      </w:divBdr>
    </w:div>
    <w:div w:id="937906623">
      <w:bodyDiv w:val="1"/>
      <w:marLeft w:val="0"/>
      <w:marRight w:val="0"/>
      <w:marTop w:val="0"/>
      <w:marBottom w:val="0"/>
      <w:divBdr>
        <w:top w:val="none" w:sz="0" w:space="0" w:color="auto"/>
        <w:left w:val="none" w:sz="0" w:space="0" w:color="auto"/>
        <w:bottom w:val="none" w:sz="0" w:space="0" w:color="auto"/>
        <w:right w:val="none" w:sz="0" w:space="0" w:color="auto"/>
      </w:divBdr>
    </w:div>
    <w:div w:id="940336350">
      <w:bodyDiv w:val="1"/>
      <w:marLeft w:val="0"/>
      <w:marRight w:val="0"/>
      <w:marTop w:val="0"/>
      <w:marBottom w:val="0"/>
      <w:divBdr>
        <w:top w:val="none" w:sz="0" w:space="0" w:color="auto"/>
        <w:left w:val="none" w:sz="0" w:space="0" w:color="auto"/>
        <w:bottom w:val="none" w:sz="0" w:space="0" w:color="auto"/>
        <w:right w:val="none" w:sz="0" w:space="0" w:color="auto"/>
      </w:divBdr>
    </w:div>
    <w:div w:id="941033174">
      <w:bodyDiv w:val="1"/>
      <w:marLeft w:val="0"/>
      <w:marRight w:val="0"/>
      <w:marTop w:val="0"/>
      <w:marBottom w:val="0"/>
      <w:divBdr>
        <w:top w:val="none" w:sz="0" w:space="0" w:color="auto"/>
        <w:left w:val="none" w:sz="0" w:space="0" w:color="auto"/>
        <w:bottom w:val="none" w:sz="0" w:space="0" w:color="auto"/>
        <w:right w:val="none" w:sz="0" w:space="0" w:color="auto"/>
      </w:divBdr>
    </w:div>
    <w:div w:id="948581514">
      <w:bodyDiv w:val="1"/>
      <w:marLeft w:val="0"/>
      <w:marRight w:val="0"/>
      <w:marTop w:val="0"/>
      <w:marBottom w:val="0"/>
      <w:divBdr>
        <w:top w:val="none" w:sz="0" w:space="0" w:color="auto"/>
        <w:left w:val="none" w:sz="0" w:space="0" w:color="auto"/>
        <w:bottom w:val="none" w:sz="0" w:space="0" w:color="auto"/>
        <w:right w:val="none" w:sz="0" w:space="0" w:color="auto"/>
      </w:divBdr>
    </w:div>
    <w:div w:id="953515052">
      <w:bodyDiv w:val="1"/>
      <w:marLeft w:val="0"/>
      <w:marRight w:val="0"/>
      <w:marTop w:val="0"/>
      <w:marBottom w:val="0"/>
      <w:divBdr>
        <w:top w:val="none" w:sz="0" w:space="0" w:color="auto"/>
        <w:left w:val="none" w:sz="0" w:space="0" w:color="auto"/>
        <w:bottom w:val="none" w:sz="0" w:space="0" w:color="auto"/>
        <w:right w:val="none" w:sz="0" w:space="0" w:color="auto"/>
      </w:divBdr>
    </w:div>
    <w:div w:id="960918937">
      <w:bodyDiv w:val="1"/>
      <w:marLeft w:val="0"/>
      <w:marRight w:val="0"/>
      <w:marTop w:val="0"/>
      <w:marBottom w:val="0"/>
      <w:divBdr>
        <w:top w:val="none" w:sz="0" w:space="0" w:color="auto"/>
        <w:left w:val="none" w:sz="0" w:space="0" w:color="auto"/>
        <w:bottom w:val="none" w:sz="0" w:space="0" w:color="auto"/>
        <w:right w:val="none" w:sz="0" w:space="0" w:color="auto"/>
      </w:divBdr>
    </w:div>
    <w:div w:id="965280464">
      <w:bodyDiv w:val="1"/>
      <w:marLeft w:val="0"/>
      <w:marRight w:val="0"/>
      <w:marTop w:val="0"/>
      <w:marBottom w:val="0"/>
      <w:divBdr>
        <w:top w:val="none" w:sz="0" w:space="0" w:color="auto"/>
        <w:left w:val="none" w:sz="0" w:space="0" w:color="auto"/>
        <w:bottom w:val="none" w:sz="0" w:space="0" w:color="auto"/>
        <w:right w:val="none" w:sz="0" w:space="0" w:color="auto"/>
      </w:divBdr>
    </w:div>
    <w:div w:id="969553511">
      <w:bodyDiv w:val="1"/>
      <w:marLeft w:val="0"/>
      <w:marRight w:val="0"/>
      <w:marTop w:val="0"/>
      <w:marBottom w:val="0"/>
      <w:divBdr>
        <w:top w:val="none" w:sz="0" w:space="0" w:color="auto"/>
        <w:left w:val="none" w:sz="0" w:space="0" w:color="auto"/>
        <w:bottom w:val="none" w:sz="0" w:space="0" w:color="auto"/>
        <w:right w:val="none" w:sz="0" w:space="0" w:color="auto"/>
      </w:divBdr>
    </w:div>
    <w:div w:id="1000738768">
      <w:bodyDiv w:val="1"/>
      <w:marLeft w:val="0"/>
      <w:marRight w:val="0"/>
      <w:marTop w:val="0"/>
      <w:marBottom w:val="0"/>
      <w:divBdr>
        <w:top w:val="none" w:sz="0" w:space="0" w:color="auto"/>
        <w:left w:val="none" w:sz="0" w:space="0" w:color="auto"/>
        <w:bottom w:val="none" w:sz="0" w:space="0" w:color="auto"/>
        <w:right w:val="none" w:sz="0" w:space="0" w:color="auto"/>
      </w:divBdr>
    </w:div>
    <w:div w:id="1012101993">
      <w:bodyDiv w:val="1"/>
      <w:marLeft w:val="0"/>
      <w:marRight w:val="0"/>
      <w:marTop w:val="0"/>
      <w:marBottom w:val="0"/>
      <w:divBdr>
        <w:top w:val="none" w:sz="0" w:space="0" w:color="auto"/>
        <w:left w:val="none" w:sz="0" w:space="0" w:color="auto"/>
        <w:bottom w:val="none" w:sz="0" w:space="0" w:color="auto"/>
        <w:right w:val="none" w:sz="0" w:space="0" w:color="auto"/>
      </w:divBdr>
    </w:div>
    <w:div w:id="1013802808">
      <w:bodyDiv w:val="1"/>
      <w:marLeft w:val="0"/>
      <w:marRight w:val="0"/>
      <w:marTop w:val="0"/>
      <w:marBottom w:val="0"/>
      <w:divBdr>
        <w:top w:val="none" w:sz="0" w:space="0" w:color="auto"/>
        <w:left w:val="none" w:sz="0" w:space="0" w:color="auto"/>
        <w:bottom w:val="none" w:sz="0" w:space="0" w:color="auto"/>
        <w:right w:val="none" w:sz="0" w:space="0" w:color="auto"/>
      </w:divBdr>
    </w:div>
    <w:div w:id="1020468340">
      <w:bodyDiv w:val="1"/>
      <w:marLeft w:val="0"/>
      <w:marRight w:val="0"/>
      <w:marTop w:val="0"/>
      <w:marBottom w:val="0"/>
      <w:divBdr>
        <w:top w:val="none" w:sz="0" w:space="0" w:color="auto"/>
        <w:left w:val="none" w:sz="0" w:space="0" w:color="auto"/>
        <w:bottom w:val="none" w:sz="0" w:space="0" w:color="auto"/>
        <w:right w:val="none" w:sz="0" w:space="0" w:color="auto"/>
      </w:divBdr>
    </w:div>
    <w:div w:id="1025599078">
      <w:bodyDiv w:val="1"/>
      <w:marLeft w:val="0"/>
      <w:marRight w:val="0"/>
      <w:marTop w:val="0"/>
      <w:marBottom w:val="0"/>
      <w:divBdr>
        <w:top w:val="none" w:sz="0" w:space="0" w:color="auto"/>
        <w:left w:val="none" w:sz="0" w:space="0" w:color="auto"/>
        <w:bottom w:val="none" w:sz="0" w:space="0" w:color="auto"/>
        <w:right w:val="none" w:sz="0" w:space="0" w:color="auto"/>
      </w:divBdr>
    </w:div>
    <w:div w:id="1035885507">
      <w:bodyDiv w:val="1"/>
      <w:marLeft w:val="0"/>
      <w:marRight w:val="0"/>
      <w:marTop w:val="0"/>
      <w:marBottom w:val="0"/>
      <w:divBdr>
        <w:top w:val="none" w:sz="0" w:space="0" w:color="auto"/>
        <w:left w:val="none" w:sz="0" w:space="0" w:color="auto"/>
        <w:bottom w:val="none" w:sz="0" w:space="0" w:color="auto"/>
        <w:right w:val="none" w:sz="0" w:space="0" w:color="auto"/>
      </w:divBdr>
    </w:div>
    <w:div w:id="1044256651">
      <w:bodyDiv w:val="1"/>
      <w:marLeft w:val="0"/>
      <w:marRight w:val="0"/>
      <w:marTop w:val="0"/>
      <w:marBottom w:val="0"/>
      <w:divBdr>
        <w:top w:val="none" w:sz="0" w:space="0" w:color="auto"/>
        <w:left w:val="none" w:sz="0" w:space="0" w:color="auto"/>
        <w:bottom w:val="none" w:sz="0" w:space="0" w:color="auto"/>
        <w:right w:val="none" w:sz="0" w:space="0" w:color="auto"/>
      </w:divBdr>
    </w:div>
    <w:div w:id="1052001373">
      <w:bodyDiv w:val="1"/>
      <w:marLeft w:val="0"/>
      <w:marRight w:val="0"/>
      <w:marTop w:val="0"/>
      <w:marBottom w:val="0"/>
      <w:divBdr>
        <w:top w:val="none" w:sz="0" w:space="0" w:color="auto"/>
        <w:left w:val="none" w:sz="0" w:space="0" w:color="auto"/>
        <w:bottom w:val="none" w:sz="0" w:space="0" w:color="auto"/>
        <w:right w:val="none" w:sz="0" w:space="0" w:color="auto"/>
      </w:divBdr>
    </w:div>
    <w:div w:id="1063066907">
      <w:bodyDiv w:val="1"/>
      <w:marLeft w:val="0"/>
      <w:marRight w:val="0"/>
      <w:marTop w:val="0"/>
      <w:marBottom w:val="0"/>
      <w:divBdr>
        <w:top w:val="none" w:sz="0" w:space="0" w:color="auto"/>
        <w:left w:val="none" w:sz="0" w:space="0" w:color="auto"/>
        <w:bottom w:val="none" w:sz="0" w:space="0" w:color="auto"/>
        <w:right w:val="none" w:sz="0" w:space="0" w:color="auto"/>
      </w:divBdr>
    </w:div>
    <w:div w:id="1071924552">
      <w:bodyDiv w:val="1"/>
      <w:marLeft w:val="0"/>
      <w:marRight w:val="0"/>
      <w:marTop w:val="0"/>
      <w:marBottom w:val="0"/>
      <w:divBdr>
        <w:top w:val="none" w:sz="0" w:space="0" w:color="auto"/>
        <w:left w:val="none" w:sz="0" w:space="0" w:color="auto"/>
        <w:bottom w:val="none" w:sz="0" w:space="0" w:color="auto"/>
        <w:right w:val="none" w:sz="0" w:space="0" w:color="auto"/>
      </w:divBdr>
    </w:div>
    <w:div w:id="1086802842">
      <w:bodyDiv w:val="1"/>
      <w:marLeft w:val="0"/>
      <w:marRight w:val="0"/>
      <w:marTop w:val="0"/>
      <w:marBottom w:val="0"/>
      <w:divBdr>
        <w:top w:val="none" w:sz="0" w:space="0" w:color="auto"/>
        <w:left w:val="none" w:sz="0" w:space="0" w:color="auto"/>
        <w:bottom w:val="none" w:sz="0" w:space="0" w:color="auto"/>
        <w:right w:val="none" w:sz="0" w:space="0" w:color="auto"/>
      </w:divBdr>
    </w:div>
    <w:div w:id="1108084413">
      <w:bodyDiv w:val="1"/>
      <w:marLeft w:val="0"/>
      <w:marRight w:val="0"/>
      <w:marTop w:val="0"/>
      <w:marBottom w:val="0"/>
      <w:divBdr>
        <w:top w:val="none" w:sz="0" w:space="0" w:color="auto"/>
        <w:left w:val="none" w:sz="0" w:space="0" w:color="auto"/>
        <w:bottom w:val="none" w:sz="0" w:space="0" w:color="auto"/>
        <w:right w:val="none" w:sz="0" w:space="0" w:color="auto"/>
      </w:divBdr>
    </w:div>
    <w:div w:id="1112162430">
      <w:bodyDiv w:val="1"/>
      <w:marLeft w:val="0"/>
      <w:marRight w:val="0"/>
      <w:marTop w:val="0"/>
      <w:marBottom w:val="0"/>
      <w:divBdr>
        <w:top w:val="none" w:sz="0" w:space="0" w:color="auto"/>
        <w:left w:val="none" w:sz="0" w:space="0" w:color="auto"/>
        <w:bottom w:val="none" w:sz="0" w:space="0" w:color="auto"/>
        <w:right w:val="none" w:sz="0" w:space="0" w:color="auto"/>
      </w:divBdr>
    </w:div>
    <w:div w:id="1112631481">
      <w:bodyDiv w:val="1"/>
      <w:marLeft w:val="0"/>
      <w:marRight w:val="0"/>
      <w:marTop w:val="0"/>
      <w:marBottom w:val="0"/>
      <w:divBdr>
        <w:top w:val="none" w:sz="0" w:space="0" w:color="auto"/>
        <w:left w:val="none" w:sz="0" w:space="0" w:color="auto"/>
        <w:bottom w:val="none" w:sz="0" w:space="0" w:color="auto"/>
        <w:right w:val="none" w:sz="0" w:space="0" w:color="auto"/>
      </w:divBdr>
    </w:div>
    <w:div w:id="1115369299">
      <w:bodyDiv w:val="1"/>
      <w:marLeft w:val="0"/>
      <w:marRight w:val="0"/>
      <w:marTop w:val="0"/>
      <w:marBottom w:val="0"/>
      <w:divBdr>
        <w:top w:val="none" w:sz="0" w:space="0" w:color="auto"/>
        <w:left w:val="none" w:sz="0" w:space="0" w:color="auto"/>
        <w:bottom w:val="none" w:sz="0" w:space="0" w:color="auto"/>
        <w:right w:val="none" w:sz="0" w:space="0" w:color="auto"/>
      </w:divBdr>
    </w:div>
    <w:div w:id="1119563980">
      <w:bodyDiv w:val="1"/>
      <w:marLeft w:val="0"/>
      <w:marRight w:val="0"/>
      <w:marTop w:val="0"/>
      <w:marBottom w:val="0"/>
      <w:divBdr>
        <w:top w:val="none" w:sz="0" w:space="0" w:color="auto"/>
        <w:left w:val="none" w:sz="0" w:space="0" w:color="auto"/>
        <w:bottom w:val="none" w:sz="0" w:space="0" w:color="auto"/>
        <w:right w:val="none" w:sz="0" w:space="0" w:color="auto"/>
      </w:divBdr>
    </w:div>
    <w:div w:id="1121459681">
      <w:bodyDiv w:val="1"/>
      <w:marLeft w:val="0"/>
      <w:marRight w:val="0"/>
      <w:marTop w:val="0"/>
      <w:marBottom w:val="0"/>
      <w:divBdr>
        <w:top w:val="none" w:sz="0" w:space="0" w:color="auto"/>
        <w:left w:val="none" w:sz="0" w:space="0" w:color="auto"/>
        <w:bottom w:val="none" w:sz="0" w:space="0" w:color="auto"/>
        <w:right w:val="none" w:sz="0" w:space="0" w:color="auto"/>
      </w:divBdr>
    </w:div>
    <w:div w:id="1123768656">
      <w:bodyDiv w:val="1"/>
      <w:marLeft w:val="0"/>
      <w:marRight w:val="0"/>
      <w:marTop w:val="0"/>
      <w:marBottom w:val="0"/>
      <w:divBdr>
        <w:top w:val="none" w:sz="0" w:space="0" w:color="auto"/>
        <w:left w:val="none" w:sz="0" w:space="0" w:color="auto"/>
        <w:bottom w:val="none" w:sz="0" w:space="0" w:color="auto"/>
        <w:right w:val="none" w:sz="0" w:space="0" w:color="auto"/>
      </w:divBdr>
    </w:div>
    <w:div w:id="1144855235">
      <w:bodyDiv w:val="1"/>
      <w:marLeft w:val="0"/>
      <w:marRight w:val="0"/>
      <w:marTop w:val="0"/>
      <w:marBottom w:val="0"/>
      <w:divBdr>
        <w:top w:val="none" w:sz="0" w:space="0" w:color="auto"/>
        <w:left w:val="none" w:sz="0" w:space="0" w:color="auto"/>
        <w:bottom w:val="none" w:sz="0" w:space="0" w:color="auto"/>
        <w:right w:val="none" w:sz="0" w:space="0" w:color="auto"/>
      </w:divBdr>
    </w:div>
    <w:div w:id="1161043762">
      <w:bodyDiv w:val="1"/>
      <w:marLeft w:val="0"/>
      <w:marRight w:val="0"/>
      <w:marTop w:val="0"/>
      <w:marBottom w:val="0"/>
      <w:divBdr>
        <w:top w:val="none" w:sz="0" w:space="0" w:color="auto"/>
        <w:left w:val="none" w:sz="0" w:space="0" w:color="auto"/>
        <w:bottom w:val="none" w:sz="0" w:space="0" w:color="auto"/>
        <w:right w:val="none" w:sz="0" w:space="0" w:color="auto"/>
      </w:divBdr>
    </w:div>
    <w:div w:id="1169716242">
      <w:bodyDiv w:val="1"/>
      <w:marLeft w:val="0"/>
      <w:marRight w:val="0"/>
      <w:marTop w:val="0"/>
      <w:marBottom w:val="0"/>
      <w:divBdr>
        <w:top w:val="none" w:sz="0" w:space="0" w:color="auto"/>
        <w:left w:val="none" w:sz="0" w:space="0" w:color="auto"/>
        <w:bottom w:val="none" w:sz="0" w:space="0" w:color="auto"/>
        <w:right w:val="none" w:sz="0" w:space="0" w:color="auto"/>
      </w:divBdr>
    </w:div>
    <w:div w:id="1170221734">
      <w:bodyDiv w:val="1"/>
      <w:marLeft w:val="0"/>
      <w:marRight w:val="0"/>
      <w:marTop w:val="0"/>
      <w:marBottom w:val="0"/>
      <w:divBdr>
        <w:top w:val="none" w:sz="0" w:space="0" w:color="auto"/>
        <w:left w:val="none" w:sz="0" w:space="0" w:color="auto"/>
        <w:bottom w:val="none" w:sz="0" w:space="0" w:color="auto"/>
        <w:right w:val="none" w:sz="0" w:space="0" w:color="auto"/>
      </w:divBdr>
    </w:div>
    <w:div w:id="1171599533">
      <w:bodyDiv w:val="1"/>
      <w:marLeft w:val="0"/>
      <w:marRight w:val="0"/>
      <w:marTop w:val="0"/>
      <w:marBottom w:val="0"/>
      <w:divBdr>
        <w:top w:val="none" w:sz="0" w:space="0" w:color="auto"/>
        <w:left w:val="none" w:sz="0" w:space="0" w:color="auto"/>
        <w:bottom w:val="none" w:sz="0" w:space="0" w:color="auto"/>
        <w:right w:val="none" w:sz="0" w:space="0" w:color="auto"/>
      </w:divBdr>
    </w:div>
    <w:div w:id="1178959758">
      <w:bodyDiv w:val="1"/>
      <w:marLeft w:val="0"/>
      <w:marRight w:val="0"/>
      <w:marTop w:val="0"/>
      <w:marBottom w:val="0"/>
      <w:divBdr>
        <w:top w:val="none" w:sz="0" w:space="0" w:color="auto"/>
        <w:left w:val="none" w:sz="0" w:space="0" w:color="auto"/>
        <w:bottom w:val="none" w:sz="0" w:space="0" w:color="auto"/>
        <w:right w:val="none" w:sz="0" w:space="0" w:color="auto"/>
      </w:divBdr>
    </w:div>
    <w:div w:id="1181974189">
      <w:bodyDiv w:val="1"/>
      <w:marLeft w:val="0"/>
      <w:marRight w:val="0"/>
      <w:marTop w:val="0"/>
      <w:marBottom w:val="0"/>
      <w:divBdr>
        <w:top w:val="none" w:sz="0" w:space="0" w:color="auto"/>
        <w:left w:val="none" w:sz="0" w:space="0" w:color="auto"/>
        <w:bottom w:val="none" w:sz="0" w:space="0" w:color="auto"/>
        <w:right w:val="none" w:sz="0" w:space="0" w:color="auto"/>
      </w:divBdr>
    </w:div>
    <w:div w:id="1193228979">
      <w:bodyDiv w:val="1"/>
      <w:marLeft w:val="0"/>
      <w:marRight w:val="0"/>
      <w:marTop w:val="0"/>
      <w:marBottom w:val="0"/>
      <w:divBdr>
        <w:top w:val="none" w:sz="0" w:space="0" w:color="auto"/>
        <w:left w:val="none" w:sz="0" w:space="0" w:color="auto"/>
        <w:bottom w:val="none" w:sz="0" w:space="0" w:color="auto"/>
        <w:right w:val="none" w:sz="0" w:space="0" w:color="auto"/>
      </w:divBdr>
    </w:div>
    <w:div w:id="1194923693">
      <w:bodyDiv w:val="1"/>
      <w:marLeft w:val="0"/>
      <w:marRight w:val="0"/>
      <w:marTop w:val="0"/>
      <w:marBottom w:val="0"/>
      <w:divBdr>
        <w:top w:val="none" w:sz="0" w:space="0" w:color="auto"/>
        <w:left w:val="none" w:sz="0" w:space="0" w:color="auto"/>
        <w:bottom w:val="none" w:sz="0" w:space="0" w:color="auto"/>
        <w:right w:val="none" w:sz="0" w:space="0" w:color="auto"/>
      </w:divBdr>
    </w:div>
    <w:div w:id="1197431387">
      <w:bodyDiv w:val="1"/>
      <w:marLeft w:val="0"/>
      <w:marRight w:val="0"/>
      <w:marTop w:val="0"/>
      <w:marBottom w:val="0"/>
      <w:divBdr>
        <w:top w:val="none" w:sz="0" w:space="0" w:color="auto"/>
        <w:left w:val="none" w:sz="0" w:space="0" w:color="auto"/>
        <w:bottom w:val="none" w:sz="0" w:space="0" w:color="auto"/>
        <w:right w:val="none" w:sz="0" w:space="0" w:color="auto"/>
      </w:divBdr>
    </w:div>
    <w:div w:id="1198154829">
      <w:bodyDiv w:val="1"/>
      <w:marLeft w:val="0"/>
      <w:marRight w:val="0"/>
      <w:marTop w:val="0"/>
      <w:marBottom w:val="0"/>
      <w:divBdr>
        <w:top w:val="none" w:sz="0" w:space="0" w:color="auto"/>
        <w:left w:val="none" w:sz="0" w:space="0" w:color="auto"/>
        <w:bottom w:val="none" w:sz="0" w:space="0" w:color="auto"/>
        <w:right w:val="none" w:sz="0" w:space="0" w:color="auto"/>
      </w:divBdr>
    </w:div>
    <w:div w:id="1239943805">
      <w:bodyDiv w:val="1"/>
      <w:marLeft w:val="0"/>
      <w:marRight w:val="0"/>
      <w:marTop w:val="0"/>
      <w:marBottom w:val="0"/>
      <w:divBdr>
        <w:top w:val="none" w:sz="0" w:space="0" w:color="auto"/>
        <w:left w:val="none" w:sz="0" w:space="0" w:color="auto"/>
        <w:bottom w:val="none" w:sz="0" w:space="0" w:color="auto"/>
        <w:right w:val="none" w:sz="0" w:space="0" w:color="auto"/>
      </w:divBdr>
    </w:div>
    <w:div w:id="1241407968">
      <w:bodyDiv w:val="1"/>
      <w:marLeft w:val="0"/>
      <w:marRight w:val="0"/>
      <w:marTop w:val="0"/>
      <w:marBottom w:val="0"/>
      <w:divBdr>
        <w:top w:val="none" w:sz="0" w:space="0" w:color="auto"/>
        <w:left w:val="none" w:sz="0" w:space="0" w:color="auto"/>
        <w:bottom w:val="none" w:sz="0" w:space="0" w:color="auto"/>
        <w:right w:val="none" w:sz="0" w:space="0" w:color="auto"/>
      </w:divBdr>
    </w:div>
    <w:div w:id="1247227847">
      <w:bodyDiv w:val="1"/>
      <w:marLeft w:val="0"/>
      <w:marRight w:val="0"/>
      <w:marTop w:val="0"/>
      <w:marBottom w:val="0"/>
      <w:divBdr>
        <w:top w:val="none" w:sz="0" w:space="0" w:color="auto"/>
        <w:left w:val="none" w:sz="0" w:space="0" w:color="auto"/>
        <w:bottom w:val="none" w:sz="0" w:space="0" w:color="auto"/>
        <w:right w:val="none" w:sz="0" w:space="0" w:color="auto"/>
      </w:divBdr>
    </w:div>
    <w:div w:id="1247879162">
      <w:bodyDiv w:val="1"/>
      <w:marLeft w:val="0"/>
      <w:marRight w:val="0"/>
      <w:marTop w:val="0"/>
      <w:marBottom w:val="0"/>
      <w:divBdr>
        <w:top w:val="none" w:sz="0" w:space="0" w:color="auto"/>
        <w:left w:val="none" w:sz="0" w:space="0" w:color="auto"/>
        <w:bottom w:val="none" w:sz="0" w:space="0" w:color="auto"/>
        <w:right w:val="none" w:sz="0" w:space="0" w:color="auto"/>
      </w:divBdr>
    </w:div>
    <w:div w:id="1252203072">
      <w:bodyDiv w:val="1"/>
      <w:marLeft w:val="0"/>
      <w:marRight w:val="0"/>
      <w:marTop w:val="0"/>
      <w:marBottom w:val="0"/>
      <w:divBdr>
        <w:top w:val="none" w:sz="0" w:space="0" w:color="auto"/>
        <w:left w:val="none" w:sz="0" w:space="0" w:color="auto"/>
        <w:bottom w:val="none" w:sz="0" w:space="0" w:color="auto"/>
        <w:right w:val="none" w:sz="0" w:space="0" w:color="auto"/>
      </w:divBdr>
    </w:div>
    <w:div w:id="1273632373">
      <w:bodyDiv w:val="1"/>
      <w:marLeft w:val="0"/>
      <w:marRight w:val="0"/>
      <w:marTop w:val="0"/>
      <w:marBottom w:val="0"/>
      <w:divBdr>
        <w:top w:val="none" w:sz="0" w:space="0" w:color="auto"/>
        <w:left w:val="none" w:sz="0" w:space="0" w:color="auto"/>
        <w:bottom w:val="none" w:sz="0" w:space="0" w:color="auto"/>
        <w:right w:val="none" w:sz="0" w:space="0" w:color="auto"/>
      </w:divBdr>
    </w:div>
    <w:div w:id="1275673356">
      <w:bodyDiv w:val="1"/>
      <w:marLeft w:val="0"/>
      <w:marRight w:val="0"/>
      <w:marTop w:val="0"/>
      <w:marBottom w:val="0"/>
      <w:divBdr>
        <w:top w:val="none" w:sz="0" w:space="0" w:color="auto"/>
        <w:left w:val="none" w:sz="0" w:space="0" w:color="auto"/>
        <w:bottom w:val="none" w:sz="0" w:space="0" w:color="auto"/>
        <w:right w:val="none" w:sz="0" w:space="0" w:color="auto"/>
      </w:divBdr>
    </w:div>
    <w:div w:id="1277565481">
      <w:bodyDiv w:val="1"/>
      <w:marLeft w:val="0"/>
      <w:marRight w:val="0"/>
      <w:marTop w:val="0"/>
      <w:marBottom w:val="0"/>
      <w:divBdr>
        <w:top w:val="none" w:sz="0" w:space="0" w:color="auto"/>
        <w:left w:val="none" w:sz="0" w:space="0" w:color="auto"/>
        <w:bottom w:val="none" w:sz="0" w:space="0" w:color="auto"/>
        <w:right w:val="none" w:sz="0" w:space="0" w:color="auto"/>
      </w:divBdr>
    </w:div>
    <w:div w:id="1313633139">
      <w:bodyDiv w:val="1"/>
      <w:marLeft w:val="0"/>
      <w:marRight w:val="0"/>
      <w:marTop w:val="0"/>
      <w:marBottom w:val="0"/>
      <w:divBdr>
        <w:top w:val="none" w:sz="0" w:space="0" w:color="auto"/>
        <w:left w:val="none" w:sz="0" w:space="0" w:color="auto"/>
        <w:bottom w:val="none" w:sz="0" w:space="0" w:color="auto"/>
        <w:right w:val="none" w:sz="0" w:space="0" w:color="auto"/>
      </w:divBdr>
    </w:div>
    <w:div w:id="1324120324">
      <w:bodyDiv w:val="1"/>
      <w:marLeft w:val="0"/>
      <w:marRight w:val="0"/>
      <w:marTop w:val="0"/>
      <w:marBottom w:val="0"/>
      <w:divBdr>
        <w:top w:val="none" w:sz="0" w:space="0" w:color="auto"/>
        <w:left w:val="none" w:sz="0" w:space="0" w:color="auto"/>
        <w:bottom w:val="none" w:sz="0" w:space="0" w:color="auto"/>
        <w:right w:val="none" w:sz="0" w:space="0" w:color="auto"/>
      </w:divBdr>
    </w:div>
    <w:div w:id="1325084381">
      <w:bodyDiv w:val="1"/>
      <w:marLeft w:val="0"/>
      <w:marRight w:val="0"/>
      <w:marTop w:val="0"/>
      <w:marBottom w:val="0"/>
      <w:divBdr>
        <w:top w:val="none" w:sz="0" w:space="0" w:color="auto"/>
        <w:left w:val="none" w:sz="0" w:space="0" w:color="auto"/>
        <w:bottom w:val="none" w:sz="0" w:space="0" w:color="auto"/>
        <w:right w:val="none" w:sz="0" w:space="0" w:color="auto"/>
      </w:divBdr>
    </w:div>
    <w:div w:id="1338919323">
      <w:bodyDiv w:val="1"/>
      <w:marLeft w:val="0"/>
      <w:marRight w:val="0"/>
      <w:marTop w:val="0"/>
      <w:marBottom w:val="0"/>
      <w:divBdr>
        <w:top w:val="none" w:sz="0" w:space="0" w:color="auto"/>
        <w:left w:val="none" w:sz="0" w:space="0" w:color="auto"/>
        <w:bottom w:val="none" w:sz="0" w:space="0" w:color="auto"/>
        <w:right w:val="none" w:sz="0" w:space="0" w:color="auto"/>
      </w:divBdr>
    </w:div>
    <w:div w:id="1345129228">
      <w:bodyDiv w:val="1"/>
      <w:marLeft w:val="0"/>
      <w:marRight w:val="0"/>
      <w:marTop w:val="0"/>
      <w:marBottom w:val="0"/>
      <w:divBdr>
        <w:top w:val="none" w:sz="0" w:space="0" w:color="auto"/>
        <w:left w:val="none" w:sz="0" w:space="0" w:color="auto"/>
        <w:bottom w:val="none" w:sz="0" w:space="0" w:color="auto"/>
        <w:right w:val="none" w:sz="0" w:space="0" w:color="auto"/>
      </w:divBdr>
    </w:div>
    <w:div w:id="1365902520">
      <w:bodyDiv w:val="1"/>
      <w:marLeft w:val="0"/>
      <w:marRight w:val="0"/>
      <w:marTop w:val="0"/>
      <w:marBottom w:val="0"/>
      <w:divBdr>
        <w:top w:val="none" w:sz="0" w:space="0" w:color="auto"/>
        <w:left w:val="none" w:sz="0" w:space="0" w:color="auto"/>
        <w:bottom w:val="none" w:sz="0" w:space="0" w:color="auto"/>
        <w:right w:val="none" w:sz="0" w:space="0" w:color="auto"/>
      </w:divBdr>
    </w:div>
    <w:div w:id="1373385068">
      <w:bodyDiv w:val="1"/>
      <w:marLeft w:val="0"/>
      <w:marRight w:val="0"/>
      <w:marTop w:val="0"/>
      <w:marBottom w:val="0"/>
      <w:divBdr>
        <w:top w:val="none" w:sz="0" w:space="0" w:color="auto"/>
        <w:left w:val="none" w:sz="0" w:space="0" w:color="auto"/>
        <w:bottom w:val="none" w:sz="0" w:space="0" w:color="auto"/>
        <w:right w:val="none" w:sz="0" w:space="0" w:color="auto"/>
      </w:divBdr>
    </w:div>
    <w:div w:id="1377975177">
      <w:bodyDiv w:val="1"/>
      <w:marLeft w:val="0"/>
      <w:marRight w:val="0"/>
      <w:marTop w:val="0"/>
      <w:marBottom w:val="0"/>
      <w:divBdr>
        <w:top w:val="none" w:sz="0" w:space="0" w:color="auto"/>
        <w:left w:val="none" w:sz="0" w:space="0" w:color="auto"/>
        <w:bottom w:val="none" w:sz="0" w:space="0" w:color="auto"/>
        <w:right w:val="none" w:sz="0" w:space="0" w:color="auto"/>
      </w:divBdr>
    </w:div>
    <w:div w:id="1379470818">
      <w:bodyDiv w:val="1"/>
      <w:marLeft w:val="0"/>
      <w:marRight w:val="0"/>
      <w:marTop w:val="0"/>
      <w:marBottom w:val="0"/>
      <w:divBdr>
        <w:top w:val="none" w:sz="0" w:space="0" w:color="auto"/>
        <w:left w:val="none" w:sz="0" w:space="0" w:color="auto"/>
        <w:bottom w:val="none" w:sz="0" w:space="0" w:color="auto"/>
        <w:right w:val="none" w:sz="0" w:space="0" w:color="auto"/>
      </w:divBdr>
    </w:div>
    <w:div w:id="1389376851">
      <w:bodyDiv w:val="1"/>
      <w:marLeft w:val="0"/>
      <w:marRight w:val="0"/>
      <w:marTop w:val="0"/>
      <w:marBottom w:val="0"/>
      <w:divBdr>
        <w:top w:val="none" w:sz="0" w:space="0" w:color="auto"/>
        <w:left w:val="none" w:sz="0" w:space="0" w:color="auto"/>
        <w:bottom w:val="none" w:sz="0" w:space="0" w:color="auto"/>
        <w:right w:val="none" w:sz="0" w:space="0" w:color="auto"/>
      </w:divBdr>
    </w:div>
    <w:div w:id="1395817999">
      <w:bodyDiv w:val="1"/>
      <w:marLeft w:val="0"/>
      <w:marRight w:val="0"/>
      <w:marTop w:val="0"/>
      <w:marBottom w:val="0"/>
      <w:divBdr>
        <w:top w:val="none" w:sz="0" w:space="0" w:color="auto"/>
        <w:left w:val="none" w:sz="0" w:space="0" w:color="auto"/>
        <w:bottom w:val="none" w:sz="0" w:space="0" w:color="auto"/>
        <w:right w:val="none" w:sz="0" w:space="0" w:color="auto"/>
      </w:divBdr>
    </w:div>
    <w:div w:id="1400981080">
      <w:bodyDiv w:val="1"/>
      <w:marLeft w:val="0"/>
      <w:marRight w:val="0"/>
      <w:marTop w:val="0"/>
      <w:marBottom w:val="0"/>
      <w:divBdr>
        <w:top w:val="none" w:sz="0" w:space="0" w:color="auto"/>
        <w:left w:val="none" w:sz="0" w:space="0" w:color="auto"/>
        <w:bottom w:val="none" w:sz="0" w:space="0" w:color="auto"/>
        <w:right w:val="none" w:sz="0" w:space="0" w:color="auto"/>
      </w:divBdr>
    </w:div>
    <w:div w:id="1414279301">
      <w:bodyDiv w:val="1"/>
      <w:marLeft w:val="0"/>
      <w:marRight w:val="0"/>
      <w:marTop w:val="0"/>
      <w:marBottom w:val="0"/>
      <w:divBdr>
        <w:top w:val="none" w:sz="0" w:space="0" w:color="auto"/>
        <w:left w:val="none" w:sz="0" w:space="0" w:color="auto"/>
        <w:bottom w:val="none" w:sz="0" w:space="0" w:color="auto"/>
        <w:right w:val="none" w:sz="0" w:space="0" w:color="auto"/>
      </w:divBdr>
    </w:div>
    <w:div w:id="1419983440">
      <w:bodyDiv w:val="1"/>
      <w:marLeft w:val="0"/>
      <w:marRight w:val="0"/>
      <w:marTop w:val="0"/>
      <w:marBottom w:val="0"/>
      <w:divBdr>
        <w:top w:val="none" w:sz="0" w:space="0" w:color="auto"/>
        <w:left w:val="none" w:sz="0" w:space="0" w:color="auto"/>
        <w:bottom w:val="none" w:sz="0" w:space="0" w:color="auto"/>
        <w:right w:val="none" w:sz="0" w:space="0" w:color="auto"/>
      </w:divBdr>
    </w:div>
    <w:div w:id="1422873001">
      <w:bodyDiv w:val="1"/>
      <w:marLeft w:val="0"/>
      <w:marRight w:val="0"/>
      <w:marTop w:val="0"/>
      <w:marBottom w:val="0"/>
      <w:divBdr>
        <w:top w:val="none" w:sz="0" w:space="0" w:color="auto"/>
        <w:left w:val="none" w:sz="0" w:space="0" w:color="auto"/>
        <w:bottom w:val="none" w:sz="0" w:space="0" w:color="auto"/>
        <w:right w:val="none" w:sz="0" w:space="0" w:color="auto"/>
      </w:divBdr>
    </w:div>
    <w:div w:id="1429930195">
      <w:bodyDiv w:val="1"/>
      <w:marLeft w:val="0"/>
      <w:marRight w:val="0"/>
      <w:marTop w:val="0"/>
      <w:marBottom w:val="0"/>
      <w:divBdr>
        <w:top w:val="none" w:sz="0" w:space="0" w:color="auto"/>
        <w:left w:val="none" w:sz="0" w:space="0" w:color="auto"/>
        <w:bottom w:val="none" w:sz="0" w:space="0" w:color="auto"/>
        <w:right w:val="none" w:sz="0" w:space="0" w:color="auto"/>
      </w:divBdr>
    </w:div>
    <w:div w:id="1434398908">
      <w:bodyDiv w:val="1"/>
      <w:marLeft w:val="0"/>
      <w:marRight w:val="0"/>
      <w:marTop w:val="0"/>
      <w:marBottom w:val="0"/>
      <w:divBdr>
        <w:top w:val="none" w:sz="0" w:space="0" w:color="auto"/>
        <w:left w:val="none" w:sz="0" w:space="0" w:color="auto"/>
        <w:bottom w:val="none" w:sz="0" w:space="0" w:color="auto"/>
        <w:right w:val="none" w:sz="0" w:space="0" w:color="auto"/>
      </w:divBdr>
    </w:div>
    <w:div w:id="1467776180">
      <w:bodyDiv w:val="1"/>
      <w:marLeft w:val="0"/>
      <w:marRight w:val="0"/>
      <w:marTop w:val="0"/>
      <w:marBottom w:val="0"/>
      <w:divBdr>
        <w:top w:val="none" w:sz="0" w:space="0" w:color="auto"/>
        <w:left w:val="none" w:sz="0" w:space="0" w:color="auto"/>
        <w:bottom w:val="none" w:sz="0" w:space="0" w:color="auto"/>
        <w:right w:val="none" w:sz="0" w:space="0" w:color="auto"/>
      </w:divBdr>
    </w:div>
    <w:div w:id="1472088550">
      <w:bodyDiv w:val="1"/>
      <w:marLeft w:val="0"/>
      <w:marRight w:val="0"/>
      <w:marTop w:val="0"/>
      <w:marBottom w:val="0"/>
      <w:divBdr>
        <w:top w:val="none" w:sz="0" w:space="0" w:color="auto"/>
        <w:left w:val="none" w:sz="0" w:space="0" w:color="auto"/>
        <w:bottom w:val="none" w:sz="0" w:space="0" w:color="auto"/>
        <w:right w:val="none" w:sz="0" w:space="0" w:color="auto"/>
      </w:divBdr>
    </w:div>
    <w:div w:id="1486238850">
      <w:bodyDiv w:val="1"/>
      <w:marLeft w:val="0"/>
      <w:marRight w:val="0"/>
      <w:marTop w:val="0"/>
      <w:marBottom w:val="0"/>
      <w:divBdr>
        <w:top w:val="none" w:sz="0" w:space="0" w:color="auto"/>
        <w:left w:val="none" w:sz="0" w:space="0" w:color="auto"/>
        <w:bottom w:val="none" w:sz="0" w:space="0" w:color="auto"/>
        <w:right w:val="none" w:sz="0" w:space="0" w:color="auto"/>
      </w:divBdr>
    </w:div>
    <w:div w:id="1487621802">
      <w:bodyDiv w:val="1"/>
      <w:marLeft w:val="0"/>
      <w:marRight w:val="0"/>
      <w:marTop w:val="0"/>
      <w:marBottom w:val="0"/>
      <w:divBdr>
        <w:top w:val="none" w:sz="0" w:space="0" w:color="auto"/>
        <w:left w:val="none" w:sz="0" w:space="0" w:color="auto"/>
        <w:bottom w:val="none" w:sz="0" w:space="0" w:color="auto"/>
        <w:right w:val="none" w:sz="0" w:space="0" w:color="auto"/>
      </w:divBdr>
    </w:div>
    <w:div w:id="1493335036">
      <w:bodyDiv w:val="1"/>
      <w:marLeft w:val="0"/>
      <w:marRight w:val="0"/>
      <w:marTop w:val="0"/>
      <w:marBottom w:val="0"/>
      <w:divBdr>
        <w:top w:val="none" w:sz="0" w:space="0" w:color="auto"/>
        <w:left w:val="none" w:sz="0" w:space="0" w:color="auto"/>
        <w:bottom w:val="none" w:sz="0" w:space="0" w:color="auto"/>
        <w:right w:val="none" w:sz="0" w:space="0" w:color="auto"/>
      </w:divBdr>
    </w:div>
    <w:div w:id="1523663257">
      <w:bodyDiv w:val="1"/>
      <w:marLeft w:val="0"/>
      <w:marRight w:val="0"/>
      <w:marTop w:val="0"/>
      <w:marBottom w:val="0"/>
      <w:divBdr>
        <w:top w:val="none" w:sz="0" w:space="0" w:color="auto"/>
        <w:left w:val="none" w:sz="0" w:space="0" w:color="auto"/>
        <w:bottom w:val="none" w:sz="0" w:space="0" w:color="auto"/>
        <w:right w:val="none" w:sz="0" w:space="0" w:color="auto"/>
      </w:divBdr>
    </w:div>
    <w:div w:id="1525248877">
      <w:bodyDiv w:val="1"/>
      <w:marLeft w:val="0"/>
      <w:marRight w:val="0"/>
      <w:marTop w:val="0"/>
      <w:marBottom w:val="0"/>
      <w:divBdr>
        <w:top w:val="none" w:sz="0" w:space="0" w:color="auto"/>
        <w:left w:val="none" w:sz="0" w:space="0" w:color="auto"/>
        <w:bottom w:val="none" w:sz="0" w:space="0" w:color="auto"/>
        <w:right w:val="none" w:sz="0" w:space="0" w:color="auto"/>
      </w:divBdr>
    </w:div>
    <w:div w:id="1550923657">
      <w:bodyDiv w:val="1"/>
      <w:marLeft w:val="0"/>
      <w:marRight w:val="0"/>
      <w:marTop w:val="0"/>
      <w:marBottom w:val="0"/>
      <w:divBdr>
        <w:top w:val="none" w:sz="0" w:space="0" w:color="auto"/>
        <w:left w:val="none" w:sz="0" w:space="0" w:color="auto"/>
        <w:bottom w:val="none" w:sz="0" w:space="0" w:color="auto"/>
        <w:right w:val="none" w:sz="0" w:space="0" w:color="auto"/>
      </w:divBdr>
    </w:div>
    <w:div w:id="1552963679">
      <w:bodyDiv w:val="1"/>
      <w:marLeft w:val="0"/>
      <w:marRight w:val="0"/>
      <w:marTop w:val="0"/>
      <w:marBottom w:val="0"/>
      <w:divBdr>
        <w:top w:val="none" w:sz="0" w:space="0" w:color="auto"/>
        <w:left w:val="none" w:sz="0" w:space="0" w:color="auto"/>
        <w:bottom w:val="none" w:sz="0" w:space="0" w:color="auto"/>
        <w:right w:val="none" w:sz="0" w:space="0" w:color="auto"/>
      </w:divBdr>
    </w:div>
    <w:div w:id="1569269864">
      <w:bodyDiv w:val="1"/>
      <w:marLeft w:val="0"/>
      <w:marRight w:val="0"/>
      <w:marTop w:val="0"/>
      <w:marBottom w:val="0"/>
      <w:divBdr>
        <w:top w:val="none" w:sz="0" w:space="0" w:color="auto"/>
        <w:left w:val="none" w:sz="0" w:space="0" w:color="auto"/>
        <w:bottom w:val="none" w:sz="0" w:space="0" w:color="auto"/>
        <w:right w:val="none" w:sz="0" w:space="0" w:color="auto"/>
      </w:divBdr>
    </w:div>
    <w:div w:id="1580166655">
      <w:bodyDiv w:val="1"/>
      <w:marLeft w:val="0"/>
      <w:marRight w:val="0"/>
      <w:marTop w:val="0"/>
      <w:marBottom w:val="0"/>
      <w:divBdr>
        <w:top w:val="none" w:sz="0" w:space="0" w:color="auto"/>
        <w:left w:val="none" w:sz="0" w:space="0" w:color="auto"/>
        <w:bottom w:val="none" w:sz="0" w:space="0" w:color="auto"/>
        <w:right w:val="none" w:sz="0" w:space="0" w:color="auto"/>
      </w:divBdr>
    </w:div>
    <w:div w:id="1581939082">
      <w:bodyDiv w:val="1"/>
      <w:marLeft w:val="0"/>
      <w:marRight w:val="0"/>
      <w:marTop w:val="0"/>
      <w:marBottom w:val="0"/>
      <w:divBdr>
        <w:top w:val="none" w:sz="0" w:space="0" w:color="auto"/>
        <w:left w:val="none" w:sz="0" w:space="0" w:color="auto"/>
        <w:bottom w:val="none" w:sz="0" w:space="0" w:color="auto"/>
        <w:right w:val="none" w:sz="0" w:space="0" w:color="auto"/>
      </w:divBdr>
    </w:div>
    <w:div w:id="1587958442">
      <w:bodyDiv w:val="1"/>
      <w:marLeft w:val="0"/>
      <w:marRight w:val="0"/>
      <w:marTop w:val="0"/>
      <w:marBottom w:val="0"/>
      <w:divBdr>
        <w:top w:val="none" w:sz="0" w:space="0" w:color="auto"/>
        <w:left w:val="none" w:sz="0" w:space="0" w:color="auto"/>
        <w:bottom w:val="none" w:sz="0" w:space="0" w:color="auto"/>
        <w:right w:val="none" w:sz="0" w:space="0" w:color="auto"/>
      </w:divBdr>
    </w:div>
    <w:div w:id="1590891936">
      <w:bodyDiv w:val="1"/>
      <w:marLeft w:val="0"/>
      <w:marRight w:val="0"/>
      <w:marTop w:val="0"/>
      <w:marBottom w:val="0"/>
      <w:divBdr>
        <w:top w:val="none" w:sz="0" w:space="0" w:color="auto"/>
        <w:left w:val="none" w:sz="0" w:space="0" w:color="auto"/>
        <w:bottom w:val="none" w:sz="0" w:space="0" w:color="auto"/>
        <w:right w:val="none" w:sz="0" w:space="0" w:color="auto"/>
      </w:divBdr>
    </w:div>
    <w:div w:id="1615867945">
      <w:bodyDiv w:val="1"/>
      <w:marLeft w:val="0"/>
      <w:marRight w:val="0"/>
      <w:marTop w:val="0"/>
      <w:marBottom w:val="0"/>
      <w:divBdr>
        <w:top w:val="none" w:sz="0" w:space="0" w:color="auto"/>
        <w:left w:val="none" w:sz="0" w:space="0" w:color="auto"/>
        <w:bottom w:val="none" w:sz="0" w:space="0" w:color="auto"/>
        <w:right w:val="none" w:sz="0" w:space="0" w:color="auto"/>
      </w:divBdr>
    </w:div>
    <w:div w:id="1626158873">
      <w:bodyDiv w:val="1"/>
      <w:marLeft w:val="0"/>
      <w:marRight w:val="0"/>
      <w:marTop w:val="0"/>
      <w:marBottom w:val="0"/>
      <w:divBdr>
        <w:top w:val="none" w:sz="0" w:space="0" w:color="auto"/>
        <w:left w:val="none" w:sz="0" w:space="0" w:color="auto"/>
        <w:bottom w:val="none" w:sz="0" w:space="0" w:color="auto"/>
        <w:right w:val="none" w:sz="0" w:space="0" w:color="auto"/>
      </w:divBdr>
    </w:div>
    <w:div w:id="1630431435">
      <w:bodyDiv w:val="1"/>
      <w:marLeft w:val="0"/>
      <w:marRight w:val="0"/>
      <w:marTop w:val="0"/>
      <w:marBottom w:val="0"/>
      <w:divBdr>
        <w:top w:val="none" w:sz="0" w:space="0" w:color="auto"/>
        <w:left w:val="none" w:sz="0" w:space="0" w:color="auto"/>
        <w:bottom w:val="none" w:sz="0" w:space="0" w:color="auto"/>
        <w:right w:val="none" w:sz="0" w:space="0" w:color="auto"/>
      </w:divBdr>
    </w:div>
    <w:div w:id="1633707944">
      <w:bodyDiv w:val="1"/>
      <w:marLeft w:val="0"/>
      <w:marRight w:val="0"/>
      <w:marTop w:val="0"/>
      <w:marBottom w:val="0"/>
      <w:divBdr>
        <w:top w:val="none" w:sz="0" w:space="0" w:color="auto"/>
        <w:left w:val="none" w:sz="0" w:space="0" w:color="auto"/>
        <w:bottom w:val="none" w:sz="0" w:space="0" w:color="auto"/>
        <w:right w:val="none" w:sz="0" w:space="0" w:color="auto"/>
      </w:divBdr>
    </w:div>
    <w:div w:id="1654092674">
      <w:bodyDiv w:val="1"/>
      <w:marLeft w:val="0"/>
      <w:marRight w:val="0"/>
      <w:marTop w:val="0"/>
      <w:marBottom w:val="0"/>
      <w:divBdr>
        <w:top w:val="none" w:sz="0" w:space="0" w:color="auto"/>
        <w:left w:val="none" w:sz="0" w:space="0" w:color="auto"/>
        <w:bottom w:val="none" w:sz="0" w:space="0" w:color="auto"/>
        <w:right w:val="none" w:sz="0" w:space="0" w:color="auto"/>
      </w:divBdr>
    </w:div>
    <w:div w:id="1654720141">
      <w:bodyDiv w:val="1"/>
      <w:marLeft w:val="0"/>
      <w:marRight w:val="0"/>
      <w:marTop w:val="0"/>
      <w:marBottom w:val="0"/>
      <w:divBdr>
        <w:top w:val="none" w:sz="0" w:space="0" w:color="auto"/>
        <w:left w:val="none" w:sz="0" w:space="0" w:color="auto"/>
        <w:bottom w:val="none" w:sz="0" w:space="0" w:color="auto"/>
        <w:right w:val="none" w:sz="0" w:space="0" w:color="auto"/>
      </w:divBdr>
    </w:div>
    <w:div w:id="1673875785">
      <w:bodyDiv w:val="1"/>
      <w:marLeft w:val="0"/>
      <w:marRight w:val="0"/>
      <w:marTop w:val="0"/>
      <w:marBottom w:val="0"/>
      <w:divBdr>
        <w:top w:val="none" w:sz="0" w:space="0" w:color="auto"/>
        <w:left w:val="none" w:sz="0" w:space="0" w:color="auto"/>
        <w:bottom w:val="none" w:sz="0" w:space="0" w:color="auto"/>
        <w:right w:val="none" w:sz="0" w:space="0" w:color="auto"/>
      </w:divBdr>
    </w:div>
    <w:div w:id="1700738812">
      <w:bodyDiv w:val="1"/>
      <w:marLeft w:val="0"/>
      <w:marRight w:val="0"/>
      <w:marTop w:val="0"/>
      <w:marBottom w:val="0"/>
      <w:divBdr>
        <w:top w:val="none" w:sz="0" w:space="0" w:color="auto"/>
        <w:left w:val="none" w:sz="0" w:space="0" w:color="auto"/>
        <w:bottom w:val="none" w:sz="0" w:space="0" w:color="auto"/>
        <w:right w:val="none" w:sz="0" w:space="0" w:color="auto"/>
      </w:divBdr>
    </w:div>
    <w:div w:id="1701972856">
      <w:bodyDiv w:val="1"/>
      <w:marLeft w:val="0"/>
      <w:marRight w:val="0"/>
      <w:marTop w:val="0"/>
      <w:marBottom w:val="0"/>
      <w:divBdr>
        <w:top w:val="none" w:sz="0" w:space="0" w:color="auto"/>
        <w:left w:val="none" w:sz="0" w:space="0" w:color="auto"/>
        <w:bottom w:val="none" w:sz="0" w:space="0" w:color="auto"/>
        <w:right w:val="none" w:sz="0" w:space="0" w:color="auto"/>
      </w:divBdr>
    </w:div>
    <w:div w:id="1705207281">
      <w:bodyDiv w:val="1"/>
      <w:marLeft w:val="0"/>
      <w:marRight w:val="0"/>
      <w:marTop w:val="0"/>
      <w:marBottom w:val="0"/>
      <w:divBdr>
        <w:top w:val="none" w:sz="0" w:space="0" w:color="auto"/>
        <w:left w:val="none" w:sz="0" w:space="0" w:color="auto"/>
        <w:bottom w:val="none" w:sz="0" w:space="0" w:color="auto"/>
        <w:right w:val="none" w:sz="0" w:space="0" w:color="auto"/>
      </w:divBdr>
    </w:div>
    <w:div w:id="1710179787">
      <w:bodyDiv w:val="1"/>
      <w:marLeft w:val="0"/>
      <w:marRight w:val="0"/>
      <w:marTop w:val="0"/>
      <w:marBottom w:val="0"/>
      <w:divBdr>
        <w:top w:val="none" w:sz="0" w:space="0" w:color="auto"/>
        <w:left w:val="none" w:sz="0" w:space="0" w:color="auto"/>
        <w:bottom w:val="none" w:sz="0" w:space="0" w:color="auto"/>
        <w:right w:val="none" w:sz="0" w:space="0" w:color="auto"/>
      </w:divBdr>
    </w:div>
    <w:div w:id="1711297877">
      <w:bodyDiv w:val="1"/>
      <w:marLeft w:val="0"/>
      <w:marRight w:val="0"/>
      <w:marTop w:val="0"/>
      <w:marBottom w:val="0"/>
      <w:divBdr>
        <w:top w:val="none" w:sz="0" w:space="0" w:color="auto"/>
        <w:left w:val="none" w:sz="0" w:space="0" w:color="auto"/>
        <w:bottom w:val="none" w:sz="0" w:space="0" w:color="auto"/>
        <w:right w:val="none" w:sz="0" w:space="0" w:color="auto"/>
      </w:divBdr>
    </w:div>
    <w:div w:id="1716348445">
      <w:bodyDiv w:val="1"/>
      <w:marLeft w:val="0"/>
      <w:marRight w:val="0"/>
      <w:marTop w:val="0"/>
      <w:marBottom w:val="0"/>
      <w:divBdr>
        <w:top w:val="none" w:sz="0" w:space="0" w:color="auto"/>
        <w:left w:val="none" w:sz="0" w:space="0" w:color="auto"/>
        <w:bottom w:val="none" w:sz="0" w:space="0" w:color="auto"/>
        <w:right w:val="none" w:sz="0" w:space="0" w:color="auto"/>
      </w:divBdr>
    </w:div>
    <w:div w:id="1725056959">
      <w:bodyDiv w:val="1"/>
      <w:marLeft w:val="0"/>
      <w:marRight w:val="0"/>
      <w:marTop w:val="0"/>
      <w:marBottom w:val="0"/>
      <w:divBdr>
        <w:top w:val="none" w:sz="0" w:space="0" w:color="auto"/>
        <w:left w:val="none" w:sz="0" w:space="0" w:color="auto"/>
        <w:bottom w:val="none" w:sz="0" w:space="0" w:color="auto"/>
        <w:right w:val="none" w:sz="0" w:space="0" w:color="auto"/>
      </w:divBdr>
    </w:div>
    <w:div w:id="1725250142">
      <w:bodyDiv w:val="1"/>
      <w:marLeft w:val="0"/>
      <w:marRight w:val="0"/>
      <w:marTop w:val="0"/>
      <w:marBottom w:val="0"/>
      <w:divBdr>
        <w:top w:val="none" w:sz="0" w:space="0" w:color="auto"/>
        <w:left w:val="none" w:sz="0" w:space="0" w:color="auto"/>
        <w:bottom w:val="none" w:sz="0" w:space="0" w:color="auto"/>
        <w:right w:val="none" w:sz="0" w:space="0" w:color="auto"/>
      </w:divBdr>
    </w:div>
    <w:div w:id="1728214876">
      <w:bodyDiv w:val="1"/>
      <w:marLeft w:val="0"/>
      <w:marRight w:val="0"/>
      <w:marTop w:val="0"/>
      <w:marBottom w:val="0"/>
      <w:divBdr>
        <w:top w:val="none" w:sz="0" w:space="0" w:color="auto"/>
        <w:left w:val="none" w:sz="0" w:space="0" w:color="auto"/>
        <w:bottom w:val="none" w:sz="0" w:space="0" w:color="auto"/>
        <w:right w:val="none" w:sz="0" w:space="0" w:color="auto"/>
      </w:divBdr>
    </w:div>
    <w:div w:id="1730490640">
      <w:bodyDiv w:val="1"/>
      <w:marLeft w:val="0"/>
      <w:marRight w:val="0"/>
      <w:marTop w:val="0"/>
      <w:marBottom w:val="0"/>
      <w:divBdr>
        <w:top w:val="none" w:sz="0" w:space="0" w:color="auto"/>
        <w:left w:val="none" w:sz="0" w:space="0" w:color="auto"/>
        <w:bottom w:val="none" w:sz="0" w:space="0" w:color="auto"/>
        <w:right w:val="none" w:sz="0" w:space="0" w:color="auto"/>
      </w:divBdr>
    </w:div>
    <w:div w:id="1731075754">
      <w:bodyDiv w:val="1"/>
      <w:marLeft w:val="0"/>
      <w:marRight w:val="0"/>
      <w:marTop w:val="0"/>
      <w:marBottom w:val="0"/>
      <w:divBdr>
        <w:top w:val="none" w:sz="0" w:space="0" w:color="auto"/>
        <w:left w:val="none" w:sz="0" w:space="0" w:color="auto"/>
        <w:bottom w:val="none" w:sz="0" w:space="0" w:color="auto"/>
        <w:right w:val="none" w:sz="0" w:space="0" w:color="auto"/>
      </w:divBdr>
    </w:div>
    <w:div w:id="1734347998">
      <w:bodyDiv w:val="1"/>
      <w:marLeft w:val="0"/>
      <w:marRight w:val="0"/>
      <w:marTop w:val="0"/>
      <w:marBottom w:val="0"/>
      <w:divBdr>
        <w:top w:val="none" w:sz="0" w:space="0" w:color="auto"/>
        <w:left w:val="none" w:sz="0" w:space="0" w:color="auto"/>
        <w:bottom w:val="none" w:sz="0" w:space="0" w:color="auto"/>
        <w:right w:val="none" w:sz="0" w:space="0" w:color="auto"/>
      </w:divBdr>
    </w:div>
    <w:div w:id="1745910809">
      <w:bodyDiv w:val="1"/>
      <w:marLeft w:val="0"/>
      <w:marRight w:val="0"/>
      <w:marTop w:val="0"/>
      <w:marBottom w:val="0"/>
      <w:divBdr>
        <w:top w:val="none" w:sz="0" w:space="0" w:color="auto"/>
        <w:left w:val="none" w:sz="0" w:space="0" w:color="auto"/>
        <w:bottom w:val="none" w:sz="0" w:space="0" w:color="auto"/>
        <w:right w:val="none" w:sz="0" w:space="0" w:color="auto"/>
      </w:divBdr>
    </w:div>
    <w:div w:id="1752577942">
      <w:bodyDiv w:val="1"/>
      <w:marLeft w:val="0"/>
      <w:marRight w:val="0"/>
      <w:marTop w:val="0"/>
      <w:marBottom w:val="0"/>
      <w:divBdr>
        <w:top w:val="none" w:sz="0" w:space="0" w:color="auto"/>
        <w:left w:val="none" w:sz="0" w:space="0" w:color="auto"/>
        <w:bottom w:val="none" w:sz="0" w:space="0" w:color="auto"/>
        <w:right w:val="none" w:sz="0" w:space="0" w:color="auto"/>
      </w:divBdr>
    </w:div>
    <w:div w:id="1763717880">
      <w:bodyDiv w:val="1"/>
      <w:marLeft w:val="0"/>
      <w:marRight w:val="0"/>
      <w:marTop w:val="0"/>
      <w:marBottom w:val="0"/>
      <w:divBdr>
        <w:top w:val="none" w:sz="0" w:space="0" w:color="auto"/>
        <w:left w:val="none" w:sz="0" w:space="0" w:color="auto"/>
        <w:bottom w:val="none" w:sz="0" w:space="0" w:color="auto"/>
        <w:right w:val="none" w:sz="0" w:space="0" w:color="auto"/>
      </w:divBdr>
    </w:div>
    <w:div w:id="1769617035">
      <w:bodyDiv w:val="1"/>
      <w:marLeft w:val="0"/>
      <w:marRight w:val="0"/>
      <w:marTop w:val="0"/>
      <w:marBottom w:val="0"/>
      <w:divBdr>
        <w:top w:val="none" w:sz="0" w:space="0" w:color="auto"/>
        <w:left w:val="none" w:sz="0" w:space="0" w:color="auto"/>
        <w:bottom w:val="none" w:sz="0" w:space="0" w:color="auto"/>
        <w:right w:val="none" w:sz="0" w:space="0" w:color="auto"/>
      </w:divBdr>
    </w:div>
    <w:div w:id="1777209342">
      <w:bodyDiv w:val="1"/>
      <w:marLeft w:val="0"/>
      <w:marRight w:val="0"/>
      <w:marTop w:val="0"/>
      <w:marBottom w:val="0"/>
      <w:divBdr>
        <w:top w:val="none" w:sz="0" w:space="0" w:color="auto"/>
        <w:left w:val="none" w:sz="0" w:space="0" w:color="auto"/>
        <w:bottom w:val="none" w:sz="0" w:space="0" w:color="auto"/>
        <w:right w:val="none" w:sz="0" w:space="0" w:color="auto"/>
      </w:divBdr>
    </w:div>
    <w:div w:id="1790197025">
      <w:bodyDiv w:val="1"/>
      <w:marLeft w:val="0"/>
      <w:marRight w:val="0"/>
      <w:marTop w:val="0"/>
      <w:marBottom w:val="0"/>
      <w:divBdr>
        <w:top w:val="none" w:sz="0" w:space="0" w:color="auto"/>
        <w:left w:val="none" w:sz="0" w:space="0" w:color="auto"/>
        <w:bottom w:val="none" w:sz="0" w:space="0" w:color="auto"/>
        <w:right w:val="none" w:sz="0" w:space="0" w:color="auto"/>
      </w:divBdr>
    </w:div>
    <w:div w:id="1805585957">
      <w:bodyDiv w:val="1"/>
      <w:marLeft w:val="0"/>
      <w:marRight w:val="0"/>
      <w:marTop w:val="0"/>
      <w:marBottom w:val="0"/>
      <w:divBdr>
        <w:top w:val="none" w:sz="0" w:space="0" w:color="auto"/>
        <w:left w:val="none" w:sz="0" w:space="0" w:color="auto"/>
        <w:bottom w:val="none" w:sz="0" w:space="0" w:color="auto"/>
        <w:right w:val="none" w:sz="0" w:space="0" w:color="auto"/>
      </w:divBdr>
    </w:div>
    <w:div w:id="1807383239">
      <w:bodyDiv w:val="1"/>
      <w:marLeft w:val="0"/>
      <w:marRight w:val="0"/>
      <w:marTop w:val="0"/>
      <w:marBottom w:val="0"/>
      <w:divBdr>
        <w:top w:val="none" w:sz="0" w:space="0" w:color="auto"/>
        <w:left w:val="none" w:sz="0" w:space="0" w:color="auto"/>
        <w:bottom w:val="none" w:sz="0" w:space="0" w:color="auto"/>
        <w:right w:val="none" w:sz="0" w:space="0" w:color="auto"/>
      </w:divBdr>
    </w:div>
    <w:div w:id="1812752763">
      <w:bodyDiv w:val="1"/>
      <w:marLeft w:val="0"/>
      <w:marRight w:val="0"/>
      <w:marTop w:val="0"/>
      <w:marBottom w:val="0"/>
      <w:divBdr>
        <w:top w:val="none" w:sz="0" w:space="0" w:color="auto"/>
        <w:left w:val="none" w:sz="0" w:space="0" w:color="auto"/>
        <w:bottom w:val="none" w:sz="0" w:space="0" w:color="auto"/>
        <w:right w:val="none" w:sz="0" w:space="0" w:color="auto"/>
      </w:divBdr>
    </w:div>
    <w:div w:id="1839736491">
      <w:bodyDiv w:val="1"/>
      <w:marLeft w:val="0"/>
      <w:marRight w:val="0"/>
      <w:marTop w:val="0"/>
      <w:marBottom w:val="0"/>
      <w:divBdr>
        <w:top w:val="none" w:sz="0" w:space="0" w:color="auto"/>
        <w:left w:val="none" w:sz="0" w:space="0" w:color="auto"/>
        <w:bottom w:val="none" w:sz="0" w:space="0" w:color="auto"/>
        <w:right w:val="none" w:sz="0" w:space="0" w:color="auto"/>
      </w:divBdr>
    </w:div>
    <w:div w:id="1843004150">
      <w:bodyDiv w:val="1"/>
      <w:marLeft w:val="0"/>
      <w:marRight w:val="0"/>
      <w:marTop w:val="0"/>
      <w:marBottom w:val="0"/>
      <w:divBdr>
        <w:top w:val="none" w:sz="0" w:space="0" w:color="auto"/>
        <w:left w:val="none" w:sz="0" w:space="0" w:color="auto"/>
        <w:bottom w:val="none" w:sz="0" w:space="0" w:color="auto"/>
        <w:right w:val="none" w:sz="0" w:space="0" w:color="auto"/>
      </w:divBdr>
    </w:div>
    <w:div w:id="1848708253">
      <w:bodyDiv w:val="1"/>
      <w:marLeft w:val="0"/>
      <w:marRight w:val="0"/>
      <w:marTop w:val="0"/>
      <w:marBottom w:val="0"/>
      <w:divBdr>
        <w:top w:val="none" w:sz="0" w:space="0" w:color="auto"/>
        <w:left w:val="none" w:sz="0" w:space="0" w:color="auto"/>
        <w:bottom w:val="none" w:sz="0" w:space="0" w:color="auto"/>
        <w:right w:val="none" w:sz="0" w:space="0" w:color="auto"/>
      </w:divBdr>
    </w:div>
    <w:div w:id="1873615259">
      <w:bodyDiv w:val="1"/>
      <w:marLeft w:val="0"/>
      <w:marRight w:val="0"/>
      <w:marTop w:val="0"/>
      <w:marBottom w:val="0"/>
      <w:divBdr>
        <w:top w:val="none" w:sz="0" w:space="0" w:color="auto"/>
        <w:left w:val="none" w:sz="0" w:space="0" w:color="auto"/>
        <w:bottom w:val="none" w:sz="0" w:space="0" w:color="auto"/>
        <w:right w:val="none" w:sz="0" w:space="0" w:color="auto"/>
      </w:divBdr>
    </w:div>
    <w:div w:id="1886598256">
      <w:bodyDiv w:val="1"/>
      <w:marLeft w:val="0"/>
      <w:marRight w:val="0"/>
      <w:marTop w:val="0"/>
      <w:marBottom w:val="0"/>
      <w:divBdr>
        <w:top w:val="none" w:sz="0" w:space="0" w:color="auto"/>
        <w:left w:val="none" w:sz="0" w:space="0" w:color="auto"/>
        <w:bottom w:val="none" w:sz="0" w:space="0" w:color="auto"/>
        <w:right w:val="none" w:sz="0" w:space="0" w:color="auto"/>
      </w:divBdr>
    </w:div>
    <w:div w:id="1889605254">
      <w:bodyDiv w:val="1"/>
      <w:marLeft w:val="0"/>
      <w:marRight w:val="0"/>
      <w:marTop w:val="0"/>
      <w:marBottom w:val="0"/>
      <w:divBdr>
        <w:top w:val="none" w:sz="0" w:space="0" w:color="auto"/>
        <w:left w:val="none" w:sz="0" w:space="0" w:color="auto"/>
        <w:bottom w:val="none" w:sz="0" w:space="0" w:color="auto"/>
        <w:right w:val="none" w:sz="0" w:space="0" w:color="auto"/>
      </w:divBdr>
    </w:div>
    <w:div w:id="1904755795">
      <w:bodyDiv w:val="1"/>
      <w:marLeft w:val="0"/>
      <w:marRight w:val="0"/>
      <w:marTop w:val="0"/>
      <w:marBottom w:val="0"/>
      <w:divBdr>
        <w:top w:val="none" w:sz="0" w:space="0" w:color="auto"/>
        <w:left w:val="none" w:sz="0" w:space="0" w:color="auto"/>
        <w:bottom w:val="none" w:sz="0" w:space="0" w:color="auto"/>
        <w:right w:val="none" w:sz="0" w:space="0" w:color="auto"/>
      </w:divBdr>
    </w:div>
    <w:div w:id="1916621066">
      <w:bodyDiv w:val="1"/>
      <w:marLeft w:val="0"/>
      <w:marRight w:val="0"/>
      <w:marTop w:val="0"/>
      <w:marBottom w:val="0"/>
      <w:divBdr>
        <w:top w:val="none" w:sz="0" w:space="0" w:color="auto"/>
        <w:left w:val="none" w:sz="0" w:space="0" w:color="auto"/>
        <w:bottom w:val="none" w:sz="0" w:space="0" w:color="auto"/>
        <w:right w:val="none" w:sz="0" w:space="0" w:color="auto"/>
      </w:divBdr>
    </w:div>
    <w:div w:id="1922910351">
      <w:bodyDiv w:val="1"/>
      <w:marLeft w:val="0"/>
      <w:marRight w:val="0"/>
      <w:marTop w:val="0"/>
      <w:marBottom w:val="0"/>
      <w:divBdr>
        <w:top w:val="none" w:sz="0" w:space="0" w:color="auto"/>
        <w:left w:val="none" w:sz="0" w:space="0" w:color="auto"/>
        <w:bottom w:val="none" w:sz="0" w:space="0" w:color="auto"/>
        <w:right w:val="none" w:sz="0" w:space="0" w:color="auto"/>
      </w:divBdr>
    </w:div>
    <w:div w:id="1923375282">
      <w:bodyDiv w:val="1"/>
      <w:marLeft w:val="0"/>
      <w:marRight w:val="0"/>
      <w:marTop w:val="0"/>
      <w:marBottom w:val="0"/>
      <w:divBdr>
        <w:top w:val="none" w:sz="0" w:space="0" w:color="auto"/>
        <w:left w:val="none" w:sz="0" w:space="0" w:color="auto"/>
        <w:bottom w:val="none" w:sz="0" w:space="0" w:color="auto"/>
        <w:right w:val="none" w:sz="0" w:space="0" w:color="auto"/>
      </w:divBdr>
    </w:div>
    <w:div w:id="1928803020">
      <w:bodyDiv w:val="1"/>
      <w:marLeft w:val="0"/>
      <w:marRight w:val="0"/>
      <w:marTop w:val="0"/>
      <w:marBottom w:val="0"/>
      <w:divBdr>
        <w:top w:val="none" w:sz="0" w:space="0" w:color="auto"/>
        <w:left w:val="none" w:sz="0" w:space="0" w:color="auto"/>
        <w:bottom w:val="none" w:sz="0" w:space="0" w:color="auto"/>
        <w:right w:val="none" w:sz="0" w:space="0" w:color="auto"/>
      </w:divBdr>
    </w:div>
    <w:div w:id="1937901867">
      <w:bodyDiv w:val="1"/>
      <w:marLeft w:val="0"/>
      <w:marRight w:val="0"/>
      <w:marTop w:val="0"/>
      <w:marBottom w:val="0"/>
      <w:divBdr>
        <w:top w:val="none" w:sz="0" w:space="0" w:color="auto"/>
        <w:left w:val="none" w:sz="0" w:space="0" w:color="auto"/>
        <w:bottom w:val="none" w:sz="0" w:space="0" w:color="auto"/>
        <w:right w:val="none" w:sz="0" w:space="0" w:color="auto"/>
      </w:divBdr>
    </w:div>
    <w:div w:id="1944533452">
      <w:bodyDiv w:val="1"/>
      <w:marLeft w:val="0"/>
      <w:marRight w:val="0"/>
      <w:marTop w:val="0"/>
      <w:marBottom w:val="0"/>
      <w:divBdr>
        <w:top w:val="none" w:sz="0" w:space="0" w:color="auto"/>
        <w:left w:val="none" w:sz="0" w:space="0" w:color="auto"/>
        <w:bottom w:val="none" w:sz="0" w:space="0" w:color="auto"/>
        <w:right w:val="none" w:sz="0" w:space="0" w:color="auto"/>
      </w:divBdr>
    </w:div>
    <w:div w:id="1951737828">
      <w:bodyDiv w:val="1"/>
      <w:marLeft w:val="0"/>
      <w:marRight w:val="0"/>
      <w:marTop w:val="0"/>
      <w:marBottom w:val="0"/>
      <w:divBdr>
        <w:top w:val="none" w:sz="0" w:space="0" w:color="auto"/>
        <w:left w:val="none" w:sz="0" w:space="0" w:color="auto"/>
        <w:bottom w:val="none" w:sz="0" w:space="0" w:color="auto"/>
        <w:right w:val="none" w:sz="0" w:space="0" w:color="auto"/>
      </w:divBdr>
    </w:div>
    <w:div w:id="1973438646">
      <w:bodyDiv w:val="1"/>
      <w:marLeft w:val="0"/>
      <w:marRight w:val="0"/>
      <w:marTop w:val="0"/>
      <w:marBottom w:val="0"/>
      <w:divBdr>
        <w:top w:val="none" w:sz="0" w:space="0" w:color="auto"/>
        <w:left w:val="none" w:sz="0" w:space="0" w:color="auto"/>
        <w:bottom w:val="none" w:sz="0" w:space="0" w:color="auto"/>
        <w:right w:val="none" w:sz="0" w:space="0" w:color="auto"/>
      </w:divBdr>
    </w:div>
    <w:div w:id="1974095791">
      <w:bodyDiv w:val="1"/>
      <w:marLeft w:val="0"/>
      <w:marRight w:val="0"/>
      <w:marTop w:val="0"/>
      <w:marBottom w:val="0"/>
      <w:divBdr>
        <w:top w:val="none" w:sz="0" w:space="0" w:color="auto"/>
        <w:left w:val="none" w:sz="0" w:space="0" w:color="auto"/>
        <w:bottom w:val="none" w:sz="0" w:space="0" w:color="auto"/>
        <w:right w:val="none" w:sz="0" w:space="0" w:color="auto"/>
      </w:divBdr>
    </w:div>
    <w:div w:id="1974142032">
      <w:bodyDiv w:val="1"/>
      <w:marLeft w:val="0"/>
      <w:marRight w:val="0"/>
      <w:marTop w:val="0"/>
      <w:marBottom w:val="0"/>
      <w:divBdr>
        <w:top w:val="none" w:sz="0" w:space="0" w:color="auto"/>
        <w:left w:val="none" w:sz="0" w:space="0" w:color="auto"/>
        <w:bottom w:val="none" w:sz="0" w:space="0" w:color="auto"/>
        <w:right w:val="none" w:sz="0" w:space="0" w:color="auto"/>
      </w:divBdr>
    </w:div>
    <w:div w:id="1977638440">
      <w:bodyDiv w:val="1"/>
      <w:marLeft w:val="0"/>
      <w:marRight w:val="0"/>
      <w:marTop w:val="0"/>
      <w:marBottom w:val="0"/>
      <w:divBdr>
        <w:top w:val="none" w:sz="0" w:space="0" w:color="auto"/>
        <w:left w:val="none" w:sz="0" w:space="0" w:color="auto"/>
        <w:bottom w:val="none" w:sz="0" w:space="0" w:color="auto"/>
        <w:right w:val="none" w:sz="0" w:space="0" w:color="auto"/>
      </w:divBdr>
    </w:div>
    <w:div w:id="1983347723">
      <w:bodyDiv w:val="1"/>
      <w:marLeft w:val="0"/>
      <w:marRight w:val="0"/>
      <w:marTop w:val="0"/>
      <w:marBottom w:val="0"/>
      <w:divBdr>
        <w:top w:val="none" w:sz="0" w:space="0" w:color="auto"/>
        <w:left w:val="none" w:sz="0" w:space="0" w:color="auto"/>
        <w:bottom w:val="none" w:sz="0" w:space="0" w:color="auto"/>
        <w:right w:val="none" w:sz="0" w:space="0" w:color="auto"/>
      </w:divBdr>
    </w:div>
    <w:div w:id="1993362973">
      <w:bodyDiv w:val="1"/>
      <w:marLeft w:val="0"/>
      <w:marRight w:val="0"/>
      <w:marTop w:val="0"/>
      <w:marBottom w:val="0"/>
      <w:divBdr>
        <w:top w:val="none" w:sz="0" w:space="0" w:color="auto"/>
        <w:left w:val="none" w:sz="0" w:space="0" w:color="auto"/>
        <w:bottom w:val="none" w:sz="0" w:space="0" w:color="auto"/>
        <w:right w:val="none" w:sz="0" w:space="0" w:color="auto"/>
      </w:divBdr>
    </w:div>
    <w:div w:id="2008747551">
      <w:bodyDiv w:val="1"/>
      <w:marLeft w:val="0"/>
      <w:marRight w:val="0"/>
      <w:marTop w:val="0"/>
      <w:marBottom w:val="0"/>
      <w:divBdr>
        <w:top w:val="none" w:sz="0" w:space="0" w:color="auto"/>
        <w:left w:val="none" w:sz="0" w:space="0" w:color="auto"/>
        <w:bottom w:val="none" w:sz="0" w:space="0" w:color="auto"/>
        <w:right w:val="none" w:sz="0" w:space="0" w:color="auto"/>
      </w:divBdr>
    </w:div>
    <w:div w:id="2039313694">
      <w:bodyDiv w:val="1"/>
      <w:marLeft w:val="0"/>
      <w:marRight w:val="0"/>
      <w:marTop w:val="0"/>
      <w:marBottom w:val="0"/>
      <w:divBdr>
        <w:top w:val="none" w:sz="0" w:space="0" w:color="auto"/>
        <w:left w:val="none" w:sz="0" w:space="0" w:color="auto"/>
        <w:bottom w:val="none" w:sz="0" w:space="0" w:color="auto"/>
        <w:right w:val="none" w:sz="0" w:space="0" w:color="auto"/>
      </w:divBdr>
    </w:div>
    <w:div w:id="2042053170">
      <w:bodyDiv w:val="1"/>
      <w:marLeft w:val="0"/>
      <w:marRight w:val="0"/>
      <w:marTop w:val="0"/>
      <w:marBottom w:val="0"/>
      <w:divBdr>
        <w:top w:val="none" w:sz="0" w:space="0" w:color="auto"/>
        <w:left w:val="none" w:sz="0" w:space="0" w:color="auto"/>
        <w:bottom w:val="none" w:sz="0" w:space="0" w:color="auto"/>
        <w:right w:val="none" w:sz="0" w:space="0" w:color="auto"/>
      </w:divBdr>
    </w:div>
    <w:div w:id="2048986754">
      <w:bodyDiv w:val="1"/>
      <w:marLeft w:val="0"/>
      <w:marRight w:val="0"/>
      <w:marTop w:val="0"/>
      <w:marBottom w:val="0"/>
      <w:divBdr>
        <w:top w:val="none" w:sz="0" w:space="0" w:color="auto"/>
        <w:left w:val="none" w:sz="0" w:space="0" w:color="auto"/>
        <w:bottom w:val="none" w:sz="0" w:space="0" w:color="auto"/>
        <w:right w:val="none" w:sz="0" w:space="0" w:color="auto"/>
      </w:divBdr>
    </w:div>
    <w:div w:id="2051149243">
      <w:bodyDiv w:val="1"/>
      <w:marLeft w:val="0"/>
      <w:marRight w:val="0"/>
      <w:marTop w:val="0"/>
      <w:marBottom w:val="0"/>
      <w:divBdr>
        <w:top w:val="none" w:sz="0" w:space="0" w:color="auto"/>
        <w:left w:val="none" w:sz="0" w:space="0" w:color="auto"/>
        <w:bottom w:val="none" w:sz="0" w:space="0" w:color="auto"/>
        <w:right w:val="none" w:sz="0" w:space="0" w:color="auto"/>
      </w:divBdr>
    </w:div>
    <w:div w:id="2053840100">
      <w:bodyDiv w:val="1"/>
      <w:marLeft w:val="0"/>
      <w:marRight w:val="0"/>
      <w:marTop w:val="0"/>
      <w:marBottom w:val="0"/>
      <w:divBdr>
        <w:top w:val="none" w:sz="0" w:space="0" w:color="auto"/>
        <w:left w:val="none" w:sz="0" w:space="0" w:color="auto"/>
        <w:bottom w:val="none" w:sz="0" w:space="0" w:color="auto"/>
        <w:right w:val="none" w:sz="0" w:space="0" w:color="auto"/>
      </w:divBdr>
    </w:div>
    <w:div w:id="2058315474">
      <w:bodyDiv w:val="1"/>
      <w:marLeft w:val="0"/>
      <w:marRight w:val="0"/>
      <w:marTop w:val="0"/>
      <w:marBottom w:val="0"/>
      <w:divBdr>
        <w:top w:val="none" w:sz="0" w:space="0" w:color="auto"/>
        <w:left w:val="none" w:sz="0" w:space="0" w:color="auto"/>
        <w:bottom w:val="none" w:sz="0" w:space="0" w:color="auto"/>
        <w:right w:val="none" w:sz="0" w:space="0" w:color="auto"/>
      </w:divBdr>
    </w:div>
    <w:div w:id="2063476346">
      <w:bodyDiv w:val="1"/>
      <w:marLeft w:val="0"/>
      <w:marRight w:val="0"/>
      <w:marTop w:val="0"/>
      <w:marBottom w:val="0"/>
      <w:divBdr>
        <w:top w:val="none" w:sz="0" w:space="0" w:color="auto"/>
        <w:left w:val="none" w:sz="0" w:space="0" w:color="auto"/>
        <w:bottom w:val="none" w:sz="0" w:space="0" w:color="auto"/>
        <w:right w:val="none" w:sz="0" w:space="0" w:color="auto"/>
      </w:divBdr>
    </w:div>
    <w:div w:id="2089224888">
      <w:bodyDiv w:val="1"/>
      <w:marLeft w:val="0"/>
      <w:marRight w:val="0"/>
      <w:marTop w:val="0"/>
      <w:marBottom w:val="0"/>
      <w:divBdr>
        <w:top w:val="none" w:sz="0" w:space="0" w:color="auto"/>
        <w:left w:val="none" w:sz="0" w:space="0" w:color="auto"/>
        <w:bottom w:val="none" w:sz="0" w:space="0" w:color="auto"/>
        <w:right w:val="none" w:sz="0" w:space="0" w:color="auto"/>
      </w:divBdr>
    </w:div>
    <w:div w:id="2095278911">
      <w:bodyDiv w:val="1"/>
      <w:marLeft w:val="0"/>
      <w:marRight w:val="0"/>
      <w:marTop w:val="0"/>
      <w:marBottom w:val="0"/>
      <w:divBdr>
        <w:top w:val="none" w:sz="0" w:space="0" w:color="auto"/>
        <w:left w:val="none" w:sz="0" w:space="0" w:color="auto"/>
        <w:bottom w:val="none" w:sz="0" w:space="0" w:color="auto"/>
        <w:right w:val="none" w:sz="0" w:space="0" w:color="auto"/>
      </w:divBdr>
    </w:div>
    <w:div w:id="2099250153">
      <w:bodyDiv w:val="1"/>
      <w:marLeft w:val="0"/>
      <w:marRight w:val="0"/>
      <w:marTop w:val="0"/>
      <w:marBottom w:val="0"/>
      <w:divBdr>
        <w:top w:val="none" w:sz="0" w:space="0" w:color="auto"/>
        <w:left w:val="none" w:sz="0" w:space="0" w:color="auto"/>
        <w:bottom w:val="none" w:sz="0" w:space="0" w:color="auto"/>
        <w:right w:val="none" w:sz="0" w:space="0" w:color="auto"/>
      </w:divBdr>
    </w:div>
    <w:div w:id="2134323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Ent22</b:Tag>
    <b:SourceType>InternetSite</b:SourceType>
    <b:Guid>{04BA6EC6-622B-4D7A-A973-E1352B18B678}</b:Guid>
    <b:Title>Entain (Entain awarded Advanced Safer Gambling Standard)</b:Title>
    <b:Year>2022</b:Year>
    <b:Author>
      <b:Author>
        <b:Corporate>Entain Plc</b:Corporate>
      </b:Author>
    </b:Author>
    <b:YearAccessed>2025</b:YearAccessed>
    <b:MonthAccessed>novemebr</b:MonthAccessed>
    <b:DayAccessed>15th, saturday</b:DayAccessed>
    <b:URL>https://www.entaingroup.com/news-insights/latest-news/2022/entain-awarded-advanced-safer-gambling-standard-as-it-leads-the-industry-in-player-protection/?</b:URL>
    <b:RefOrder>2</b:RefOrder>
  </b:Source>
  <b:Source>
    <b:Tag>ENT25</b:Tag>
    <b:SourceType>InternetSite</b:SourceType>
    <b:Guid>{5D2D2A37-2CF8-4FED-BB52-EB093154C468}</b:Guid>
    <b:Author>
      <b:Author>
        <b:Corporate>ENTAIN</b:Corporate>
      </b:Author>
    </b:Author>
    <b:Title>ENTAIN(Safer betting and gaming)</b:Title>
    <b:YearAccessed>2025</b:YearAccessed>
    <b:MonthAccessed>november</b:MonthAccessed>
    <b:DayAccessed>saturday</b:DayAccessed>
    <b:URL>https://www.entaingroup.com/sustainability-esg/safer-betting-and-gaming/</b:URL>
    <b:RefOrder>1</b:RefOrder>
  </b:Source>
  <b:Source>
    <b:Tag>Wan21</b:Tag>
    <b:SourceType>Report</b:SourceType>
    <b:Guid>{2370E5F6-D785-42CF-8434-579D946EEA23}</b:Guid>
    <b:Title>Transparency in Responsible Gambling: A Systematic Review</b:Title>
    <b:Year>2021</b:Year>
    <b:Author>
      <b:Author>
        <b:Corporate>Wang, R., Bush-Evans, R., Arden-Close, E., Thomas, S., Hodge, S., McAlaney, J., Bolat, E. and Phalp, K. T., 2021. </b:Corporate>
      </b:Author>
    </b:Author>
    <b:Publisher>Bournemouth university</b:Publisher>
    <b:City>Poole, England</b:City>
    <b:RefOrder>62</b:RefOrder>
  </b:Source>
  <b:Source>
    <b:Tag>Lib23</b:Tag>
    <b:SourceType>JournalArticle</b:SourceType>
    <b:Guid>{9E1C885D-64B6-4924-BC07-6CB667A409D4}</b:Guid>
    <b:Title>Corporate social responsibility in the gambling industry: A systematic review and conceptual framework</b:Title>
    <b:Year>2023</b:Year>
    <b:Author>
      <b:Author>
        <b:NameList>
          <b:Person>
            <b:Last>Tetrevova</b:Last>
            <b:First>Libena</b:First>
          </b:Person>
        </b:NameList>
      </b:Author>
    </b:Author>
    <b:JournalName>International Gambling Studies</b:JournalName>
    <b:Pages>Pages 518-538</b:Pages>
    <b:Volume>Volume 23</b:Volume>
    <b:Issue>Issue 3</b:Issue>
    <b:RefOrder>29</b:RefOrder>
  </b:Source>
  <b:Source>
    <b:Tag>Ent25</b:Tag>
    <b:SourceType>DocumentFromInternetSite</b:SourceType>
    <b:Guid>{6466EFF1-1A77-4AC8-8169-2C64088258DA}</b:Guid>
    <b:Title>Safer betting and gaming</b:Title>
    <b:Author>
      <b:Author>
        <b:NameList>
          <b:Person>
            <b:Last>Entain..plc</b:Last>
          </b:Person>
        </b:NameList>
      </b:Author>
    </b:Author>
    <b:YearAccessed>2025</b:YearAccessed>
    <b:MonthAccessed>November</b:MonthAccessed>
    <b:DayAccessed>15th</b:DayAccessed>
    <b:URL>https://www.entaingroup.com/sustainability-esg/safer-betting-and-gaming/</b:URL>
    <b:RefOrder>63</b:RefOrder>
  </b:Source>
  <b:Source>
    <b:Tag>Eur22</b:Tag>
    <b:SourceType>InternetSite</b:SourceType>
    <b:Guid>{54A6BC18-F637-4098-9974-A8A002837A18}</b:Guid>
    <b:Author>
      <b:Author>
        <b:NameList>
          <b:Person>
            <b:Last>Association</b:Last>
            <b:First>European</b:First>
            <b:Middle>Gaming &amp; Betting</b:Middle>
          </b:Person>
        </b:NameList>
      </b:Author>
    </b:Author>
    <b:Title>Entain: Advanced Responsibility &amp; Care (ARC)</b:Title>
    <b:Year>2022</b:Year>
    <b:YearAccessed>2025</b:YearAccessed>
    <b:MonthAccessed>Novemebr</b:MonthAccessed>
    <b:DayAccessed>15th</b:DayAccessed>
    <b:URL>https://www.egba.eu/news-post/entain-advanced-responsibility-care-arc/?</b:URL>
    <b:RefOrder>18</b:RefOrder>
  </b:Source>
  <b:Source>
    <b:Tag>lib23</b:Tag>
    <b:SourceType>Report</b:SourceType>
    <b:Guid>{224F8B65-E155-40A3-81D0-A47108107548}</b:Guid>
    <b:Title>A systematic review on corporate social responsibility in the gaming industry</b:Title>
    <b:Year>2023</b:Year>
    <b:Author>
      <b:Author>
        <b:NameList>
          <b:Person>
            <b:Last>Tetrevova</b:Last>
            <b:First>libena</b:First>
          </b:Person>
        </b:NameList>
      </b:Author>
    </b:Author>
    <b:Publisher>Greo</b:Publisher>
    <b:City>https://www.greo.ca/Modules/EvidenceCentre/files/Tetrevova%20%282023%29_Corporate%20social%20responsibility%20in%20the%20gambling%20industry_final.pdf?</b:City>
    <b:RefOrder>64</b:RefOrder>
  </b:Source>
  <b:Source>
    <b:Tag>Gam221</b:Tag>
    <b:SourceType>InternetSite</b:SourceType>
    <b:Guid>{B7B37686-D735-4842-9014-58E38634E5AE}</b:Guid>
    <b:Title>GamCare’s response to the Entain regulation settlement</b:Title>
    <b:Year>2022</b:Year>
    <b:Author>
      <b:Author>
        <b:NameList>
          <b:Person>
            <b:Last>Gamcare</b:Last>
          </b:Person>
        </b:NameList>
      </b:Author>
    </b:Author>
    <b:YearAccessed>2025</b:YearAccessed>
    <b:MonthAccessed>november</b:MonthAccessed>
    <b:DayAccessed>15th saturday</b:DayAccessed>
    <b:URL>https://www.gamcare.org.uk/news-and-blog/news/gamcares-response-to-the-entain-regulation-settlement/</b:URL>
    <b:RefOrder>65</b:RefOrder>
  </b:Source>
  <b:Source>
    <b:Tag>Rui21</b:Tag>
    <b:SourceType>Report</b:SourceType>
    <b:Guid>{D0E3E74F-85F3-417E-8CC5-84F4FEFEFF05}</b:Guid>
    <b:Title>Transparency in Responsible Gambling: systematic review</b:Title>
    <b:Year>2021</b:Year>
    <b:Author>
      <b:Author>
        <b:NameList>
          <b:Person>
            <b:Last>Keith Phalp</b:Last>
            <b:First>Ruijie</b:First>
            <b:Middle>Wang Emily Arden-Close Reece Bush-Evans Sarah Thomas Sarah Hodge John McAlaney Elvira Bolat Keith</b:Middle>
          </b:Person>
        </b:NameList>
      </b:Author>
    </b:Author>
    <b:Publisher>BU</b:Publisher>
    <b:City>Bournemouth , united kingdom</b:City>
    <b:RefOrder>26</b:RefOrder>
  </b:Source>
  <b:Source>
    <b:Tag>ENT22</b:Tag>
    <b:SourceType>InternetSite</b:SourceType>
    <b:Guid>{7E697411-5D2D-4A38-9129-6CDACC4671F3}</b:Guid>
    <b:Title>Entain awarded Advanced Safer Gambling Standard</b:Title>
    <b:Year>2022</b:Year>
    <b:Author>
      <b:Author>
        <b:NameList>
          <b:Person>
            <b:Last>PLC</b:Last>
            <b:First>ENTAIN</b:First>
          </b:Person>
        </b:NameList>
      </b:Author>
    </b:Author>
    <b:YearAccessed>2025</b:YearAccessed>
    <b:MonthAccessed>December </b:MonthAccessed>
    <b:DayAccessed>2</b:DayAccessed>
    <b:URL>https://www.entaingroup.com/news-insights/latest-news/2022/entain-awarded-advanced-safer-gambling-standard-as-it-leads-the-industry-in-player-protection/</b:URL>
    <b:RefOrder>66</b:RefOrder>
  </b:Source>
  <b:Source>
    <b:Tag>Placeholder1</b:Tag>
    <b:SourceType>InternetSite</b:SourceType>
    <b:Guid>{E90B2853-9F20-437A-8B8B-53BC0D82F89A}</b:Guid>
    <b:RefOrder>67</b:RefOrder>
  </b:Source>
  <b:Source>
    <b:Tag>Ice91</b:Tag>
    <b:SourceType>JournalArticle</b:SourceType>
    <b:Guid>{70B94A12-D9F2-408F-827E-7D50B8F14F28}</b:Guid>
    <b:Title>The theory of planned behavior</b:Title>
    <b:Year>1991</b:Year>
    <b:Author>
      <b:Author>
        <b:NameList>
          <b:Person>
            <b:Last>Icek Ajzen</b:Last>
          </b:Person>
        </b:NameList>
      </b:Author>
    </b:Author>
    <b:JournalName>Organizational Behavior and Human Decision Processes</b:JournalName>
    <b:Pages>179-211</b:Pages>
    <b:Volume>50</b:Volume>
    <b:Issue>2</b:Issue>
    <b:RefOrder>22</b:RefOrder>
  </b:Source>
  <b:Source>
    <b:Tag>Fre10</b:Tag>
    <b:SourceType>Book</b:SourceType>
    <b:Guid>{1A0ECEC4-BFB8-4E0E-A1B4-2205AD83BA72}</b:Guid>
    <b:Title>Strategic management: A stakeholder approach.</b:Title>
    <b:Year>2010</b:Year>
    <b:Author>
      <b:Author>
        <b:NameList>
          <b:Person>
            <b:Last>Freeman</b:Last>
            <b:First>R.</b:First>
            <b:Middle>Edward</b:Middle>
          </b:Person>
        </b:NameList>
      </b:Author>
    </b:Author>
    <b:City>cambridge, UK</b:City>
    <b:Publisher>Cambridge university</b:Publisher>
    <b:RefOrder>17</b:RefOrder>
  </b:Source>
  <b:Source>
    <b:Tag>Mic16</b:Tag>
    <b:SourceType>JournalArticle</b:SourceType>
    <b:Guid>{FB61EBD0-C300-4A59-AB8C-EDFE945E7CEC}</b:Guid>
    <b:Title>Personalized Behavioral Feedback for Online Gamblers: A Real World Empirical Study</b:Title>
    <b:Year>2016</b:Year>
    <b:Author>
      <b:Author>
        <b:NameList>
          <b:Person>
            <b:Last>Michael M Auer</b:Last>
            <b:First>Mark</b:First>
            <b:Middle>D Griffiths</b:Middle>
          </b:Person>
        </b:NameList>
      </b:Author>
    </b:Author>
    <b:JournalName>Frontiers in psychology</b:JournalName>
    <b:RefOrder>23</b:RefOrder>
  </b:Source>
  <b:Source>
    <b:Tag>ENT21</b:Tag>
    <b:SourceType>InternetSite</b:SourceType>
    <b:Guid>{3FCD74B7-BA86-4524-8404-B1A36CA8B756}</b:Guid>
    <b:Title>Protecting players with ARC™</b:Title>
    <b:Year>2021</b:Year>
    <b:Author>
      <b:Author>
        <b:Corporate>ENTAIN PLC</b:Corporate>
      </b:Author>
    </b:Author>
    <b:YearAccessed>2025</b:YearAccessed>
    <b:MonthAccessed>december</b:MonthAccessed>
    <b:DayAccessed>tuesday,2nd</b:DayAccessed>
    <b:URL>https://www.entaingroup.com/news-insights/insights/2021/protecting-players-with-arc/</b:URL>
    <b:RefOrder>25</b:RefOrder>
  </b:Source>
  <b:Source>
    <b:Tag>EGB221</b:Tag>
    <b:SourceType>InternetSite</b:SourceType>
    <b:Guid>{0B82B023-37D8-40D6-AB1D-333A0DC34FEC}</b:Guid>
    <b:Title>EGBA European Gaming &amp; Betting Association</b:Title>
    <b:Year>2022</b:Year>
    <b:YearAccessed>2025</b:YearAccessed>
    <b:MonthAccessed>August</b:MonthAccessed>
    <b:DayAccessed>15th Friday</b:DayAccessed>
    <b:URL>https://www.egba.eu/news-post/entain-advanced-responsibility-care-arc/</b:URL>
    <b:RefOrder>68</b:RefOrder>
  </b:Source>
  <b:Source>
    <b:Tag>Ent23</b:Tag>
    <b:SourceType>InternetSite</b:SourceType>
    <b:Guid>{F3509A19-438D-4B2F-9E70-09C9C65ECC4C}</b:Guid>
    <b:Title>Entain </b:Title>
    <b:Year>2023</b:Year>
    <b:YearAccessed>2025</b:YearAccessed>
    <b:MonthAccessed>August</b:MonthAccessed>
    <b:DayAccessed>wednesday 20th August</b:DayAccessed>
    <b:URL>https://www.entaingroup.com/news-insights/insights/2023/protecting-players-the-entain-way/</b:URL>
    <b:RefOrder>69</b:RefOrder>
  </b:Source>
  <b:Source>
    <b:Tag>Ent231</b:Tag>
    <b:SourceType>InternetSite</b:SourceType>
    <b:Guid>{0AE393D6-AF17-40FE-8E06-1802CACFCA5B}</b:Guid>
    <b:Title>Entain</b:Title>
    <b:Year>01 Feb 2023</b:Year>
    <b:YearAccessed>2025</b:YearAccessed>
    <b:MonthAccessed>August</b:MonthAccessed>
    <b:DayAccessed>21st Thursday</b:DayAccessed>
    <b:URL>https://www.entaingroup.com/news-insights/insights/2023/protecting-players-the-entain-way/</b:URL>
    <b:RefOrder>70</b:RefOrder>
  </b:Source>
  <b:Source>
    <b:Tag>SBC25</b:Tag>
    <b:SourceType>InternetSite</b:SourceType>
    <b:Guid>{ADEA6807-70E2-42A3-B59C-2122103CA088}</b:Guid>
    <b:Title>SBC NEWS</b:Title>
    <b:Year>2025</b:Year>
    <b:YearAccessed>2025</b:YearAccessed>
    <b:MonthAccessed>August</b:MonthAccessed>
    <b:DayAccessed>20th Wednesday</b:DayAccessed>
    <b:URL>https://sbcnews.co.uk/europe/uk/2025/05/01/gamstop-sucess-uk/</b:URL>
    <b:RefOrder>71</b:RefOrder>
  </b:Source>
  <b:Source>
    <b:Tag>Robly</b:Tag>
    <b:SourceType>JournalArticle</b:SourceType>
    <b:Guid>{C7B2D028-7F24-407B-97C3-7457575144B5}</b:Guid>
    <b:Title>The Commitment-Trust Theory of Relationship Marketing</b:Title>
    <b:Year>1994 july</b:Year>
    <b:Author>
      <b:Author>
        <b:NameList>
          <b:Person>
            <b:Last>Robert M. Morgan</b:Last>
            <b:First>Shelby</b:First>
            <b:Middle>D. Hunt</b:Middle>
          </b:Person>
        </b:NameList>
      </b:Author>
    </b:Author>
    <b:JournalName>Journal of Marketing</b:JournalName>
    <b:Pages>20-38</b:Pages>
    <b:Volume>58</b:Volume>
    <b:RefOrder>24</b:RefOrder>
  </b:Source>
  <b:Source>
    <b:Tag>Wan211</b:Tag>
    <b:SourceType>Report</b:SourceType>
    <b:Guid>{F2EC0F3B-7351-45C2-A560-F50B3B4E3DAA}</b:Guid>
    <b:Title>Transparency in Responsible Gambling: A Systematic Review</b:Title>
    <b:Year>2021</b:Year>
    <b:Author>
      <b:Author>
        <b:NameList>
          <b:Person>
            <b:Last>Wang</b:Last>
            <b:First>Ruijie</b:First>
          </b:Person>
          <b:Person>
            <b:Last>Bush-Evans</b:Last>
            <b:First>Reece</b:First>
          </b:Person>
          <b:Person>
            <b:Last>Arden-Close</b:Last>
            <b:First>Emily</b:First>
          </b:Person>
          <b:Person>
            <b:Last>Thomas</b:Last>
            <b:First>Sarah</b:First>
          </b:Person>
          <b:Person>
            <b:Last>Hodge</b:Last>
            <b:First>Sarah</b:First>
          </b:Person>
          <b:Person>
            <b:Last>McAlaney</b:Last>
            <b:First>John</b:First>
          </b:Person>
          <b:Person>
            <b:Last>Bolat</b:Last>
            <b:First>Elvira</b:First>
          </b:Person>
          <b:Person>
            <b:Last>Phalp</b:Last>
            <b:First>Keith</b:First>
          </b:Person>
        </b:NameList>
      </b:Author>
    </b:Author>
    <b:Publisher>BU</b:Publisher>
    <b:City>Bournemouth, UK</b:City>
    <b:YearAccessed>2025</b:YearAccessed>
    <b:MonthAccessed>december</b:MonthAccessed>
    <b:DayAccessed>December 2nd</b:DayAccessed>
    <b:URL>https://eprints.bournemouth.ac.uk/36739/1/EROGamb%202%20Systematic%20Review.pdf?</b:URL>
    <b:RefOrder>30</b:RefOrder>
  </b:Source>
  <b:Source>
    <b:Tag>Gam222</b:Tag>
    <b:SourceType>DocumentFromInternetSite</b:SourceType>
    <b:Guid>{5FA5403F-1D71-41A3-9372-876658890D0C}</b:Guid>
    <b:Title>GamCare</b:Title>
    <b:Year>2022</b:Year>
    <b:Author>
      <b:Author>
        <b:NameList>
          <b:Person>
            <b:Last>GamCare</b:Last>
          </b:Person>
        </b:NameList>
      </b:Author>
    </b:Author>
    <b:Month>August</b:Month>
    <b:Day>26</b:Day>
    <b:YearAccessed>2025</b:YearAccessed>
    <b:MonthAccessed>december</b:MonthAccessed>
    <b:DayAccessed>Tuesday</b:DayAccessed>
    <b:URL>https://www.gamcare.org.uk/news-and-blog/news/gamcares-response-to-the-entain-regulation-settlement/</b:URL>
    <b:RefOrder>31</b:RefOrder>
  </b:Source>
  <b:Source>
    <b:Tag>Rob16</b:Tag>
    <b:SourceType>JournalArticle</b:SourceType>
    <b:Guid>{41E640CC-4D4F-4431-A3DD-89C11AB0C5D1}</b:Guid>
    <b:Title>Responsible gambling: a synthesis</b:Title>
    <b:Year>2016</b:Year>
    <b:Author>
      <b:Author>
        <b:NameList>
          <b:Person>
            <b:Last>Robert Ladouceur</b:Last>
            <b:First>Paige</b:First>
            <b:Middle>Shaffer, Alex Blaszczynski &amp; Howard J. Shaffer</b:Middle>
          </b:Person>
        </b:NameList>
      </b:Author>
    </b:Author>
    <b:JournalName>Addiction Research &amp; Theory</b:JournalName>
    <b:RefOrder>32</b:RefOrder>
  </b:Source>
  <b:Source>
    <b:Tag>Han17</b:Tag>
    <b:SourceType>JournalArticle</b:SourceType>
    <b:Guid>{CDB997AD-86AA-48BA-AD51-B4B83D0B43DC}</b:Guid>
    <b:Author>
      <b:Author>
        <b:NameList>
          <b:Person>
            <b:Last>Hancock</b:Last>
            <b:First>Linda</b:First>
            <b:Middle>Smith, Garry</b:Middle>
          </b:Person>
        </b:NameList>
      </b:Author>
    </b:Author>
    <b:Title>Critiquing the Reno Model I-IV International Influence on Regulators and Governments (2004–2015)— the Distorted Reality of “Responsible Gambling”</b:Title>
    <b:JournalName>International Journal of Mental Health and Addiction</b:JournalName>
    <b:Year>2017</b:Year>
    <b:Pages>1151-1176</b:Pages>
    <b:RefOrder>33</b:RefOrder>
  </b:Source>
  <b:Source>
    <b:Tag>Aue16</b:Tag>
    <b:SourceType>JournalArticle</b:SourceType>
    <b:Guid>{7B845ACA-941A-4B5E-B804-72F219AB245A}</b:Guid>
    <b:Author>
      <b:Author>
        <b:NameList>
          <b:Person>
            <b:Last>Auer</b:Last>
            <b:First>Michael</b:First>
            <b:Middle>M. Griffiths, Mark D.</b:Middle>
          </b:Person>
        </b:NameList>
      </b:Author>
    </b:Author>
    <b:Title>Personalized behavioral feedback for online gamblers: A real-world empirical study</b:Title>
    <b:JournalName>Frontiers in Psychology</b:JournalName>
    <b:Year>2016</b:Year>
    <b:Pages>1875</b:Pages>
    <b:Volume>7</b:Volume>
    <b:YearAccessed>2025</b:YearAccessed>
    <b:MonthAccessed>DEC 2ND</b:MonthAccessed>
    <b:DayAccessed>TUESDAY</b:DayAccessed>
    <b:URL>https://www.frontiersin.org/journals/psychology/articles/10.3389/fpsyg.2016.01875/full</b:URL>
    <b:RefOrder>34</b:RefOrder>
  </b:Source>
  <b:Source>
    <b:Tag>Sau23</b:Tag>
    <b:SourceType>Book</b:SourceType>
    <b:Guid>{95F4C4F1-F2A6-4F9D-8810-2E5660040766}</b:Guid>
    <b:Title>Research Methods for Business Students</b:Title>
    <b:Year>2023</b:Year>
    <b:Author>
      <b:Author>
        <b:NameList>
          <b:Person>
            <b:Last>Saunders</b:Last>
            <b:First>Mark</b:First>
            <b:Middle>N. K.</b:Middle>
          </b:Person>
          <b:Person>
            <b:Last>Lewis</b:Last>
            <b:First>Philip</b:First>
          </b:Person>
          <b:Person>
            <b:Last>Thornhill</b:Last>
            <b:First>Adrian</b:First>
          </b:Person>
        </b:NameList>
      </b:Author>
    </b:Author>
    <b:City>Harlow / London / New York</b:City>
    <b:Publisher>Pearson Higher Education</b:Publisher>
    <b:Edition>9</b:Edition>
    <b:YearAccessed>2025</b:YearAccessed>
    <b:MonthAccessed>novemeber</b:MonthAccessed>
    <b:DayAccessed>15 saturday</b:DayAccessed>
    <b:URL>https://www.researchgate.net/publication/240218229_Research_Methods_for_Business_Students#fullTextFileContent</b:URL>
    <b:RefOrder>46</b:RefOrder>
  </b:Source>
  <b:Source>
    <b:Tag>Rus19</b:Tag>
    <b:SourceType>JournalArticle</b:SourceType>
    <b:Guid>{8E82A82B-BD9C-4A3E-BCA2-7865647F0FB2}</b:Guid>
    <b:Title>Does the uptake of responsible gambling tools predict gambling harm?</b:Title>
    <b:Year>2019</b:Year>
    <b:Author>
      <b:Author>
        <b:NameList>
          <b:Person>
            <b:Last>Russell</b:Last>
            <b:First>A.M.T.</b:First>
            <b:Middle>Li, E.Hing, N. Vitartas, P.</b:Middle>
          </b:Person>
        </b:NameList>
      </b:Author>
    </b:Author>
    <b:JournalName>Journal of Gambling Studies</b:JournalName>
    <b:Volume>35</b:Volume>
    <b:Issue>2</b:Issue>
    <b:YearAccessed>2025</b:YearAccessed>
    <b:MonthAccessed>dec</b:MonthAccessed>
    <b:DayAccessed>tuesday</b:DayAccessed>
    <b:RefOrder>47</b:RefOrder>
  </b:Source>
  <b:Source>
    <b:Tag>UKG23</b:Tag>
    <b:SourceType>Report</b:SourceType>
    <b:Guid>{0C6A25C2-136A-4079-B90C-86FDB332E6D3}</b:Guid>
    <b:Title>Licence conditions and codes of practice</b:Title>
    <b:Year>2023</b:Year>
    <b:Author>
      <b:Author>
        <b:Corporate>UK Gambling Commission</b:Corporate>
      </b:Author>
    </b:Author>
    <b:Publisher>UK Gambling Commission</b:Publisher>
    <b:City>Birmingham</b:City>
    <b:YearAccessed>2025</b:YearAccessed>
    <b:MonthAccessed>november</b:MonthAccessed>
    <b:DayAccessed>Thursday, 20th</b:DayAccessed>
    <b:URL>https://www.gamblingcommission.gov.uk/licensees-and-businesses/lccp</b:URL>
    <b:RefOrder>44</b:RefOrder>
  </b:Source>
  <b:Source>
    <b:Tag>Fre84</b:Tag>
    <b:SourceType>Book</b:SourceType>
    <b:Guid>{0F0515EA-FF65-41F0-8B56-48FF2D5C96C7}</b:Guid>
    <b:Author>
      <b:Author>
        <b:NameList>
          <b:Person>
            <b:Last>Freeman</b:Last>
            <b:First>R.</b:First>
            <b:Middle>E.</b:Middle>
          </b:Person>
        </b:NameList>
      </b:Author>
    </b:Author>
    <b:Title>Strategic management: A stakeholder approach</b:Title>
    <b:Year>1984</b:Year>
    <b:City>Boston</b:City>
    <b:Publisher>Pitman</b:Publisher>
    <b:YearAccessed>2025</b:YearAccessed>
    <b:MonthAccessed>dec</b:MonthAccessed>
    <b:DayAccessed>friday</b:DayAccessed>
    <b:URL>https://books.google.co.uk/books?hl=en&amp;lr=&amp;id=NpmA_qEiOpkC&amp;oi=fnd&amp;pg=PR5&amp;dq=Strategic+management:+A+stakeholder+approach&amp;ots=62hlD8O5QI&amp;sig=gGQLOu_o6ucyP0qtESHU0fxgTo4&amp;redir_esc=y#v=onepage&amp;q=Strategic%20management%3A%20A%20stakeholder%20approach&amp;f=false</b:URL>
    <b:RefOrder>48</b:RefOrder>
  </b:Source>
  <b:Source>
    <b:Tag>Hin21</b:Tag>
    <b:SourceType>JournalArticle</b:SourceType>
    <b:Guid>{7F917D02-D06D-4450-96FF-16592C42CB8B}</b:Guid>
    <b:Title>Frontline staff perceptions of responsible gambling practices</b:Title>
    <b:Year>2021</b:Year>
    <b:Author>
      <b:Author>
        <b:NameList>
          <b:Person>
            <b:Last>Hing</b:Last>
            <b:First>N.</b:First>
            <b:Middle>Nuske, E. Russell, A. M. T. Gainsbury, S. M.</b:Middle>
          </b:Person>
        </b:NameList>
      </b:Author>
    </b:Author>
    <b:JournalName>Journal of Business Ethics</b:JournalName>
    <b:Pages>1–15</b:Pages>
    <b:Volume>168</b:Volume>
    <b:Issue>1</b:Issue>
    <b:YearAccessed>2025</b:YearAccessed>
    <b:MonthAccessed>december</b:MonthAccessed>
    <b:DayAccessed>wednesday</b:DayAccessed>
    <b:RefOrder>49</b:RefOrder>
  </b:Source>
  <b:Source>
    <b:Tag>Dic94</b:Tag>
    <b:SourceType>JournalArticle</b:SourceType>
    <b:Guid>{87D105EC-E9A0-4FBC-B352-BAF45D5444EF}</b:Guid>
    <b:Author>
      <b:Author>
        <b:NameList>
          <b:Person>
            <b:Last>Dick</b:Last>
            <b:First>A.S.</b:First>
            <b:Middle>Basu, K.</b:Middle>
          </b:Person>
        </b:NameList>
      </b:Author>
    </b:Author>
    <b:Title>Customer loyalty: Toward an integrated conceptual framework</b:Title>
    <b:JournalName>Journal of the Academy of Marketing Science</b:JournalName>
    <b:Year>1994</b:Year>
    <b:Pages>99–113</b:Pages>
    <b:Volume>22</b:Volume>
    <b:Issue>2</b:Issue>
    <b:YearAccessed>2025</b:YearAccessed>
    <b:MonthAccessed>Dec</b:MonthAccessed>
    <b:DayAccessed>saturday</b:DayAccessed>
    <b:RefOrder>55</b:RefOrder>
  </b:Source>
  <b:Source>
    <b:Tag>Bin14</b:Tag>
    <b:SourceType>Report</b:SourceType>
    <b:Guid>{DC0B826D-C119-4D9E-9161-9901BB79F08F}</b:Guid>
    <b:Title>Gambling advertising: A critical research review</b:Title>
    <b:Year>2014</b:Year>
    <b:Author>
      <b:Author>
        <b:NameList>
          <b:Person>
            <b:Last>Binde</b:Last>
            <b:First>P.</b:First>
          </b:Person>
        </b:NameList>
      </b:Author>
    </b:Author>
    <b:Publisher>Responsible Gambling Trust</b:Publisher>
    <b:City>London</b:City>
    <b:YearAccessed>2025</b:YearAccessed>
    <b:MonthAccessed>December</b:MonthAccessed>
    <b:DayAccessed>4th, Thursday</b:DayAccessed>
    <b:URL>chrome-extension://efaidnbmnnnibpcajpcglclefindmkaj/https://ucalgary.scholaris.ca/server/api/core/bitstreams/58e1352d-e7dc-4c47-abec-89debb7e8815/content</b:URL>
    <b:RefOrder>56</b:RefOrder>
  </b:Source>
  <b:Source>
    <b:Tag>Hin19</b:Tag>
    <b:SourceType>JournalArticle</b:SourceType>
    <b:Guid>{799599D0-54F0-409D-8CB5-2D8C77423EDA}</b:Guid>
    <b:Title>Does the uptake of responsible gambling tools predict gambling harm?</b:Title>
    <b:Year>2019</b:Year>
    <b:Author>
      <b:Author>
        <b:NameList>
          <b:Person>
            <b:Last>Hing</b:Last>
            <b:First>N.</b:First>
            <b:Middle>Russell, A.M.T. Li, E. Vitartas, P</b:Middle>
          </b:Person>
        </b:NameList>
      </b:Author>
    </b:Author>
    <b:JournalName>Journal of Gambling Studies</b:JournalName>
    <b:Volume>35</b:Volume>
    <b:Issue>2</b:Issue>
    <b:RefOrder>57</b:RefOrder>
  </b:Source>
  <b:Source>
    <b:Tag>Gai20</b:Tag>
    <b:SourceType>JournalArticle</b:SourceType>
    <b:Guid>{51714F0F-EFA0-433F-A001-4786EE4A7EF5}</b:Guid>
    <b:Author>
      <b:Author>
        <b:NameList>
          <b:Person>
            <b:Last>Gainsbury</b:Last>
            <b:First>S.</b:First>
            <b:Middle>M,Angus, D. J.,Procter, L.,Blaszczynski, A.</b:Middle>
          </b:Person>
        </b:NameList>
      </b:Author>
    </b:Author>
    <b:Title>Use of consumer protection tools in online gambling: Evidence from players</b:Title>
    <b:JournalName>International Gambling Studies</b:JournalName>
    <b:Year>2020</b:Year>
    <b:Pages>1–20</b:Pages>
    <b:Volume>20</b:Volume>
    <b:Issue>2</b:Issue>
    <b:YearAccessed>2025</b:YearAccessed>
    <b:MonthAccessed>November</b:MonthAccessed>
    <b:DayAccessed>Wednesday</b:DayAccessed>
    <b:RefOrder>58</b:RefOrder>
  </b:Source>
  <b:Source>
    <b:Tag>Tho21</b:Tag>
    <b:SourceType>JournalArticle</b:SourceType>
    <b:Guid>{9335795B-0063-43E5-B497-87C8B3D19691}</b:Guid>
    <b:Author>
      <b:Author>
        <b:NameList>
          <b:Person>
            <b:Last>Thomas</b:Last>
            <b:First>A.</b:First>
            <b:Middle>Pitt, H. Bestman, A. Randle, M.</b:Middle>
          </b:Person>
        </b:NameList>
      </b:Author>
    </b:Author>
    <b:Title>Responsible gambling communication and customer trust</b:Title>
    <b:JournalName>Journal of Consumer Policy</b:JournalName>
    <b:Year>2021</b:Year>
    <b:Pages>1–21</b:Pages>
    <b:Volume>44</b:Volume>
    <b:Issue>2</b:Issue>
    <b:YearAccessed>2025</b:YearAccessed>
    <b:MonthAccessed>december</b:MonthAccessed>
    <b:DayAccessed>6th saturday</b:DayAccessed>
    <b:RefOrder>53</b:RefOrder>
  </b:Source>
  <b:Source>
    <b:Tag>Var08</b:Tag>
    <b:SourceType>JournalArticle</b:SourceType>
    <b:Guid>{1FB70751-CF7A-4B45-A8A1-C45D1007ED97}</b:Guid>
    <b:Author>
      <b:Author>
        <b:NameList>
          <b:Person>
            <b:Last>Vargo</b:Last>
            <b:First>S.</b:First>
            <b:Middle>L. Lusch, R. F.</b:Middle>
          </b:Person>
        </b:NameList>
      </b:Author>
    </b:Author>
    <b:Title>Service-dominant logic: Continuing the evolution</b:Title>
    <b:JournalName>Journal of the Academy of Marketing Science</b:JournalName>
    <b:Year>2008</b:Year>
    <b:Pages>1–10</b:Pages>
    <b:Volume>36</b:Volume>
    <b:Issue>1</b:Issue>
    <b:YearAccessed>2025</b:YearAccessed>
    <b:MonthAccessed>december</b:MonthAccessed>
    <b:DayAccessed>7th Sunday</b:DayAccessed>
    <b:RefOrder>59</b:RefOrder>
  </b:Source>
  <b:Source>
    <b:Tag>Bry16</b:Tag>
    <b:SourceType>Book</b:SourceType>
    <b:Guid>{75BF9D37-3732-401D-B874-173AD5C741C0}</b:Guid>
    <b:Title>Social research methods</b:Title>
    <b:Year>2016</b:Year>
    <b:Author>
      <b:Author>
        <b:NameList>
          <b:Person>
            <b:Last>Bryman</b:Last>
            <b:First>A.</b:First>
          </b:Person>
        </b:NameList>
      </b:Author>
    </b:Author>
    <b:City>Oxford</b:City>
    <b:Publisher>Oxford University Press</b:Publisher>
    <b:Edition>5</b:Edition>
    <b:YearAccessed>2025</b:YearAccessed>
    <b:MonthAccessed>December</b:MonthAccessed>
    <b:DayAccessed>4th Thursday</b:DayAccessed>
    <b:RefOrder>60</b:RefOrder>
  </b:Source>
  <b:Source>
    <b:Tag>Tho19</b:Tag>
    <b:SourceType>Book</b:SourceType>
    <b:Guid>{FC908BB7-B725-4C66-8A58-F8C9D0AB289B}</b:Guid>
    <b:Author>
      <b:Author>
        <b:NameList>
          <b:Person>
            <b:Last>Thornhill</b:Last>
            <b:First>A</b:First>
            <b:Middle>Lewis, P. Saunders, M.</b:Middle>
          </b:Person>
        </b:NameList>
      </b:Author>
    </b:Author>
    <b:Title>Research methods for business students</b:Title>
    <b:Year>2019</b:Year>
    <b:City>Harlow</b:City>
    <b:Publisher>Pearson Education</b:Publisher>
    <b:Edition>8</b:Edition>
    <b:YearAccessed>2025</b:YearAccessed>
    <b:MonthAccessed>December</b:MonthAccessed>
    <b:DayAccessed>sunday 7th</b:DayAccessed>
    <b:RefOrder>61</b:RefOrder>
  </b:Source>
  <b:Source>
    <b:Tag>ENT23</b:Tag>
    <b:SourceType>Report</b:SourceType>
    <b:Guid>{E406E409-C751-4C48-80BA-A2A9F34FE947}</b:Guid>
    <b:Title>Annual report and accounts 2023</b:Title>
    <b:Year>2023</b:Year>
    <b:City>London, United Kingdom</b:City>
    <b:Publisher>Entain plc</b:Publisher>
    <b:Author>
      <b:Author>
        <b:Corporate>ENTAIN plc</b:Corporate>
      </b:Author>
    </b:Author>
    <b:YearAccessed>2025</b:YearAccessed>
    <b:MonthAccessed>November</b:MonthAccessed>
    <b:DayAccessed>22nd Saturday</b:DayAccessed>
    <b:URL>https://www.entaingroup.com/investors/annual-reports/</b:URL>
    <b:RefOrder>45</b:RefOrder>
  </b:Source>
  <b:Source>
    <b:Tag>New22</b:Tag>
    <b:SourceType>JournalArticle</b:SourceType>
    <b:Guid>{B78172D7-8E6F-43ED-A7A6-F366898EC371}</b:Guid>
    <b:Title>Safer gambling tools and consumer trust</b:Title>
    <b:Year>2022</b:Year>
    <b:Author>
      <b:Author>
        <b:NameList>
          <b:Person>
            <b:Last>Newall</b:Last>
            <b:First>P.</b:First>
            <b:Middle>W. S. Thobhani, A. Walasek, L.Meyer, C.</b:Middle>
          </b:Person>
        </b:NameList>
      </b:Author>
    </b:Author>
    <b:JournalName>Behavioral Public Policy</b:JournalName>
    <b:Pages>1–18</b:Pages>
    <b:Volume>6</b:Volume>
    <b:Issue>3</b:Issue>
    <b:YearAccessed>2025</b:YearAccessed>
    <b:MonthAccessed>November</b:MonthAccessed>
    <b:DayAccessed>12th, Wednesday</b:DayAccessed>
    <b:RefOrder>51</b:RefOrder>
  </b:Source>
  <b:Source>
    <b:Tag>She94</b:Tag>
    <b:SourceType>JournalArticle</b:SourceType>
    <b:Guid>{0CDB0116-662D-401E-9368-5E0B844CBBF9}</b:Guid>
    <b:Author>
      <b:Author>
        <b:NameList>
          <b:Person>
            <b:Last>Shelby Hunt</b:Last>
            <b:First>D.</b:First>
            <b:Middle>Morgan, R. M.</b:Middle>
          </b:Person>
        </b:NameList>
      </b:Author>
    </b:Author>
    <b:Title>The commitment–trust theory of relationship marketing</b:Title>
    <b:JournalName>Journal of Marketing</b:JournalName>
    <b:Year>1994</b:Year>
    <b:Pages>20–38</b:Pages>
    <b:Volume>58</b:Volume>
    <b:Issue>3</b:Issue>
    <b:YearAccessed>2025</b:YearAccessed>
    <b:MonthAccessed>December</b:MonthAccessed>
    <b:DayAccessed>monday 1st</b:DayAccessed>
    <b:RefOrder>50</b:RefOrder>
  </b:Source>
  <b:Source>
    <b:Tag>Mor94</b:Tag>
    <b:SourceType>JournalArticle</b:SourceType>
    <b:Guid>{CD0841D7-7C9B-4BF4-A42A-82FB59D03483}</b:Guid>
    <b:Author>
      <b:Author>
        <b:NameList>
          <b:Person>
            <b:Last>Morgan</b:Last>
            <b:First>R.</b:First>
            <b:Middle>M. Hunt, S. D.</b:Middle>
          </b:Person>
        </b:NameList>
      </b:Author>
    </b:Author>
    <b:Title>The commitment–trust theory of relationship marketing</b:Title>
    <b:JournalName>Journal of Marketing</b:JournalName>
    <b:Year>1994</b:Year>
    <b:Pages>20-38</b:Pages>
    <b:Volume>58</b:Volume>
    <b:Issue>3</b:Issue>
    <b:YearAccessed>2025</b:YearAccessed>
    <b:MonthAccessed>november</b:MonthAccessed>
    <b:DayAccessed>28th Friday</b:DayAccessed>
    <b:URL>https://www.researchgate.net/publication/233894851_The_Commitment-Trust_Theory_of_Relationship_Marketing</b:URL>
    <b:RefOrder>52</b:RefOrder>
  </b:Source>
  <b:Source>
    <b:Tag>Rus20</b:Tag>
    <b:SourceType>JournalArticle</b:SourceType>
    <b:Guid>{92571FC7-0FF2-4BED-B03F-DBD3279FD56A}</b:Guid>
    <b:Author>
      <b:Author>
        <b:NameList>
          <b:Person>
            <b:Last>Russell</b:Last>
            <b:First>A.</b:First>
            <b:Middle>M. T. Vitartas, P.Lamont, M. Hing, N.</b:Middle>
          </b:Person>
        </b:NameList>
      </b:Author>
    </b:Author>
    <b:Title>Behavioural responses to gambling harm minimisation strategies</b:Title>
    <b:JournalName>Addictive Behaviors</b:JournalName>
    <b:Year>2020</b:Year>
    <b:Pages>106–118</b:Pages>
    <b:Volume>102</b:Volume>
    <b:YearAccessed>2025</b:YearAccessed>
    <b:MonthAccessed>November</b:MonthAccessed>
    <b:DayAccessed>wednesday 19th</b:DayAccessed>
    <b:RefOrder>54</b:RefOrder>
  </b:Source>
  <b:Source>
    <b:Tag>Cre18</b:Tag>
    <b:SourceType>Book</b:SourceType>
    <b:Guid>{C27EEC3B-DA4E-436C-9794-87AD77E075DC}</b:Guid>
    <b:Title>Qualitative inquiry and research design: Choosing among five approaches</b:Title>
    <b:Year>2018</b:Year>
    <b:Author>
      <b:Author>
        <b:NameList>
          <b:Person>
            <b:Last>Creswell</b:Last>
            <b:First>J.</b:First>
            <b:Middle>W. Poth, C. N.</b:Middle>
          </b:Person>
        </b:NameList>
      </b:Author>
    </b:Author>
    <b:City>Thousand Oaks, CA</b:City>
    <b:Publisher>SAGE</b:Publisher>
    <b:RefOrder>37</b:RefOrder>
  </b:Source>
  <b:Source>
    <b:Tag>Yin18</b:Tag>
    <b:SourceType>Book</b:SourceType>
    <b:Guid>{6046126C-B82F-4742-A9C1-CA8096BC736A}</b:Guid>
    <b:Author>
      <b:Author>
        <b:NameList>
          <b:Person>
            <b:Last>Yin</b:Last>
            <b:First>R.</b:First>
            <b:Middle>K.</b:Middle>
          </b:Person>
        </b:NameList>
      </b:Author>
    </b:Author>
    <b:Title>Case study research and applications: Design and methods</b:Title>
    <b:Year>2018</b:Year>
    <b:City>Thousand Oaks, CA</b:City>
    <b:Publisher>SAGE</b:Publisher>
    <b:Edition>6</b:Edition>
    <b:YearAccessed>2025</b:YearAccessed>
    <b:MonthAccessed>november</b:MonthAccessed>
    <b:DayAccessed>monday, 10th</b:DayAccessed>
    <b:URL>https://us.sagepub.com/en-us/nam/case-study-research-and-applications/book250150</b:URL>
    <b:RefOrder>38</b:RefOrder>
  </b:Source>
  <b:Source>
    <b:Tag>Joh17</b:Tag>
    <b:SourceType>JournalArticle</b:SourceType>
    <b:Guid>{5761E3AA-04F2-481E-8A13-5C461178D021}</b:Guid>
    <b:Title>Secondary data analysis: A method of which the time has come</b:Title>
    <b:Year>2017</b:Year>
    <b:Author>
      <b:Author>
        <b:NameList>
          <b:Person>
            <b:Last>Johnston</b:Last>
            <b:First>M.</b:First>
            <b:Middle>P.</b:Middle>
          </b:Person>
        </b:NameList>
      </b:Author>
    </b:Author>
    <b:JournalName>Qualitative and Quantitative Methods in Libraries</b:JournalName>
    <b:Pages>619–626</b:Pages>
    <b:Volume>3</b:Volume>
    <b:Issue>3</b:Issue>
    <b:YearAccessed>2025</b:YearAccessed>
    <b:MonthAccessed>november</b:MonthAccessed>
    <b:DayAccessed>tuesday, 11th</b:DayAccessed>
    <b:URL>https://www.qqml-journal.net/index.php/qqml/article/view/169</b:URL>
    <b:RefOrder>39</b:RefOrder>
  </b:Source>
  <b:Source>
    <b:Tag>Alk16</b:Tag>
    <b:SourceType>JournalArticle</b:SourceType>
    <b:Guid>{0313E111-09BC-4AD9-9D64-916EB14611DD}</b:Guid>
    <b:Author>
      <b:Author>
        <b:NameList>
          <b:Person>
            <b:Last>Alkassim</b:Last>
            <b:First>R.</b:First>
            <b:Middle>S. Musa, S. A. Etikan, I.</b:Middle>
          </b:Person>
        </b:NameList>
      </b:Author>
    </b:Author>
    <b:Title>Comparison of convenience sampling and purposive sampling</b:Title>
    <b:JournalName>American Journal of Theoretical and Applied Statistics</b:JournalName>
    <b:Year>2016</b:Year>
    <b:Pages>1–4</b:Pages>
    <b:Volume>5</b:Volume>
    <b:Issue>1</b:Issue>
    <b:YearAccessed>2025</b:YearAccessed>
    <b:MonthAccessed>december</b:MonthAccessed>
    <b:DayAccessed>1st , monday</b:DayAccessed>
    <b:URL>https://www.sciencepublishinggroup.com/article/10.11648/j.ajtas.20160501.11</b:URL>
    <b:RefOrder>40</b:RefOrder>
  </b:Source>
  <b:Source>
    <b:Tag>Vir06</b:Tag>
    <b:SourceType>JournalArticle</b:SourceType>
    <b:Guid>{48D4344B-7DDA-43D9-965B-660FBD2F0D91}</b:Guid>
    <b:Author>
      <b:Author>
        <b:NameList>
          <b:Person>
            <b:Last>Virginia Braun</b:Last>
            <b:First>Victoria</b:First>
            <b:Middle>Clarke</b:Middle>
          </b:Person>
        </b:NameList>
      </b:Author>
    </b:Author>
    <b:Title>Using thematic analysis in psychology</b:Title>
    <b:JournalName>Qualitative Research in Psychology</b:JournalName>
    <b:Year>2006</b:Year>
    <b:Pages>77–101</b:Pages>
    <b:Publisher>2006 Edward Arnold (Publishers) Ltd</b:Publisher>
    <b:YearAccessed>2025</b:YearAccessed>
    <b:MonthAccessed>December</b:MonthAccessed>
    <b:URL>https://www.tandfonline.com/doi/epdf/10.1191/1478088706qp063oa?needAccess=true</b:URL>
    <b:RefOrder>41</b:RefOrder>
  </b:Source>
  <b:Source>
    <b:Tag>Bow09</b:Tag>
    <b:SourceType>JournalArticle</b:SourceType>
    <b:Guid>{B7B33FEF-69F3-46A1-82CF-2ACD24736917}</b:Guid>
    <b:Author>
      <b:Author>
        <b:NameList>
          <b:Person>
            <b:Last>Bowen</b:Last>
            <b:First>Glenn</b:First>
            <b:Middle>A.</b:Middle>
          </b:Person>
        </b:NameList>
      </b:Author>
    </b:Author>
    <b:Title>Document analysis as a qualitative research method</b:Title>
    <b:JournalName>Qualitative Research Journal</b:JournalName>
    <b:Year>2009</b:Year>
    <b:Pages>27–40</b:Pages>
    <b:Volume>9</b:Volume>
    <b:Issue>2</b:Issue>
    <b:YearAccessed>2025</b:YearAccessed>
    <b:MonthAccessed>November</b:MonthAccessed>
    <b:DayAccessed>sunday 9th</b:DayAccessed>
    <b:URL>https://www.emerald.com/qrj/article-abstract/9/2/27/360733/Document-Analysis-as-a-Qualitative-Research-Method?redirectedFrom=fulltext</b:URL>
    <b:RefOrder>42</b:RefOrder>
  </b:Source>
  <b:Source>
    <b:Tag>Isr06</b:Tag>
    <b:SourceType>Book</b:SourceType>
    <b:Guid>{9302F1B4-793E-427B-8403-62A8A5B95F11}</b:Guid>
    <b:Title>Research ethics for social scientists</b:Title>
    <b:Year>2006</b:Year>
    <b:Author>
      <b:Author>
        <b:NameList>
          <b:Person>
            <b:Last>Israel</b:Last>
            <b:First>M.</b:First>
            <b:Middle>Hay, I.</b:Middle>
          </b:Person>
        </b:NameList>
      </b:Author>
    </b:Author>
    <b:City>London</b:City>
    <b:Publisher>SAGE</b:Publisher>
    <b:Edition>1</b:Edition>
    <b:YearAccessed>2025</b:YearAccessed>
    <b:MonthAccessed>december</b:MonthAccessed>
    <b:DayAccessed>Friday 12th</b:DayAccessed>
    <b:RefOrder>43</b:RefOrder>
  </b:Source>
  <b:Source>
    <b:Tag>Bla11</b:Tag>
    <b:SourceType>JournalArticle</b:SourceType>
    <b:Guid>{38CD7650-1FC6-4E67-906F-99362676DD24}</b:Guid>
    <b:Author>
      <b:Author>
        <b:NameList>
          <b:Person>
            <b:Last>Blaszczynski</b:Last>
            <b:First>A.</b:First>
            <b:Middle>Ladouceur, R. Shaffer, H.</b:Middle>
          </b:Person>
        </b:NameList>
      </b:Author>
    </b:Author>
    <b:Title>A science-based framework for responsible gambling</b:Title>
    <b:JournalName>Journal of Gambling Studies</b:JournalName>
    <b:Year>2011</b:Year>
    <b:Pages>217–230</b:Pages>
    <b:Volume>27</b:Volume>
    <b:Issue>2</b:Issue>
    <b:YearAccessed>2025</b:YearAccessed>
    <b:MonthAccessed>November</b:MonthAccessed>
    <b:DayAccessed>thursday 13th</b:DayAccessed>
    <b:RefOrder>3</b:RefOrder>
  </b:Source>
  <b:Source>
    <b:Tag>War20</b:Tag>
    <b:SourceType>JournalArticle</b:SourceType>
    <b:Guid>{7464F721-F572-41BA-B893-9F66B553063A}</b:Guid>
    <b:Author>
      <b:Author>
        <b:NameList>
          <b:Person>
            <b:Last>Wardle</b:Last>
            <b:First>H.</b:First>
          </b:Person>
        </b:NameList>
      </b:Author>
    </b:Author>
    <b:Title>Gambling harm and public health</b:Title>
    <b:JournalName>BMJ</b:JournalName>
    <b:Year>2020</b:Year>
    <b:Pages>m3464</b:Pages>
    <b:Volume>370</b:Volume>
    <b:YearAccessed>2025</b:YearAccessed>
    <b:MonthAccessed>November</b:MonthAccessed>
    <b:DayAccessed>saturday 1st</b:DayAccessed>
    <b:RefOrder>4</b:RefOrder>
  </b:Source>
  <b:Source>
    <b:Tag>Fel11</b:Tag>
    <b:SourceType>JournalArticle</b:SourceType>
    <b:Guid>{C264C6A9-D562-48CA-A7B4-15263FB7F4E3}</b:Guid>
    <b:Author>
      <b:Author>
        <b:NameList>
          <b:Person>
            <b:Last>Felicity K. Lorains</b:Last>
            <b:First>Sean</b:First>
            <b:Middle>Cowlishaw &amp; Shane A. Thomas</b:Middle>
          </b:Person>
        </b:NameList>
      </b:Author>
    </b:Author>
    <b:Title>Prevalence of comorbid disorders in problem gambling</b:Title>
    <b:JournalName>Journal of Gambling Studies</b:JournalName>
    <b:Year>2011</b:Year>
    <b:Pages>189–206</b:Pages>
    <b:Volume>27</b:Volume>
    <b:Issue>2</b:Issue>
    <b:YearAccessed>2025</b:YearAccessed>
    <b:MonthAccessed>November</b:MonthAccessed>
    <b:DayAccessed>chrome-extension://efaidnbmnnnibpcajpcglclefindmkaj/https://d1wqtxts1xzle7.cloudfront.net/69656878/j.1360-0443.2010.03300.x20210914-16978-7bo0ff-libre.pdf?1631653523=&amp;response-content-disposition=inline%3B+filename%3DPrevalence_of_comorbid_disorders_in_pr</b:DayAccessed>
    <b:RefOrder>5</b:RefOrder>
  </b:Source>
  <b:Source>
    <b:Tag>Gai18</b:Tag>
    <b:SourceType>JournalArticle</b:SourceType>
    <b:Guid>{A06CD504-3976-4CE5-B4FC-DA18905AA12F}</b:Guid>
    <b:Author>
      <b:Author>
        <b:NameList>
          <b:Person>
            <b:Last>Gainsbury</b:Last>
            <b:First>S.</b:First>
          </b:Person>
        </b:NameList>
      </b:Author>
    </b:Author>
    <b:Title>Consumer attitudes towards responsible gambling tools</b:Title>
    <b:JournalName>International Gambling Studies</b:JournalName>
    <b:Year>2018</b:Year>
    <b:Pages>404–421</b:Pages>
    <b:Volume>18</b:Volume>
    <b:Issue>3</b:Issue>
    <b:RefOrder>6</b:RefOrder>
  </b:Source>
  <b:Source>
    <b:Tag>Ent232</b:Tag>
    <b:SourceType>InternetSite</b:SourceType>
    <b:Guid>{7BD84080-F1D4-4E3E-AA00-5D14F4EADB38}</b:Guid>
    <b:Title>Entain Sustainability &amp; ESG </b:Title>
    <b:Year>2023</b:Year>
    <b:Author>
      <b:Author>
        <b:Corporate>Entain plc</b:Corporate>
      </b:Author>
    </b:Author>
    <b:YearAccessed>2025</b:YearAccessed>
    <b:MonthAccessed>November</b:MonthAccessed>
    <b:DayAccessed>Friday 7th</b:DayAccessed>
    <b:URL>https://www.entaingroup.com/sustainability-esg/safer-betting-and-gaming/</b:URL>
    <b:RefOrder>7</b:RefOrder>
  </b:Source>
  <b:Source>
    <b:Tag>Ent21</b:Tag>
    <b:SourceType>Report</b:SourceType>
    <b:Guid>{6E79DD9E-2638-48E3-84CD-A0E3ED91A02B}</b:Guid>
    <b:Author>
      <b:Author>
        <b:Corporate>Entain plc</b:Corporate>
      </b:Author>
    </b:Author>
    <b:Title>Protecting players with ARC™</b:Title>
    <b:Year>2021</b:Year>
    <b:YearAccessed>2025</b:YearAccessed>
    <b:MonthAccessed>Novemeber</b:MonthAccessed>
    <b:DayAccessed>Wednesday</b:DayAccessed>
    <b:URL>https://www.entaingroup.com/news-insights/insights/2021/protecting-players-with-arc/?</b:URL>
    <b:Publisher>Entain plc</b:Publisher>
    <b:City>London</b:City>
    <b:RefOrder>8</b:RefOrder>
  </b:Source>
  <b:Source>
    <b:Tag>Ent233</b:Tag>
    <b:SourceType>Report</b:SourceType>
    <b:Guid>{D3DA93BB-8596-461F-9E3F-95BD78CC93C8}</b:Guid>
    <b:Author>
      <b:Author>
        <b:Corporate>Entain plc</b:Corporate>
      </b:Author>
    </b:Author>
    <b:Title>Protecting players the Entain way</b:Title>
    <b:Year>2023</b:Year>
    <b:Publisher>Entain plc</b:Publisher>
    <b:City>London</b:City>
    <b:YearAccessed>2025</b:YearAccessed>
    <b:MonthAccessed>Novemeber</b:MonthAccessed>
    <b:URL>https://www.entaingroup.com/news-insights/insights/2023/protecting-players-the-entain-way/?</b:URL>
    <b:RefOrder>9</b:RefOrder>
  </b:Source>
  <b:Source>
    <b:Tag>Mac24</b:Tag>
    <b:SourceType>Report</b:SourceType>
    <b:Guid>{FD740643-944B-4F2A-A51E-892A3EB469A5}</b:Guid>
    <b:Author>
      <b:Author>
        <b:NameList>
          <b:Person>
            <b:Last>Macedo</b:Last>
            <b:First>Nicole</b:First>
          </b:Person>
        </b:NameList>
      </b:Author>
    </b:Author>
    <b:Title>Entain player protection tool</b:Title>
    <b:Year>2024</b:Year>
    <b:Publisher>iGB</b:Publisher>
    <b:City>London</b:City>
    <b:YearAccessed>2025</b:YearAccessed>
    <b:MonthAccessed>November</b:MonthAccessed>
    <b:URL>https://igamingbusiness.com/sustainable-gambling/entain-player-protection-tool/?</b:URL>
    <b:RefOrder>10</b:RefOrder>
  </b:Source>
  <b:Source>
    <b:Tag>Ent243</b:Tag>
    <b:SourceType>Report</b:SourceType>
    <b:Guid>{DED89698-A6EB-46B8-8305-FC6C82472E80}</b:Guid>
    <b:Author>
      <b:Author>
        <b:Corporate>Entain plc</b:Corporate>
      </b:Author>
    </b:Author>
    <b:Title>Entain publishes 2023–24 ESG report</b:Title>
    <b:Year>2024</b:Year>
    <b:Publisher>Entain plc</b:Publisher>
    <b:City>London</b:City>
    <b:YearAccessed>2025</b:YearAccessed>
    <b:MonthAccessed>November</b:MonthAccessed>
    <b:URL>https://www.entaingroup.com/news-insights/latest-news/2024/entain-publishes-2023-24-esg-report/?</b:URL>
    <b:RefOrder>11</b:RefOrder>
  </b:Source>
  <b:Source>
    <b:Tag>Rac22</b:Tag>
    <b:SourceType>Report</b:SourceType>
    <b:Guid>{1BE2923A-15F4-469E-B0E8-7D8E63658AFF}</b:Guid>
    <b:Author>
      <b:Author>
        <b:Corporate>Racing Post</b:Corporate>
      </b:Author>
    </b:Author>
    <b:Title>Ladbrokes Coral owner Entain fined record £17 million over regulatory failures</b:Title>
    <b:Year>2022</b:Year>
    <b:Publisher>Racing Post</b:Publisher>
    <b:City>London</b:City>
    <b:YearAccessed>2025</b:YearAccessed>
    <b:MonthAccessed>December</b:MonthAccessed>
    <b:URL>https://www.racingpost.com/news/ladbrokes-coral-owner-entain-fined-record-17-million-over-regulatory-failures-arVVV8o6bV4u/?</b:URL>
    <b:RefOrder>12</b:RefOrder>
  </b:Source>
  <b:Source>
    <b:Tag>Ent234</b:Tag>
    <b:SourceType>Report</b:SourceType>
    <b:Guid>{A0EB75E0-22AE-445E-A81E-0BAFDE834B4F}</b:Guid>
    <b:Author>
      <b:Author>
        <b:Corporate>Entain plc</b:Corporate>
      </b:Author>
    </b:Author>
    <b:Title>Protecting players the Entain way</b:Title>
    <b:Year>2023</b:Year>
    <b:Publisher>Entain plc</b:Publisher>
    <b:City>London</b:City>
    <b:RefOrder>13</b:RefOrder>
  </b:Source>
  <b:Source>
    <b:Tag>iGa24</b:Tag>
    <b:SourceType>Report</b:SourceType>
    <b:Guid>{A9E72BC1-D468-44BA-BC7A-422431D38E41}</b:Guid>
    <b:Author>
      <b:Author>
        <b:Corporate>iGaming Business</b:Corporate>
      </b:Author>
    </b:Author>
    <b:Title>Entain highlights ARC player protection outcomes</b:Title>
    <b:Year>2024</b:Year>
    <b:Publisher>iGaming Business</b:Publisher>
    <b:City>London</b:City>
    <b:RefOrder>14</b:RefOrder>
  </b:Source>
  <b:Source>
    <b:Tag>UKG25</b:Tag>
    <b:SourceType>Report</b:SourceType>
    <b:Guid>{D93807A7-08AE-4AD0-A595-F272450C5AAB}</b:Guid>
    <b:Author>
      <b:Author>
        <b:Corporate>UK Gambling Commission</b:Corporate>
      </b:Author>
    </b:Author>
    <b:Title>UK Gambling Commission</b:Title>
    <b:Year>2025</b:Year>
    <b:Publisher>UK Gambling Commission</b:Publisher>
    <b:City>UK Gambling Commission</b:City>
    <b:YearAccessed>2025</b:YearAccessed>
    <b:MonthAccessed>November</b:MonthAccessed>
    <b:URL>https://www.gamblingcommission.gov.uk/</b:URL>
    <b:RefOrder>15</b:RefOrder>
  </b:Source>
  <b:Source>
    <b:Tag>Gam19</b:Tag>
    <b:SourceType>Report</b:SourceType>
    <b:Guid>{E94C29F7-210E-408A-814E-FAC2E96B7CEB}</b:Guid>
    <b:Author>
      <b:Author>
        <b:Corporate>GamCare</b:Corporate>
      </b:Author>
    </b:Author>
    <b:Title>Safer gambling standard consultation for industry and wider public</b:Title>
    <b:Year>2019</b:Year>
    <b:Publisher>GamCare</b:Publisher>
    <b:City>London</b:City>
    <b:RefOrder>16</b:RefOrder>
  </b:Source>
  <b:Source>
    <b:Tag>Ahm23</b:Tag>
    <b:SourceType>JournalArticle</b:SourceType>
    <b:Guid>{E2A56C30-2515-44ED-A2C5-057183B42A3C}</b:Guid>
    <b:Title>Social exchange theory: A systematic review and future research directions</b:Title>
    <b:Year>2023</b:Year>
    <b:Author>
      <b:Author>
        <b:NameList>
          <b:Person>
            <b:Last>Ahmad</b:Last>
            <b:First>R.</b:First>
          </b:Person>
        </b:NameList>
      </b:Author>
    </b:Author>
    <b:JournalName>Frontiers in Psychology</b:JournalName>
    <b:Pages>1015921</b:Pages>
    <b:Volume>13</b:Volume>
    <b:URL>https://www.frontiersin.org/journals/psychology/articles/10.3389/fpsyg.2022.1015921/full</b:URL>
    <b:RefOrder>19</b:RefOrder>
  </b:Source>
  <b:Source>
    <b:Tag>Cro17</b:Tag>
    <b:SourceType>JournalArticle</b:SourceType>
    <b:Guid>{228B52A1-D1FF-4768-9FFA-B05049C35F96}</b:Guid>
    <b:Author>
      <b:Author>
        <b:NameList>
          <b:Person>
            <b:Last>Cropanzano</b:Last>
            <b:First>R.</b:First>
            <b:Middle>Anthony, E. Daniels, S. Hall, A.</b:Middle>
          </b:Person>
        </b:NameList>
      </b:Author>
    </b:Author>
    <b:Title>Social exchange theory: A critical review with theoretical remedies</b:Title>
    <b:JournalName>Academy of Management Annals</b:JournalName>
    <b:Year>2017</b:Year>
    <b:Pages>479–516</b:Pages>
    <b:Volume>11</b:Volume>
    <b:Issue>1</b:Issue>
    <b:RefOrder>20</b:RefOrder>
  </b:Source>
  <b:Source>
    <b:Tag>War24</b:Tag>
    <b:SourceType>JournalArticle</b:SourceType>
    <b:Guid>{4B96989C-A73F-44AC-A650-F8E425EF8D35}</b:Guid>
    <b:Author>
      <b:Author>
        <b:NameList>
          <b:Person>
            <b:Last>Wardle</b:Last>
            <b:First>H.</b:First>
            <b:Middle>/ Degenhardt, L. / Marionneau, V. / Reith, G. / Livingstone, C. / Sparrow, M. / Tran, L.T. / Biggar, B. / Bunn, C. / Farrell, M. / Kesaite, V. / Poznyak, V. / Quan, J. / Rehm, J. / Rintoul, A. / Sharma, M. / Shiffman, J. / Siste, K. / Ukhova, D</b:Middle>
          </b:Person>
        </b:NameList>
      </b:Author>
    </b:Author>
    <b:Title>The Lancet Public Health Commission on gambling</b:Title>
    <b:JournalName>The Lancet Public Health</b:JournalName>
    <b:Year>2024</b:Year>
    <b:Pages>e950–e994</b:Pages>
    <b:Volume>9</b:Volume>
    <b:Issue>11</b:Issue>
    <b:YearAccessed>2025</b:YearAccessed>
    <b:MonthAccessed>Novemeber</b:MonthAccessed>
    <b:URL>https://www.thelancet.com/journals/lanpub/article/PIIS2468-2667(24)00167-1/fulltext</b:URL>
    <b:RefOrder>21</b:RefOrder>
  </b:Source>
  <b:Source>
    <b:Tag>Aue15</b:Tag>
    <b:SourceType>JournalArticle</b:SourceType>
    <b:Guid>{FEBCA49C-E50F-40FE-A679-8814CD91BCE1}</b:Guid>
    <b:Author>
      <b:Author>
        <b:NameList>
          <b:Person>
            <b:Last>Auer</b:Last>
            <b:First>M.</b:First>
            <b:Middle>Griffiths, M. D.</b:Middle>
          </b:Person>
        </b:NameList>
      </b:Author>
    </b:Author>
    <b:Title>The use of personalized behavioral feedback for online gamblers: An empirical study</b:Title>
    <b:JournalName>Frontiers in Psychology</b:JournalName>
    <b:Year>2015</b:Year>
    <b:Pages>1406</b:Pages>
    <b:Volume>6</b:Volume>
    <b:RefOrder>27</b:RefOrder>
  </b:Source>
  <b:Source>
    <b:Tag>Aue161</b:Tag>
    <b:SourceType>JournalArticle</b:SourceType>
    <b:Guid>{A9E58A84-D0EA-4580-B9C9-7529A2EB143D}</b:Guid>
    <b:Author>
      <b:Author>
        <b:NameList>
          <b:Person>
            <b:Last>Auer</b:Last>
            <b:First>M.</b:First>
            <b:Middle>Griffiths, M. D.</b:Middle>
          </b:Person>
        </b:NameList>
      </b:Author>
    </b:Author>
    <b:Title>Self-reported losses versus actual losses in online gambling: An empirical study</b:Title>
    <b:JournalName>Journal of Gambling Studies</b:JournalName>
    <b:Year>2016</b:Year>
    <b:Pages>795–806</b:Pages>
    <b:Volume>32</b:Volume>
    <b:Issue>3</b:Issue>
    <b:RefOrder>28</b:RefOrder>
  </b:Source>
  <b:Source>
    <b:Tag>Hin211</b:Tag>
    <b:SourceType>JournalArticle</b:SourceType>
    <b:Guid>{091CB5E9-B46F-49EA-A9A7-34A7AB0B9A3C}</b:Guid>
    <b:Author>
      <b:Author>
        <b:NameList>
          <b:Person>
            <b:Last>Hing</b:Last>
            <b:First>N</b:First>
            <b:Middle>Nuske, E.Russell, A. M. T. Gainsbury, S. M.</b:Middle>
          </b:Person>
        </b:NameList>
      </b:Author>
    </b:Author>
    <b:Title>Frontline staff perceptions of responsible gambling practices</b:Title>
    <b:JournalName>Journal of Business Ethics</b:JournalName>
    <b:Year>2021</b:Year>
    <b:Pages>1–15</b:Pages>
    <b:Volume>168</b:Volume>
    <b:Issue>1</b:Issue>
    <b:RefOrder>35</b:RefOrder>
  </b:Source>
  <b:Source>
    <b:Tag>Lad17</b:Tag>
    <b:SourceType>JournalArticle</b:SourceType>
    <b:Guid>{DA237035-B9D4-4BF0-99EF-A49F11C44B70}</b:Guid>
    <b:Author>
      <b:Author>
        <b:NameList>
          <b:Person>
            <b:Last>Ladouceur</b:Last>
            <b:First>R.</b:First>
            <b:Middle>Ladouceur, R. Shaffer, H. J.</b:Middle>
          </b:Person>
        </b:NameList>
      </b:Author>
    </b:Author>
    <b:Title>Responsible gambling: A synthesis of the empirical evidence</b:Title>
    <b:JournalName>Addiction Research &amp; Theory</b:JournalName>
    <b:Year>2017</b:Year>
    <b:Pages>225–235</b:Pages>
    <b:Volume>25</b:Volume>
    <b:Issue>3</b:Issue>
    <b:RefOrder>36</b:RefOrder>
  </b:Source>
</b:Sources>
</file>

<file path=customXml/itemProps1.xml><?xml version="1.0" encoding="utf-8"?>
<ds:datastoreItem xmlns:ds="http://schemas.openxmlformats.org/officeDocument/2006/customXml" ds:itemID="{C86FD89F-9425-438A-BFD0-7B56A1D32D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2614</TotalTime>
  <Pages>22</Pages>
  <Words>9863</Words>
  <Characters>56223</Characters>
  <Application>Microsoft Office Word</Application>
  <DocSecurity>0</DocSecurity>
  <Lines>468</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rajeshwari </dc:creator>
  <cp:keywords/>
  <dc:description/>
  <cp:lastModifiedBy>rajeshwari </cp:lastModifiedBy>
  <cp:revision>1019</cp:revision>
  <dcterms:created xsi:type="dcterms:W3CDTF">2025-10-21T13:30:00Z</dcterms:created>
  <dcterms:modified xsi:type="dcterms:W3CDTF">2025-12-19T13:57:00Z</dcterms:modified>
</cp:coreProperties>
</file>