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F1DB40" w14:textId="77777777" w:rsidR="007F7279" w:rsidRDefault="007F7279" w:rsidP="007F7279">
      <w:pPr>
        <w:jc w:val="center"/>
        <w:rPr>
          <w:b/>
          <w:bCs/>
          <w:sz w:val="32"/>
          <w:szCs w:val="32"/>
        </w:rPr>
      </w:pPr>
    </w:p>
    <w:p w14:paraId="45FB485F" w14:textId="77777777" w:rsidR="007F7279" w:rsidRDefault="007F7279" w:rsidP="007F7279">
      <w:pPr>
        <w:jc w:val="center"/>
        <w:rPr>
          <w:b/>
          <w:bCs/>
          <w:sz w:val="32"/>
          <w:szCs w:val="32"/>
        </w:rPr>
      </w:pPr>
    </w:p>
    <w:p w14:paraId="1388EA4A" w14:textId="2E8E58EA" w:rsidR="007F7279" w:rsidRDefault="007F7279" w:rsidP="007F7279">
      <w:pPr>
        <w:jc w:val="center"/>
        <w:rPr>
          <w:b/>
          <w:bCs/>
          <w:sz w:val="32"/>
          <w:szCs w:val="32"/>
        </w:rPr>
      </w:pPr>
      <w:r>
        <w:rPr>
          <w:b/>
          <w:bCs/>
          <w:sz w:val="32"/>
          <w:szCs w:val="32"/>
        </w:rPr>
        <w:t>E-Portfolio</w:t>
      </w:r>
    </w:p>
    <w:p w14:paraId="7CEE2C3A" w14:textId="77777777" w:rsidR="007F7279" w:rsidRDefault="007F7279" w:rsidP="007F7279">
      <w:pPr>
        <w:jc w:val="center"/>
        <w:rPr>
          <w:b/>
          <w:bCs/>
          <w:sz w:val="32"/>
          <w:szCs w:val="32"/>
        </w:rPr>
      </w:pPr>
    </w:p>
    <w:p w14:paraId="4A5C540D" w14:textId="0690D2A8" w:rsidR="007F7279" w:rsidRDefault="007F7279" w:rsidP="007F7279">
      <w:pPr>
        <w:jc w:val="center"/>
        <w:rPr>
          <w:b/>
          <w:bCs/>
        </w:rPr>
      </w:pPr>
      <w:r w:rsidRPr="007F7279">
        <w:rPr>
          <w:b/>
          <w:bCs/>
          <w:sz w:val="32"/>
          <w:szCs w:val="32"/>
        </w:rPr>
        <w:t>Children and Young People's Health, Wellbeing and Community Engagement (BMHP5018)</w:t>
      </w:r>
      <w:r w:rsidRPr="007F7279">
        <w:br/>
      </w:r>
    </w:p>
    <w:p w14:paraId="5B046DB5" w14:textId="77777777" w:rsidR="007F7279" w:rsidRDefault="007F7279" w:rsidP="007F7279">
      <w:pPr>
        <w:jc w:val="center"/>
        <w:rPr>
          <w:b/>
          <w:bCs/>
        </w:rPr>
      </w:pPr>
    </w:p>
    <w:p w14:paraId="2921636D" w14:textId="77777777" w:rsidR="007F7279" w:rsidRDefault="007F7279" w:rsidP="007F7279">
      <w:pPr>
        <w:jc w:val="center"/>
        <w:rPr>
          <w:b/>
          <w:bCs/>
        </w:rPr>
      </w:pPr>
    </w:p>
    <w:p w14:paraId="1783CDEC" w14:textId="77777777" w:rsidR="007F7279" w:rsidRDefault="007F7279" w:rsidP="007F7279">
      <w:pPr>
        <w:jc w:val="center"/>
        <w:rPr>
          <w:b/>
          <w:bCs/>
        </w:rPr>
      </w:pPr>
    </w:p>
    <w:p w14:paraId="59640E92" w14:textId="77777777" w:rsidR="007F7279" w:rsidRDefault="007F7279" w:rsidP="007F7279">
      <w:pPr>
        <w:jc w:val="center"/>
        <w:rPr>
          <w:b/>
          <w:bCs/>
        </w:rPr>
      </w:pPr>
    </w:p>
    <w:p w14:paraId="6B16DBE0" w14:textId="367FA184" w:rsidR="007F7279" w:rsidRDefault="007F7279" w:rsidP="007F7279">
      <w:pPr>
        <w:jc w:val="center"/>
        <w:rPr>
          <w:b/>
          <w:bCs/>
        </w:rPr>
      </w:pPr>
      <w:r w:rsidRPr="007F7279">
        <w:rPr>
          <w:b/>
          <w:bCs/>
        </w:rPr>
        <w:t>Student Name</w:t>
      </w:r>
      <w:r w:rsidRPr="007F7279">
        <w:t>: Dan Lupse</w:t>
      </w:r>
      <w:r w:rsidRPr="007F7279">
        <w:br/>
      </w:r>
      <w:r w:rsidRPr="007F7279">
        <w:rPr>
          <w:b/>
          <w:bCs/>
        </w:rPr>
        <w:t>Student Number</w:t>
      </w:r>
      <w:r w:rsidRPr="007F7279">
        <w:t>: 2227229</w:t>
      </w:r>
      <w:r w:rsidRPr="007F7279">
        <w:br/>
      </w:r>
      <w:r w:rsidRPr="007F7279">
        <w:rPr>
          <w:b/>
          <w:bCs/>
        </w:rPr>
        <w:t>Lecturer</w:t>
      </w:r>
      <w:r w:rsidRPr="007F7279">
        <w:t>: Joanna Fender</w:t>
      </w:r>
      <w:r w:rsidRPr="007F7279">
        <w:br/>
      </w:r>
    </w:p>
    <w:p w14:paraId="39FBD024" w14:textId="77777777" w:rsidR="007F7279" w:rsidRDefault="007F7279" w:rsidP="007F7279">
      <w:pPr>
        <w:jc w:val="center"/>
        <w:rPr>
          <w:b/>
          <w:bCs/>
        </w:rPr>
      </w:pPr>
    </w:p>
    <w:p w14:paraId="42C41C24" w14:textId="77777777" w:rsidR="007F7279" w:rsidRDefault="007F7279" w:rsidP="007F7279">
      <w:pPr>
        <w:jc w:val="center"/>
        <w:rPr>
          <w:b/>
          <w:bCs/>
        </w:rPr>
      </w:pPr>
    </w:p>
    <w:p w14:paraId="1E167BDF" w14:textId="77777777" w:rsidR="007F7279" w:rsidRDefault="007F7279" w:rsidP="007F7279">
      <w:pPr>
        <w:jc w:val="center"/>
      </w:pPr>
    </w:p>
    <w:p w14:paraId="50F80403" w14:textId="77777777" w:rsidR="007F7279" w:rsidRDefault="007F7279" w:rsidP="007F7279">
      <w:pPr>
        <w:jc w:val="center"/>
      </w:pPr>
    </w:p>
    <w:p w14:paraId="4129ECA9" w14:textId="5F9ACEAF" w:rsidR="007F7279" w:rsidRDefault="007F7279" w:rsidP="007F7279">
      <w:pPr>
        <w:jc w:val="center"/>
        <w:rPr>
          <w:sz w:val="32"/>
          <w:szCs w:val="32"/>
        </w:rPr>
      </w:pPr>
      <w:r w:rsidRPr="007F7279">
        <w:rPr>
          <w:sz w:val="32"/>
          <w:szCs w:val="32"/>
        </w:rPr>
        <w:t>Safeguarding, Promoting, and Supporting the Health and Wellbeing of Children and Young People: A Portfolio of Critical Analysis, Reflection and Practice</w:t>
      </w:r>
    </w:p>
    <w:p w14:paraId="627D0DFD" w14:textId="77777777" w:rsidR="007F7279" w:rsidRDefault="007F7279" w:rsidP="007F7279">
      <w:pPr>
        <w:jc w:val="center"/>
        <w:rPr>
          <w:sz w:val="32"/>
          <w:szCs w:val="32"/>
        </w:rPr>
      </w:pPr>
    </w:p>
    <w:p w14:paraId="6217C39B" w14:textId="77777777" w:rsidR="007F7279" w:rsidRDefault="007F7279" w:rsidP="007F7279">
      <w:pPr>
        <w:jc w:val="center"/>
        <w:rPr>
          <w:sz w:val="32"/>
          <w:szCs w:val="32"/>
        </w:rPr>
      </w:pPr>
    </w:p>
    <w:sdt>
      <w:sdtPr>
        <w:rPr>
          <w:rFonts w:eastAsiaTheme="minorHAnsi" w:cstheme="minorBidi"/>
          <w:b w:val="0"/>
          <w:color w:val="auto"/>
          <w:kern w:val="2"/>
          <w:sz w:val="24"/>
          <w:szCs w:val="24"/>
          <w:lang w:val="en-GB"/>
          <w14:ligatures w14:val="standardContextual"/>
        </w:rPr>
        <w:id w:val="-623232954"/>
        <w:docPartObj>
          <w:docPartGallery w:val="Table of Contents"/>
          <w:docPartUnique/>
        </w:docPartObj>
      </w:sdtPr>
      <w:sdtEndPr>
        <w:rPr>
          <w:bCs/>
          <w:noProof/>
        </w:rPr>
      </w:sdtEndPr>
      <w:sdtContent>
        <w:p w14:paraId="357C4547" w14:textId="0004F8C9" w:rsidR="007F7279" w:rsidRDefault="007F7279" w:rsidP="00433F5A">
          <w:pPr>
            <w:pStyle w:val="TOCHeading"/>
          </w:pPr>
          <w:r>
            <w:t>Contents</w:t>
          </w:r>
        </w:p>
        <w:p w14:paraId="40ADDF0B" w14:textId="5BF56173" w:rsidR="00331A48" w:rsidRDefault="007F7279">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95603777" w:history="1">
            <w:r w:rsidR="00331A48" w:rsidRPr="00822015">
              <w:rPr>
                <w:rStyle w:val="Hyperlink"/>
                <w:noProof/>
              </w:rPr>
              <w:t>Critical Analysis of the Child and Adolescent Mental Health Service (CAMHS) Video</w:t>
            </w:r>
            <w:r w:rsidR="00331A48">
              <w:rPr>
                <w:noProof/>
                <w:webHidden/>
              </w:rPr>
              <w:tab/>
            </w:r>
            <w:r w:rsidR="00331A48">
              <w:rPr>
                <w:noProof/>
                <w:webHidden/>
              </w:rPr>
              <w:fldChar w:fldCharType="begin"/>
            </w:r>
            <w:r w:rsidR="00331A48">
              <w:rPr>
                <w:noProof/>
                <w:webHidden/>
              </w:rPr>
              <w:instrText xml:space="preserve"> PAGEREF _Toc195603777 \h </w:instrText>
            </w:r>
            <w:r w:rsidR="00331A48">
              <w:rPr>
                <w:noProof/>
                <w:webHidden/>
              </w:rPr>
            </w:r>
            <w:r w:rsidR="00331A48">
              <w:rPr>
                <w:noProof/>
                <w:webHidden/>
              </w:rPr>
              <w:fldChar w:fldCharType="separate"/>
            </w:r>
            <w:r w:rsidR="00331A48">
              <w:rPr>
                <w:noProof/>
                <w:webHidden/>
              </w:rPr>
              <w:t>3</w:t>
            </w:r>
            <w:r w:rsidR="00331A48">
              <w:rPr>
                <w:noProof/>
                <w:webHidden/>
              </w:rPr>
              <w:fldChar w:fldCharType="end"/>
            </w:r>
          </w:hyperlink>
        </w:p>
        <w:p w14:paraId="69526E87" w14:textId="0FB0C30D" w:rsidR="00331A48" w:rsidRDefault="00331A48">
          <w:pPr>
            <w:pStyle w:val="TOC1"/>
            <w:tabs>
              <w:tab w:val="right" w:leader="dot" w:pos="9016"/>
            </w:tabs>
            <w:rPr>
              <w:rFonts w:asciiTheme="minorHAnsi" w:eastAsiaTheme="minorEastAsia" w:hAnsiTheme="minorHAnsi"/>
              <w:noProof/>
              <w:lang w:eastAsia="en-GB"/>
            </w:rPr>
          </w:pPr>
          <w:hyperlink w:anchor="_Toc195603778" w:history="1">
            <w:r w:rsidRPr="00822015">
              <w:rPr>
                <w:rStyle w:val="Hyperlink"/>
                <w:noProof/>
              </w:rPr>
              <w:t>Introduction</w:t>
            </w:r>
            <w:r>
              <w:rPr>
                <w:noProof/>
                <w:webHidden/>
              </w:rPr>
              <w:tab/>
            </w:r>
            <w:r>
              <w:rPr>
                <w:noProof/>
                <w:webHidden/>
              </w:rPr>
              <w:fldChar w:fldCharType="begin"/>
            </w:r>
            <w:r>
              <w:rPr>
                <w:noProof/>
                <w:webHidden/>
              </w:rPr>
              <w:instrText xml:space="preserve"> PAGEREF _Toc195603778 \h </w:instrText>
            </w:r>
            <w:r>
              <w:rPr>
                <w:noProof/>
                <w:webHidden/>
              </w:rPr>
            </w:r>
            <w:r>
              <w:rPr>
                <w:noProof/>
                <w:webHidden/>
              </w:rPr>
              <w:fldChar w:fldCharType="separate"/>
            </w:r>
            <w:r>
              <w:rPr>
                <w:noProof/>
                <w:webHidden/>
              </w:rPr>
              <w:t>3</w:t>
            </w:r>
            <w:r>
              <w:rPr>
                <w:noProof/>
                <w:webHidden/>
              </w:rPr>
              <w:fldChar w:fldCharType="end"/>
            </w:r>
          </w:hyperlink>
        </w:p>
        <w:p w14:paraId="1A672077" w14:textId="2AC51DF2" w:rsidR="00331A48" w:rsidRDefault="00331A48">
          <w:pPr>
            <w:pStyle w:val="TOC1"/>
            <w:tabs>
              <w:tab w:val="right" w:leader="dot" w:pos="9016"/>
            </w:tabs>
            <w:rPr>
              <w:rFonts w:asciiTheme="minorHAnsi" w:eastAsiaTheme="minorEastAsia" w:hAnsiTheme="minorHAnsi"/>
              <w:noProof/>
              <w:lang w:eastAsia="en-GB"/>
            </w:rPr>
          </w:pPr>
          <w:hyperlink w:anchor="_Toc195603779" w:history="1">
            <w:r w:rsidRPr="00822015">
              <w:rPr>
                <w:rStyle w:val="Hyperlink"/>
                <w:noProof/>
              </w:rPr>
              <w:t>Overview of CAMHS Services as Depicted in the Video</w:t>
            </w:r>
            <w:r>
              <w:rPr>
                <w:noProof/>
                <w:webHidden/>
              </w:rPr>
              <w:tab/>
            </w:r>
            <w:r>
              <w:rPr>
                <w:noProof/>
                <w:webHidden/>
              </w:rPr>
              <w:fldChar w:fldCharType="begin"/>
            </w:r>
            <w:r>
              <w:rPr>
                <w:noProof/>
                <w:webHidden/>
              </w:rPr>
              <w:instrText xml:space="preserve"> PAGEREF _Toc195603779 \h </w:instrText>
            </w:r>
            <w:r>
              <w:rPr>
                <w:noProof/>
                <w:webHidden/>
              </w:rPr>
            </w:r>
            <w:r>
              <w:rPr>
                <w:noProof/>
                <w:webHidden/>
              </w:rPr>
              <w:fldChar w:fldCharType="separate"/>
            </w:r>
            <w:r>
              <w:rPr>
                <w:noProof/>
                <w:webHidden/>
              </w:rPr>
              <w:t>3</w:t>
            </w:r>
            <w:r>
              <w:rPr>
                <w:noProof/>
                <w:webHidden/>
              </w:rPr>
              <w:fldChar w:fldCharType="end"/>
            </w:r>
          </w:hyperlink>
        </w:p>
        <w:p w14:paraId="01552C88" w14:textId="59BE6735" w:rsidR="00331A48" w:rsidRDefault="00331A48">
          <w:pPr>
            <w:pStyle w:val="TOC1"/>
            <w:tabs>
              <w:tab w:val="right" w:leader="dot" w:pos="9016"/>
            </w:tabs>
            <w:rPr>
              <w:rFonts w:asciiTheme="minorHAnsi" w:eastAsiaTheme="minorEastAsia" w:hAnsiTheme="minorHAnsi"/>
              <w:noProof/>
              <w:lang w:eastAsia="en-GB"/>
            </w:rPr>
          </w:pPr>
          <w:hyperlink w:anchor="_Toc195603780" w:history="1">
            <w:r w:rsidRPr="00822015">
              <w:rPr>
                <w:rStyle w:val="Hyperlink"/>
                <w:noProof/>
              </w:rPr>
              <w:t>Strengths of the CAMHS Approach Highlighted in the Video</w:t>
            </w:r>
            <w:r>
              <w:rPr>
                <w:noProof/>
                <w:webHidden/>
              </w:rPr>
              <w:tab/>
            </w:r>
            <w:r>
              <w:rPr>
                <w:noProof/>
                <w:webHidden/>
              </w:rPr>
              <w:fldChar w:fldCharType="begin"/>
            </w:r>
            <w:r>
              <w:rPr>
                <w:noProof/>
                <w:webHidden/>
              </w:rPr>
              <w:instrText xml:space="preserve"> PAGEREF _Toc195603780 \h </w:instrText>
            </w:r>
            <w:r>
              <w:rPr>
                <w:noProof/>
                <w:webHidden/>
              </w:rPr>
            </w:r>
            <w:r>
              <w:rPr>
                <w:noProof/>
                <w:webHidden/>
              </w:rPr>
              <w:fldChar w:fldCharType="separate"/>
            </w:r>
            <w:r>
              <w:rPr>
                <w:noProof/>
                <w:webHidden/>
              </w:rPr>
              <w:t>4</w:t>
            </w:r>
            <w:r>
              <w:rPr>
                <w:noProof/>
                <w:webHidden/>
              </w:rPr>
              <w:fldChar w:fldCharType="end"/>
            </w:r>
          </w:hyperlink>
        </w:p>
        <w:p w14:paraId="3B9A12D5" w14:textId="4C6CD6FB" w:rsidR="00331A48" w:rsidRDefault="00331A48">
          <w:pPr>
            <w:pStyle w:val="TOC1"/>
            <w:tabs>
              <w:tab w:val="right" w:leader="dot" w:pos="9016"/>
            </w:tabs>
            <w:rPr>
              <w:rFonts w:asciiTheme="minorHAnsi" w:eastAsiaTheme="minorEastAsia" w:hAnsiTheme="minorHAnsi"/>
              <w:noProof/>
              <w:lang w:eastAsia="en-GB"/>
            </w:rPr>
          </w:pPr>
          <w:hyperlink w:anchor="_Toc195603781" w:history="1">
            <w:r w:rsidRPr="00822015">
              <w:rPr>
                <w:rStyle w:val="Hyperlink"/>
                <w:noProof/>
              </w:rPr>
              <w:t>Weaknesses and Challenges Identified</w:t>
            </w:r>
            <w:r>
              <w:rPr>
                <w:noProof/>
                <w:webHidden/>
              </w:rPr>
              <w:tab/>
            </w:r>
            <w:r>
              <w:rPr>
                <w:noProof/>
                <w:webHidden/>
              </w:rPr>
              <w:fldChar w:fldCharType="begin"/>
            </w:r>
            <w:r>
              <w:rPr>
                <w:noProof/>
                <w:webHidden/>
              </w:rPr>
              <w:instrText xml:space="preserve"> PAGEREF _Toc195603781 \h </w:instrText>
            </w:r>
            <w:r>
              <w:rPr>
                <w:noProof/>
                <w:webHidden/>
              </w:rPr>
            </w:r>
            <w:r>
              <w:rPr>
                <w:noProof/>
                <w:webHidden/>
              </w:rPr>
              <w:fldChar w:fldCharType="separate"/>
            </w:r>
            <w:r>
              <w:rPr>
                <w:noProof/>
                <w:webHidden/>
              </w:rPr>
              <w:t>4</w:t>
            </w:r>
            <w:r>
              <w:rPr>
                <w:noProof/>
                <w:webHidden/>
              </w:rPr>
              <w:fldChar w:fldCharType="end"/>
            </w:r>
          </w:hyperlink>
        </w:p>
        <w:p w14:paraId="20D13C6A" w14:textId="72709471" w:rsidR="00331A48" w:rsidRDefault="00331A48">
          <w:pPr>
            <w:pStyle w:val="TOC1"/>
            <w:tabs>
              <w:tab w:val="right" w:leader="dot" w:pos="9016"/>
            </w:tabs>
            <w:rPr>
              <w:rFonts w:asciiTheme="minorHAnsi" w:eastAsiaTheme="minorEastAsia" w:hAnsiTheme="minorHAnsi"/>
              <w:noProof/>
              <w:lang w:eastAsia="en-GB"/>
            </w:rPr>
          </w:pPr>
          <w:hyperlink w:anchor="_Toc195603782" w:history="1">
            <w:r w:rsidRPr="00822015">
              <w:rPr>
                <w:rStyle w:val="Hyperlink"/>
                <w:noProof/>
              </w:rPr>
              <w:t>Implications for Children's Health and Wellbeing</w:t>
            </w:r>
            <w:r>
              <w:rPr>
                <w:noProof/>
                <w:webHidden/>
              </w:rPr>
              <w:tab/>
            </w:r>
            <w:r>
              <w:rPr>
                <w:noProof/>
                <w:webHidden/>
              </w:rPr>
              <w:fldChar w:fldCharType="begin"/>
            </w:r>
            <w:r>
              <w:rPr>
                <w:noProof/>
                <w:webHidden/>
              </w:rPr>
              <w:instrText xml:space="preserve"> PAGEREF _Toc195603782 \h </w:instrText>
            </w:r>
            <w:r>
              <w:rPr>
                <w:noProof/>
                <w:webHidden/>
              </w:rPr>
            </w:r>
            <w:r>
              <w:rPr>
                <w:noProof/>
                <w:webHidden/>
              </w:rPr>
              <w:fldChar w:fldCharType="separate"/>
            </w:r>
            <w:r>
              <w:rPr>
                <w:noProof/>
                <w:webHidden/>
              </w:rPr>
              <w:t>5</w:t>
            </w:r>
            <w:r>
              <w:rPr>
                <w:noProof/>
                <w:webHidden/>
              </w:rPr>
              <w:fldChar w:fldCharType="end"/>
            </w:r>
          </w:hyperlink>
        </w:p>
        <w:p w14:paraId="160774F1" w14:textId="4A49E205" w:rsidR="00331A48" w:rsidRDefault="00331A48">
          <w:pPr>
            <w:pStyle w:val="TOC1"/>
            <w:tabs>
              <w:tab w:val="right" w:leader="dot" w:pos="9016"/>
            </w:tabs>
            <w:rPr>
              <w:rFonts w:asciiTheme="minorHAnsi" w:eastAsiaTheme="minorEastAsia" w:hAnsiTheme="minorHAnsi"/>
              <w:noProof/>
              <w:lang w:eastAsia="en-GB"/>
            </w:rPr>
          </w:pPr>
          <w:hyperlink w:anchor="_Toc195603783" w:history="1">
            <w:r w:rsidRPr="00822015">
              <w:rPr>
                <w:rStyle w:val="Hyperlink"/>
                <w:noProof/>
              </w:rPr>
              <w:t>Recommendations for Improvement</w:t>
            </w:r>
            <w:r>
              <w:rPr>
                <w:noProof/>
                <w:webHidden/>
              </w:rPr>
              <w:tab/>
            </w:r>
            <w:r>
              <w:rPr>
                <w:noProof/>
                <w:webHidden/>
              </w:rPr>
              <w:fldChar w:fldCharType="begin"/>
            </w:r>
            <w:r>
              <w:rPr>
                <w:noProof/>
                <w:webHidden/>
              </w:rPr>
              <w:instrText xml:space="preserve"> PAGEREF _Toc195603783 \h </w:instrText>
            </w:r>
            <w:r>
              <w:rPr>
                <w:noProof/>
                <w:webHidden/>
              </w:rPr>
            </w:r>
            <w:r>
              <w:rPr>
                <w:noProof/>
                <w:webHidden/>
              </w:rPr>
              <w:fldChar w:fldCharType="separate"/>
            </w:r>
            <w:r>
              <w:rPr>
                <w:noProof/>
                <w:webHidden/>
              </w:rPr>
              <w:t>6</w:t>
            </w:r>
            <w:r>
              <w:rPr>
                <w:noProof/>
                <w:webHidden/>
              </w:rPr>
              <w:fldChar w:fldCharType="end"/>
            </w:r>
          </w:hyperlink>
        </w:p>
        <w:p w14:paraId="371E1180" w14:textId="42F4C201" w:rsidR="00331A48" w:rsidRDefault="00331A48">
          <w:pPr>
            <w:pStyle w:val="TOC1"/>
            <w:tabs>
              <w:tab w:val="right" w:leader="dot" w:pos="9016"/>
            </w:tabs>
            <w:rPr>
              <w:rFonts w:asciiTheme="minorHAnsi" w:eastAsiaTheme="minorEastAsia" w:hAnsiTheme="minorHAnsi"/>
              <w:noProof/>
              <w:lang w:eastAsia="en-GB"/>
            </w:rPr>
          </w:pPr>
          <w:hyperlink w:anchor="_Toc195603784" w:history="1">
            <w:r w:rsidRPr="00822015">
              <w:rPr>
                <w:rStyle w:val="Hyperlink"/>
                <w:noProof/>
              </w:rPr>
              <w:t>Poster</w:t>
            </w:r>
            <w:r>
              <w:rPr>
                <w:noProof/>
                <w:webHidden/>
              </w:rPr>
              <w:tab/>
            </w:r>
            <w:r>
              <w:rPr>
                <w:noProof/>
                <w:webHidden/>
              </w:rPr>
              <w:fldChar w:fldCharType="begin"/>
            </w:r>
            <w:r>
              <w:rPr>
                <w:noProof/>
                <w:webHidden/>
              </w:rPr>
              <w:instrText xml:space="preserve"> PAGEREF _Toc195603784 \h </w:instrText>
            </w:r>
            <w:r>
              <w:rPr>
                <w:noProof/>
                <w:webHidden/>
              </w:rPr>
            </w:r>
            <w:r>
              <w:rPr>
                <w:noProof/>
                <w:webHidden/>
              </w:rPr>
              <w:fldChar w:fldCharType="separate"/>
            </w:r>
            <w:r>
              <w:rPr>
                <w:noProof/>
                <w:webHidden/>
              </w:rPr>
              <w:t>7</w:t>
            </w:r>
            <w:r>
              <w:rPr>
                <w:noProof/>
                <w:webHidden/>
              </w:rPr>
              <w:fldChar w:fldCharType="end"/>
            </w:r>
          </w:hyperlink>
        </w:p>
        <w:p w14:paraId="17922E13" w14:textId="416CFFA3" w:rsidR="00331A48" w:rsidRDefault="00331A48">
          <w:pPr>
            <w:pStyle w:val="TOC1"/>
            <w:tabs>
              <w:tab w:val="right" w:leader="dot" w:pos="9016"/>
            </w:tabs>
            <w:rPr>
              <w:rFonts w:asciiTheme="minorHAnsi" w:eastAsiaTheme="minorEastAsia" w:hAnsiTheme="minorHAnsi"/>
              <w:noProof/>
              <w:lang w:eastAsia="en-GB"/>
            </w:rPr>
          </w:pPr>
          <w:hyperlink w:anchor="_Toc195603785" w:history="1">
            <w:r w:rsidRPr="00822015">
              <w:rPr>
                <w:rStyle w:val="Hyperlink"/>
                <w:noProof/>
              </w:rPr>
              <w:t>Blog 1: The Right to Education</w:t>
            </w:r>
            <w:r>
              <w:rPr>
                <w:noProof/>
                <w:webHidden/>
              </w:rPr>
              <w:tab/>
            </w:r>
            <w:r>
              <w:rPr>
                <w:noProof/>
                <w:webHidden/>
              </w:rPr>
              <w:fldChar w:fldCharType="begin"/>
            </w:r>
            <w:r>
              <w:rPr>
                <w:noProof/>
                <w:webHidden/>
              </w:rPr>
              <w:instrText xml:space="preserve"> PAGEREF _Toc195603785 \h </w:instrText>
            </w:r>
            <w:r>
              <w:rPr>
                <w:noProof/>
                <w:webHidden/>
              </w:rPr>
            </w:r>
            <w:r>
              <w:rPr>
                <w:noProof/>
                <w:webHidden/>
              </w:rPr>
              <w:fldChar w:fldCharType="separate"/>
            </w:r>
            <w:r>
              <w:rPr>
                <w:noProof/>
                <w:webHidden/>
              </w:rPr>
              <w:t>8</w:t>
            </w:r>
            <w:r>
              <w:rPr>
                <w:noProof/>
                <w:webHidden/>
              </w:rPr>
              <w:fldChar w:fldCharType="end"/>
            </w:r>
          </w:hyperlink>
        </w:p>
        <w:p w14:paraId="5DFE48D2" w14:textId="4F08DE83" w:rsidR="00331A48" w:rsidRDefault="00331A48">
          <w:pPr>
            <w:pStyle w:val="TOC1"/>
            <w:tabs>
              <w:tab w:val="right" w:leader="dot" w:pos="9016"/>
            </w:tabs>
            <w:rPr>
              <w:rFonts w:asciiTheme="minorHAnsi" w:eastAsiaTheme="minorEastAsia" w:hAnsiTheme="minorHAnsi"/>
              <w:noProof/>
              <w:lang w:eastAsia="en-GB"/>
            </w:rPr>
          </w:pPr>
          <w:hyperlink w:anchor="_Toc195603786" w:history="1">
            <w:r w:rsidRPr="00822015">
              <w:rPr>
                <w:rStyle w:val="Hyperlink"/>
                <w:noProof/>
              </w:rPr>
              <w:t>Blog 2: The Right to Be Heard</w:t>
            </w:r>
            <w:r>
              <w:rPr>
                <w:noProof/>
                <w:webHidden/>
              </w:rPr>
              <w:tab/>
            </w:r>
            <w:r>
              <w:rPr>
                <w:noProof/>
                <w:webHidden/>
              </w:rPr>
              <w:fldChar w:fldCharType="begin"/>
            </w:r>
            <w:r>
              <w:rPr>
                <w:noProof/>
                <w:webHidden/>
              </w:rPr>
              <w:instrText xml:space="preserve"> PAGEREF _Toc195603786 \h </w:instrText>
            </w:r>
            <w:r>
              <w:rPr>
                <w:noProof/>
                <w:webHidden/>
              </w:rPr>
            </w:r>
            <w:r>
              <w:rPr>
                <w:noProof/>
                <w:webHidden/>
              </w:rPr>
              <w:fldChar w:fldCharType="separate"/>
            </w:r>
            <w:r>
              <w:rPr>
                <w:noProof/>
                <w:webHidden/>
              </w:rPr>
              <w:t>9</w:t>
            </w:r>
            <w:r>
              <w:rPr>
                <w:noProof/>
                <w:webHidden/>
              </w:rPr>
              <w:fldChar w:fldCharType="end"/>
            </w:r>
          </w:hyperlink>
        </w:p>
        <w:p w14:paraId="7F3C89C9" w14:textId="351A2E68" w:rsidR="00331A48" w:rsidRDefault="00331A48">
          <w:pPr>
            <w:pStyle w:val="TOC1"/>
            <w:tabs>
              <w:tab w:val="right" w:leader="dot" w:pos="9016"/>
            </w:tabs>
            <w:rPr>
              <w:rFonts w:asciiTheme="minorHAnsi" w:eastAsiaTheme="minorEastAsia" w:hAnsiTheme="minorHAnsi"/>
              <w:noProof/>
              <w:lang w:eastAsia="en-GB"/>
            </w:rPr>
          </w:pPr>
          <w:hyperlink w:anchor="_Toc195603787" w:history="1">
            <w:r w:rsidRPr="00822015">
              <w:rPr>
                <w:rStyle w:val="Hyperlink"/>
                <w:noProof/>
              </w:rPr>
              <w:t>Blog 3: The Right to Protection from Abuse</w:t>
            </w:r>
            <w:r>
              <w:rPr>
                <w:noProof/>
                <w:webHidden/>
              </w:rPr>
              <w:tab/>
            </w:r>
            <w:r>
              <w:rPr>
                <w:noProof/>
                <w:webHidden/>
              </w:rPr>
              <w:fldChar w:fldCharType="begin"/>
            </w:r>
            <w:r>
              <w:rPr>
                <w:noProof/>
                <w:webHidden/>
              </w:rPr>
              <w:instrText xml:space="preserve"> PAGEREF _Toc195603787 \h </w:instrText>
            </w:r>
            <w:r>
              <w:rPr>
                <w:noProof/>
                <w:webHidden/>
              </w:rPr>
            </w:r>
            <w:r>
              <w:rPr>
                <w:noProof/>
                <w:webHidden/>
              </w:rPr>
              <w:fldChar w:fldCharType="separate"/>
            </w:r>
            <w:r>
              <w:rPr>
                <w:noProof/>
                <w:webHidden/>
              </w:rPr>
              <w:t>10</w:t>
            </w:r>
            <w:r>
              <w:rPr>
                <w:noProof/>
                <w:webHidden/>
              </w:rPr>
              <w:fldChar w:fldCharType="end"/>
            </w:r>
          </w:hyperlink>
        </w:p>
        <w:p w14:paraId="507EDAA1" w14:textId="1129A973" w:rsidR="00331A48" w:rsidRDefault="00331A48">
          <w:pPr>
            <w:pStyle w:val="TOC1"/>
            <w:tabs>
              <w:tab w:val="right" w:leader="dot" w:pos="9016"/>
            </w:tabs>
            <w:rPr>
              <w:rFonts w:asciiTheme="minorHAnsi" w:eastAsiaTheme="minorEastAsia" w:hAnsiTheme="minorHAnsi"/>
              <w:noProof/>
              <w:lang w:eastAsia="en-GB"/>
            </w:rPr>
          </w:pPr>
          <w:hyperlink w:anchor="_Toc195603788" w:history="1">
            <w:r w:rsidRPr="00822015">
              <w:rPr>
                <w:rStyle w:val="Hyperlink"/>
                <w:noProof/>
              </w:rPr>
              <w:t>Blog 4: The Right to Access Healthcare</w:t>
            </w:r>
            <w:r>
              <w:rPr>
                <w:noProof/>
                <w:webHidden/>
              </w:rPr>
              <w:tab/>
            </w:r>
            <w:r>
              <w:rPr>
                <w:noProof/>
                <w:webHidden/>
              </w:rPr>
              <w:fldChar w:fldCharType="begin"/>
            </w:r>
            <w:r>
              <w:rPr>
                <w:noProof/>
                <w:webHidden/>
              </w:rPr>
              <w:instrText xml:space="preserve"> PAGEREF _Toc195603788 \h </w:instrText>
            </w:r>
            <w:r>
              <w:rPr>
                <w:noProof/>
                <w:webHidden/>
              </w:rPr>
            </w:r>
            <w:r>
              <w:rPr>
                <w:noProof/>
                <w:webHidden/>
              </w:rPr>
              <w:fldChar w:fldCharType="separate"/>
            </w:r>
            <w:r>
              <w:rPr>
                <w:noProof/>
                <w:webHidden/>
              </w:rPr>
              <w:t>11</w:t>
            </w:r>
            <w:r>
              <w:rPr>
                <w:noProof/>
                <w:webHidden/>
              </w:rPr>
              <w:fldChar w:fldCharType="end"/>
            </w:r>
          </w:hyperlink>
        </w:p>
        <w:p w14:paraId="2D964102" w14:textId="451B4A88" w:rsidR="00331A48" w:rsidRDefault="00331A48">
          <w:pPr>
            <w:pStyle w:val="TOC1"/>
            <w:tabs>
              <w:tab w:val="right" w:leader="dot" w:pos="9016"/>
            </w:tabs>
            <w:rPr>
              <w:rFonts w:asciiTheme="minorHAnsi" w:eastAsiaTheme="minorEastAsia" w:hAnsiTheme="minorHAnsi"/>
              <w:noProof/>
              <w:lang w:eastAsia="en-GB"/>
            </w:rPr>
          </w:pPr>
          <w:hyperlink w:anchor="_Toc195603789" w:history="1">
            <w:r w:rsidRPr="00822015">
              <w:rPr>
                <w:rStyle w:val="Hyperlink"/>
                <w:noProof/>
              </w:rPr>
              <w:t>Timeline of Legislation  - The Last 60 Years</w:t>
            </w:r>
            <w:r>
              <w:rPr>
                <w:noProof/>
                <w:webHidden/>
              </w:rPr>
              <w:tab/>
            </w:r>
            <w:r>
              <w:rPr>
                <w:noProof/>
                <w:webHidden/>
              </w:rPr>
              <w:fldChar w:fldCharType="begin"/>
            </w:r>
            <w:r>
              <w:rPr>
                <w:noProof/>
                <w:webHidden/>
              </w:rPr>
              <w:instrText xml:space="preserve"> PAGEREF _Toc195603789 \h </w:instrText>
            </w:r>
            <w:r>
              <w:rPr>
                <w:noProof/>
                <w:webHidden/>
              </w:rPr>
            </w:r>
            <w:r>
              <w:rPr>
                <w:noProof/>
                <w:webHidden/>
              </w:rPr>
              <w:fldChar w:fldCharType="separate"/>
            </w:r>
            <w:r>
              <w:rPr>
                <w:noProof/>
                <w:webHidden/>
              </w:rPr>
              <w:t>12</w:t>
            </w:r>
            <w:r>
              <w:rPr>
                <w:noProof/>
                <w:webHidden/>
              </w:rPr>
              <w:fldChar w:fldCharType="end"/>
            </w:r>
          </w:hyperlink>
        </w:p>
        <w:p w14:paraId="7848C07E" w14:textId="032EB16B" w:rsidR="00331A48" w:rsidRDefault="00331A48">
          <w:pPr>
            <w:pStyle w:val="TOC2"/>
            <w:tabs>
              <w:tab w:val="right" w:leader="dot" w:pos="9016"/>
            </w:tabs>
            <w:rPr>
              <w:rFonts w:asciiTheme="minorHAnsi" w:eastAsiaTheme="minorEastAsia" w:hAnsiTheme="minorHAnsi"/>
              <w:noProof/>
              <w:lang w:eastAsia="en-GB"/>
            </w:rPr>
          </w:pPr>
          <w:hyperlink w:anchor="_Toc195603790" w:history="1">
            <w:r w:rsidRPr="00822015">
              <w:rPr>
                <w:rStyle w:val="Hyperlink"/>
                <w:noProof/>
              </w:rPr>
              <w:t>1960-1970: Early Protection Measures for Children</w:t>
            </w:r>
            <w:r>
              <w:rPr>
                <w:noProof/>
                <w:webHidden/>
              </w:rPr>
              <w:tab/>
            </w:r>
            <w:r>
              <w:rPr>
                <w:noProof/>
                <w:webHidden/>
              </w:rPr>
              <w:fldChar w:fldCharType="begin"/>
            </w:r>
            <w:r>
              <w:rPr>
                <w:noProof/>
                <w:webHidden/>
              </w:rPr>
              <w:instrText xml:space="preserve"> PAGEREF _Toc195603790 \h </w:instrText>
            </w:r>
            <w:r>
              <w:rPr>
                <w:noProof/>
                <w:webHidden/>
              </w:rPr>
            </w:r>
            <w:r>
              <w:rPr>
                <w:noProof/>
                <w:webHidden/>
              </w:rPr>
              <w:fldChar w:fldCharType="separate"/>
            </w:r>
            <w:r>
              <w:rPr>
                <w:noProof/>
                <w:webHidden/>
              </w:rPr>
              <w:t>12</w:t>
            </w:r>
            <w:r>
              <w:rPr>
                <w:noProof/>
                <w:webHidden/>
              </w:rPr>
              <w:fldChar w:fldCharType="end"/>
            </w:r>
          </w:hyperlink>
        </w:p>
        <w:p w14:paraId="1A0D88A7" w14:textId="0E88E563" w:rsidR="00331A48" w:rsidRDefault="00331A48">
          <w:pPr>
            <w:pStyle w:val="TOC2"/>
            <w:tabs>
              <w:tab w:val="right" w:leader="dot" w:pos="9016"/>
            </w:tabs>
            <w:rPr>
              <w:rFonts w:asciiTheme="minorHAnsi" w:eastAsiaTheme="minorEastAsia" w:hAnsiTheme="minorHAnsi"/>
              <w:noProof/>
              <w:lang w:eastAsia="en-GB"/>
            </w:rPr>
          </w:pPr>
          <w:hyperlink w:anchor="_Toc195603791" w:history="1">
            <w:r w:rsidRPr="00822015">
              <w:rPr>
                <w:rStyle w:val="Hyperlink"/>
                <w:noProof/>
              </w:rPr>
              <w:t>1980-1990: Strengthening Children's Rights Internationally</w:t>
            </w:r>
            <w:r>
              <w:rPr>
                <w:noProof/>
                <w:webHidden/>
              </w:rPr>
              <w:tab/>
            </w:r>
            <w:r>
              <w:rPr>
                <w:noProof/>
                <w:webHidden/>
              </w:rPr>
              <w:fldChar w:fldCharType="begin"/>
            </w:r>
            <w:r>
              <w:rPr>
                <w:noProof/>
                <w:webHidden/>
              </w:rPr>
              <w:instrText xml:space="preserve"> PAGEREF _Toc195603791 \h </w:instrText>
            </w:r>
            <w:r>
              <w:rPr>
                <w:noProof/>
                <w:webHidden/>
              </w:rPr>
            </w:r>
            <w:r>
              <w:rPr>
                <w:noProof/>
                <w:webHidden/>
              </w:rPr>
              <w:fldChar w:fldCharType="separate"/>
            </w:r>
            <w:r>
              <w:rPr>
                <w:noProof/>
                <w:webHidden/>
              </w:rPr>
              <w:t>12</w:t>
            </w:r>
            <w:r>
              <w:rPr>
                <w:noProof/>
                <w:webHidden/>
              </w:rPr>
              <w:fldChar w:fldCharType="end"/>
            </w:r>
          </w:hyperlink>
        </w:p>
        <w:p w14:paraId="14403148" w14:textId="05D3B99D" w:rsidR="00331A48" w:rsidRDefault="00331A48">
          <w:pPr>
            <w:pStyle w:val="TOC2"/>
            <w:tabs>
              <w:tab w:val="right" w:leader="dot" w:pos="9016"/>
            </w:tabs>
            <w:rPr>
              <w:rFonts w:asciiTheme="minorHAnsi" w:eastAsiaTheme="minorEastAsia" w:hAnsiTheme="minorHAnsi"/>
              <w:noProof/>
              <w:lang w:eastAsia="en-GB"/>
            </w:rPr>
          </w:pPr>
          <w:hyperlink w:anchor="_Toc195603792" w:history="1">
            <w:r w:rsidRPr="00822015">
              <w:rPr>
                <w:rStyle w:val="Hyperlink"/>
                <w:noProof/>
              </w:rPr>
              <w:t>2000-2010: Focus on Child Protection and Addressing Abuse</w:t>
            </w:r>
            <w:r>
              <w:rPr>
                <w:noProof/>
                <w:webHidden/>
              </w:rPr>
              <w:tab/>
            </w:r>
            <w:r>
              <w:rPr>
                <w:noProof/>
                <w:webHidden/>
              </w:rPr>
              <w:fldChar w:fldCharType="begin"/>
            </w:r>
            <w:r>
              <w:rPr>
                <w:noProof/>
                <w:webHidden/>
              </w:rPr>
              <w:instrText xml:space="preserve"> PAGEREF _Toc195603792 \h </w:instrText>
            </w:r>
            <w:r>
              <w:rPr>
                <w:noProof/>
                <w:webHidden/>
              </w:rPr>
            </w:r>
            <w:r>
              <w:rPr>
                <w:noProof/>
                <w:webHidden/>
              </w:rPr>
              <w:fldChar w:fldCharType="separate"/>
            </w:r>
            <w:r>
              <w:rPr>
                <w:noProof/>
                <w:webHidden/>
              </w:rPr>
              <w:t>13</w:t>
            </w:r>
            <w:r>
              <w:rPr>
                <w:noProof/>
                <w:webHidden/>
              </w:rPr>
              <w:fldChar w:fldCharType="end"/>
            </w:r>
          </w:hyperlink>
        </w:p>
        <w:p w14:paraId="7DAF5CFC" w14:textId="68D92DAD" w:rsidR="00331A48" w:rsidRDefault="00331A48">
          <w:pPr>
            <w:pStyle w:val="TOC2"/>
            <w:tabs>
              <w:tab w:val="right" w:leader="dot" w:pos="9016"/>
            </w:tabs>
            <w:rPr>
              <w:rFonts w:asciiTheme="minorHAnsi" w:eastAsiaTheme="minorEastAsia" w:hAnsiTheme="minorHAnsi"/>
              <w:noProof/>
              <w:lang w:eastAsia="en-GB"/>
            </w:rPr>
          </w:pPr>
          <w:hyperlink w:anchor="_Toc195603793" w:history="1">
            <w:r w:rsidRPr="00822015">
              <w:rPr>
                <w:rStyle w:val="Hyperlink"/>
                <w:noProof/>
              </w:rPr>
              <w:t>2010-2020: Protecting Children in the Digital Age and Addressing Emerging Psychosocial Issues</w:t>
            </w:r>
            <w:r>
              <w:rPr>
                <w:noProof/>
                <w:webHidden/>
              </w:rPr>
              <w:tab/>
            </w:r>
            <w:r>
              <w:rPr>
                <w:noProof/>
                <w:webHidden/>
              </w:rPr>
              <w:fldChar w:fldCharType="begin"/>
            </w:r>
            <w:r>
              <w:rPr>
                <w:noProof/>
                <w:webHidden/>
              </w:rPr>
              <w:instrText xml:space="preserve"> PAGEREF _Toc195603793 \h </w:instrText>
            </w:r>
            <w:r>
              <w:rPr>
                <w:noProof/>
                <w:webHidden/>
              </w:rPr>
            </w:r>
            <w:r>
              <w:rPr>
                <w:noProof/>
                <w:webHidden/>
              </w:rPr>
              <w:fldChar w:fldCharType="separate"/>
            </w:r>
            <w:r>
              <w:rPr>
                <w:noProof/>
                <w:webHidden/>
              </w:rPr>
              <w:t>13</w:t>
            </w:r>
            <w:r>
              <w:rPr>
                <w:noProof/>
                <w:webHidden/>
              </w:rPr>
              <w:fldChar w:fldCharType="end"/>
            </w:r>
          </w:hyperlink>
        </w:p>
        <w:p w14:paraId="4B8F3AD7" w14:textId="198B9CCC" w:rsidR="00331A48" w:rsidRDefault="00331A48">
          <w:pPr>
            <w:pStyle w:val="TOC2"/>
            <w:tabs>
              <w:tab w:val="right" w:leader="dot" w:pos="9016"/>
            </w:tabs>
            <w:rPr>
              <w:rFonts w:asciiTheme="minorHAnsi" w:eastAsiaTheme="minorEastAsia" w:hAnsiTheme="minorHAnsi"/>
              <w:noProof/>
              <w:lang w:eastAsia="en-GB"/>
            </w:rPr>
          </w:pPr>
          <w:hyperlink w:anchor="_Toc195603794" w:history="1">
            <w:r w:rsidRPr="00822015">
              <w:rPr>
                <w:rStyle w:val="Hyperlink"/>
                <w:noProof/>
              </w:rPr>
              <w:t>2020-Present: The Challenges of the COVID-19 Pandemic and Its Impact on Children's Rights</w:t>
            </w:r>
            <w:r>
              <w:rPr>
                <w:noProof/>
                <w:webHidden/>
              </w:rPr>
              <w:tab/>
            </w:r>
            <w:r>
              <w:rPr>
                <w:noProof/>
                <w:webHidden/>
              </w:rPr>
              <w:fldChar w:fldCharType="begin"/>
            </w:r>
            <w:r>
              <w:rPr>
                <w:noProof/>
                <w:webHidden/>
              </w:rPr>
              <w:instrText xml:space="preserve"> PAGEREF _Toc195603794 \h </w:instrText>
            </w:r>
            <w:r>
              <w:rPr>
                <w:noProof/>
                <w:webHidden/>
              </w:rPr>
            </w:r>
            <w:r>
              <w:rPr>
                <w:noProof/>
                <w:webHidden/>
              </w:rPr>
              <w:fldChar w:fldCharType="separate"/>
            </w:r>
            <w:r>
              <w:rPr>
                <w:noProof/>
                <w:webHidden/>
              </w:rPr>
              <w:t>14</w:t>
            </w:r>
            <w:r>
              <w:rPr>
                <w:noProof/>
                <w:webHidden/>
              </w:rPr>
              <w:fldChar w:fldCharType="end"/>
            </w:r>
          </w:hyperlink>
        </w:p>
        <w:p w14:paraId="50D1175B" w14:textId="4C372819" w:rsidR="00331A48" w:rsidRDefault="00331A48">
          <w:pPr>
            <w:pStyle w:val="TOC2"/>
            <w:tabs>
              <w:tab w:val="right" w:leader="dot" w:pos="9016"/>
            </w:tabs>
            <w:rPr>
              <w:rFonts w:asciiTheme="minorHAnsi" w:eastAsiaTheme="minorEastAsia" w:hAnsiTheme="minorHAnsi"/>
              <w:noProof/>
              <w:lang w:eastAsia="en-GB"/>
            </w:rPr>
          </w:pPr>
          <w:hyperlink w:anchor="_Toc195603795" w:history="1">
            <w:r w:rsidRPr="00822015">
              <w:rPr>
                <w:rStyle w:val="Hyperlink"/>
                <w:noProof/>
              </w:rPr>
              <w:t>Conclusion</w:t>
            </w:r>
            <w:r>
              <w:rPr>
                <w:noProof/>
                <w:webHidden/>
              </w:rPr>
              <w:tab/>
            </w:r>
            <w:r>
              <w:rPr>
                <w:noProof/>
                <w:webHidden/>
              </w:rPr>
              <w:fldChar w:fldCharType="begin"/>
            </w:r>
            <w:r>
              <w:rPr>
                <w:noProof/>
                <w:webHidden/>
              </w:rPr>
              <w:instrText xml:space="preserve"> PAGEREF _Toc195603795 \h </w:instrText>
            </w:r>
            <w:r>
              <w:rPr>
                <w:noProof/>
                <w:webHidden/>
              </w:rPr>
            </w:r>
            <w:r>
              <w:rPr>
                <w:noProof/>
                <w:webHidden/>
              </w:rPr>
              <w:fldChar w:fldCharType="separate"/>
            </w:r>
            <w:r>
              <w:rPr>
                <w:noProof/>
                <w:webHidden/>
              </w:rPr>
              <w:t>14</w:t>
            </w:r>
            <w:r>
              <w:rPr>
                <w:noProof/>
                <w:webHidden/>
              </w:rPr>
              <w:fldChar w:fldCharType="end"/>
            </w:r>
          </w:hyperlink>
        </w:p>
        <w:p w14:paraId="0079E251" w14:textId="0CED7F37" w:rsidR="00331A48" w:rsidRDefault="00331A48">
          <w:pPr>
            <w:pStyle w:val="TOC1"/>
            <w:tabs>
              <w:tab w:val="right" w:leader="dot" w:pos="9016"/>
            </w:tabs>
            <w:rPr>
              <w:rFonts w:asciiTheme="minorHAnsi" w:eastAsiaTheme="minorEastAsia" w:hAnsiTheme="minorHAnsi"/>
              <w:noProof/>
              <w:lang w:eastAsia="en-GB"/>
            </w:rPr>
          </w:pPr>
          <w:hyperlink w:anchor="_Toc195603796" w:history="1">
            <w:r w:rsidRPr="00822015">
              <w:rPr>
                <w:rStyle w:val="Hyperlink"/>
                <w:noProof/>
              </w:rPr>
              <w:t>References</w:t>
            </w:r>
            <w:r>
              <w:rPr>
                <w:noProof/>
                <w:webHidden/>
              </w:rPr>
              <w:tab/>
            </w:r>
            <w:r>
              <w:rPr>
                <w:noProof/>
                <w:webHidden/>
              </w:rPr>
              <w:fldChar w:fldCharType="begin"/>
            </w:r>
            <w:r>
              <w:rPr>
                <w:noProof/>
                <w:webHidden/>
              </w:rPr>
              <w:instrText xml:space="preserve"> PAGEREF _Toc195603796 \h </w:instrText>
            </w:r>
            <w:r>
              <w:rPr>
                <w:noProof/>
                <w:webHidden/>
              </w:rPr>
            </w:r>
            <w:r>
              <w:rPr>
                <w:noProof/>
                <w:webHidden/>
              </w:rPr>
              <w:fldChar w:fldCharType="separate"/>
            </w:r>
            <w:r>
              <w:rPr>
                <w:noProof/>
                <w:webHidden/>
              </w:rPr>
              <w:t>15</w:t>
            </w:r>
            <w:r>
              <w:rPr>
                <w:noProof/>
                <w:webHidden/>
              </w:rPr>
              <w:fldChar w:fldCharType="end"/>
            </w:r>
          </w:hyperlink>
        </w:p>
        <w:p w14:paraId="7B7A86C3" w14:textId="5EEBF240" w:rsidR="007F7279" w:rsidRDefault="007F7279">
          <w:r>
            <w:rPr>
              <w:b/>
              <w:bCs/>
              <w:noProof/>
            </w:rPr>
            <w:fldChar w:fldCharType="end"/>
          </w:r>
        </w:p>
      </w:sdtContent>
    </w:sdt>
    <w:p w14:paraId="6200BD3B" w14:textId="77777777" w:rsidR="007F7279" w:rsidRDefault="007F7279" w:rsidP="007F7279">
      <w:pPr>
        <w:jc w:val="center"/>
        <w:rPr>
          <w:sz w:val="32"/>
          <w:szCs w:val="32"/>
        </w:rPr>
      </w:pPr>
    </w:p>
    <w:p w14:paraId="540A5D78" w14:textId="77777777" w:rsidR="00FE09FC" w:rsidRPr="00A35E5E" w:rsidRDefault="00FE09FC" w:rsidP="00433F5A">
      <w:pPr>
        <w:pStyle w:val="Heading1"/>
      </w:pPr>
      <w:bookmarkStart w:id="0" w:name="_Toc195603777"/>
      <w:r w:rsidRPr="00A35E5E">
        <w:lastRenderedPageBreak/>
        <w:t>Critical Analysis of the Child and Adolescent Mental Health Service (CAMHS) Video</w:t>
      </w:r>
      <w:bookmarkEnd w:id="0"/>
    </w:p>
    <w:p w14:paraId="2CB0A1A8" w14:textId="77777777" w:rsidR="00FE09FC" w:rsidRPr="00A35E5E" w:rsidRDefault="00FE09FC" w:rsidP="00433F5A">
      <w:pPr>
        <w:pStyle w:val="Heading1"/>
      </w:pPr>
      <w:bookmarkStart w:id="1" w:name="_Toc195603778"/>
      <w:r w:rsidRPr="00A35E5E">
        <w:t>Introduction</w:t>
      </w:r>
      <w:bookmarkEnd w:id="1"/>
    </w:p>
    <w:p w14:paraId="0F367470" w14:textId="77777777" w:rsidR="00FE09FC" w:rsidRPr="00A35E5E" w:rsidRDefault="00FE09FC" w:rsidP="00FE09FC">
      <w:pPr>
        <w:spacing w:line="278" w:lineRule="auto"/>
      </w:pPr>
      <w:r w:rsidRPr="00C16211">
        <w:t>Child and Adolescent Mental Health Services (CAMHS) play a critical role in supporting the mental and emotional wellbeing of children and young people who face a range of psychological challenges. These services offer essential support to children, adolescents, and their families, helping them navigate and overcome emotional difficulties, behavioural issues, and mental health conditions. The video under analysis provides an in-depth look at how CAMHS operates, from the initial referral to the eventual discharge process, highlighting the stages of care, the multidisciplinary team involved, and the various therapeutic approaches utilised. CAMHS not only focuses on direct clinical interventions but also places significant emphasis on family involvement, patient choice, and the importance of psychoeducation for young people. Through this critique, we aim to critically evaluate the strengths and weaknesses of the service model presented, explore how the approach impacts children’s health and wellbeing, and assess the implications of the referral and discharge processes. Furthermore, we will consider how CAMHS’s integrated approach to mental health treatment influences the long-term outcomes for young people and families, while acknowledging the challenges faced by both service users and providers.</w:t>
      </w:r>
      <w:r>
        <w:br/>
      </w:r>
    </w:p>
    <w:p w14:paraId="371DAE53" w14:textId="77777777" w:rsidR="00FE09FC" w:rsidRPr="00A35E5E" w:rsidRDefault="00FE09FC" w:rsidP="00433F5A">
      <w:pPr>
        <w:pStyle w:val="Heading1"/>
      </w:pPr>
      <w:bookmarkStart w:id="2" w:name="_Toc195603779"/>
      <w:r w:rsidRPr="00A35E5E">
        <w:t>Overview of CAMHS Services as Depicted in the Video</w:t>
      </w:r>
      <w:bookmarkEnd w:id="2"/>
    </w:p>
    <w:p w14:paraId="08B5847E" w14:textId="77777777" w:rsidR="00FE09FC" w:rsidRPr="00A35E5E" w:rsidRDefault="00FE09FC" w:rsidP="00FE09FC">
      <w:pPr>
        <w:spacing w:line="278" w:lineRule="auto"/>
      </w:pPr>
      <w:r w:rsidRPr="00A35E5E">
        <w:t>The video outlines the essential stages of CAMHS intervention:</w:t>
      </w:r>
    </w:p>
    <w:p w14:paraId="36A87D30" w14:textId="77777777" w:rsidR="00FE09FC" w:rsidRPr="00A35E5E" w:rsidRDefault="00FE09FC" w:rsidP="00FE09FC">
      <w:pPr>
        <w:numPr>
          <w:ilvl w:val="0"/>
          <w:numId w:val="1"/>
        </w:numPr>
        <w:spacing w:line="278" w:lineRule="auto"/>
      </w:pPr>
      <w:r w:rsidRPr="00FE09FC">
        <w:rPr>
          <w:b/>
          <w:bCs/>
        </w:rPr>
        <w:t>Referral Process</w:t>
      </w:r>
      <w:r w:rsidRPr="00A35E5E">
        <w:t>: Typically initiated by a GP or school, ensuring that young individuals are directed to appropriate mental health services.</w:t>
      </w:r>
    </w:p>
    <w:p w14:paraId="78D762BD" w14:textId="77777777" w:rsidR="00FE09FC" w:rsidRPr="00A35E5E" w:rsidRDefault="00FE09FC" w:rsidP="00FE09FC">
      <w:pPr>
        <w:numPr>
          <w:ilvl w:val="0"/>
          <w:numId w:val="1"/>
        </w:numPr>
        <w:spacing w:line="278" w:lineRule="auto"/>
      </w:pPr>
      <w:r w:rsidRPr="00A35E5E">
        <w:rPr>
          <w:b/>
          <w:bCs/>
        </w:rPr>
        <w:t>Telephone Triage</w:t>
      </w:r>
      <w:r w:rsidRPr="00A35E5E">
        <w:t>: A conversation with parents to assess the child’s needs and determine the most suitable mode of assessment (clinic, home visit, or video call).</w:t>
      </w:r>
    </w:p>
    <w:p w14:paraId="79F3F7B9" w14:textId="77777777" w:rsidR="00FE09FC" w:rsidRPr="00A35E5E" w:rsidRDefault="00FE09FC" w:rsidP="00FE09FC">
      <w:pPr>
        <w:numPr>
          <w:ilvl w:val="0"/>
          <w:numId w:val="1"/>
        </w:numPr>
        <w:spacing w:line="278" w:lineRule="auto"/>
      </w:pPr>
      <w:r w:rsidRPr="00A35E5E">
        <w:rPr>
          <w:b/>
          <w:bCs/>
        </w:rPr>
        <w:t>Pre-Assessment Questionnaires</w:t>
      </w:r>
      <w:r w:rsidRPr="00A35E5E">
        <w:t>: These help gather preliminary information to better understand the child’s difficulties.</w:t>
      </w:r>
    </w:p>
    <w:p w14:paraId="1F737935" w14:textId="77777777" w:rsidR="00FE09FC" w:rsidRPr="00A35E5E" w:rsidRDefault="00FE09FC" w:rsidP="00FE09FC">
      <w:pPr>
        <w:numPr>
          <w:ilvl w:val="0"/>
          <w:numId w:val="1"/>
        </w:numPr>
        <w:spacing w:line="278" w:lineRule="auto"/>
      </w:pPr>
      <w:r w:rsidRPr="00A35E5E">
        <w:rPr>
          <w:b/>
          <w:bCs/>
        </w:rPr>
        <w:t>Assessment Session</w:t>
      </w:r>
      <w:r w:rsidRPr="00A35E5E">
        <w:t>: A discussion with the young person and their family to explore the presenting issues.</w:t>
      </w:r>
    </w:p>
    <w:p w14:paraId="2BFDA99E" w14:textId="77777777" w:rsidR="00FE09FC" w:rsidRPr="00A35E5E" w:rsidRDefault="00FE09FC" w:rsidP="00FE09FC">
      <w:pPr>
        <w:numPr>
          <w:ilvl w:val="0"/>
          <w:numId w:val="1"/>
        </w:numPr>
        <w:spacing w:line="278" w:lineRule="auto"/>
      </w:pPr>
      <w:r w:rsidRPr="00A35E5E">
        <w:rPr>
          <w:b/>
          <w:bCs/>
        </w:rPr>
        <w:t>Multidisciplinary Team Involvement</w:t>
      </w:r>
      <w:r w:rsidRPr="00A35E5E">
        <w:t>: Various professionals (e.g., psychotherapists, occupational therapists, art therapists) collaborate to plan and deliver tailored interventions.</w:t>
      </w:r>
    </w:p>
    <w:p w14:paraId="3D60D130" w14:textId="77777777" w:rsidR="00FE09FC" w:rsidRPr="00A35E5E" w:rsidRDefault="00FE09FC" w:rsidP="00FE09FC">
      <w:pPr>
        <w:numPr>
          <w:ilvl w:val="0"/>
          <w:numId w:val="1"/>
        </w:numPr>
        <w:spacing w:line="278" w:lineRule="auto"/>
      </w:pPr>
      <w:r w:rsidRPr="00A35E5E">
        <w:rPr>
          <w:b/>
          <w:bCs/>
        </w:rPr>
        <w:lastRenderedPageBreak/>
        <w:t>Intervention Strategies</w:t>
      </w:r>
      <w:r w:rsidRPr="00A35E5E">
        <w:t>: Includes psychoeducation, goal setting, and therapeutic options (such as play therapy and art therapy).</w:t>
      </w:r>
    </w:p>
    <w:p w14:paraId="46460085" w14:textId="77777777" w:rsidR="00FE09FC" w:rsidRPr="00A35E5E" w:rsidRDefault="00FE09FC" w:rsidP="00FE09FC">
      <w:pPr>
        <w:numPr>
          <w:ilvl w:val="0"/>
          <w:numId w:val="1"/>
        </w:numPr>
        <w:spacing w:line="278" w:lineRule="auto"/>
      </w:pPr>
      <w:r w:rsidRPr="00A35E5E">
        <w:rPr>
          <w:b/>
          <w:bCs/>
        </w:rPr>
        <w:t>Discharge Planning</w:t>
      </w:r>
      <w:r w:rsidRPr="00A35E5E">
        <w:t>: The service emphasizes a planned exit from therapy, with adequate signposting to other services if necessary.</w:t>
      </w:r>
    </w:p>
    <w:p w14:paraId="068EBF3E" w14:textId="77777777" w:rsidR="00FE09FC" w:rsidRPr="00A35E5E" w:rsidRDefault="00FE09FC" w:rsidP="00FE09FC">
      <w:pPr>
        <w:spacing w:line="278" w:lineRule="auto"/>
      </w:pPr>
    </w:p>
    <w:p w14:paraId="2D4B6798" w14:textId="77777777" w:rsidR="00FE09FC" w:rsidRPr="00A35E5E" w:rsidRDefault="00FE09FC" w:rsidP="00433F5A">
      <w:pPr>
        <w:pStyle w:val="Heading1"/>
      </w:pPr>
      <w:bookmarkStart w:id="3" w:name="_Toc195603780"/>
      <w:r w:rsidRPr="00A35E5E">
        <w:t>Strengths of the CAMHS Approach Highlighted in the Video</w:t>
      </w:r>
      <w:bookmarkEnd w:id="3"/>
    </w:p>
    <w:p w14:paraId="40D2034B" w14:textId="77777777" w:rsidR="00FE09FC" w:rsidRPr="00A35E5E" w:rsidRDefault="00FE09FC" w:rsidP="00FE09FC">
      <w:pPr>
        <w:numPr>
          <w:ilvl w:val="0"/>
          <w:numId w:val="2"/>
        </w:numPr>
        <w:spacing w:line="278" w:lineRule="auto"/>
      </w:pPr>
      <w:r w:rsidRPr="00A35E5E">
        <w:rPr>
          <w:b/>
          <w:bCs/>
        </w:rPr>
        <w:t>Child-</w:t>
      </w:r>
      <w:proofErr w:type="spellStart"/>
      <w:r w:rsidRPr="00A35E5E">
        <w:rPr>
          <w:b/>
          <w:bCs/>
        </w:rPr>
        <w:t>Centered</w:t>
      </w:r>
      <w:proofErr w:type="spellEnd"/>
      <w:r w:rsidRPr="00A35E5E">
        <w:rPr>
          <w:b/>
          <w:bCs/>
        </w:rPr>
        <w:t xml:space="preserve"> and Flexible Service Delivery</w:t>
      </w:r>
    </w:p>
    <w:p w14:paraId="53D51C40" w14:textId="77777777" w:rsidR="00FE09FC" w:rsidRPr="00A35E5E" w:rsidRDefault="00FE09FC" w:rsidP="00FE09FC">
      <w:pPr>
        <w:spacing w:line="278" w:lineRule="auto"/>
      </w:pPr>
      <w:r w:rsidRPr="00A35E5E">
        <w:t>CAMHS’s flexibility in offering assessments in different settings, such as at home, online, or at the clinic, ensures that young people and their families are comfortable with the process. This flexibility increases the likelihood of engagement, making the therapeutic process more accessible (Smith, 2023).</w:t>
      </w:r>
    </w:p>
    <w:p w14:paraId="31A9B272" w14:textId="77777777" w:rsidR="00FE09FC" w:rsidRPr="00A35E5E" w:rsidRDefault="00FE09FC" w:rsidP="00FE09FC">
      <w:pPr>
        <w:numPr>
          <w:ilvl w:val="0"/>
          <w:numId w:val="2"/>
        </w:numPr>
        <w:spacing w:line="278" w:lineRule="auto"/>
      </w:pPr>
      <w:r w:rsidRPr="00A35E5E">
        <w:rPr>
          <w:b/>
          <w:bCs/>
        </w:rPr>
        <w:t>Emphasis on Psychoeducation and Goal Setting</w:t>
      </w:r>
    </w:p>
    <w:p w14:paraId="562F882B" w14:textId="77777777" w:rsidR="00FE09FC" w:rsidRPr="00A35E5E" w:rsidRDefault="00FE09FC" w:rsidP="00FE09FC">
      <w:pPr>
        <w:spacing w:line="278" w:lineRule="auto"/>
      </w:pPr>
      <w:r w:rsidRPr="00A35E5E">
        <w:t>By focusing on psychoeducation, CAMHS empowers young individuals to understand their mental health conditions and develop coping strategies. Goal setting helps children feel a sense of control over their progress, which can significantly improve their psychological wellbeing (Jones et al., 2021).</w:t>
      </w:r>
    </w:p>
    <w:p w14:paraId="7887C1C5" w14:textId="77777777" w:rsidR="00FE09FC" w:rsidRPr="00A35E5E" w:rsidRDefault="00FE09FC" w:rsidP="00FE09FC">
      <w:pPr>
        <w:numPr>
          <w:ilvl w:val="0"/>
          <w:numId w:val="2"/>
        </w:numPr>
        <w:spacing w:line="278" w:lineRule="auto"/>
      </w:pPr>
      <w:r w:rsidRPr="00A35E5E">
        <w:rPr>
          <w:b/>
          <w:bCs/>
        </w:rPr>
        <w:t>Diverse Therapeutic Modalities</w:t>
      </w:r>
    </w:p>
    <w:p w14:paraId="0B218ED7" w14:textId="77777777" w:rsidR="00FE09FC" w:rsidRPr="00A35E5E" w:rsidRDefault="00FE09FC" w:rsidP="00FE09FC">
      <w:pPr>
        <w:spacing w:line="278" w:lineRule="auto"/>
      </w:pPr>
      <w:r w:rsidRPr="00A35E5E">
        <w:t>Offering a variety of therapeutic approaches, such as play therapy and art therapy, allows CAMHS to tailor interventions to the unique needs and preferences of each child. This approach is particularly beneficial for young people who may struggle to express themselves verbally (Thompson &amp; Harris, 2022).</w:t>
      </w:r>
    </w:p>
    <w:p w14:paraId="217193B7" w14:textId="77777777" w:rsidR="00FE09FC" w:rsidRPr="00A35E5E" w:rsidRDefault="00FE09FC" w:rsidP="00FE09FC">
      <w:pPr>
        <w:numPr>
          <w:ilvl w:val="0"/>
          <w:numId w:val="2"/>
        </w:numPr>
        <w:spacing w:line="278" w:lineRule="auto"/>
      </w:pPr>
      <w:r w:rsidRPr="00A35E5E">
        <w:rPr>
          <w:b/>
          <w:bCs/>
        </w:rPr>
        <w:t>Family Involvement</w:t>
      </w:r>
    </w:p>
    <w:p w14:paraId="1D3CA382" w14:textId="77777777" w:rsidR="00FE09FC" w:rsidRPr="00A35E5E" w:rsidRDefault="00FE09FC" w:rsidP="00FE09FC">
      <w:pPr>
        <w:spacing w:line="278" w:lineRule="auto"/>
      </w:pPr>
      <w:r w:rsidRPr="00A35E5E">
        <w:t>The active involvement of family members in the therapeutic process is a significant strength. Supporting families alongside the young person creates a collaborative environment, fostering stronger outcomes in terms of long-term mental health (Brown &amp; Williams, 2020).</w:t>
      </w:r>
    </w:p>
    <w:p w14:paraId="3A596567" w14:textId="77777777" w:rsidR="00FE09FC" w:rsidRPr="00A35E5E" w:rsidRDefault="00FE09FC" w:rsidP="00FE09FC">
      <w:pPr>
        <w:numPr>
          <w:ilvl w:val="0"/>
          <w:numId w:val="2"/>
        </w:numPr>
        <w:spacing w:line="278" w:lineRule="auto"/>
      </w:pPr>
      <w:r w:rsidRPr="00A35E5E">
        <w:rPr>
          <w:b/>
          <w:bCs/>
        </w:rPr>
        <w:t>Structured Discharge Planning</w:t>
      </w:r>
    </w:p>
    <w:p w14:paraId="1293FC95" w14:textId="77777777" w:rsidR="00FE09FC" w:rsidRPr="00A35E5E" w:rsidRDefault="00FE09FC" w:rsidP="00FE09FC">
      <w:pPr>
        <w:spacing w:line="278" w:lineRule="auto"/>
      </w:pPr>
      <w:r w:rsidRPr="00A35E5E">
        <w:t>The careful planning of discharge, with ample time to prepare both the young person and their family, helps ensure a smooth transition. The emphasis on post-therapy resources, such as signposting, ensures that children continue to have access to support even after leaving CAMHS (Taylor, 2022).</w:t>
      </w:r>
    </w:p>
    <w:p w14:paraId="524DA3A3" w14:textId="77777777" w:rsidR="00FE09FC" w:rsidRPr="00A35E5E" w:rsidRDefault="00FE09FC" w:rsidP="00FE09FC">
      <w:pPr>
        <w:spacing w:line="278" w:lineRule="auto"/>
      </w:pPr>
    </w:p>
    <w:p w14:paraId="078B974F" w14:textId="77777777" w:rsidR="00FE09FC" w:rsidRPr="00A35E5E" w:rsidRDefault="00FE09FC" w:rsidP="00433F5A">
      <w:pPr>
        <w:pStyle w:val="Heading1"/>
      </w:pPr>
      <w:bookmarkStart w:id="4" w:name="_Toc195603781"/>
      <w:r w:rsidRPr="00A35E5E">
        <w:t>Weaknesses and Challenges Identified</w:t>
      </w:r>
      <w:bookmarkEnd w:id="4"/>
    </w:p>
    <w:p w14:paraId="1138652E" w14:textId="77777777" w:rsidR="00FE09FC" w:rsidRPr="00A35E5E" w:rsidRDefault="00FE09FC" w:rsidP="00FE09FC">
      <w:pPr>
        <w:numPr>
          <w:ilvl w:val="0"/>
          <w:numId w:val="3"/>
        </w:numPr>
        <w:spacing w:line="278" w:lineRule="auto"/>
      </w:pPr>
      <w:r w:rsidRPr="00A35E5E">
        <w:rPr>
          <w:b/>
          <w:bCs/>
        </w:rPr>
        <w:t>Accessibility and Waiting Times</w:t>
      </w:r>
    </w:p>
    <w:p w14:paraId="3B8E4105" w14:textId="77777777" w:rsidR="00FE09FC" w:rsidRPr="00A35E5E" w:rsidRDefault="00FE09FC" w:rsidP="00FE09FC">
      <w:pPr>
        <w:spacing w:line="278" w:lineRule="auto"/>
      </w:pPr>
      <w:r w:rsidRPr="00A35E5E">
        <w:lastRenderedPageBreak/>
        <w:t>One of the primary criticisms of CAMHS is the long waiting times for treatment. Recent reports suggest that some children face delays of up to two years before receiving appropriate care, which can exacerbate their mental health issues and potentially lead to self-harm or suicidal ideation (Campbell, 2024). This issue highlights the need for increased funding and capacity within CAMHS.</w:t>
      </w:r>
    </w:p>
    <w:p w14:paraId="5B613634" w14:textId="77777777" w:rsidR="00FE09FC" w:rsidRPr="00A35E5E" w:rsidRDefault="00FE09FC" w:rsidP="00FE09FC">
      <w:pPr>
        <w:numPr>
          <w:ilvl w:val="0"/>
          <w:numId w:val="3"/>
        </w:numPr>
        <w:spacing w:line="278" w:lineRule="auto"/>
      </w:pPr>
      <w:r w:rsidRPr="00A35E5E">
        <w:rPr>
          <w:b/>
          <w:bCs/>
        </w:rPr>
        <w:t>Resource Limitations and Service Capacity</w:t>
      </w:r>
    </w:p>
    <w:p w14:paraId="3B695D7B" w14:textId="3B6709FF" w:rsidR="00FE09FC" w:rsidRPr="00A35E5E" w:rsidRDefault="00FE09FC" w:rsidP="00FE09FC">
      <w:pPr>
        <w:spacing w:line="278" w:lineRule="auto"/>
      </w:pPr>
      <w:r w:rsidRPr="00A35E5E">
        <w:t>CAMHS services are often overwhelmed, and as a result, some children in urgent need of care may be placed on long waiting lists or even denied immediate support. A lack of resources contributes to these issues, and some families report experiencing delays in accessing the help their child needs (</w:t>
      </w:r>
      <w:r w:rsidR="00E04ADA">
        <w:t xml:space="preserve">CCE, </w:t>
      </w:r>
      <w:r w:rsidR="00E04ADA" w:rsidRPr="00C26BD4">
        <w:t>2024)</w:t>
      </w:r>
      <w:r w:rsidRPr="00A35E5E">
        <w:t>.</w:t>
      </w:r>
    </w:p>
    <w:p w14:paraId="5434036F" w14:textId="77777777" w:rsidR="00FE09FC" w:rsidRPr="00A35E5E" w:rsidRDefault="00FE09FC" w:rsidP="00FE09FC">
      <w:pPr>
        <w:numPr>
          <w:ilvl w:val="0"/>
          <w:numId w:val="3"/>
        </w:numPr>
        <w:spacing w:line="278" w:lineRule="auto"/>
      </w:pPr>
      <w:r w:rsidRPr="00A35E5E">
        <w:rPr>
          <w:b/>
          <w:bCs/>
        </w:rPr>
        <w:t>Variability in Service Quality</w:t>
      </w:r>
    </w:p>
    <w:p w14:paraId="6A74ABAA" w14:textId="77777777" w:rsidR="00FE09FC" w:rsidRPr="00A35E5E" w:rsidRDefault="00FE09FC" w:rsidP="00FE09FC">
      <w:pPr>
        <w:spacing w:line="278" w:lineRule="auto"/>
      </w:pPr>
      <w:r w:rsidRPr="00A35E5E">
        <w:t>The quality of CAMHS services can vary significantly between regions and individual teams. While some services provide high-quality, comprehensive care, others have been found lacking, with administrative errors and inconsistent record-keeping contributing to subpar outcomes for children (Smith &amp; Green, 2023).</w:t>
      </w:r>
    </w:p>
    <w:p w14:paraId="18EA79A5" w14:textId="77777777" w:rsidR="00FE09FC" w:rsidRPr="00A35E5E" w:rsidRDefault="00FE09FC" w:rsidP="00FE09FC">
      <w:pPr>
        <w:numPr>
          <w:ilvl w:val="0"/>
          <w:numId w:val="3"/>
        </w:numPr>
        <w:spacing w:line="278" w:lineRule="auto"/>
      </w:pPr>
      <w:r w:rsidRPr="00A35E5E">
        <w:rPr>
          <w:b/>
          <w:bCs/>
        </w:rPr>
        <w:t>Post-Discharge Support</w:t>
      </w:r>
    </w:p>
    <w:p w14:paraId="76495D18" w14:textId="77777777" w:rsidR="00FE09FC" w:rsidRPr="00A35E5E" w:rsidRDefault="00FE09FC" w:rsidP="00FE09FC">
      <w:pPr>
        <w:spacing w:line="278" w:lineRule="auto"/>
      </w:pPr>
      <w:r w:rsidRPr="00A35E5E">
        <w:t>While the video emphasizes discharge planning, there is often insufficient post-discharge support in place. Without adequate follow-up, children may struggle to maintain progress, and the risk of relapse increases (Williams &amp; Brown, 2023).</w:t>
      </w:r>
    </w:p>
    <w:p w14:paraId="77855DB9" w14:textId="77777777" w:rsidR="00FE09FC" w:rsidRPr="00A35E5E" w:rsidRDefault="00FE09FC" w:rsidP="00FE09FC">
      <w:pPr>
        <w:numPr>
          <w:ilvl w:val="0"/>
          <w:numId w:val="3"/>
        </w:numPr>
        <w:spacing w:line="278" w:lineRule="auto"/>
      </w:pPr>
      <w:r w:rsidRPr="00A35E5E">
        <w:rPr>
          <w:b/>
          <w:bCs/>
        </w:rPr>
        <w:t>Cultural Competence</w:t>
      </w:r>
    </w:p>
    <w:p w14:paraId="526973B9" w14:textId="77777777" w:rsidR="00FE09FC" w:rsidRPr="00A35E5E" w:rsidRDefault="00FE09FC" w:rsidP="00FE09FC">
      <w:pPr>
        <w:spacing w:line="278" w:lineRule="auto"/>
      </w:pPr>
      <w:r w:rsidRPr="00A35E5E">
        <w:t>The video does not address how CAMHS accommodates the cultural and ethnic diversity of its service users. Cultural competence is crucial to ensuring that mental health services are accessible and effective for all children, and the lack of a tailored approach can contribute to disparities in care (Taylor, 2022).</w:t>
      </w:r>
    </w:p>
    <w:p w14:paraId="3289613E" w14:textId="77777777" w:rsidR="00FE09FC" w:rsidRPr="00A35E5E" w:rsidRDefault="00FE09FC" w:rsidP="00FE09FC">
      <w:pPr>
        <w:spacing w:line="278" w:lineRule="auto"/>
      </w:pPr>
    </w:p>
    <w:p w14:paraId="5B64439D" w14:textId="77777777" w:rsidR="00FE09FC" w:rsidRPr="00A35E5E" w:rsidRDefault="00FE09FC" w:rsidP="00433F5A">
      <w:pPr>
        <w:pStyle w:val="Heading1"/>
      </w:pPr>
      <w:bookmarkStart w:id="5" w:name="_Toc195603782"/>
      <w:r w:rsidRPr="00A35E5E">
        <w:t>Implications for Children's Health and Wellbeing</w:t>
      </w:r>
      <w:bookmarkEnd w:id="5"/>
    </w:p>
    <w:p w14:paraId="3082D1CD" w14:textId="77777777" w:rsidR="00FE09FC" w:rsidRPr="00C16211" w:rsidRDefault="00FE09FC" w:rsidP="00FE09FC">
      <w:pPr>
        <w:spacing w:line="278" w:lineRule="auto"/>
      </w:pPr>
      <w:r w:rsidRPr="00C16211">
        <w:t>CAMHS offers several positive aspects, such as its flexible, multidisciplinary approach and focus on psychoeducation, which significantly benefit children’s mental health. By educating children about their conditions, such as anxiety or depression, CAMHS helps them understand their feelings and equips them with strategies to cope (Jones et al., 2021). Furthermore, the involvement of multiple professionals ensures that interventions are tailored to each child's needs, promoting a more comprehensive approach to care (Thompson &amp; Harris, 2022).</w:t>
      </w:r>
    </w:p>
    <w:p w14:paraId="25B7714D" w14:textId="77777777" w:rsidR="00FE09FC" w:rsidRPr="00C16211" w:rsidRDefault="00FE09FC" w:rsidP="00FE09FC">
      <w:pPr>
        <w:spacing w:line="278" w:lineRule="auto"/>
      </w:pPr>
    </w:p>
    <w:p w14:paraId="098269EC" w14:textId="77777777" w:rsidR="00FE09FC" w:rsidRPr="00C16211" w:rsidRDefault="00FE09FC" w:rsidP="00FE09FC">
      <w:pPr>
        <w:spacing w:line="278" w:lineRule="auto"/>
      </w:pPr>
      <w:r w:rsidRPr="00C16211">
        <w:t xml:space="preserve">However, there are challenges, particularly regarding accessibility and waiting times. Delays in receiving care can worsen mental health issues, increasing the risk of </w:t>
      </w:r>
      <w:r w:rsidRPr="00C16211">
        <w:lastRenderedPageBreak/>
        <w:t>social withdrawal and academic difficulties (Campbell, 2024). Studies have shown that waiting for treatment can lead to heightened feelings of anxiety and despair, especially for children who already face significant emotional struggles (Smith, 2023). Resource limitations can exacerbate these issues, as insufficient staffing and funding may reduce the quality of care and hinder the availability of follow-up support (Williams &amp; Brown, 2023).</w:t>
      </w:r>
    </w:p>
    <w:p w14:paraId="6B263921" w14:textId="77777777" w:rsidR="00FE09FC" w:rsidRPr="00C16211" w:rsidRDefault="00FE09FC" w:rsidP="00FE09FC">
      <w:pPr>
        <w:spacing w:line="278" w:lineRule="auto"/>
      </w:pPr>
    </w:p>
    <w:p w14:paraId="346AA23F" w14:textId="77777777" w:rsidR="00FE09FC" w:rsidRPr="00A35E5E" w:rsidRDefault="00FE09FC" w:rsidP="00FE09FC">
      <w:pPr>
        <w:spacing w:line="278" w:lineRule="auto"/>
      </w:pPr>
      <w:r w:rsidRPr="00C16211">
        <w:t>Therefore, while CAMHS plays a crucial role in supporting young people, barriers to timely access to care can have long-term negative effects on children's emotional wellbeing. Addressing these challenges is essential for ensuring that every child receives the support they need at the right time (Taylor, 2022).</w:t>
      </w:r>
    </w:p>
    <w:p w14:paraId="79DF1D14" w14:textId="77777777" w:rsidR="00FE09FC" w:rsidRPr="00A35E5E" w:rsidRDefault="00FE09FC" w:rsidP="00433F5A">
      <w:pPr>
        <w:pStyle w:val="Heading1"/>
      </w:pPr>
      <w:bookmarkStart w:id="6" w:name="_Toc195603783"/>
      <w:r w:rsidRPr="00A35E5E">
        <w:t>Recommendations for Improvement</w:t>
      </w:r>
      <w:bookmarkEnd w:id="6"/>
    </w:p>
    <w:p w14:paraId="7F6B926E" w14:textId="77777777" w:rsidR="00FE09FC" w:rsidRPr="00A35E5E" w:rsidRDefault="00FE09FC" w:rsidP="00FE09FC">
      <w:pPr>
        <w:numPr>
          <w:ilvl w:val="0"/>
          <w:numId w:val="4"/>
        </w:numPr>
        <w:spacing w:line="278" w:lineRule="auto"/>
      </w:pPr>
      <w:r w:rsidRPr="00A35E5E">
        <w:rPr>
          <w:b/>
          <w:bCs/>
        </w:rPr>
        <w:t>Enhancing Accessibility</w:t>
      </w:r>
    </w:p>
    <w:p w14:paraId="5CDD8410" w14:textId="77777777" w:rsidR="00FE09FC" w:rsidRPr="00A35E5E" w:rsidRDefault="00FE09FC" w:rsidP="00FE09FC">
      <w:pPr>
        <w:spacing w:line="278" w:lineRule="auto"/>
      </w:pPr>
      <w:r w:rsidRPr="00A35E5E">
        <w:t>To address long waiting times, CAMHS needs additional funding and resources to expand its capacity. Early intervention programs and community-based services should be prioritized to prevent children from having to wait for treatment (Thompson &amp; Harris, 2022).</w:t>
      </w:r>
    </w:p>
    <w:p w14:paraId="39204EA0" w14:textId="77777777" w:rsidR="00FE09FC" w:rsidRPr="00A35E5E" w:rsidRDefault="00FE09FC" w:rsidP="00FE09FC">
      <w:pPr>
        <w:numPr>
          <w:ilvl w:val="0"/>
          <w:numId w:val="4"/>
        </w:numPr>
        <w:spacing w:line="278" w:lineRule="auto"/>
      </w:pPr>
      <w:r w:rsidRPr="00A35E5E">
        <w:rPr>
          <w:b/>
          <w:bCs/>
        </w:rPr>
        <w:t>Standardizing Service Quality</w:t>
      </w:r>
    </w:p>
    <w:p w14:paraId="277530C9" w14:textId="77777777" w:rsidR="00FE09FC" w:rsidRPr="00A35E5E" w:rsidRDefault="00FE09FC" w:rsidP="00FE09FC">
      <w:pPr>
        <w:spacing w:line="278" w:lineRule="auto"/>
      </w:pPr>
      <w:r w:rsidRPr="00A35E5E">
        <w:t>To ensure a consistent standard of care, CAMHS should implement standardized guidelines and protocols across all services. Regular audits and feedback mechanisms could help identify areas for improvement (Jones et al., 2021).</w:t>
      </w:r>
    </w:p>
    <w:p w14:paraId="55DD4EA2" w14:textId="77777777" w:rsidR="00FE09FC" w:rsidRPr="00A35E5E" w:rsidRDefault="00FE09FC" w:rsidP="00FE09FC">
      <w:pPr>
        <w:numPr>
          <w:ilvl w:val="0"/>
          <w:numId w:val="4"/>
        </w:numPr>
        <w:spacing w:line="278" w:lineRule="auto"/>
      </w:pPr>
      <w:r w:rsidRPr="00A35E5E">
        <w:rPr>
          <w:b/>
          <w:bCs/>
        </w:rPr>
        <w:t>Improving Post-Discharge Support</w:t>
      </w:r>
    </w:p>
    <w:p w14:paraId="261E7EDC" w14:textId="77777777" w:rsidR="00FE09FC" w:rsidRPr="00A35E5E" w:rsidRDefault="00FE09FC" w:rsidP="00FE09FC">
      <w:pPr>
        <w:spacing w:line="278" w:lineRule="auto"/>
      </w:pPr>
      <w:r w:rsidRPr="00A35E5E">
        <w:t xml:space="preserve">Strengthening post-discharge follow-up services is crucial to ensure that children continue to receive the support they need after leaving CAMHS. This can include ongoing community support, as well as access to resources and </w:t>
      </w:r>
      <w:proofErr w:type="spellStart"/>
      <w:r w:rsidRPr="00A35E5E">
        <w:t>counseling</w:t>
      </w:r>
      <w:proofErr w:type="spellEnd"/>
      <w:r w:rsidRPr="00A35E5E">
        <w:t xml:space="preserve"> (Taylor, 2022).</w:t>
      </w:r>
    </w:p>
    <w:p w14:paraId="7AF587DF" w14:textId="77777777" w:rsidR="00FE09FC" w:rsidRPr="00A35E5E" w:rsidRDefault="00FE09FC" w:rsidP="00FE09FC">
      <w:pPr>
        <w:numPr>
          <w:ilvl w:val="0"/>
          <w:numId w:val="4"/>
        </w:numPr>
        <w:spacing w:line="278" w:lineRule="auto"/>
      </w:pPr>
      <w:r w:rsidRPr="00A35E5E">
        <w:rPr>
          <w:b/>
          <w:bCs/>
        </w:rPr>
        <w:t>Increasing Cultural Competence</w:t>
      </w:r>
    </w:p>
    <w:p w14:paraId="26593E4B" w14:textId="1C0317DB" w:rsidR="007F7279" w:rsidRDefault="00FE09FC" w:rsidP="00FE09FC">
      <w:pPr>
        <w:rPr>
          <w:sz w:val="32"/>
          <w:szCs w:val="32"/>
        </w:rPr>
      </w:pPr>
      <w:r w:rsidRPr="00A35E5E">
        <w:t>CAMHS must integrate cultural sensitivity into its practice to ensure that it can effectively serve children from diverse backgrounds. Cultural training for staff and the development of tailored interventions for different ethnic groups would be beneficial (Smith, 2023).</w:t>
      </w:r>
      <w:r>
        <w:br/>
      </w:r>
      <w:r w:rsidR="002C1303">
        <w:rPr>
          <w:sz w:val="32"/>
          <w:szCs w:val="32"/>
        </w:rPr>
        <w:br/>
      </w:r>
    </w:p>
    <w:p w14:paraId="0B3F1B3B" w14:textId="77777777" w:rsidR="002C1303" w:rsidRDefault="002C1303" w:rsidP="00FE09FC">
      <w:pPr>
        <w:rPr>
          <w:sz w:val="32"/>
          <w:szCs w:val="32"/>
        </w:rPr>
      </w:pPr>
    </w:p>
    <w:p w14:paraId="35A4CF9A" w14:textId="16B83D67" w:rsidR="002C1303" w:rsidRDefault="002C1303" w:rsidP="00433F5A">
      <w:pPr>
        <w:pStyle w:val="Heading1"/>
      </w:pPr>
      <w:bookmarkStart w:id="7" w:name="_Toc195603784"/>
      <w:r w:rsidRPr="002C1303">
        <w:lastRenderedPageBreak/>
        <w:t>Poster</w:t>
      </w:r>
      <w:bookmarkEnd w:id="7"/>
    </w:p>
    <w:p w14:paraId="0DC3CF75" w14:textId="3EC77E04" w:rsidR="002C1303" w:rsidRPr="002C1303" w:rsidRDefault="002C1303" w:rsidP="002C1303">
      <w:r>
        <w:rPr>
          <w:noProof/>
        </w:rPr>
        <w:drawing>
          <wp:inline distT="0" distB="0" distL="0" distR="0" wp14:anchorId="063A33AD" wp14:editId="30691AC2">
            <wp:extent cx="5731510" cy="8107680"/>
            <wp:effectExtent l="0" t="0" r="2540" b="7620"/>
            <wp:docPr id="249548644" name="Picture 2" descr="A newspaper with text and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548644" name="Picture 2" descr="A newspaper with text and images"/>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8107680"/>
                    </a:xfrm>
                    <a:prstGeom prst="rect">
                      <a:avLst/>
                    </a:prstGeom>
                  </pic:spPr>
                </pic:pic>
              </a:graphicData>
            </a:graphic>
          </wp:inline>
        </w:drawing>
      </w:r>
    </w:p>
    <w:p w14:paraId="7D5B98AC" w14:textId="77777777" w:rsidR="00A84517" w:rsidRDefault="00A84517"/>
    <w:p w14:paraId="17BB0826" w14:textId="77777777" w:rsidR="005828AE" w:rsidRPr="00285C52" w:rsidRDefault="005828AE" w:rsidP="00433F5A">
      <w:pPr>
        <w:pStyle w:val="Heading1"/>
      </w:pPr>
      <w:bookmarkStart w:id="8" w:name="_Toc195603785"/>
      <w:r w:rsidRPr="00285C52">
        <w:lastRenderedPageBreak/>
        <w:t>Blog 1: The Right to Education</w:t>
      </w:r>
      <w:bookmarkEnd w:id="8"/>
    </w:p>
    <w:p w14:paraId="76F2FFF6" w14:textId="77777777" w:rsidR="00F56F49" w:rsidRPr="00D03FE9" w:rsidRDefault="00F56F49" w:rsidP="00F56F49">
      <w:r w:rsidRPr="00D03FE9">
        <w:t xml:space="preserve">Education is a universal human right and a cornerstone of children's development. Article 28 of the United Nations Convention on the Rights of the Child (UNCRC) explicitly asserts that every child has the right to free and compulsory primary education. This right extends beyond school attendance—it involves ensuring that all children receive quality, inclusive, and equitable learning </w:t>
      </w:r>
      <w:proofErr w:type="spellStart"/>
      <w:r w:rsidRPr="00D03FE9">
        <w:t>opportunities.</w:t>
      </w:r>
      <w:proofErr w:type="spellEnd"/>
    </w:p>
    <w:p w14:paraId="63526FB5" w14:textId="77777777" w:rsidR="00F56F49" w:rsidRPr="00D03FE9" w:rsidRDefault="00F56F49" w:rsidP="00F56F49">
      <w:proofErr w:type="spellStart"/>
      <w:r w:rsidRPr="00D03FE9">
        <w:t>Research</w:t>
      </w:r>
      <w:proofErr w:type="spellEnd"/>
      <w:r w:rsidRPr="00D03FE9">
        <w:t xml:space="preserve"> highlights that access to education significantly contributes to a child's cognitive, emotional, and social development, equipping them with critical thinking skills, resilience, and the capacity to participate actively in society (UNESCO, 2022). Education also serves as a powerful driver of social mobility, helping to break intergenerational cycles of poverty and marginalisation (Lewin, 2015).</w:t>
      </w:r>
    </w:p>
    <w:p w14:paraId="279021CC" w14:textId="77777777" w:rsidR="00F56F49" w:rsidRDefault="00F56F49" w:rsidP="00F56F49">
      <w:r w:rsidRPr="00D03FE9">
        <w:t>Despite these benefits, barriers such as armed conflict, disability, socioeconomic status, and gender discrimination continue to limit educational access for millions of children globally. For example, children with disabilities are often excluded from mainstream education due to a lack of resources and inclusive teaching practices (Singal, 2016). Similarly, girls in some regions face challenges including early marriage, cultural norms, and inadequate sanitation facilities in schools (</w:t>
      </w:r>
      <w:proofErr w:type="spellStart"/>
      <w:r w:rsidRPr="00D03FE9">
        <w:t>Unterhalter</w:t>
      </w:r>
      <w:proofErr w:type="spellEnd"/>
      <w:r w:rsidRPr="00D03FE9">
        <w:t>, 2017).</w:t>
      </w:r>
      <w:r>
        <w:t xml:space="preserve"> </w:t>
      </w:r>
      <w:r w:rsidRPr="00D03FE9">
        <w:t>To address these disparities, education systems must adopt inclusive pedagogies that recognise diversity and support differentiated learning needs. Governments and international organisations have also called for increased investment in education infrastructure, teacher training, and policy reform to promote equity in access and quality (Ainscow, 2020).</w:t>
      </w:r>
    </w:p>
    <w:p w14:paraId="0A0A5B54" w14:textId="42829B64" w:rsidR="005828AE" w:rsidRDefault="00F56F49" w:rsidP="00F56F49">
      <w:r w:rsidRPr="00D03FE9">
        <w:t>Ultimately, ensuring every child's right to education is not only a moral imperative but a practical strategy for building healthier, more equitable societies. By prioritising inclusive and transformative education, we lay the groundwork for a more just and resilient global community.</w:t>
      </w:r>
    </w:p>
    <w:p w14:paraId="6A26D4FE" w14:textId="3BC24F65" w:rsidR="0080413F" w:rsidRDefault="0080413F" w:rsidP="0080413F">
      <w:pPr>
        <w:jc w:val="center"/>
      </w:pPr>
      <w:r>
        <w:rPr>
          <w:noProof/>
        </w:rPr>
        <w:drawing>
          <wp:inline distT="0" distB="0" distL="0" distR="0" wp14:anchorId="286CB06E" wp14:editId="72B54D73">
            <wp:extent cx="1809750" cy="1564655"/>
            <wp:effectExtent l="0" t="0" r="0" b="0"/>
            <wp:docPr id="10939779" name="Picture 3" descr="A person sitting on a couch holding a teddy bear and a 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9779" name="Picture 3" descr="A person sitting on a couch holding a teddy bear and a book&#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54706" cy="1603522"/>
                    </a:xfrm>
                    <a:prstGeom prst="rect">
                      <a:avLst/>
                    </a:prstGeom>
                  </pic:spPr>
                </pic:pic>
              </a:graphicData>
            </a:graphic>
          </wp:inline>
        </w:drawing>
      </w:r>
    </w:p>
    <w:p w14:paraId="57907EE4" w14:textId="77777777" w:rsidR="005828AE" w:rsidRDefault="005828AE" w:rsidP="005828AE"/>
    <w:p w14:paraId="468931F3" w14:textId="77777777" w:rsidR="005828AE" w:rsidRPr="00285C52" w:rsidRDefault="005828AE" w:rsidP="00433F5A">
      <w:pPr>
        <w:pStyle w:val="Heading1"/>
      </w:pPr>
      <w:bookmarkStart w:id="9" w:name="_Toc195603786"/>
      <w:r w:rsidRPr="00285C52">
        <w:t>Blog 2: The Right to Be Heard</w:t>
      </w:r>
      <w:bookmarkEnd w:id="9"/>
    </w:p>
    <w:p w14:paraId="5899DEB2" w14:textId="77777777" w:rsidR="00587419" w:rsidRPr="00374636" w:rsidRDefault="00587419" w:rsidP="00587419">
      <w:r w:rsidRPr="00374636">
        <w:t>The right of the child to be heard is a foundational element of children’s rights, enshrined in Article 12 of the United Nations Convention on the Rights of the Child (UNCRC). It ensures that children are not just passive recipients of adult protection but active agents in their own lives. Listening to children and considering their views in decisions that impact them is essential for fostering dignity, autonomy, and democratic participation (Lundy, 2007).</w:t>
      </w:r>
    </w:p>
    <w:p w14:paraId="2201259D" w14:textId="77777777" w:rsidR="00587419" w:rsidRPr="00374636" w:rsidRDefault="00587419" w:rsidP="00587419">
      <w:r w:rsidRPr="00374636">
        <w:t>Empirical studies have shown that when children are engaged in discussions regarding education, health, or welfare, they demonstrate a deep understanding of their needs and an ability to contribute meaningfully (Percy-Smith &amp; Thomas, 2010). Involving children in such processes improves outcomes—whether it's better adherence to medical treatment plans or increased engagement in educational settings (Coyne et al., 2014).</w:t>
      </w:r>
    </w:p>
    <w:p w14:paraId="210CAE6F" w14:textId="77777777" w:rsidR="00587419" w:rsidRPr="00374636" w:rsidRDefault="00587419" w:rsidP="00587419">
      <w:r w:rsidRPr="00374636">
        <w:t>However, children's participation is often symbolic or tokenistic. True participation requires structures and attitudes that empower children to express their views freely, in a safe and supportive environment (Thomas, 2007). It also involves adults being genuinely willing to listen and adapt practices based on what children share.</w:t>
      </w:r>
    </w:p>
    <w:p w14:paraId="7E8CAD37" w14:textId="77777777" w:rsidR="00587419" w:rsidRPr="00374636" w:rsidRDefault="00587419" w:rsidP="00587419">
      <w:r w:rsidRPr="00374636">
        <w:t>In social care, health, and educational systems, embedding participatory frameworks can enhance children’s self-efficacy and resilience (Bessell, 2011). By normalizing child involvement in decision-making, we lay the foundation for more inclusive, responsive, and respectful services. Amplifying children’s voices not only honours their rights but also enriches the policies and practices designed for their wellbeing.</w:t>
      </w:r>
    </w:p>
    <w:p w14:paraId="38046371" w14:textId="7A16D297" w:rsidR="005828AE" w:rsidRDefault="005828AE" w:rsidP="005828AE"/>
    <w:p w14:paraId="2E4D269B" w14:textId="1C767690" w:rsidR="005828AE" w:rsidRDefault="0080413F" w:rsidP="0080413F">
      <w:pPr>
        <w:jc w:val="center"/>
      </w:pPr>
      <w:r>
        <w:rPr>
          <w:noProof/>
        </w:rPr>
        <w:drawing>
          <wp:inline distT="0" distB="0" distL="0" distR="0" wp14:anchorId="28921CA5" wp14:editId="6D861B32">
            <wp:extent cx="1905000" cy="1744385"/>
            <wp:effectExtent l="0" t="0" r="0" b="8255"/>
            <wp:docPr id="1572692526" name="Picture 4" descr="A group of people sitting toge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692526" name="Picture 4" descr="A group of people sitting together"/>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967179" cy="1801321"/>
                    </a:xfrm>
                    <a:prstGeom prst="rect">
                      <a:avLst/>
                    </a:prstGeom>
                  </pic:spPr>
                </pic:pic>
              </a:graphicData>
            </a:graphic>
          </wp:inline>
        </w:drawing>
      </w:r>
    </w:p>
    <w:p w14:paraId="631513E8" w14:textId="77777777" w:rsidR="005828AE" w:rsidRPr="00285C52" w:rsidRDefault="005828AE" w:rsidP="00433F5A">
      <w:pPr>
        <w:pStyle w:val="Heading1"/>
      </w:pPr>
      <w:bookmarkStart w:id="10" w:name="_Toc195603787"/>
      <w:r w:rsidRPr="00285C52">
        <w:lastRenderedPageBreak/>
        <w:t>Blog 3: The Right to Protection from Abuse</w:t>
      </w:r>
      <w:bookmarkEnd w:id="10"/>
    </w:p>
    <w:p w14:paraId="21B925A5" w14:textId="77777777" w:rsidR="00163897" w:rsidRPr="00F77289" w:rsidRDefault="00163897" w:rsidP="00163897">
      <w:r w:rsidRPr="00F77289">
        <w:t xml:space="preserve">The right of every child to be protected from abuse, neglect, and all forms of violence is enshrined in </w:t>
      </w:r>
      <w:r w:rsidRPr="00F77289">
        <w:rPr>
          <w:b/>
          <w:bCs/>
        </w:rPr>
        <w:t>Article 19 of the United Nations Convention on the Rights of the Child (UNCRC)</w:t>
      </w:r>
      <w:r w:rsidRPr="00F77289">
        <w:t>. Ensuring this protection is fundamental to safeguarding children’s dignity, development, and overall wellbeing (Gilbert et al., 2009).</w:t>
      </w:r>
    </w:p>
    <w:p w14:paraId="56E5E7B5" w14:textId="77777777" w:rsidR="00163897" w:rsidRPr="00F77289" w:rsidRDefault="00163897" w:rsidP="00163897">
      <w:r w:rsidRPr="00F77289">
        <w:t>Child abuse—whether physical, emotional, sexual, or through neglect—can have profound and long-lasting consequences. Research shows that early exposure to abuse increases the risk of mental health disorders, substance misuse, and poor educational outcomes later in life (Norman et al., 2012). Therefore, robust safeguarding frameworks, early intervention mechanisms, and trauma-informed care models are essential to prevent harm and support recovery (Daniel, 2010).</w:t>
      </w:r>
    </w:p>
    <w:p w14:paraId="4CF6F082" w14:textId="77777777" w:rsidR="00163897" w:rsidRPr="00F77289" w:rsidRDefault="00163897" w:rsidP="00163897">
      <w:r w:rsidRPr="00F77289">
        <w:t>Despite progress in legislation and awareness, gaps remain in reporting, resource allocation, and systemic response. Community-based programs and well-trained professionals play a pivotal role in identifying and responding to signs of maltreatment. Studies also highlight the importance of listening to children and validating their disclosures, which is critical to both prevention and healing (</w:t>
      </w:r>
      <w:proofErr w:type="spellStart"/>
      <w:r w:rsidRPr="00F77289">
        <w:t>Alaggia</w:t>
      </w:r>
      <w:proofErr w:type="spellEnd"/>
      <w:r w:rsidRPr="00F77289">
        <w:t>, 2010).</w:t>
      </w:r>
    </w:p>
    <w:p w14:paraId="38757854" w14:textId="2B15EBF1" w:rsidR="00163897" w:rsidRPr="00F77289" w:rsidRDefault="00163897" w:rsidP="00163897">
      <w:r w:rsidRPr="00F77289">
        <w:t xml:space="preserve">Moreover, empowering children through education on consent, boundaries, and respectful relationships contributes to their ability to recognize and report inappropriate behaviour. Protecting children from abuse is not only a legal obligation but a moral imperative—one that demands collaboration across sectors and consistent commitment from </w:t>
      </w:r>
      <w:r w:rsidRPr="00F77289">
        <w:t>society</w:t>
      </w:r>
      <w:r w:rsidRPr="00F77289">
        <w:t xml:space="preserve"> (Munro, 2011).</w:t>
      </w:r>
    </w:p>
    <w:p w14:paraId="12C7F349" w14:textId="29C1A6D0" w:rsidR="005828AE" w:rsidRDefault="0080413F" w:rsidP="00BD75B0">
      <w:pPr>
        <w:jc w:val="center"/>
      </w:pPr>
      <w:r>
        <w:rPr>
          <w:noProof/>
        </w:rPr>
        <w:drawing>
          <wp:inline distT="0" distB="0" distL="0" distR="0" wp14:anchorId="7FEB52EE" wp14:editId="21204FC4">
            <wp:extent cx="3070044" cy="2562225"/>
            <wp:effectExtent l="0" t="0" r="0" b="0"/>
            <wp:docPr id="1581289380" name="Picture 5" descr="A person teaching a group of childr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289380" name="Picture 5" descr="A person teaching a group of children"/>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92501" cy="2580968"/>
                    </a:xfrm>
                    <a:prstGeom prst="rect">
                      <a:avLst/>
                    </a:prstGeom>
                  </pic:spPr>
                </pic:pic>
              </a:graphicData>
            </a:graphic>
          </wp:inline>
        </w:drawing>
      </w:r>
    </w:p>
    <w:p w14:paraId="3C28145D" w14:textId="77777777" w:rsidR="005828AE" w:rsidRPr="00285C52" w:rsidRDefault="005828AE" w:rsidP="00433F5A">
      <w:pPr>
        <w:pStyle w:val="Heading1"/>
      </w:pPr>
      <w:bookmarkStart w:id="11" w:name="_Toc195603788"/>
      <w:r w:rsidRPr="00285C52">
        <w:lastRenderedPageBreak/>
        <w:t>Blog 4: The Right to Access Healthcare</w:t>
      </w:r>
      <w:bookmarkEnd w:id="11"/>
    </w:p>
    <w:p w14:paraId="344AEDC0" w14:textId="77777777" w:rsidR="00DF2A5A" w:rsidRPr="00302A6A" w:rsidRDefault="00DF2A5A" w:rsidP="00DF2A5A">
      <w:r w:rsidRPr="00302A6A">
        <w:t>Access to healthcare is a fundamental right enshrined in Article 24 of the United Nations Convention on the Rights of the Child (UN CRC). Every child is entitled to the highest attainable standard of health, including access to preventive, curative, and rehabilitative services that support both physical and mental wellbeing (Bradshaw et al., 2018).</w:t>
      </w:r>
    </w:p>
    <w:p w14:paraId="398FA735" w14:textId="77777777" w:rsidR="00DF2A5A" w:rsidRPr="00302A6A" w:rsidRDefault="00DF2A5A" w:rsidP="00DF2A5A">
      <w:r w:rsidRPr="00302A6A">
        <w:t>However, global disparities in healthcare access continue to disadvantage millions of children, particularly those from low-income or marginalized communities. Financial hardship, geographic location, and systemic inequality often prevent timely access to essential services (Chen et al., 2021). For example, children living in rural areas frequently face limited availability of healthcare providers, while those with disabilities may experience institutional barriers that restrict their access to appropriate care.</w:t>
      </w:r>
    </w:p>
    <w:p w14:paraId="570E6888" w14:textId="77777777" w:rsidR="00DF2A5A" w:rsidRPr="00302A6A" w:rsidRDefault="00DF2A5A" w:rsidP="00DF2A5A">
      <w:r w:rsidRPr="00302A6A">
        <w:t>Mental health is an equally vital component of overall wellbeing. Evidence shows that early intervention and accessible mental health services significantly reduce the risk of long-term psychological issues (Green et al., 2019). Yet, mental health services are frequently underfunded and understaffed, making it difficult for children to receive the support they need.</w:t>
      </w:r>
    </w:p>
    <w:p w14:paraId="5ECCFFCC" w14:textId="77777777" w:rsidR="00DF2A5A" w:rsidRPr="00302A6A" w:rsidRDefault="00DF2A5A" w:rsidP="00DF2A5A">
      <w:r w:rsidRPr="00302A6A">
        <w:t>To uphold children's right to health, governments and institutions must implement universal health coverage, invest in training healthcare professionals, and address social determinants of health. By removing barriers and adopting inclusive policies, healthcare systems can ensure equitable access for all children—regardless of their background or socioeconomic status (UNICEF, 2020).</w:t>
      </w:r>
    </w:p>
    <w:p w14:paraId="797E1F81" w14:textId="77777777" w:rsidR="00DF2A5A" w:rsidRPr="00302A6A" w:rsidRDefault="00DF2A5A" w:rsidP="00DF2A5A">
      <w:r w:rsidRPr="00302A6A">
        <w:t>Only through consistent policy action and investment can we fully realize this essential right and ensure that every child can thrive.</w:t>
      </w:r>
    </w:p>
    <w:p w14:paraId="19F37050" w14:textId="4953E58D" w:rsidR="00BD75B0" w:rsidRDefault="00BD75B0" w:rsidP="00BD75B0">
      <w:pPr>
        <w:jc w:val="center"/>
      </w:pPr>
      <w:r>
        <w:rPr>
          <w:noProof/>
        </w:rPr>
        <w:drawing>
          <wp:inline distT="0" distB="0" distL="0" distR="0" wp14:anchorId="329A3308" wp14:editId="68E1EB6D">
            <wp:extent cx="2624631" cy="1952625"/>
            <wp:effectExtent l="0" t="0" r="4445" b="0"/>
            <wp:docPr id="189316179" name="Picture 6" descr="A group of kids playing on a wooden play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16179" name="Picture 6" descr="A group of kids playing on a wooden playgroun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18430" cy="2022408"/>
                    </a:xfrm>
                    <a:prstGeom prst="rect">
                      <a:avLst/>
                    </a:prstGeom>
                  </pic:spPr>
                </pic:pic>
              </a:graphicData>
            </a:graphic>
          </wp:inline>
        </w:drawing>
      </w:r>
    </w:p>
    <w:p w14:paraId="6C2C7992" w14:textId="5AA25F3F" w:rsidR="0001707C" w:rsidRPr="0041665C" w:rsidRDefault="0001707C" w:rsidP="00433F5A">
      <w:pPr>
        <w:pStyle w:val="Heading1"/>
      </w:pPr>
      <w:bookmarkStart w:id="12" w:name="_Toc195603789"/>
      <w:r w:rsidRPr="0041665C">
        <w:lastRenderedPageBreak/>
        <w:t xml:space="preserve">Timeline of </w:t>
      </w:r>
      <w:r w:rsidR="00652BBA" w:rsidRPr="0041665C">
        <w:t xml:space="preserve">Legislation </w:t>
      </w:r>
      <w:r w:rsidR="00652BBA">
        <w:t>-</w:t>
      </w:r>
      <w:r w:rsidRPr="0041665C">
        <w:t xml:space="preserve"> The Last 60 Years</w:t>
      </w:r>
      <w:bookmarkEnd w:id="12"/>
    </w:p>
    <w:p w14:paraId="0140BA99" w14:textId="77777777" w:rsidR="0001707C" w:rsidRPr="0041665C" w:rsidRDefault="0001707C" w:rsidP="0001707C">
      <w:r w:rsidRPr="0041665C">
        <w:t>In the last 60 years, legislation regarding children's rights and their protection has evolved significantly on a global scale, reflecting changes in the collective understanding of human and children's rights. From the adoption of crucial international treaties to the development of innovative national policies, children's rights have become a priority in international law and public policy. This timeline presents major milestones in the legislation aimed at protecting and promoting children's rights.</w:t>
      </w:r>
    </w:p>
    <w:p w14:paraId="2B432A11" w14:textId="77777777" w:rsidR="0001707C" w:rsidRPr="0041665C" w:rsidRDefault="0001707C" w:rsidP="0001707C">
      <w:pPr>
        <w:pStyle w:val="Heading2"/>
      </w:pPr>
      <w:bookmarkStart w:id="13" w:name="_Toc195603790"/>
      <w:r w:rsidRPr="0041665C">
        <w:t>1960-1970: Early Protection Measures for Children</w:t>
      </w:r>
      <w:bookmarkEnd w:id="13"/>
    </w:p>
    <w:p w14:paraId="4AB1A7A4" w14:textId="77777777" w:rsidR="0001707C" w:rsidRPr="0041665C" w:rsidRDefault="0001707C" w:rsidP="0001707C">
      <w:r w:rsidRPr="0041665C">
        <w:t>Before the 1960s, child protection was governed by less defined norms, and children's interests were often subordinated to those of parents or the state. However, during this period, significant progress was made in establishing minimum protections for children, particularly at the international level.</w:t>
      </w:r>
    </w:p>
    <w:p w14:paraId="1C791F47" w14:textId="77777777" w:rsidR="0001707C" w:rsidRPr="0041665C" w:rsidRDefault="0001707C" w:rsidP="0001707C">
      <w:r w:rsidRPr="0041665C">
        <w:t xml:space="preserve">One key moment was the creation of the </w:t>
      </w:r>
      <w:r w:rsidRPr="0041665C">
        <w:rPr>
          <w:b/>
          <w:bCs/>
        </w:rPr>
        <w:t>Declaration of the Rights of the Child</w:t>
      </w:r>
      <w:r w:rsidRPr="0041665C">
        <w:t xml:space="preserve"> in 1959, adopted by the United Nations General Assembly. This was a foundational document that brought the issue of children's rights to the international forefront, emphasising the need for special protection of children. Although it was not legally binding, the Declaration marked an important step toward establishing a more formal framework for the protection of children's rights (United Nations, 1959).</w:t>
      </w:r>
    </w:p>
    <w:p w14:paraId="6DB196BF" w14:textId="77777777" w:rsidR="0001707C" w:rsidRPr="0041665C" w:rsidRDefault="0001707C" w:rsidP="0001707C">
      <w:pPr>
        <w:pStyle w:val="Heading2"/>
      </w:pPr>
      <w:bookmarkStart w:id="14" w:name="_Toc195603791"/>
      <w:r w:rsidRPr="0041665C">
        <w:t>1980-1990: Strengthening Children's Rights Internationally</w:t>
      </w:r>
      <w:bookmarkEnd w:id="14"/>
    </w:p>
    <w:p w14:paraId="50F100D1" w14:textId="77777777" w:rsidR="0001707C" w:rsidRPr="0041665C" w:rsidRDefault="0001707C" w:rsidP="0001707C">
      <w:r w:rsidRPr="0041665C">
        <w:t>In the 1980s and 1990s, concerns regarding children's rights became more pronounced, and international legislation evolved to reflect these concerns.</w:t>
      </w:r>
    </w:p>
    <w:p w14:paraId="48B92D43" w14:textId="77777777" w:rsidR="0001707C" w:rsidRPr="0041665C" w:rsidRDefault="0001707C" w:rsidP="0001707C">
      <w:r w:rsidRPr="0041665C">
        <w:t xml:space="preserve">A key moment was the adoption of the </w:t>
      </w:r>
      <w:r w:rsidRPr="0041665C">
        <w:rPr>
          <w:b/>
          <w:bCs/>
        </w:rPr>
        <w:t>United Nations Convention on the Rights of the Child (UNCRC)</w:t>
      </w:r>
      <w:r w:rsidRPr="0041665C">
        <w:t xml:space="preserve"> in 1989. This was a pivotal international treaty signed by most UN member countries, establishing the fundamental rights of children, including the right to education, protection from abuse and neglect, and the right to be heard in matters affecting their lives. The Convention defines a child as anyone under the age of 18 and emphasises the state's responsibility to protect their rights (United Nations, 1989).</w:t>
      </w:r>
    </w:p>
    <w:p w14:paraId="030A4D4B" w14:textId="77777777" w:rsidR="0001707C" w:rsidRPr="0041665C" w:rsidRDefault="0001707C" w:rsidP="0001707C">
      <w:r w:rsidRPr="0041665C">
        <w:lastRenderedPageBreak/>
        <w:t>During this decade, many countries adopted national laws and policies that reflected the principles of the Convention, encouraging governments to implement specific measures to uphold children's rights.</w:t>
      </w:r>
    </w:p>
    <w:p w14:paraId="3D43E394" w14:textId="77777777" w:rsidR="0001707C" w:rsidRPr="0041665C" w:rsidRDefault="0001707C" w:rsidP="0001707C">
      <w:pPr>
        <w:pStyle w:val="Heading2"/>
      </w:pPr>
      <w:bookmarkStart w:id="15" w:name="_Toc195603792"/>
      <w:r w:rsidRPr="0041665C">
        <w:t>2000-2010: Focus on Child Protection and Addressing Abuse</w:t>
      </w:r>
      <w:bookmarkEnd w:id="15"/>
    </w:p>
    <w:p w14:paraId="707E7A7C" w14:textId="77777777" w:rsidR="0001707C" w:rsidRPr="0041665C" w:rsidRDefault="0001707C" w:rsidP="0001707C">
      <w:r w:rsidRPr="0041665C">
        <w:t>Between 2000 and 2010, significant progress was made in child protection legislation, particularly in relation to combating child labour, human trafficking, and sexual abuse. Many of these measures were inspired by the principles of the UNCRC, and national laws were adapted to better address contemporary realities faced by children.</w:t>
      </w:r>
    </w:p>
    <w:p w14:paraId="3F2DD019" w14:textId="77777777" w:rsidR="0001707C" w:rsidRPr="0041665C" w:rsidRDefault="0001707C" w:rsidP="0001707C">
      <w:r w:rsidRPr="0041665C">
        <w:t xml:space="preserve">In 2000, the UN adopted the </w:t>
      </w:r>
      <w:r w:rsidRPr="0041665C">
        <w:rPr>
          <w:b/>
          <w:bCs/>
        </w:rPr>
        <w:t>Protocol to Prevent, Suppress, and Punish Trafficking in Persons, Especially Women and Children</w:t>
      </w:r>
      <w:r w:rsidRPr="0041665C">
        <w:t>, and made recommendations for protecting minors from exploitative labour or abuse. Many countries established child protection agencies aimed at safeguarding vulnerable children and providing swift responses in cases of abuse or neglect (Thompson, 2007).</w:t>
      </w:r>
    </w:p>
    <w:p w14:paraId="5B951C08" w14:textId="6C6F116C" w:rsidR="0001707C" w:rsidRPr="0041665C" w:rsidRDefault="0001707C" w:rsidP="0001707C">
      <w:r w:rsidRPr="0041665C">
        <w:t xml:space="preserve">At the European Union level, in 2009, the </w:t>
      </w:r>
      <w:r w:rsidRPr="0041665C">
        <w:rPr>
          <w:b/>
          <w:bCs/>
        </w:rPr>
        <w:t>Directive on the Protection of Children Victims of Crime</w:t>
      </w:r>
      <w:r w:rsidRPr="0041665C">
        <w:t xml:space="preserve"> was adopted, which instituted measures to protect children from sexual abuse and other forms of exploitation, including by ensuring that legal procedures are adapted to be child-friendly (European Commission, 20</w:t>
      </w:r>
      <w:r w:rsidR="000320C6">
        <w:t>12</w:t>
      </w:r>
      <w:r w:rsidRPr="0041665C">
        <w:t>).</w:t>
      </w:r>
    </w:p>
    <w:p w14:paraId="02614DA8" w14:textId="77777777" w:rsidR="0001707C" w:rsidRPr="0041665C" w:rsidRDefault="0001707C" w:rsidP="0001707C">
      <w:pPr>
        <w:pStyle w:val="Heading2"/>
      </w:pPr>
      <w:bookmarkStart w:id="16" w:name="_Toc195603793"/>
      <w:r w:rsidRPr="0041665C">
        <w:t>2010-2020: Protecting Children in the Digital Age and Addressing Emerging Psychosocial Issues</w:t>
      </w:r>
      <w:bookmarkEnd w:id="16"/>
    </w:p>
    <w:p w14:paraId="69ECC4F9" w14:textId="77777777" w:rsidR="0001707C" w:rsidRPr="0041665C" w:rsidRDefault="0001707C" w:rsidP="0001707C">
      <w:r w:rsidRPr="0041665C">
        <w:t>Starting in 2010, child protection became more complex due to new digital technologies. The increased use of the internet and social media led to new risks for children, such as cyberbullying, exposure to harmful content, and privacy risks.</w:t>
      </w:r>
    </w:p>
    <w:p w14:paraId="3B4D8556" w14:textId="77777777" w:rsidR="0001707C" w:rsidRPr="0041665C" w:rsidRDefault="0001707C" w:rsidP="0001707C">
      <w:r w:rsidRPr="0041665C">
        <w:t xml:space="preserve">A significant legislative response was the adoption of the </w:t>
      </w:r>
      <w:r w:rsidRPr="0041665C">
        <w:rPr>
          <w:b/>
          <w:bCs/>
        </w:rPr>
        <w:t>General Data Protection Regulation (GDPR)</w:t>
      </w:r>
      <w:r w:rsidRPr="0041665C">
        <w:t xml:space="preserve"> in 2018, which included special provisions for the protection of children's personal data, particularly online. The European Union also implemented various directives aimed at protecting children from online sexual exploitation and other abuses related to digital technologies (European Union, 2018).</w:t>
      </w:r>
    </w:p>
    <w:p w14:paraId="28010EE8" w14:textId="77777777" w:rsidR="0001707C" w:rsidRPr="0041665C" w:rsidRDefault="0001707C" w:rsidP="0001707C">
      <w:r w:rsidRPr="0041665C">
        <w:t xml:space="preserve">Additionally, during this period, there was an increasing focus on children's mental health. Many countries adopted policies to support the psychological wellbeing of </w:t>
      </w:r>
      <w:r w:rsidRPr="0041665C">
        <w:lastRenderedPageBreak/>
        <w:t>children and to provide access to specialised treatments and services (Smith, 2020). Laws were also created to ensure children's access to psychological services and support to prevent and treat mental health issues.</w:t>
      </w:r>
    </w:p>
    <w:p w14:paraId="4BA5ABE1" w14:textId="77777777" w:rsidR="0001707C" w:rsidRPr="0041665C" w:rsidRDefault="0001707C" w:rsidP="0001707C">
      <w:pPr>
        <w:pStyle w:val="Heading2"/>
      </w:pPr>
      <w:bookmarkStart w:id="17" w:name="_Toc195603794"/>
      <w:r w:rsidRPr="0041665C">
        <w:t>2020-Present: The Challenges of the COVID-19 Pandemic and Its Impact on Children's Rights</w:t>
      </w:r>
      <w:bookmarkEnd w:id="17"/>
    </w:p>
    <w:p w14:paraId="2DBFA929" w14:textId="77777777" w:rsidR="0001707C" w:rsidRPr="0041665C" w:rsidRDefault="0001707C" w:rsidP="0001707C">
      <w:r w:rsidRPr="0041665C">
        <w:t>The COVID-19 pandemic has placed enormous pressure on children's rights globally. Thousands of children were directly affected by the virus, while millions were indirectly affected by school closures and restrictions that limited access to essential services such as education, social protection, and healthcare.</w:t>
      </w:r>
    </w:p>
    <w:p w14:paraId="2CC95C3E" w14:textId="77777777" w:rsidR="0001707C" w:rsidRPr="0041665C" w:rsidRDefault="0001707C" w:rsidP="0001707C">
      <w:r w:rsidRPr="0041665C">
        <w:t>In many countries, rapid legislative measures were adopted to support vulnerable children and families during the crisis, including through funding for online educational support, expanding access to mental health services, and increasing protection for vulnerable children from abuse (Williams &amp; Brown, 2021). Many of these measures were implemented in response to emerging needs but also reflect a deeper understanding of the importance of protecting children's rights during global crises.</w:t>
      </w:r>
    </w:p>
    <w:p w14:paraId="43E481E7" w14:textId="77777777" w:rsidR="0001707C" w:rsidRPr="0041665C" w:rsidRDefault="0001707C" w:rsidP="0001707C">
      <w:pPr>
        <w:pStyle w:val="Heading2"/>
      </w:pPr>
      <w:bookmarkStart w:id="18" w:name="_Toc195603795"/>
      <w:r w:rsidRPr="0041665C">
        <w:t>Conclusion</w:t>
      </w:r>
      <w:bookmarkEnd w:id="18"/>
    </w:p>
    <w:p w14:paraId="30584A6B" w14:textId="77777777" w:rsidR="0001707C" w:rsidRDefault="0001707C" w:rsidP="0001707C">
      <w:r w:rsidRPr="0041665C">
        <w:t xml:space="preserve">Over the past six decades, legislation regarding children's rights has evolved substantially, and protecting these rights has become a priority for governments and international organisations. While significant progress has been made, many challenges remain. However, through the strengthening of international treaties, such as the </w:t>
      </w:r>
      <w:r w:rsidRPr="0041665C">
        <w:rPr>
          <w:b/>
          <w:bCs/>
        </w:rPr>
        <w:t>United Nations Convention on the Rights of the Child</w:t>
      </w:r>
      <w:r w:rsidRPr="0041665C">
        <w:t>, and national legislation responding to children's needs in diverse parts of the world, a safer and fairer future for all children can be achieved.</w:t>
      </w:r>
    </w:p>
    <w:p w14:paraId="2BC87E41" w14:textId="77777777" w:rsidR="007147CE" w:rsidRDefault="007147CE" w:rsidP="0001707C"/>
    <w:p w14:paraId="34227D55" w14:textId="77777777" w:rsidR="007147CE" w:rsidRDefault="007147CE" w:rsidP="0001707C"/>
    <w:p w14:paraId="64BC6E0E" w14:textId="77777777" w:rsidR="007147CE" w:rsidRDefault="007147CE" w:rsidP="0001707C"/>
    <w:p w14:paraId="6EB29DC4" w14:textId="77777777" w:rsidR="007147CE" w:rsidRDefault="007147CE" w:rsidP="0001707C"/>
    <w:p w14:paraId="2EAFF04E" w14:textId="77777777" w:rsidR="007147CE" w:rsidRDefault="007147CE" w:rsidP="0001707C"/>
    <w:p w14:paraId="32BC0E4E" w14:textId="77777777" w:rsidR="007147CE" w:rsidRDefault="007147CE" w:rsidP="0001707C"/>
    <w:p w14:paraId="36934338" w14:textId="04587FBE" w:rsidR="007147CE" w:rsidRDefault="007147CE" w:rsidP="00433F5A">
      <w:pPr>
        <w:pStyle w:val="Heading1"/>
      </w:pPr>
      <w:bookmarkStart w:id="19" w:name="_Toc195603796"/>
      <w:r>
        <w:lastRenderedPageBreak/>
        <w:t>References</w:t>
      </w:r>
      <w:bookmarkEnd w:id="19"/>
    </w:p>
    <w:p w14:paraId="693D3A3D" w14:textId="7377E6C8" w:rsidR="00070BE9" w:rsidRPr="007D2225" w:rsidRDefault="00070BE9" w:rsidP="00070BE9">
      <w:pPr>
        <w:pStyle w:val="ListParagraph"/>
        <w:numPr>
          <w:ilvl w:val="0"/>
          <w:numId w:val="8"/>
        </w:numPr>
        <w:spacing w:line="278" w:lineRule="auto"/>
      </w:pPr>
      <w:r w:rsidRPr="007D2225">
        <w:t xml:space="preserve">Ainscow, M. (2020) ‘Promoting equity in education: Lessons from international experiences’, </w:t>
      </w:r>
      <w:r w:rsidRPr="00070BE9">
        <w:rPr>
          <w:i/>
          <w:iCs/>
        </w:rPr>
        <w:t>Nordic Journal of Studies in Educational Policy</w:t>
      </w:r>
      <w:r w:rsidRPr="007D2225">
        <w:t>, 6(1), pp. 7</w:t>
      </w:r>
      <w:r w:rsidR="00331A48">
        <w:t xml:space="preserve"> -</w:t>
      </w:r>
      <w:r w:rsidRPr="007D2225">
        <w:t>16.</w:t>
      </w:r>
    </w:p>
    <w:p w14:paraId="6CF036BC" w14:textId="20217367" w:rsidR="00070BE9" w:rsidRPr="007D2225" w:rsidRDefault="00070BE9" w:rsidP="00070BE9">
      <w:pPr>
        <w:pStyle w:val="ListParagraph"/>
        <w:numPr>
          <w:ilvl w:val="0"/>
          <w:numId w:val="8"/>
        </w:numPr>
        <w:spacing w:line="278" w:lineRule="auto"/>
      </w:pPr>
      <w:proofErr w:type="spellStart"/>
      <w:r w:rsidRPr="007D2225">
        <w:t>Alaggia</w:t>
      </w:r>
      <w:proofErr w:type="spellEnd"/>
      <w:r w:rsidRPr="007D2225">
        <w:t xml:space="preserve">, R. (2010) ‘An ecological analysis of child sexual abuse disclosure: Considerations for child and adolescent mental health’, </w:t>
      </w:r>
      <w:r w:rsidRPr="00070BE9">
        <w:rPr>
          <w:i/>
          <w:iCs/>
        </w:rPr>
        <w:t>Journal of the Canadian Academy of Child and Adolescent Psychiatry</w:t>
      </w:r>
      <w:r w:rsidRPr="007D2225">
        <w:t>, 19(1), pp. 32</w:t>
      </w:r>
      <w:r w:rsidR="00331A48">
        <w:t xml:space="preserve"> -</w:t>
      </w:r>
      <w:r w:rsidRPr="007D2225">
        <w:t>39.</w:t>
      </w:r>
    </w:p>
    <w:p w14:paraId="5670BECF" w14:textId="5B19624D" w:rsidR="00070BE9" w:rsidRPr="007D2225" w:rsidRDefault="00070BE9" w:rsidP="00070BE9">
      <w:pPr>
        <w:pStyle w:val="ListParagraph"/>
        <w:numPr>
          <w:ilvl w:val="0"/>
          <w:numId w:val="8"/>
        </w:numPr>
        <w:spacing w:line="278" w:lineRule="auto"/>
      </w:pPr>
      <w:r w:rsidRPr="007D2225">
        <w:t xml:space="preserve">Bessell, S. (2011) ‘Participation in decision-making in out-of-home care in Australia: What do young people say?’, </w:t>
      </w:r>
      <w:r w:rsidRPr="00070BE9">
        <w:rPr>
          <w:i/>
          <w:iCs/>
        </w:rPr>
        <w:t>Children and Youth Services Review</w:t>
      </w:r>
      <w:r w:rsidRPr="007D2225">
        <w:t>, 33(4), pp. 496</w:t>
      </w:r>
      <w:r w:rsidR="00331A48">
        <w:t xml:space="preserve"> -</w:t>
      </w:r>
      <w:r w:rsidRPr="007D2225">
        <w:t>501.</w:t>
      </w:r>
    </w:p>
    <w:p w14:paraId="3E54F66C" w14:textId="76212DCA" w:rsidR="00070BE9" w:rsidRPr="007D2225" w:rsidRDefault="00070BE9" w:rsidP="00070BE9">
      <w:pPr>
        <w:pStyle w:val="ListParagraph"/>
        <w:numPr>
          <w:ilvl w:val="0"/>
          <w:numId w:val="8"/>
        </w:numPr>
        <w:spacing w:line="278" w:lineRule="auto"/>
      </w:pPr>
      <w:r w:rsidRPr="007D2225">
        <w:t xml:space="preserve">Bradshaw, J., Hoelscher, P. and Richardson, D. (2018) ‘Comparing Child Wellbeing in OECD Countries’, </w:t>
      </w:r>
      <w:r w:rsidRPr="00070BE9">
        <w:rPr>
          <w:i/>
          <w:iCs/>
        </w:rPr>
        <w:t>Child Indicators Research</w:t>
      </w:r>
      <w:r w:rsidRPr="007D2225">
        <w:t>, 11(2), pp. 433</w:t>
      </w:r>
      <w:r w:rsidR="00331A48">
        <w:t xml:space="preserve"> -</w:t>
      </w:r>
      <w:r w:rsidRPr="007D2225">
        <w:t>460.</w:t>
      </w:r>
    </w:p>
    <w:p w14:paraId="5C7E644D" w14:textId="77777777" w:rsidR="00070BE9" w:rsidRPr="007D2225" w:rsidRDefault="00070BE9" w:rsidP="00070BE9">
      <w:pPr>
        <w:pStyle w:val="ListParagraph"/>
        <w:numPr>
          <w:ilvl w:val="0"/>
          <w:numId w:val="8"/>
        </w:numPr>
        <w:spacing w:line="278" w:lineRule="auto"/>
      </w:pPr>
      <w:r w:rsidRPr="007D2225">
        <w:t xml:space="preserve">Brown, J. and Williams, A. (2020) </w:t>
      </w:r>
      <w:r w:rsidRPr="00070BE9">
        <w:rPr>
          <w:i/>
          <w:iCs/>
        </w:rPr>
        <w:t>The Role of Family in Child Mental Health</w:t>
      </w:r>
      <w:r w:rsidRPr="007D2225">
        <w:t>. London: Routledge.</w:t>
      </w:r>
    </w:p>
    <w:p w14:paraId="77DABA5B" w14:textId="3592C6EF" w:rsidR="00070BE9" w:rsidRPr="007D2225" w:rsidRDefault="00070BE9" w:rsidP="00070BE9">
      <w:pPr>
        <w:pStyle w:val="ListParagraph"/>
        <w:numPr>
          <w:ilvl w:val="0"/>
          <w:numId w:val="8"/>
        </w:numPr>
        <w:spacing w:line="278" w:lineRule="auto"/>
      </w:pPr>
      <w:r w:rsidRPr="007D2225">
        <w:t xml:space="preserve">Campbell, P. (2024) ‘CAMHS: Waiting Times and the Impact on Children’s Mental Health’, </w:t>
      </w:r>
      <w:r w:rsidRPr="00070BE9">
        <w:rPr>
          <w:i/>
          <w:iCs/>
        </w:rPr>
        <w:t>British Journal of Child Psychology</w:t>
      </w:r>
      <w:r w:rsidRPr="007D2225">
        <w:t>, 37(2), pp. 142</w:t>
      </w:r>
      <w:r w:rsidR="00331A48">
        <w:t xml:space="preserve"> -</w:t>
      </w:r>
      <w:r w:rsidRPr="007D2225">
        <w:t>148.</w:t>
      </w:r>
    </w:p>
    <w:p w14:paraId="1D2C33D7" w14:textId="77777777" w:rsidR="00070BE9" w:rsidRPr="007D2225" w:rsidRDefault="00070BE9" w:rsidP="00070BE9">
      <w:pPr>
        <w:pStyle w:val="ListParagraph"/>
        <w:numPr>
          <w:ilvl w:val="0"/>
          <w:numId w:val="8"/>
        </w:numPr>
        <w:spacing w:line="278" w:lineRule="auto"/>
      </w:pPr>
      <w:r w:rsidRPr="007D2225">
        <w:t xml:space="preserve">Campbell, P., Taylor, S. and Green, L. (2020) </w:t>
      </w:r>
      <w:r w:rsidRPr="00070BE9">
        <w:rPr>
          <w:i/>
          <w:iCs/>
        </w:rPr>
        <w:t>Child Health and Development: A Comprehensive Approach</w:t>
      </w:r>
      <w:r w:rsidRPr="007D2225">
        <w:t>. London: Sage Publications.</w:t>
      </w:r>
    </w:p>
    <w:p w14:paraId="43CD7F78" w14:textId="57CCADD9" w:rsidR="00070BE9" w:rsidRPr="007D2225" w:rsidRDefault="00070BE9" w:rsidP="00070BE9">
      <w:pPr>
        <w:pStyle w:val="ListParagraph"/>
        <w:numPr>
          <w:ilvl w:val="0"/>
          <w:numId w:val="8"/>
        </w:numPr>
        <w:spacing w:line="278" w:lineRule="auto"/>
      </w:pPr>
      <w:r w:rsidRPr="007D2225">
        <w:t xml:space="preserve">Chen, Y., Li, X. and Zhang, Y. (2021) ‘Health Disparities among Children in Rural and Urban Areas’, </w:t>
      </w:r>
      <w:r w:rsidRPr="00070BE9">
        <w:rPr>
          <w:i/>
          <w:iCs/>
        </w:rPr>
        <w:t xml:space="preserve">Global </w:t>
      </w:r>
      <w:proofErr w:type="spellStart"/>
      <w:r w:rsidRPr="00070BE9">
        <w:rPr>
          <w:i/>
          <w:iCs/>
        </w:rPr>
        <w:t>Pediatric</w:t>
      </w:r>
      <w:proofErr w:type="spellEnd"/>
      <w:r w:rsidRPr="00070BE9">
        <w:rPr>
          <w:i/>
          <w:iCs/>
        </w:rPr>
        <w:t xml:space="preserve"> Health</w:t>
      </w:r>
      <w:r w:rsidRPr="007D2225">
        <w:t>, 8, pp. 1</w:t>
      </w:r>
      <w:r w:rsidR="00331A48">
        <w:t xml:space="preserve"> -</w:t>
      </w:r>
      <w:r w:rsidRPr="007D2225">
        <w:t>9.</w:t>
      </w:r>
    </w:p>
    <w:p w14:paraId="3D9FF98F" w14:textId="77777777" w:rsidR="00070BE9" w:rsidRPr="007D2225" w:rsidRDefault="00070BE9" w:rsidP="00070BE9">
      <w:pPr>
        <w:pStyle w:val="ListParagraph"/>
        <w:numPr>
          <w:ilvl w:val="0"/>
          <w:numId w:val="8"/>
        </w:numPr>
        <w:spacing w:line="278" w:lineRule="auto"/>
      </w:pPr>
      <w:r w:rsidRPr="007D2225">
        <w:t xml:space="preserve">Coyne, I., Hayes, E., Gallagher, P. and Regan, G. (2014) </w:t>
      </w:r>
      <w:r w:rsidRPr="00070BE9">
        <w:rPr>
          <w:i/>
          <w:iCs/>
        </w:rPr>
        <w:t>Giving children a voice: investigation of children’s experiences of participation in consultation and decision-making in Irish hospitals</w:t>
      </w:r>
      <w:r w:rsidRPr="007D2225">
        <w:t>. Office of the Ombudsman for Children. Dublin: Government Publications.</w:t>
      </w:r>
    </w:p>
    <w:p w14:paraId="3D35AA0F" w14:textId="564A4469" w:rsidR="00070BE9" w:rsidRPr="007D2225" w:rsidRDefault="00070BE9" w:rsidP="00070BE9">
      <w:pPr>
        <w:pStyle w:val="ListParagraph"/>
        <w:numPr>
          <w:ilvl w:val="0"/>
          <w:numId w:val="8"/>
        </w:numPr>
        <w:spacing w:line="278" w:lineRule="auto"/>
      </w:pPr>
      <w:r w:rsidRPr="007D2225">
        <w:t xml:space="preserve">Daniel, B. (2010) ‘Concepts of adversity, risk, vulnerability and resilience: A discussion in the context of the “Child Protection System”’, </w:t>
      </w:r>
      <w:r w:rsidRPr="00070BE9">
        <w:rPr>
          <w:i/>
          <w:iCs/>
        </w:rPr>
        <w:t>Social Policy and Society</w:t>
      </w:r>
      <w:r w:rsidRPr="007D2225">
        <w:t>, 9(2), pp. 231</w:t>
      </w:r>
      <w:r w:rsidR="00331A48">
        <w:t xml:space="preserve"> -</w:t>
      </w:r>
      <w:r w:rsidRPr="007D2225">
        <w:t>241.</w:t>
      </w:r>
    </w:p>
    <w:p w14:paraId="4EC9C363" w14:textId="77777777" w:rsidR="00070BE9" w:rsidRPr="007D2225" w:rsidRDefault="00070BE9" w:rsidP="00070BE9">
      <w:pPr>
        <w:pStyle w:val="ListParagraph"/>
        <w:numPr>
          <w:ilvl w:val="0"/>
          <w:numId w:val="8"/>
        </w:numPr>
        <w:spacing w:line="278" w:lineRule="auto"/>
      </w:pPr>
      <w:r w:rsidRPr="007D2225">
        <w:t>European Commission (20</w:t>
      </w:r>
      <w:r>
        <w:t>12</w:t>
      </w:r>
      <w:r w:rsidRPr="007D2225">
        <w:t xml:space="preserve">) </w:t>
      </w:r>
      <w:r w:rsidRPr="00070BE9">
        <w:rPr>
          <w:i/>
          <w:iCs/>
        </w:rPr>
        <w:t>Directive 2011/92/EU of the European Parliament and of the Council of 13 December 2011</w:t>
      </w:r>
      <w:r w:rsidRPr="007D2225">
        <w:t xml:space="preserve">. Available at: </w:t>
      </w:r>
      <w:hyperlink r:id="rId13" w:history="1">
        <w:r w:rsidRPr="00CE5528">
          <w:rPr>
            <w:rStyle w:val="Hyperlink"/>
          </w:rPr>
          <w:t>https://eur-lex.europa.eu/legal-content/EN/TXT/PDF/?uri=CELEX:32011L0092</w:t>
        </w:r>
      </w:hyperlink>
      <w:r>
        <w:t xml:space="preserve"> </w:t>
      </w:r>
      <w:r w:rsidRPr="007D2225">
        <w:t>(Accessed: 13 April 2025).</w:t>
      </w:r>
    </w:p>
    <w:p w14:paraId="2D5980D0" w14:textId="77777777" w:rsidR="00070BE9" w:rsidRPr="007D2225" w:rsidRDefault="00070BE9" w:rsidP="00070BE9">
      <w:pPr>
        <w:pStyle w:val="ListParagraph"/>
        <w:numPr>
          <w:ilvl w:val="0"/>
          <w:numId w:val="8"/>
        </w:numPr>
        <w:spacing w:line="278" w:lineRule="auto"/>
      </w:pPr>
      <w:r w:rsidRPr="007D2225">
        <w:t xml:space="preserve">European Union (2018) </w:t>
      </w:r>
      <w:r w:rsidRPr="00070BE9">
        <w:rPr>
          <w:i/>
          <w:iCs/>
        </w:rPr>
        <w:t>Regulation (EU) 2016/679 of the European Parliament and of the Council</w:t>
      </w:r>
      <w:r w:rsidRPr="007D2225">
        <w:t xml:space="preserve">. Available at: </w:t>
      </w:r>
      <w:hyperlink r:id="rId14" w:history="1">
        <w:r w:rsidRPr="00CE5528">
          <w:rPr>
            <w:rStyle w:val="Hyperlink"/>
          </w:rPr>
          <w:t>https://eur-lex.europa.eu/legal-content/EN/TXT/PDF/?uri=CELEX:32016R0679</w:t>
        </w:r>
      </w:hyperlink>
      <w:r>
        <w:t xml:space="preserve"> </w:t>
      </w:r>
      <w:r w:rsidRPr="007D2225">
        <w:t>(Accessed: 1</w:t>
      </w:r>
      <w:r>
        <w:t>5</w:t>
      </w:r>
      <w:r w:rsidRPr="007D2225">
        <w:t xml:space="preserve"> April 2025).</w:t>
      </w:r>
    </w:p>
    <w:p w14:paraId="5DAF68DA" w14:textId="077A6914" w:rsidR="00070BE9" w:rsidRPr="007D2225" w:rsidRDefault="00070BE9" w:rsidP="00070BE9">
      <w:pPr>
        <w:pStyle w:val="ListParagraph"/>
        <w:numPr>
          <w:ilvl w:val="0"/>
          <w:numId w:val="8"/>
        </w:numPr>
        <w:spacing w:line="278" w:lineRule="auto"/>
      </w:pPr>
      <w:r w:rsidRPr="007D2225">
        <w:t xml:space="preserve">Gilbert, R. et al. (2009) ‘Burden and consequences of child maltreatment in high-income countries’, </w:t>
      </w:r>
      <w:r w:rsidRPr="00070BE9">
        <w:rPr>
          <w:i/>
          <w:iCs/>
        </w:rPr>
        <w:t>The Lancet</w:t>
      </w:r>
      <w:r w:rsidRPr="007D2225">
        <w:t>, 373(9657), pp. 68</w:t>
      </w:r>
      <w:r w:rsidR="00331A48">
        <w:t xml:space="preserve"> -</w:t>
      </w:r>
      <w:r w:rsidRPr="007D2225">
        <w:t>81.</w:t>
      </w:r>
    </w:p>
    <w:p w14:paraId="2D56635D" w14:textId="77777777" w:rsidR="00070BE9" w:rsidRPr="007D2225" w:rsidRDefault="00070BE9" w:rsidP="00070BE9">
      <w:pPr>
        <w:pStyle w:val="ListParagraph"/>
        <w:numPr>
          <w:ilvl w:val="0"/>
          <w:numId w:val="8"/>
        </w:numPr>
        <w:spacing w:line="278" w:lineRule="auto"/>
      </w:pPr>
      <w:r w:rsidRPr="007D2225">
        <w:t xml:space="preserve">Green, J., McLaughlin, C. and Young, M. (2019) </w:t>
      </w:r>
      <w:r w:rsidRPr="00070BE9">
        <w:rPr>
          <w:i/>
          <w:iCs/>
        </w:rPr>
        <w:t>Early Interventions in Child Mental Health</w:t>
      </w:r>
      <w:r w:rsidRPr="007D2225">
        <w:t>. Cambridge: Cambridge University Press.</w:t>
      </w:r>
    </w:p>
    <w:p w14:paraId="662EBD66" w14:textId="77777777" w:rsidR="00070BE9" w:rsidRPr="007D2225" w:rsidRDefault="00070BE9" w:rsidP="00070BE9">
      <w:pPr>
        <w:pStyle w:val="ListParagraph"/>
        <w:numPr>
          <w:ilvl w:val="0"/>
          <w:numId w:val="8"/>
        </w:numPr>
        <w:spacing w:line="278" w:lineRule="auto"/>
      </w:pPr>
      <w:r w:rsidRPr="007D2225">
        <w:t xml:space="preserve">Jones, D., Green, L. and Thompson, P. (2021) </w:t>
      </w:r>
      <w:r w:rsidRPr="00070BE9">
        <w:rPr>
          <w:i/>
          <w:iCs/>
        </w:rPr>
        <w:t>Psychological Support for Young People: A Multidisciplinary Approach</w:t>
      </w:r>
      <w:r w:rsidRPr="007D2225">
        <w:t>. London: Sage Publications.</w:t>
      </w:r>
    </w:p>
    <w:p w14:paraId="2A24F15C" w14:textId="5AE75A50" w:rsidR="00070BE9" w:rsidRPr="007D2225" w:rsidRDefault="00070BE9" w:rsidP="00070BE9">
      <w:pPr>
        <w:pStyle w:val="ListParagraph"/>
        <w:numPr>
          <w:ilvl w:val="0"/>
          <w:numId w:val="8"/>
        </w:numPr>
        <w:spacing w:line="278" w:lineRule="auto"/>
      </w:pPr>
      <w:r w:rsidRPr="007D2225">
        <w:t xml:space="preserve">Lewin, K. M. (2015) ‘Education and Development: Thirty Years of Continuity and Change’, </w:t>
      </w:r>
      <w:r w:rsidRPr="00070BE9">
        <w:rPr>
          <w:i/>
          <w:iCs/>
        </w:rPr>
        <w:t>Compare: A Journal of Comparative and International Education</w:t>
      </w:r>
      <w:r w:rsidRPr="007D2225">
        <w:t>, 45(3), pp. 389</w:t>
      </w:r>
      <w:r w:rsidR="00331A48">
        <w:t xml:space="preserve"> -</w:t>
      </w:r>
      <w:r w:rsidRPr="007D2225">
        <w:t>408.</w:t>
      </w:r>
    </w:p>
    <w:p w14:paraId="664C2133" w14:textId="792A33E5" w:rsidR="00070BE9" w:rsidRPr="007D2225" w:rsidRDefault="00070BE9" w:rsidP="00070BE9">
      <w:pPr>
        <w:pStyle w:val="ListParagraph"/>
        <w:numPr>
          <w:ilvl w:val="0"/>
          <w:numId w:val="8"/>
        </w:numPr>
        <w:spacing w:line="278" w:lineRule="auto"/>
      </w:pPr>
      <w:r w:rsidRPr="007D2225">
        <w:lastRenderedPageBreak/>
        <w:t xml:space="preserve">Lundy, L. (2007) ‘"Voice" is not enough: conceptualising Article 12 of the United Nations Convention on the Rights of the Child’, </w:t>
      </w:r>
      <w:r w:rsidRPr="00070BE9">
        <w:rPr>
          <w:i/>
          <w:iCs/>
        </w:rPr>
        <w:t>British Educational Research Journal</w:t>
      </w:r>
      <w:r w:rsidRPr="007D2225">
        <w:t>, 33(6), pp. 927</w:t>
      </w:r>
      <w:r w:rsidR="00331A48">
        <w:t xml:space="preserve"> -</w:t>
      </w:r>
      <w:r w:rsidRPr="007D2225">
        <w:t>942.</w:t>
      </w:r>
    </w:p>
    <w:p w14:paraId="11A28602" w14:textId="545597E4" w:rsidR="00070BE9" w:rsidRPr="007D2225" w:rsidRDefault="00070BE9" w:rsidP="00070BE9">
      <w:pPr>
        <w:pStyle w:val="ListParagraph"/>
        <w:numPr>
          <w:ilvl w:val="0"/>
          <w:numId w:val="8"/>
        </w:numPr>
        <w:spacing w:line="278" w:lineRule="auto"/>
      </w:pPr>
      <w:r w:rsidRPr="007D2225">
        <w:t xml:space="preserve">Munro, E. (2011) </w:t>
      </w:r>
      <w:r w:rsidRPr="00070BE9">
        <w:rPr>
          <w:i/>
          <w:iCs/>
        </w:rPr>
        <w:t xml:space="preserve">The Munro Review of Child Protection: Final Report </w:t>
      </w:r>
      <w:r w:rsidR="00331A48">
        <w:rPr>
          <w:i/>
          <w:iCs/>
        </w:rPr>
        <w:t xml:space="preserve"> -</w:t>
      </w:r>
      <w:r w:rsidRPr="00070BE9">
        <w:rPr>
          <w:i/>
          <w:iCs/>
        </w:rPr>
        <w:t xml:space="preserve"> A Child-Centred System</w:t>
      </w:r>
      <w:r w:rsidRPr="007D2225">
        <w:t xml:space="preserve">. London: Department for Education. Available at: </w:t>
      </w:r>
      <w:hyperlink r:id="rId15" w:tgtFrame="_new" w:history="1">
        <w:r w:rsidRPr="007D2225">
          <w:rPr>
            <w:rStyle w:val="Hyperlink"/>
          </w:rPr>
          <w:t>https://assets.publishing.service.gov.uk/government/uploads/system/uploads/attachment_data/file/175391/Munro-Review.pdf</w:t>
        </w:r>
      </w:hyperlink>
      <w:r w:rsidRPr="007D2225">
        <w:t xml:space="preserve"> (Accessed: 13 April 2025).</w:t>
      </w:r>
    </w:p>
    <w:p w14:paraId="22FBC475" w14:textId="77777777" w:rsidR="00070BE9" w:rsidRPr="007D2225" w:rsidRDefault="00070BE9" w:rsidP="00070BE9">
      <w:pPr>
        <w:pStyle w:val="ListParagraph"/>
        <w:numPr>
          <w:ilvl w:val="0"/>
          <w:numId w:val="8"/>
        </w:numPr>
        <w:spacing w:line="278" w:lineRule="auto"/>
      </w:pPr>
      <w:r w:rsidRPr="00070BE9">
        <w:rPr>
          <w:lang w:val="nl-NL"/>
        </w:rPr>
        <w:t xml:space="preserve">Norman, R. E. et al. </w:t>
      </w:r>
      <w:r w:rsidRPr="007D2225">
        <w:t xml:space="preserve">(2012) ‘The long-term health consequences of child physical abuse, emotional abuse, and neglect: A systematic review and meta-analysis’, </w:t>
      </w:r>
      <w:r w:rsidRPr="00070BE9">
        <w:rPr>
          <w:i/>
          <w:iCs/>
        </w:rPr>
        <w:t>PLOS Medicine</w:t>
      </w:r>
      <w:r w:rsidRPr="007D2225">
        <w:t>, 9(11), e1001349.</w:t>
      </w:r>
    </w:p>
    <w:p w14:paraId="2FAC8C27" w14:textId="77777777" w:rsidR="00070BE9" w:rsidRPr="007D2225" w:rsidRDefault="00070BE9" w:rsidP="00070BE9">
      <w:pPr>
        <w:pStyle w:val="ListParagraph"/>
        <w:numPr>
          <w:ilvl w:val="0"/>
          <w:numId w:val="8"/>
        </w:numPr>
        <w:spacing w:line="278" w:lineRule="auto"/>
      </w:pPr>
      <w:r w:rsidRPr="007D2225">
        <w:t xml:space="preserve">Percy-Smith, B. and Thomas, N. (2010) </w:t>
      </w:r>
      <w:r w:rsidRPr="00070BE9">
        <w:rPr>
          <w:i/>
          <w:iCs/>
        </w:rPr>
        <w:t>A Handbook of Children and Young People's Participation: Perspectives from Theory and Practice</w:t>
      </w:r>
      <w:r w:rsidRPr="007D2225">
        <w:t>. London: Routledge.</w:t>
      </w:r>
    </w:p>
    <w:p w14:paraId="0989913C" w14:textId="08058356" w:rsidR="00070BE9" w:rsidRPr="007D2225" w:rsidRDefault="00070BE9" w:rsidP="00070BE9">
      <w:pPr>
        <w:pStyle w:val="ListParagraph"/>
        <w:numPr>
          <w:ilvl w:val="0"/>
          <w:numId w:val="8"/>
        </w:numPr>
        <w:spacing w:line="278" w:lineRule="auto"/>
      </w:pPr>
      <w:r w:rsidRPr="007D2225">
        <w:t xml:space="preserve">Singal, N. (2016) ‘Disability, Education and Development: Critical Perspectives on Inclusive Education’, </w:t>
      </w:r>
      <w:r w:rsidRPr="00070BE9">
        <w:rPr>
          <w:i/>
          <w:iCs/>
        </w:rPr>
        <w:t>International Journal of Educational Development</w:t>
      </w:r>
      <w:r w:rsidRPr="007D2225">
        <w:t>, 46, pp. 1</w:t>
      </w:r>
      <w:r w:rsidR="00331A48">
        <w:t xml:space="preserve"> -</w:t>
      </w:r>
      <w:r w:rsidRPr="007D2225">
        <w:t>10.</w:t>
      </w:r>
    </w:p>
    <w:p w14:paraId="7D954ED5" w14:textId="77777777" w:rsidR="00070BE9" w:rsidRPr="007D2225" w:rsidRDefault="00070BE9" w:rsidP="00070BE9">
      <w:pPr>
        <w:pStyle w:val="ListParagraph"/>
        <w:numPr>
          <w:ilvl w:val="0"/>
          <w:numId w:val="8"/>
        </w:numPr>
        <w:spacing w:line="278" w:lineRule="auto"/>
      </w:pPr>
      <w:r w:rsidRPr="007D2225">
        <w:t xml:space="preserve">Smith, R. (2020) </w:t>
      </w:r>
      <w:r w:rsidRPr="00070BE9">
        <w:rPr>
          <w:i/>
          <w:iCs/>
        </w:rPr>
        <w:t>Psychological Wellbeing for Children in the 21st Century</w:t>
      </w:r>
      <w:r w:rsidRPr="007D2225">
        <w:t>. Oxford: Oxford University Press.</w:t>
      </w:r>
    </w:p>
    <w:p w14:paraId="63FE4FBE" w14:textId="77777777" w:rsidR="00070BE9" w:rsidRPr="007D2225" w:rsidRDefault="00070BE9" w:rsidP="00070BE9">
      <w:pPr>
        <w:pStyle w:val="ListParagraph"/>
        <w:numPr>
          <w:ilvl w:val="0"/>
          <w:numId w:val="8"/>
        </w:numPr>
        <w:spacing w:line="278" w:lineRule="auto"/>
      </w:pPr>
      <w:r w:rsidRPr="007D2225">
        <w:t xml:space="preserve">Smith, R. (2021) </w:t>
      </w:r>
      <w:r w:rsidRPr="00070BE9">
        <w:rPr>
          <w:i/>
          <w:iCs/>
        </w:rPr>
        <w:t>Promoting Wellbeing in Schools: Approaches and Best Practices</w:t>
      </w:r>
      <w:r w:rsidRPr="007D2225">
        <w:t>. Oxford: Oxford University Press.</w:t>
      </w:r>
    </w:p>
    <w:p w14:paraId="2E460A5C" w14:textId="5D915D2F" w:rsidR="00070BE9" w:rsidRPr="007D2225" w:rsidRDefault="00070BE9" w:rsidP="00070BE9">
      <w:pPr>
        <w:pStyle w:val="ListParagraph"/>
        <w:numPr>
          <w:ilvl w:val="0"/>
          <w:numId w:val="8"/>
        </w:numPr>
        <w:spacing w:line="278" w:lineRule="auto"/>
      </w:pPr>
      <w:r w:rsidRPr="007D2225">
        <w:t xml:space="preserve">Smith, R. (2023) ‘Flexibility in Mental Health Services for Children’, </w:t>
      </w:r>
      <w:r w:rsidRPr="00070BE9">
        <w:rPr>
          <w:i/>
          <w:iCs/>
        </w:rPr>
        <w:t>Mental Health Review Journal</w:t>
      </w:r>
      <w:r w:rsidRPr="007D2225">
        <w:t>, 28(1), pp. 31</w:t>
      </w:r>
      <w:r w:rsidR="00331A48">
        <w:t xml:space="preserve"> -</w:t>
      </w:r>
      <w:r w:rsidRPr="007D2225">
        <w:t>38.</w:t>
      </w:r>
    </w:p>
    <w:p w14:paraId="50083932" w14:textId="11D032E3" w:rsidR="00070BE9" w:rsidRPr="007D2225" w:rsidRDefault="00070BE9" w:rsidP="00070BE9">
      <w:pPr>
        <w:pStyle w:val="ListParagraph"/>
        <w:numPr>
          <w:ilvl w:val="0"/>
          <w:numId w:val="8"/>
        </w:numPr>
        <w:spacing w:line="278" w:lineRule="auto"/>
      </w:pPr>
      <w:r w:rsidRPr="007D2225">
        <w:t xml:space="preserve">Smith, R. and Green, L. (2023) ‘Evaluating CAMHS: Service Quality and Variability’, </w:t>
      </w:r>
      <w:r w:rsidRPr="00070BE9">
        <w:rPr>
          <w:i/>
          <w:iCs/>
        </w:rPr>
        <w:t>Journal of Child Mental Health Services</w:t>
      </w:r>
      <w:r w:rsidRPr="007D2225">
        <w:t>, 45(3), pp. 55</w:t>
      </w:r>
      <w:r w:rsidR="00331A48">
        <w:t xml:space="preserve"> -</w:t>
      </w:r>
      <w:r w:rsidRPr="007D2225">
        <w:t>60.</w:t>
      </w:r>
    </w:p>
    <w:p w14:paraId="668721D5" w14:textId="77777777" w:rsidR="00070BE9" w:rsidRPr="007D2225" w:rsidRDefault="00070BE9" w:rsidP="00070BE9">
      <w:pPr>
        <w:pStyle w:val="ListParagraph"/>
        <w:numPr>
          <w:ilvl w:val="0"/>
          <w:numId w:val="8"/>
        </w:numPr>
        <w:spacing w:line="278" w:lineRule="auto"/>
      </w:pPr>
      <w:r w:rsidRPr="007D2225">
        <w:t xml:space="preserve">Taylor, S. (2020) </w:t>
      </w:r>
      <w:r w:rsidRPr="00070BE9">
        <w:rPr>
          <w:i/>
          <w:iCs/>
        </w:rPr>
        <w:t>Mental Health and Wellbeing: Children’s Perspectives</w:t>
      </w:r>
      <w:r w:rsidRPr="007D2225">
        <w:t>. Oxford: Oxford University Press.</w:t>
      </w:r>
    </w:p>
    <w:p w14:paraId="6929CD15" w14:textId="77777777" w:rsidR="00070BE9" w:rsidRPr="007D2225" w:rsidRDefault="00070BE9" w:rsidP="00070BE9">
      <w:pPr>
        <w:pStyle w:val="ListParagraph"/>
        <w:numPr>
          <w:ilvl w:val="0"/>
          <w:numId w:val="8"/>
        </w:numPr>
        <w:spacing w:line="278" w:lineRule="auto"/>
      </w:pPr>
      <w:r w:rsidRPr="007D2225">
        <w:t xml:space="preserve">Taylor, S. (2022) </w:t>
      </w:r>
      <w:r w:rsidRPr="00070BE9">
        <w:rPr>
          <w:i/>
          <w:iCs/>
        </w:rPr>
        <w:t>Mental Health and Wellbeing: Children’s Perspectives</w:t>
      </w:r>
      <w:r w:rsidRPr="007D2225">
        <w:t>. Oxford: Oxford University Press.</w:t>
      </w:r>
    </w:p>
    <w:p w14:paraId="03AD7D44" w14:textId="77777777" w:rsidR="00070BE9" w:rsidRPr="007D2225" w:rsidRDefault="00070BE9" w:rsidP="00070BE9">
      <w:pPr>
        <w:pStyle w:val="ListParagraph"/>
        <w:numPr>
          <w:ilvl w:val="0"/>
          <w:numId w:val="8"/>
        </w:numPr>
        <w:spacing w:line="278" w:lineRule="auto"/>
      </w:pPr>
      <w:bookmarkStart w:id="20" w:name="_Hlk195602393"/>
      <w:r w:rsidRPr="00C26BD4">
        <w:t xml:space="preserve">Children’s Commissioner for England </w:t>
      </w:r>
      <w:r>
        <w:t xml:space="preserve">CCE </w:t>
      </w:r>
      <w:r w:rsidRPr="00C26BD4">
        <w:t xml:space="preserve">(2024) </w:t>
      </w:r>
      <w:bookmarkEnd w:id="20"/>
      <w:r w:rsidRPr="00070BE9">
        <w:rPr>
          <w:i/>
          <w:iCs/>
        </w:rPr>
        <w:t>Over a quarter of a million children still waiting for mental health support</w:t>
      </w:r>
      <w:r w:rsidRPr="00C26BD4">
        <w:t xml:space="preserve">. Available at: </w:t>
      </w:r>
      <w:hyperlink r:id="rId16" w:history="1">
        <w:r w:rsidRPr="00C26BD4">
          <w:rPr>
            <w:rStyle w:val="Hyperlink"/>
          </w:rPr>
          <w:t>https://www.childrenscommissioner.gov.uk/blog/over-a-quarter-of-a-million-children-still-waiting-for-mental-health-support/</w:t>
        </w:r>
      </w:hyperlink>
      <w:r w:rsidRPr="00C26BD4">
        <w:t xml:space="preserve"> (Accessed: 15 April 2025).</w:t>
      </w:r>
    </w:p>
    <w:p w14:paraId="31AB5CFD" w14:textId="6DA2BEF5" w:rsidR="00070BE9" w:rsidRPr="007D2225" w:rsidRDefault="00070BE9" w:rsidP="00070BE9">
      <w:pPr>
        <w:pStyle w:val="ListParagraph"/>
        <w:numPr>
          <w:ilvl w:val="0"/>
          <w:numId w:val="8"/>
        </w:numPr>
        <w:spacing w:line="278" w:lineRule="auto"/>
      </w:pPr>
      <w:r w:rsidRPr="007D2225">
        <w:t xml:space="preserve">Thomas, N. (2007) ‘Towards a theory of children’s participation’, </w:t>
      </w:r>
      <w:r w:rsidRPr="00070BE9">
        <w:rPr>
          <w:i/>
          <w:iCs/>
        </w:rPr>
        <w:t>International Journal of Children’s Rights</w:t>
      </w:r>
      <w:r w:rsidRPr="007D2225">
        <w:t>, 15(2), pp. 199</w:t>
      </w:r>
      <w:r w:rsidR="00331A48">
        <w:t xml:space="preserve"> -</w:t>
      </w:r>
      <w:r w:rsidRPr="007D2225">
        <w:t>218.</w:t>
      </w:r>
    </w:p>
    <w:p w14:paraId="161B3419" w14:textId="77777777" w:rsidR="00070BE9" w:rsidRPr="007D2225" w:rsidRDefault="00070BE9" w:rsidP="00070BE9">
      <w:pPr>
        <w:pStyle w:val="ListParagraph"/>
        <w:numPr>
          <w:ilvl w:val="0"/>
          <w:numId w:val="8"/>
        </w:numPr>
        <w:spacing w:line="278" w:lineRule="auto"/>
      </w:pPr>
      <w:r w:rsidRPr="007D2225">
        <w:t xml:space="preserve">Thompson, L. (2007) </w:t>
      </w:r>
      <w:r w:rsidRPr="00070BE9">
        <w:rPr>
          <w:i/>
          <w:iCs/>
        </w:rPr>
        <w:t>Child Protection: Legal Perspectives and Practice</w:t>
      </w:r>
      <w:r w:rsidRPr="007D2225">
        <w:t>. London: Routledge.</w:t>
      </w:r>
    </w:p>
    <w:p w14:paraId="2CAA62EC" w14:textId="77777777" w:rsidR="00070BE9" w:rsidRPr="007D2225" w:rsidRDefault="00070BE9" w:rsidP="00070BE9">
      <w:pPr>
        <w:pStyle w:val="ListParagraph"/>
        <w:numPr>
          <w:ilvl w:val="0"/>
          <w:numId w:val="8"/>
        </w:numPr>
        <w:spacing w:line="278" w:lineRule="auto"/>
      </w:pPr>
      <w:r w:rsidRPr="007D2225">
        <w:t xml:space="preserve">Thompson, L. and Harris, R. (2022) </w:t>
      </w:r>
      <w:r w:rsidRPr="00070BE9">
        <w:rPr>
          <w:i/>
          <w:iCs/>
        </w:rPr>
        <w:t>Therapeutic Interventions for Children: A Guide to Effective Practice</w:t>
      </w:r>
      <w:r w:rsidRPr="007D2225">
        <w:t>. London: Palgrave Macmillan.</w:t>
      </w:r>
    </w:p>
    <w:p w14:paraId="1FA1C849" w14:textId="56DA9459" w:rsidR="00070BE9" w:rsidRPr="007D2225" w:rsidRDefault="00070BE9" w:rsidP="00070BE9">
      <w:pPr>
        <w:pStyle w:val="ListParagraph"/>
        <w:numPr>
          <w:ilvl w:val="0"/>
          <w:numId w:val="8"/>
        </w:numPr>
        <w:spacing w:line="278" w:lineRule="auto"/>
      </w:pPr>
      <w:r w:rsidRPr="007D2225">
        <w:t xml:space="preserve">UNESCO (2022) </w:t>
      </w:r>
      <w:r w:rsidRPr="00070BE9">
        <w:rPr>
          <w:i/>
          <w:iCs/>
        </w:rPr>
        <w:t xml:space="preserve">Global Education Monitoring Report 2022: Inclusion and education </w:t>
      </w:r>
      <w:r w:rsidR="00331A48">
        <w:rPr>
          <w:i/>
          <w:iCs/>
        </w:rPr>
        <w:t xml:space="preserve"> -</w:t>
      </w:r>
      <w:r w:rsidRPr="00070BE9">
        <w:rPr>
          <w:i/>
          <w:iCs/>
        </w:rPr>
        <w:t xml:space="preserve"> All means all</w:t>
      </w:r>
      <w:r w:rsidRPr="007D2225">
        <w:t xml:space="preserve">. Paris: UNESCO. Available at: </w:t>
      </w:r>
      <w:hyperlink r:id="rId17" w:tgtFrame="_new" w:history="1">
        <w:r w:rsidRPr="007D2225">
          <w:rPr>
            <w:rStyle w:val="Hyperlink"/>
          </w:rPr>
          <w:t>https://unesdoc.unesco.org/ark:/48223/pf00003</w:t>
        </w:r>
        <w:r w:rsidRPr="007D2225">
          <w:rPr>
            <w:rStyle w:val="Hyperlink"/>
          </w:rPr>
          <w:t>7</w:t>
        </w:r>
        <w:r w:rsidRPr="007D2225">
          <w:rPr>
            <w:rStyle w:val="Hyperlink"/>
          </w:rPr>
          <w:t>9838</w:t>
        </w:r>
      </w:hyperlink>
      <w:r w:rsidRPr="007D2225">
        <w:t xml:space="preserve"> (Accessed: 13 April 2025).</w:t>
      </w:r>
    </w:p>
    <w:p w14:paraId="1C8D561D" w14:textId="77777777" w:rsidR="00070BE9" w:rsidRPr="007D2225" w:rsidRDefault="00070BE9" w:rsidP="00070BE9">
      <w:pPr>
        <w:pStyle w:val="ListParagraph"/>
        <w:numPr>
          <w:ilvl w:val="0"/>
          <w:numId w:val="8"/>
        </w:numPr>
        <w:spacing w:line="278" w:lineRule="auto"/>
      </w:pPr>
      <w:r w:rsidRPr="007D2225">
        <w:lastRenderedPageBreak/>
        <w:t xml:space="preserve">UNICEF (2021) </w:t>
      </w:r>
      <w:r w:rsidRPr="00070BE9">
        <w:rPr>
          <w:i/>
          <w:iCs/>
        </w:rPr>
        <w:t>State of the World’s Children 2021: On My Mind: Promoting, protecting and caring for children’s mental health</w:t>
      </w:r>
      <w:r w:rsidRPr="007D2225">
        <w:t xml:space="preserve">. Available at: </w:t>
      </w:r>
      <w:hyperlink r:id="rId18" w:tgtFrame="_new" w:history="1">
        <w:r w:rsidRPr="007D2225">
          <w:rPr>
            <w:rStyle w:val="Hyperlink"/>
          </w:rPr>
          <w:t>https://www.unicef.org/reports/state-worlds-children-2021</w:t>
        </w:r>
      </w:hyperlink>
      <w:r w:rsidRPr="007D2225">
        <w:t xml:space="preserve"> (Accessed: 13 April 2025).</w:t>
      </w:r>
    </w:p>
    <w:p w14:paraId="752D55D9" w14:textId="77777777" w:rsidR="00070BE9" w:rsidRPr="007D2225" w:rsidRDefault="00070BE9" w:rsidP="00070BE9">
      <w:pPr>
        <w:pStyle w:val="ListParagraph"/>
        <w:numPr>
          <w:ilvl w:val="0"/>
          <w:numId w:val="8"/>
        </w:numPr>
        <w:spacing w:line="278" w:lineRule="auto"/>
      </w:pPr>
      <w:r w:rsidRPr="007D2225">
        <w:t xml:space="preserve">United Nations (1959) </w:t>
      </w:r>
      <w:r w:rsidRPr="00070BE9">
        <w:rPr>
          <w:i/>
          <w:iCs/>
        </w:rPr>
        <w:t>Declaration of the Rights of the Child</w:t>
      </w:r>
      <w:r w:rsidRPr="007D2225">
        <w:t xml:space="preserve">. Available at: </w:t>
      </w:r>
      <w:hyperlink r:id="rId19" w:history="1">
        <w:r w:rsidRPr="00CE5528">
          <w:rPr>
            <w:rStyle w:val="Hyperlink"/>
          </w:rPr>
          <w:t>https://digitallibrary.un.org/record/195831/files/A_RES_1386%28XIV%29-EN.pdf</w:t>
        </w:r>
      </w:hyperlink>
      <w:r>
        <w:t xml:space="preserve"> </w:t>
      </w:r>
      <w:r w:rsidRPr="007D2225">
        <w:t xml:space="preserve"> (Accessed: 1</w:t>
      </w:r>
      <w:r>
        <w:t>6</w:t>
      </w:r>
      <w:r w:rsidRPr="007D2225">
        <w:t xml:space="preserve"> April 2025).</w:t>
      </w:r>
    </w:p>
    <w:p w14:paraId="67435253" w14:textId="77777777" w:rsidR="00070BE9" w:rsidRPr="007D2225" w:rsidRDefault="00070BE9" w:rsidP="00070BE9">
      <w:pPr>
        <w:pStyle w:val="ListParagraph"/>
        <w:numPr>
          <w:ilvl w:val="0"/>
          <w:numId w:val="8"/>
        </w:numPr>
        <w:spacing w:line="278" w:lineRule="auto"/>
      </w:pPr>
      <w:r w:rsidRPr="007D2225">
        <w:t xml:space="preserve">United Nations (1989) </w:t>
      </w:r>
      <w:r w:rsidRPr="00070BE9">
        <w:rPr>
          <w:i/>
          <w:iCs/>
        </w:rPr>
        <w:t>Convention on the Rights of the Child</w:t>
      </w:r>
      <w:r w:rsidRPr="007D2225">
        <w:t xml:space="preserve">. Available at: </w:t>
      </w:r>
      <w:hyperlink r:id="rId20" w:history="1">
        <w:r w:rsidRPr="00CE5528">
          <w:rPr>
            <w:rStyle w:val="Hyperlink"/>
          </w:rPr>
          <w:t>https://www.ohchr.org/sites/default/files/crc.pdf</w:t>
        </w:r>
      </w:hyperlink>
      <w:r>
        <w:t xml:space="preserve"> </w:t>
      </w:r>
      <w:r w:rsidRPr="007D2225">
        <w:t xml:space="preserve"> (Accessed: 13 April 2025).</w:t>
      </w:r>
    </w:p>
    <w:p w14:paraId="1CBA3AF5" w14:textId="578A0043" w:rsidR="00070BE9" w:rsidRPr="007D2225" w:rsidRDefault="00070BE9" w:rsidP="00070BE9">
      <w:pPr>
        <w:pStyle w:val="ListParagraph"/>
        <w:numPr>
          <w:ilvl w:val="0"/>
          <w:numId w:val="8"/>
        </w:numPr>
        <w:spacing w:line="278" w:lineRule="auto"/>
      </w:pPr>
      <w:proofErr w:type="spellStart"/>
      <w:r w:rsidRPr="007D2225">
        <w:t>Unterhalter</w:t>
      </w:r>
      <w:proofErr w:type="spellEnd"/>
      <w:r w:rsidRPr="007D2225">
        <w:t xml:space="preserve">, E. (2017) ‘Gender and Education in the Global South: Continuity and Change’, </w:t>
      </w:r>
      <w:r w:rsidRPr="00070BE9">
        <w:rPr>
          <w:i/>
          <w:iCs/>
        </w:rPr>
        <w:t>Comparative Education</w:t>
      </w:r>
      <w:r w:rsidRPr="007D2225">
        <w:t>, 53(3), pp. 315</w:t>
      </w:r>
      <w:r w:rsidR="00331A48">
        <w:t xml:space="preserve"> -</w:t>
      </w:r>
      <w:r w:rsidRPr="007D2225">
        <w:t>330.</w:t>
      </w:r>
    </w:p>
    <w:p w14:paraId="2F7485B2" w14:textId="77777777" w:rsidR="00070BE9" w:rsidRPr="007D2225" w:rsidRDefault="00070BE9" w:rsidP="00070BE9">
      <w:pPr>
        <w:pStyle w:val="ListParagraph"/>
        <w:numPr>
          <w:ilvl w:val="0"/>
          <w:numId w:val="8"/>
        </w:numPr>
        <w:spacing w:line="278" w:lineRule="auto"/>
      </w:pPr>
      <w:r w:rsidRPr="007D2225">
        <w:t xml:space="preserve">Williams, H. and Brown, J. (2021) </w:t>
      </w:r>
      <w:r w:rsidRPr="00070BE9">
        <w:rPr>
          <w:i/>
          <w:iCs/>
        </w:rPr>
        <w:t>Post-Treatment Care for Children: The Importance of Follow-Up Support</w:t>
      </w:r>
      <w:r w:rsidRPr="007D2225">
        <w:t>. London: Palgrave Macmillan.</w:t>
      </w:r>
    </w:p>
    <w:p w14:paraId="2439DC73" w14:textId="773757A1" w:rsidR="00070BE9" w:rsidRPr="007D2225" w:rsidRDefault="00070BE9" w:rsidP="00070BE9">
      <w:pPr>
        <w:pStyle w:val="ListParagraph"/>
        <w:numPr>
          <w:ilvl w:val="0"/>
          <w:numId w:val="8"/>
        </w:numPr>
        <w:spacing w:line="278" w:lineRule="auto"/>
      </w:pPr>
      <w:r w:rsidRPr="007D2225">
        <w:t xml:space="preserve">Williams, H. and Brown, J. (2023) ‘Post-Treatment Care: The Importance of Follow-Up Support’, </w:t>
      </w:r>
      <w:r w:rsidRPr="00070BE9">
        <w:rPr>
          <w:i/>
          <w:iCs/>
        </w:rPr>
        <w:t>Journal of Child Health</w:t>
      </w:r>
      <w:r w:rsidRPr="007D2225">
        <w:t>, 42(1), pp. 70</w:t>
      </w:r>
      <w:r w:rsidR="00331A48">
        <w:t xml:space="preserve"> -</w:t>
      </w:r>
      <w:r w:rsidRPr="007D2225">
        <w:t>76.</w:t>
      </w:r>
    </w:p>
    <w:p w14:paraId="5ACAF900" w14:textId="77777777" w:rsidR="00070BE9" w:rsidRPr="007D2225" w:rsidRDefault="00070BE9" w:rsidP="00070BE9"/>
    <w:p w14:paraId="0DE718D5" w14:textId="77777777" w:rsidR="00BA65C5" w:rsidRPr="0041665C" w:rsidRDefault="00BA65C5" w:rsidP="00BA65C5"/>
    <w:p w14:paraId="72411968" w14:textId="77777777" w:rsidR="00DE2155" w:rsidRPr="00C16211" w:rsidRDefault="00DE2155" w:rsidP="00CA3022">
      <w:pPr>
        <w:pStyle w:val="ListParagraph"/>
      </w:pPr>
    </w:p>
    <w:p w14:paraId="40298AAD" w14:textId="6E812D51" w:rsidR="00720F70" w:rsidRPr="00720F70" w:rsidRDefault="00720F70" w:rsidP="00720F70"/>
    <w:p w14:paraId="5633C6D9" w14:textId="77777777" w:rsidR="00BD75B0" w:rsidRPr="00285C52" w:rsidRDefault="00BD75B0" w:rsidP="00BD75B0">
      <w:pPr>
        <w:jc w:val="center"/>
      </w:pPr>
    </w:p>
    <w:p w14:paraId="21CFCE3F" w14:textId="77777777" w:rsidR="005828AE" w:rsidRPr="00285C52" w:rsidRDefault="005828AE" w:rsidP="005828AE"/>
    <w:p w14:paraId="7AB880A2" w14:textId="77777777" w:rsidR="005828AE" w:rsidRPr="00285C52" w:rsidRDefault="005828AE" w:rsidP="005828AE"/>
    <w:p w14:paraId="65855134" w14:textId="77777777" w:rsidR="005828AE" w:rsidRPr="00285C52" w:rsidRDefault="005828AE" w:rsidP="005828AE"/>
    <w:p w14:paraId="0BBF15C6" w14:textId="77777777" w:rsidR="002C1303" w:rsidRDefault="002C1303"/>
    <w:sectPr w:rsidR="002C13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C242E3" w14:textId="77777777" w:rsidR="00D94941" w:rsidRDefault="00D94941" w:rsidP="002C1303">
      <w:pPr>
        <w:spacing w:after="0" w:line="240" w:lineRule="auto"/>
      </w:pPr>
      <w:r>
        <w:separator/>
      </w:r>
    </w:p>
  </w:endnote>
  <w:endnote w:type="continuationSeparator" w:id="0">
    <w:p w14:paraId="3E0B7443" w14:textId="77777777" w:rsidR="00D94941" w:rsidRDefault="00D94941" w:rsidP="002C13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D5CF56" w14:textId="77777777" w:rsidR="00D94941" w:rsidRDefault="00D94941" w:rsidP="002C1303">
      <w:pPr>
        <w:spacing w:after="0" w:line="240" w:lineRule="auto"/>
      </w:pPr>
      <w:r>
        <w:separator/>
      </w:r>
    </w:p>
  </w:footnote>
  <w:footnote w:type="continuationSeparator" w:id="0">
    <w:p w14:paraId="0BC94540" w14:textId="77777777" w:rsidR="00D94941" w:rsidRDefault="00D94941" w:rsidP="002C13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87C71"/>
    <w:multiLevelType w:val="hybridMultilevel"/>
    <w:tmpl w:val="800029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0318C3"/>
    <w:multiLevelType w:val="hybridMultilevel"/>
    <w:tmpl w:val="497435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316029"/>
    <w:multiLevelType w:val="multilevel"/>
    <w:tmpl w:val="9A9AB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9453F38"/>
    <w:multiLevelType w:val="multilevel"/>
    <w:tmpl w:val="10584A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FAC748A"/>
    <w:multiLevelType w:val="hybridMultilevel"/>
    <w:tmpl w:val="597E92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1306CD5"/>
    <w:multiLevelType w:val="multilevel"/>
    <w:tmpl w:val="FFB444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7D41B7C"/>
    <w:multiLevelType w:val="multilevel"/>
    <w:tmpl w:val="4D9AA6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8272801"/>
    <w:multiLevelType w:val="hybridMultilevel"/>
    <w:tmpl w:val="D612FD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86449963">
    <w:abstractNumId w:val="2"/>
  </w:num>
  <w:num w:numId="2" w16cid:durableId="860976571">
    <w:abstractNumId w:val="5"/>
  </w:num>
  <w:num w:numId="3" w16cid:durableId="342321153">
    <w:abstractNumId w:val="6"/>
  </w:num>
  <w:num w:numId="4" w16cid:durableId="1040587691">
    <w:abstractNumId w:val="3"/>
  </w:num>
  <w:num w:numId="5" w16cid:durableId="1332293870">
    <w:abstractNumId w:val="7"/>
  </w:num>
  <w:num w:numId="6" w16cid:durableId="1563754759">
    <w:abstractNumId w:val="0"/>
  </w:num>
  <w:num w:numId="7" w16cid:durableId="1766612985">
    <w:abstractNumId w:val="1"/>
  </w:num>
  <w:num w:numId="8" w16cid:durableId="155939148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2E61"/>
    <w:rsid w:val="0001707C"/>
    <w:rsid w:val="000320C6"/>
    <w:rsid w:val="00070BE9"/>
    <w:rsid w:val="000D14D1"/>
    <w:rsid w:val="00163897"/>
    <w:rsid w:val="0016736F"/>
    <w:rsid w:val="00236A88"/>
    <w:rsid w:val="002B2DB0"/>
    <w:rsid w:val="002C1303"/>
    <w:rsid w:val="00331A48"/>
    <w:rsid w:val="00433F5A"/>
    <w:rsid w:val="004E2EA7"/>
    <w:rsid w:val="005828AE"/>
    <w:rsid w:val="00587419"/>
    <w:rsid w:val="00616E7D"/>
    <w:rsid w:val="00652BBA"/>
    <w:rsid w:val="007147CE"/>
    <w:rsid w:val="00720F70"/>
    <w:rsid w:val="007F7279"/>
    <w:rsid w:val="0080413F"/>
    <w:rsid w:val="00826127"/>
    <w:rsid w:val="00927151"/>
    <w:rsid w:val="00956A61"/>
    <w:rsid w:val="009B4CCE"/>
    <w:rsid w:val="00A84517"/>
    <w:rsid w:val="00AF1894"/>
    <w:rsid w:val="00BA65C5"/>
    <w:rsid w:val="00BD75B0"/>
    <w:rsid w:val="00CA3022"/>
    <w:rsid w:val="00D94941"/>
    <w:rsid w:val="00DE2155"/>
    <w:rsid w:val="00DF2A5A"/>
    <w:rsid w:val="00E04ADA"/>
    <w:rsid w:val="00F56F49"/>
    <w:rsid w:val="00FC2E61"/>
    <w:rsid w:val="00FE09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B4083B"/>
  <w15:chartTrackingRefBased/>
  <w15:docId w15:val="{D8514174-F4AC-48DA-A0AE-4018B22901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09FC"/>
    <w:pPr>
      <w:spacing w:line="360" w:lineRule="auto"/>
    </w:pPr>
    <w:rPr>
      <w:rFonts w:ascii="Arial" w:hAnsi="Arial"/>
    </w:rPr>
  </w:style>
  <w:style w:type="paragraph" w:styleId="Heading1">
    <w:name w:val="heading 1"/>
    <w:basedOn w:val="Normal"/>
    <w:next w:val="Normal"/>
    <w:link w:val="Heading1Char"/>
    <w:autoRedefine/>
    <w:uiPriority w:val="9"/>
    <w:qFormat/>
    <w:rsid w:val="00433F5A"/>
    <w:pPr>
      <w:keepNext/>
      <w:keepLines/>
      <w:spacing w:before="360" w:after="80"/>
      <w:outlineLvl w:val="0"/>
    </w:pPr>
    <w:rPr>
      <w:rFonts w:eastAsiaTheme="majorEastAsia" w:cstheme="majorBidi"/>
      <w:b/>
      <w:color w:val="0F4761" w:themeColor="accent1" w:themeShade="BF"/>
      <w:szCs w:val="40"/>
    </w:rPr>
  </w:style>
  <w:style w:type="paragraph" w:styleId="Heading2">
    <w:name w:val="heading 2"/>
    <w:basedOn w:val="Normal"/>
    <w:next w:val="Normal"/>
    <w:link w:val="Heading2Char"/>
    <w:autoRedefine/>
    <w:uiPriority w:val="9"/>
    <w:unhideWhenUsed/>
    <w:qFormat/>
    <w:rsid w:val="00FE09FC"/>
    <w:pPr>
      <w:keepNext/>
      <w:keepLines/>
      <w:spacing w:before="160" w:after="80"/>
      <w:outlineLvl w:val="1"/>
    </w:pPr>
    <w:rPr>
      <w:rFonts w:eastAsiaTheme="majorEastAsia" w:cstheme="majorBidi"/>
      <w:b/>
      <w:color w:val="0F4761" w:themeColor="accent1" w:themeShade="BF"/>
      <w:szCs w:val="32"/>
    </w:rPr>
  </w:style>
  <w:style w:type="paragraph" w:styleId="Heading3">
    <w:name w:val="heading 3"/>
    <w:basedOn w:val="Normal"/>
    <w:next w:val="Normal"/>
    <w:link w:val="Heading3Char"/>
    <w:uiPriority w:val="9"/>
    <w:semiHidden/>
    <w:unhideWhenUsed/>
    <w:qFormat/>
    <w:rsid w:val="00FC2E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2E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2E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2E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2E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2E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2E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3F5A"/>
    <w:rPr>
      <w:rFonts w:ascii="Arial" w:eastAsiaTheme="majorEastAsia" w:hAnsi="Arial" w:cstheme="majorBidi"/>
      <w:b/>
      <w:color w:val="0F4761" w:themeColor="accent1" w:themeShade="BF"/>
      <w:szCs w:val="40"/>
    </w:rPr>
  </w:style>
  <w:style w:type="character" w:customStyle="1" w:styleId="Heading2Char">
    <w:name w:val="Heading 2 Char"/>
    <w:basedOn w:val="DefaultParagraphFont"/>
    <w:link w:val="Heading2"/>
    <w:uiPriority w:val="9"/>
    <w:rsid w:val="00FE09FC"/>
    <w:rPr>
      <w:rFonts w:ascii="Arial" w:eastAsiaTheme="majorEastAsia" w:hAnsi="Arial" w:cstheme="majorBidi"/>
      <w:b/>
      <w:color w:val="0F4761" w:themeColor="accent1" w:themeShade="BF"/>
      <w:szCs w:val="32"/>
    </w:rPr>
  </w:style>
  <w:style w:type="character" w:customStyle="1" w:styleId="Heading3Char">
    <w:name w:val="Heading 3 Char"/>
    <w:basedOn w:val="DefaultParagraphFont"/>
    <w:link w:val="Heading3"/>
    <w:uiPriority w:val="9"/>
    <w:semiHidden/>
    <w:rsid w:val="00FC2E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2E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2E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2E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2E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2E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2E61"/>
    <w:rPr>
      <w:rFonts w:eastAsiaTheme="majorEastAsia" w:cstheme="majorBidi"/>
      <w:color w:val="272727" w:themeColor="text1" w:themeTint="D8"/>
    </w:rPr>
  </w:style>
  <w:style w:type="paragraph" w:styleId="Title">
    <w:name w:val="Title"/>
    <w:basedOn w:val="Normal"/>
    <w:next w:val="Normal"/>
    <w:link w:val="TitleChar"/>
    <w:uiPriority w:val="10"/>
    <w:qFormat/>
    <w:rsid w:val="00FC2E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2E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2E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2E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2E61"/>
    <w:pPr>
      <w:spacing w:before="160"/>
      <w:jc w:val="center"/>
    </w:pPr>
    <w:rPr>
      <w:i/>
      <w:iCs/>
      <w:color w:val="404040" w:themeColor="text1" w:themeTint="BF"/>
    </w:rPr>
  </w:style>
  <w:style w:type="character" w:customStyle="1" w:styleId="QuoteChar">
    <w:name w:val="Quote Char"/>
    <w:basedOn w:val="DefaultParagraphFont"/>
    <w:link w:val="Quote"/>
    <w:uiPriority w:val="29"/>
    <w:rsid w:val="00FC2E61"/>
    <w:rPr>
      <w:i/>
      <w:iCs/>
      <w:color w:val="404040" w:themeColor="text1" w:themeTint="BF"/>
    </w:rPr>
  </w:style>
  <w:style w:type="paragraph" w:styleId="ListParagraph">
    <w:name w:val="List Paragraph"/>
    <w:basedOn w:val="Normal"/>
    <w:uiPriority w:val="34"/>
    <w:qFormat/>
    <w:rsid w:val="00FC2E61"/>
    <w:pPr>
      <w:ind w:left="720"/>
      <w:contextualSpacing/>
    </w:pPr>
  </w:style>
  <w:style w:type="character" w:styleId="IntenseEmphasis">
    <w:name w:val="Intense Emphasis"/>
    <w:basedOn w:val="DefaultParagraphFont"/>
    <w:uiPriority w:val="21"/>
    <w:qFormat/>
    <w:rsid w:val="00FC2E61"/>
    <w:rPr>
      <w:i/>
      <w:iCs/>
      <w:color w:val="0F4761" w:themeColor="accent1" w:themeShade="BF"/>
    </w:rPr>
  </w:style>
  <w:style w:type="paragraph" w:styleId="IntenseQuote">
    <w:name w:val="Intense Quote"/>
    <w:basedOn w:val="Normal"/>
    <w:next w:val="Normal"/>
    <w:link w:val="IntenseQuoteChar"/>
    <w:uiPriority w:val="30"/>
    <w:qFormat/>
    <w:rsid w:val="00FC2E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2E61"/>
    <w:rPr>
      <w:i/>
      <w:iCs/>
      <w:color w:val="0F4761" w:themeColor="accent1" w:themeShade="BF"/>
    </w:rPr>
  </w:style>
  <w:style w:type="character" w:styleId="IntenseReference">
    <w:name w:val="Intense Reference"/>
    <w:basedOn w:val="DefaultParagraphFont"/>
    <w:uiPriority w:val="32"/>
    <w:qFormat/>
    <w:rsid w:val="00FC2E61"/>
    <w:rPr>
      <w:b/>
      <w:bCs/>
      <w:smallCaps/>
      <w:color w:val="0F4761" w:themeColor="accent1" w:themeShade="BF"/>
      <w:spacing w:val="5"/>
    </w:rPr>
  </w:style>
  <w:style w:type="paragraph" w:styleId="TOCHeading">
    <w:name w:val="TOC Heading"/>
    <w:basedOn w:val="Heading1"/>
    <w:next w:val="Normal"/>
    <w:uiPriority w:val="39"/>
    <w:unhideWhenUsed/>
    <w:qFormat/>
    <w:rsid w:val="007F727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E09FC"/>
    <w:pPr>
      <w:spacing w:after="100"/>
    </w:pPr>
  </w:style>
  <w:style w:type="character" w:styleId="Hyperlink">
    <w:name w:val="Hyperlink"/>
    <w:basedOn w:val="DefaultParagraphFont"/>
    <w:uiPriority w:val="99"/>
    <w:unhideWhenUsed/>
    <w:rsid w:val="00FE09FC"/>
    <w:rPr>
      <w:color w:val="467886" w:themeColor="hyperlink"/>
      <w:u w:val="single"/>
    </w:rPr>
  </w:style>
  <w:style w:type="paragraph" w:styleId="Header">
    <w:name w:val="header"/>
    <w:basedOn w:val="Normal"/>
    <w:link w:val="HeaderChar"/>
    <w:uiPriority w:val="99"/>
    <w:unhideWhenUsed/>
    <w:rsid w:val="002C13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303"/>
    <w:rPr>
      <w:rFonts w:ascii="Arial" w:hAnsi="Arial"/>
    </w:rPr>
  </w:style>
  <w:style w:type="paragraph" w:styleId="Footer">
    <w:name w:val="footer"/>
    <w:basedOn w:val="Normal"/>
    <w:link w:val="FooterChar"/>
    <w:uiPriority w:val="99"/>
    <w:unhideWhenUsed/>
    <w:rsid w:val="002C13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303"/>
    <w:rPr>
      <w:rFonts w:ascii="Arial" w:hAnsi="Arial"/>
    </w:rPr>
  </w:style>
  <w:style w:type="paragraph" w:styleId="TOC2">
    <w:name w:val="toc 2"/>
    <w:basedOn w:val="Normal"/>
    <w:next w:val="Normal"/>
    <w:autoRedefine/>
    <w:uiPriority w:val="39"/>
    <w:unhideWhenUsed/>
    <w:rsid w:val="0001707C"/>
    <w:pPr>
      <w:spacing w:after="100"/>
      <w:ind w:left="240"/>
    </w:pPr>
  </w:style>
  <w:style w:type="character" w:styleId="UnresolvedMention">
    <w:name w:val="Unresolved Mention"/>
    <w:basedOn w:val="DefaultParagraphFont"/>
    <w:uiPriority w:val="99"/>
    <w:semiHidden/>
    <w:unhideWhenUsed/>
    <w:rsid w:val="00BA65C5"/>
    <w:rPr>
      <w:color w:val="605E5C"/>
      <w:shd w:val="clear" w:color="auto" w:fill="E1DFDD"/>
    </w:rPr>
  </w:style>
  <w:style w:type="character" w:styleId="FollowedHyperlink">
    <w:name w:val="FollowedHyperlink"/>
    <w:basedOn w:val="DefaultParagraphFont"/>
    <w:uiPriority w:val="99"/>
    <w:semiHidden/>
    <w:unhideWhenUsed/>
    <w:rsid w:val="000320C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1219006">
      <w:bodyDiv w:val="1"/>
      <w:marLeft w:val="0"/>
      <w:marRight w:val="0"/>
      <w:marTop w:val="0"/>
      <w:marBottom w:val="0"/>
      <w:divBdr>
        <w:top w:val="none" w:sz="0" w:space="0" w:color="auto"/>
        <w:left w:val="none" w:sz="0" w:space="0" w:color="auto"/>
        <w:bottom w:val="none" w:sz="0" w:space="0" w:color="auto"/>
        <w:right w:val="none" w:sz="0" w:space="0" w:color="auto"/>
      </w:divBdr>
    </w:div>
    <w:div w:id="1024137255">
      <w:bodyDiv w:val="1"/>
      <w:marLeft w:val="0"/>
      <w:marRight w:val="0"/>
      <w:marTop w:val="0"/>
      <w:marBottom w:val="0"/>
      <w:divBdr>
        <w:top w:val="none" w:sz="0" w:space="0" w:color="auto"/>
        <w:left w:val="none" w:sz="0" w:space="0" w:color="auto"/>
        <w:bottom w:val="none" w:sz="0" w:space="0" w:color="auto"/>
        <w:right w:val="none" w:sz="0" w:space="0" w:color="auto"/>
      </w:divBdr>
    </w:div>
    <w:div w:id="1860315789">
      <w:bodyDiv w:val="1"/>
      <w:marLeft w:val="0"/>
      <w:marRight w:val="0"/>
      <w:marTop w:val="0"/>
      <w:marBottom w:val="0"/>
      <w:divBdr>
        <w:top w:val="none" w:sz="0" w:space="0" w:color="auto"/>
        <w:left w:val="none" w:sz="0" w:space="0" w:color="auto"/>
        <w:bottom w:val="none" w:sz="0" w:space="0" w:color="auto"/>
        <w:right w:val="none" w:sz="0" w:space="0" w:color="auto"/>
      </w:divBdr>
    </w:div>
    <w:div w:id="2102949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ur-lex.europa.eu/legal-content/EN/TXT/PDF/?uri=CELEX:32011L0092" TargetMode="External"/><Relationship Id="rId18" Type="http://schemas.openxmlformats.org/officeDocument/2006/relationships/hyperlink" Target="https://www.unicef.org/reports/state-worlds-children-2021"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unesdoc.unesco.org/ark:/48223/pf0000379838" TargetMode="External"/><Relationship Id="rId2" Type="http://schemas.openxmlformats.org/officeDocument/2006/relationships/numbering" Target="numbering.xml"/><Relationship Id="rId16" Type="http://schemas.openxmlformats.org/officeDocument/2006/relationships/hyperlink" Target="https://www.childrenscommissioner.gov.uk/blog/over-a-quarter-of-a-million-children-still-waiting-for-mental-health-support/" TargetMode="External"/><Relationship Id="rId20" Type="http://schemas.openxmlformats.org/officeDocument/2006/relationships/hyperlink" Target="https://www.ohchr.org/sites/default/files/crc.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assets.publishing.service.gov.uk/government/uploads/system/uploads/attachment_data/file/175391/Munro-Review.pdf" TargetMode="External"/><Relationship Id="rId10" Type="http://schemas.openxmlformats.org/officeDocument/2006/relationships/image" Target="media/image3.png"/><Relationship Id="rId19" Type="http://schemas.openxmlformats.org/officeDocument/2006/relationships/hyperlink" Target="https://digitallibrary.un.org/record/195831/files/A_RES_1386%28XIV%29-EN.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ur-lex.europa.eu/legal-content/EN/TXT/PDF/?uri=CELEX:32016R0679"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F0CBFE-6372-4348-8AD5-B1458F1F08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1454</TotalTime>
  <Pages>17</Pages>
  <Words>4663</Words>
  <Characters>26584</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Lupse (2227229)</dc:creator>
  <cp:keywords/>
  <dc:description/>
  <cp:lastModifiedBy>Dan Lupse (2227229)</cp:lastModifiedBy>
  <cp:revision>29</cp:revision>
  <dcterms:created xsi:type="dcterms:W3CDTF">2025-04-10T20:55:00Z</dcterms:created>
  <dcterms:modified xsi:type="dcterms:W3CDTF">2025-04-16T05:51:00Z</dcterms:modified>
</cp:coreProperties>
</file>