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5C173" w14:textId="51E03A22" w:rsidR="006F4D94" w:rsidRPr="000C05B8" w:rsidRDefault="006F4D94" w:rsidP="006D63F2">
      <w:pPr>
        <w:jc w:val="center"/>
        <w:rPr>
          <w:rFonts w:asciiTheme="majorHAnsi" w:hAnsiTheme="majorHAnsi" w:cstheme="majorHAnsi"/>
          <w:b/>
          <w:bCs/>
          <w:sz w:val="36"/>
          <w:szCs w:val="36"/>
        </w:rPr>
      </w:pPr>
      <w:r w:rsidRPr="000C05B8">
        <w:rPr>
          <w:rFonts w:asciiTheme="majorHAnsi" w:hAnsiTheme="majorHAnsi" w:cstheme="majorHAnsi"/>
          <w:b/>
          <w:bCs/>
          <w:sz w:val="56"/>
          <w:szCs w:val="56"/>
        </w:rPr>
        <w:t>The Integral Role of Dietitians in Promoting Health and Well-being</w:t>
      </w:r>
    </w:p>
    <w:p w14:paraId="654F4FFB" w14:textId="77777777" w:rsidR="006F4D94" w:rsidRPr="000C05B8" w:rsidRDefault="006F4D94" w:rsidP="006D63F2">
      <w:pPr>
        <w:jc w:val="both"/>
        <w:rPr>
          <w:rFonts w:ascii="Times New Roman" w:hAnsi="Times New Roman" w:cs="Times New Roman"/>
          <w:b/>
          <w:bCs/>
          <w:sz w:val="24"/>
          <w:szCs w:val="24"/>
        </w:rPr>
      </w:pPr>
    </w:p>
    <w:p w14:paraId="047F7007" w14:textId="77777777" w:rsidR="006F4D94" w:rsidRPr="000C05B8" w:rsidRDefault="006F4D94" w:rsidP="006D63F2">
      <w:pPr>
        <w:jc w:val="both"/>
        <w:rPr>
          <w:rFonts w:ascii="Times New Roman" w:hAnsi="Times New Roman" w:cs="Times New Roman"/>
          <w:b/>
          <w:bCs/>
          <w:sz w:val="24"/>
          <w:szCs w:val="24"/>
        </w:rPr>
      </w:pPr>
    </w:p>
    <w:p w14:paraId="7E75A1F6" w14:textId="2EBC2FB8" w:rsidR="004468AF" w:rsidRPr="000C05B8" w:rsidRDefault="004468AF" w:rsidP="006D63F2">
      <w:pPr>
        <w:jc w:val="both"/>
        <w:rPr>
          <w:rFonts w:ascii="Times New Roman" w:hAnsi="Times New Roman" w:cs="Times New Roman"/>
          <w:b/>
          <w:bCs/>
          <w:sz w:val="24"/>
          <w:szCs w:val="24"/>
        </w:rPr>
      </w:pPr>
      <w:r w:rsidRPr="000C05B8">
        <w:rPr>
          <w:rFonts w:ascii="Times New Roman" w:hAnsi="Times New Roman" w:cs="Times New Roman"/>
          <w:b/>
          <w:bCs/>
          <w:sz w:val="24"/>
          <w:szCs w:val="24"/>
        </w:rPr>
        <w:t>Introduction</w:t>
      </w:r>
    </w:p>
    <w:p w14:paraId="49399B8F" w14:textId="692189A4" w:rsidR="00C92149" w:rsidRPr="00357BF2" w:rsidRDefault="00804472" w:rsidP="00114E07">
      <w:pPr>
        <w:pStyle w:val="NoSpacing"/>
        <w:jc w:val="both"/>
        <w:rPr>
          <w:rFonts w:ascii="Times New Roman" w:hAnsi="Times New Roman" w:cs="Times New Roman"/>
          <w:sz w:val="24"/>
          <w:szCs w:val="24"/>
        </w:rPr>
      </w:pPr>
      <w:r w:rsidRPr="00804472">
        <w:rPr>
          <w:rFonts w:ascii="Times New Roman" w:hAnsi="Times New Roman" w:cs="Times New Roman"/>
          <w:sz w:val="24"/>
          <w:szCs w:val="24"/>
        </w:rPr>
        <w:t xml:space="preserve">In the dynamic and ever-evolving field of healthcare, dietitians stand as pivotal figures, bridging the gap between scientific nutrition studies and practical health applications. Their expertise extends beyond mere dietary </w:t>
      </w:r>
      <w:r w:rsidR="00A7378A" w:rsidRPr="00804472">
        <w:rPr>
          <w:rFonts w:ascii="Times New Roman" w:hAnsi="Times New Roman" w:cs="Times New Roman"/>
          <w:sz w:val="24"/>
          <w:szCs w:val="24"/>
        </w:rPr>
        <w:t>counselling</w:t>
      </w:r>
      <w:r w:rsidRPr="00804472">
        <w:rPr>
          <w:rFonts w:ascii="Times New Roman" w:hAnsi="Times New Roman" w:cs="Times New Roman"/>
          <w:sz w:val="24"/>
          <w:szCs w:val="24"/>
        </w:rPr>
        <w:t>, encompassing the development of specialized dietary interventions for a range of conditions such as diabetes, heart diseases, allergies, gastrointestinal disorders, and obesity (</w:t>
      </w:r>
      <w:r w:rsidR="00263EC8">
        <w:rPr>
          <w:rFonts w:ascii="Times New Roman" w:hAnsi="Times New Roman" w:cs="Times New Roman"/>
          <w:sz w:val="24"/>
          <w:szCs w:val="24"/>
        </w:rPr>
        <w:t>NHS, 2015</w:t>
      </w:r>
      <w:r w:rsidRPr="00804472">
        <w:rPr>
          <w:rFonts w:ascii="Times New Roman" w:hAnsi="Times New Roman" w:cs="Times New Roman"/>
          <w:sz w:val="24"/>
          <w:szCs w:val="24"/>
        </w:rPr>
        <w:t>). In hospital settings, dietitians collaborate closely with catering teams to plan nutritionally balanced meals, ensuring that the dietary needs of diverse patient populations are met (Coubrough, 1978). Their critical role in enteral feeding, particularly for inpatients requiring specialized diets, highlights their indispensable contribution to clinical nutrition (</w:t>
      </w:r>
      <w:r w:rsidR="006D45F8">
        <w:rPr>
          <w:rFonts w:ascii="Times New Roman" w:hAnsi="Times New Roman" w:cs="Times New Roman"/>
          <w:sz w:val="24"/>
          <w:szCs w:val="24"/>
        </w:rPr>
        <w:t>Preise</w:t>
      </w:r>
      <w:r w:rsidR="00E37AD7">
        <w:rPr>
          <w:rFonts w:ascii="Times New Roman" w:hAnsi="Times New Roman" w:cs="Times New Roman"/>
          <w:sz w:val="24"/>
          <w:szCs w:val="24"/>
        </w:rPr>
        <w:t>r</w:t>
      </w:r>
      <w:r w:rsidR="006D45F8">
        <w:rPr>
          <w:rFonts w:ascii="Times New Roman" w:hAnsi="Times New Roman" w:cs="Times New Roman"/>
          <w:sz w:val="24"/>
          <w:szCs w:val="24"/>
        </w:rPr>
        <w:t xml:space="preserve"> et al, 2021</w:t>
      </w:r>
      <w:r w:rsidRPr="00804472">
        <w:rPr>
          <w:rFonts w:ascii="Times New Roman" w:hAnsi="Times New Roman" w:cs="Times New Roman"/>
          <w:sz w:val="24"/>
          <w:szCs w:val="24"/>
        </w:rPr>
        <w:t xml:space="preserve">). </w:t>
      </w:r>
    </w:p>
    <w:p w14:paraId="668A01B0" w14:textId="0DE269A1" w:rsidR="003A227C" w:rsidRDefault="00E6670B" w:rsidP="00114E07">
      <w:pPr>
        <w:pStyle w:val="NoSpacing"/>
        <w:jc w:val="both"/>
        <w:rPr>
          <w:rFonts w:ascii="Times New Roman" w:hAnsi="Times New Roman" w:cs="Times New Roman"/>
          <w:sz w:val="24"/>
          <w:szCs w:val="24"/>
        </w:rPr>
      </w:pPr>
      <w:r w:rsidRPr="00357BF2">
        <w:rPr>
          <w:rFonts w:ascii="Times New Roman" w:hAnsi="Times New Roman" w:cs="Times New Roman"/>
          <w:sz w:val="24"/>
          <w:szCs w:val="24"/>
        </w:rPr>
        <w:t xml:space="preserve">The importance of diversity in dietetics is highlighted by Endinjok and Augustin (2022), who emphasize the need for healthcare professionals, including dietitians, from diverse backgrounds such as the Hispanic community. This diversity is crucial for addressing diet-related health issues more effectively, as professionals with cultural knowledge can improve healthcare deliverables. </w:t>
      </w:r>
    </w:p>
    <w:p w14:paraId="04A80CD5" w14:textId="77777777" w:rsidR="007C6E62" w:rsidRDefault="007C6E62" w:rsidP="00114E07">
      <w:pPr>
        <w:pStyle w:val="NoSpacing"/>
        <w:jc w:val="both"/>
        <w:rPr>
          <w:rFonts w:ascii="Times New Roman" w:hAnsi="Times New Roman" w:cs="Times New Roman"/>
          <w:sz w:val="24"/>
          <w:szCs w:val="24"/>
        </w:rPr>
      </w:pPr>
    </w:p>
    <w:p w14:paraId="1773D712" w14:textId="2A5A5560" w:rsidR="004468AF" w:rsidRPr="00114E07" w:rsidRDefault="004468AF" w:rsidP="00114E07">
      <w:pPr>
        <w:pStyle w:val="NoSpacing"/>
        <w:jc w:val="both"/>
        <w:rPr>
          <w:rFonts w:ascii="Times New Roman" w:hAnsi="Times New Roman" w:cs="Times New Roman"/>
          <w:sz w:val="24"/>
          <w:szCs w:val="24"/>
        </w:rPr>
      </w:pPr>
      <w:r w:rsidRPr="00114E07">
        <w:rPr>
          <w:rFonts w:ascii="Times New Roman" w:hAnsi="Times New Roman" w:cs="Times New Roman"/>
          <w:sz w:val="24"/>
          <w:szCs w:val="24"/>
        </w:rPr>
        <w:t>Dietitians are key players in the healthcare sector, offering evidence-based dietary advice tailored to individuals' needs. They work across various settings, including hospitals, community clinics, private practices, and research institutions</w:t>
      </w:r>
      <w:r w:rsidR="00D2395E">
        <w:rPr>
          <w:rFonts w:ascii="Times New Roman" w:hAnsi="Times New Roman" w:cs="Times New Roman"/>
          <w:sz w:val="24"/>
          <w:szCs w:val="24"/>
        </w:rPr>
        <w:t xml:space="preserve"> (BDA, 2020)</w:t>
      </w:r>
      <w:r w:rsidRPr="00114E07">
        <w:rPr>
          <w:rFonts w:ascii="Times New Roman" w:hAnsi="Times New Roman" w:cs="Times New Roman"/>
          <w:sz w:val="24"/>
          <w:szCs w:val="24"/>
        </w:rPr>
        <w:t xml:space="preserve">. Their role involves not only individual dietary </w:t>
      </w:r>
      <w:r w:rsidR="008F01E3" w:rsidRPr="00114E07">
        <w:rPr>
          <w:rFonts w:ascii="Times New Roman" w:hAnsi="Times New Roman" w:cs="Times New Roman"/>
          <w:sz w:val="24"/>
          <w:szCs w:val="24"/>
        </w:rPr>
        <w:t>counselling</w:t>
      </w:r>
      <w:r w:rsidRPr="00114E07">
        <w:rPr>
          <w:rFonts w:ascii="Times New Roman" w:hAnsi="Times New Roman" w:cs="Times New Roman"/>
          <w:sz w:val="24"/>
          <w:szCs w:val="24"/>
        </w:rPr>
        <w:t xml:space="preserve"> but also the development of specific dietary interventions to manage conditions such as diabetes, heart diseases, allergies, gastrointestinal disorders, and obesity (</w:t>
      </w:r>
      <w:r w:rsidR="0064621C" w:rsidRPr="0064621C">
        <w:rPr>
          <w:rFonts w:ascii="Times New Roman" w:hAnsi="Times New Roman" w:cs="Times New Roman"/>
          <w:sz w:val="24"/>
          <w:szCs w:val="24"/>
        </w:rPr>
        <w:t>Seladi-Schulman</w:t>
      </w:r>
      <w:r w:rsidRPr="00114E07">
        <w:rPr>
          <w:rFonts w:ascii="Times New Roman" w:hAnsi="Times New Roman" w:cs="Times New Roman"/>
          <w:sz w:val="24"/>
          <w:szCs w:val="24"/>
        </w:rPr>
        <w:t xml:space="preserve">, </w:t>
      </w:r>
      <w:r w:rsidR="002C0D78">
        <w:rPr>
          <w:rFonts w:ascii="Times New Roman" w:hAnsi="Times New Roman" w:cs="Times New Roman"/>
          <w:sz w:val="24"/>
          <w:szCs w:val="24"/>
        </w:rPr>
        <w:t>2022</w:t>
      </w:r>
      <w:r w:rsidRPr="00114E07">
        <w:rPr>
          <w:rFonts w:ascii="Times New Roman" w:hAnsi="Times New Roman" w:cs="Times New Roman"/>
          <w:sz w:val="24"/>
          <w:szCs w:val="24"/>
        </w:rPr>
        <w:t>)</w:t>
      </w:r>
      <w:r w:rsidR="003313ED" w:rsidRPr="00114E07">
        <w:rPr>
          <w:rFonts w:ascii="Times New Roman" w:hAnsi="Times New Roman" w:cs="Times New Roman"/>
          <w:sz w:val="24"/>
          <w:szCs w:val="24"/>
        </w:rPr>
        <w:t>.</w:t>
      </w:r>
    </w:p>
    <w:p w14:paraId="3EEA3128" w14:textId="63BD233B" w:rsidR="004468AF" w:rsidRPr="00114E07" w:rsidRDefault="004468AF" w:rsidP="00114E07">
      <w:pPr>
        <w:pStyle w:val="NoSpacing"/>
        <w:jc w:val="both"/>
        <w:rPr>
          <w:rFonts w:ascii="Times New Roman" w:hAnsi="Times New Roman" w:cs="Times New Roman"/>
          <w:sz w:val="24"/>
          <w:szCs w:val="24"/>
        </w:rPr>
      </w:pPr>
      <w:r w:rsidRPr="00114E07">
        <w:rPr>
          <w:rFonts w:ascii="Times New Roman" w:hAnsi="Times New Roman" w:cs="Times New Roman"/>
          <w:sz w:val="24"/>
          <w:szCs w:val="24"/>
        </w:rPr>
        <w:t>Dietitians' role in hospitals is multifaceted, involving close cooperation with catering managers and officers. Coubrough (1978) outlines the areas of liaison, including planning nutritionally balanced menus and ensuring the retention of nutrients through appropriate cooking methods. This highlights the dietitian's advisory role in ensuring that hospital meals meet the diverse nutritional needs of patients (</w:t>
      </w:r>
      <w:r w:rsidR="00E75463">
        <w:rPr>
          <w:rFonts w:ascii="Times New Roman" w:hAnsi="Times New Roman" w:cs="Times New Roman"/>
          <w:sz w:val="24"/>
          <w:szCs w:val="24"/>
        </w:rPr>
        <w:t>Shel</w:t>
      </w:r>
      <w:r w:rsidR="00D767F0">
        <w:rPr>
          <w:rFonts w:ascii="Times New Roman" w:hAnsi="Times New Roman" w:cs="Times New Roman"/>
          <w:sz w:val="24"/>
          <w:szCs w:val="24"/>
        </w:rPr>
        <w:t xml:space="preserve">ley and </w:t>
      </w:r>
      <w:r w:rsidR="0018454F">
        <w:rPr>
          <w:rFonts w:ascii="Times New Roman" w:hAnsi="Times New Roman" w:cs="Times New Roman"/>
          <w:sz w:val="24"/>
          <w:szCs w:val="24"/>
        </w:rPr>
        <w:t>Brookes, 2022</w:t>
      </w:r>
      <w:r w:rsidRPr="00114E07">
        <w:rPr>
          <w:rFonts w:ascii="Times New Roman" w:hAnsi="Times New Roman" w:cs="Times New Roman"/>
          <w:sz w:val="24"/>
          <w:szCs w:val="24"/>
        </w:rPr>
        <w:t>)</w:t>
      </w:r>
      <w:r w:rsidR="003313ED" w:rsidRPr="00114E07">
        <w:rPr>
          <w:rFonts w:ascii="Times New Roman" w:hAnsi="Times New Roman" w:cs="Times New Roman"/>
          <w:sz w:val="24"/>
          <w:szCs w:val="24"/>
        </w:rPr>
        <w:t>.</w:t>
      </w:r>
    </w:p>
    <w:p w14:paraId="1BEA234A" w14:textId="53A45EC2" w:rsidR="006943CB" w:rsidRDefault="004468AF" w:rsidP="00586918">
      <w:pPr>
        <w:pStyle w:val="NoSpacing"/>
        <w:jc w:val="both"/>
        <w:rPr>
          <w:rFonts w:ascii="Times New Roman" w:hAnsi="Times New Roman" w:cs="Times New Roman"/>
          <w:sz w:val="24"/>
          <w:szCs w:val="24"/>
        </w:rPr>
      </w:pPr>
      <w:r w:rsidRPr="00114E07">
        <w:rPr>
          <w:rFonts w:ascii="Times New Roman" w:hAnsi="Times New Roman" w:cs="Times New Roman"/>
          <w:sz w:val="24"/>
          <w:szCs w:val="24"/>
        </w:rPr>
        <w:t>Dietitians play a crucial role in enteral feeding, particularly in hospital settings</w:t>
      </w:r>
      <w:r w:rsidR="00FC5C9B">
        <w:rPr>
          <w:rFonts w:ascii="Times New Roman" w:hAnsi="Times New Roman" w:cs="Times New Roman"/>
          <w:sz w:val="24"/>
          <w:szCs w:val="24"/>
        </w:rPr>
        <w:t xml:space="preserve"> (NICE, 2017)</w:t>
      </w:r>
      <w:r w:rsidRPr="00114E07">
        <w:rPr>
          <w:rFonts w:ascii="Times New Roman" w:hAnsi="Times New Roman" w:cs="Times New Roman"/>
          <w:sz w:val="24"/>
          <w:szCs w:val="24"/>
        </w:rPr>
        <w:t>. Their expertise in clinical nutrition is vital for the nutritional care of inpatients, especially those requiring speciali</w:t>
      </w:r>
      <w:r w:rsidR="005F55AE">
        <w:rPr>
          <w:rFonts w:ascii="Times New Roman" w:hAnsi="Times New Roman" w:cs="Times New Roman"/>
          <w:sz w:val="24"/>
          <w:szCs w:val="24"/>
        </w:rPr>
        <w:t>s</w:t>
      </w:r>
      <w:r w:rsidRPr="00114E07">
        <w:rPr>
          <w:rFonts w:ascii="Times New Roman" w:hAnsi="Times New Roman" w:cs="Times New Roman"/>
          <w:sz w:val="24"/>
          <w:szCs w:val="24"/>
        </w:rPr>
        <w:t>ed therapeutic diets. Russell (1986) highlights the importance of dietitians in this area, emphasi</w:t>
      </w:r>
      <w:r w:rsidR="005F55AE">
        <w:rPr>
          <w:rFonts w:ascii="Times New Roman" w:hAnsi="Times New Roman" w:cs="Times New Roman"/>
          <w:sz w:val="24"/>
          <w:szCs w:val="24"/>
        </w:rPr>
        <w:t>s</w:t>
      </w:r>
      <w:r w:rsidRPr="00114E07">
        <w:rPr>
          <w:rFonts w:ascii="Times New Roman" w:hAnsi="Times New Roman" w:cs="Times New Roman"/>
          <w:sz w:val="24"/>
          <w:szCs w:val="24"/>
        </w:rPr>
        <w:t xml:space="preserve">ing their extensive training in nutrition and dietetics. </w:t>
      </w:r>
    </w:p>
    <w:p w14:paraId="58820E19" w14:textId="77777777" w:rsidR="00586918" w:rsidRPr="000C05B8" w:rsidRDefault="00586918" w:rsidP="00586918">
      <w:pPr>
        <w:pStyle w:val="NoSpacing"/>
        <w:jc w:val="both"/>
        <w:rPr>
          <w:rFonts w:ascii="Times New Roman" w:hAnsi="Times New Roman" w:cs="Times New Roman"/>
          <w:sz w:val="24"/>
          <w:szCs w:val="24"/>
        </w:rPr>
      </w:pPr>
    </w:p>
    <w:p w14:paraId="15E62622" w14:textId="232BFD03" w:rsidR="00B30808" w:rsidRPr="003C798B" w:rsidRDefault="00431222" w:rsidP="003C798B">
      <w:pPr>
        <w:pStyle w:val="NoSpacing"/>
        <w:jc w:val="both"/>
        <w:rPr>
          <w:rFonts w:ascii="Times New Roman" w:hAnsi="Times New Roman" w:cs="Times New Roman"/>
          <w:b/>
          <w:bCs/>
          <w:sz w:val="24"/>
          <w:szCs w:val="24"/>
        </w:rPr>
      </w:pPr>
      <w:r w:rsidRPr="003C798B">
        <w:rPr>
          <w:rFonts w:ascii="Times New Roman" w:hAnsi="Times New Roman" w:cs="Times New Roman"/>
          <w:sz w:val="24"/>
          <w:szCs w:val="24"/>
        </w:rPr>
        <w:t>Dietitians play a crucial role in the treatment of eating disorders</w:t>
      </w:r>
      <w:r w:rsidR="00D25FBA" w:rsidRPr="003C798B">
        <w:rPr>
          <w:rFonts w:ascii="Times New Roman" w:hAnsi="Times New Roman" w:cs="Times New Roman"/>
          <w:sz w:val="24"/>
          <w:szCs w:val="24"/>
        </w:rPr>
        <w:t xml:space="preserve"> </w:t>
      </w:r>
      <w:r w:rsidR="0037089C" w:rsidRPr="003C798B">
        <w:rPr>
          <w:rFonts w:ascii="Times New Roman" w:hAnsi="Times New Roman" w:cs="Times New Roman"/>
          <w:sz w:val="24"/>
          <w:szCs w:val="24"/>
        </w:rPr>
        <w:t>(</w:t>
      </w:r>
      <w:r w:rsidR="00D25FBA" w:rsidRPr="003C798B">
        <w:rPr>
          <w:rFonts w:ascii="Times New Roman" w:hAnsi="Times New Roman" w:cs="Times New Roman"/>
          <w:sz w:val="24"/>
          <w:szCs w:val="24"/>
        </w:rPr>
        <w:t>MEDA</w:t>
      </w:r>
      <w:r w:rsidR="0037089C" w:rsidRPr="003C798B">
        <w:rPr>
          <w:rFonts w:ascii="Times New Roman" w:hAnsi="Times New Roman" w:cs="Times New Roman"/>
          <w:sz w:val="24"/>
          <w:szCs w:val="24"/>
        </w:rPr>
        <w:t>, 2021)</w:t>
      </w:r>
      <w:r w:rsidRPr="003C798B">
        <w:rPr>
          <w:rFonts w:ascii="Times New Roman" w:hAnsi="Times New Roman" w:cs="Times New Roman"/>
          <w:sz w:val="24"/>
          <w:szCs w:val="24"/>
        </w:rPr>
        <w:t>. In their study,</w:t>
      </w:r>
      <w:r w:rsidR="00010036" w:rsidRPr="003C798B">
        <w:rPr>
          <w:rFonts w:ascii="Times New Roman" w:hAnsi="Times New Roman" w:cs="Times New Roman"/>
          <w:sz w:val="24"/>
          <w:szCs w:val="24"/>
        </w:rPr>
        <w:t xml:space="preserve"> “</w:t>
      </w:r>
      <w:r w:rsidR="00010036" w:rsidRPr="003C798B">
        <w:rPr>
          <w:rFonts w:ascii="Times New Roman" w:hAnsi="Times New Roman" w:cs="Times New Roman"/>
          <w:color w:val="1C1D1E"/>
          <w:sz w:val="24"/>
          <w:szCs w:val="24"/>
        </w:rPr>
        <w:t>What role do dietitians have in providing nutrition care for eating disorder treatment?</w:t>
      </w:r>
      <w:r w:rsidR="00010036" w:rsidRPr="003C798B">
        <w:rPr>
          <w:rFonts w:ascii="Times New Roman" w:hAnsi="Times New Roman" w:cs="Times New Roman"/>
          <w:sz w:val="24"/>
          <w:szCs w:val="24"/>
        </w:rPr>
        <w:t>”</w:t>
      </w:r>
      <w:r w:rsidR="00626FFD" w:rsidRPr="003C798B">
        <w:rPr>
          <w:rFonts w:ascii="Times New Roman" w:hAnsi="Times New Roman" w:cs="Times New Roman"/>
          <w:sz w:val="24"/>
          <w:szCs w:val="24"/>
        </w:rPr>
        <w:t>,</w:t>
      </w:r>
      <w:r w:rsidRPr="003C798B">
        <w:rPr>
          <w:rFonts w:ascii="Times New Roman" w:hAnsi="Times New Roman" w:cs="Times New Roman"/>
          <w:sz w:val="24"/>
          <w:szCs w:val="24"/>
        </w:rPr>
        <w:t xml:space="preserve"> Heafala et al. (2021) did an integrative review to examine the perspectives and firsthand accounts of dietitians, other healthcare professionals, patients, and carers regarding the involvement of dietitians in the management of eating disorders. The study revealed that dietitians are perceived as partners, educators, and counsellors who personalise care and prioritise a holistic approach</w:t>
      </w:r>
      <w:r w:rsidR="00D608BD" w:rsidRPr="003C798B">
        <w:rPr>
          <w:rFonts w:ascii="Times New Roman" w:hAnsi="Times New Roman" w:cs="Times New Roman"/>
          <w:sz w:val="24"/>
          <w:szCs w:val="24"/>
        </w:rPr>
        <w:t xml:space="preserve"> (Ball </w:t>
      </w:r>
      <w:r w:rsidR="00D608BD" w:rsidRPr="003C798B">
        <w:rPr>
          <w:rFonts w:ascii="Times New Roman" w:hAnsi="Times New Roman" w:cs="Times New Roman"/>
          <w:sz w:val="24"/>
          <w:szCs w:val="24"/>
        </w:rPr>
        <w:lastRenderedPageBreak/>
        <w:t xml:space="preserve">et al, </w:t>
      </w:r>
      <w:r w:rsidR="00F37F48" w:rsidRPr="003C798B">
        <w:rPr>
          <w:rFonts w:ascii="Times New Roman" w:hAnsi="Times New Roman" w:cs="Times New Roman"/>
          <w:sz w:val="24"/>
          <w:szCs w:val="24"/>
        </w:rPr>
        <w:t>2021</w:t>
      </w:r>
      <w:r w:rsidR="00D608BD" w:rsidRPr="003C798B">
        <w:rPr>
          <w:rFonts w:ascii="Times New Roman" w:hAnsi="Times New Roman" w:cs="Times New Roman"/>
          <w:sz w:val="24"/>
          <w:szCs w:val="24"/>
        </w:rPr>
        <w:t>)</w:t>
      </w:r>
      <w:r w:rsidRPr="003C798B">
        <w:rPr>
          <w:rFonts w:ascii="Times New Roman" w:hAnsi="Times New Roman" w:cs="Times New Roman"/>
          <w:sz w:val="24"/>
          <w:szCs w:val="24"/>
        </w:rPr>
        <w:t>. Nevertheless, additional instruction is required to augment their self-assurance and proficiency in this particular field.</w:t>
      </w:r>
    </w:p>
    <w:p w14:paraId="45117818" w14:textId="1328226D" w:rsidR="002710F4" w:rsidRPr="003C798B" w:rsidRDefault="002710F4" w:rsidP="003C798B">
      <w:pPr>
        <w:pStyle w:val="NoSpacing"/>
        <w:jc w:val="both"/>
        <w:rPr>
          <w:rFonts w:ascii="Times New Roman" w:hAnsi="Times New Roman" w:cs="Times New Roman"/>
          <w:sz w:val="24"/>
          <w:szCs w:val="24"/>
        </w:rPr>
      </w:pPr>
      <w:r w:rsidRPr="003C798B">
        <w:rPr>
          <w:rFonts w:ascii="Times New Roman" w:hAnsi="Times New Roman" w:cs="Times New Roman"/>
          <w:sz w:val="24"/>
          <w:szCs w:val="24"/>
        </w:rPr>
        <w:t xml:space="preserve">Patterson-Norrie et al (2020) discuss the role of dietitians in promoting oral health among individuals with eating disorders. This scoping review indicates that while dietitians are encouraged to conduct basic oral health screening and promote oral health, there is a lack of evidence showing their active involvement in oral health screening or education in eating disorder populations. </w:t>
      </w:r>
    </w:p>
    <w:p w14:paraId="1EB8199C" w14:textId="589F48F7" w:rsidR="002710F4" w:rsidRPr="003C798B" w:rsidRDefault="00AA5E88" w:rsidP="003C798B">
      <w:pPr>
        <w:pStyle w:val="NoSpacing"/>
        <w:jc w:val="both"/>
        <w:rPr>
          <w:rFonts w:ascii="Times New Roman" w:hAnsi="Times New Roman" w:cs="Times New Roman"/>
          <w:sz w:val="24"/>
          <w:szCs w:val="24"/>
        </w:rPr>
      </w:pPr>
      <w:r w:rsidRPr="003C798B">
        <w:rPr>
          <w:rFonts w:ascii="Times New Roman" w:hAnsi="Times New Roman" w:cs="Times New Roman"/>
          <w:sz w:val="24"/>
          <w:szCs w:val="24"/>
        </w:rPr>
        <w:t>Dietitians have a crucial role in tackling malnutrition and food poverty, which are strongly connected to achieving fair and equal access to good health. Sowards, McCauley, and Munoz (2022) examine the functions of Registered Dietitian Nutritionists (RDNs) in several contexts, such as hospitals and community health</w:t>
      </w:r>
      <w:r w:rsidR="00DF3039">
        <w:rPr>
          <w:rFonts w:ascii="Times New Roman" w:hAnsi="Times New Roman" w:cs="Times New Roman"/>
          <w:sz w:val="24"/>
          <w:szCs w:val="24"/>
        </w:rPr>
        <w:t>, t</w:t>
      </w:r>
      <w:r w:rsidRPr="003C798B">
        <w:rPr>
          <w:rFonts w:ascii="Times New Roman" w:hAnsi="Times New Roman" w:cs="Times New Roman"/>
          <w:sz w:val="24"/>
          <w:szCs w:val="24"/>
        </w:rPr>
        <w:t>heir focus is on recognising malnutrition and food insecurity as crucial factors for enhancing health outcomes. The Academy of Nutrition and Dietetics offers tools and resources to assist Registered Dietitian Nutritionists (RDNs) in their endeavours, emphasising the crucial role that dietitians play in advancing health equity.</w:t>
      </w:r>
    </w:p>
    <w:p w14:paraId="37B06A37" w14:textId="77777777" w:rsidR="00B07CF7" w:rsidRPr="000C05B8" w:rsidRDefault="00B07CF7" w:rsidP="006D63F2">
      <w:pPr>
        <w:jc w:val="both"/>
        <w:rPr>
          <w:rFonts w:ascii="Times New Roman" w:hAnsi="Times New Roman" w:cs="Times New Roman"/>
          <w:sz w:val="24"/>
          <w:szCs w:val="24"/>
        </w:rPr>
      </w:pPr>
    </w:p>
    <w:p w14:paraId="754FEF02" w14:textId="7541C39D" w:rsidR="00136E6A" w:rsidRPr="005A02EF" w:rsidRDefault="00136E6A" w:rsidP="005A02EF">
      <w:pPr>
        <w:pStyle w:val="NoSpacing"/>
        <w:jc w:val="both"/>
        <w:rPr>
          <w:rFonts w:ascii="Times New Roman" w:hAnsi="Times New Roman" w:cs="Times New Roman"/>
          <w:sz w:val="24"/>
          <w:szCs w:val="24"/>
        </w:rPr>
      </w:pPr>
      <w:r w:rsidRPr="005A02EF">
        <w:rPr>
          <w:rFonts w:ascii="Times New Roman" w:hAnsi="Times New Roman" w:cs="Times New Roman"/>
          <w:sz w:val="24"/>
          <w:szCs w:val="24"/>
        </w:rPr>
        <w:t>A comprehensive set of recommendations regarding the implementation of dietary practices that promote athletic performance and recovery has been developed by the Academy of Dietetics in collaboration with Dietitians of Canada and the American College of Sports Medicine</w:t>
      </w:r>
      <w:r w:rsidR="00D47FD5">
        <w:rPr>
          <w:rFonts w:ascii="Times New Roman" w:hAnsi="Times New Roman" w:cs="Times New Roman"/>
          <w:sz w:val="24"/>
          <w:szCs w:val="24"/>
        </w:rPr>
        <w:t xml:space="preserve"> (</w:t>
      </w:r>
      <w:r w:rsidR="00844F48" w:rsidRPr="00D47FD5">
        <w:rPr>
          <w:rFonts w:ascii="Times New Roman" w:hAnsi="Times New Roman" w:cs="Times New Roman"/>
          <w:sz w:val="24"/>
          <w:szCs w:val="24"/>
        </w:rPr>
        <w:t>Erdman</w:t>
      </w:r>
      <w:r w:rsidR="00844F48">
        <w:rPr>
          <w:rFonts w:ascii="Times New Roman" w:hAnsi="Times New Roman" w:cs="Times New Roman"/>
          <w:sz w:val="24"/>
          <w:szCs w:val="24"/>
        </w:rPr>
        <w:t xml:space="preserve">, </w:t>
      </w:r>
      <w:r w:rsidR="00D47FD5" w:rsidRPr="00D47FD5">
        <w:rPr>
          <w:rFonts w:ascii="Times New Roman" w:hAnsi="Times New Roman" w:cs="Times New Roman"/>
          <w:sz w:val="24"/>
          <w:szCs w:val="24"/>
        </w:rPr>
        <w:t>Thomas, and Burke, 2016</w:t>
      </w:r>
      <w:r w:rsidR="00D47FD5">
        <w:rPr>
          <w:rFonts w:ascii="Times New Roman" w:hAnsi="Times New Roman" w:cs="Times New Roman"/>
          <w:sz w:val="24"/>
          <w:szCs w:val="24"/>
        </w:rPr>
        <w:t>)</w:t>
      </w:r>
      <w:r w:rsidRPr="005A02EF">
        <w:rPr>
          <w:rFonts w:ascii="Times New Roman" w:hAnsi="Times New Roman" w:cs="Times New Roman"/>
          <w:sz w:val="24"/>
          <w:szCs w:val="24"/>
        </w:rPr>
        <w:t>. The guidelines place emphasis on three key components: the timing, quantity, and composition of dietary components, fluids, and supplements</w:t>
      </w:r>
      <w:r w:rsidR="00DD1071">
        <w:rPr>
          <w:rFonts w:ascii="Times New Roman" w:hAnsi="Times New Roman" w:cs="Times New Roman"/>
          <w:sz w:val="24"/>
          <w:szCs w:val="24"/>
        </w:rPr>
        <w:t xml:space="preserve"> (NHS, 2022)</w:t>
      </w:r>
      <w:r w:rsidRPr="005A02EF">
        <w:rPr>
          <w:rFonts w:ascii="Times New Roman" w:hAnsi="Times New Roman" w:cs="Times New Roman"/>
          <w:sz w:val="24"/>
          <w:szCs w:val="24"/>
        </w:rPr>
        <w:t xml:space="preserve">. </w:t>
      </w:r>
      <w:r w:rsidR="00286F47" w:rsidRPr="005A02EF">
        <w:rPr>
          <w:rFonts w:ascii="Times New Roman" w:hAnsi="Times New Roman" w:cs="Times New Roman"/>
          <w:sz w:val="24"/>
          <w:szCs w:val="24"/>
        </w:rPr>
        <w:t>In order to optimi</w:t>
      </w:r>
      <w:r w:rsidR="00C97F00">
        <w:rPr>
          <w:rFonts w:ascii="Times New Roman" w:hAnsi="Times New Roman" w:cs="Times New Roman"/>
          <w:sz w:val="24"/>
          <w:szCs w:val="24"/>
        </w:rPr>
        <w:t>s</w:t>
      </w:r>
      <w:r w:rsidR="00286F47" w:rsidRPr="005A02EF">
        <w:rPr>
          <w:rFonts w:ascii="Times New Roman" w:hAnsi="Times New Roman" w:cs="Times New Roman"/>
          <w:sz w:val="24"/>
          <w:szCs w:val="24"/>
        </w:rPr>
        <w:t>e the advantages linked to these principles, it is highly advised that athletes acquire personali</w:t>
      </w:r>
      <w:r w:rsidR="00C97F00">
        <w:rPr>
          <w:rFonts w:ascii="Times New Roman" w:hAnsi="Times New Roman" w:cs="Times New Roman"/>
          <w:sz w:val="24"/>
          <w:szCs w:val="24"/>
        </w:rPr>
        <w:t>s</w:t>
      </w:r>
      <w:r w:rsidR="00286F47" w:rsidRPr="005A02EF">
        <w:rPr>
          <w:rFonts w:ascii="Times New Roman" w:hAnsi="Times New Roman" w:cs="Times New Roman"/>
          <w:sz w:val="24"/>
          <w:szCs w:val="24"/>
        </w:rPr>
        <w:t>ed nutrition plans from certified dietitians</w:t>
      </w:r>
      <w:r w:rsidRPr="005A02EF">
        <w:rPr>
          <w:rFonts w:ascii="Times New Roman" w:hAnsi="Times New Roman" w:cs="Times New Roman"/>
          <w:sz w:val="24"/>
          <w:szCs w:val="24"/>
        </w:rPr>
        <w:t>. This highlights the crucial role of dietitians in customising nutritional approaches to maximise both health and performance in the field of sports</w:t>
      </w:r>
      <w:r w:rsidR="00461E9A">
        <w:rPr>
          <w:rFonts w:ascii="Times New Roman" w:hAnsi="Times New Roman" w:cs="Times New Roman"/>
          <w:sz w:val="24"/>
          <w:szCs w:val="24"/>
        </w:rPr>
        <w:t xml:space="preserve"> (</w:t>
      </w:r>
      <w:r w:rsidR="00461E9A" w:rsidRPr="00461E9A">
        <w:rPr>
          <w:rFonts w:ascii="Times New Roman" w:hAnsi="Times New Roman" w:cs="Times New Roman"/>
          <w:sz w:val="24"/>
          <w:szCs w:val="24"/>
        </w:rPr>
        <w:t>British Nutrition Foundation</w:t>
      </w:r>
      <w:r w:rsidR="00461E9A">
        <w:rPr>
          <w:rFonts w:ascii="Times New Roman" w:hAnsi="Times New Roman" w:cs="Times New Roman"/>
          <w:sz w:val="24"/>
          <w:szCs w:val="24"/>
        </w:rPr>
        <w:t xml:space="preserve">, </w:t>
      </w:r>
      <w:r w:rsidR="00461E9A" w:rsidRPr="00461E9A">
        <w:rPr>
          <w:rFonts w:ascii="Times New Roman" w:hAnsi="Times New Roman" w:cs="Times New Roman"/>
          <w:sz w:val="24"/>
          <w:szCs w:val="24"/>
        </w:rPr>
        <w:t>2020)</w:t>
      </w:r>
      <w:r w:rsidRPr="00461E9A">
        <w:rPr>
          <w:rFonts w:ascii="Times New Roman" w:hAnsi="Times New Roman" w:cs="Times New Roman"/>
          <w:sz w:val="24"/>
          <w:szCs w:val="24"/>
        </w:rPr>
        <w:t>.</w:t>
      </w:r>
    </w:p>
    <w:p w14:paraId="78FF245E" w14:textId="2697178C" w:rsidR="002710F4" w:rsidRPr="005A02EF" w:rsidRDefault="002710F4" w:rsidP="005A02EF">
      <w:pPr>
        <w:pStyle w:val="NoSpacing"/>
        <w:jc w:val="both"/>
        <w:rPr>
          <w:rFonts w:ascii="Times New Roman" w:hAnsi="Times New Roman" w:cs="Times New Roman"/>
          <w:sz w:val="24"/>
          <w:szCs w:val="24"/>
        </w:rPr>
      </w:pPr>
      <w:r w:rsidRPr="005A02EF">
        <w:rPr>
          <w:rFonts w:ascii="Times New Roman" w:hAnsi="Times New Roman" w:cs="Times New Roman"/>
          <w:sz w:val="24"/>
          <w:szCs w:val="24"/>
        </w:rPr>
        <w:t>Addressing the global burden of malnutrition requires effective nutrition policies. Herrera Cuenca et al (2020) report on the Academy of Nutrition and Dietetics' 2019 Global Nutrition Research and Policy Forum, which brought together health care policymakers and nutrition professionals. The forum focused on the links between food security, dietary choices, and health outcomes, highlighting the role of dietitians in building global nutrition policies to tackle malnutrition and improve health care</w:t>
      </w:r>
      <w:r w:rsidR="00E422C4">
        <w:rPr>
          <w:rFonts w:ascii="Times New Roman" w:hAnsi="Times New Roman" w:cs="Times New Roman"/>
          <w:sz w:val="24"/>
          <w:szCs w:val="24"/>
        </w:rPr>
        <w:t xml:space="preserve"> (Keller</w:t>
      </w:r>
      <w:r w:rsidR="00AA2347">
        <w:rPr>
          <w:rFonts w:ascii="Times New Roman" w:hAnsi="Times New Roman" w:cs="Times New Roman"/>
          <w:sz w:val="24"/>
          <w:szCs w:val="24"/>
        </w:rPr>
        <w:t xml:space="preserve"> et al, 2020</w:t>
      </w:r>
      <w:r w:rsidR="00E422C4">
        <w:rPr>
          <w:rFonts w:ascii="Times New Roman" w:hAnsi="Times New Roman" w:cs="Times New Roman"/>
          <w:sz w:val="24"/>
          <w:szCs w:val="24"/>
        </w:rPr>
        <w:t>)</w:t>
      </w:r>
      <w:r w:rsidRPr="005A02EF">
        <w:rPr>
          <w:rFonts w:ascii="Times New Roman" w:hAnsi="Times New Roman" w:cs="Times New Roman"/>
          <w:sz w:val="24"/>
          <w:szCs w:val="24"/>
        </w:rPr>
        <w:t>.</w:t>
      </w:r>
    </w:p>
    <w:p w14:paraId="453FDEE1" w14:textId="77777777" w:rsidR="002710F4" w:rsidRPr="000C05B8" w:rsidRDefault="002710F4" w:rsidP="006D63F2">
      <w:pPr>
        <w:jc w:val="both"/>
        <w:rPr>
          <w:rFonts w:ascii="Times New Roman" w:hAnsi="Times New Roman" w:cs="Times New Roman"/>
          <w:b/>
          <w:bCs/>
          <w:sz w:val="24"/>
          <w:szCs w:val="24"/>
        </w:rPr>
      </w:pPr>
    </w:p>
    <w:p w14:paraId="0D3D1354" w14:textId="509FB90E" w:rsidR="002710F4" w:rsidRPr="005A02EF" w:rsidRDefault="002710F4" w:rsidP="005A02EF">
      <w:pPr>
        <w:pStyle w:val="NoSpacing"/>
        <w:jc w:val="both"/>
        <w:rPr>
          <w:rFonts w:ascii="Times New Roman" w:hAnsi="Times New Roman" w:cs="Times New Roman"/>
          <w:sz w:val="24"/>
          <w:szCs w:val="24"/>
        </w:rPr>
      </w:pPr>
      <w:r w:rsidRPr="005A02EF">
        <w:rPr>
          <w:rFonts w:ascii="Times New Roman" w:hAnsi="Times New Roman" w:cs="Times New Roman"/>
          <w:sz w:val="24"/>
          <w:szCs w:val="24"/>
        </w:rPr>
        <w:t>The integration of digital health into dietetics represents a significant advancement in the field</w:t>
      </w:r>
      <w:r w:rsidR="00153331">
        <w:rPr>
          <w:rFonts w:ascii="Times New Roman" w:hAnsi="Times New Roman" w:cs="Times New Roman"/>
          <w:sz w:val="24"/>
          <w:szCs w:val="24"/>
        </w:rPr>
        <w:t xml:space="preserve"> (</w:t>
      </w:r>
      <w:r w:rsidR="0047421F">
        <w:rPr>
          <w:rFonts w:ascii="Times New Roman" w:hAnsi="Times New Roman" w:cs="Times New Roman"/>
          <w:sz w:val="24"/>
          <w:szCs w:val="24"/>
        </w:rPr>
        <w:t>Barnett et al, 2022</w:t>
      </w:r>
      <w:r w:rsidR="003B09F4">
        <w:rPr>
          <w:rFonts w:ascii="Times New Roman" w:hAnsi="Times New Roman" w:cs="Times New Roman"/>
          <w:sz w:val="24"/>
          <w:szCs w:val="24"/>
        </w:rPr>
        <w:t>)</w:t>
      </w:r>
      <w:r w:rsidRPr="005A02EF">
        <w:rPr>
          <w:rFonts w:ascii="Times New Roman" w:hAnsi="Times New Roman" w:cs="Times New Roman"/>
          <w:sz w:val="24"/>
          <w:szCs w:val="24"/>
        </w:rPr>
        <w:t>. Erickson (2021) discusses the emergence of e-Health and its relevance to nutrition and dietetics. E-Health encompasses a broad range of activities and services using electronic means to deliver health-related information and resources. This includes websites, apps, interactive platforms, digital diaries, e-learning platforms, and virtual reality options, all of which can be utili</w:t>
      </w:r>
      <w:r w:rsidR="00342FCD">
        <w:rPr>
          <w:rFonts w:ascii="Times New Roman" w:hAnsi="Times New Roman" w:cs="Times New Roman"/>
          <w:sz w:val="24"/>
          <w:szCs w:val="24"/>
        </w:rPr>
        <w:t>s</w:t>
      </w:r>
      <w:r w:rsidRPr="005A02EF">
        <w:rPr>
          <w:rFonts w:ascii="Times New Roman" w:hAnsi="Times New Roman" w:cs="Times New Roman"/>
          <w:sz w:val="24"/>
          <w:szCs w:val="24"/>
        </w:rPr>
        <w:t>ed in various stages of the nutrition care pathway. The rapid growth of technology in health-related services, including nutrition, is reshaping the practice of dietetics, making it more accessible and personalized</w:t>
      </w:r>
      <w:r w:rsidR="002A4765">
        <w:rPr>
          <w:rFonts w:ascii="Times New Roman" w:hAnsi="Times New Roman" w:cs="Times New Roman"/>
          <w:sz w:val="24"/>
          <w:szCs w:val="24"/>
        </w:rPr>
        <w:t xml:space="preserve"> (Nutri</w:t>
      </w:r>
      <w:r w:rsidR="00134A51">
        <w:rPr>
          <w:rFonts w:ascii="Times New Roman" w:hAnsi="Times New Roman" w:cs="Times New Roman"/>
          <w:sz w:val="24"/>
          <w:szCs w:val="24"/>
        </w:rPr>
        <w:t>tion Society, 2016</w:t>
      </w:r>
      <w:r w:rsidR="002A4765">
        <w:rPr>
          <w:rFonts w:ascii="Times New Roman" w:hAnsi="Times New Roman" w:cs="Times New Roman"/>
          <w:sz w:val="24"/>
          <w:szCs w:val="24"/>
        </w:rPr>
        <w:t>)</w:t>
      </w:r>
      <w:r w:rsidRPr="005A02EF">
        <w:rPr>
          <w:rFonts w:ascii="Times New Roman" w:hAnsi="Times New Roman" w:cs="Times New Roman"/>
          <w:sz w:val="24"/>
          <w:szCs w:val="24"/>
        </w:rPr>
        <w:t>.</w:t>
      </w:r>
    </w:p>
    <w:p w14:paraId="4F9A0A21" w14:textId="78E29BDC" w:rsidR="002710F4" w:rsidRPr="005A02EF" w:rsidRDefault="002710F4" w:rsidP="005A02EF">
      <w:pPr>
        <w:pStyle w:val="NoSpacing"/>
        <w:jc w:val="both"/>
        <w:rPr>
          <w:rFonts w:ascii="Times New Roman" w:hAnsi="Times New Roman" w:cs="Times New Roman"/>
          <w:sz w:val="24"/>
          <w:szCs w:val="24"/>
        </w:rPr>
      </w:pPr>
      <w:r w:rsidRPr="005A02EF">
        <w:rPr>
          <w:rFonts w:ascii="Times New Roman" w:hAnsi="Times New Roman" w:cs="Times New Roman"/>
          <w:sz w:val="24"/>
          <w:szCs w:val="24"/>
        </w:rPr>
        <w:t>Boak et al (2022) conducted a qualitative exploration to understand the future roles of nutrition and dietetics professionals. The study identified potential future roles such as food aficionados, diet optimizers, knowledge translators, equity champions, systems navigators, and food systems activists</w:t>
      </w:r>
      <w:r w:rsidR="007D7C2C">
        <w:rPr>
          <w:rFonts w:ascii="Times New Roman" w:hAnsi="Times New Roman" w:cs="Times New Roman"/>
          <w:sz w:val="24"/>
          <w:szCs w:val="24"/>
        </w:rPr>
        <w:t xml:space="preserve"> (</w:t>
      </w:r>
      <w:r w:rsidR="00A95961">
        <w:rPr>
          <w:rFonts w:ascii="Times New Roman" w:hAnsi="Times New Roman" w:cs="Times New Roman"/>
          <w:sz w:val="24"/>
          <w:szCs w:val="24"/>
        </w:rPr>
        <w:t>Palermo et al, 2022</w:t>
      </w:r>
      <w:r w:rsidR="007D7C2C">
        <w:rPr>
          <w:rFonts w:ascii="Times New Roman" w:hAnsi="Times New Roman" w:cs="Times New Roman"/>
          <w:sz w:val="24"/>
          <w:szCs w:val="24"/>
        </w:rPr>
        <w:t>)</w:t>
      </w:r>
      <w:r w:rsidRPr="005A02EF">
        <w:rPr>
          <w:rFonts w:ascii="Times New Roman" w:hAnsi="Times New Roman" w:cs="Times New Roman"/>
          <w:sz w:val="24"/>
          <w:szCs w:val="24"/>
        </w:rPr>
        <w:t xml:space="preserve">. These roles underscore the evolving nature of dietetics, influenced by factors like climate change, growing inequities, and the disruption of health and food systems. </w:t>
      </w:r>
      <w:r w:rsidRPr="005A02EF">
        <w:rPr>
          <w:rFonts w:ascii="Times New Roman" w:hAnsi="Times New Roman" w:cs="Times New Roman"/>
          <w:sz w:val="24"/>
          <w:szCs w:val="24"/>
        </w:rPr>
        <w:lastRenderedPageBreak/>
        <w:t>The study emphasizes the need for education and development in the workforce to address these emerging challenges and opportunities</w:t>
      </w:r>
      <w:r w:rsidR="00A95961">
        <w:rPr>
          <w:rFonts w:ascii="Times New Roman" w:hAnsi="Times New Roman" w:cs="Times New Roman"/>
          <w:sz w:val="24"/>
          <w:szCs w:val="24"/>
        </w:rPr>
        <w:t xml:space="preserve"> (</w:t>
      </w:r>
      <w:r w:rsidR="00BF4714">
        <w:rPr>
          <w:rFonts w:ascii="Times New Roman" w:hAnsi="Times New Roman" w:cs="Times New Roman"/>
          <w:sz w:val="24"/>
          <w:szCs w:val="24"/>
        </w:rPr>
        <w:t>Beck et al, 2022</w:t>
      </w:r>
      <w:r w:rsidR="00A95961">
        <w:rPr>
          <w:rFonts w:ascii="Times New Roman" w:hAnsi="Times New Roman" w:cs="Times New Roman"/>
          <w:sz w:val="24"/>
          <w:szCs w:val="24"/>
        </w:rPr>
        <w:t>)</w:t>
      </w:r>
      <w:r w:rsidRPr="005A02EF">
        <w:rPr>
          <w:rFonts w:ascii="Times New Roman" w:hAnsi="Times New Roman" w:cs="Times New Roman"/>
          <w:sz w:val="24"/>
          <w:szCs w:val="24"/>
        </w:rPr>
        <w:t>.</w:t>
      </w:r>
    </w:p>
    <w:p w14:paraId="6420E70C" w14:textId="77777777" w:rsidR="006F4D94" w:rsidRPr="000C05B8" w:rsidRDefault="006F4D94" w:rsidP="006D63F2">
      <w:pPr>
        <w:jc w:val="both"/>
        <w:rPr>
          <w:rFonts w:ascii="Times New Roman" w:hAnsi="Times New Roman" w:cs="Times New Roman"/>
          <w:b/>
          <w:bCs/>
          <w:sz w:val="24"/>
          <w:szCs w:val="24"/>
        </w:rPr>
      </w:pPr>
    </w:p>
    <w:p w14:paraId="37868ED2" w14:textId="77777777" w:rsidR="006F4D94" w:rsidRPr="000C05B8" w:rsidRDefault="006F4D94" w:rsidP="006D63F2">
      <w:pPr>
        <w:jc w:val="both"/>
        <w:rPr>
          <w:rFonts w:ascii="Times New Roman" w:hAnsi="Times New Roman" w:cs="Times New Roman"/>
          <w:b/>
          <w:bCs/>
          <w:sz w:val="24"/>
          <w:szCs w:val="24"/>
        </w:rPr>
      </w:pPr>
      <w:r w:rsidRPr="000C05B8">
        <w:rPr>
          <w:rFonts w:ascii="Times New Roman" w:hAnsi="Times New Roman" w:cs="Times New Roman"/>
          <w:b/>
          <w:bCs/>
          <w:sz w:val="24"/>
          <w:szCs w:val="24"/>
        </w:rPr>
        <w:t>Conclusion</w:t>
      </w:r>
    </w:p>
    <w:p w14:paraId="29DDFEAD" w14:textId="7DE2B1A5" w:rsidR="00123E6D" w:rsidRPr="00BE371D" w:rsidRDefault="00123E6D" w:rsidP="00BE371D">
      <w:pPr>
        <w:pStyle w:val="NoSpacing"/>
        <w:jc w:val="both"/>
        <w:rPr>
          <w:rFonts w:ascii="Times New Roman" w:hAnsi="Times New Roman" w:cs="Times New Roman"/>
          <w:sz w:val="24"/>
          <w:szCs w:val="24"/>
        </w:rPr>
      </w:pPr>
      <w:r w:rsidRPr="00BE371D">
        <w:rPr>
          <w:rFonts w:ascii="Times New Roman" w:hAnsi="Times New Roman" w:cs="Times New Roman"/>
          <w:sz w:val="24"/>
          <w:szCs w:val="24"/>
        </w:rPr>
        <w:t>Dietitians play a crucial and diverse function in healthcare that cannot be replaced. As nutrition and dietetics professionals, they have a crucial function in diverse environments, ranging from hospitals and community health centres to mental health services and sports nutrition. They possess competence in both individual dietary advising and public health and policymaking, making substantial contributions to the development of food and nutrition policies</w:t>
      </w:r>
      <w:r w:rsidR="006A5BF1">
        <w:rPr>
          <w:rFonts w:ascii="Times New Roman" w:hAnsi="Times New Roman" w:cs="Times New Roman"/>
          <w:sz w:val="24"/>
          <w:szCs w:val="24"/>
        </w:rPr>
        <w:t xml:space="preserve"> (BDA, 2020)</w:t>
      </w:r>
      <w:r w:rsidRPr="00BE371D">
        <w:rPr>
          <w:rFonts w:ascii="Times New Roman" w:hAnsi="Times New Roman" w:cs="Times New Roman"/>
          <w:sz w:val="24"/>
          <w:szCs w:val="24"/>
        </w:rPr>
        <w:t>.</w:t>
      </w:r>
    </w:p>
    <w:p w14:paraId="447FF35C" w14:textId="46EEB9D2" w:rsidR="00123E6D" w:rsidRPr="00BE371D" w:rsidRDefault="00123E6D" w:rsidP="00BE371D">
      <w:pPr>
        <w:pStyle w:val="NoSpacing"/>
        <w:jc w:val="both"/>
        <w:rPr>
          <w:rFonts w:ascii="Times New Roman" w:hAnsi="Times New Roman" w:cs="Times New Roman"/>
          <w:sz w:val="24"/>
          <w:szCs w:val="24"/>
        </w:rPr>
      </w:pPr>
      <w:r w:rsidRPr="00BE371D">
        <w:rPr>
          <w:rFonts w:ascii="Times New Roman" w:hAnsi="Times New Roman" w:cs="Times New Roman"/>
          <w:sz w:val="24"/>
          <w:szCs w:val="24"/>
        </w:rPr>
        <w:t>The incorporation of digital health and personalised nutrition into the profession has recently improved the range and efficacy of dietetic interventions. The growing utilisation of technology in the field of dietetics, such as e-Health applications and virtual reality, is fundamentally transforming the approach of dietitians, enhancing the accessibility and customization of their services to meet individual requirements</w:t>
      </w:r>
      <w:r w:rsidR="00F67FFA">
        <w:rPr>
          <w:rFonts w:ascii="Times New Roman" w:hAnsi="Times New Roman" w:cs="Times New Roman"/>
          <w:sz w:val="24"/>
          <w:szCs w:val="24"/>
        </w:rPr>
        <w:t xml:space="preserve"> (Ordovas et al, </w:t>
      </w:r>
      <w:r w:rsidR="00644D46">
        <w:rPr>
          <w:rFonts w:ascii="Times New Roman" w:hAnsi="Times New Roman" w:cs="Times New Roman"/>
          <w:sz w:val="24"/>
          <w:szCs w:val="24"/>
        </w:rPr>
        <w:t>2018</w:t>
      </w:r>
      <w:r w:rsidR="00F67FFA">
        <w:rPr>
          <w:rFonts w:ascii="Times New Roman" w:hAnsi="Times New Roman" w:cs="Times New Roman"/>
          <w:sz w:val="24"/>
          <w:szCs w:val="24"/>
        </w:rPr>
        <w:t>)</w:t>
      </w:r>
      <w:r w:rsidRPr="00BE371D">
        <w:rPr>
          <w:rFonts w:ascii="Times New Roman" w:hAnsi="Times New Roman" w:cs="Times New Roman"/>
          <w:sz w:val="24"/>
          <w:szCs w:val="24"/>
        </w:rPr>
        <w:t>.</w:t>
      </w:r>
    </w:p>
    <w:p w14:paraId="34E8A56B" w14:textId="3161CDA5" w:rsidR="006F4D94" w:rsidRDefault="00123E6D" w:rsidP="00BE371D">
      <w:pPr>
        <w:pStyle w:val="NoSpacing"/>
        <w:jc w:val="both"/>
        <w:rPr>
          <w:rFonts w:ascii="Times New Roman" w:hAnsi="Times New Roman" w:cs="Times New Roman"/>
          <w:sz w:val="24"/>
          <w:szCs w:val="24"/>
        </w:rPr>
      </w:pPr>
      <w:r w:rsidRPr="00BE371D">
        <w:rPr>
          <w:rFonts w:ascii="Times New Roman" w:hAnsi="Times New Roman" w:cs="Times New Roman"/>
          <w:sz w:val="24"/>
          <w:szCs w:val="24"/>
        </w:rPr>
        <w:t>Ultimately, dietitians play a crucial role in the healthcare system by providing specialised expertise in nutrition to enhance health results. Their function is constantly changing, as technological breakthroughs and personalised nutrition improve the effectiveness of nutritional therapies. Given the ongoing prevalence of diet-related disorders, the significance of dietitians in promoting health and well-being is growing</w:t>
      </w:r>
      <w:r w:rsidR="00F470D3">
        <w:rPr>
          <w:rFonts w:ascii="Times New Roman" w:hAnsi="Times New Roman" w:cs="Times New Roman"/>
          <w:sz w:val="24"/>
          <w:szCs w:val="24"/>
        </w:rPr>
        <w:t xml:space="preserve"> (Akpeli</w:t>
      </w:r>
      <w:r w:rsidR="00DE1E04">
        <w:rPr>
          <w:rFonts w:ascii="Times New Roman" w:hAnsi="Times New Roman" w:cs="Times New Roman"/>
          <w:sz w:val="24"/>
          <w:szCs w:val="24"/>
        </w:rPr>
        <w:t>, 2019</w:t>
      </w:r>
      <w:r w:rsidR="00F470D3">
        <w:rPr>
          <w:rFonts w:ascii="Times New Roman" w:hAnsi="Times New Roman" w:cs="Times New Roman"/>
          <w:sz w:val="24"/>
          <w:szCs w:val="24"/>
        </w:rPr>
        <w:t>)</w:t>
      </w:r>
      <w:r w:rsidRPr="00BE371D">
        <w:rPr>
          <w:rFonts w:ascii="Times New Roman" w:hAnsi="Times New Roman" w:cs="Times New Roman"/>
          <w:sz w:val="24"/>
          <w:szCs w:val="24"/>
        </w:rPr>
        <w:t>.</w:t>
      </w:r>
    </w:p>
    <w:p w14:paraId="126C4C6B" w14:textId="77777777" w:rsidR="00BE371D" w:rsidRPr="00BE371D" w:rsidRDefault="00BE371D" w:rsidP="00BE371D">
      <w:pPr>
        <w:pStyle w:val="NoSpacing"/>
        <w:jc w:val="both"/>
        <w:rPr>
          <w:rFonts w:ascii="Times New Roman" w:hAnsi="Times New Roman" w:cs="Times New Roman"/>
          <w:sz w:val="24"/>
          <w:szCs w:val="24"/>
        </w:rPr>
      </w:pPr>
    </w:p>
    <w:p w14:paraId="6A669B71" w14:textId="77777777" w:rsidR="00074BF8" w:rsidRPr="00F27FCA" w:rsidRDefault="00074BF8" w:rsidP="00074BF8">
      <w:pPr>
        <w:widowControl w:val="0"/>
        <w:autoSpaceDE w:val="0"/>
        <w:autoSpaceDN w:val="0"/>
        <w:adjustRightInd w:val="0"/>
        <w:spacing w:after="240" w:line="360" w:lineRule="auto"/>
        <w:jc w:val="both"/>
        <w:rPr>
          <w:rFonts w:ascii="Times New Roman" w:hAnsi="Times New Roman" w:cs="Times New Roman"/>
          <w:kern w:val="0"/>
          <w:sz w:val="24"/>
          <w:szCs w:val="24"/>
        </w:rPr>
      </w:pPr>
      <w:r w:rsidRPr="00F27FCA">
        <w:rPr>
          <w:rFonts w:ascii="Times New Roman" w:hAnsi="Times New Roman" w:cs="Times New Roman"/>
          <w:kern w:val="0"/>
          <w:sz w:val="36"/>
          <w:szCs w:val="36"/>
        </w:rPr>
        <w:t>Reference list:</w:t>
      </w:r>
    </w:p>
    <w:p w14:paraId="7D662CF1"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Andrew Othuke Akpeli (2019), </w:t>
      </w:r>
      <w:r w:rsidRPr="00F27FCA">
        <w:rPr>
          <w:rFonts w:ascii="Times New Roman" w:hAnsi="Times New Roman" w:cs="Times New Roman"/>
          <w:i/>
          <w:iCs/>
          <w:kern w:val="0"/>
          <w:sz w:val="24"/>
          <w:szCs w:val="24"/>
        </w:rPr>
        <w:t>The role of dietitians in health care delivery</w:t>
      </w:r>
      <w:r w:rsidRPr="00F27FCA">
        <w:rPr>
          <w:rFonts w:ascii="Times New Roman" w:hAnsi="Times New Roman" w:cs="Times New Roman"/>
          <w:kern w:val="0"/>
          <w:sz w:val="24"/>
          <w:szCs w:val="24"/>
        </w:rPr>
        <w:t xml:space="preserve">, Dutable. Available at: </w:t>
      </w:r>
      <w:hyperlink r:id="rId7" w:history="1">
        <w:r w:rsidRPr="00F27FCA">
          <w:rPr>
            <w:rFonts w:ascii="Times New Roman" w:hAnsi="Times New Roman" w:cs="Times New Roman"/>
            <w:kern w:val="0"/>
            <w:sz w:val="24"/>
            <w:szCs w:val="24"/>
          </w:rPr>
          <w:t>https://dutable.com/2019/02/20/the-role-of-dietitians-in-health-care-delivery/</w:t>
        </w:r>
      </w:hyperlink>
      <w:r w:rsidRPr="00F27FCA">
        <w:rPr>
          <w:rFonts w:ascii="Times New Roman" w:hAnsi="Times New Roman" w:cs="Times New Roman"/>
          <w:kern w:val="0"/>
          <w:sz w:val="24"/>
          <w:szCs w:val="24"/>
        </w:rPr>
        <w:t>.</w:t>
      </w:r>
    </w:p>
    <w:p w14:paraId="53D71329"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Barnett, A., Wright, C., Stone, C.M., Nok, N., Pooja A., Kostjasyn, S.P., Hickman, I.J., Campbell, K.L., Mayr, H.L. and Kelly, J.T. (2022), ‘Effectiveness of dietary interventions delivered by digital health to adults with chronic conditions: Systematic review and meta‐analysis’. Available to: </w:t>
      </w:r>
      <w:hyperlink r:id="rId8" w:history="1">
        <w:r w:rsidRPr="00F27FCA">
          <w:rPr>
            <w:rFonts w:ascii="Times New Roman" w:hAnsi="Times New Roman" w:cs="Times New Roman"/>
            <w:kern w:val="0"/>
            <w:sz w:val="24"/>
            <w:szCs w:val="24"/>
          </w:rPr>
          <w:t>https://doi.org/10.1111/jhn.13125</w:t>
        </w:r>
      </w:hyperlink>
      <w:r w:rsidRPr="00F27FCA">
        <w:rPr>
          <w:rFonts w:ascii="Times New Roman" w:hAnsi="Times New Roman" w:cs="Times New Roman"/>
          <w:kern w:val="0"/>
          <w:sz w:val="24"/>
          <w:szCs w:val="24"/>
        </w:rPr>
        <w:t>.</w:t>
      </w:r>
    </w:p>
    <w:p w14:paraId="7D06DE3D"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BDA (2020a), </w:t>
      </w:r>
      <w:r w:rsidRPr="00F27FCA">
        <w:rPr>
          <w:rFonts w:ascii="Times New Roman" w:hAnsi="Times New Roman" w:cs="Times New Roman"/>
          <w:i/>
          <w:iCs/>
          <w:kern w:val="0"/>
          <w:sz w:val="24"/>
          <w:szCs w:val="24"/>
        </w:rPr>
        <w:t>Dietitian or nutritionist?</w:t>
      </w:r>
      <w:r w:rsidRPr="00F27FCA">
        <w:rPr>
          <w:rFonts w:ascii="Times New Roman" w:hAnsi="Times New Roman" w:cs="Times New Roman"/>
          <w:kern w:val="0"/>
          <w:sz w:val="24"/>
          <w:szCs w:val="24"/>
        </w:rPr>
        <w:t xml:space="preserve">. Available at: </w:t>
      </w:r>
      <w:hyperlink r:id="rId9" w:history="1">
        <w:r w:rsidRPr="00F27FCA">
          <w:rPr>
            <w:rFonts w:ascii="Times New Roman" w:hAnsi="Times New Roman" w:cs="Times New Roman"/>
            <w:kern w:val="0"/>
            <w:sz w:val="24"/>
            <w:szCs w:val="24"/>
          </w:rPr>
          <w:t>https://www.bda.uk.com/about-dietetics/what-is-dietitian/dietitian-or-nutritionist.html</w:t>
        </w:r>
      </w:hyperlink>
      <w:r w:rsidRPr="00F27FCA">
        <w:rPr>
          <w:rFonts w:ascii="Times New Roman" w:hAnsi="Times New Roman" w:cs="Times New Roman"/>
          <w:kern w:val="0"/>
          <w:sz w:val="24"/>
          <w:szCs w:val="24"/>
        </w:rPr>
        <w:t>.</w:t>
      </w:r>
    </w:p>
    <w:p w14:paraId="0B88BBE8"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BDA (2020b). </w:t>
      </w:r>
      <w:r w:rsidRPr="00F27FCA">
        <w:rPr>
          <w:rFonts w:ascii="Times New Roman" w:hAnsi="Times New Roman" w:cs="Times New Roman"/>
          <w:i/>
          <w:iCs/>
          <w:kern w:val="0"/>
          <w:sz w:val="24"/>
          <w:szCs w:val="24"/>
        </w:rPr>
        <w:t>What do dietitians do?</w:t>
      </w:r>
      <w:r w:rsidRPr="00F27FCA">
        <w:rPr>
          <w:rFonts w:ascii="Times New Roman" w:hAnsi="Times New Roman" w:cs="Times New Roman"/>
          <w:kern w:val="0"/>
          <w:sz w:val="24"/>
          <w:szCs w:val="24"/>
        </w:rPr>
        <w:t xml:space="preserve">. Available at: </w:t>
      </w:r>
      <w:hyperlink r:id="rId10" w:history="1">
        <w:r w:rsidRPr="00F27FCA">
          <w:rPr>
            <w:rFonts w:ascii="Times New Roman" w:hAnsi="Times New Roman" w:cs="Times New Roman"/>
            <w:kern w:val="0"/>
            <w:sz w:val="24"/>
            <w:szCs w:val="24"/>
          </w:rPr>
          <w:t>https://www.bda.uk.com/about-dietetics/what-do-dietitians-do.html</w:t>
        </w:r>
      </w:hyperlink>
      <w:r w:rsidRPr="00F27FCA">
        <w:rPr>
          <w:rFonts w:ascii="Times New Roman" w:hAnsi="Times New Roman" w:cs="Times New Roman"/>
          <w:kern w:val="0"/>
          <w:sz w:val="24"/>
          <w:szCs w:val="24"/>
        </w:rPr>
        <w:t>.</w:t>
      </w:r>
    </w:p>
    <w:p w14:paraId="179D5C92"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Boak, R., Palermo, C., Beck, E.J., Patch, C., Pelly, F., Wall, C. and Gallegos, D. (2022), ‘A qualitative exploration of the future of nutrition and dietetics in Australia and New Zealand: Implications for the workforce’, </w:t>
      </w:r>
      <w:r w:rsidRPr="00F27FCA">
        <w:rPr>
          <w:rFonts w:ascii="Times New Roman" w:hAnsi="Times New Roman" w:cs="Times New Roman"/>
          <w:i/>
          <w:iCs/>
          <w:kern w:val="0"/>
          <w:sz w:val="24"/>
          <w:szCs w:val="24"/>
        </w:rPr>
        <w:t>Nutrition &amp; Dietetics</w:t>
      </w:r>
      <w:r w:rsidRPr="00F27FCA">
        <w:rPr>
          <w:rFonts w:ascii="Times New Roman" w:hAnsi="Times New Roman" w:cs="Times New Roman"/>
          <w:kern w:val="0"/>
          <w:sz w:val="24"/>
          <w:szCs w:val="24"/>
        </w:rPr>
        <w:t xml:space="preserve">. Available to: </w:t>
      </w:r>
      <w:hyperlink r:id="rId11" w:history="1">
        <w:r w:rsidRPr="00F27FCA">
          <w:rPr>
            <w:rFonts w:ascii="Times New Roman" w:hAnsi="Times New Roman" w:cs="Times New Roman"/>
            <w:kern w:val="0"/>
            <w:sz w:val="24"/>
            <w:szCs w:val="24"/>
          </w:rPr>
          <w:t>https://doi.org/10.1111/1747-0080.12734</w:t>
        </w:r>
      </w:hyperlink>
      <w:r w:rsidRPr="00F27FCA">
        <w:rPr>
          <w:rFonts w:ascii="Times New Roman" w:hAnsi="Times New Roman" w:cs="Times New Roman"/>
          <w:kern w:val="0"/>
          <w:sz w:val="24"/>
          <w:szCs w:val="24"/>
        </w:rPr>
        <w:t>.</w:t>
      </w:r>
    </w:p>
    <w:p w14:paraId="0AF503BE"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British Nutrition Foundation (2020), </w:t>
      </w:r>
      <w:r w:rsidRPr="00F27FCA">
        <w:rPr>
          <w:rFonts w:ascii="Times New Roman" w:hAnsi="Times New Roman" w:cs="Times New Roman"/>
          <w:i/>
          <w:iCs/>
          <w:kern w:val="0"/>
          <w:sz w:val="24"/>
          <w:szCs w:val="24"/>
        </w:rPr>
        <w:t>Nutrition for sports and exercise - British Nutrition Foundation</w:t>
      </w:r>
      <w:r w:rsidRPr="00F27FCA">
        <w:rPr>
          <w:rFonts w:ascii="Times New Roman" w:hAnsi="Times New Roman" w:cs="Times New Roman"/>
          <w:kern w:val="0"/>
          <w:sz w:val="24"/>
          <w:szCs w:val="24"/>
        </w:rPr>
        <w:t xml:space="preserve">. Available at: </w:t>
      </w:r>
      <w:hyperlink r:id="rId12" w:history="1">
        <w:r w:rsidRPr="00F27FCA">
          <w:rPr>
            <w:rFonts w:ascii="Times New Roman" w:hAnsi="Times New Roman" w:cs="Times New Roman"/>
            <w:kern w:val="0"/>
            <w:sz w:val="24"/>
            <w:szCs w:val="24"/>
          </w:rPr>
          <w:t>https://www.nutrition.org.uk/putting-it-into-practice/keeping-active/nutrition-for-sports-and-exercise/</w:t>
        </w:r>
      </w:hyperlink>
      <w:r w:rsidRPr="00F27FCA">
        <w:rPr>
          <w:rFonts w:ascii="Times New Roman" w:hAnsi="Times New Roman" w:cs="Times New Roman"/>
          <w:kern w:val="0"/>
          <w:sz w:val="24"/>
          <w:szCs w:val="24"/>
        </w:rPr>
        <w:t>.</w:t>
      </w:r>
    </w:p>
    <w:p w14:paraId="749D3410"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Coubrough, H.A. (1978), ‘The role of dietitians in hospitals’, </w:t>
      </w:r>
      <w:r w:rsidRPr="00F27FCA">
        <w:rPr>
          <w:rFonts w:ascii="Times New Roman" w:hAnsi="Times New Roman" w:cs="Times New Roman"/>
          <w:i/>
          <w:iCs/>
          <w:kern w:val="0"/>
          <w:sz w:val="24"/>
          <w:szCs w:val="24"/>
        </w:rPr>
        <w:t>Proceedings of the Nutrition Society</w:t>
      </w:r>
      <w:r w:rsidRPr="00F27FCA">
        <w:rPr>
          <w:rFonts w:ascii="Times New Roman" w:hAnsi="Times New Roman" w:cs="Times New Roman"/>
          <w:kern w:val="0"/>
          <w:sz w:val="24"/>
          <w:szCs w:val="24"/>
        </w:rPr>
        <w:t xml:space="preserve">, 37(1), pp 65–70. Available to: </w:t>
      </w:r>
      <w:hyperlink r:id="rId13" w:history="1">
        <w:r w:rsidRPr="00F27FCA">
          <w:rPr>
            <w:rFonts w:ascii="Times New Roman" w:hAnsi="Times New Roman" w:cs="Times New Roman"/>
            <w:kern w:val="0"/>
            <w:sz w:val="24"/>
            <w:szCs w:val="24"/>
          </w:rPr>
          <w:t>https://doi.org/10.1079/PNS19780009</w:t>
        </w:r>
      </w:hyperlink>
      <w:r w:rsidRPr="00F27FCA">
        <w:rPr>
          <w:rFonts w:ascii="Times New Roman" w:hAnsi="Times New Roman" w:cs="Times New Roman"/>
          <w:kern w:val="0"/>
          <w:sz w:val="24"/>
          <w:szCs w:val="24"/>
        </w:rPr>
        <w:t>.</w:t>
      </w:r>
    </w:p>
    <w:p w14:paraId="4DE331D0"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Endinjok, F. and Augustin, F. (2022), ‘Supporting Undergraduate Hispanic Students in Nutrition and Dietetics’, </w:t>
      </w:r>
      <w:r w:rsidRPr="00F27FCA">
        <w:rPr>
          <w:rFonts w:ascii="Times New Roman" w:hAnsi="Times New Roman" w:cs="Times New Roman"/>
          <w:i/>
          <w:iCs/>
          <w:kern w:val="0"/>
          <w:sz w:val="24"/>
          <w:szCs w:val="24"/>
        </w:rPr>
        <w:t>Journal of Family &amp; Consumer Sciences</w:t>
      </w:r>
      <w:r w:rsidRPr="00F27FCA">
        <w:rPr>
          <w:rFonts w:ascii="Times New Roman" w:hAnsi="Times New Roman" w:cs="Times New Roman"/>
          <w:kern w:val="0"/>
          <w:sz w:val="24"/>
          <w:szCs w:val="24"/>
        </w:rPr>
        <w:t xml:space="preserve">, 114(1), pp 13–19. </w:t>
      </w:r>
      <w:r w:rsidRPr="00F27FCA">
        <w:rPr>
          <w:rFonts w:ascii="Times New Roman" w:hAnsi="Times New Roman" w:cs="Times New Roman"/>
          <w:kern w:val="0"/>
          <w:sz w:val="24"/>
          <w:szCs w:val="24"/>
        </w:rPr>
        <w:lastRenderedPageBreak/>
        <w:t xml:space="preserve">Available to: </w:t>
      </w:r>
      <w:hyperlink r:id="rId14" w:history="1">
        <w:r w:rsidRPr="00F27FCA">
          <w:rPr>
            <w:rFonts w:ascii="Times New Roman" w:hAnsi="Times New Roman" w:cs="Times New Roman"/>
            <w:kern w:val="0"/>
            <w:sz w:val="24"/>
            <w:szCs w:val="24"/>
          </w:rPr>
          <w:t>https://doi.org/10.14307/jfcs114.1.13</w:t>
        </w:r>
      </w:hyperlink>
      <w:r w:rsidRPr="00F27FCA">
        <w:rPr>
          <w:rFonts w:ascii="Times New Roman" w:hAnsi="Times New Roman" w:cs="Times New Roman"/>
          <w:kern w:val="0"/>
          <w:sz w:val="24"/>
          <w:szCs w:val="24"/>
        </w:rPr>
        <w:t>.</w:t>
      </w:r>
    </w:p>
    <w:p w14:paraId="1FFAD6E6"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Erickson, N. (2021), ‘Digital Health: A New Horizon in Dietetics’, </w:t>
      </w:r>
      <w:r w:rsidRPr="00F27FCA">
        <w:rPr>
          <w:rFonts w:ascii="Times New Roman" w:hAnsi="Times New Roman" w:cs="Times New Roman"/>
          <w:i/>
          <w:iCs/>
          <w:kern w:val="0"/>
          <w:sz w:val="24"/>
          <w:szCs w:val="24"/>
        </w:rPr>
        <w:t>Kompass Nutrition &amp; Dietetics</w:t>
      </w:r>
      <w:r w:rsidRPr="00F27FCA">
        <w:rPr>
          <w:rFonts w:ascii="Times New Roman" w:hAnsi="Times New Roman" w:cs="Times New Roman"/>
          <w:kern w:val="0"/>
          <w:sz w:val="24"/>
          <w:szCs w:val="24"/>
        </w:rPr>
        <w:t xml:space="preserve">, pp 1–1. Available to: </w:t>
      </w:r>
      <w:hyperlink r:id="rId15" w:history="1">
        <w:r w:rsidRPr="00F27FCA">
          <w:rPr>
            <w:rStyle w:val="Hyperlink"/>
            <w:rFonts w:ascii="Times New Roman" w:hAnsi="Times New Roman" w:cs="Times New Roman"/>
            <w:color w:val="auto"/>
            <w:kern w:val="0"/>
            <w:sz w:val="24"/>
            <w:szCs w:val="24"/>
            <w:u w:val="none"/>
          </w:rPr>
          <w:t>https://doi.org/10.1159/000519334</w:t>
        </w:r>
      </w:hyperlink>
      <w:r w:rsidRPr="00F27FCA">
        <w:rPr>
          <w:rFonts w:ascii="Times New Roman" w:hAnsi="Times New Roman" w:cs="Times New Roman"/>
          <w:kern w:val="0"/>
          <w:sz w:val="24"/>
          <w:szCs w:val="24"/>
        </w:rPr>
        <w:t>.</w:t>
      </w:r>
    </w:p>
    <w:p w14:paraId="75130354"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Heafala, A., Ball, L., Rayner, J. and Mitchell, L.J. (2021), ‘What role do dietitians have in providing nutrition care for eating disorder treatment? An integrative review’, </w:t>
      </w:r>
      <w:r w:rsidRPr="00F27FCA">
        <w:rPr>
          <w:rFonts w:ascii="Times New Roman" w:hAnsi="Times New Roman" w:cs="Times New Roman"/>
          <w:i/>
          <w:iCs/>
          <w:kern w:val="0"/>
          <w:sz w:val="24"/>
          <w:szCs w:val="24"/>
        </w:rPr>
        <w:t>Journal of Human Nutrition and Dietetics</w:t>
      </w:r>
      <w:r w:rsidRPr="00F27FCA">
        <w:rPr>
          <w:rFonts w:ascii="Times New Roman" w:hAnsi="Times New Roman" w:cs="Times New Roman"/>
          <w:kern w:val="0"/>
          <w:sz w:val="24"/>
          <w:szCs w:val="24"/>
        </w:rPr>
        <w:t xml:space="preserve">, 34(4). Available to: </w:t>
      </w:r>
      <w:hyperlink r:id="rId16" w:history="1">
        <w:r w:rsidRPr="00F27FCA">
          <w:rPr>
            <w:rFonts w:ascii="Times New Roman" w:hAnsi="Times New Roman" w:cs="Times New Roman"/>
            <w:kern w:val="0"/>
            <w:sz w:val="24"/>
            <w:szCs w:val="24"/>
          </w:rPr>
          <w:t>https://doi.org/10.1111/jhn.12927</w:t>
        </w:r>
      </w:hyperlink>
      <w:r w:rsidRPr="00F27FCA">
        <w:rPr>
          <w:rFonts w:ascii="Times New Roman" w:hAnsi="Times New Roman" w:cs="Times New Roman"/>
          <w:kern w:val="0"/>
          <w:sz w:val="24"/>
          <w:szCs w:val="24"/>
        </w:rPr>
        <w:t>.</w:t>
      </w:r>
    </w:p>
    <w:p w14:paraId="75739C2F"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Herrera Cuenca, M., Proaño, G.V., Blankenship, J., Cano-Gutierrez, C., Chew, S.T.H., Fracassi, P., Keller, H., Venkatesh Mannar, M.G., Mastrilli, V., Milewska, M. and Steiber, A. (2020), ‘Building Global Nutrition Policies in Health Care: Insights for Tackling Malnutrition from the Academy of Nutrition and Dietetics 2019 Global Nutrition Research and Policy Forum’, </w:t>
      </w:r>
      <w:r w:rsidRPr="00F27FCA">
        <w:rPr>
          <w:rFonts w:ascii="Times New Roman" w:hAnsi="Times New Roman" w:cs="Times New Roman"/>
          <w:i/>
          <w:iCs/>
          <w:kern w:val="0"/>
          <w:sz w:val="24"/>
          <w:szCs w:val="24"/>
        </w:rPr>
        <w:t>Journal of the Academy of Nutrition and Dietetics</w:t>
      </w:r>
      <w:r w:rsidRPr="00F27FCA">
        <w:rPr>
          <w:rFonts w:ascii="Times New Roman" w:hAnsi="Times New Roman" w:cs="Times New Roman"/>
          <w:kern w:val="0"/>
          <w:sz w:val="24"/>
          <w:szCs w:val="24"/>
        </w:rPr>
        <w:t xml:space="preserve">, 120(8), pp 1407–1416. Available to: </w:t>
      </w:r>
      <w:hyperlink r:id="rId17" w:history="1">
        <w:r w:rsidRPr="00F27FCA">
          <w:rPr>
            <w:rFonts w:ascii="Times New Roman" w:hAnsi="Times New Roman" w:cs="Times New Roman"/>
            <w:kern w:val="0"/>
            <w:sz w:val="24"/>
            <w:szCs w:val="24"/>
          </w:rPr>
          <w:t>https://doi.org/10.1016/j.jand.2020.03.011</w:t>
        </w:r>
      </w:hyperlink>
      <w:r w:rsidRPr="00F27FCA">
        <w:rPr>
          <w:rFonts w:ascii="Times New Roman" w:hAnsi="Times New Roman" w:cs="Times New Roman"/>
          <w:kern w:val="0"/>
          <w:sz w:val="24"/>
          <w:szCs w:val="24"/>
        </w:rPr>
        <w:t>.</w:t>
      </w:r>
    </w:p>
    <w:p w14:paraId="6F3B9BDA"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MEDA - Multi-Service Eating Disorders Association. (2021), </w:t>
      </w:r>
      <w:r w:rsidRPr="00F27FCA">
        <w:rPr>
          <w:rFonts w:ascii="Times New Roman" w:hAnsi="Times New Roman" w:cs="Times New Roman"/>
          <w:i/>
          <w:iCs/>
          <w:kern w:val="0"/>
          <w:sz w:val="24"/>
          <w:szCs w:val="24"/>
        </w:rPr>
        <w:t>The Role of the Dietitian in Eating Disorder Treatment</w:t>
      </w:r>
      <w:r w:rsidRPr="00F27FCA">
        <w:rPr>
          <w:rFonts w:ascii="Times New Roman" w:hAnsi="Times New Roman" w:cs="Times New Roman"/>
          <w:kern w:val="0"/>
          <w:sz w:val="24"/>
          <w:szCs w:val="24"/>
        </w:rPr>
        <w:t xml:space="preserve">. Available at: </w:t>
      </w:r>
      <w:hyperlink r:id="rId18" w:history="1">
        <w:r w:rsidRPr="00F27FCA">
          <w:rPr>
            <w:rFonts w:ascii="Times New Roman" w:hAnsi="Times New Roman" w:cs="Times New Roman"/>
            <w:kern w:val="0"/>
            <w:sz w:val="24"/>
            <w:szCs w:val="24"/>
          </w:rPr>
          <w:t>https://www.medainc.org/the-role-of-the-dietitian-in-eating-disorder-treatment/</w:t>
        </w:r>
      </w:hyperlink>
      <w:r w:rsidRPr="00F27FCA">
        <w:rPr>
          <w:rFonts w:ascii="Times New Roman" w:hAnsi="Times New Roman" w:cs="Times New Roman"/>
          <w:kern w:val="0"/>
          <w:sz w:val="24"/>
          <w:szCs w:val="24"/>
        </w:rPr>
        <w:t>.</w:t>
      </w:r>
    </w:p>
    <w:p w14:paraId="5CD6DFDF"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NHS (2015), </w:t>
      </w:r>
      <w:r w:rsidRPr="00F27FCA">
        <w:rPr>
          <w:rFonts w:ascii="Times New Roman" w:hAnsi="Times New Roman" w:cs="Times New Roman"/>
          <w:i/>
          <w:iCs/>
          <w:kern w:val="0"/>
          <w:sz w:val="24"/>
          <w:szCs w:val="24"/>
        </w:rPr>
        <w:t>Dietitian</w:t>
      </w:r>
      <w:r w:rsidRPr="00F27FCA">
        <w:rPr>
          <w:rFonts w:ascii="Times New Roman" w:hAnsi="Times New Roman" w:cs="Times New Roman"/>
          <w:kern w:val="0"/>
          <w:sz w:val="24"/>
          <w:szCs w:val="24"/>
        </w:rPr>
        <w:t xml:space="preserve">, Health Careers. Available at: </w:t>
      </w:r>
      <w:hyperlink r:id="rId19" w:history="1">
        <w:r w:rsidRPr="00F27FCA">
          <w:rPr>
            <w:rFonts w:ascii="Times New Roman" w:hAnsi="Times New Roman" w:cs="Times New Roman"/>
            <w:kern w:val="0"/>
            <w:sz w:val="24"/>
            <w:szCs w:val="24"/>
          </w:rPr>
          <w:t>https://www.healthcareers.nhs.uk/explore-roles/allied-health-professionals/roles-allied-health-professions/dietitian</w:t>
        </w:r>
      </w:hyperlink>
      <w:r w:rsidRPr="00F27FCA">
        <w:rPr>
          <w:rFonts w:ascii="Times New Roman" w:hAnsi="Times New Roman" w:cs="Times New Roman"/>
          <w:kern w:val="0"/>
          <w:sz w:val="24"/>
          <w:szCs w:val="24"/>
        </w:rPr>
        <w:t>.</w:t>
      </w:r>
    </w:p>
    <w:p w14:paraId="3A575A95"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NHS (2022), </w:t>
      </w:r>
      <w:r w:rsidRPr="00F27FCA">
        <w:rPr>
          <w:rFonts w:ascii="Times New Roman" w:hAnsi="Times New Roman" w:cs="Times New Roman"/>
          <w:i/>
          <w:iCs/>
          <w:kern w:val="0"/>
          <w:sz w:val="24"/>
          <w:szCs w:val="24"/>
        </w:rPr>
        <w:t>The Eatwell Guide</w:t>
      </w:r>
      <w:r w:rsidRPr="00F27FCA">
        <w:rPr>
          <w:rFonts w:ascii="Times New Roman" w:hAnsi="Times New Roman" w:cs="Times New Roman"/>
          <w:kern w:val="0"/>
          <w:sz w:val="24"/>
          <w:szCs w:val="24"/>
        </w:rPr>
        <w:t xml:space="preserve">. Available at: </w:t>
      </w:r>
      <w:hyperlink r:id="rId20" w:history="1">
        <w:r w:rsidRPr="00F27FCA">
          <w:rPr>
            <w:rFonts w:ascii="Times New Roman" w:hAnsi="Times New Roman" w:cs="Times New Roman"/>
            <w:kern w:val="0"/>
            <w:sz w:val="24"/>
            <w:szCs w:val="24"/>
          </w:rPr>
          <w:t>https://www.nhs.uk/live-well/eat-well/food-guidelines-and-food-labels/the-eatwell-guide/</w:t>
        </w:r>
      </w:hyperlink>
      <w:r w:rsidRPr="00F27FCA">
        <w:rPr>
          <w:rFonts w:ascii="Times New Roman" w:hAnsi="Times New Roman" w:cs="Times New Roman"/>
          <w:kern w:val="0"/>
          <w:sz w:val="24"/>
          <w:szCs w:val="24"/>
        </w:rPr>
        <w:t>.</w:t>
      </w:r>
    </w:p>
    <w:p w14:paraId="443AE789"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NICE (2017), </w:t>
      </w:r>
      <w:r w:rsidRPr="00F27FCA">
        <w:rPr>
          <w:rFonts w:ascii="Times New Roman" w:hAnsi="Times New Roman" w:cs="Times New Roman"/>
          <w:i/>
          <w:iCs/>
          <w:kern w:val="0"/>
          <w:sz w:val="24"/>
          <w:szCs w:val="24"/>
        </w:rPr>
        <w:t>Recommendations | Nutrition support for adults: oral nutrition support, enteral tube feeding and parenteral nutrition | Guidance | NICE</w:t>
      </w:r>
      <w:r w:rsidRPr="00F27FCA">
        <w:rPr>
          <w:rFonts w:ascii="Times New Roman" w:hAnsi="Times New Roman" w:cs="Times New Roman"/>
          <w:kern w:val="0"/>
          <w:sz w:val="24"/>
          <w:szCs w:val="24"/>
        </w:rPr>
        <w:t xml:space="preserve">. Available at: </w:t>
      </w:r>
      <w:hyperlink r:id="rId21" w:history="1">
        <w:r w:rsidRPr="00F27FCA">
          <w:rPr>
            <w:rFonts w:ascii="Times New Roman" w:hAnsi="Times New Roman" w:cs="Times New Roman"/>
            <w:kern w:val="0"/>
            <w:sz w:val="24"/>
            <w:szCs w:val="24"/>
          </w:rPr>
          <w:t>https://www.nice.org.uk/guidance/cg32/chapter/Recommendations</w:t>
        </w:r>
      </w:hyperlink>
      <w:r w:rsidRPr="00F27FCA">
        <w:rPr>
          <w:rFonts w:ascii="Times New Roman" w:hAnsi="Times New Roman" w:cs="Times New Roman"/>
          <w:kern w:val="0"/>
          <w:sz w:val="24"/>
          <w:szCs w:val="24"/>
        </w:rPr>
        <w:t>.</w:t>
      </w:r>
    </w:p>
    <w:p w14:paraId="22D151B5"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Nutrition Society (2016), </w:t>
      </w:r>
      <w:r w:rsidRPr="00F27FCA">
        <w:rPr>
          <w:rFonts w:ascii="Times New Roman" w:hAnsi="Times New Roman" w:cs="Times New Roman"/>
          <w:i/>
          <w:iCs/>
          <w:kern w:val="0"/>
          <w:sz w:val="24"/>
          <w:szCs w:val="24"/>
        </w:rPr>
        <w:t>New technology in nutrition research and practice | The Nutrition Society</w:t>
      </w:r>
      <w:r w:rsidRPr="00F27FCA">
        <w:rPr>
          <w:rFonts w:ascii="Times New Roman" w:hAnsi="Times New Roman" w:cs="Times New Roman"/>
          <w:kern w:val="0"/>
          <w:sz w:val="24"/>
          <w:szCs w:val="24"/>
        </w:rPr>
        <w:t xml:space="preserve">. Available at: </w:t>
      </w:r>
      <w:hyperlink r:id="rId22" w:history="1">
        <w:r w:rsidRPr="00F27FCA">
          <w:rPr>
            <w:rFonts w:ascii="Times New Roman" w:hAnsi="Times New Roman" w:cs="Times New Roman"/>
            <w:kern w:val="0"/>
            <w:sz w:val="24"/>
            <w:szCs w:val="24"/>
          </w:rPr>
          <w:t>https://www.nutritionsociety.org/blog/new-technology-nutrition-research-and-practice</w:t>
        </w:r>
      </w:hyperlink>
      <w:r w:rsidRPr="00F27FCA">
        <w:rPr>
          <w:rFonts w:ascii="Times New Roman" w:hAnsi="Times New Roman" w:cs="Times New Roman"/>
          <w:kern w:val="0"/>
          <w:sz w:val="24"/>
          <w:szCs w:val="24"/>
        </w:rPr>
        <w:t>.</w:t>
      </w:r>
    </w:p>
    <w:p w14:paraId="5338458C"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Ordovas, J.M., Ferguson, L.R., Tai, E.S. and Mathers, J.C. (2018), </w:t>
      </w:r>
      <w:r>
        <w:rPr>
          <w:rFonts w:ascii="Times New Roman" w:hAnsi="Times New Roman" w:cs="Times New Roman"/>
          <w:kern w:val="0"/>
          <w:sz w:val="24"/>
          <w:szCs w:val="24"/>
        </w:rPr>
        <w:t>‘</w:t>
      </w:r>
      <w:r w:rsidRPr="00F27FCA">
        <w:rPr>
          <w:rFonts w:ascii="Times New Roman" w:hAnsi="Times New Roman" w:cs="Times New Roman"/>
          <w:kern w:val="0"/>
          <w:sz w:val="24"/>
          <w:szCs w:val="24"/>
        </w:rPr>
        <w:t>Personalized nutrition and health</w:t>
      </w:r>
      <w:r>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BMJ</w:t>
      </w:r>
      <w:r w:rsidRPr="00F27FCA">
        <w:rPr>
          <w:rFonts w:ascii="Times New Roman" w:hAnsi="Times New Roman" w:cs="Times New Roman"/>
          <w:kern w:val="0"/>
          <w:sz w:val="24"/>
          <w:szCs w:val="24"/>
        </w:rPr>
        <w:t>, 361, p</w:t>
      </w:r>
      <w:r>
        <w:rPr>
          <w:rFonts w:ascii="Times New Roman" w:hAnsi="Times New Roman" w:cs="Times New Roman"/>
          <w:kern w:val="0"/>
          <w:sz w:val="24"/>
          <w:szCs w:val="24"/>
        </w:rPr>
        <w:t xml:space="preserve">p </w:t>
      </w:r>
      <w:r w:rsidRPr="00F27FCA">
        <w:rPr>
          <w:rFonts w:ascii="Times New Roman" w:hAnsi="Times New Roman" w:cs="Times New Roman"/>
          <w:kern w:val="0"/>
          <w:sz w:val="24"/>
          <w:szCs w:val="24"/>
        </w:rPr>
        <w:t xml:space="preserve">2173. </w:t>
      </w:r>
      <w:r>
        <w:rPr>
          <w:rFonts w:ascii="Times New Roman" w:hAnsi="Times New Roman" w:cs="Times New Roman"/>
          <w:kern w:val="0"/>
          <w:sz w:val="24"/>
          <w:szCs w:val="24"/>
        </w:rPr>
        <w:t xml:space="preserve">Available to: </w:t>
      </w:r>
      <w:hyperlink r:id="rId23" w:history="1">
        <w:r w:rsidRPr="00F27FCA">
          <w:rPr>
            <w:rFonts w:ascii="Times New Roman" w:hAnsi="Times New Roman" w:cs="Times New Roman"/>
            <w:kern w:val="0"/>
            <w:sz w:val="24"/>
            <w:szCs w:val="24"/>
          </w:rPr>
          <w:t>https://doi.org/10.1136/bmj.k2173</w:t>
        </w:r>
      </w:hyperlink>
      <w:r w:rsidRPr="00F27FCA">
        <w:rPr>
          <w:rFonts w:ascii="Times New Roman" w:hAnsi="Times New Roman" w:cs="Times New Roman"/>
          <w:kern w:val="0"/>
          <w:sz w:val="24"/>
          <w:szCs w:val="24"/>
        </w:rPr>
        <w:t>.</w:t>
      </w:r>
    </w:p>
    <w:p w14:paraId="30D0FFED"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Patterson-Norrie, T., Ramjan, L., Sousa, M.S., Sank, L. and George, A. (2020)</w:t>
      </w:r>
      <w:r>
        <w:rPr>
          <w:rFonts w:ascii="Times New Roman" w:hAnsi="Times New Roman" w:cs="Times New Roman"/>
          <w:kern w:val="0"/>
          <w:sz w:val="24"/>
          <w:szCs w:val="24"/>
        </w:rPr>
        <w:t>,</w:t>
      </w:r>
      <w:r w:rsidRPr="00F27FCA">
        <w:rPr>
          <w:rFonts w:ascii="Times New Roman" w:hAnsi="Times New Roman" w:cs="Times New Roman"/>
          <w:kern w:val="0"/>
          <w:sz w:val="24"/>
          <w:szCs w:val="24"/>
        </w:rPr>
        <w:t xml:space="preserve"> </w:t>
      </w:r>
      <w:r>
        <w:rPr>
          <w:rFonts w:ascii="Times New Roman" w:hAnsi="Times New Roman" w:cs="Times New Roman"/>
          <w:kern w:val="0"/>
          <w:sz w:val="24"/>
          <w:szCs w:val="24"/>
        </w:rPr>
        <w:t>‘</w:t>
      </w:r>
      <w:r w:rsidRPr="00F27FCA">
        <w:rPr>
          <w:rFonts w:ascii="Times New Roman" w:hAnsi="Times New Roman" w:cs="Times New Roman"/>
          <w:kern w:val="0"/>
          <w:sz w:val="24"/>
          <w:szCs w:val="24"/>
        </w:rPr>
        <w:t>Eating disorders and oral health: a scoping review on the role of dietitians</w:t>
      </w:r>
      <w:r>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Journal of Eating Disorders</w:t>
      </w:r>
      <w:r w:rsidRPr="00F27FCA">
        <w:rPr>
          <w:rFonts w:ascii="Times New Roman" w:hAnsi="Times New Roman" w:cs="Times New Roman"/>
          <w:kern w:val="0"/>
          <w:sz w:val="24"/>
          <w:szCs w:val="24"/>
        </w:rPr>
        <w:t>, 8(1).</w:t>
      </w:r>
      <w:r>
        <w:rPr>
          <w:rFonts w:ascii="Times New Roman" w:hAnsi="Times New Roman" w:cs="Times New Roman"/>
          <w:kern w:val="0"/>
          <w:sz w:val="24"/>
          <w:szCs w:val="24"/>
        </w:rPr>
        <w:t xml:space="preserve"> Available to: </w:t>
      </w:r>
      <w:hyperlink r:id="rId24" w:history="1">
        <w:r w:rsidRPr="00F27FCA">
          <w:rPr>
            <w:rFonts w:ascii="Times New Roman" w:hAnsi="Times New Roman" w:cs="Times New Roman"/>
            <w:kern w:val="0"/>
            <w:sz w:val="24"/>
            <w:szCs w:val="24"/>
          </w:rPr>
          <w:t>https://doi.org/10.1186/s40337-020-00325-0</w:t>
        </w:r>
      </w:hyperlink>
      <w:r w:rsidRPr="00F27FCA">
        <w:rPr>
          <w:rFonts w:ascii="Times New Roman" w:hAnsi="Times New Roman" w:cs="Times New Roman"/>
          <w:kern w:val="0"/>
          <w:sz w:val="24"/>
          <w:szCs w:val="24"/>
        </w:rPr>
        <w:t>.</w:t>
      </w:r>
    </w:p>
    <w:p w14:paraId="5CF6E86F"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Preiser, J.-C., Arabi, Y.M., Berger, M.M., Casaer, M., McClave, S., Montejo-González, J.C., Peake, S., Reintam Blaser, A., Van den Berghe, G., van Zanten, A., Wernerman, J. and Wischmeyer, P. (2021)</w:t>
      </w:r>
      <w:r>
        <w:rPr>
          <w:rFonts w:ascii="Times New Roman" w:hAnsi="Times New Roman" w:cs="Times New Roman"/>
          <w:kern w:val="0"/>
          <w:sz w:val="24"/>
          <w:szCs w:val="24"/>
        </w:rPr>
        <w:t>, ‘</w:t>
      </w:r>
      <w:r w:rsidRPr="00F27FCA">
        <w:rPr>
          <w:rFonts w:ascii="Times New Roman" w:hAnsi="Times New Roman" w:cs="Times New Roman"/>
          <w:kern w:val="0"/>
          <w:sz w:val="24"/>
          <w:szCs w:val="24"/>
        </w:rPr>
        <w:t>A guide to enteral nutrition in intensive care units: 10 expert tips for the daily practice</w:t>
      </w:r>
      <w:r>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Critical Care</w:t>
      </w:r>
      <w:r w:rsidRPr="00F27FCA">
        <w:rPr>
          <w:rFonts w:ascii="Times New Roman" w:hAnsi="Times New Roman" w:cs="Times New Roman"/>
          <w:kern w:val="0"/>
          <w:sz w:val="24"/>
          <w:szCs w:val="24"/>
        </w:rPr>
        <w:t xml:space="preserve">, 25(1). </w:t>
      </w:r>
      <w:r>
        <w:rPr>
          <w:rFonts w:ascii="Times New Roman" w:hAnsi="Times New Roman" w:cs="Times New Roman"/>
          <w:kern w:val="0"/>
          <w:sz w:val="24"/>
          <w:szCs w:val="24"/>
        </w:rPr>
        <w:t xml:space="preserve">Available to: </w:t>
      </w:r>
      <w:hyperlink r:id="rId25" w:history="1">
        <w:r w:rsidRPr="00F27FCA">
          <w:rPr>
            <w:rFonts w:ascii="Times New Roman" w:hAnsi="Times New Roman" w:cs="Times New Roman"/>
            <w:kern w:val="0"/>
            <w:sz w:val="24"/>
            <w:szCs w:val="24"/>
          </w:rPr>
          <w:t>https://doi.org/10.1186/s13054-021-03847-4</w:t>
        </w:r>
      </w:hyperlink>
      <w:r w:rsidRPr="00F27FCA">
        <w:rPr>
          <w:rFonts w:ascii="Times New Roman" w:hAnsi="Times New Roman" w:cs="Times New Roman"/>
          <w:kern w:val="0"/>
          <w:sz w:val="24"/>
          <w:szCs w:val="24"/>
        </w:rPr>
        <w:t>.</w:t>
      </w:r>
    </w:p>
    <w:p w14:paraId="073FD327"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Russell, C.A. (1986)</w:t>
      </w:r>
      <w:r>
        <w:rPr>
          <w:rFonts w:ascii="Times New Roman" w:hAnsi="Times New Roman" w:cs="Times New Roman"/>
          <w:kern w:val="0"/>
          <w:sz w:val="24"/>
          <w:szCs w:val="24"/>
        </w:rPr>
        <w:t>, ‘</w:t>
      </w:r>
      <w:r w:rsidRPr="00F27FCA">
        <w:rPr>
          <w:rFonts w:ascii="Times New Roman" w:hAnsi="Times New Roman" w:cs="Times New Roman"/>
          <w:kern w:val="0"/>
          <w:sz w:val="24"/>
          <w:szCs w:val="24"/>
        </w:rPr>
        <w:t>Role of dietitians in enteral feeding</w:t>
      </w:r>
      <w:r>
        <w:rPr>
          <w:rFonts w:ascii="Times New Roman" w:hAnsi="Times New Roman" w:cs="Times New Roman"/>
          <w:kern w:val="0"/>
          <w:sz w:val="24"/>
          <w:szCs w:val="24"/>
        </w:rPr>
        <w:t>’,</w:t>
      </w:r>
      <w:r w:rsidRPr="00F27FCA">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Gut</w:t>
      </w:r>
      <w:r w:rsidRPr="00F27FCA">
        <w:rPr>
          <w:rFonts w:ascii="Times New Roman" w:hAnsi="Times New Roman" w:cs="Times New Roman"/>
          <w:kern w:val="0"/>
          <w:sz w:val="24"/>
          <w:szCs w:val="24"/>
        </w:rPr>
        <w:t>, 27(Suppl 1), pp</w:t>
      </w:r>
      <w:r>
        <w:rPr>
          <w:rFonts w:ascii="Times New Roman" w:hAnsi="Times New Roman" w:cs="Times New Roman"/>
          <w:kern w:val="0"/>
          <w:sz w:val="24"/>
          <w:szCs w:val="24"/>
        </w:rPr>
        <w:t xml:space="preserve"> </w:t>
      </w:r>
      <w:r w:rsidRPr="00F27FCA">
        <w:rPr>
          <w:rFonts w:ascii="Times New Roman" w:hAnsi="Times New Roman" w:cs="Times New Roman"/>
          <w:kern w:val="0"/>
          <w:sz w:val="24"/>
          <w:szCs w:val="24"/>
        </w:rPr>
        <w:t xml:space="preserve">58–60. </w:t>
      </w:r>
      <w:r>
        <w:rPr>
          <w:rFonts w:ascii="Times New Roman" w:hAnsi="Times New Roman" w:cs="Times New Roman"/>
          <w:kern w:val="0"/>
          <w:sz w:val="24"/>
          <w:szCs w:val="24"/>
        </w:rPr>
        <w:t xml:space="preserve">Available to: </w:t>
      </w:r>
      <w:hyperlink r:id="rId26" w:history="1">
        <w:r w:rsidRPr="00F27FCA">
          <w:rPr>
            <w:rFonts w:ascii="Times New Roman" w:hAnsi="Times New Roman" w:cs="Times New Roman"/>
            <w:kern w:val="0"/>
            <w:sz w:val="24"/>
            <w:szCs w:val="24"/>
          </w:rPr>
          <w:t>https://doi.org/10.1136/gut.27.suppl_1.58</w:t>
        </w:r>
      </w:hyperlink>
      <w:r w:rsidRPr="00F27FCA">
        <w:rPr>
          <w:rFonts w:ascii="Times New Roman" w:hAnsi="Times New Roman" w:cs="Times New Roman"/>
          <w:kern w:val="0"/>
          <w:sz w:val="24"/>
          <w:szCs w:val="24"/>
        </w:rPr>
        <w:t>.</w:t>
      </w:r>
    </w:p>
    <w:p w14:paraId="36943711"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Seladi-Schulman, J. (2022). </w:t>
      </w:r>
      <w:r w:rsidRPr="00F27FCA">
        <w:rPr>
          <w:rFonts w:ascii="Times New Roman" w:hAnsi="Times New Roman" w:cs="Times New Roman"/>
          <w:i/>
          <w:iCs/>
          <w:kern w:val="0"/>
          <w:sz w:val="24"/>
          <w:szCs w:val="24"/>
        </w:rPr>
        <w:t>Heart Disease and Obesity: What the Research Shows</w:t>
      </w:r>
      <w:r w:rsidRPr="00F27FCA">
        <w:rPr>
          <w:rFonts w:ascii="Times New Roman" w:hAnsi="Times New Roman" w:cs="Times New Roman"/>
          <w:kern w:val="0"/>
          <w:sz w:val="24"/>
          <w:szCs w:val="24"/>
        </w:rPr>
        <w:t xml:space="preserve">. Healthline. Available at: </w:t>
      </w:r>
      <w:hyperlink r:id="rId27" w:history="1">
        <w:r w:rsidRPr="00F27FCA">
          <w:rPr>
            <w:rFonts w:ascii="Times New Roman" w:hAnsi="Times New Roman" w:cs="Times New Roman"/>
            <w:kern w:val="0"/>
            <w:sz w:val="24"/>
            <w:szCs w:val="24"/>
          </w:rPr>
          <w:t>https://www.healthline.com/health/heart-disease/heart-disease-and-obesity</w:t>
        </w:r>
      </w:hyperlink>
      <w:r w:rsidRPr="00F27FCA">
        <w:rPr>
          <w:rFonts w:ascii="Times New Roman" w:hAnsi="Times New Roman" w:cs="Times New Roman"/>
          <w:kern w:val="0"/>
          <w:sz w:val="24"/>
          <w:szCs w:val="24"/>
        </w:rPr>
        <w:t>.</w:t>
      </w:r>
    </w:p>
    <w:p w14:paraId="6F114DFB"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Shelley, P and Brookes, E (2022)</w:t>
      </w:r>
      <w:r>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NHS England» Better hospital food on the menu</w:t>
      </w:r>
      <w:r w:rsidRPr="00F27FCA">
        <w:rPr>
          <w:rFonts w:ascii="Times New Roman" w:hAnsi="Times New Roman" w:cs="Times New Roman"/>
          <w:kern w:val="0"/>
          <w:sz w:val="24"/>
          <w:szCs w:val="24"/>
        </w:rPr>
        <w:t xml:space="preserve">. Available at: </w:t>
      </w:r>
      <w:hyperlink r:id="rId28" w:history="1">
        <w:r w:rsidRPr="00F27FCA">
          <w:rPr>
            <w:rFonts w:ascii="Times New Roman" w:hAnsi="Times New Roman" w:cs="Times New Roman"/>
            <w:kern w:val="0"/>
            <w:sz w:val="24"/>
            <w:szCs w:val="24"/>
          </w:rPr>
          <w:t>https://www.england.nhs.uk/blog/better-hospital-food-on-the-menu/</w:t>
        </w:r>
      </w:hyperlink>
      <w:r w:rsidRPr="00F27FCA">
        <w:rPr>
          <w:rFonts w:ascii="Times New Roman" w:hAnsi="Times New Roman" w:cs="Times New Roman"/>
          <w:kern w:val="0"/>
          <w:sz w:val="24"/>
          <w:szCs w:val="24"/>
        </w:rPr>
        <w:t>.</w:t>
      </w:r>
    </w:p>
    <w:p w14:paraId="05E988FA"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Sowards, D.B., McCauley, S.M. and Munoz, N. (2022)</w:t>
      </w:r>
      <w:r>
        <w:rPr>
          <w:rFonts w:ascii="Times New Roman" w:hAnsi="Times New Roman" w:cs="Times New Roman"/>
          <w:kern w:val="0"/>
          <w:sz w:val="24"/>
          <w:szCs w:val="24"/>
        </w:rPr>
        <w:t>,</w:t>
      </w:r>
      <w:r w:rsidRPr="00F27FCA">
        <w:rPr>
          <w:rFonts w:ascii="Times New Roman" w:hAnsi="Times New Roman" w:cs="Times New Roman"/>
          <w:kern w:val="0"/>
          <w:sz w:val="24"/>
          <w:szCs w:val="24"/>
        </w:rPr>
        <w:t xml:space="preserve"> </w:t>
      </w:r>
      <w:r>
        <w:rPr>
          <w:rFonts w:ascii="Times New Roman" w:hAnsi="Times New Roman" w:cs="Times New Roman"/>
          <w:kern w:val="0"/>
          <w:sz w:val="24"/>
          <w:szCs w:val="24"/>
        </w:rPr>
        <w:t>‘</w:t>
      </w:r>
      <w:r w:rsidRPr="00F27FCA">
        <w:rPr>
          <w:rFonts w:ascii="Times New Roman" w:hAnsi="Times New Roman" w:cs="Times New Roman"/>
          <w:kern w:val="0"/>
          <w:sz w:val="24"/>
          <w:szCs w:val="24"/>
        </w:rPr>
        <w:t>Impacting Malnutrition, Food Insecurity, and Health Equity: An Overview of Academy of Nutrition and Dietetics Priorities and Future Opportunities</w:t>
      </w:r>
      <w:r>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Journal of the Academy of Nutrition and Dietetics</w:t>
      </w:r>
      <w:r w:rsidRPr="00F27FCA">
        <w:rPr>
          <w:rFonts w:ascii="Times New Roman" w:hAnsi="Times New Roman" w:cs="Times New Roman"/>
          <w:kern w:val="0"/>
          <w:sz w:val="24"/>
          <w:szCs w:val="24"/>
        </w:rPr>
        <w:t xml:space="preserve">, </w:t>
      </w:r>
      <w:r w:rsidRPr="00F27FCA">
        <w:rPr>
          <w:rFonts w:ascii="Times New Roman" w:hAnsi="Times New Roman" w:cs="Times New Roman"/>
          <w:kern w:val="0"/>
          <w:sz w:val="24"/>
          <w:szCs w:val="24"/>
        </w:rPr>
        <w:lastRenderedPageBreak/>
        <w:t>122(10), pp</w:t>
      </w:r>
      <w:r>
        <w:rPr>
          <w:rFonts w:ascii="Times New Roman" w:hAnsi="Times New Roman" w:cs="Times New Roman"/>
          <w:kern w:val="0"/>
          <w:sz w:val="24"/>
          <w:szCs w:val="24"/>
        </w:rPr>
        <w:t xml:space="preserve"> </w:t>
      </w:r>
      <w:r w:rsidRPr="00F27FCA">
        <w:rPr>
          <w:rFonts w:ascii="Times New Roman" w:hAnsi="Times New Roman" w:cs="Times New Roman"/>
          <w:kern w:val="0"/>
          <w:sz w:val="24"/>
          <w:szCs w:val="24"/>
        </w:rPr>
        <w:t xml:space="preserve">S7–S11. </w:t>
      </w:r>
      <w:r>
        <w:rPr>
          <w:rFonts w:ascii="Times New Roman" w:hAnsi="Times New Roman" w:cs="Times New Roman"/>
          <w:kern w:val="0"/>
          <w:sz w:val="24"/>
          <w:szCs w:val="24"/>
        </w:rPr>
        <w:t xml:space="preserve">Available to: </w:t>
      </w:r>
      <w:hyperlink r:id="rId29" w:history="1">
        <w:r w:rsidRPr="00F27FCA">
          <w:rPr>
            <w:rFonts w:ascii="Times New Roman" w:hAnsi="Times New Roman" w:cs="Times New Roman"/>
            <w:kern w:val="0"/>
            <w:sz w:val="24"/>
            <w:szCs w:val="24"/>
          </w:rPr>
          <w:t>https://doi.org/10.1016/j.jand.2022.06.018</w:t>
        </w:r>
      </w:hyperlink>
      <w:r w:rsidRPr="00F27FCA">
        <w:rPr>
          <w:rFonts w:ascii="Times New Roman" w:hAnsi="Times New Roman" w:cs="Times New Roman"/>
          <w:kern w:val="0"/>
          <w:sz w:val="24"/>
          <w:szCs w:val="24"/>
        </w:rPr>
        <w:t>.</w:t>
      </w:r>
    </w:p>
    <w:p w14:paraId="6B389CC9"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Teasdale, S.B., Tripodi, E., Harman, A., Plain, J. and Burrows, T.L. (2023)</w:t>
      </w:r>
      <w:r>
        <w:rPr>
          <w:rFonts w:ascii="Times New Roman" w:hAnsi="Times New Roman" w:cs="Times New Roman"/>
          <w:kern w:val="0"/>
          <w:sz w:val="24"/>
          <w:szCs w:val="24"/>
        </w:rPr>
        <w:t>, ‘</w:t>
      </w:r>
      <w:r w:rsidRPr="00F27FCA">
        <w:rPr>
          <w:rFonts w:ascii="Times New Roman" w:hAnsi="Times New Roman" w:cs="Times New Roman"/>
          <w:kern w:val="0"/>
          <w:sz w:val="24"/>
          <w:szCs w:val="24"/>
        </w:rPr>
        <w:t>Exploring the role of dietitians in mental health services and the perceived barriers and enablers to service delivery: A cross-sectional study</w:t>
      </w:r>
      <w:r>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Journal of Human Nutrition and Dietetics: The Official Journal of the British Dietetic Association</w:t>
      </w:r>
      <w:r w:rsidRPr="00F27FCA">
        <w:rPr>
          <w:rFonts w:ascii="Times New Roman" w:hAnsi="Times New Roman" w:cs="Times New Roman"/>
          <w:kern w:val="0"/>
          <w:sz w:val="24"/>
          <w:szCs w:val="24"/>
        </w:rPr>
        <w:t xml:space="preserve">. </w:t>
      </w:r>
      <w:r>
        <w:rPr>
          <w:rFonts w:ascii="Times New Roman" w:hAnsi="Times New Roman" w:cs="Times New Roman"/>
          <w:kern w:val="0"/>
          <w:sz w:val="24"/>
          <w:szCs w:val="24"/>
        </w:rPr>
        <w:t xml:space="preserve">Available to: </w:t>
      </w:r>
      <w:hyperlink r:id="rId30" w:history="1">
        <w:r w:rsidRPr="00F27FCA">
          <w:rPr>
            <w:rFonts w:ascii="Times New Roman" w:hAnsi="Times New Roman" w:cs="Times New Roman"/>
            <w:kern w:val="0"/>
            <w:sz w:val="24"/>
            <w:szCs w:val="24"/>
          </w:rPr>
          <w:t>https://doi.org/10.1111/jhn.13203</w:t>
        </w:r>
      </w:hyperlink>
      <w:r w:rsidRPr="00F27FCA">
        <w:rPr>
          <w:rFonts w:ascii="Times New Roman" w:hAnsi="Times New Roman" w:cs="Times New Roman"/>
          <w:kern w:val="0"/>
          <w:sz w:val="24"/>
          <w:szCs w:val="24"/>
        </w:rPr>
        <w:t>.</w:t>
      </w:r>
    </w:p>
    <w:p w14:paraId="75E3AD2C"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Thomas, D.T., Erdman, K.A. and Burke, L.M. (2016a)</w:t>
      </w:r>
      <w:r>
        <w:rPr>
          <w:rFonts w:ascii="Times New Roman" w:hAnsi="Times New Roman" w:cs="Times New Roman"/>
          <w:kern w:val="0"/>
          <w:sz w:val="24"/>
          <w:szCs w:val="24"/>
        </w:rPr>
        <w:t>, ‘</w:t>
      </w:r>
      <w:r w:rsidRPr="00F27FCA">
        <w:rPr>
          <w:rFonts w:ascii="Times New Roman" w:hAnsi="Times New Roman" w:cs="Times New Roman"/>
          <w:kern w:val="0"/>
          <w:sz w:val="24"/>
          <w:szCs w:val="24"/>
        </w:rPr>
        <w:t>Position of the Academy of Nutrition and Dietetics, Dietitians of Canada, and the American College of Sports Medicine: Nutrition and Athletic Performance</w:t>
      </w:r>
      <w:r>
        <w:rPr>
          <w:rFonts w:ascii="Times New Roman" w:hAnsi="Times New Roman" w:cs="Times New Roman"/>
          <w:kern w:val="0"/>
          <w:sz w:val="24"/>
          <w:szCs w:val="24"/>
        </w:rPr>
        <w:t xml:space="preserve">’, </w:t>
      </w:r>
      <w:r w:rsidRPr="00F27FCA">
        <w:rPr>
          <w:rFonts w:ascii="Times New Roman" w:hAnsi="Times New Roman" w:cs="Times New Roman"/>
          <w:i/>
          <w:iCs/>
          <w:kern w:val="0"/>
          <w:sz w:val="24"/>
          <w:szCs w:val="24"/>
        </w:rPr>
        <w:t>Journal of the Academy of Nutrition and Dietetics</w:t>
      </w:r>
      <w:r w:rsidRPr="00F27FCA">
        <w:rPr>
          <w:rFonts w:ascii="Times New Roman" w:hAnsi="Times New Roman" w:cs="Times New Roman"/>
          <w:kern w:val="0"/>
          <w:sz w:val="24"/>
          <w:szCs w:val="24"/>
        </w:rPr>
        <w:t>, 116(3), pp</w:t>
      </w:r>
      <w:r>
        <w:rPr>
          <w:rFonts w:ascii="Times New Roman" w:hAnsi="Times New Roman" w:cs="Times New Roman"/>
          <w:kern w:val="0"/>
          <w:sz w:val="24"/>
          <w:szCs w:val="24"/>
        </w:rPr>
        <w:t xml:space="preserve"> </w:t>
      </w:r>
      <w:r w:rsidRPr="00F27FCA">
        <w:rPr>
          <w:rFonts w:ascii="Times New Roman" w:hAnsi="Times New Roman" w:cs="Times New Roman"/>
          <w:kern w:val="0"/>
          <w:sz w:val="24"/>
          <w:szCs w:val="24"/>
        </w:rPr>
        <w:t>501–528.</w:t>
      </w:r>
      <w:r>
        <w:rPr>
          <w:rFonts w:ascii="Times New Roman" w:hAnsi="Times New Roman" w:cs="Times New Roman"/>
          <w:kern w:val="0"/>
          <w:sz w:val="24"/>
          <w:szCs w:val="24"/>
        </w:rPr>
        <w:t xml:space="preserve"> Available to: </w:t>
      </w:r>
      <w:r w:rsidRPr="00F33C16">
        <w:rPr>
          <w:rFonts w:ascii="Times New Roman" w:hAnsi="Times New Roman" w:cs="Times New Roman"/>
          <w:kern w:val="0"/>
          <w:sz w:val="24"/>
          <w:szCs w:val="24"/>
        </w:rPr>
        <w:t>https://doi.org/10.1016/j.jand.2015.12.006</w:t>
      </w:r>
      <w:r>
        <w:rPr>
          <w:rFonts w:ascii="Times New Roman" w:hAnsi="Times New Roman" w:cs="Times New Roman"/>
          <w:kern w:val="0"/>
          <w:sz w:val="24"/>
          <w:szCs w:val="24"/>
        </w:rPr>
        <w:t>.</w:t>
      </w:r>
    </w:p>
    <w:p w14:paraId="3A776F64" w14:textId="77777777" w:rsidR="00074BF8" w:rsidRPr="00F27FCA" w:rsidRDefault="00074BF8" w:rsidP="002120BE">
      <w:pPr>
        <w:pStyle w:val="ListParagraph"/>
        <w:widowControl w:val="0"/>
        <w:numPr>
          <w:ilvl w:val="0"/>
          <w:numId w:val="9"/>
        </w:numPr>
        <w:autoSpaceDE w:val="0"/>
        <w:autoSpaceDN w:val="0"/>
        <w:adjustRightInd w:val="0"/>
        <w:spacing w:after="240" w:line="240" w:lineRule="auto"/>
        <w:jc w:val="both"/>
        <w:rPr>
          <w:rFonts w:ascii="Times New Roman" w:hAnsi="Times New Roman" w:cs="Times New Roman"/>
          <w:kern w:val="0"/>
          <w:sz w:val="24"/>
          <w:szCs w:val="24"/>
        </w:rPr>
      </w:pPr>
      <w:r w:rsidRPr="00F27FCA">
        <w:rPr>
          <w:rFonts w:ascii="Times New Roman" w:hAnsi="Times New Roman" w:cs="Times New Roman"/>
          <w:kern w:val="0"/>
          <w:sz w:val="24"/>
          <w:szCs w:val="24"/>
        </w:rPr>
        <w:t xml:space="preserve">Thomas, D.T., Erdman, K.A. and Burke, L.M. (2016b). Position of the Academy of Nutrition and Dietetics, Dietitians of Canada, and the American College of Sports Medicine: Nutrition and Athletic Performance. </w:t>
      </w:r>
      <w:r w:rsidRPr="00F27FCA">
        <w:rPr>
          <w:rFonts w:ascii="Times New Roman" w:hAnsi="Times New Roman" w:cs="Times New Roman"/>
          <w:i/>
          <w:iCs/>
          <w:kern w:val="0"/>
          <w:sz w:val="24"/>
          <w:szCs w:val="24"/>
        </w:rPr>
        <w:t>Journal of the Academy of Nutrition and Dietetics</w:t>
      </w:r>
      <w:r w:rsidRPr="00F27FCA">
        <w:rPr>
          <w:rFonts w:ascii="Times New Roman" w:hAnsi="Times New Roman" w:cs="Times New Roman"/>
          <w:kern w:val="0"/>
          <w:sz w:val="24"/>
          <w:szCs w:val="24"/>
        </w:rPr>
        <w:t>, 116(3), pp</w:t>
      </w:r>
      <w:r>
        <w:rPr>
          <w:rFonts w:ascii="Times New Roman" w:hAnsi="Times New Roman" w:cs="Times New Roman"/>
          <w:kern w:val="0"/>
          <w:sz w:val="24"/>
          <w:szCs w:val="24"/>
        </w:rPr>
        <w:t xml:space="preserve"> </w:t>
      </w:r>
      <w:r w:rsidRPr="00F27FCA">
        <w:rPr>
          <w:rFonts w:ascii="Times New Roman" w:hAnsi="Times New Roman" w:cs="Times New Roman"/>
          <w:kern w:val="0"/>
          <w:sz w:val="24"/>
          <w:szCs w:val="24"/>
        </w:rPr>
        <w:t>501–528.</w:t>
      </w:r>
      <w:r>
        <w:rPr>
          <w:rFonts w:ascii="Times New Roman" w:hAnsi="Times New Roman" w:cs="Times New Roman"/>
          <w:kern w:val="0"/>
          <w:sz w:val="24"/>
          <w:szCs w:val="24"/>
        </w:rPr>
        <w:t xml:space="preserve"> Available to: </w:t>
      </w:r>
      <w:r w:rsidRPr="005C2E0A">
        <w:rPr>
          <w:rFonts w:ascii="Times New Roman" w:hAnsi="Times New Roman" w:cs="Times New Roman"/>
          <w:kern w:val="0"/>
          <w:sz w:val="24"/>
          <w:szCs w:val="24"/>
        </w:rPr>
        <w:t>https://doi.org/10.1249/mss.0000000000000852</w:t>
      </w:r>
      <w:r>
        <w:rPr>
          <w:rFonts w:ascii="Times New Roman" w:hAnsi="Times New Roman" w:cs="Times New Roman"/>
          <w:kern w:val="0"/>
          <w:sz w:val="24"/>
          <w:szCs w:val="24"/>
        </w:rPr>
        <w:t>.</w:t>
      </w:r>
    </w:p>
    <w:p w14:paraId="039369B4" w14:textId="77777777" w:rsidR="008220A9" w:rsidRPr="000C05B8" w:rsidRDefault="008220A9" w:rsidP="006D63F2">
      <w:pPr>
        <w:jc w:val="both"/>
        <w:rPr>
          <w:rFonts w:ascii="Times New Roman" w:hAnsi="Times New Roman" w:cs="Times New Roman"/>
          <w:sz w:val="24"/>
          <w:szCs w:val="24"/>
        </w:rPr>
      </w:pPr>
    </w:p>
    <w:sectPr w:rsidR="008220A9" w:rsidRPr="000C05B8">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98D26" w14:textId="77777777" w:rsidR="00E92BAB" w:rsidRDefault="00E92BAB" w:rsidP="002710F4">
      <w:pPr>
        <w:spacing w:after="0" w:line="240" w:lineRule="auto"/>
      </w:pPr>
      <w:r>
        <w:separator/>
      </w:r>
    </w:p>
  </w:endnote>
  <w:endnote w:type="continuationSeparator" w:id="0">
    <w:p w14:paraId="479A6CAD" w14:textId="77777777" w:rsidR="00E92BAB" w:rsidRDefault="00E92BAB" w:rsidP="00271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788786"/>
      <w:docPartObj>
        <w:docPartGallery w:val="Page Numbers (Bottom of Page)"/>
        <w:docPartUnique/>
      </w:docPartObj>
    </w:sdtPr>
    <w:sdtContent>
      <w:p w14:paraId="79FEC02C" w14:textId="590C8680" w:rsidR="008220A9" w:rsidRDefault="008220A9">
        <w:pPr>
          <w:pStyle w:val="Footer"/>
          <w:jc w:val="right"/>
        </w:pPr>
        <w:r>
          <w:fldChar w:fldCharType="begin"/>
        </w:r>
        <w:r>
          <w:instrText>PAGE   \* MERGEFORMAT</w:instrText>
        </w:r>
        <w:r>
          <w:fldChar w:fldCharType="separate"/>
        </w:r>
        <w:r>
          <w:t>2</w:t>
        </w:r>
        <w:r>
          <w:fldChar w:fldCharType="end"/>
        </w:r>
      </w:p>
    </w:sdtContent>
  </w:sdt>
  <w:p w14:paraId="06F136C2" w14:textId="77777777" w:rsidR="008220A9" w:rsidRDefault="00822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6BEB1" w14:textId="77777777" w:rsidR="00E92BAB" w:rsidRDefault="00E92BAB" w:rsidP="002710F4">
      <w:pPr>
        <w:spacing w:after="0" w:line="240" w:lineRule="auto"/>
      </w:pPr>
      <w:r>
        <w:separator/>
      </w:r>
    </w:p>
  </w:footnote>
  <w:footnote w:type="continuationSeparator" w:id="0">
    <w:p w14:paraId="7CB59E28" w14:textId="77777777" w:rsidR="00E92BAB" w:rsidRDefault="00E92BAB" w:rsidP="002710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43C46"/>
    <w:multiLevelType w:val="hybridMultilevel"/>
    <w:tmpl w:val="3578B58C"/>
    <w:lvl w:ilvl="0" w:tplc="37F4DCD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73138"/>
    <w:multiLevelType w:val="hybridMultilevel"/>
    <w:tmpl w:val="30B279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E30694"/>
    <w:multiLevelType w:val="hybridMultilevel"/>
    <w:tmpl w:val="94C23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4F0391"/>
    <w:multiLevelType w:val="hybridMultilevel"/>
    <w:tmpl w:val="60EA8686"/>
    <w:lvl w:ilvl="0" w:tplc="F4E0B62C">
      <w:start w:val="5"/>
      <w:numFmt w:val="decimal"/>
      <w:lvlText w:val="%1."/>
      <w:lvlJc w:val="left"/>
      <w:pPr>
        <w:ind w:left="785" w:hanging="360"/>
      </w:pPr>
      <w:rPr>
        <w:rFonts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 w15:restartNumberingAfterBreak="0">
    <w:nsid w:val="31930C51"/>
    <w:multiLevelType w:val="hybridMultilevel"/>
    <w:tmpl w:val="3EBE89A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31216EA"/>
    <w:multiLevelType w:val="multilevel"/>
    <w:tmpl w:val="7E227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532D60"/>
    <w:multiLevelType w:val="hybridMultilevel"/>
    <w:tmpl w:val="D5B06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C024671"/>
    <w:multiLevelType w:val="hybridMultilevel"/>
    <w:tmpl w:val="8CF8A400"/>
    <w:lvl w:ilvl="0" w:tplc="24A4F56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C95C2D"/>
    <w:multiLevelType w:val="hybridMultilevel"/>
    <w:tmpl w:val="CCB83FC2"/>
    <w:lvl w:ilvl="0" w:tplc="DA940996">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5315712">
    <w:abstractNumId w:val="2"/>
  </w:num>
  <w:num w:numId="2" w16cid:durableId="922572239">
    <w:abstractNumId w:val="4"/>
  </w:num>
  <w:num w:numId="3" w16cid:durableId="1412197386">
    <w:abstractNumId w:val="3"/>
  </w:num>
  <w:num w:numId="4" w16cid:durableId="1341082669">
    <w:abstractNumId w:val="0"/>
  </w:num>
  <w:num w:numId="5" w16cid:durableId="306858465">
    <w:abstractNumId w:val="8"/>
  </w:num>
  <w:num w:numId="6" w16cid:durableId="187913647">
    <w:abstractNumId w:val="7"/>
  </w:num>
  <w:num w:numId="7" w16cid:durableId="676074823">
    <w:abstractNumId w:val="6"/>
  </w:num>
  <w:num w:numId="8" w16cid:durableId="1545289890">
    <w:abstractNumId w:val="5"/>
  </w:num>
  <w:num w:numId="9" w16cid:durableId="1964993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8AF"/>
    <w:rsid w:val="00010036"/>
    <w:rsid w:val="00074BF8"/>
    <w:rsid w:val="00076A6C"/>
    <w:rsid w:val="000900F9"/>
    <w:rsid w:val="000C05B8"/>
    <w:rsid w:val="00114E07"/>
    <w:rsid w:val="00114FEF"/>
    <w:rsid w:val="00123E6D"/>
    <w:rsid w:val="00134A51"/>
    <w:rsid w:val="00136E6A"/>
    <w:rsid w:val="00153331"/>
    <w:rsid w:val="0018454F"/>
    <w:rsid w:val="002120BE"/>
    <w:rsid w:val="00216E95"/>
    <w:rsid w:val="00263EC8"/>
    <w:rsid w:val="002710F4"/>
    <w:rsid w:val="00286F47"/>
    <w:rsid w:val="002A4765"/>
    <w:rsid w:val="002B435E"/>
    <w:rsid w:val="002B5C01"/>
    <w:rsid w:val="002C0D78"/>
    <w:rsid w:val="002F4815"/>
    <w:rsid w:val="00307F54"/>
    <w:rsid w:val="003313ED"/>
    <w:rsid w:val="00342FCD"/>
    <w:rsid w:val="00357BF2"/>
    <w:rsid w:val="0037089C"/>
    <w:rsid w:val="003A227C"/>
    <w:rsid w:val="003B09F4"/>
    <w:rsid w:val="003C798B"/>
    <w:rsid w:val="00423451"/>
    <w:rsid w:val="00431222"/>
    <w:rsid w:val="00434FFB"/>
    <w:rsid w:val="004468AF"/>
    <w:rsid w:val="00461E9A"/>
    <w:rsid w:val="0047421F"/>
    <w:rsid w:val="004D35FB"/>
    <w:rsid w:val="005678E1"/>
    <w:rsid w:val="00586918"/>
    <w:rsid w:val="00586D95"/>
    <w:rsid w:val="005A02EF"/>
    <w:rsid w:val="005E6DB7"/>
    <w:rsid w:val="005F55AE"/>
    <w:rsid w:val="00626FFD"/>
    <w:rsid w:val="00644D46"/>
    <w:rsid w:val="0064621C"/>
    <w:rsid w:val="0066093A"/>
    <w:rsid w:val="006943CB"/>
    <w:rsid w:val="006A5BF1"/>
    <w:rsid w:val="006A7102"/>
    <w:rsid w:val="006D45F8"/>
    <w:rsid w:val="006D63F2"/>
    <w:rsid w:val="006F4D94"/>
    <w:rsid w:val="00720714"/>
    <w:rsid w:val="007315D2"/>
    <w:rsid w:val="0076188F"/>
    <w:rsid w:val="00792464"/>
    <w:rsid w:val="007C6E62"/>
    <w:rsid w:val="007D7C2C"/>
    <w:rsid w:val="00804472"/>
    <w:rsid w:val="008220A9"/>
    <w:rsid w:val="00826001"/>
    <w:rsid w:val="00844F48"/>
    <w:rsid w:val="008632C2"/>
    <w:rsid w:val="008F01E3"/>
    <w:rsid w:val="0096122A"/>
    <w:rsid w:val="009B1804"/>
    <w:rsid w:val="00A7378A"/>
    <w:rsid w:val="00A95961"/>
    <w:rsid w:val="00AA2347"/>
    <w:rsid w:val="00AA5E88"/>
    <w:rsid w:val="00AD5C85"/>
    <w:rsid w:val="00B07CF7"/>
    <w:rsid w:val="00B30808"/>
    <w:rsid w:val="00BE371D"/>
    <w:rsid w:val="00BF4714"/>
    <w:rsid w:val="00C15EBC"/>
    <w:rsid w:val="00C86F3B"/>
    <w:rsid w:val="00C92149"/>
    <w:rsid w:val="00C97F00"/>
    <w:rsid w:val="00D2395E"/>
    <w:rsid w:val="00D25FBA"/>
    <w:rsid w:val="00D47FD5"/>
    <w:rsid w:val="00D608BD"/>
    <w:rsid w:val="00D767F0"/>
    <w:rsid w:val="00D94305"/>
    <w:rsid w:val="00DC6846"/>
    <w:rsid w:val="00DD0806"/>
    <w:rsid w:val="00DD1071"/>
    <w:rsid w:val="00DE1E04"/>
    <w:rsid w:val="00DE54B0"/>
    <w:rsid w:val="00DF05B4"/>
    <w:rsid w:val="00DF3039"/>
    <w:rsid w:val="00E13A0D"/>
    <w:rsid w:val="00E37AD7"/>
    <w:rsid w:val="00E422C4"/>
    <w:rsid w:val="00E6670B"/>
    <w:rsid w:val="00E75463"/>
    <w:rsid w:val="00E92BAB"/>
    <w:rsid w:val="00F37F48"/>
    <w:rsid w:val="00F4494C"/>
    <w:rsid w:val="00F470D3"/>
    <w:rsid w:val="00F67FFA"/>
    <w:rsid w:val="00FC5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2ECC"/>
  <w15:chartTrackingRefBased/>
  <w15:docId w15:val="{7AE49C3C-5386-4423-A4AF-DE9B270C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100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13A0D"/>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8AF"/>
    <w:pPr>
      <w:ind w:left="720"/>
      <w:contextualSpacing/>
    </w:pPr>
  </w:style>
  <w:style w:type="paragraph" w:styleId="Header">
    <w:name w:val="header"/>
    <w:basedOn w:val="Normal"/>
    <w:link w:val="HeaderChar"/>
    <w:uiPriority w:val="99"/>
    <w:unhideWhenUsed/>
    <w:rsid w:val="002710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10F4"/>
  </w:style>
  <w:style w:type="paragraph" w:styleId="Footer">
    <w:name w:val="footer"/>
    <w:basedOn w:val="Normal"/>
    <w:link w:val="FooterChar"/>
    <w:uiPriority w:val="99"/>
    <w:unhideWhenUsed/>
    <w:rsid w:val="002710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10F4"/>
  </w:style>
  <w:style w:type="character" w:styleId="Hyperlink">
    <w:name w:val="Hyperlink"/>
    <w:basedOn w:val="DefaultParagraphFont"/>
    <w:uiPriority w:val="99"/>
    <w:unhideWhenUsed/>
    <w:rsid w:val="002710F4"/>
    <w:rPr>
      <w:color w:val="0563C1" w:themeColor="hyperlink"/>
      <w:u w:val="single"/>
    </w:rPr>
  </w:style>
  <w:style w:type="character" w:styleId="UnresolvedMention">
    <w:name w:val="Unresolved Mention"/>
    <w:basedOn w:val="DefaultParagraphFont"/>
    <w:uiPriority w:val="99"/>
    <w:semiHidden/>
    <w:unhideWhenUsed/>
    <w:rsid w:val="002710F4"/>
    <w:rPr>
      <w:color w:val="605E5C"/>
      <w:shd w:val="clear" w:color="auto" w:fill="E1DFDD"/>
    </w:rPr>
  </w:style>
  <w:style w:type="character" w:customStyle="1" w:styleId="Heading3Char">
    <w:name w:val="Heading 3 Char"/>
    <w:basedOn w:val="DefaultParagraphFont"/>
    <w:link w:val="Heading3"/>
    <w:uiPriority w:val="9"/>
    <w:rsid w:val="00E13A0D"/>
    <w:rPr>
      <w:rFonts w:ascii="Times New Roman" w:eastAsia="Times New Roman" w:hAnsi="Times New Roman" w:cs="Times New Roman"/>
      <w:b/>
      <w:bCs/>
      <w:kern w:val="0"/>
      <w:sz w:val="27"/>
      <w:szCs w:val="27"/>
      <w:lang w:val="en-GB" w:eastAsia="en-GB"/>
      <w14:ligatures w14:val="none"/>
    </w:rPr>
  </w:style>
  <w:style w:type="paragraph" w:styleId="NormalWeb">
    <w:name w:val="Normal (Web)"/>
    <w:basedOn w:val="Normal"/>
    <w:uiPriority w:val="99"/>
    <w:semiHidden/>
    <w:unhideWhenUsed/>
    <w:rsid w:val="00E13A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13A0D"/>
    <w:rPr>
      <w:b/>
      <w:bCs/>
    </w:rPr>
  </w:style>
  <w:style w:type="paragraph" w:styleId="NoSpacing">
    <w:name w:val="No Spacing"/>
    <w:uiPriority w:val="1"/>
    <w:qFormat/>
    <w:rsid w:val="00114E07"/>
    <w:pPr>
      <w:spacing w:after="0" w:line="240" w:lineRule="auto"/>
    </w:pPr>
    <w:rPr>
      <w:lang w:val="en-GB"/>
    </w:rPr>
  </w:style>
  <w:style w:type="character" w:customStyle="1" w:styleId="Heading1Char">
    <w:name w:val="Heading 1 Char"/>
    <w:basedOn w:val="DefaultParagraphFont"/>
    <w:link w:val="Heading1"/>
    <w:uiPriority w:val="9"/>
    <w:rsid w:val="00010036"/>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043388">
      <w:bodyDiv w:val="1"/>
      <w:marLeft w:val="0"/>
      <w:marRight w:val="0"/>
      <w:marTop w:val="0"/>
      <w:marBottom w:val="0"/>
      <w:divBdr>
        <w:top w:val="none" w:sz="0" w:space="0" w:color="auto"/>
        <w:left w:val="none" w:sz="0" w:space="0" w:color="auto"/>
        <w:bottom w:val="none" w:sz="0" w:space="0" w:color="auto"/>
        <w:right w:val="none" w:sz="0" w:space="0" w:color="auto"/>
      </w:divBdr>
      <w:divsChild>
        <w:div w:id="527572289">
          <w:marLeft w:val="0"/>
          <w:marRight w:val="0"/>
          <w:marTop w:val="0"/>
          <w:marBottom w:val="0"/>
          <w:divBdr>
            <w:top w:val="single" w:sz="2" w:space="0" w:color="D9D9E3"/>
            <w:left w:val="single" w:sz="2" w:space="0" w:color="D9D9E3"/>
            <w:bottom w:val="single" w:sz="2" w:space="0" w:color="D9D9E3"/>
            <w:right w:val="single" w:sz="2" w:space="0" w:color="D9D9E3"/>
          </w:divBdr>
          <w:divsChild>
            <w:div w:id="132722775">
              <w:marLeft w:val="0"/>
              <w:marRight w:val="0"/>
              <w:marTop w:val="0"/>
              <w:marBottom w:val="0"/>
              <w:divBdr>
                <w:top w:val="single" w:sz="2" w:space="0" w:color="D9D9E3"/>
                <w:left w:val="single" w:sz="2" w:space="0" w:color="D9D9E3"/>
                <w:bottom w:val="single" w:sz="2" w:space="0" w:color="D9D9E3"/>
                <w:right w:val="single" w:sz="2" w:space="0" w:color="D9D9E3"/>
              </w:divBdr>
              <w:divsChild>
                <w:div w:id="1238902657">
                  <w:marLeft w:val="0"/>
                  <w:marRight w:val="0"/>
                  <w:marTop w:val="0"/>
                  <w:marBottom w:val="0"/>
                  <w:divBdr>
                    <w:top w:val="single" w:sz="2" w:space="0" w:color="D9D9E3"/>
                    <w:left w:val="single" w:sz="2" w:space="0" w:color="D9D9E3"/>
                    <w:bottom w:val="single" w:sz="2" w:space="0" w:color="D9D9E3"/>
                    <w:right w:val="single" w:sz="2" w:space="0" w:color="D9D9E3"/>
                  </w:divBdr>
                  <w:divsChild>
                    <w:div w:id="370151177">
                      <w:marLeft w:val="0"/>
                      <w:marRight w:val="0"/>
                      <w:marTop w:val="0"/>
                      <w:marBottom w:val="0"/>
                      <w:divBdr>
                        <w:top w:val="single" w:sz="2" w:space="0" w:color="D9D9E3"/>
                        <w:left w:val="single" w:sz="2" w:space="0" w:color="D9D9E3"/>
                        <w:bottom w:val="single" w:sz="2" w:space="0" w:color="D9D9E3"/>
                        <w:right w:val="single" w:sz="2" w:space="0" w:color="D9D9E3"/>
                      </w:divBdr>
                      <w:divsChild>
                        <w:div w:id="193925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3781936">
          <w:marLeft w:val="0"/>
          <w:marRight w:val="0"/>
          <w:marTop w:val="0"/>
          <w:marBottom w:val="0"/>
          <w:divBdr>
            <w:top w:val="single" w:sz="2" w:space="0" w:color="D9D9E3"/>
            <w:left w:val="single" w:sz="2" w:space="0" w:color="D9D9E3"/>
            <w:bottom w:val="single" w:sz="2" w:space="0" w:color="D9D9E3"/>
            <w:right w:val="single" w:sz="2" w:space="0" w:color="D9D9E3"/>
          </w:divBdr>
          <w:divsChild>
            <w:div w:id="1257979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87620775">
      <w:bodyDiv w:val="1"/>
      <w:marLeft w:val="0"/>
      <w:marRight w:val="0"/>
      <w:marTop w:val="0"/>
      <w:marBottom w:val="0"/>
      <w:divBdr>
        <w:top w:val="none" w:sz="0" w:space="0" w:color="auto"/>
        <w:left w:val="none" w:sz="0" w:space="0" w:color="auto"/>
        <w:bottom w:val="none" w:sz="0" w:space="0" w:color="auto"/>
        <w:right w:val="none" w:sz="0" w:space="0" w:color="auto"/>
      </w:divBdr>
    </w:div>
    <w:div w:id="845092440">
      <w:bodyDiv w:val="1"/>
      <w:marLeft w:val="0"/>
      <w:marRight w:val="0"/>
      <w:marTop w:val="0"/>
      <w:marBottom w:val="0"/>
      <w:divBdr>
        <w:top w:val="none" w:sz="0" w:space="0" w:color="auto"/>
        <w:left w:val="none" w:sz="0" w:space="0" w:color="auto"/>
        <w:bottom w:val="none" w:sz="0" w:space="0" w:color="auto"/>
        <w:right w:val="none" w:sz="0" w:space="0" w:color="auto"/>
      </w:divBdr>
    </w:div>
    <w:div w:id="1042435217">
      <w:bodyDiv w:val="1"/>
      <w:marLeft w:val="0"/>
      <w:marRight w:val="0"/>
      <w:marTop w:val="0"/>
      <w:marBottom w:val="0"/>
      <w:divBdr>
        <w:top w:val="none" w:sz="0" w:space="0" w:color="auto"/>
        <w:left w:val="none" w:sz="0" w:space="0" w:color="auto"/>
        <w:bottom w:val="none" w:sz="0" w:space="0" w:color="auto"/>
        <w:right w:val="none" w:sz="0" w:space="0" w:color="auto"/>
      </w:divBdr>
    </w:div>
    <w:div w:id="1167592687">
      <w:bodyDiv w:val="1"/>
      <w:marLeft w:val="0"/>
      <w:marRight w:val="0"/>
      <w:marTop w:val="0"/>
      <w:marBottom w:val="0"/>
      <w:divBdr>
        <w:top w:val="none" w:sz="0" w:space="0" w:color="auto"/>
        <w:left w:val="none" w:sz="0" w:space="0" w:color="auto"/>
        <w:bottom w:val="none" w:sz="0" w:space="0" w:color="auto"/>
        <w:right w:val="none" w:sz="0" w:space="0" w:color="auto"/>
      </w:divBdr>
    </w:div>
    <w:div w:id="1213467168">
      <w:bodyDiv w:val="1"/>
      <w:marLeft w:val="0"/>
      <w:marRight w:val="0"/>
      <w:marTop w:val="0"/>
      <w:marBottom w:val="0"/>
      <w:divBdr>
        <w:top w:val="none" w:sz="0" w:space="0" w:color="auto"/>
        <w:left w:val="none" w:sz="0" w:space="0" w:color="auto"/>
        <w:bottom w:val="none" w:sz="0" w:space="0" w:color="auto"/>
        <w:right w:val="none" w:sz="0" w:space="0" w:color="auto"/>
      </w:divBdr>
    </w:div>
    <w:div w:id="1216890285">
      <w:bodyDiv w:val="1"/>
      <w:marLeft w:val="0"/>
      <w:marRight w:val="0"/>
      <w:marTop w:val="0"/>
      <w:marBottom w:val="0"/>
      <w:divBdr>
        <w:top w:val="none" w:sz="0" w:space="0" w:color="auto"/>
        <w:left w:val="none" w:sz="0" w:space="0" w:color="auto"/>
        <w:bottom w:val="none" w:sz="0" w:space="0" w:color="auto"/>
        <w:right w:val="none" w:sz="0" w:space="0" w:color="auto"/>
      </w:divBdr>
      <w:divsChild>
        <w:div w:id="765342554">
          <w:marLeft w:val="0"/>
          <w:marRight w:val="0"/>
          <w:marTop w:val="0"/>
          <w:marBottom w:val="0"/>
          <w:divBdr>
            <w:top w:val="single" w:sz="2" w:space="0" w:color="D9D9E3"/>
            <w:left w:val="single" w:sz="2" w:space="0" w:color="D9D9E3"/>
            <w:bottom w:val="single" w:sz="2" w:space="0" w:color="D9D9E3"/>
            <w:right w:val="single" w:sz="2" w:space="0" w:color="D9D9E3"/>
          </w:divBdr>
          <w:divsChild>
            <w:div w:id="161161703">
              <w:marLeft w:val="0"/>
              <w:marRight w:val="0"/>
              <w:marTop w:val="0"/>
              <w:marBottom w:val="0"/>
              <w:divBdr>
                <w:top w:val="single" w:sz="2" w:space="0" w:color="D9D9E3"/>
                <w:left w:val="single" w:sz="2" w:space="0" w:color="D9D9E3"/>
                <w:bottom w:val="single" w:sz="2" w:space="0" w:color="D9D9E3"/>
                <w:right w:val="single" w:sz="2" w:space="0" w:color="D9D9E3"/>
              </w:divBdr>
              <w:divsChild>
                <w:div w:id="1037773253">
                  <w:marLeft w:val="0"/>
                  <w:marRight w:val="0"/>
                  <w:marTop w:val="0"/>
                  <w:marBottom w:val="0"/>
                  <w:divBdr>
                    <w:top w:val="single" w:sz="2" w:space="0" w:color="D9D9E3"/>
                    <w:left w:val="single" w:sz="2" w:space="0" w:color="D9D9E3"/>
                    <w:bottom w:val="single" w:sz="2" w:space="0" w:color="D9D9E3"/>
                    <w:right w:val="single" w:sz="2" w:space="0" w:color="D9D9E3"/>
                  </w:divBdr>
                  <w:divsChild>
                    <w:div w:id="420373316">
                      <w:marLeft w:val="0"/>
                      <w:marRight w:val="0"/>
                      <w:marTop w:val="0"/>
                      <w:marBottom w:val="0"/>
                      <w:divBdr>
                        <w:top w:val="single" w:sz="2" w:space="0" w:color="D9D9E3"/>
                        <w:left w:val="single" w:sz="2" w:space="0" w:color="D9D9E3"/>
                        <w:bottom w:val="single" w:sz="2" w:space="0" w:color="D9D9E3"/>
                        <w:right w:val="single" w:sz="2" w:space="0" w:color="D9D9E3"/>
                      </w:divBdr>
                      <w:divsChild>
                        <w:div w:id="599141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2173881">
          <w:marLeft w:val="0"/>
          <w:marRight w:val="0"/>
          <w:marTop w:val="0"/>
          <w:marBottom w:val="0"/>
          <w:divBdr>
            <w:top w:val="single" w:sz="2" w:space="0" w:color="D9D9E3"/>
            <w:left w:val="single" w:sz="2" w:space="0" w:color="D9D9E3"/>
            <w:bottom w:val="single" w:sz="2" w:space="0" w:color="D9D9E3"/>
            <w:right w:val="single" w:sz="2" w:space="0" w:color="D9D9E3"/>
          </w:divBdr>
          <w:divsChild>
            <w:div w:id="1847105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2158679">
      <w:bodyDiv w:val="1"/>
      <w:marLeft w:val="0"/>
      <w:marRight w:val="0"/>
      <w:marTop w:val="0"/>
      <w:marBottom w:val="0"/>
      <w:divBdr>
        <w:top w:val="none" w:sz="0" w:space="0" w:color="auto"/>
        <w:left w:val="none" w:sz="0" w:space="0" w:color="auto"/>
        <w:bottom w:val="none" w:sz="0" w:space="0" w:color="auto"/>
        <w:right w:val="none" w:sz="0" w:space="0" w:color="auto"/>
      </w:divBdr>
    </w:div>
    <w:div w:id="1352144264">
      <w:bodyDiv w:val="1"/>
      <w:marLeft w:val="0"/>
      <w:marRight w:val="0"/>
      <w:marTop w:val="0"/>
      <w:marBottom w:val="0"/>
      <w:divBdr>
        <w:top w:val="none" w:sz="0" w:space="0" w:color="auto"/>
        <w:left w:val="none" w:sz="0" w:space="0" w:color="auto"/>
        <w:bottom w:val="none" w:sz="0" w:space="0" w:color="auto"/>
        <w:right w:val="none" w:sz="0" w:space="0" w:color="auto"/>
      </w:divBdr>
    </w:div>
    <w:div w:id="1577938065">
      <w:bodyDiv w:val="1"/>
      <w:marLeft w:val="0"/>
      <w:marRight w:val="0"/>
      <w:marTop w:val="0"/>
      <w:marBottom w:val="0"/>
      <w:divBdr>
        <w:top w:val="none" w:sz="0" w:space="0" w:color="auto"/>
        <w:left w:val="none" w:sz="0" w:space="0" w:color="auto"/>
        <w:bottom w:val="none" w:sz="0" w:space="0" w:color="auto"/>
        <w:right w:val="none" w:sz="0" w:space="0" w:color="auto"/>
      </w:divBdr>
    </w:div>
    <w:div w:id="1637762126">
      <w:bodyDiv w:val="1"/>
      <w:marLeft w:val="0"/>
      <w:marRight w:val="0"/>
      <w:marTop w:val="0"/>
      <w:marBottom w:val="0"/>
      <w:divBdr>
        <w:top w:val="none" w:sz="0" w:space="0" w:color="auto"/>
        <w:left w:val="none" w:sz="0" w:space="0" w:color="auto"/>
        <w:bottom w:val="none" w:sz="0" w:space="0" w:color="auto"/>
        <w:right w:val="none" w:sz="0" w:space="0" w:color="auto"/>
      </w:divBdr>
    </w:div>
    <w:div w:id="1868790306">
      <w:bodyDiv w:val="1"/>
      <w:marLeft w:val="0"/>
      <w:marRight w:val="0"/>
      <w:marTop w:val="0"/>
      <w:marBottom w:val="0"/>
      <w:divBdr>
        <w:top w:val="none" w:sz="0" w:space="0" w:color="auto"/>
        <w:left w:val="none" w:sz="0" w:space="0" w:color="auto"/>
        <w:bottom w:val="none" w:sz="0" w:space="0" w:color="auto"/>
        <w:right w:val="none" w:sz="0" w:space="0" w:color="auto"/>
      </w:divBdr>
    </w:div>
    <w:div w:id="213066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79/PNS19780009" TargetMode="External"/><Relationship Id="rId18" Type="http://schemas.openxmlformats.org/officeDocument/2006/relationships/hyperlink" Target="https://www.medainc.org/the-role-of-the-dietitian-in-eating-disorder-treatment/" TargetMode="External"/><Relationship Id="rId26" Type="http://schemas.openxmlformats.org/officeDocument/2006/relationships/hyperlink" Target="https://doi.org/10.1136/gut.27.suppl_1.58" TargetMode="External"/><Relationship Id="rId3" Type="http://schemas.openxmlformats.org/officeDocument/2006/relationships/settings" Target="settings.xml"/><Relationship Id="rId21" Type="http://schemas.openxmlformats.org/officeDocument/2006/relationships/hyperlink" Target="https://www.nice.org.uk/guidance/cg32/chapter/Recommendations" TargetMode="External"/><Relationship Id="rId7" Type="http://schemas.openxmlformats.org/officeDocument/2006/relationships/hyperlink" Target="https://dutable.com/2019/02/20/the-role-of-dietitians-in-health-care-delivery/" TargetMode="External"/><Relationship Id="rId12" Type="http://schemas.openxmlformats.org/officeDocument/2006/relationships/hyperlink" Target="https://www.nutrition.org.uk/putting-it-into-practice/keeping-active/nutrition-for-sports-and-exercise/" TargetMode="External"/><Relationship Id="rId17" Type="http://schemas.openxmlformats.org/officeDocument/2006/relationships/hyperlink" Target="https://doi.org/10.1016/j.jand.2020.03.011" TargetMode="External"/><Relationship Id="rId25" Type="http://schemas.openxmlformats.org/officeDocument/2006/relationships/hyperlink" Target="https://doi.org/10.1186/s13054-021-03847-4"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11/jhn.12927" TargetMode="External"/><Relationship Id="rId20" Type="http://schemas.openxmlformats.org/officeDocument/2006/relationships/hyperlink" Target="https://www.nhs.uk/live-well/eat-well/food-guidelines-and-food-labels/the-eatwell-guide/" TargetMode="External"/><Relationship Id="rId29" Type="http://schemas.openxmlformats.org/officeDocument/2006/relationships/hyperlink" Target="https://doi.org/10.1016/j.jand.2022.06.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1747-0080.12734" TargetMode="External"/><Relationship Id="rId24" Type="http://schemas.openxmlformats.org/officeDocument/2006/relationships/hyperlink" Target="https://doi.org/10.1186/s40337-020-00325-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59/000519334" TargetMode="External"/><Relationship Id="rId23" Type="http://schemas.openxmlformats.org/officeDocument/2006/relationships/hyperlink" Target="https://doi.org/10.1136/bmj.k2173" TargetMode="External"/><Relationship Id="rId28" Type="http://schemas.openxmlformats.org/officeDocument/2006/relationships/hyperlink" Target="https://www.england.nhs.uk/blog/better-hospital-food-on-the-menu/" TargetMode="External"/><Relationship Id="rId10" Type="http://schemas.openxmlformats.org/officeDocument/2006/relationships/hyperlink" Target="https://www.bda.uk.com/about-dietetics/what-do-dietitians-do.html" TargetMode="External"/><Relationship Id="rId19" Type="http://schemas.openxmlformats.org/officeDocument/2006/relationships/hyperlink" Target="https://www.healthcareers.nhs.uk/explore-roles/allied-health-professionals/roles-allied-health-professions/dietitian"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da.uk.com/about-dietetics/what-is-dietitian/dietitian-or-nutritionist.html" TargetMode="External"/><Relationship Id="rId14" Type="http://schemas.openxmlformats.org/officeDocument/2006/relationships/hyperlink" Target="https://doi.org/10.14307/jfcs114.1.13" TargetMode="External"/><Relationship Id="rId22" Type="http://schemas.openxmlformats.org/officeDocument/2006/relationships/hyperlink" Target="https://www.nutritionsociety.org/blog/new-technology-nutrition-research-and-practice" TargetMode="External"/><Relationship Id="rId27" Type="http://schemas.openxmlformats.org/officeDocument/2006/relationships/hyperlink" Target="https://www.healthline.com/health/heart-disease/heart-disease-and-obesity" TargetMode="External"/><Relationship Id="rId30" Type="http://schemas.openxmlformats.org/officeDocument/2006/relationships/hyperlink" Target="https://doi.org/10.1111/jhn.13203" TargetMode="External"/><Relationship Id="rId8" Type="http://schemas.openxmlformats.org/officeDocument/2006/relationships/hyperlink" Target="https://doi.org/10.1111/jhn.13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5</Pages>
  <Words>2459</Words>
  <Characters>14018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 razv</dc:creator>
  <cp:keywords/>
  <dc:description/>
  <cp:lastModifiedBy>Marinel Biban</cp:lastModifiedBy>
  <cp:revision>94</cp:revision>
  <dcterms:created xsi:type="dcterms:W3CDTF">2023-12-04T13:55:00Z</dcterms:created>
  <dcterms:modified xsi:type="dcterms:W3CDTF">2023-12-15T22:49:00Z</dcterms:modified>
</cp:coreProperties>
</file>