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71F00" w14:textId="77777777" w:rsidR="00272CB0" w:rsidRPr="00F54EFC" w:rsidRDefault="00272CB0" w:rsidP="00272CB0">
      <w:pPr>
        <w:pStyle w:val="NormalWeb"/>
        <w:spacing w:before="0" w:beforeAutospacing="0" w:after="0" w:afterAutospacing="0" w:line="360" w:lineRule="auto"/>
        <w:rPr>
          <w:rFonts w:ascii="Arial" w:eastAsiaTheme="minorEastAsia" w:hAnsi="Arial" w:cs="Arial"/>
          <w:color w:val="000000" w:themeColor="text1"/>
          <w:kern w:val="24"/>
          <w:lang w:val="en-GB"/>
        </w:rPr>
      </w:pPr>
      <w:r w:rsidRPr="00F54EFC">
        <w:rPr>
          <w:rFonts w:ascii="Arial" w:eastAsiaTheme="minorEastAsia" w:hAnsi="Arial" w:cs="Arial"/>
          <w:color w:val="000000" w:themeColor="text1"/>
          <w:kern w:val="24"/>
        </w:rPr>
        <w:t>I acknowledge the use of AI Tool on 10/06/26 check grammar and rephrasing of work.  I confirm that I have not presented any AI generated text as my own work. I confirm I have copies of my drafts, notes, and other resources I used before, and after the use of AI tools which I may be asked to provide in evidence.</w:t>
      </w:r>
    </w:p>
    <w:p w14:paraId="100CF61B" w14:textId="77777777" w:rsidR="00272CB0" w:rsidRPr="00272CB0" w:rsidRDefault="00272CB0" w:rsidP="00272CB0">
      <w:pPr>
        <w:pStyle w:val="NormalWeb"/>
        <w:spacing w:before="0" w:beforeAutospacing="0" w:after="0" w:afterAutospacing="0" w:line="360" w:lineRule="auto"/>
        <w:rPr>
          <w:rFonts w:ascii="Arial" w:eastAsiaTheme="minorEastAsia" w:hAnsi="Arial" w:cs="Arial"/>
          <w:b/>
          <w:bCs/>
          <w:color w:val="000000" w:themeColor="text1"/>
          <w:kern w:val="24"/>
          <w:u w:val="single"/>
          <w:lang w:val="en-GB"/>
        </w:rPr>
      </w:pPr>
    </w:p>
    <w:p w14:paraId="6815B31B" w14:textId="77777777" w:rsidR="00272CB0" w:rsidRPr="00272CB0" w:rsidRDefault="00272CB0" w:rsidP="00272CB0">
      <w:pPr>
        <w:spacing w:line="360" w:lineRule="auto"/>
        <w:rPr>
          <w:rFonts w:ascii="Arial" w:hAnsi="Arial" w:cs="Arial"/>
          <w:b/>
          <w:bCs/>
          <w:u w:val="single"/>
        </w:rPr>
      </w:pPr>
      <w:r w:rsidRPr="00272CB0">
        <w:rPr>
          <w:rFonts w:ascii="Arial" w:hAnsi="Arial" w:cs="Arial"/>
          <w:b/>
          <w:bCs/>
          <w:u w:val="single"/>
        </w:rPr>
        <w:t>Content page.</w:t>
      </w:r>
    </w:p>
    <w:p w14:paraId="2384F7D0" w14:textId="6EAE5808" w:rsidR="00272CB0" w:rsidRPr="00272CB0" w:rsidRDefault="00272CB0" w:rsidP="00272CB0">
      <w:pPr>
        <w:spacing w:line="360" w:lineRule="auto"/>
        <w:rPr>
          <w:rFonts w:ascii="Arial" w:hAnsi="Arial" w:cs="Arial"/>
        </w:rPr>
      </w:pPr>
      <w:r w:rsidRPr="00272CB0">
        <w:rPr>
          <w:rFonts w:ascii="Arial" w:hAnsi="Arial" w:cs="Arial"/>
        </w:rPr>
        <w:t>Link to video presentation.</w:t>
      </w:r>
      <w:r w:rsidRPr="00272CB0">
        <w:rPr>
          <w:rFonts w:ascii="Arial" w:hAnsi="Arial" w:cs="Arial"/>
        </w:rPr>
        <w:tab/>
        <w:t xml:space="preserve">            </w:t>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t>Page 1</w:t>
      </w:r>
    </w:p>
    <w:p w14:paraId="3F23BAB5" w14:textId="246B0701" w:rsidR="00272CB0" w:rsidRPr="00272CB0" w:rsidRDefault="00272CB0" w:rsidP="00272CB0">
      <w:pPr>
        <w:spacing w:line="360" w:lineRule="auto"/>
        <w:rPr>
          <w:rFonts w:ascii="Arial" w:hAnsi="Arial" w:cs="Arial"/>
        </w:rPr>
      </w:pPr>
      <w:r w:rsidRPr="00272CB0">
        <w:rPr>
          <w:rFonts w:ascii="Arial" w:hAnsi="Arial" w:cs="Arial"/>
        </w:rPr>
        <w:t xml:space="preserve">Presentation script.                              </w:t>
      </w:r>
      <w:r w:rsidRPr="00272CB0">
        <w:rPr>
          <w:rFonts w:ascii="Arial" w:hAnsi="Arial" w:cs="Arial"/>
        </w:rPr>
        <w:tab/>
        <w:t xml:space="preserve">     </w:t>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t>Page 1</w:t>
      </w:r>
    </w:p>
    <w:p w14:paraId="4E1072EC" w14:textId="0633CFF1" w:rsidR="00272CB0" w:rsidRPr="00272CB0" w:rsidRDefault="00272CB0" w:rsidP="00272CB0">
      <w:pPr>
        <w:spacing w:line="360" w:lineRule="auto"/>
        <w:rPr>
          <w:rFonts w:ascii="Arial" w:hAnsi="Arial" w:cs="Arial"/>
        </w:rPr>
      </w:pPr>
      <w:r w:rsidRPr="00272CB0">
        <w:rPr>
          <w:rFonts w:ascii="Arial" w:hAnsi="Arial" w:cs="Arial"/>
        </w:rPr>
        <w:t xml:space="preserve">References.  </w:t>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r>
      <w:r w:rsidRPr="00272CB0">
        <w:rPr>
          <w:rFonts w:ascii="Arial" w:hAnsi="Arial" w:cs="Arial"/>
        </w:rPr>
        <w:tab/>
        <w:t xml:space="preserve">Page </w:t>
      </w:r>
      <w:r>
        <w:rPr>
          <w:rFonts w:ascii="Arial" w:hAnsi="Arial" w:cs="Arial"/>
        </w:rPr>
        <w:t>6</w:t>
      </w:r>
      <w:r w:rsidRPr="00272CB0">
        <w:rPr>
          <w:rFonts w:ascii="Arial" w:hAnsi="Arial" w:cs="Arial"/>
        </w:rPr>
        <w:tab/>
      </w:r>
      <w:r w:rsidRPr="00272CB0">
        <w:rPr>
          <w:rFonts w:ascii="Arial" w:hAnsi="Arial" w:cs="Arial"/>
          <w:b/>
          <w:bCs/>
        </w:rPr>
        <w:tab/>
      </w:r>
    </w:p>
    <w:p w14:paraId="62CD5B36" w14:textId="77777777" w:rsidR="00272CB0" w:rsidRPr="00272CB0" w:rsidRDefault="00272CB0" w:rsidP="00272CB0">
      <w:pPr>
        <w:pStyle w:val="NormalWeb"/>
        <w:spacing w:before="0" w:beforeAutospacing="0" w:after="0" w:afterAutospacing="0" w:line="360" w:lineRule="auto"/>
        <w:rPr>
          <w:rFonts w:ascii="Arial" w:eastAsiaTheme="minorEastAsia" w:hAnsi="Arial" w:cs="Arial"/>
          <w:b/>
          <w:bCs/>
          <w:color w:val="000000" w:themeColor="text1"/>
          <w:kern w:val="24"/>
          <w:u w:val="single"/>
          <w:lang w:val="en-GB"/>
        </w:rPr>
      </w:pPr>
    </w:p>
    <w:p w14:paraId="5C4A18A3" w14:textId="77777777" w:rsidR="00272CB0" w:rsidRPr="00272CB0" w:rsidRDefault="00272CB0" w:rsidP="00272CB0">
      <w:pPr>
        <w:pStyle w:val="NormalWeb"/>
        <w:spacing w:before="0" w:beforeAutospacing="0" w:after="0" w:afterAutospacing="0" w:line="360" w:lineRule="auto"/>
        <w:rPr>
          <w:rFonts w:ascii="Arial" w:eastAsiaTheme="minorEastAsia" w:hAnsi="Arial" w:cs="Arial"/>
          <w:b/>
          <w:bCs/>
          <w:color w:val="000000" w:themeColor="text1"/>
          <w:kern w:val="24"/>
          <w:u w:val="single"/>
          <w:lang w:val="en-GB"/>
        </w:rPr>
      </w:pPr>
      <w:r w:rsidRPr="00272CB0">
        <w:rPr>
          <w:rFonts w:ascii="Arial" w:eastAsiaTheme="minorEastAsia" w:hAnsi="Arial" w:cs="Arial"/>
          <w:b/>
          <w:bCs/>
          <w:color w:val="000000" w:themeColor="text1"/>
          <w:kern w:val="24"/>
          <w:u w:val="single"/>
          <w:lang w:val="en-GB"/>
        </w:rPr>
        <w:t xml:space="preserve">Healthy Eating and Nutrition in children script. </w:t>
      </w:r>
    </w:p>
    <w:p w14:paraId="21A01336" w14:textId="77777777" w:rsidR="00272CB0" w:rsidRPr="00272CB0" w:rsidRDefault="00272CB0" w:rsidP="00272CB0">
      <w:pPr>
        <w:pStyle w:val="NormalWeb"/>
        <w:spacing w:before="0" w:beforeAutospacing="0" w:after="0" w:afterAutospacing="0" w:line="360" w:lineRule="auto"/>
        <w:rPr>
          <w:rFonts w:ascii="Arial" w:hAnsi="Arial" w:cs="Arial"/>
        </w:rPr>
      </w:pPr>
    </w:p>
    <w:p w14:paraId="150DCAF9" w14:textId="77777777" w:rsidR="00272CB0" w:rsidRPr="00272CB0" w:rsidRDefault="00272CB0" w:rsidP="00272CB0">
      <w:pPr>
        <w:pStyle w:val="NormalWeb"/>
        <w:spacing w:before="0" w:beforeAutospacing="0" w:after="0" w:afterAutospacing="0" w:line="360" w:lineRule="auto"/>
        <w:rPr>
          <w:rFonts w:ascii="Arial" w:hAnsi="Arial" w:cs="Arial"/>
        </w:rPr>
      </w:pPr>
      <w:hyperlink r:id="rId6" w:history="1">
        <w:r w:rsidRPr="00272CB0">
          <w:rPr>
            <w:rStyle w:val="Hyperlink"/>
            <w:rFonts w:ascii="Arial" w:hAnsi="Arial" w:cs="Arial"/>
          </w:rPr>
          <w:t>Healthy Eating and Nutrition for Children.mp4</w:t>
        </w:r>
      </w:hyperlink>
    </w:p>
    <w:p w14:paraId="4D306974" w14:textId="77777777" w:rsidR="00272CB0" w:rsidRPr="00272CB0" w:rsidRDefault="00272CB0" w:rsidP="00272CB0">
      <w:pPr>
        <w:pStyle w:val="NormalWeb"/>
        <w:spacing w:before="0" w:beforeAutospacing="0" w:after="0" w:afterAutospacing="0" w:line="360" w:lineRule="auto"/>
        <w:rPr>
          <w:rFonts w:ascii="Arial" w:eastAsiaTheme="minorEastAsia" w:hAnsi="Arial" w:cs="Arial"/>
          <w:b/>
          <w:bCs/>
          <w:color w:val="000000" w:themeColor="text1"/>
          <w:kern w:val="24"/>
          <w:u w:val="single"/>
          <w:lang w:val="en-GB"/>
        </w:rPr>
      </w:pPr>
    </w:p>
    <w:p w14:paraId="554A6D6B"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Hello, my name is Rhian Thorne, student number 2512177 in this presentation, it will be discussing healthy eating and nutrition for children. It will be exploring the health implications of poor diets, including the negatives of consuming too much salt, sugar and saturated fat. The presentation will finally focus on the Eatwell Guide and the ways in which it may be utilised to underpin healthy food choices for children. Knowledge of these areas can support families, practitioners and schools, who work together to promote healthy lifestyles and develop children’s long term health outcomes (Welsh Government, 2024).</w:t>
      </w:r>
    </w:p>
    <w:p w14:paraId="23547964"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A child's body and brain develop rapidly in their early childhood, and this is why children need to have a balanced diet. A good balance diet can provide energy, vitamins, minerals and nutrients. When a child is provided with a nutritious and healthy diet it can help maintain a healthy weight, helps with their learning and concentration, improve their immune system and reduces the risk of long-term health issues from developing in later life (World Health Organisation, 2019).</w:t>
      </w:r>
    </w:p>
    <w:p w14:paraId="7AC1AACB"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xml:space="preserve">If a child is exposed to good eating habits in their early years, it can follow them throughout their lives. It is important that children learn about good food choices at </w:t>
      </w:r>
      <w:r w:rsidRPr="00272CB0">
        <w:rPr>
          <w:rFonts w:ascii="Arial" w:eastAsiaTheme="minorEastAsia" w:hAnsi="Arial" w:cs="Arial"/>
          <w:color w:val="000000" w:themeColor="text1"/>
          <w:kern w:val="24"/>
          <w:lang w:val="en-GB"/>
        </w:rPr>
        <w:lastRenderedPageBreak/>
        <w:t>an early age. Parents, practitioners, teachers and schools all play a vital part in promoting healthy eating for children.  Children who have a balanced diet regularly, may have more energy to be more active, to learn and to develop (Welsh Government, 2024).</w:t>
      </w:r>
    </w:p>
    <w:p w14:paraId="72C23A29"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A balanced diet contains foods from all dietary categories. In the United Kingdom the major model used to help people understand what a balanced diet looks like is the Eatwell Guide. The guidance states, meals should consist of fruit and vegetables, starchy carbohydrates, beans and pulses, fish, eggs, meat and other proteins, dairy items or dairy alternatives, and small amounts of unsaturated oils and spreads. The guidance also tells people to drink enough of water and to cut down on foods heavy in fat, salt and sugar (Welsh Government, 2024).</w:t>
      </w:r>
    </w:p>
    <w:p w14:paraId="203E1FDF"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Healthy eating is essential, because it provides children with the nutrition they need to grow, develop and take part in everyday activities. Children need a mixture of starchy carbohydrates, protein, healthy fats, vitamins and minerals to allow their body to function. A good diet enables children to build strong bones, muscles, teeth and helps their brains to develop. A varied diet from each of the key food groups increases children’s chances of getting the nutrients they require for good physical and mental health. (Public Health England, 2016)</w:t>
      </w:r>
    </w:p>
    <w:p w14:paraId="0A5973EC"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Good nutrition also helps children learn and focus. The brain needs a steady flow of nutritional energy to work well. Children who are regularly provided with nutritious meals are more likely to remain on target in school activities and achieve excellent educational achievements. Wholemeal varieties of cereals, fruit and vegetables release energy slowly and this can help children to concentrate throughout the day. On the other hand, high sugary food diets can induce fast spikes and decreases in blood sugar levels which can affect attention and energy levels (World Health Organisation, 2019).</w:t>
      </w:r>
    </w:p>
    <w:p w14:paraId="24C0EA45"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Children who have a good diet are more likely to recover faster from illnesses (World Health Organisation, 2019). Fibre can help to keep the digestion system healthy, promotes healthy bowel movements and reduces constipation. Foods high in fibre includes wholegrain varieties of breads, brown rice, oats, fruit, vegetables, beans and pulses. The British Dietetic Association, (2016) states that, fibre is important for digestive health and can help prevent diseases in the long term.</w:t>
      </w:r>
    </w:p>
    <w:p w14:paraId="17E82220"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lastRenderedPageBreak/>
        <w:t>Eating healthy may help children to maintain a healthy body weight. Eating the recommend amounts of foods can help lower the chance of being overweight or obese. Childhood obesity is a big health problem, since it raises the risk of health conditions later in life, including heart disease and type 2 diabetes (Public Health England, 2016).</w:t>
      </w:r>
    </w:p>
    <w:p w14:paraId="3F71DCEC"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The Welsh Government, (2024) suggests, that the Eatwell Guide gives suggestions on the types and amounts of food they that children should eat to maintain a healthy balanced diet. The guidance recommends that slightly over a third of the foods we eat each day should be fruit and vegetables. Children should eat at least five pieces of a variety of fruit and vegetables each day. Children also need protein in their diet, as this can help with development and muscle repair, examples of protein's are beans, lentils, fish, eggs, lean meat and poultry (Welsh Government, 2024)</w:t>
      </w:r>
    </w:p>
    <w:p w14:paraId="0E352586"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It is important for children to have suitable amounts of dairy products or dairy substitutes in their diet, which are rich in calcium, protein and vitamins, this can help with building healthy bones and teeth. Children should have moderate amounts of milk, yoghurt and cheese or fortified alternatives. Calcium is especially important in childhood, a period of rapid bone growth and development (Public Health England, 2016).</w:t>
      </w:r>
    </w:p>
    <w:p w14:paraId="27ED4CB7"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xml:space="preserve">It is recommended that children should also drink between 6-8 glasses of water a day. Healthier alternatives are water, lower-fat milk and sugar-free drinks. Welsh Government, (2024) recommends, to reduce the </w:t>
      </w:r>
      <w:proofErr w:type="gramStart"/>
      <w:r w:rsidRPr="00272CB0">
        <w:rPr>
          <w:rFonts w:ascii="Arial" w:eastAsiaTheme="minorEastAsia" w:hAnsi="Arial" w:cs="Arial"/>
          <w:color w:val="000000" w:themeColor="text1"/>
          <w:kern w:val="24"/>
          <w:lang w:val="en-GB"/>
        </w:rPr>
        <w:t>amount</w:t>
      </w:r>
      <w:proofErr w:type="gramEnd"/>
      <w:r w:rsidRPr="00272CB0">
        <w:rPr>
          <w:rFonts w:ascii="Arial" w:eastAsiaTheme="minorEastAsia" w:hAnsi="Arial" w:cs="Arial"/>
          <w:color w:val="000000" w:themeColor="text1"/>
          <w:kern w:val="24"/>
          <w:lang w:val="en-GB"/>
        </w:rPr>
        <w:t xml:space="preserve"> of sugary drinks that children drink, as this will lower the risk of tooth decay.</w:t>
      </w:r>
    </w:p>
    <w:p w14:paraId="55A4C373"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The Eatwell Guide is clear, as it provides a simple visual model that can be used by families, practitioners and schools. It shows visually how much from each different food group they should eat each day. The main parts of the Eatwell Guide are fruit, vegetables and starchy carbohydrates. Protein foods and dairy foods are presented in reduced proportions while items heavy in fat, salt and sugar are put outside the main guide to show the need to eat these foods less often, and in smaller amounts (Welsh Government, 2024).</w:t>
      </w:r>
    </w:p>
    <w:p w14:paraId="2CEAEABF"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xml:space="preserve">It also gives you better meal choices in each of the dietary groups. For example, people are urged to pick whole-grain carbohydrates, lean protein sources and unsaturated fats over saturated fats. Following the Eatwell Guide will help children to </w:t>
      </w:r>
      <w:r w:rsidRPr="00272CB0">
        <w:rPr>
          <w:rFonts w:ascii="Arial" w:eastAsiaTheme="minorEastAsia" w:hAnsi="Arial" w:cs="Arial"/>
          <w:color w:val="000000" w:themeColor="text1"/>
          <w:kern w:val="24"/>
          <w:lang w:val="en-GB"/>
        </w:rPr>
        <w:lastRenderedPageBreak/>
        <w:t>get the nutrients they need for optimal development, whilst reducing the risk of diet-related health issues (Public Health England, 2016).</w:t>
      </w:r>
    </w:p>
    <w:p w14:paraId="4B3C5E4E"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w:t>
      </w:r>
    </w:p>
    <w:p w14:paraId="65FAA3A9"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Some foods, such as fruit and milk, contain sugar naturally. But greatest concern is about free sugars added to food and drink during processing and preparation. Many children eat too much sugar in foods such as sweets, cakes, cookies, chocolate, morning cereals and sugary drinks. Too much sugar can cause a range of health concerns (Public Health England, 2016).</w:t>
      </w:r>
    </w:p>
    <w:p w14:paraId="5B65759E"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Cavities are one of the most typical effects of eating too much sugar. The bacteria in the mouth make acids from sugar which harm tooth enamel. Children with a high-sugar diet are more likely to have dental problems. Tooth decay can cause discomfort, illness and problems eating and communicating. Consuming excessive amounts of sugary food can lead to obesity and is connected to higher risk of type 2 diabetes (Public Health England, 2016).</w:t>
      </w:r>
      <w:r w:rsidRPr="00272CB0">
        <w:rPr>
          <w:rFonts w:ascii="Arial" w:hAnsi="Arial" w:cs="Arial"/>
        </w:rPr>
        <w:t xml:space="preserve"> </w:t>
      </w:r>
    </w:p>
    <w:p w14:paraId="5E5E0577"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Your body requires salt to work, but a lot of salt might be hazardous for your health. Salt is hidden in many processed foods such as crisps, ready meals, sauces, processed meats and takeaway foods. Children may be consuming more salt than they should without realising it (British Heart Foundation, 2018b).</w:t>
      </w:r>
    </w:p>
    <w:p w14:paraId="5804829E"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According to the British Heart Foundation, (2018b) eating too much salt might make your blood pressure go up. High blood pressure is normally considered an adult condition, yet the food habits we develop as children might affect our health later in life. Cutting back on salt early can help protect heart health.</w:t>
      </w:r>
    </w:p>
    <w:p w14:paraId="4013BFD0"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The Consensus Action on Salt and Health, (2014) organisation suggests, many people misjudge how salty processed food is. Overall salt consumption can be lowered by helping children pick fresh foods and less heavily processed foods. Reading food labels can also a help a person to make healthier choices.</w:t>
      </w:r>
    </w:p>
    <w:p w14:paraId="50B2754A"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Fat is an essential nutrient since it provides energy and maintains regular physiological functions. But not all fats are bad. Saturated fats are found in butter, cakes, pastries, biscuits, fatty meats and some processed foods. High levels of saturated fat can contribute to an increase in low density lipoprotein (LDL) cholesterol, which is often called ‘bad’ cholesterol (Nation Health Service, 2020).</w:t>
      </w:r>
    </w:p>
    <w:p w14:paraId="694A72D8"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lastRenderedPageBreak/>
        <w:t>If a person has high cholesterol it can contribute to the development of heart disease over time. These types of conditions are more likely to happen in later in life, but eating habits developed in childhood can influence the likelihood of developing them. The Scientific Advisory Committee on Nutrition, (2019) suggests, that we limit saturated fat and substitute with unsaturated fat when possible.</w:t>
      </w:r>
    </w:p>
    <w:p w14:paraId="6824B5F0"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xml:space="preserve">The British Heart Foundation recommends to people to eat healthier fats from their foods such as oily fish, nuts, seeds and vegetable oils. These </w:t>
      </w:r>
      <w:proofErr w:type="spellStart"/>
      <w:r w:rsidRPr="00272CB0">
        <w:rPr>
          <w:rFonts w:ascii="Arial" w:eastAsiaTheme="minorEastAsia" w:hAnsi="Arial" w:cs="Arial"/>
          <w:color w:val="000000" w:themeColor="text1"/>
          <w:kern w:val="24"/>
          <w:lang w:val="en-GB"/>
        </w:rPr>
        <w:t>fats</w:t>
      </w:r>
      <w:proofErr w:type="spellEnd"/>
      <w:r w:rsidRPr="00272CB0">
        <w:rPr>
          <w:rFonts w:ascii="Arial" w:eastAsiaTheme="minorEastAsia" w:hAnsi="Arial" w:cs="Arial"/>
          <w:color w:val="000000" w:themeColor="text1"/>
          <w:kern w:val="24"/>
          <w:lang w:val="en-GB"/>
        </w:rPr>
        <w:t xml:space="preserve"> are rich in unsaturated </w:t>
      </w:r>
      <w:proofErr w:type="gramStart"/>
      <w:r w:rsidRPr="00272CB0">
        <w:rPr>
          <w:rFonts w:ascii="Arial" w:eastAsiaTheme="minorEastAsia" w:hAnsi="Arial" w:cs="Arial"/>
          <w:color w:val="000000" w:themeColor="text1"/>
          <w:kern w:val="24"/>
          <w:lang w:val="en-GB"/>
        </w:rPr>
        <w:t>fats</w:t>
      </w:r>
      <w:proofErr w:type="gramEnd"/>
      <w:r w:rsidRPr="00272CB0">
        <w:rPr>
          <w:rFonts w:ascii="Arial" w:eastAsiaTheme="minorEastAsia" w:hAnsi="Arial" w:cs="Arial"/>
          <w:color w:val="000000" w:themeColor="text1"/>
          <w:kern w:val="24"/>
          <w:lang w:val="en-GB"/>
        </w:rPr>
        <w:t xml:space="preserve"> and they are excellent for a person's heart. Teaching children to make healthy food choices can help build good eating habits that last into adulthood (British Heart Foundation, 2018a)</w:t>
      </w:r>
    </w:p>
    <w:p w14:paraId="6364A07C"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To bring this presentation to a conclusion, good nutrition and a healthy diet are vital for children’s growth, development and overall health. Children require a balanced diet to get the nutrients they need to build strong bones and muscles, develop the brain and have energy for study and physical exercise. A balanced diet also helps to stimulate the immune system, increase concentration and help maintain a healthy weight in children. Developing excellent eating habits when children are young, can have a long-term effect far into adulthood (World Health Organisation, 2019).</w:t>
      </w:r>
    </w:p>
    <w:p w14:paraId="266DAF42"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The Eatwell Guide provides a useful framework to help people understand what a well-balanced diet looks like. The guidance helps families make healthier food choices by encouraging children to eat a variety of fruit and vegetables, eat wholegrain carbohydrates, a range of protein sources and include dairy or dairy alternatives. The Eatwell Guide promotes, drinking more fluids and reducing foods and drinks that are high in sugar, fat and salt (Welsh Government, 2024).</w:t>
      </w:r>
    </w:p>
    <w:p w14:paraId="58E93444"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The guide highlights the negatives of poor nutrition. Too much salt in a person’s diet can raise blood pressure and lead to a higher risk of heart disease later in life. Too much saturated fat can also raise your cholesterol and your risk for heart disease. The health hazards of these disorders underscore the need of children acquiring healthy eating habits at an early age (National Health Service, 2020).</w:t>
      </w:r>
    </w:p>
    <w:p w14:paraId="058704E0" w14:textId="77777777" w:rsidR="00272CB0" w:rsidRPr="00272CB0" w:rsidRDefault="00272CB0" w:rsidP="00272CB0">
      <w:pPr>
        <w:pStyle w:val="NormalWeb"/>
        <w:spacing w:before="0" w:beforeAutospacing="0" w:after="0" w:afterAutospacing="0" w:line="360" w:lineRule="auto"/>
        <w:rPr>
          <w:rFonts w:ascii="Arial" w:hAnsi="Arial" w:cs="Arial"/>
        </w:rPr>
      </w:pPr>
      <w:r w:rsidRPr="00272CB0">
        <w:rPr>
          <w:rFonts w:ascii="Arial" w:eastAsiaTheme="minorEastAsia" w:hAnsi="Arial" w:cs="Arial"/>
          <w:color w:val="000000" w:themeColor="text1"/>
          <w:kern w:val="24"/>
          <w:lang w:val="en-GB"/>
        </w:rPr>
        <w:t xml:space="preserve">Adults can encourage children to build lifetime healthy habits by preparing nutritious meals, by acting as role models for good eating habits, and by teaching children about food choices. Nutrition education offers opportunity for children to make </w:t>
      </w:r>
      <w:r w:rsidRPr="00272CB0">
        <w:rPr>
          <w:rFonts w:ascii="Arial" w:eastAsiaTheme="minorEastAsia" w:hAnsi="Arial" w:cs="Arial"/>
          <w:color w:val="000000" w:themeColor="text1"/>
          <w:kern w:val="24"/>
          <w:lang w:val="en-GB"/>
        </w:rPr>
        <w:lastRenderedPageBreak/>
        <w:t>informed decisions about the foods they eat and to create a healthy connection with food (Welsh Government, 2024).</w:t>
      </w:r>
    </w:p>
    <w:p w14:paraId="27D2B5A1" w14:textId="77777777" w:rsidR="00272CB0" w:rsidRPr="00272CB0" w:rsidRDefault="00272CB0" w:rsidP="00272CB0">
      <w:pPr>
        <w:pStyle w:val="NormalWeb"/>
        <w:spacing w:before="0" w:beforeAutospacing="0" w:after="0" w:afterAutospacing="0" w:line="360" w:lineRule="auto"/>
        <w:rPr>
          <w:rFonts w:ascii="Arial" w:eastAsiaTheme="minorEastAsia" w:hAnsi="Arial" w:cs="Arial"/>
          <w:color w:val="000000" w:themeColor="text1"/>
          <w:kern w:val="24"/>
          <w:lang w:val="en-GB"/>
        </w:rPr>
      </w:pPr>
      <w:r w:rsidRPr="00272CB0">
        <w:rPr>
          <w:rFonts w:ascii="Arial" w:eastAsiaTheme="minorEastAsia" w:hAnsi="Arial" w:cs="Arial"/>
          <w:color w:val="000000" w:themeColor="text1"/>
          <w:kern w:val="24"/>
          <w:lang w:val="en-GB"/>
        </w:rPr>
        <w:t>Generally, one of the best ways to support children’s physical health, emotional well-being and future quality of life is to eat properly. Children who are encouraged to eat balanced diets and be more conscious of nutrition and their health are more likely to reach their full potential and not be at danger of illnesses. Together families, practitioners and wider society can help children to make healthy choices that contribute to lifelong health and wellbeing (World Health Organisation, 2019).</w:t>
      </w:r>
    </w:p>
    <w:p w14:paraId="598EBA6D" w14:textId="77777777" w:rsidR="00272CB0" w:rsidRPr="00272CB0" w:rsidRDefault="00272CB0" w:rsidP="00272CB0">
      <w:pPr>
        <w:pStyle w:val="NormalWeb"/>
        <w:spacing w:before="0" w:beforeAutospacing="0" w:after="0" w:afterAutospacing="0" w:line="360" w:lineRule="auto"/>
        <w:rPr>
          <w:rFonts w:ascii="Arial" w:eastAsiaTheme="minorEastAsia" w:hAnsi="Arial" w:cs="Arial"/>
          <w:color w:val="000000" w:themeColor="text1"/>
          <w:kern w:val="24"/>
          <w:lang w:val="en-GB"/>
        </w:rPr>
      </w:pPr>
    </w:p>
    <w:p w14:paraId="5392D8BD" w14:textId="77777777" w:rsidR="00272CB0" w:rsidRPr="00272CB0" w:rsidRDefault="00272CB0" w:rsidP="00272CB0">
      <w:pPr>
        <w:pStyle w:val="NormalWeb"/>
        <w:spacing w:before="0" w:beforeAutospacing="0" w:after="0" w:afterAutospacing="0" w:line="360" w:lineRule="auto"/>
        <w:rPr>
          <w:rFonts w:ascii="Arial" w:eastAsiaTheme="minorEastAsia" w:hAnsi="Arial" w:cs="Arial"/>
          <w:color w:val="000000" w:themeColor="text1"/>
          <w:kern w:val="24"/>
          <w:lang w:val="en-GB"/>
        </w:rPr>
      </w:pPr>
    </w:p>
    <w:p w14:paraId="4391AF24" w14:textId="77777777" w:rsidR="00272CB0" w:rsidRPr="00272CB0" w:rsidRDefault="00272CB0" w:rsidP="00272CB0">
      <w:pPr>
        <w:pStyle w:val="NormalWeb"/>
        <w:spacing w:before="0" w:beforeAutospacing="0" w:after="0" w:afterAutospacing="0" w:line="360" w:lineRule="auto"/>
        <w:rPr>
          <w:rFonts w:ascii="Arial" w:eastAsiaTheme="minorEastAsia" w:hAnsi="Arial" w:cs="Arial"/>
          <w:color w:val="000000" w:themeColor="text1"/>
          <w:kern w:val="24"/>
          <w:lang w:val="en-GB"/>
        </w:rPr>
      </w:pPr>
      <w:r w:rsidRPr="00272CB0">
        <w:rPr>
          <w:rFonts w:ascii="Arial" w:eastAsiaTheme="minorEastAsia" w:hAnsi="Arial" w:cs="Arial"/>
          <w:color w:val="000000" w:themeColor="text1"/>
          <w:kern w:val="24"/>
          <w:lang w:val="en-GB"/>
        </w:rPr>
        <w:t>Referencing.</w:t>
      </w:r>
    </w:p>
    <w:p w14:paraId="46F8C1CF"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British Dietetic Association (BDA) (2016) </w:t>
      </w:r>
      <w:proofErr w:type="spellStart"/>
      <w:r w:rsidRPr="00272CB0">
        <w:rPr>
          <w:rStyle w:val="Emphasis"/>
          <w:rFonts w:ascii="Arial" w:hAnsi="Arial" w:cs="Arial"/>
        </w:rPr>
        <w:t>Fibre</w:t>
      </w:r>
      <w:proofErr w:type="spellEnd"/>
      <w:r w:rsidRPr="00272CB0">
        <w:rPr>
          <w:rFonts w:ascii="Arial" w:hAnsi="Arial" w:cs="Arial"/>
        </w:rPr>
        <w:t xml:space="preserve">. Available at: </w:t>
      </w:r>
      <w:hyperlink r:id="rId7" w:tgtFrame="_new" w:history="1">
        <w:r w:rsidRPr="00272CB0">
          <w:rPr>
            <w:rStyle w:val="Hyperlink"/>
            <w:rFonts w:ascii="Arial" w:hAnsi="Arial" w:cs="Arial"/>
          </w:rPr>
          <w:t>https://www.bda.uk.com/resource/fibre.html</w:t>
        </w:r>
      </w:hyperlink>
      <w:r w:rsidRPr="00272CB0">
        <w:rPr>
          <w:rFonts w:ascii="Arial" w:hAnsi="Arial" w:cs="Arial"/>
        </w:rPr>
        <w:t xml:space="preserve"> (Accessed: 09 June 2026).</w:t>
      </w:r>
    </w:p>
    <w:p w14:paraId="502FF1D9"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British Heart Foundation (2018a) </w:t>
      </w:r>
      <w:r w:rsidRPr="00272CB0">
        <w:rPr>
          <w:rStyle w:val="Emphasis"/>
          <w:rFonts w:ascii="Arial" w:hAnsi="Arial" w:cs="Arial"/>
        </w:rPr>
        <w:t>Taking control of fat</w:t>
      </w:r>
      <w:r w:rsidRPr="00272CB0">
        <w:rPr>
          <w:rFonts w:ascii="Arial" w:hAnsi="Arial" w:cs="Arial"/>
        </w:rPr>
        <w:t xml:space="preserve">. Available at: </w:t>
      </w:r>
      <w:hyperlink r:id="rId8" w:tgtFrame="_new" w:history="1">
        <w:r w:rsidRPr="00272CB0">
          <w:rPr>
            <w:rStyle w:val="Hyperlink"/>
            <w:rFonts w:ascii="Arial" w:hAnsi="Arial" w:cs="Arial"/>
          </w:rPr>
          <w:t>https://www.bhf.org.uk/informationsupport/publications/healthy-eating-and-drinking/taking-control-of-saturated-fats</w:t>
        </w:r>
      </w:hyperlink>
      <w:r w:rsidRPr="00272CB0">
        <w:rPr>
          <w:rFonts w:ascii="Arial" w:hAnsi="Arial" w:cs="Arial"/>
        </w:rPr>
        <w:t xml:space="preserve"> (Accessed: 08 June 2026).</w:t>
      </w:r>
    </w:p>
    <w:p w14:paraId="5A5DEEE4"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British Heart Foundation (2018b) </w:t>
      </w:r>
      <w:r w:rsidRPr="00272CB0">
        <w:rPr>
          <w:rStyle w:val="Emphasis"/>
          <w:rFonts w:ascii="Arial" w:hAnsi="Arial" w:cs="Arial"/>
        </w:rPr>
        <w:t>Taking control of salt to reduce your risk of cardiovascular disease</w:t>
      </w:r>
      <w:r w:rsidRPr="00272CB0">
        <w:rPr>
          <w:rFonts w:ascii="Arial" w:hAnsi="Arial" w:cs="Arial"/>
        </w:rPr>
        <w:t xml:space="preserve">. Available at: </w:t>
      </w:r>
      <w:hyperlink r:id="rId9" w:tgtFrame="_new" w:history="1">
        <w:r w:rsidRPr="00272CB0">
          <w:rPr>
            <w:rStyle w:val="Hyperlink"/>
            <w:rFonts w:ascii="Arial" w:hAnsi="Arial" w:cs="Arial"/>
          </w:rPr>
          <w:t>https://www.bhf.org.uk/informationsupport/publications/healthy-eating-and-drinking/taking-control-of-salt</w:t>
        </w:r>
      </w:hyperlink>
      <w:r w:rsidRPr="00272CB0">
        <w:rPr>
          <w:rFonts w:ascii="Arial" w:hAnsi="Arial" w:cs="Arial"/>
        </w:rPr>
        <w:t xml:space="preserve"> (Accessed: 09 June 2026).</w:t>
      </w:r>
    </w:p>
    <w:p w14:paraId="60A29198"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Consensus Action on Salt and Health (CASH) (2014) </w:t>
      </w:r>
      <w:r w:rsidRPr="00272CB0">
        <w:rPr>
          <w:rStyle w:val="Emphasis"/>
          <w:rFonts w:ascii="Arial" w:hAnsi="Arial" w:cs="Arial"/>
        </w:rPr>
        <w:t>Consensus Action on Salt and Health</w:t>
      </w:r>
      <w:r w:rsidRPr="00272CB0">
        <w:rPr>
          <w:rFonts w:ascii="Arial" w:hAnsi="Arial" w:cs="Arial"/>
        </w:rPr>
        <w:t xml:space="preserve">. Available at: </w:t>
      </w:r>
      <w:hyperlink r:id="rId10" w:tgtFrame="_new" w:history="1">
        <w:r w:rsidRPr="00272CB0">
          <w:rPr>
            <w:rStyle w:val="Hyperlink"/>
            <w:rFonts w:ascii="Arial" w:hAnsi="Arial" w:cs="Arial"/>
          </w:rPr>
          <w:t>http://www.actiononsalt.org.uk/less/index.html</w:t>
        </w:r>
      </w:hyperlink>
      <w:r w:rsidRPr="00272CB0">
        <w:rPr>
          <w:rFonts w:ascii="Arial" w:hAnsi="Arial" w:cs="Arial"/>
        </w:rPr>
        <w:t xml:space="preserve"> (Accessed: 09 June 2026).</w:t>
      </w:r>
    </w:p>
    <w:p w14:paraId="57B85C38"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National Centre of Social Research (2012) </w:t>
      </w:r>
      <w:r w:rsidRPr="00272CB0">
        <w:rPr>
          <w:rStyle w:val="Emphasis"/>
          <w:rFonts w:ascii="Arial" w:hAnsi="Arial" w:cs="Arial"/>
        </w:rPr>
        <w:t>The Welsh Health Survey</w:t>
      </w:r>
      <w:r w:rsidRPr="00272CB0">
        <w:rPr>
          <w:rFonts w:ascii="Arial" w:hAnsi="Arial" w:cs="Arial"/>
        </w:rPr>
        <w:t xml:space="preserve">. Available at: </w:t>
      </w:r>
      <w:hyperlink r:id="rId11" w:tgtFrame="_new" w:history="1">
        <w:r w:rsidRPr="00272CB0">
          <w:rPr>
            <w:rStyle w:val="Hyperlink"/>
            <w:rFonts w:ascii="Arial" w:hAnsi="Arial" w:cs="Arial"/>
          </w:rPr>
          <w:t>https://www.ukdataservice.ac.uk/media/307250/doylegriffiths.pdf</w:t>
        </w:r>
      </w:hyperlink>
      <w:r w:rsidRPr="00272CB0">
        <w:rPr>
          <w:rFonts w:ascii="Arial" w:hAnsi="Arial" w:cs="Arial"/>
        </w:rPr>
        <w:t xml:space="preserve"> (Accessed: 10 June 2026).</w:t>
      </w:r>
    </w:p>
    <w:p w14:paraId="56B6AEAD"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Nation Health Service (2020) </w:t>
      </w:r>
      <w:r w:rsidRPr="00272CB0">
        <w:rPr>
          <w:rStyle w:val="Emphasis"/>
          <w:rFonts w:ascii="Arial" w:hAnsi="Arial" w:cs="Arial"/>
        </w:rPr>
        <w:t>Facts about fat</w:t>
      </w:r>
      <w:r w:rsidRPr="00272CB0">
        <w:rPr>
          <w:rFonts w:ascii="Arial" w:hAnsi="Arial" w:cs="Arial"/>
        </w:rPr>
        <w:t xml:space="preserve">. Available at: </w:t>
      </w:r>
      <w:hyperlink r:id="rId12" w:tgtFrame="_new" w:history="1">
        <w:r w:rsidRPr="00272CB0">
          <w:rPr>
            <w:rStyle w:val="Hyperlink"/>
            <w:rFonts w:ascii="Arial" w:hAnsi="Arial" w:cs="Arial"/>
          </w:rPr>
          <w:t>https://www.nhs.uk/live-well/eat-well/different-fats-nutrition/</w:t>
        </w:r>
      </w:hyperlink>
      <w:r w:rsidRPr="00272CB0">
        <w:rPr>
          <w:rFonts w:ascii="Arial" w:hAnsi="Arial" w:cs="Arial"/>
        </w:rPr>
        <w:t xml:space="preserve"> (Accessed: 10 June 2026).</w:t>
      </w:r>
    </w:p>
    <w:p w14:paraId="395816FD" w14:textId="77777777" w:rsidR="00272CB0" w:rsidRPr="00272CB0" w:rsidRDefault="00272CB0" w:rsidP="00272CB0">
      <w:pPr>
        <w:pStyle w:val="NormalWeb"/>
        <w:spacing w:line="360" w:lineRule="auto"/>
        <w:rPr>
          <w:rFonts w:ascii="Arial" w:hAnsi="Arial" w:cs="Arial"/>
        </w:rPr>
      </w:pPr>
      <w:r w:rsidRPr="00272CB0">
        <w:rPr>
          <w:rFonts w:ascii="Arial" w:hAnsi="Arial" w:cs="Arial"/>
        </w:rPr>
        <w:lastRenderedPageBreak/>
        <w:t xml:space="preserve">Public Health England (2016) </w:t>
      </w:r>
      <w:r w:rsidRPr="00272CB0">
        <w:rPr>
          <w:rStyle w:val="Emphasis"/>
          <w:rFonts w:ascii="Arial" w:hAnsi="Arial" w:cs="Arial"/>
        </w:rPr>
        <w:t>Government dietary recommendations</w:t>
      </w:r>
      <w:r w:rsidRPr="00272CB0">
        <w:rPr>
          <w:rFonts w:ascii="Arial" w:hAnsi="Arial" w:cs="Arial"/>
        </w:rPr>
        <w:t xml:space="preserve">. Available at: </w:t>
      </w:r>
      <w:hyperlink r:id="rId13" w:tgtFrame="_new" w:history="1">
        <w:r w:rsidRPr="00272CB0">
          <w:rPr>
            <w:rStyle w:val="Hyperlink"/>
            <w:rFonts w:ascii="Arial" w:hAnsi="Arial" w:cs="Arial"/>
          </w:rPr>
          <w:t>https://assets.publishing.service.gov.uk/government/uploads/system/uploads/attachment_data/file/618167/government_dietary_recommendations.pdf</w:t>
        </w:r>
      </w:hyperlink>
      <w:r w:rsidRPr="00272CB0">
        <w:rPr>
          <w:rFonts w:ascii="Arial" w:hAnsi="Arial" w:cs="Arial"/>
        </w:rPr>
        <w:t xml:space="preserve"> (Accessed: 11 June 2026).</w:t>
      </w:r>
    </w:p>
    <w:p w14:paraId="0376B038"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Scientific Advisory Committee on Nutrition (SACN) (2019) </w:t>
      </w:r>
      <w:r w:rsidRPr="00272CB0">
        <w:rPr>
          <w:rStyle w:val="Emphasis"/>
          <w:rFonts w:ascii="Arial" w:hAnsi="Arial" w:cs="Arial"/>
        </w:rPr>
        <w:t>Saturated fats and health</w:t>
      </w:r>
      <w:r w:rsidRPr="00272CB0">
        <w:rPr>
          <w:rFonts w:ascii="Arial" w:hAnsi="Arial" w:cs="Arial"/>
        </w:rPr>
        <w:t xml:space="preserve">. Available at: </w:t>
      </w:r>
      <w:hyperlink r:id="rId14" w:tgtFrame="_new" w:history="1">
        <w:r w:rsidRPr="00272CB0">
          <w:rPr>
            <w:rStyle w:val="Hyperlink"/>
            <w:rFonts w:ascii="Arial" w:hAnsi="Arial" w:cs="Arial"/>
          </w:rPr>
          <w:t>https://assets.publishing.service.gov.uk/government/uploads/system/uploads/attachment_data/file/814995/SACN_report_on_saturated_fat_and_health.pdf</w:t>
        </w:r>
      </w:hyperlink>
      <w:r w:rsidRPr="00272CB0">
        <w:rPr>
          <w:rFonts w:ascii="Arial" w:hAnsi="Arial" w:cs="Arial"/>
        </w:rPr>
        <w:t xml:space="preserve"> (Accessed: 09 June 2026).</w:t>
      </w:r>
    </w:p>
    <w:p w14:paraId="7B5312AE"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Welsh Government (2024) </w:t>
      </w:r>
      <w:r w:rsidRPr="00272CB0">
        <w:rPr>
          <w:rStyle w:val="Emphasis"/>
          <w:rFonts w:ascii="Arial" w:hAnsi="Arial" w:cs="Arial"/>
        </w:rPr>
        <w:t>Eatwell Guide</w:t>
      </w:r>
      <w:r w:rsidRPr="00272CB0">
        <w:rPr>
          <w:rFonts w:ascii="Arial" w:hAnsi="Arial" w:cs="Arial"/>
        </w:rPr>
        <w:t xml:space="preserve">. Available at: </w:t>
      </w:r>
      <w:hyperlink r:id="rId15" w:tgtFrame="_new" w:history="1">
        <w:r w:rsidRPr="00272CB0">
          <w:rPr>
            <w:rStyle w:val="Hyperlink"/>
            <w:rFonts w:ascii="Arial" w:hAnsi="Arial" w:cs="Arial"/>
          </w:rPr>
          <w:t>https://www.gov.wales/eatwell-guide-html</w:t>
        </w:r>
      </w:hyperlink>
      <w:r w:rsidRPr="00272CB0">
        <w:rPr>
          <w:rFonts w:ascii="Arial" w:hAnsi="Arial" w:cs="Arial"/>
        </w:rPr>
        <w:t xml:space="preserve"> (Accessed: 10 June 2026).</w:t>
      </w:r>
    </w:p>
    <w:p w14:paraId="3D00A236" w14:textId="77777777" w:rsidR="00272CB0" w:rsidRPr="00272CB0" w:rsidRDefault="00272CB0" w:rsidP="00272CB0">
      <w:pPr>
        <w:pStyle w:val="NormalWeb"/>
        <w:spacing w:line="360" w:lineRule="auto"/>
        <w:rPr>
          <w:rFonts w:ascii="Arial" w:hAnsi="Arial" w:cs="Arial"/>
        </w:rPr>
      </w:pPr>
      <w:r w:rsidRPr="00272CB0">
        <w:rPr>
          <w:rFonts w:ascii="Arial" w:hAnsi="Arial" w:cs="Arial"/>
        </w:rPr>
        <w:t xml:space="preserve">World Health Organization (WHO) (2019) </w:t>
      </w:r>
      <w:r w:rsidRPr="00272CB0">
        <w:rPr>
          <w:rStyle w:val="Emphasis"/>
          <w:rFonts w:ascii="Arial" w:hAnsi="Arial" w:cs="Arial"/>
        </w:rPr>
        <w:t>Increasing fruit and vegetable consumption to reduce the risk of noncommunicable diseases</w:t>
      </w:r>
      <w:r w:rsidRPr="00272CB0">
        <w:rPr>
          <w:rFonts w:ascii="Arial" w:hAnsi="Arial" w:cs="Arial"/>
        </w:rPr>
        <w:t xml:space="preserve">. Available at: </w:t>
      </w:r>
      <w:hyperlink r:id="rId16" w:tgtFrame="_new" w:history="1">
        <w:r w:rsidRPr="00272CB0">
          <w:rPr>
            <w:rStyle w:val="Hyperlink"/>
            <w:rFonts w:ascii="Arial" w:hAnsi="Arial" w:cs="Arial"/>
          </w:rPr>
          <w:t>https://www.who.int/elena/titles/fruit_vegetables_ncds/en/</w:t>
        </w:r>
      </w:hyperlink>
      <w:r w:rsidRPr="00272CB0">
        <w:rPr>
          <w:rFonts w:ascii="Arial" w:hAnsi="Arial" w:cs="Arial"/>
        </w:rPr>
        <w:t xml:space="preserve"> (Accessed: 10 June 2026).</w:t>
      </w:r>
    </w:p>
    <w:p w14:paraId="5C5BB4FA" w14:textId="77777777" w:rsidR="00272CB0" w:rsidRPr="00272CB0" w:rsidRDefault="00272CB0" w:rsidP="00272CB0">
      <w:pPr>
        <w:pStyle w:val="NormalWeb"/>
        <w:spacing w:before="0" w:beforeAutospacing="0" w:after="0" w:afterAutospacing="0" w:line="360" w:lineRule="auto"/>
        <w:rPr>
          <w:rFonts w:ascii="Arial" w:hAnsi="Arial" w:cs="Arial"/>
        </w:rPr>
      </w:pPr>
    </w:p>
    <w:p w14:paraId="453ABFF9" w14:textId="77777777" w:rsidR="00272CB0" w:rsidRPr="00272CB0" w:rsidRDefault="00272CB0" w:rsidP="00272CB0">
      <w:pPr>
        <w:spacing w:line="360" w:lineRule="auto"/>
        <w:rPr>
          <w:rFonts w:ascii="Arial" w:hAnsi="Arial" w:cs="Arial"/>
        </w:rPr>
      </w:pPr>
    </w:p>
    <w:p w14:paraId="74E2FF84" w14:textId="77777777" w:rsidR="00272CB0" w:rsidRPr="00272CB0" w:rsidRDefault="00272CB0" w:rsidP="00272CB0">
      <w:pPr>
        <w:spacing w:line="360" w:lineRule="auto"/>
        <w:rPr>
          <w:rFonts w:ascii="Arial" w:hAnsi="Arial" w:cs="Arial"/>
        </w:rPr>
      </w:pPr>
    </w:p>
    <w:sectPr w:rsidR="00272CB0" w:rsidRPr="00272CB0" w:rsidSect="00F54EFC">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6EDCE" w14:textId="77777777" w:rsidR="001D770F" w:rsidRDefault="001D770F">
      <w:pPr>
        <w:spacing w:after="0" w:line="240" w:lineRule="auto"/>
      </w:pPr>
      <w:r>
        <w:separator/>
      </w:r>
    </w:p>
  </w:endnote>
  <w:endnote w:type="continuationSeparator" w:id="0">
    <w:p w14:paraId="5A8D05A4" w14:textId="77777777" w:rsidR="001D770F" w:rsidRDefault="001D7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D974B" w14:textId="77777777" w:rsidR="00272CB0" w:rsidRDefault="00272CB0">
    <w:pPr>
      <w:pStyle w:val="Footer"/>
    </w:pPr>
    <w:r>
      <w:rPr>
        <w:color w:val="156082" w:themeColor="accent1"/>
      </w:rPr>
      <w:t xml:space="preserve"> </w:t>
    </w:r>
    <w:r w:rsidRPr="002B6AFB">
      <w:rPr>
        <w:rFonts w:asciiTheme="majorHAnsi" w:eastAsiaTheme="majorEastAsia" w:hAnsiTheme="majorHAnsi" w:cstheme="majorBidi"/>
        <w:color w:val="000000" w:themeColor="text1"/>
        <w:sz w:val="20"/>
        <w:szCs w:val="20"/>
      </w:rPr>
      <w:t xml:space="preserve">pg. </w:t>
    </w:r>
    <w:r w:rsidRPr="002B6AFB">
      <w:rPr>
        <w:color w:val="000000" w:themeColor="text1"/>
        <w:sz w:val="20"/>
        <w:szCs w:val="20"/>
      </w:rPr>
      <w:fldChar w:fldCharType="begin"/>
    </w:r>
    <w:r w:rsidRPr="002B6AFB">
      <w:rPr>
        <w:color w:val="000000" w:themeColor="text1"/>
        <w:sz w:val="20"/>
        <w:szCs w:val="20"/>
      </w:rPr>
      <w:instrText xml:space="preserve"> PAGE    \* MERGEFORMAT </w:instrText>
    </w:r>
    <w:r w:rsidRPr="002B6AFB">
      <w:rPr>
        <w:color w:val="000000" w:themeColor="text1"/>
        <w:sz w:val="20"/>
        <w:szCs w:val="20"/>
      </w:rPr>
      <w:fldChar w:fldCharType="separate"/>
    </w:r>
    <w:r w:rsidRPr="002B6AFB">
      <w:rPr>
        <w:rFonts w:asciiTheme="majorHAnsi" w:eastAsiaTheme="majorEastAsia" w:hAnsiTheme="majorHAnsi" w:cstheme="majorBidi"/>
        <w:noProof/>
        <w:color w:val="000000" w:themeColor="text1"/>
        <w:sz w:val="20"/>
        <w:szCs w:val="20"/>
      </w:rPr>
      <w:t>2</w:t>
    </w:r>
    <w:r w:rsidRPr="002B6AFB">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062F9" w14:textId="77777777" w:rsidR="001D770F" w:rsidRDefault="001D770F">
      <w:pPr>
        <w:spacing w:after="0" w:line="240" w:lineRule="auto"/>
      </w:pPr>
      <w:r>
        <w:separator/>
      </w:r>
    </w:p>
  </w:footnote>
  <w:footnote w:type="continuationSeparator" w:id="0">
    <w:p w14:paraId="46203FC9" w14:textId="77777777" w:rsidR="001D770F" w:rsidRDefault="001D7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51985" w14:textId="6370972A" w:rsidR="00272CB0" w:rsidRPr="008D5ABB" w:rsidRDefault="00272CB0" w:rsidP="008D5ABB">
    <w:pPr>
      <w:pStyle w:val="Header"/>
      <w:rPr>
        <w:lang w:val="en-GB"/>
      </w:rPr>
    </w:pPr>
    <w:r w:rsidRPr="008D5ABB">
      <w:rPr>
        <w:lang w:val="en-GB"/>
      </w:rPr>
      <w:t>Student number: 2512177</w:t>
    </w:r>
  </w:p>
  <w:p w14:paraId="6E70D463" w14:textId="77777777" w:rsidR="00272CB0" w:rsidRPr="008D5ABB" w:rsidRDefault="00272CB0" w:rsidP="008D5ABB">
    <w:pPr>
      <w:pStyle w:val="Header"/>
      <w:rPr>
        <w:lang w:val="en-GB"/>
      </w:rPr>
    </w:pPr>
    <w:r w:rsidRPr="008D5ABB">
      <w:rPr>
        <w:lang w:val="en-GB"/>
      </w:rPr>
      <w:t>Module code: ECEY5009</w:t>
    </w:r>
  </w:p>
  <w:p w14:paraId="7990C855" w14:textId="77777777" w:rsidR="00272CB0" w:rsidRPr="008D5ABB" w:rsidRDefault="00272CB0" w:rsidP="008D5ABB">
    <w:pPr>
      <w:pStyle w:val="Header"/>
      <w:rPr>
        <w:lang w:val="en-GB"/>
      </w:rPr>
    </w:pPr>
    <w:r w:rsidRPr="008D5ABB">
      <w:rPr>
        <w:lang w:val="en-GB"/>
      </w:rPr>
      <w:t xml:space="preserve">Word count: </w:t>
    </w:r>
    <w:r>
      <w:rPr>
        <w:lang w:val="en-GB"/>
      </w:rPr>
      <w:t>1866</w:t>
    </w:r>
  </w:p>
  <w:p w14:paraId="42625426" w14:textId="77777777" w:rsidR="00272CB0" w:rsidRDefault="00272C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CB0"/>
    <w:rsid w:val="000D4366"/>
    <w:rsid w:val="001D770F"/>
    <w:rsid w:val="00272CB0"/>
    <w:rsid w:val="002B6AFB"/>
    <w:rsid w:val="00F54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3F4207"/>
  <w15:chartTrackingRefBased/>
  <w15:docId w15:val="{956E3EC2-5EEA-9544-B963-DF3954112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CB0"/>
    <w:rPr>
      <w:rFonts w:eastAsiaTheme="minorEastAsia"/>
      <w:lang w:val="en-US" w:eastAsia="zh-CN"/>
    </w:rPr>
  </w:style>
  <w:style w:type="paragraph" w:styleId="Heading1">
    <w:name w:val="heading 1"/>
    <w:basedOn w:val="Normal"/>
    <w:next w:val="Normal"/>
    <w:link w:val="Heading1Char"/>
    <w:uiPriority w:val="9"/>
    <w:qFormat/>
    <w:rsid w:val="00272CB0"/>
    <w:pPr>
      <w:keepNext/>
      <w:keepLines/>
      <w:spacing w:before="360" w:after="80"/>
      <w:outlineLvl w:val="0"/>
    </w:pPr>
    <w:rPr>
      <w:rFonts w:asciiTheme="majorHAnsi" w:eastAsiaTheme="majorEastAsia" w:hAnsiTheme="majorHAnsi" w:cstheme="majorBidi"/>
      <w:color w:val="0F4761"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272CB0"/>
    <w:pPr>
      <w:keepNext/>
      <w:keepLines/>
      <w:spacing w:before="160" w:after="80"/>
      <w:outlineLvl w:val="1"/>
    </w:pPr>
    <w:rPr>
      <w:rFonts w:asciiTheme="majorHAnsi" w:eastAsiaTheme="majorEastAsia" w:hAnsiTheme="majorHAnsi" w:cstheme="majorBidi"/>
      <w:color w:val="0F4761" w:themeColor="accent1" w:themeShade="BF"/>
      <w:sz w:val="32"/>
      <w:szCs w:val="32"/>
      <w:lang w:val="en-GB" w:eastAsia="en-US"/>
    </w:rPr>
  </w:style>
  <w:style w:type="paragraph" w:styleId="Heading3">
    <w:name w:val="heading 3"/>
    <w:basedOn w:val="Normal"/>
    <w:next w:val="Normal"/>
    <w:link w:val="Heading3Char"/>
    <w:uiPriority w:val="9"/>
    <w:semiHidden/>
    <w:unhideWhenUsed/>
    <w:qFormat/>
    <w:rsid w:val="00272CB0"/>
    <w:pPr>
      <w:keepNext/>
      <w:keepLines/>
      <w:spacing w:before="160" w:after="80"/>
      <w:outlineLvl w:val="2"/>
    </w:pPr>
    <w:rPr>
      <w:rFonts w:eastAsiaTheme="majorEastAsia" w:cstheme="majorBidi"/>
      <w:color w:val="0F4761"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272CB0"/>
    <w:pPr>
      <w:keepNext/>
      <w:keepLines/>
      <w:spacing w:before="80" w:after="40"/>
      <w:outlineLvl w:val="3"/>
    </w:pPr>
    <w:rPr>
      <w:rFonts w:eastAsiaTheme="majorEastAsia" w:cstheme="majorBidi"/>
      <w:i/>
      <w:iCs/>
      <w:color w:val="0F4761" w:themeColor="accent1" w:themeShade="BF"/>
      <w:lang w:val="en-GB" w:eastAsia="en-US"/>
    </w:rPr>
  </w:style>
  <w:style w:type="paragraph" w:styleId="Heading5">
    <w:name w:val="heading 5"/>
    <w:basedOn w:val="Normal"/>
    <w:next w:val="Normal"/>
    <w:link w:val="Heading5Char"/>
    <w:uiPriority w:val="9"/>
    <w:semiHidden/>
    <w:unhideWhenUsed/>
    <w:qFormat/>
    <w:rsid w:val="00272CB0"/>
    <w:pPr>
      <w:keepNext/>
      <w:keepLines/>
      <w:spacing w:before="80" w:after="40"/>
      <w:outlineLvl w:val="4"/>
    </w:pPr>
    <w:rPr>
      <w:rFonts w:eastAsiaTheme="majorEastAsia" w:cstheme="majorBidi"/>
      <w:color w:val="0F4761" w:themeColor="accent1" w:themeShade="BF"/>
      <w:lang w:val="en-GB" w:eastAsia="en-US"/>
    </w:rPr>
  </w:style>
  <w:style w:type="paragraph" w:styleId="Heading6">
    <w:name w:val="heading 6"/>
    <w:basedOn w:val="Normal"/>
    <w:next w:val="Normal"/>
    <w:link w:val="Heading6Char"/>
    <w:uiPriority w:val="9"/>
    <w:semiHidden/>
    <w:unhideWhenUsed/>
    <w:qFormat/>
    <w:rsid w:val="00272CB0"/>
    <w:pPr>
      <w:keepNext/>
      <w:keepLines/>
      <w:spacing w:before="40" w:after="0"/>
      <w:outlineLvl w:val="5"/>
    </w:pPr>
    <w:rPr>
      <w:rFonts w:eastAsiaTheme="majorEastAsia" w:cstheme="majorBidi"/>
      <w:i/>
      <w:iCs/>
      <w:color w:val="595959" w:themeColor="text1" w:themeTint="A6"/>
      <w:lang w:val="en-GB" w:eastAsia="en-US"/>
    </w:rPr>
  </w:style>
  <w:style w:type="paragraph" w:styleId="Heading7">
    <w:name w:val="heading 7"/>
    <w:basedOn w:val="Normal"/>
    <w:next w:val="Normal"/>
    <w:link w:val="Heading7Char"/>
    <w:uiPriority w:val="9"/>
    <w:semiHidden/>
    <w:unhideWhenUsed/>
    <w:qFormat/>
    <w:rsid w:val="00272CB0"/>
    <w:pPr>
      <w:keepNext/>
      <w:keepLines/>
      <w:spacing w:before="40" w:after="0"/>
      <w:outlineLvl w:val="6"/>
    </w:pPr>
    <w:rPr>
      <w:rFonts w:eastAsiaTheme="majorEastAsia" w:cstheme="majorBidi"/>
      <w:color w:val="595959" w:themeColor="text1" w:themeTint="A6"/>
      <w:lang w:val="en-GB" w:eastAsia="en-US"/>
    </w:rPr>
  </w:style>
  <w:style w:type="paragraph" w:styleId="Heading8">
    <w:name w:val="heading 8"/>
    <w:basedOn w:val="Normal"/>
    <w:next w:val="Normal"/>
    <w:link w:val="Heading8Char"/>
    <w:uiPriority w:val="9"/>
    <w:semiHidden/>
    <w:unhideWhenUsed/>
    <w:qFormat/>
    <w:rsid w:val="00272CB0"/>
    <w:pPr>
      <w:keepNext/>
      <w:keepLines/>
      <w:spacing w:after="0"/>
      <w:outlineLvl w:val="7"/>
    </w:pPr>
    <w:rPr>
      <w:rFonts w:eastAsiaTheme="majorEastAsia" w:cstheme="majorBidi"/>
      <w:i/>
      <w:iCs/>
      <w:color w:val="272727" w:themeColor="text1" w:themeTint="D8"/>
      <w:lang w:val="en-GB" w:eastAsia="en-US"/>
    </w:rPr>
  </w:style>
  <w:style w:type="paragraph" w:styleId="Heading9">
    <w:name w:val="heading 9"/>
    <w:basedOn w:val="Normal"/>
    <w:next w:val="Normal"/>
    <w:link w:val="Heading9Char"/>
    <w:uiPriority w:val="9"/>
    <w:semiHidden/>
    <w:unhideWhenUsed/>
    <w:qFormat/>
    <w:rsid w:val="00272CB0"/>
    <w:pPr>
      <w:keepNext/>
      <w:keepLines/>
      <w:spacing w:after="0"/>
      <w:outlineLvl w:val="8"/>
    </w:pPr>
    <w:rPr>
      <w:rFonts w:eastAsiaTheme="majorEastAsia" w:cstheme="majorBidi"/>
      <w:color w:val="272727" w:themeColor="text1" w:themeTint="D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C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2C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2C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C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C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C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C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C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CB0"/>
    <w:rPr>
      <w:rFonts w:eastAsiaTheme="majorEastAsia" w:cstheme="majorBidi"/>
      <w:color w:val="272727" w:themeColor="text1" w:themeTint="D8"/>
    </w:rPr>
  </w:style>
  <w:style w:type="paragraph" w:styleId="Title">
    <w:name w:val="Title"/>
    <w:basedOn w:val="Normal"/>
    <w:next w:val="Normal"/>
    <w:link w:val="TitleChar"/>
    <w:uiPriority w:val="10"/>
    <w:qFormat/>
    <w:rsid w:val="00272CB0"/>
    <w:pPr>
      <w:spacing w:after="80" w:line="240" w:lineRule="auto"/>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272C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CB0"/>
    <w:pPr>
      <w:numPr>
        <w:ilvl w:val="1"/>
      </w:numPr>
    </w:pPr>
    <w:rPr>
      <w:rFonts w:eastAsiaTheme="majorEastAsia"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272C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CB0"/>
    <w:pPr>
      <w:spacing w:before="160"/>
      <w:jc w:val="center"/>
    </w:pPr>
    <w:rPr>
      <w:rFonts w:eastAsiaTheme="minorHAnsi"/>
      <w:i/>
      <w:iCs/>
      <w:color w:val="404040" w:themeColor="text1" w:themeTint="BF"/>
      <w:lang w:val="en-GB" w:eastAsia="en-US"/>
    </w:rPr>
  </w:style>
  <w:style w:type="character" w:customStyle="1" w:styleId="QuoteChar">
    <w:name w:val="Quote Char"/>
    <w:basedOn w:val="DefaultParagraphFont"/>
    <w:link w:val="Quote"/>
    <w:uiPriority w:val="29"/>
    <w:rsid w:val="00272CB0"/>
    <w:rPr>
      <w:i/>
      <w:iCs/>
      <w:color w:val="404040" w:themeColor="text1" w:themeTint="BF"/>
    </w:rPr>
  </w:style>
  <w:style w:type="paragraph" w:styleId="ListParagraph">
    <w:name w:val="List Paragraph"/>
    <w:basedOn w:val="Normal"/>
    <w:uiPriority w:val="34"/>
    <w:qFormat/>
    <w:rsid w:val="00272CB0"/>
    <w:pPr>
      <w:ind w:left="720"/>
      <w:contextualSpacing/>
    </w:pPr>
    <w:rPr>
      <w:rFonts w:eastAsiaTheme="minorHAnsi"/>
      <w:lang w:val="en-GB" w:eastAsia="en-US"/>
    </w:rPr>
  </w:style>
  <w:style w:type="character" w:styleId="IntenseEmphasis">
    <w:name w:val="Intense Emphasis"/>
    <w:basedOn w:val="DefaultParagraphFont"/>
    <w:uiPriority w:val="21"/>
    <w:qFormat/>
    <w:rsid w:val="00272CB0"/>
    <w:rPr>
      <w:i/>
      <w:iCs/>
      <w:color w:val="0F4761" w:themeColor="accent1" w:themeShade="BF"/>
    </w:rPr>
  </w:style>
  <w:style w:type="paragraph" w:styleId="IntenseQuote">
    <w:name w:val="Intense Quote"/>
    <w:basedOn w:val="Normal"/>
    <w:next w:val="Normal"/>
    <w:link w:val="IntenseQuoteChar"/>
    <w:uiPriority w:val="30"/>
    <w:qFormat/>
    <w:rsid w:val="00272CB0"/>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val="en-GB" w:eastAsia="en-US"/>
    </w:rPr>
  </w:style>
  <w:style w:type="character" w:customStyle="1" w:styleId="IntenseQuoteChar">
    <w:name w:val="Intense Quote Char"/>
    <w:basedOn w:val="DefaultParagraphFont"/>
    <w:link w:val="IntenseQuote"/>
    <w:uiPriority w:val="30"/>
    <w:rsid w:val="00272CB0"/>
    <w:rPr>
      <w:i/>
      <w:iCs/>
      <w:color w:val="0F4761" w:themeColor="accent1" w:themeShade="BF"/>
    </w:rPr>
  </w:style>
  <w:style w:type="character" w:styleId="IntenseReference">
    <w:name w:val="Intense Reference"/>
    <w:basedOn w:val="DefaultParagraphFont"/>
    <w:uiPriority w:val="32"/>
    <w:qFormat/>
    <w:rsid w:val="00272CB0"/>
    <w:rPr>
      <w:b/>
      <w:bCs/>
      <w:smallCaps/>
      <w:color w:val="0F4761" w:themeColor="accent1" w:themeShade="BF"/>
      <w:spacing w:val="5"/>
    </w:rPr>
  </w:style>
  <w:style w:type="paragraph" w:styleId="NormalWeb">
    <w:name w:val="Normal (Web)"/>
    <w:basedOn w:val="Normal"/>
    <w:uiPriority w:val="99"/>
    <w:semiHidden/>
    <w:unhideWhenUsed/>
    <w:rsid w:val="00272CB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272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CB0"/>
    <w:rPr>
      <w:rFonts w:eastAsiaTheme="minorEastAsia"/>
      <w:lang w:val="en-US" w:eastAsia="zh-CN"/>
    </w:rPr>
  </w:style>
  <w:style w:type="paragraph" w:styleId="Footer">
    <w:name w:val="footer"/>
    <w:basedOn w:val="Normal"/>
    <w:link w:val="FooterChar"/>
    <w:uiPriority w:val="99"/>
    <w:unhideWhenUsed/>
    <w:rsid w:val="00272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CB0"/>
    <w:rPr>
      <w:rFonts w:eastAsiaTheme="minorEastAsia"/>
      <w:lang w:val="en-US" w:eastAsia="zh-CN"/>
    </w:rPr>
  </w:style>
  <w:style w:type="character" w:styleId="Hyperlink">
    <w:name w:val="Hyperlink"/>
    <w:basedOn w:val="DefaultParagraphFont"/>
    <w:uiPriority w:val="99"/>
    <w:semiHidden/>
    <w:unhideWhenUsed/>
    <w:rsid w:val="00272CB0"/>
    <w:rPr>
      <w:color w:val="0000FF"/>
      <w:u w:val="single"/>
    </w:rPr>
  </w:style>
  <w:style w:type="character" w:styleId="Emphasis">
    <w:name w:val="Emphasis"/>
    <w:basedOn w:val="DefaultParagraphFont"/>
    <w:uiPriority w:val="20"/>
    <w:qFormat/>
    <w:rsid w:val="00272C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informationsupport/publications/healthy-eating-and-drinking/taking-control-of-saturated-fats" TargetMode="External"/><Relationship Id="rId13" Type="http://schemas.openxmlformats.org/officeDocument/2006/relationships/hyperlink" Target="https://assets.publishing.service.gov.uk/government/uploads/system/uploads/attachment_data/file/618167/government_dietary_recommendations.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da.uk.com/resource/fibre.html" TargetMode="External"/><Relationship Id="rId12" Type="http://schemas.openxmlformats.org/officeDocument/2006/relationships/hyperlink" Target="https://www.nhs.uk/live-well/eat-well/different-fats-nutrition/"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who.int/elena/titles/fruit_vegetables_ncds/e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uowtsd-my.sharepoint.com/:v:/g/personal/2512177_student_uwtsd_ac_uk/IQBV5tXD5rFxQ7bOPWPS706KAdppe0_FHYRIEwxvpL3fr0U?nav=eyJyZWZlcnJhbEluZm8iOnsicmVmZXJyYWxBcHAiOiJPbmVEcml2ZUZvckJ1c2luZXNzIiwicmVmZXJyYWxBcHBQbGF0Zm9ybSI6IldlYiIsInJlZmVycmFsTW9kZSI6InZpZXciLCJyZWZlcnJhbFZpZXciOiJNeUZpbGVzTGlua0NvcHkifX0&amp;e=Iabyrp" TargetMode="External"/><Relationship Id="rId11" Type="http://schemas.openxmlformats.org/officeDocument/2006/relationships/hyperlink" Target="https://www.ukdataservice.ac.uk/media/307250/doylegriffiths.pdf" TargetMode="External"/><Relationship Id="rId5" Type="http://schemas.openxmlformats.org/officeDocument/2006/relationships/endnotes" Target="endnotes.xml"/><Relationship Id="rId15" Type="http://schemas.openxmlformats.org/officeDocument/2006/relationships/hyperlink" Target="https://www.gov.wales/eatwell-guide-html" TargetMode="External"/><Relationship Id="rId10" Type="http://schemas.openxmlformats.org/officeDocument/2006/relationships/hyperlink" Target="http://www.actiononsalt.org.uk/less/index.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hf.org.uk/informationsupport/publications/healthy-eating-and-drinking/taking-control-of-salt" TargetMode="External"/><Relationship Id="rId14" Type="http://schemas.openxmlformats.org/officeDocument/2006/relationships/hyperlink" Target="https://assets.publishing.service.gov.uk/government/uploads/system/uploads/attachment_data/file/814995/SACN_report_on_saturated_fat_and_healt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2309</Words>
  <Characters>13166</Characters>
  <Application>Microsoft Office Word</Application>
  <DocSecurity>0</DocSecurity>
  <Lines>109</Lines>
  <Paragraphs>30</Paragraphs>
  <ScaleCrop>false</ScaleCrop>
  <Company/>
  <LinksUpToDate>false</LinksUpToDate>
  <CharactersWithSpaces>15445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3</cp:revision>
  <dcterms:created xsi:type="dcterms:W3CDTF">2026-06-14T22:01:00Z</dcterms:created>
  <dcterms:modified xsi:type="dcterms:W3CDTF">2026-06-14T22:12:00Z</dcterms:modified>
</cp:coreProperties>
</file>