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8FB50" w14:textId="77777777" w:rsidR="00B13550" w:rsidRPr="00B13550" w:rsidRDefault="00B13550" w:rsidP="00B13550">
      <w:pPr>
        <w:spacing w:after="0" w:line="324" w:lineRule="atLeast"/>
        <w:rPr>
          <w:rFonts w:ascii="Arial" w:hAnsi="Arial" w:cs="Arial"/>
          <w:b/>
          <w:bCs/>
          <w:color w:val="000000"/>
          <w:kern w:val="0"/>
          <w14:ligatures w14:val="none"/>
        </w:rPr>
      </w:pPr>
      <w:r w:rsidRPr="00B13550">
        <w:rPr>
          <w:rFonts w:ascii="Arial" w:hAnsi="Arial" w:cs="Arial"/>
          <w:b/>
          <w:bCs/>
          <w:color w:val="000000"/>
          <w:kern w:val="0"/>
          <w14:ligatures w14:val="none"/>
        </w:rPr>
        <w:t>Will Naish</w:t>
      </w:r>
    </w:p>
    <w:p w14:paraId="29DDED2D" w14:textId="77777777" w:rsidR="00B13550" w:rsidRPr="00B13550" w:rsidRDefault="00B13550" w:rsidP="00B13550">
      <w:pPr>
        <w:spacing w:after="120" w:line="240" w:lineRule="auto"/>
        <w:rPr>
          <w:rFonts w:ascii="Arial" w:hAnsi="Arial" w:cs="Arial"/>
          <w:b/>
          <w:bCs/>
          <w:color w:val="000000"/>
          <w:kern w:val="0"/>
          <w14:ligatures w14:val="none"/>
        </w:rPr>
      </w:pPr>
      <w:r w:rsidRPr="00B13550">
        <w:rPr>
          <w:rFonts w:ascii="Arial" w:hAnsi="Arial" w:cs="Arial"/>
          <w:b/>
          <w:bCs/>
          <w:color w:val="000000"/>
          <w:kern w:val="0"/>
          <w14:ligatures w14:val="none"/>
        </w:rPr>
        <w:t>CIPD Number:</w:t>
      </w:r>
      <w:r w:rsidRPr="00B13550">
        <w:rPr>
          <w:rFonts w:ascii="Arial" w:eastAsia="Times New Roman" w:hAnsi="Arial" w:cs="Arial"/>
          <w:b/>
          <w:bCs/>
          <w:color w:val="202020"/>
          <w:kern w:val="0"/>
          <w14:ligatures w14:val="none"/>
        </w:rPr>
        <w:t xml:space="preserve"> 88139784</w:t>
      </w:r>
    </w:p>
    <w:p w14:paraId="54F9B570" w14:textId="3953B8AF" w:rsidR="00F84949" w:rsidRPr="00263567" w:rsidRDefault="00B13550" w:rsidP="00263567">
      <w:pPr>
        <w:rPr>
          <w:rStyle w:val="ui-provider"/>
          <w:rFonts w:ascii="Arial" w:hAnsi="Arial" w:cs="Arial"/>
        </w:rPr>
      </w:pPr>
      <w:r w:rsidRPr="00B13550">
        <w:rPr>
          <w:rFonts w:ascii="Arial" w:eastAsia="Arial" w:hAnsi="Arial" w:cs="Arial"/>
          <w:b/>
          <w:bCs/>
          <w:color w:val="000000"/>
          <w:kern w:val="0"/>
          <w14:ligatures w14:val="none"/>
        </w:rPr>
        <w:t>Total Word Count: 42</w:t>
      </w:r>
      <w:r w:rsidR="00BB015A">
        <w:rPr>
          <w:rFonts w:ascii="Arial" w:eastAsia="Arial" w:hAnsi="Arial" w:cs="Arial"/>
          <w:b/>
          <w:bCs/>
          <w:color w:val="000000"/>
          <w:kern w:val="0"/>
          <w14:ligatures w14:val="none"/>
        </w:rPr>
        <w:t>72</w:t>
      </w:r>
    </w:p>
    <w:p w14:paraId="79B4F74C" w14:textId="77777777" w:rsidR="00F84949" w:rsidRPr="00F84949" w:rsidRDefault="00F84949" w:rsidP="00F84949">
      <w:pPr>
        <w:pStyle w:val="ListParagraph"/>
        <w:rPr>
          <w:rStyle w:val="ui-provider"/>
          <w:rFonts w:ascii="Arial" w:hAnsi="Arial" w:cs="Arial"/>
        </w:rPr>
      </w:pPr>
    </w:p>
    <w:p w14:paraId="1D5FA2BE" w14:textId="03E7B58D" w:rsidR="007B501D" w:rsidRPr="009B4FE8" w:rsidRDefault="00AE5062" w:rsidP="007B501D">
      <w:pPr>
        <w:pStyle w:val="ListParagraph"/>
        <w:numPr>
          <w:ilvl w:val="0"/>
          <w:numId w:val="1"/>
        </w:numPr>
        <w:rPr>
          <w:rStyle w:val="ui-provider"/>
          <w:rFonts w:ascii="Arial" w:hAnsi="Arial" w:cs="Arial"/>
        </w:rPr>
      </w:pPr>
      <w:r w:rsidRPr="009B4FE8">
        <w:rPr>
          <w:rStyle w:val="ui-provider"/>
          <w:rFonts w:ascii="Arial" w:hAnsi="Arial" w:cs="Arial"/>
          <w:color w:val="215E99" w:themeColor="text2" w:themeTint="BF"/>
        </w:rPr>
        <w:t>New entrants to the parcel delivery market and other labour market competitors have adversely affected ParcelCare’s ability to compete in labour markets. Explain how ParcelCare can strategically position themselves in competitive labour markets. (AC 1.1)</w:t>
      </w:r>
    </w:p>
    <w:p w14:paraId="40414353" w14:textId="647B72F4" w:rsidR="00F324BE" w:rsidRPr="00665CB8" w:rsidRDefault="006522FB" w:rsidP="00F324BE">
      <w:pPr>
        <w:rPr>
          <w:rStyle w:val="ui-provider"/>
          <w:rFonts w:ascii="Arial" w:hAnsi="Arial" w:cs="Arial"/>
          <w:sz w:val="22"/>
          <w:szCs w:val="22"/>
        </w:rPr>
      </w:pPr>
      <w:r w:rsidRPr="00665CB8">
        <w:rPr>
          <w:rFonts w:ascii="Arial" w:eastAsia="Times New Roman" w:hAnsi="Arial" w:cs="Arial"/>
          <w:color w:val="000000"/>
          <w:sz w:val="22"/>
          <w:szCs w:val="22"/>
        </w:rPr>
        <w:t xml:space="preserve">Parcel care can strategically position itself in competitive labour markets by using SWOT analysis tools. This data capture exercise helps organisations align their goals, programs, and capacities with their environment, identifying strengths, weaknesses, opportunities, and threats. It's used for various purposes, including workshop sessions, problem-solving, planning, product evaluation, competitor evaluation, and decision making. </w:t>
      </w:r>
      <w:r w:rsidR="0067581C" w:rsidRPr="00665CB8">
        <w:rPr>
          <w:rFonts w:ascii="Arial" w:eastAsia="Times New Roman" w:hAnsi="Arial" w:cs="Arial"/>
          <w:color w:val="000000"/>
          <w:sz w:val="22"/>
          <w:szCs w:val="22"/>
        </w:rPr>
        <w:t>(CIPD, 2024)</w:t>
      </w:r>
    </w:p>
    <w:p w14:paraId="1EA3AC0D" w14:textId="31E331F0" w:rsidR="00261599" w:rsidRPr="00665CB8" w:rsidRDefault="00B816A2" w:rsidP="00F56830">
      <w:pPr>
        <w:rPr>
          <w:rFonts w:ascii="Arial" w:hAnsi="Arial" w:cs="Arial"/>
          <w:sz w:val="22"/>
          <w:szCs w:val="22"/>
        </w:rPr>
      </w:pPr>
      <w:r w:rsidRPr="00665CB8">
        <w:rPr>
          <w:rFonts w:ascii="Arial" w:eastAsia="Times New Roman" w:hAnsi="Arial" w:cs="Arial"/>
          <w:color w:val="000000"/>
          <w:sz w:val="22"/>
          <w:szCs w:val="22"/>
        </w:rPr>
        <w:t>A PESTLE analysis tool, when used alongside SWOT analysis, can aid</w:t>
      </w:r>
      <w:r w:rsidR="00E425B9" w:rsidRPr="00665CB8">
        <w:rPr>
          <w:rFonts w:ascii="Arial" w:eastAsia="Times New Roman" w:hAnsi="Arial" w:cs="Arial"/>
          <w:color w:val="000000"/>
          <w:sz w:val="22"/>
          <w:szCs w:val="22"/>
        </w:rPr>
        <w:t xml:space="preserve"> ParcelCare</w:t>
      </w:r>
      <w:r w:rsidRPr="00665CB8">
        <w:rPr>
          <w:rFonts w:ascii="Arial" w:eastAsia="Times New Roman" w:hAnsi="Arial" w:cs="Arial"/>
          <w:color w:val="000000"/>
          <w:sz w:val="22"/>
          <w:szCs w:val="22"/>
        </w:rPr>
        <w:t xml:space="preserve"> in competitive advantage by assessing the external environment and identifying long-term trends. It aids in strategic business planning, workforce planning, marketing, product development, and organisational change, providing context for business direction, brand positioning, growth targets, and risks.</w:t>
      </w:r>
      <w:r w:rsidR="001B49C9" w:rsidRPr="00665CB8">
        <w:rPr>
          <w:rFonts w:ascii="Arial" w:eastAsia="Times New Roman" w:hAnsi="Arial" w:cs="Arial"/>
          <w:color w:val="000000"/>
          <w:sz w:val="22"/>
          <w:szCs w:val="22"/>
        </w:rPr>
        <w:t xml:space="preserve"> CIPD (2023a)</w:t>
      </w:r>
    </w:p>
    <w:p w14:paraId="0C52024E" w14:textId="77777777" w:rsidR="000A41EA" w:rsidRPr="00665CB8" w:rsidRDefault="00117F4D">
      <w:pPr>
        <w:rPr>
          <w:rFonts w:ascii="Arial" w:eastAsia="Times New Roman" w:hAnsi="Arial" w:cs="Arial"/>
          <w:color w:val="000000"/>
          <w:sz w:val="22"/>
          <w:szCs w:val="22"/>
        </w:rPr>
      </w:pPr>
      <w:r w:rsidRPr="00665CB8">
        <w:rPr>
          <w:rFonts w:ascii="Arial" w:eastAsia="Times New Roman" w:hAnsi="Arial" w:cs="Arial"/>
          <w:color w:val="000000"/>
          <w:sz w:val="22"/>
          <w:szCs w:val="22"/>
        </w:rPr>
        <w:t>ParcelCare</w:t>
      </w:r>
      <w:r w:rsidR="006E6DCF" w:rsidRPr="00665CB8">
        <w:rPr>
          <w:rFonts w:ascii="Arial" w:eastAsia="Times New Roman" w:hAnsi="Arial" w:cs="Arial"/>
          <w:color w:val="000000"/>
          <w:sz w:val="22"/>
          <w:szCs w:val="22"/>
        </w:rPr>
        <w:t xml:space="preserve"> can enhance its competitiveness by </w:t>
      </w:r>
      <w:r w:rsidR="00E650BC" w:rsidRPr="00665CB8">
        <w:rPr>
          <w:rFonts w:ascii="Arial" w:eastAsia="Times New Roman" w:hAnsi="Arial" w:cs="Arial"/>
          <w:color w:val="000000"/>
          <w:sz w:val="22"/>
          <w:szCs w:val="22"/>
        </w:rPr>
        <w:t>utilising</w:t>
      </w:r>
      <w:r w:rsidR="006E6DCF" w:rsidRPr="00665CB8">
        <w:rPr>
          <w:rFonts w:ascii="Arial" w:eastAsia="Times New Roman" w:hAnsi="Arial" w:cs="Arial"/>
          <w:color w:val="000000"/>
          <w:sz w:val="22"/>
          <w:szCs w:val="22"/>
        </w:rPr>
        <w:t xml:space="preserve"> strategic human resource management (SHRM), a field </w:t>
      </w:r>
      <w:r w:rsidR="00E650BC" w:rsidRPr="00665CB8">
        <w:rPr>
          <w:rFonts w:ascii="Arial" w:eastAsia="Times New Roman" w:hAnsi="Arial" w:cs="Arial"/>
          <w:color w:val="000000"/>
          <w:sz w:val="22"/>
          <w:szCs w:val="22"/>
        </w:rPr>
        <w:t>that</w:t>
      </w:r>
      <w:r w:rsidR="006E6DCF" w:rsidRPr="00665CB8">
        <w:rPr>
          <w:rFonts w:ascii="Arial" w:eastAsia="Times New Roman" w:hAnsi="Arial" w:cs="Arial"/>
          <w:color w:val="000000"/>
          <w:sz w:val="22"/>
          <w:szCs w:val="22"/>
        </w:rPr>
        <w:t xml:space="preserve"> combines strategic management and HRM. This field aims to understand how human resources can be strategically deployed to achieve a firm's goals, addressing the growing importance of people and management in today's fast-paced business environment. SHRM focuses on aligning HRM practices to contribute directly to competitive advantage, addressing how HR practices can contribute to strategy implementation without addressing the larger question of HRM's role in strategy formulation.</w:t>
      </w:r>
      <w:r w:rsidR="00CB45EC" w:rsidRPr="00665CB8">
        <w:rPr>
          <w:rFonts w:ascii="Arial" w:eastAsia="Times New Roman" w:hAnsi="Arial" w:cs="Arial"/>
          <w:color w:val="000000"/>
          <w:sz w:val="22"/>
          <w:szCs w:val="22"/>
        </w:rPr>
        <w:t xml:space="preserve"> </w:t>
      </w:r>
      <w:proofErr w:type="spellStart"/>
      <w:r w:rsidR="00CB45EC" w:rsidRPr="00665CB8">
        <w:rPr>
          <w:rFonts w:ascii="Arial" w:eastAsia="Times New Roman" w:hAnsi="Arial" w:cs="Arial"/>
          <w:color w:val="000000"/>
          <w:sz w:val="22"/>
          <w:szCs w:val="22"/>
        </w:rPr>
        <w:t>Boxall</w:t>
      </w:r>
      <w:proofErr w:type="spellEnd"/>
      <w:r w:rsidR="00CB45EC" w:rsidRPr="00665CB8">
        <w:rPr>
          <w:rFonts w:ascii="Arial" w:eastAsia="Times New Roman" w:hAnsi="Arial" w:cs="Arial"/>
          <w:color w:val="000000"/>
          <w:sz w:val="22"/>
          <w:szCs w:val="22"/>
        </w:rPr>
        <w:t>, Purcell and Wright (2008)</w:t>
      </w:r>
    </w:p>
    <w:p w14:paraId="78600445" w14:textId="60569326" w:rsidR="00F74E28" w:rsidRPr="00665CB8" w:rsidRDefault="00CB6041">
      <w:pPr>
        <w:rPr>
          <w:rStyle w:val="ui-provider"/>
          <w:rFonts w:ascii="Arial" w:eastAsia="Times New Roman" w:hAnsi="Arial" w:cs="Arial"/>
          <w:color w:val="000000"/>
          <w:sz w:val="22"/>
          <w:szCs w:val="22"/>
        </w:rPr>
      </w:pPr>
      <w:r w:rsidRPr="00665CB8">
        <w:rPr>
          <w:rFonts w:ascii="Arial" w:eastAsia="Times New Roman" w:hAnsi="Arial" w:cs="Arial"/>
          <w:color w:val="000000"/>
          <w:sz w:val="22"/>
          <w:szCs w:val="22"/>
        </w:rPr>
        <w:t xml:space="preserve">The Porter five competitive forces tool can assist ParcelCare in </w:t>
      </w:r>
      <w:r w:rsidR="00E359BB" w:rsidRPr="00665CB8">
        <w:rPr>
          <w:rFonts w:ascii="Arial" w:eastAsia="Times New Roman" w:hAnsi="Arial" w:cs="Arial"/>
          <w:color w:val="000000"/>
          <w:sz w:val="22"/>
          <w:szCs w:val="22"/>
        </w:rPr>
        <w:t>analysing</w:t>
      </w:r>
      <w:r w:rsidRPr="00665CB8">
        <w:rPr>
          <w:rFonts w:ascii="Arial" w:eastAsia="Times New Roman" w:hAnsi="Arial" w:cs="Arial"/>
          <w:color w:val="000000"/>
          <w:sz w:val="22"/>
          <w:szCs w:val="22"/>
        </w:rPr>
        <w:t xml:space="preserve"> entry, threat of substitution, bargaining power of buyers and suppliers, and rivalry among competitors. These forces determine competition intensity and profitability, with the strongest force being crucial for strategy formulation. Intense rivalry can limit potential returns in perfectly competitive industries.</w:t>
      </w:r>
      <w:r w:rsidR="006D6734" w:rsidRPr="00665CB8">
        <w:rPr>
          <w:rFonts w:ascii="Arial" w:eastAsia="Times New Roman" w:hAnsi="Arial" w:cs="Arial"/>
          <w:color w:val="000000"/>
          <w:sz w:val="22"/>
          <w:szCs w:val="22"/>
        </w:rPr>
        <w:t xml:space="preserve"> </w:t>
      </w:r>
      <w:r w:rsidR="000529C8" w:rsidRPr="00665CB8">
        <w:rPr>
          <w:rFonts w:ascii="Arial" w:eastAsia="Times New Roman" w:hAnsi="Arial" w:cs="Arial"/>
          <w:color w:val="000000"/>
          <w:sz w:val="22"/>
          <w:szCs w:val="22"/>
        </w:rPr>
        <w:t>Porter (1985)</w:t>
      </w:r>
    </w:p>
    <w:p w14:paraId="0424160C" w14:textId="1F2C39A7" w:rsidR="00987377" w:rsidRPr="00665CB8" w:rsidRDefault="00B31825">
      <w:pPr>
        <w:rPr>
          <w:rFonts w:ascii="Arial" w:eastAsia="Times New Roman" w:hAnsi="Arial" w:cs="Arial"/>
          <w:color w:val="000000"/>
          <w:sz w:val="22"/>
          <w:szCs w:val="22"/>
        </w:rPr>
      </w:pPr>
      <w:r w:rsidRPr="00665CB8">
        <w:rPr>
          <w:rFonts w:ascii="Arial" w:eastAsia="Times New Roman" w:hAnsi="Arial" w:cs="Arial"/>
          <w:color w:val="000000"/>
          <w:sz w:val="22"/>
          <w:szCs w:val="22"/>
        </w:rPr>
        <w:t xml:space="preserve">ParcelCare can improve its reputation by implementing a total reward approach, integrating learning, development, and working environment into a comprehensive benefits </w:t>
      </w:r>
      <w:r w:rsidR="00F96D28" w:rsidRPr="00665CB8">
        <w:rPr>
          <w:rFonts w:ascii="Arial" w:eastAsia="Times New Roman" w:hAnsi="Arial" w:cs="Arial"/>
          <w:color w:val="000000"/>
          <w:sz w:val="22"/>
          <w:szCs w:val="22"/>
        </w:rPr>
        <w:t>package. Armstrong</w:t>
      </w:r>
      <w:r w:rsidR="0047024D" w:rsidRPr="00665CB8">
        <w:rPr>
          <w:rFonts w:ascii="Arial" w:eastAsia="Times New Roman" w:hAnsi="Arial" w:cs="Arial"/>
          <w:color w:val="000000"/>
          <w:sz w:val="22"/>
          <w:szCs w:val="22"/>
        </w:rPr>
        <w:t xml:space="preserve"> (2007)</w:t>
      </w:r>
    </w:p>
    <w:p w14:paraId="778B44CA" w14:textId="3AC828CB" w:rsidR="001E0BD5" w:rsidRPr="00665CB8" w:rsidRDefault="00E60DFE">
      <w:pPr>
        <w:rPr>
          <w:rFonts w:ascii="Arial" w:eastAsia="Times New Roman" w:hAnsi="Arial" w:cs="Arial"/>
          <w:color w:val="000000"/>
          <w:sz w:val="22"/>
          <w:szCs w:val="22"/>
        </w:rPr>
      </w:pPr>
      <w:r w:rsidRPr="00665CB8">
        <w:rPr>
          <w:rFonts w:ascii="Arial" w:eastAsia="Times New Roman" w:hAnsi="Arial" w:cs="Arial"/>
          <w:color w:val="000000"/>
          <w:sz w:val="22"/>
          <w:szCs w:val="22"/>
        </w:rPr>
        <w:t>ParcelCare's approach to the labour market involves 'employer of cash' and 'employer of values'. The company targets low-skilled individuals, overseas workers, and temporary students. The ultimate strategic aim is to be an 'employer of choice', presenting the company in the best possible light.</w:t>
      </w:r>
      <w:r w:rsidR="008E5415" w:rsidRPr="00665CB8">
        <w:rPr>
          <w:rFonts w:ascii="Arial" w:eastAsia="Times New Roman" w:hAnsi="Arial" w:cs="Arial"/>
          <w:color w:val="000000"/>
          <w:sz w:val="22"/>
          <w:szCs w:val="22"/>
        </w:rPr>
        <w:t xml:space="preserve"> Taylor and </w:t>
      </w:r>
      <w:proofErr w:type="spellStart"/>
      <w:r w:rsidR="008E5415" w:rsidRPr="00665CB8">
        <w:rPr>
          <w:rFonts w:ascii="Arial" w:eastAsia="Times New Roman" w:hAnsi="Arial" w:cs="Arial"/>
          <w:color w:val="000000"/>
          <w:sz w:val="22"/>
          <w:szCs w:val="22"/>
        </w:rPr>
        <w:t>Woodhams</w:t>
      </w:r>
      <w:proofErr w:type="spellEnd"/>
      <w:r w:rsidR="008E5415" w:rsidRPr="00665CB8">
        <w:rPr>
          <w:rFonts w:ascii="Arial" w:eastAsia="Times New Roman" w:hAnsi="Arial" w:cs="Arial"/>
          <w:color w:val="000000"/>
          <w:sz w:val="22"/>
          <w:szCs w:val="22"/>
        </w:rPr>
        <w:t xml:space="preserve"> (2016j)</w:t>
      </w:r>
    </w:p>
    <w:p w14:paraId="10E0F492" w14:textId="2FB81C95" w:rsidR="003D040A" w:rsidRPr="00665CB8" w:rsidRDefault="00EB29D6">
      <w:pPr>
        <w:rPr>
          <w:rFonts w:ascii="Arial" w:eastAsia="Times New Roman" w:hAnsi="Arial" w:cs="Arial"/>
          <w:color w:val="000000"/>
          <w:sz w:val="22"/>
          <w:szCs w:val="22"/>
        </w:rPr>
      </w:pPr>
      <w:r w:rsidRPr="00665CB8">
        <w:rPr>
          <w:rFonts w:ascii="Arial" w:eastAsia="Times New Roman" w:hAnsi="Arial" w:cs="Arial"/>
          <w:color w:val="000000"/>
          <w:sz w:val="22"/>
          <w:szCs w:val="22"/>
        </w:rPr>
        <w:t>ParcelCare promotes employee wellbeing by addressing stress and creating positive work environments, focusing on relationships, environment, culture, resources, EDI approach, and work design.</w:t>
      </w:r>
      <w:r w:rsidR="00A52B2C" w:rsidRPr="00665CB8">
        <w:rPr>
          <w:rFonts w:ascii="Arial" w:eastAsia="Times New Roman" w:hAnsi="Arial" w:cs="Arial"/>
          <w:color w:val="000000"/>
          <w:sz w:val="22"/>
          <w:szCs w:val="22"/>
        </w:rPr>
        <w:t xml:space="preserve"> CIPD (2023a)</w:t>
      </w:r>
    </w:p>
    <w:p w14:paraId="58080F4B" w14:textId="5CEEC4EC" w:rsidR="00536928" w:rsidRPr="00665CB8" w:rsidRDefault="00DC7120">
      <w:pPr>
        <w:rPr>
          <w:rFonts w:ascii="Arial" w:eastAsia="Times New Roman" w:hAnsi="Arial" w:cs="Arial"/>
          <w:color w:val="000000"/>
          <w:sz w:val="22"/>
          <w:szCs w:val="22"/>
        </w:rPr>
      </w:pPr>
      <w:r w:rsidRPr="00665CB8">
        <w:rPr>
          <w:rFonts w:ascii="Arial" w:eastAsia="Times New Roman" w:hAnsi="Arial" w:cs="Arial"/>
          <w:color w:val="000000"/>
          <w:sz w:val="22"/>
          <w:szCs w:val="22"/>
        </w:rPr>
        <w:lastRenderedPageBreak/>
        <w:t xml:space="preserve">To successfully implement cultural change at ParcelCare, they should communicate the vision and need for change, engage key stakeholders, and ensure employees understand the benefits of the change. They should avoid immediate </w:t>
      </w:r>
      <w:r w:rsidR="00980278" w:rsidRPr="00665CB8">
        <w:rPr>
          <w:rFonts w:ascii="Arial" w:eastAsia="Times New Roman" w:hAnsi="Arial" w:cs="Arial"/>
          <w:color w:val="000000"/>
          <w:sz w:val="22"/>
          <w:szCs w:val="22"/>
        </w:rPr>
        <w:t>reorganisation</w:t>
      </w:r>
      <w:r w:rsidRPr="00665CB8">
        <w:rPr>
          <w:rFonts w:ascii="Arial" w:eastAsia="Times New Roman" w:hAnsi="Arial" w:cs="Arial"/>
          <w:color w:val="000000"/>
          <w:sz w:val="22"/>
          <w:szCs w:val="22"/>
        </w:rPr>
        <w:t xml:space="preserve"> and clarify the vision, ensuring management roles and systems support </w:t>
      </w:r>
      <w:r w:rsidR="00CF07A2" w:rsidRPr="00665CB8">
        <w:rPr>
          <w:rFonts w:ascii="Arial" w:eastAsia="Times New Roman" w:hAnsi="Arial" w:cs="Arial"/>
          <w:color w:val="000000"/>
          <w:sz w:val="22"/>
          <w:szCs w:val="22"/>
        </w:rPr>
        <w:t>it. CIPD</w:t>
      </w:r>
      <w:r w:rsidR="00125AD7" w:rsidRPr="00665CB8">
        <w:rPr>
          <w:rFonts w:ascii="Arial" w:eastAsia="Times New Roman" w:hAnsi="Arial" w:cs="Arial"/>
          <w:color w:val="000000"/>
          <w:sz w:val="22"/>
          <w:szCs w:val="22"/>
        </w:rPr>
        <w:t xml:space="preserve"> (2023)</w:t>
      </w:r>
    </w:p>
    <w:p w14:paraId="74643E97" w14:textId="42B06EF5" w:rsidR="003E4885" w:rsidRPr="00665CB8" w:rsidRDefault="000E1DB0">
      <w:pPr>
        <w:rPr>
          <w:rStyle w:val="ui-provider"/>
          <w:rFonts w:ascii="Arial" w:hAnsi="Arial" w:cs="Arial"/>
          <w:sz w:val="22"/>
          <w:szCs w:val="22"/>
        </w:rPr>
      </w:pPr>
      <w:r w:rsidRPr="00665CB8">
        <w:rPr>
          <w:rFonts w:ascii="Arial" w:eastAsia="Times New Roman" w:hAnsi="Arial" w:cs="Arial"/>
          <w:color w:val="000000"/>
          <w:sz w:val="22"/>
          <w:szCs w:val="22"/>
        </w:rPr>
        <w:t>ParcelCare plans to invest in technology to enhance business outcomes, workforce engagement, and job quality, ensuring AI's equality, diversity, and inclusion goals are met with caution.</w:t>
      </w:r>
      <w:r w:rsidR="00CF07A2" w:rsidRPr="00665CB8">
        <w:rPr>
          <w:rFonts w:ascii="Arial" w:eastAsia="Times New Roman" w:hAnsi="Arial" w:cs="Arial"/>
          <w:color w:val="000000"/>
          <w:sz w:val="22"/>
          <w:szCs w:val="22"/>
        </w:rPr>
        <w:t xml:space="preserve"> CIPD</w:t>
      </w:r>
      <w:r w:rsidR="00142F20" w:rsidRPr="00665CB8">
        <w:rPr>
          <w:rFonts w:ascii="Arial" w:eastAsia="Times New Roman" w:hAnsi="Arial" w:cs="Arial"/>
          <w:color w:val="000000"/>
          <w:sz w:val="22"/>
          <w:szCs w:val="22"/>
        </w:rPr>
        <w:t xml:space="preserve"> (2021)</w:t>
      </w:r>
    </w:p>
    <w:p w14:paraId="49064860" w14:textId="5FEF2D00" w:rsidR="002D7676" w:rsidRPr="00665CB8" w:rsidRDefault="00CB2028">
      <w:pPr>
        <w:rPr>
          <w:rFonts w:ascii="Arial" w:eastAsia="Times New Roman" w:hAnsi="Arial" w:cs="Arial"/>
          <w:color w:val="000000"/>
          <w:sz w:val="22"/>
          <w:szCs w:val="22"/>
        </w:rPr>
      </w:pPr>
      <w:r w:rsidRPr="00665CB8">
        <w:rPr>
          <w:rFonts w:ascii="Arial" w:eastAsia="Times New Roman" w:hAnsi="Arial" w:cs="Arial"/>
          <w:color w:val="000000"/>
          <w:sz w:val="22"/>
          <w:szCs w:val="22"/>
        </w:rPr>
        <w:t xml:space="preserve">ParcelCare should </w:t>
      </w:r>
      <w:r w:rsidR="00F96D28" w:rsidRPr="00665CB8">
        <w:rPr>
          <w:rFonts w:ascii="Arial" w:eastAsia="Times New Roman" w:hAnsi="Arial" w:cs="Arial"/>
          <w:color w:val="000000"/>
          <w:sz w:val="22"/>
          <w:szCs w:val="22"/>
        </w:rPr>
        <w:t>prioritise</w:t>
      </w:r>
      <w:r w:rsidRPr="00665CB8">
        <w:rPr>
          <w:rFonts w:ascii="Arial" w:eastAsia="Times New Roman" w:hAnsi="Arial" w:cs="Arial"/>
          <w:color w:val="000000"/>
          <w:sz w:val="22"/>
          <w:szCs w:val="22"/>
        </w:rPr>
        <w:t xml:space="preserve"> addressing unethical </w:t>
      </w:r>
      <w:r w:rsidR="00F96D28" w:rsidRPr="00665CB8">
        <w:rPr>
          <w:rFonts w:ascii="Arial" w:eastAsia="Times New Roman" w:hAnsi="Arial" w:cs="Arial"/>
          <w:color w:val="000000"/>
          <w:sz w:val="22"/>
          <w:szCs w:val="22"/>
        </w:rPr>
        <w:t>behaviour</w:t>
      </w:r>
      <w:r w:rsidRPr="00665CB8">
        <w:rPr>
          <w:rFonts w:ascii="Arial" w:eastAsia="Times New Roman" w:hAnsi="Arial" w:cs="Arial"/>
          <w:color w:val="000000"/>
          <w:sz w:val="22"/>
          <w:szCs w:val="22"/>
        </w:rPr>
        <w:t xml:space="preserve"> by implementing shared codes, enforcing them consistently, and conducting regular checks and balances to identify blind spots and </w:t>
      </w:r>
      <w:r w:rsidR="00FE23ED" w:rsidRPr="00665CB8">
        <w:rPr>
          <w:rFonts w:ascii="Arial" w:eastAsia="Times New Roman" w:hAnsi="Arial" w:cs="Arial"/>
          <w:color w:val="000000"/>
          <w:sz w:val="22"/>
          <w:szCs w:val="22"/>
        </w:rPr>
        <w:t>inaction. Russell</w:t>
      </w:r>
      <w:r w:rsidR="001841F3" w:rsidRPr="00665CB8">
        <w:rPr>
          <w:rFonts w:ascii="Arial" w:eastAsia="Times New Roman" w:hAnsi="Arial" w:cs="Arial"/>
          <w:color w:val="000000"/>
          <w:sz w:val="22"/>
          <w:szCs w:val="22"/>
        </w:rPr>
        <w:t xml:space="preserve"> and Weeks (2024)</w:t>
      </w:r>
    </w:p>
    <w:p w14:paraId="15354FC5" w14:textId="3E39FC6D" w:rsidR="0082259B" w:rsidRPr="00AB0C2C" w:rsidRDefault="001F058A">
      <w:pPr>
        <w:rPr>
          <w:rStyle w:val="ui-provider"/>
          <w:rFonts w:ascii="Arial" w:hAnsi="Arial" w:cs="Arial"/>
          <w:sz w:val="22"/>
          <w:szCs w:val="22"/>
        </w:rPr>
      </w:pPr>
      <w:r w:rsidRPr="00665CB8">
        <w:rPr>
          <w:rFonts w:ascii="Arial" w:eastAsia="Times New Roman" w:hAnsi="Arial" w:cs="Arial"/>
          <w:color w:val="000000"/>
          <w:sz w:val="22"/>
          <w:szCs w:val="22"/>
        </w:rPr>
        <w:t>ParcelCare should adopt a reward and culture typology to present themselves to the labour market, targeting low-skilled individuals, overseas workers, and temporary students, aiming to be an employer of choice.</w:t>
      </w:r>
      <w:r w:rsidR="0010399B" w:rsidRPr="00665CB8">
        <w:rPr>
          <w:rStyle w:val="apple-converted-space"/>
          <w:rFonts w:ascii="Arial" w:eastAsia="Times New Roman" w:hAnsi="Arial" w:cs="Arial"/>
          <w:color w:val="000000"/>
          <w:sz w:val="22"/>
          <w:szCs w:val="22"/>
        </w:rPr>
        <w:t> </w:t>
      </w:r>
      <w:r w:rsidR="000E00A6" w:rsidRPr="00665CB8">
        <w:rPr>
          <w:rFonts w:ascii="Arial" w:eastAsia="Times New Roman" w:hAnsi="Arial" w:cs="Arial"/>
          <w:color w:val="000000"/>
          <w:sz w:val="22"/>
          <w:szCs w:val="22"/>
        </w:rPr>
        <w:t xml:space="preserve">Taylor and </w:t>
      </w:r>
      <w:proofErr w:type="spellStart"/>
      <w:r w:rsidR="000E00A6" w:rsidRPr="00665CB8">
        <w:rPr>
          <w:rFonts w:ascii="Arial" w:eastAsia="Times New Roman" w:hAnsi="Arial" w:cs="Arial"/>
          <w:color w:val="000000"/>
          <w:sz w:val="22"/>
          <w:szCs w:val="22"/>
        </w:rPr>
        <w:t>Woodhams</w:t>
      </w:r>
      <w:proofErr w:type="spellEnd"/>
      <w:r w:rsidR="000E00A6" w:rsidRPr="00665CB8">
        <w:rPr>
          <w:rFonts w:ascii="Arial" w:eastAsia="Times New Roman" w:hAnsi="Arial" w:cs="Arial"/>
          <w:color w:val="000000"/>
          <w:sz w:val="22"/>
          <w:szCs w:val="22"/>
        </w:rPr>
        <w:t xml:space="preserve"> (2016e)</w:t>
      </w:r>
    </w:p>
    <w:p w14:paraId="1B0ABE27" w14:textId="77777777" w:rsidR="00DA7FEF" w:rsidRDefault="00CE68F5">
      <w:pPr>
        <w:rPr>
          <w:rFonts w:ascii="-webkit-standard" w:eastAsia="Times New Roman" w:hAnsi="-webkit-standard"/>
          <w:color w:val="000000"/>
          <w:sz w:val="27"/>
          <w:szCs w:val="27"/>
        </w:rPr>
      </w:pPr>
      <w:r w:rsidRPr="009B4FE8">
        <w:rPr>
          <w:rStyle w:val="ui-provider"/>
          <w:rFonts w:ascii="Arial" w:hAnsi="Arial" w:cs="Arial"/>
          <w:color w:val="215E99" w:themeColor="text2" w:themeTint="BF"/>
          <w:sz w:val="22"/>
          <w:szCs w:val="22"/>
        </w:rPr>
        <w:t>2.Explain the impact of changing labour market conditions on resourcing decisions at ParcelCare. (AC 1.2)</w:t>
      </w:r>
      <w:r w:rsidR="00DA7FEF" w:rsidRPr="00DA7FEF">
        <w:rPr>
          <w:rFonts w:ascii="-webkit-standard" w:eastAsia="Times New Roman" w:hAnsi="-webkit-standard"/>
          <w:color w:val="000000"/>
          <w:sz w:val="27"/>
          <w:szCs w:val="27"/>
        </w:rPr>
        <w:t xml:space="preserve"> </w:t>
      </w:r>
    </w:p>
    <w:p w14:paraId="210C0436" w14:textId="159BCD39" w:rsidR="005752D9" w:rsidRPr="00B85F12" w:rsidRDefault="001034C5">
      <w:pPr>
        <w:rPr>
          <w:rFonts w:ascii="Arial" w:eastAsia="Times New Roman" w:hAnsi="Arial" w:cs="Arial"/>
          <w:color w:val="000000"/>
          <w:sz w:val="22"/>
          <w:szCs w:val="22"/>
        </w:rPr>
      </w:pPr>
      <w:r w:rsidRPr="00B85F12">
        <w:rPr>
          <w:rFonts w:ascii="Arial" w:eastAsia="Times New Roman" w:hAnsi="Arial" w:cs="Arial"/>
          <w:color w:val="000000"/>
          <w:sz w:val="22"/>
          <w:szCs w:val="22"/>
        </w:rPr>
        <w:t>According to the CIPD Outlook for Winter 23–24, 91% of private sector businesses intend to reduce worker levels within the next three months, and net employment balance fell from 26 to 22. Employers in the public sector have twice as many plans, and 38% of them have difficult-to-fill positions. CIPD (2024c)</w:t>
      </w:r>
    </w:p>
    <w:p w14:paraId="05CCC267" w14:textId="62D80358" w:rsidR="0045557C" w:rsidRPr="00B85F12" w:rsidRDefault="00322303">
      <w:pPr>
        <w:rPr>
          <w:rStyle w:val="ui-provider"/>
          <w:rFonts w:ascii="Arial" w:hAnsi="Arial" w:cs="Arial"/>
          <w:color w:val="215E99" w:themeColor="text2" w:themeTint="BF"/>
          <w:sz w:val="22"/>
          <w:szCs w:val="22"/>
        </w:rPr>
      </w:pPr>
      <w:r w:rsidRPr="00B85F12">
        <w:rPr>
          <w:rFonts w:ascii="Arial" w:eastAsia="Times New Roman" w:hAnsi="Arial" w:cs="Arial"/>
          <w:color w:val="000000"/>
          <w:sz w:val="22"/>
          <w:szCs w:val="22"/>
        </w:rPr>
        <w:t>The recruitment process depends on the labor market, with tight markets having more job opportunities and looser ones having fewer. Employers must employ creative strategies like branding, retention, and resource planning to create a company personality.</w:t>
      </w:r>
      <w:r w:rsidR="006929C3" w:rsidRPr="00B85F12">
        <w:rPr>
          <w:rFonts w:ascii="Arial" w:eastAsia="Times New Roman" w:hAnsi="Arial" w:cs="Arial"/>
          <w:color w:val="000000"/>
          <w:sz w:val="22"/>
          <w:szCs w:val="22"/>
        </w:rPr>
        <w:t xml:space="preserve"> Taylor and </w:t>
      </w:r>
      <w:proofErr w:type="spellStart"/>
      <w:r w:rsidR="006929C3" w:rsidRPr="00B85F12">
        <w:rPr>
          <w:rFonts w:ascii="Arial" w:eastAsia="Times New Roman" w:hAnsi="Arial" w:cs="Arial"/>
          <w:color w:val="000000"/>
          <w:sz w:val="22"/>
          <w:szCs w:val="22"/>
        </w:rPr>
        <w:t>Woodhams</w:t>
      </w:r>
      <w:proofErr w:type="spellEnd"/>
      <w:r w:rsidR="006929C3" w:rsidRPr="00B85F12">
        <w:rPr>
          <w:rFonts w:ascii="Arial" w:eastAsia="Times New Roman" w:hAnsi="Arial" w:cs="Arial"/>
          <w:color w:val="000000"/>
          <w:sz w:val="22"/>
          <w:szCs w:val="22"/>
        </w:rPr>
        <w:t xml:space="preserve"> (2016</w:t>
      </w:r>
      <w:r w:rsidR="009A551F" w:rsidRPr="00B85F12">
        <w:rPr>
          <w:rFonts w:ascii="Arial" w:eastAsia="Times New Roman" w:hAnsi="Arial" w:cs="Arial"/>
          <w:color w:val="000000"/>
          <w:sz w:val="22"/>
          <w:szCs w:val="22"/>
        </w:rPr>
        <w:t>a</w:t>
      </w:r>
      <w:r w:rsidR="006929C3" w:rsidRPr="00B85F12">
        <w:rPr>
          <w:rFonts w:ascii="Arial" w:eastAsia="Times New Roman" w:hAnsi="Arial" w:cs="Arial"/>
          <w:color w:val="000000"/>
          <w:sz w:val="22"/>
          <w:szCs w:val="22"/>
        </w:rPr>
        <w:t>)</w:t>
      </w:r>
    </w:p>
    <w:p w14:paraId="12134AAB" w14:textId="3E7E6DA0" w:rsidR="00AD6886" w:rsidRPr="00B85F12" w:rsidRDefault="00F61508">
      <w:pPr>
        <w:rPr>
          <w:rFonts w:ascii="Arial" w:eastAsia="Times New Roman" w:hAnsi="Arial" w:cs="Arial"/>
          <w:color w:val="000000"/>
          <w:sz w:val="22"/>
          <w:szCs w:val="22"/>
        </w:rPr>
      </w:pPr>
      <w:r w:rsidRPr="00B85F12">
        <w:rPr>
          <w:rFonts w:ascii="Arial" w:eastAsia="Times New Roman" w:hAnsi="Arial" w:cs="Arial"/>
          <w:color w:val="000000"/>
          <w:sz w:val="22"/>
          <w:szCs w:val="22"/>
        </w:rPr>
        <w:t>The labour market comprises diverse sources of potential employees, including local, national, international, and retired individuals. Companies develop recruitment strategies based on these markets, influenced by economic context, demographic changes, political changes, legislative changes, technological developments, and natural disasters.</w:t>
      </w:r>
      <w:r w:rsidR="00893EF4" w:rsidRPr="00B85F12">
        <w:rPr>
          <w:rFonts w:ascii="Arial" w:eastAsia="Times New Roman" w:hAnsi="Arial" w:cs="Arial"/>
          <w:color w:val="000000"/>
          <w:sz w:val="22"/>
          <w:szCs w:val="22"/>
        </w:rPr>
        <w:t xml:space="preserve"> Taylor and </w:t>
      </w:r>
      <w:proofErr w:type="spellStart"/>
      <w:r w:rsidR="00893EF4" w:rsidRPr="00B85F12">
        <w:rPr>
          <w:rFonts w:ascii="Arial" w:eastAsia="Times New Roman" w:hAnsi="Arial" w:cs="Arial"/>
          <w:color w:val="000000"/>
          <w:sz w:val="22"/>
          <w:szCs w:val="22"/>
        </w:rPr>
        <w:t>Woodhams</w:t>
      </w:r>
      <w:proofErr w:type="spellEnd"/>
      <w:r w:rsidR="00893EF4" w:rsidRPr="00B85F12">
        <w:rPr>
          <w:rFonts w:ascii="Arial" w:eastAsia="Times New Roman" w:hAnsi="Arial" w:cs="Arial"/>
          <w:color w:val="000000"/>
          <w:sz w:val="22"/>
          <w:szCs w:val="22"/>
        </w:rPr>
        <w:t xml:space="preserve"> (2016b)</w:t>
      </w:r>
    </w:p>
    <w:p w14:paraId="02A75A03" w14:textId="4F870DD5" w:rsidR="003C58FD" w:rsidRPr="00B85F12" w:rsidRDefault="00D834A7">
      <w:pPr>
        <w:rPr>
          <w:rFonts w:ascii="Arial" w:eastAsia="Times New Roman" w:hAnsi="Arial" w:cs="Arial"/>
          <w:color w:val="000000"/>
          <w:sz w:val="22"/>
          <w:szCs w:val="22"/>
        </w:rPr>
      </w:pPr>
      <w:r w:rsidRPr="00B85F12">
        <w:rPr>
          <w:rFonts w:ascii="Arial" w:eastAsia="Times New Roman" w:hAnsi="Arial" w:cs="Arial"/>
          <w:color w:val="000000"/>
          <w:sz w:val="22"/>
          <w:szCs w:val="22"/>
        </w:rPr>
        <w:t>ParcelCare should develop a recruitment strategy that defines their corporate brand, treats candidates as customers, uses social media effectively, and reflects the company's culture in job ads, thereby attracting and retaining top talent, thereby fostering a more productive workforce.</w:t>
      </w:r>
      <w:r w:rsidR="00410975" w:rsidRPr="00B85F12">
        <w:rPr>
          <w:rFonts w:ascii="Arial" w:eastAsia="Times New Roman" w:hAnsi="Arial" w:cs="Arial"/>
          <w:color w:val="000000"/>
          <w:sz w:val="22"/>
          <w:szCs w:val="22"/>
        </w:rPr>
        <w:t xml:space="preserve"> (Leonard, 2023)</w:t>
      </w:r>
    </w:p>
    <w:p w14:paraId="1E81D6AD" w14:textId="182BCFB4" w:rsidR="005255D0" w:rsidRPr="00B85F12" w:rsidRDefault="005C1843">
      <w:pPr>
        <w:rPr>
          <w:rFonts w:ascii="Arial" w:eastAsia="Times New Roman" w:hAnsi="Arial" w:cs="Arial"/>
          <w:color w:val="000000"/>
          <w:sz w:val="22"/>
          <w:szCs w:val="22"/>
        </w:rPr>
      </w:pPr>
      <w:r w:rsidRPr="00B85F12">
        <w:rPr>
          <w:rFonts w:ascii="Arial" w:eastAsia="Times New Roman" w:hAnsi="Arial" w:cs="Arial"/>
          <w:color w:val="000000"/>
          <w:sz w:val="22"/>
          <w:szCs w:val="22"/>
        </w:rPr>
        <w:t xml:space="preserve">ParcelCare should conduct a skills audit to identify gaps in their workforce. This involves creating a competency framework, assessing current employees, and </w:t>
      </w:r>
      <w:r w:rsidR="00F96D28" w:rsidRPr="00B85F12">
        <w:rPr>
          <w:rFonts w:ascii="Arial" w:eastAsia="Times New Roman" w:hAnsi="Arial" w:cs="Arial"/>
          <w:color w:val="000000"/>
          <w:sz w:val="22"/>
          <w:szCs w:val="22"/>
        </w:rPr>
        <w:t>summarising</w:t>
      </w:r>
      <w:r w:rsidRPr="00B85F12">
        <w:rPr>
          <w:rFonts w:ascii="Arial" w:eastAsia="Times New Roman" w:hAnsi="Arial" w:cs="Arial"/>
          <w:color w:val="000000"/>
          <w:sz w:val="22"/>
          <w:szCs w:val="22"/>
        </w:rPr>
        <w:t xml:space="preserve"> results. It also identifies external sources of skills, such as local labor markets, outsourcing, and collaborations.</w:t>
      </w:r>
      <w:r w:rsidR="00ED093E" w:rsidRPr="00B85F12">
        <w:rPr>
          <w:rFonts w:ascii="Arial" w:eastAsia="Times New Roman" w:hAnsi="Arial" w:cs="Arial"/>
          <w:color w:val="000000"/>
          <w:sz w:val="22"/>
          <w:szCs w:val="22"/>
        </w:rPr>
        <w:t xml:space="preserve"> Taylor and </w:t>
      </w:r>
      <w:proofErr w:type="spellStart"/>
      <w:r w:rsidR="00ED093E" w:rsidRPr="00B85F12">
        <w:rPr>
          <w:rFonts w:ascii="Arial" w:eastAsia="Times New Roman" w:hAnsi="Arial" w:cs="Arial"/>
          <w:color w:val="000000"/>
          <w:sz w:val="22"/>
          <w:szCs w:val="22"/>
        </w:rPr>
        <w:t>Woodhams</w:t>
      </w:r>
      <w:proofErr w:type="spellEnd"/>
      <w:r w:rsidR="00ED093E" w:rsidRPr="00B85F12">
        <w:rPr>
          <w:rFonts w:ascii="Arial" w:eastAsia="Times New Roman" w:hAnsi="Arial" w:cs="Arial"/>
          <w:color w:val="000000"/>
          <w:sz w:val="22"/>
          <w:szCs w:val="22"/>
        </w:rPr>
        <w:t xml:space="preserve"> (2016c)</w:t>
      </w:r>
    </w:p>
    <w:p w14:paraId="4A79259D" w14:textId="5483AC13" w:rsidR="00DE483D" w:rsidRPr="00B85F12" w:rsidRDefault="002346E7">
      <w:pPr>
        <w:rPr>
          <w:rFonts w:ascii="Arial" w:eastAsia="Times New Roman" w:hAnsi="Arial" w:cs="Arial"/>
          <w:color w:val="000000"/>
          <w:sz w:val="22"/>
          <w:szCs w:val="22"/>
        </w:rPr>
      </w:pPr>
      <w:r w:rsidRPr="00B85F12">
        <w:rPr>
          <w:rFonts w:ascii="Arial" w:eastAsia="Times New Roman" w:hAnsi="Arial" w:cs="Arial"/>
          <w:color w:val="000000"/>
          <w:sz w:val="22"/>
          <w:szCs w:val="22"/>
        </w:rPr>
        <w:t xml:space="preserve">Succession planning ensures an </w:t>
      </w:r>
      <w:r w:rsidR="00FE23ED" w:rsidRPr="00B85F12">
        <w:rPr>
          <w:rFonts w:ascii="Arial" w:eastAsia="Times New Roman" w:hAnsi="Arial" w:cs="Arial"/>
          <w:color w:val="000000"/>
          <w:sz w:val="22"/>
          <w:szCs w:val="22"/>
        </w:rPr>
        <w:t>organisation</w:t>
      </w:r>
      <w:r w:rsidRPr="00B85F12">
        <w:rPr>
          <w:rFonts w:ascii="Arial" w:eastAsia="Times New Roman" w:hAnsi="Arial" w:cs="Arial"/>
          <w:color w:val="000000"/>
          <w:sz w:val="22"/>
          <w:szCs w:val="22"/>
        </w:rPr>
        <w:t xml:space="preserve"> has sufficient skilled individuals for next-level roles, balancing talent needs with appraisal meetings and development activities</w:t>
      </w:r>
      <w:r w:rsidR="00DE483D" w:rsidRPr="00B85F12">
        <w:rPr>
          <w:rFonts w:ascii="Arial" w:eastAsia="Times New Roman" w:hAnsi="Arial" w:cs="Arial"/>
          <w:color w:val="000000"/>
          <w:sz w:val="22"/>
          <w:szCs w:val="22"/>
        </w:rPr>
        <w:t>.</w:t>
      </w:r>
      <w:r w:rsidR="004F4074" w:rsidRPr="00B85F12">
        <w:rPr>
          <w:rFonts w:ascii="Arial" w:eastAsia="Times New Roman" w:hAnsi="Arial" w:cs="Arial"/>
          <w:color w:val="000000"/>
          <w:sz w:val="22"/>
          <w:szCs w:val="22"/>
        </w:rPr>
        <w:t xml:space="preserve"> Taylor and </w:t>
      </w:r>
      <w:proofErr w:type="spellStart"/>
      <w:r w:rsidR="004F4074" w:rsidRPr="00B85F12">
        <w:rPr>
          <w:rFonts w:ascii="Arial" w:eastAsia="Times New Roman" w:hAnsi="Arial" w:cs="Arial"/>
          <w:color w:val="000000"/>
          <w:sz w:val="22"/>
          <w:szCs w:val="22"/>
        </w:rPr>
        <w:t>Woodhams</w:t>
      </w:r>
      <w:proofErr w:type="spellEnd"/>
      <w:r w:rsidR="004F4074" w:rsidRPr="00B85F12">
        <w:rPr>
          <w:rFonts w:ascii="Arial" w:eastAsia="Times New Roman" w:hAnsi="Arial" w:cs="Arial"/>
          <w:color w:val="000000"/>
          <w:sz w:val="22"/>
          <w:szCs w:val="22"/>
        </w:rPr>
        <w:t xml:space="preserve"> (2016c)</w:t>
      </w:r>
    </w:p>
    <w:p w14:paraId="3BAF8A4D" w14:textId="204DDE14" w:rsidR="005241FA" w:rsidRPr="00B85F12" w:rsidRDefault="005241FA">
      <w:pPr>
        <w:rPr>
          <w:rFonts w:ascii="Arial" w:eastAsia="Times New Roman" w:hAnsi="Arial" w:cs="Arial"/>
          <w:color w:val="000000"/>
          <w:sz w:val="22"/>
          <w:szCs w:val="22"/>
        </w:rPr>
      </w:pPr>
      <w:r w:rsidRPr="00B85F12">
        <w:rPr>
          <w:rFonts w:ascii="Arial" w:eastAsia="Times New Roman" w:hAnsi="Arial" w:cs="Arial"/>
          <w:color w:val="000000"/>
          <w:sz w:val="22"/>
          <w:szCs w:val="22"/>
        </w:rPr>
        <w:t xml:space="preserve">Hybrid working has both advantages and challenges for people management, especially for </w:t>
      </w:r>
      <w:r w:rsidR="002B305B" w:rsidRPr="00B85F12">
        <w:rPr>
          <w:rFonts w:ascii="Arial" w:eastAsia="Times New Roman" w:hAnsi="Arial" w:cs="Arial"/>
          <w:color w:val="000000"/>
          <w:sz w:val="22"/>
          <w:szCs w:val="22"/>
        </w:rPr>
        <w:t>organisations</w:t>
      </w:r>
      <w:r w:rsidRPr="00B85F12">
        <w:rPr>
          <w:rFonts w:ascii="Arial" w:eastAsia="Times New Roman" w:hAnsi="Arial" w:cs="Arial"/>
          <w:color w:val="000000"/>
          <w:sz w:val="22"/>
          <w:szCs w:val="22"/>
        </w:rPr>
        <w:t xml:space="preserve"> operating across regions. It's crucial to understand potential risks, collect data, </w:t>
      </w:r>
      <w:r w:rsidRPr="00B85F12">
        <w:rPr>
          <w:rFonts w:ascii="Arial" w:eastAsia="Times New Roman" w:hAnsi="Arial" w:cs="Arial"/>
          <w:color w:val="000000"/>
          <w:sz w:val="22"/>
          <w:szCs w:val="22"/>
        </w:rPr>
        <w:lastRenderedPageBreak/>
        <w:t>consult employees, and adapt strategies to ensure employee wellbeing, culture, and talent retention.</w:t>
      </w:r>
      <w:r w:rsidR="00AB4909" w:rsidRPr="00B85F12">
        <w:rPr>
          <w:rFonts w:ascii="Arial" w:eastAsia="Times New Roman" w:hAnsi="Arial" w:cs="Arial"/>
          <w:color w:val="000000"/>
          <w:sz w:val="22"/>
          <w:szCs w:val="22"/>
        </w:rPr>
        <w:t xml:space="preserve"> (Peters, 2024)</w:t>
      </w:r>
    </w:p>
    <w:p w14:paraId="565EB879" w14:textId="7BFCD205" w:rsidR="00AF176C" w:rsidRPr="00B85F12" w:rsidRDefault="00F857F8">
      <w:pPr>
        <w:rPr>
          <w:rFonts w:ascii="Arial" w:eastAsia="Times New Roman" w:hAnsi="Arial" w:cs="Arial"/>
          <w:color w:val="000000"/>
          <w:sz w:val="22"/>
          <w:szCs w:val="22"/>
        </w:rPr>
      </w:pPr>
      <w:r w:rsidRPr="00B85F12">
        <w:rPr>
          <w:rFonts w:ascii="Arial" w:eastAsia="Times New Roman" w:hAnsi="Arial" w:cs="Arial"/>
          <w:color w:val="000000"/>
          <w:sz w:val="22"/>
          <w:szCs w:val="22"/>
        </w:rPr>
        <w:t>Hybrid working enhances productivity and engagement by promoting team discussions about personal preferences. It balances office and remote work, ensuring inclusivity and fairness. Guidelines and information on hybrid work opportunities are crucial. However, the number of flexible workers has plateaued, and most jobs aren't advertised as flexible.</w:t>
      </w:r>
      <w:r w:rsidR="00C0634D" w:rsidRPr="00B85F12">
        <w:rPr>
          <w:rFonts w:ascii="Arial" w:eastAsia="Times New Roman" w:hAnsi="Arial" w:cs="Arial"/>
          <w:color w:val="000000"/>
          <w:sz w:val="22"/>
          <w:szCs w:val="22"/>
        </w:rPr>
        <w:t>CIPD (2019)</w:t>
      </w:r>
    </w:p>
    <w:p w14:paraId="73CE4822" w14:textId="0C2770FA" w:rsidR="009830D5" w:rsidRDefault="00B85F12">
      <w:pPr>
        <w:rPr>
          <w:rFonts w:ascii="Arial" w:eastAsia="Times New Roman" w:hAnsi="Arial" w:cs="Arial"/>
          <w:color w:val="000000"/>
          <w:sz w:val="22"/>
          <w:szCs w:val="22"/>
        </w:rPr>
      </w:pPr>
      <w:r w:rsidRPr="00B85F12">
        <w:rPr>
          <w:rFonts w:ascii="Arial" w:eastAsia="Times New Roman" w:hAnsi="Arial" w:cs="Arial"/>
          <w:color w:val="000000"/>
          <w:sz w:val="22"/>
          <w:szCs w:val="22"/>
        </w:rPr>
        <w:t>ParcelCare should invest in a financial wellbeing policy to improve employee mental and physical wellbeing, ensuring fair pay and reducing stress, making it a standout in the labour market.</w:t>
      </w:r>
      <w:r w:rsidR="008A65B2" w:rsidRPr="00B85F12">
        <w:rPr>
          <w:rFonts w:ascii="Arial" w:eastAsia="Times New Roman" w:hAnsi="Arial" w:cs="Arial"/>
          <w:color w:val="000000"/>
          <w:sz w:val="22"/>
          <w:szCs w:val="22"/>
        </w:rPr>
        <w:t>CIPD (2022</w:t>
      </w:r>
      <w:r w:rsidR="008D6357" w:rsidRPr="00B85F12">
        <w:rPr>
          <w:rFonts w:ascii="Arial" w:eastAsia="Times New Roman" w:hAnsi="Arial" w:cs="Arial"/>
          <w:color w:val="000000"/>
          <w:sz w:val="22"/>
          <w:szCs w:val="22"/>
        </w:rPr>
        <w:t>)</w:t>
      </w:r>
    </w:p>
    <w:p w14:paraId="69F21450" w14:textId="67A93234" w:rsidR="00C8572D" w:rsidRDefault="00EF5DA7" w:rsidP="00F22F9D">
      <w:pPr>
        <w:spacing w:line="264" w:lineRule="auto"/>
        <w:ind w:left="360"/>
        <w:divId w:val="201016118"/>
        <w:rPr>
          <w:rFonts w:ascii="Arial" w:eastAsia="Arial" w:hAnsi="Arial" w:cs="Arial"/>
          <w:color w:val="215E99" w:themeColor="text2" w:themeTint="BF"/>
          <w:kern w:val="0"/>
          <w:sz w:val="22"/>
          <w:szCs w:val="22"/>
          <w:u w:color="000000"/>
          <w:lang w:val="en-US"/>
          <w14:ligatures w14:val="none"/>
        </w:rPr>
      </w:pPr>
      <w:r>
        <w:rPr>
          <w:rFonts w:ascii="Arial" w:eastAsia="Arial" w:hAnsi="Arial" w:cs="Arial"/>
          <w:color w:val="215E99" w:themeColor="text2" w:themeTint="BF"/>
          <w:kern w:val="0"/>
          <w:sz w:val="22"/>
          <w:szCs w:val="22"/>
          <w:u w:color="000000"/>
          <w:lang w:val="en-US"/>
          <w14:ligatures w14:val="none"/>
        </w:rPr>
        <w:t>3.</w:t>
      </w:r>
      <w:r w:rsidR="008D6357" w:rsidRPr="008D6357">
        <w:rPr>
          <w:rFonts w:ascii="Arial" w:eastAsia="Arial" w:hAnsi="Arial" w:cs="Arial"/>
          <w:color w:val="215E99" w:themeColor="text2" w:themeTint="BF"/>
          <w:kern w:val="0"/>
          <w:sz w:val="22"/>
          <w:szCs w:val="22"/>
          <w:u w:color="000000"/>
          <w:lang w:val="en-US"/>
          <w14:ligatures w14:val="none"/>
        </w:rPr>
        <w:t xml:space="preserve">You are aware that workforce planning has not </w:t>
      </w:r>
      <w:bookmarkStart w:id="0" w:name="_Int_ifVT1EIA"/>
      <w:r w:rsidR="008D6357" w:rsidRPr="008D6357">
        <w:rPr>
          <w:rFonts w:ascii="Arial" w:eastAsia="Arial" w:hAnsi="Arial" w:cs="Arial"/>
          <w:color w:val="215E99" w:themeColor="text2" w:themeTint="BF"/>
          <w:kern w:val="0"/>
          <w:sz w:val="22"/>
          <w:szCs w:val="22"/>
          <w:u w:color="000000"/>
          <w:lang w:val="en-US"/>
          <w14:ligatures w14:val="none"/>
        </w:rPr>
        <w:t>been carried</w:t>
      </w:r>
      <w:bookmarkEnd w:id="0"/>
      <w:r w:rsidR="008D6357" w:rsidRPr="008D6357">
        <w:rPr>
          <w:rFonts w:ascii="Arial" w:eastAsia="Arial" w:hAnsi="Arial" w:cs="Arial"/>
          <w:color w:val="215E99" w:themeColor="text2" w:themeTint="BF"/>
          <w:kern w:val="0"/>
          <w:sz w:val="22"/>
          <w:szCs w:val="22"/>
          <w:u w:color="000000"/>
          <w:lang w:val="en-US"/>
          <w14:ligatures w14:val="none"/>
        </w:rPr>
        <w:t xml:space="preserve"> out in the past and decide to persuade the senior leadership team that this activity is worth doing.</w:t>
      </w:r>
      <w:r w:rsidR="00CD71B8">
        <w:rPr>
          <w:rFonts w:ascii="Arial" w:eastAsia="Arial" w:hAnsi="Arial" w:cs="Arial"/>
          <w:color w:val="215E99" w:themeColor="text2" w:themeTint="BF"/>
          <w:kern w:val="0"/>
          <w:sz w:val="22"/>
          <w:szCs w:val="22"/>
          <w:u w:color="000000"/>
          <w:lang w:val="en-US"/>
          <w14:ligatures w14:val="none"/>
        </w:rPr>
        <w:t xml:space="preserve"> </w:t>
      </w:r>
      <w:r w:rsidR="0062146A" w:rsidRPr="008D6357">
        <w:rPr>
          <w:rFonts w:ascii="Arial" w:eastAsia="Arial" w:hAnsi="Arial" w:cs="Arial"/>
          <w:color w:val="215E99" w:themeColor="text2" w:themeTint="BF"/>
          <w:kern w:val="0"/>
          <w:sz w:val="22"/>
          <w:szCs w:val="22"/>
          <w:u w:color="000000"/>
          <w:lang w:val="en-US"/>
          <w14:ligatures w14:val="none"/>
        </w:rPr>
        <w:t>Analy</w:t>
      </w:r>
      <w:r w:rsidR="0062146A">
        <w:rPr>
          <w:rFonts w:ascii="Arial" w:eastAsia="Arial" w:hAnsi="Arial" w:cs="Arial"/>
          <w:color w:val="215E99" w:themeColor="text2" w:themeTint="BF"/>
          <w:kern w:val="0"/>
          <w:sz w:val="22"/>
          <w:szCs w:val="22"/>
          <w:u w:color="000000"/>
          <w:lang w:val="en-US"/>
          <w14:ligatures w14:val="none"/>
        </w:rPr>
        <w:t>se</w:t>
      </w:r>
      <w:r w:rsidR="008D6357" w:rsidRPr="008D6357">
        <w:rPr>
          <w:rFonts w:ascii="Arial" w:eastAsia="Arial" w:hAnsi="Arial" w:cs="Arial"/>
          <w:color w:val="215E99" w:themeColor="text2" w:themeTint="BF"/>
          <w:kern w:val="0"/>
          <w:sz w:val="22"/>
          <w:szCs w:val="22"/>
          <w:u w:color="000000"/>
          <w:lang w:val="en-US"/>
          <w14:ligatures w14:val="none"/>
        </w:rPr>
        <w:t xml:space="preserve"> the impact of effective workforce planning, making clear how ParcelCare could </w:t>
      </w:r>
      <w:bookmarkStart w:id="1" w:name="_Int_fj6S5H3J"/>
      <w:r w:rsidR="008D6357" w:rsidRPr="008D6357">
        <w:rPr>
          <w:rFonts w:ascii="Arial" w:eastAsia="Arial" w:hAnsi="Arial" w:cs="Arial"/>
          <w:color w:val="215E99" w:themeColor="text2" w:themeTint="BF"/>
          <w:kern w:val="0"/>
          <w:sz w:val="22"/>
          <w:szCs w:val="22"/>
          <w:u w:color="000000"/>
          <w:lang w:val="en-US"/>
          <w14:ligatures w14:val="none"/>
        </w:rPr>
        <w:t>benefit</w:t>
      </w:r>
      <w:bookmarkEnd w:id="1"/>
      <w:r w:rsidR="008D6357" w:rsidRPr="008D6357">
        <w:rPr>
          <w:rFonts w:ascii="Arial" w:eastAsia="Arial" w:hAnsi="Arial" w:cs="Arial"/>
          <w:color w:val="215E99" w:themeColor="text2" w:themeTint="BF"/>
          <w:kern w:val="0"/>
          <w:sz w:val="22"/>
          <w:szCs w:val="22"/>
          <w:u w:color="000000"/>
          <w:lang w:val="en-US"/>
          <w14:ligatures w14:val="none"/>
        </w:rPr>
        <w:t xml:space="preserve"> from this activity. (AC 2.1)</w:t>
      </w:r>
    </w:p>
    <w:p w14:paraId="7C6F00CB" w14:textId="67A2E196" w:rsidR="00C8572D" w:rsidRPr="007834F2" w:rsidRDefault="00CD50ED" w:rsidP="00CD71B8">
      <w:pPr>
        <w:spacing w:line="264" w:lineRule="auto"/>
        <w:divId w:val="201016118"/>
        <w:rPr>
          <w:rFonts w:ascii="Arial" w:eastAsia="Arial" w:hAnsi="Arial" w:cs="Arial"/>
          <w:color w:val="215E99" w:themeColor="text2" w:themeTint="BF"/>
          <w:kern w:val="0"/>
          <w:sz w:val="22"/>
          <w:szCs w:val="22"/>
          <w:u w:color="000000"/>
          <w:lang w:val="en-US"/>
          <w14:ligatures w14:val="none"/>
        </w:rPr>
      </w:pPr>
      <w:r w:rsidRPr="007834F2">
        <w:rPr>
          <w:rFonts w:ascii="Arial" w:eastAsia="Times New Roman" w:hAnsi="Arial" w:cs="Arial"/>
          <w:color w:val="000000"/>
          <w:sz w:val="22"/>
          <w:szCs w:val="22"/>
        </w:rPr>
        <w:t xml:space="preserve">Workforce planning is a strategic process that balances labour supply and demand, ensuring an </w:t>
      </w:r>
      <w:r w:rsidR="00450C0D" w:rsidRPr="007834F2">
        <w:rPr>
          <w:rFonts w:ascii="Arial" w:eastAsia="Times New Roman" w:hAnsi="Arial" w:cs="Arial"/>
          <w:color w:val="000000"/>
          <w:sz w:val="22"/>
          <w:szCs w:val="22"/>
        </w:rPr>
        <w:t>organisation</w:t>
      </w:r>
      <w:r w:rsidRPr="007834F2">
        <w:rPr>
          <w:rFonts w:ascii="Arial" w:eastAsia="Times New Roman" w:hAnsi="Arial" w:cs="Arial"/>
          <w:color w:val="000000"/>
          <w:sz w:val="22"/>
          <w:szCs w:val="22"/>
        </w:rPr>
        <w:t xml:space="preserve"> achieves its mission, goals, and strategic objectives. It helps reduce costs, respond to customer needs, and improve employee retention, productivity, and work-life balance.</w:t>
      </w:r>
      <w:r w:rsidR="005100B3" w:rsidRPr="007834F2">
        <w:rPr>
          <w:rFonts w:ascii="Arial" w:eastAsia="Times New Roman" w:hAnsi="Arial" w:cs="Arial"/>
          <w:color w:val="000000"/>
          <w:sz w:val="22"/>
          <w:szCs w:val="22"/>
        </w:rPr>
        <w:t xml:space="preserve"> CIPD (2023c)</w:t>
      </w:r>
    </w:p>
    <w:p w14:paraId="34031723" w14:textId="2F12637A" w:rsidR="004F64ED" w:rsidRPr="007834F2" w:rsidRDefault="004F64ED" w:rsidP="0062146A">
      <w:pPr>
        <w:spacing w:line="264" w:lineRule="auto"/>
        <w:divId w:val="201016118"/>
        <w:rPr>
          <w:rFonts w:ascii="Arial" w:eastAsia="Times New Roman" w:hAnsi="Arial" w:cs="Arial"/>
          <w:color w:val="000000"/>
          <w:sz w:val="22"/>
          <w:szCs w:val="22"/>
        </w:rPr>
      </w:pPr>
      <w:r w:rsidRPr="007834F2">
        <w:rPr>
          <w:rFonts w:ascii="Arial" w:eastAsia="Times New Roman" w:hAnsi="Arial" w:cs="Arial"/>
          <w:color w:val="000000"/>
          <w:sz w:val="22"/>
          <w:szCs w:val="22"/>
        </w:rPr>
        <w:t xml:space="preserve">ParcelCare senior leadership should </w:t>
      </w:r>
      <w:r w:rsidR="00584E71" w:rsidRPr="007834F2">
        <w:rPr>
          <w:rFonts w:ascii="Arial" w:eastAsia="Times New Roman" w:hAnsi="Arial" w:cs="Arial"/>
          <w:color w:val="000000"/>
          <w:sz w:val="22"/>
          <w:szCs w:val="22"/>
        </w:rPr>
        <w:t>prioritise</w:t>
      </w:r>
      <w:r w:rsidRPr="007834F2">
        <w:rPr>
          <w:rFonts w:ascii="Arial" w:eastAsia="Times New Roman" w:hAnsi="Arial" w:cs="Arial"/>
          <w:color w:val="000000"/>
          <w:sz w:val="22"/>
          <w:szCs w:val="22"/>
        </w:rPr>
        <w:t xml:space="preserve"> workforce planning to </w:t>
      </w:r>
      <w:r w:rsidR="00584E71" w:rsidRPr="007834F2">
        <w:rPr>
          <w:rFonts w:ascii="Arial" w:eastAsia="Times New Roman" w:hAnsi="Arial" w:cs="Arial"/>
          <w:color w:val="000000"/>
          <w:sz w:val="22"/>
          <w:szCs w:val="22"/>
        </w:rPr>
        <w:t>maximise</w:t>
      </w:r>
      <w:r w:rsidRPr="007834F2">
        <w:rPr>
          <w:rFonts w:ascii="Arial" w:eastAsia="Times New Roman" w:hAnsi="Arial" w:cs="Arial"/>
          <w:color w:val="000000"/>
          <w:sz w:val="22"/>
          <w:szCs w:val="22"/>
        </w:rPr>
        <w:t xml:space="preserve"> employee retention. Two approaches can </w:t>
      </w:r>
      <w:bookmarkStart w:id="2" w:name="_Int_vVWcaIBi"/>
      <w:r w:rsidRPr="007834F2">
        <w:rPr>
          <w:rFonts w:ascii="Arial" w:eastAsia="Times New Roman" w:hAnsi="Arial" w:cs="Arial"/>
          <w:color w:val="000000"/>
          <w:sz w:val="22"/>
          <w:szCs w:val="22"/>
        </w:rPr>
        <w:t>be used</w:t>
      </w:r>
      <w:bookmarkEnd w:id="2"/>
      <w:r w:rsidRPr="007834F2">
        <w:rPr>
          <w:rFonts w:ascii="Arial" w:eastAsia="Times New Roman" w:hAnsi="Arial" w:cs="Arial"/>
          <w:color w:val="000000"/>
          <w:sz w:val="22"/>
          <w:szCs w:val="22"/>
        </w:rPr>
        <w:t xml:space="preserve">: looking outside the </w:t>
      </w:r>
      <w:r w:rsidR="004A643E" w:rsidRPr="007834F2">
        <w:rPr>
          <w:rFonts w:ascii="Arial" w:eastAsia="Times New Roman" w:hAnsi="Arial" w:cs="Arial"/>
          <w:color w:val="000000"/>
          <w:sz w:val="22"/>
          <w:szCs w:val="22"/>
        </w:rPr>
        <w:t>organisation</w:t>
      </w:r>
      <w:r w:rsidRPr="007834F2">
        <w:rPr>
          <w:rFonts w:ascii="Arial" w:eastAsia="Times New Roman" w:hAnsi="Arial" w:cs="Arial"/>
          <w:color w:val="000000"/>
          <w:sz w:val="22"/>
          <w:szCs w:val="22"/>
        </w:rPr>
        <w:t xml:space="preserve"> and examining current turnover levels. Understanding the current turnover situation is crucial, as not all turnover is bad. Quantitative methods like crude turnover rate calculation, stability rate calculation, and cohort analysis can help </w:t>
      </w:r>
      <w:r w:rsidR="004A643E" w:rsidRPr="007834F2">
        <w:rPr>
          <w:rFonts w:ascii="Arial" w:eastAsia="Times New Roman" w:hAnsi="Arial" w:cs="Arial"/>
          <w:color w:val="000000"/>
          <w:sz w:val="22"/>
          <w:szCs w:val="22"/>
        </w:rPr>
        <w:t>decide</w:t>
      </w:r>
      <w:r w:rsidRPr="007834F2">
        <w:rPr>
          <w:rFonts w:ascii="Arial" w:eastAsia="Times New Roman" w:hAnsi="Arial" w:cs="Arial"/>
          <w:color w:val="000000"/>
          <w:sz w:val="22"/>
          <w:szCs w:val="22"/>
        </w:rPr>
        <w:t xml:space="preserve"> the level and reasons for turnover. Benchmarking can also help gain commitment from senior management.</w:t>
      </w:r>
      <w:r w:rsidR="00584E71" w:rsidRPr="007834F2">
        <w:rPr>
          <w:rFonts w:ascii="Arial" w:eastAsia="Times New Roman" w:hAnsi="Arial" w:cs="Arial"/>
          <w:color w:val="000000"/>
          <w:sz w:val="22"/>
          <w:szCs w:val="22"/>
        </w:rPr>
        <w:t xml:space="preserve"> Taylor and </w:t>
      </w:r>
      <w:proofErr w:type="spellStart"/>
      <w:r w:rsidR="00584E71" w:rsidRPr="007834F2">
        <w:rPr>
          <w:rFonts w:ascii="Arial" w:eastAsia="Times New Roman" w:hAnsi="Arial" w:cs="Arial"/>
          <w:color w:val="000000"/>
          <w:sz w:val="22"/>
          <w:szCs w:val="22"/>
        </w:rPr>
        <w:t>Woodhams</w:t>
      </w:r>
      <w:proofErr w:type="spellEnd"/>
      <w:r w:rsidR="00584E71" w:rsidRPr="007834F2">
        <w:rPr>
          <w:rFonts w:ascii="Arial" w:eastAsia="Times New Roman" w:hAnsi="Arial" w:cs="Arial"/>
          <w:color w:val="000000"/>
          <w:sz w:val="22"/>
          <w:szCs w:val="22"/>
        </w:rPr>
        <w:t xml:space="preserve"> (2016f)</w:t>
      </w:r>
    </w:p>
    <w:p w14:paraId="7A79459D" w14:textId="1EE1BE6B" w:rsidR="004A643E" w:rsidRPr="007834F2" w:rsidRDefault="00D37C36" w:rsidP="0062146A">
      <w:pPr>
        <w:spacing w:line="264" w:lineRule="auto"/>
        <w:divId w:val="201016118"/>
        <w:rPr>
          <w:rFonts w:ascii="Arial" w:eastAsia="Times New Roman" w:hAnsi="Arial" w:cs="Arial"/>
          <w:color w:val="000000"/>
          <w:sz w:val="22"/>
          <w:szCs w:val="22"/>
        </w:rPr>
      </w:pPr>
      <w:r w:rsidRPr="007834F2">
        <w:rPr>
          <w:rFonts w:ascii="Arial" w:eastAsia="Times New Roman" w:hAnsi="Arial" w:cs="Arial"/>
          <w:color w:val="000000"/>
          <w:sz w:val="22"/>
          <w:szCs w:val="22"/>
        </w:rPr>
        <w:t>Talent planning is a crucial process for ParcelCare to ensure the company has the right people, skills, and locations to achieve its strategic objectives. It involves forecasting future demand for skills, identifying gaps between demand and supply, and making plans to fill them. This process can be done using systematic techniques, managerial judgment, and cost-saving strategies. Investing in future skills will positively impact ParcelCare's future.</w:t>
      </w:r>
      <w:r w:rsidR="006F5511" w:rsidRPr="007834F2">
        <w:rPr>
          <w:rFonts w:ascii="Arial" w:eastAsia="Times New Roman" w:hAnsi="Arial" w:cs="Arial"/>
          <w:color w:val="000000"/>
          <w:sz w:val="22"/>
          <w:szCs w:val="22"/>
        </w:rPr>
        <w:t xml:space="preserve"> Taylor and </w:t>
      </w:r>
      <w:proofErr w:type="spellStart"/>
      <w:r w:rsidR="006F5511" w:rsidRPr="007834F2">
        <w:rPr>
          <w:rFonts w:ascii="Arial" w:eastAsia="Times New Roman" w:hAnsi="Arial" w:cs="Arial"/>
          <w:color w:val="000000"/>
          <w:sz w:val="22"/>
          <w:szCs w:val="22"/>
        </w:rPr>
        <w:t>Woodhams</w:t>
      </w:r>
      <w:proofErr w:type="spellEnd"/>
      <w:r w:rsidR="006F5511" w:rsidRPr="007834F2">
        <w:rPr>
          <w:rFonts w:ascii="Arial" w:eastAsia="Times New Roman" w:hAnsi="Arial" w:cs="Arial"/>
          <w:color w:val="000000"/>
          <w:sz w:val="22"/>
          <w:szCs w:val="22"/>
        </w:rPr>
        <w:t xml:space="preserve"> (2016g)</w:t>
      </w:r>
    </w:p>
    <w:p w14:paraId="311F3713" w14:textId="309BCE83" w:rsidR="00A564A5" w:rsidRPr="007834F2" w:rsidRDefault="00697A98" w:rsidP="0062146A">
      <w:pPr>
        <w:spacing w:line="264" w:lineRule="auto"/>
        <w:divId w:val="201016118"/>
        <w:rPr>
          <w:rFonts w:ascii="Arial" w:eastAsia="Times New Roman" w:hAnsi="Arial" w:cs="Arial"/>
          <w:color w:val="000000"/>
          <w:sz w:val="22"/>
          <w:szCs w:val="22"/>
        </w:rPr>
      </w:pPr>
      <w:r w:rsidRPr="007834F2">
        <w:rPr>
          <w:rFonts w:ascii="Arial" w:eastAsia="Times New Roman" w:hAnsi="Arial" w:cs="Arial"/>
          <w:color w:val="000000"/>
          <w:sz w:val="22"/>
          <w:szCs w:val="22"/>
        </w:rPr>
        <w:t>Organisational</w:t>
      </w:r>
      <w:r w:rsidR="00317B20" w:rsidRPr="007834F2">
        <w:rPr>
          <w:rFonts w:ascii="Arial" w:eastAsia="Times New Roman" w:hAnsi="Arial" w:cs="Arial"/>
          <w:color w:val="000000"/>
          <w:sz w:val="22"/>
          <w:szCs w:val="22"/>
        </w:rPr>
        <w:t xml:space="preserve"> skills plans should consider the durability of skills, distinguishing between 'perishable' and 'durable' skills. Competitive businesses invest in proactive reskilling and upskilling, considering communities at risk. </w:t>
      </w:r>
      <w:r w:rsidR="00FE10BA" w:rsidRPr="007834F2">
        <w:rPr>
          <w:rFonts w:ascii="Arial" w:eastAsia="Times New Roman" w:hAnsi="Arial" w:cs="Arial"/>
          <w:color w:val="000000"/>
          <w:sz w:val="22"/>
          <w:szCs w:val="22"/>
        </w:rPr>
        <w:t>ParcelCare</w:t>
      </w:r>
      <w:r w:rsidR="00317B20" w:rsidRPr="007834F2">
        <w:rPr>
          <w:rFonts w:ascii="Arial" w:eastAsia="Times New Roman" w:hAnsi="Arial" w:cs="Arial"/>
          <w:color w:val="000000"/>
          <w:sz w:val="22"/>
          <w:szCs w:val="22"/>
        </w:rPr>
        <w:t xml:space="preserve"> should support staff and build relationships with organisations for </w:t>
      </w:r>
      <w:proofErr w:type="spellStart"/>
      <w:r w:rsidR="00317B20" w:rsidRPr="007834F2">
        <w:rPr>
          <w:rFonts w:ascii="Arial" w:eastAsia="Times New Roman" w:hAnsi="Arial" w:cs="Arial"/>
          <w:color w:val="000000"/>
          <w:sz w:val="22"/>
          <w:szCs w:val="22"/>
        </w:rPr>
        <w:t>outskilling</w:t>
      </w:r>
      <w:proofErr w:type="spellEnd"/>
      <w:r w:rsidR="00317B20" w:rsidRPr="007834F2">
        <w:rPr>
          <w:rFonts w:ascii="Arial" w:eastAsia="Times New Roman" w:hAnsi="Arial" w:cs="Arial"/>
          <w:color w:val="000000"/>
          <w:sz w:val="22"/>
          <w:szCs w:val="22"/>
        </w:rPr>
        <w:t xml:space="preserve"> programs. ParcelCare Leadership's skill plan can give them a competitive edge and increased employee engagement.</w:t>
      </w:r>
      <w:r w:rsidR="0078624B" w:rsidRPr="007834F2">
        <w:rPr>
          <w:rFonts w:ascii="Arial" w:eastAsia="Times New Roman" w:hAnsi="Arial" w:cs="Arial"/>
          <w:color w:val="000000"/>
          <w:sz w:val="22"/>
          <w:szCs w:val="22"/>
        </w:rPr>
        <w:t xml:space="preserve"> Dr Elouise Leonard-Cross (2021)</w:t>
      </w:r>
    </w:p>
    <w:p w14:paraId="46761D08" w14:textId="69B8234D" w:rsidR="006A44A6" w:rsidRPr="007834F2" w:rsidRDefault="00BD4416" w:rsidP="0062146A">
      <w:pPr>
        <w:spacing w:line="264" w:lineRule="auto"/>
        <w:divId w:val="201016118"/>
        <w:rPr>
          <w:rFonts w:ascii="Arial" w:eastAsia="Times New Roman" w:hAnsi="Arial" w:cs="Arial"/>
          <w:color w:val="000000"/>
          <w:sz w:val="22"/>
          <w:szCs w:val="22"/>
        </w:rPr>
      </w:pPr>
      <w:r w:rsidRPr="007834F2">
        <w:rPr>
          <w:rFonts w:ascii="Arial" w:eastAsia="Times New Roman" w:hAnsi="Arial" w:cs="Arial"/>
          <w:color w:val="000000"/>
          <w:sz w:val="22"/>
          <w:szCs w:val="22"/>
        </w:rPr>
        <w:t>Talent planning ensures fair access to opportunities for all employees through communication, employee interest mechanisms, fair selection, regular appraisals, and positive action initiatives. It also involves auditing training records, incorporating training and development questions in employee satisfaction surveys, and involving all involved in redeployment and career management. Engaging the ParcelCare Leadership team can positively impact the workforce and improve sales.</w:t>
      </w:r>
      <w:r w:rsidR="0014016F" w:rsidRPr="007834F2">
        <w:rPr>
          <w:rFonts w:ascii="Arial" w:eastAsia="Times New Roman" w:hAnsi="Arial" w:cs="Arial"/>
          <w:color w:val="000000"/>
          <w:sz w:val="22"/>
          <w:szCs w:val="22"/>
        </w:rPr>
        <w:t xml:space="preserve"> Taylor and </w:t>
      </w:r>
      <w:proofErr w:type="spellStart"/>
      <w:r w:rsidR="0014016F" w:rsidRPr="007834F2">
        <w:rPr>
          <w:rFonts w:ascii="Arial" w:eastAsia="Times New Roman" w:hAnsi="Arial" w:cs="Arial"/>
          <w:color w:val="000000"/>
          <w:sz w:val="22"/>
          <w:szCs w:val="22"/>
        </w:rPr>
        <w:t>Woodhams</w:t>
      </w:r>
      <w:proofErr w:type="spellEnd"/>
      <w:r w:rsidR="0014016F" w:rsidRPr="007834F2">
        <w:rPr>
          <w:rFonts w:ascii="Arial" w:eastAsia="Times New Roman" w:hAnsi="Arial" w:cs="Arial"/>
          <w:color w:val="000000"/>
          <w:sz w:val="22"/>
          <w:szCs w:val="22"/>
        </w:rPr>
        <w:t xml:space="preserve"> (2016h)</w:t>
      </w:r>
    </w:p>
    <w:p w14:paraId="2F63006C" w14:textId="37EE17E8" w:rsidR="00351CAC" w:rsidRPr="007834F2" w:rsidRDefault="00C77918" w:rsidP="0062146A">
      <w:pPr>
        <w:spacing w:line="264" w:lineRule="auto"/>
        <w:divId w:val="201016118"/>
        <w:rPr>
          <w:rFonts w:ascii="Arial" w:eastAsia="Arial" w:hAnsi="Arial" w:cs="Arial"/>
          <w:color w:val="215E99" w:themeColor="text2" w:themeTint="BF"/>
          <w:kern w:val="0"/>
          <w:sz w:val="22"/>
          <w:szCs w:val="22"/>
          <w:u w:color="000000"/>
          <w:lang w:val="en-US"/>
          <w14:ligatures w14:val="none"/>
        </w:rPr>
      </w:pPr>
      <w:r w:rsidRPr="007834F2">
        <w:rPr>
          <w:rFonts w:ascii="Arial" w:eastAsia="Times New Roman" w:hAnsi="Arial" w:cs="Arial"/>
          <w:color w:val="000000"/>
          <w:sz w:val="22"/>
          <w:szCs w:val="22"/>
        </w:rPr>
        <w:lastRenderedPageBreak/>
        <w:t xml:space="preserve">Workforce planning is crucial for organisations to align talent strategy with business objectives, improve productivity, and drive success. ParcelCare should </w:t>
      </w:r>
      <w:r w:rsidR="00450C0D" w:rsidRPr="007834F2">
        <w:rPr>
          <w:rFonts w:ascii="Arial" w:eastAsia="Times New Roman" w:hAnsi="Arial" w:cs="Arial"/>
          <w:color w:val="000000"/>
          <w:sz w:val="22"/>
          <w:szCs w:val="22"/>
        </w:rPr>
        <w:t>prioritise</w:t>
      </w:r>
      <w:r w:rsidRPr="007834F2">
        <w:rPr>
          <w:rFonts w:ascii="Arial" w:eastAsia="Times New Roman" w:hAnsi="Arial" w:cs="Arial"/>
          <w:color w:val="000000"/>
          <w:sz w:val="22"/>
          <w:szCs w:val="22"/>
        </w:rPr>
        <w:t xml:space="preserve"> strategic talent alignment, employee development, and anticipating future needs to position themselves for success and adapt to changing environments.</w:t>
      </w:r>
      <w:r w:rsidR="00223F14" w:rsidRPr="007834F2">
        <w:rPr>
          <w:rFonts w:ascii="Arial" w:eastAsia="Times New Roman" w:hAnsi="Arial" w:cs="Arial"/>
          <w:color w:val="000000"/>
          <w:sz w:val="22"/>
          <w:szCs w:val="22"/>
        </w:rPr>
        <w:t xml:space="preserve"> </w:t>
      </w:r>
      <w:proofErr w:type="spellStart"/>
      <w:r w:rsidR="00223F14" w:rsidRPr="007834F2">
        <w:rPr>
          <w:rFonts w:ascii="Arial" w:eastAsia="Times New Roman" w:hAnsi="Arial" w:cs="Arial"/>
          <w:color w:val="000000"/>
          <w:sz w:val="22"/>
          <w:szCs w:val="22"/>
        </w:rPr>
        <w:t>Lupena</w:t>
      </w:r>
      <w:proofErr w:type="spellEnd"/>
      <w:r w:rsidR="00223F14" w:rsidRPr="007834F2">
        <w:rPr>
          <w:rFonts w:ascii="Arial" w:eastAsia="Times New Roman" w:hAnsi="Arial" w:cs="Arial"/>
          <w:color w:val="000000"/>
          <w:sz w:val="22"/>
          <w:szCs w:val="22"/>
        </w:rPr>
        <w:t xml:space="preserve"> (2024)</w:t>
      </w:r>
      <w:r w:rsidR="004B0927" w:rsidRPr="007834F2">
        <w:rPr>
          <w:rFonts w:ascii="Arial" w:eastAsia="Arial" w:hAnsi="Arial" w:cs="Arial"/>
          <w:color w:val="215E99" w:themeColor="text2" w:themeTint="BF"/>
          <w:kern w:val="0"/>
          <w:sz w:val="22"/>
          <w:szCs w:val="22"/>
          <w:u w:color="000000"/>
          <w:lang w:val="en-US"/>
          <w14:ligatures w14:val="none"/>
        </w:rPr>
        <w:t xml:space="preserve"> </w:t>
      </w:r>
    </w:p>
    <w:p w14:paraId="6F0E3267" w14:textId="3D4CCF40" w:rsidR="00B0798B" w:rsidRPr="007834F2" w:rsidRDefault="00B0798B" w:rsidP="0062146A">
      <w:pPr>
        <w:spacing w:line="264" w:lineRule="auto"/>
        <w:divId w:val="201016118"/>
        <w:rPr>
          <w:rFonts w:ascii="Arial" w:eastAsia="Arial" w:hAnsi="Arial" w:cs="Arial"/>
          <w:color w:val="215E99" w:themeColor="text2" w:themeTint="BF"/>
          <w:kern w:val="0"/>
          <w:sz w:val="22"/>
          <w:szCs w:val="22"/>
          <w:u w:color="000000"/>
          <w:lang w:val="en-US"/>
          <w14:ligatures w14:val="none"/>
        </w:rPr>
      </w:pPr>
      <w:r w:rsidRPr="007834F2">
        <w:rPr>
          <w:rFonts w:ascii="Arial" w:eastAsia="Times New Roman" w:hAnsi="Arial" w:cs="Arial"/>
          <w:color w:val="000000"/>
          <w:sz w:val="22"/>
          <w:szCs w:val="22"/>
        </w:rPr>
        <w:t xml:space="preserve">Traditional workforce planning approaches often lack benefits due to their focus on efficiency and effectiveness. Resource planning, a key horizon, often overlooks </w:t>
      </w:r>
      <w:r w:rsidR="00166837" w:rsidRPr="007834F2">
        <w:rPr>
          <w:rFonts w:ascii="Arial" w:eastAsia="Times New Roman" w:hAnsi="Arial" w:cs="Arial"/>
          <w:color w:val="000000"/>
          <w:sz w:val="22"/>
          <w:szCs w:val="22"/>
        </w:rPr>
        <w:t>organisational</w:t>
      </w:r>
      <w:r w:rsidRPr="007834F2">
        <w:rPr>
          <w:rFonts w:ascii="Arial" w:eastAsia="Times New Roman" w:hAnsi="Arial" w:cs="Arial"/>
          <w:color w:val="000000"/>
          <w:sz w:val="22"/>
          <w:szCs w:val="22"/>
        </w:rPr>
        <w:t xml:space="preserve"> strategy, workforce trends, and wider enterprise issues, leading to siloed approaches and ineffective capacity models.</w:t>
      </w:r>
      <w:r w:rsidR="00BD5BA1" w:rsidRPr="007834F2">
        <w:rPr>
          <w:rFonts w:ascii="Arial" w:eastAsia="Times New Roman" w:hAnsi="Arial" w:cs="Arial"/>
          <w:color w:val="000000"/>
          <w:sz w:val="22"/>
          <w:szCs w:val="22"/>
        </w:rPr>
        <w:t xml:space="preserve"> Gibson (2021)</w:t>
      </w:r>
    </w:p>
    <w:p w14:paraId="4B830A90" w14:textId="06574417" w:rsidR="008D6357" w:rsidRDefault="0078503A">
      <w:pPr>
        <w:rPr>
          <w:rStyle w:val="ui-provider"/>
          <w:rFonts w:ascii="Arial" w:hAnsi="Arial" w:cs="Arial"/>
          <w:color w:val="215E99" w:themeColor="text2" w:themeTint="BF"/>
          <w:sz w:val="22"/>
          <w:szCs w:val="22"/>
        </w:rPr>
      </w:pPr>
      <w:r w:rsidRPr="0005645A">
        <w:rPr>
          <w:rStyle w:val="ui-provider"/>
          <w:rFonts w:ascii="Arial" w:hAnsi="Arial" w:cs="Arial"/>
          <w:color w:val="215E99" w:themeColor="text2" w:themeTint="BF"/>
          <w:sz w:val="22"/>
          <w:szCs w:val="22"/>
        </w:rPr>
        <w:t>4.To strengthen your argument to introduce workforce planning, evaluate techniques that can be used to support the process of workforce planning. (AC 2.2)</w:t>
      </w:r>
    </w:p>
    <w:p w14:paraId="3F81257D" w14:textId="132F6647" w:rsidR="001D7AC4" w:rsidRPr="00AC696F" w:rsidRDefault="00ED7008">
      <w:pPr>
        <w:rPr>
          <w:rFonts w:ascii="Arial" w:eastAsia="Times New Roman" w:hAnsi="Arial" w:cs="Arial"/>
          <w:color w:val="000000"/>
          <w:sz w:val="22"/>
          <w:szCs w:val="22"/>
        </w:rPr>
      </w:pPr>
      <w:r w:rsidRPr="00AC696F">
        <w:rPr>
          <w:rFonts w:ascii="Arial" w:eastAsia="Times New Roman" w:hAnsi="Arial" w:cs="Arial"/>
          <w:color w:val="000000"/>
          <w:sz w:val="22"/>
          <w:szCs w:val="22"/>
        </w:rPr>
        <w:t xml:space="preserve">Gap analysis is a crucial stage in workforce planning, transitioning from diagnostic to predictive analytics. It helps predict the </w:t>
      </w:r>
      <w:r w:rsidR="00AC696F" w:rsidRPr="00AC696F">
        <w:rPr>
          <w:rFonts w:ascii="Arial" w:eastAsia="Times New Roman" w:hAnsi="Arial" w:cs="Arial"/>
          <w:color w:val="000000"/>
          <w:sz w:val="22"/>
          <w:szCs w:val="22"/>
        </w:rPr>
        <w:t>organisation’s</w:t>
      </w:r>
      <w:r w:rsidRPr="00AC696F">
        <w:rPr>
          <w:rFonts w:ascii="Arial" w:eastAsia="Times New Roman" w:hAnsi="Arial" w:cs="Arial"/>
          <w:color w:val="000000"/>
          <w:sz w:val="22"/>
          <w:szCs w:val="22"/>
        </w:rPr>
        <w:t xml:space="preserve"> future, impacting stakeholders and objectives. Traditional approaches overlook continuous business throughout the planning horizon. Contemporary thinkers focus on bridging the gap.</w:t>
      </w:r>
      <w:r w:rsidR="001C6267" w:rsidRPr="00AC696F">
        <w:rPr>
          <w:rFonts w:ascii="Arial" w:eastAsia="Times New Roman" w:hAnsi="Arial" w:cs="Arial"/>
          <w:color w:val="000000"/>
          <w:sz w:val="22"/>
          <w:szCs w:val="22"/>
        </w:rPr>
        <w:t xml:space="preserve"> Gibson (2021b)</w:t>
      </w:r>
    </w:p>
    <w:p w14:paraId="07A3A98E" w14:textId="11688098" w:rsidR="008F78B1" w:rsidRPr="00AC696F" w:rsidRDefault="00AC696F">
      <w:pPr>
        <w:rPr>
          <w:rFonts w:ascii="Arial" w:eastAsia="Times New Roman" w:hAnsi="Arial" w:cs="Arial"/>
          <w:color w:val="000000"/>
          <w:sz w:val="22"/>
          <w:szCs w:val="22"/>
        </w:rPr>
      </w:pPr>
      <w:r w:rsidRPr="00AC696F">
        <w:rPr>
          <w:rFonts w:ascii="Arial" w:eastAsia="Times New Roman" w:hAnsi="Arial" w:cs="Arial"/>
          <w:color w:val="000000"/>
          <w:sz w:val="22"/>
          <w:szCs w:val="22"/>
        </w:rPr>
        <w:t>Workforce supply refers to the labour availability, roles, skills, and timeframe needed for business needs. Effective planning involves determining needs, evaluating talent supply, and forecasting. Organisations should assess policies, employer brand, talent development, and forecasting.</w:t>
      </w:r>
      <w:r w:rsidR="004F0608" w:rsidRPr="00AC696F">
        <w:rPr>
          <w:rFonts w:ascii="Arial" w:eastAsia="Times New Roman" w:hAnsi="Arial" w:cs="Arial"/>
          <w:color w:val="000000"/>
          <w:sz w:val="22"/>
          <w:szCs w:val="22"/>
        </w:rPr>
        <w:t xml:space="preserve"> CIPD (2023e)</w:t>
      </w:r>
    </w:p>
    <w:p w14:paraId="1396FE84" w14:textId="182E3870" w:rsidR="00C32CD3" w:rsidRPr="00AC696F" w:rsidRDefault="00C32CD3">
      <w:pPr>
        <w:rPr>
          <w:rFonts w:ascii="Arial" w:eastAsia="Times New Roman" w:hAnsi="Arial" w:cs="Arial"/>
          <w:color w:val="000000"/>
          <w:sz w:val="22"/>
          <w:szCs w:val="22"/>
        </w:rPr>
      </w:pPr>
      <w:r w:rsidRPr="00AC696F">
        <w:rPr>
          <w:rFonts w:ascii="Arial" w:eastAsia="Times New Roman" w:hAnsi="Arial" w:cs="Arial"/>
          <w:color w:val="000000"/>
          <w:sz w:val="22"/>
          <w:szCs w:val="22"/>
        </w:rPr>
        <w:t>Migration impacts the labour supply and market demography, affecting both migrants and workers' competencies and host economies. Importing new competencies can lead to economic growth, while emigration can cause brain drain from developing countries. Recent megatrends in the West include nationalist voting and low-competency immigration. The 2016 Brexit referendum reduced net migration from the EU to the UK, while non-EU net migration to the UK has continued since 2013. However, migration to the US has slowed since Donald Trump's election in 2016.</w:t>
      </w:r>
      <w:r w:rsidR="00887C5A" w:rsidRPr="00AC696F">
        <w:rPr>
          <w:rFonts w:ascii="Arial" w:eastAsia="Times New Roman" w:hAnsi="Arial" w:cs="Arial"/>
          <w:color w:val="000000"/>
          <w:sz w:val="22"/>
          <w:szCs w:val="22"/>
        </w:rPr>
        <w:t xml:space="preserve"> (Gibson, 2021c)</w:t>
      </w:r>
    </w:p>
    <w:p w14:paraId="31E19F7A" w14:textId="5A1ACD95" w:rsidR="003C2E85" w:rsidRPr="00AC696F" w:rsidRDefault="004015D7">
      <w:pPr>
        <w:rPr>
          <w:rFonts w:ascii="Arial" w:eastAsia="Times New Roman" w:hAnsi="Arial" w:cs="Arial"/>
          <w:color w:val="000000"/>
          <w:sz w:val="22"/>
          <w:szCs w:val="22"/>
        </w:rPr>
      </w:pPr>
      <w:r w:rsidRPr="00AC696F">
        <w:rPr>
          <w:rFonts w:ascii="Arial" w:eastAsia="Times New Roman" w:hAnsi="Arial" w:cs="Arial"/>
          <w:color w:val="000000"/>
          <w:sz w:val="22"/>
          <w:szCs w:val="22"/>
        </w:rPr>
        <w:t xml:space="preserve">Succession planning is a strategic process that ensures an </w:t>
      </w:r>
      <w:r w:rsidR="00CB3F59" w:rsidRPr="00AC696F">
        <w:rPr>
          <w:rFonts w:ascii="Arial" w:eastAsia="Times New Roman" w:hAnsi="Arial" w:cs="Arial"/>
          <w:color w:val="000000"/>
          <w:sz w:val="22"/>
          <w:szCs w:val="22"/>
        </w:rPr>
        <w:t>organisation</w:t>
      </w:r>
      <w:r w:rsidRPr="00AC696F">
        <w:rPr>
          <w:rFonts w:ascii="Arial" w:eastAsia="Times New Roman" w:hAnsi="Arial" w:cs="Arial"/>
          <w:color w:val="000000"/>
          <w:sz w:val="22"/>
          <w:szCs w:val="22"/>
        </w:rPr>
        <w:t xml:space="preserve"> has enough skilled individuals to fill vacant roles. It involves appraisal meetings, training programs, and development activities, aiming to create "pools of talent" for replacements. Balancing this with the desire for new talent is a long-standing HR </w:t>
      </w:r>
      <w:r w:rsidR="00CB3F59" w:rsidRPr="00AC696F">
        <w:rPr>
          <w:rFonts w:ascii="Arial" w:eastAsia="Times New Roman" w:hAnsi="Arial" w:cs="Arial"/>
          <w:color w:val="000000"/>
          <w:sz w:val="22"/>
          <w:szCs w:val="22"/>
        </w:rPr>
        <w:t>debate. Taylor</w:t>
      </w:r>
      <w:r w:rsidR="00C6118F" w:rsidRPr="00AC696F">
        <w:rPr>
          <w:rFonts w:ascii="Arial" w:eastAsia="Times New Roman" w:hAnsi="Arial" w:cs="Arial"/>
          <w:color w:val="000000"/>
          <w:sz w:val="22"/>
          <w:szCs w:val="22"/>
        </w:rPr>
        <w:t xml:space="preserve"> and </w:t>
      </w:r>
      <w:proofErr w:type="spellStart"/>
      <w:r w:rsidR="00C6118F" w:rsidRPr="00AC696F">
        <w:rPr>
          <w:rFonts w:ascii="Arial" w:eastAsia="Times New Roman" w:hAnsi="Arial" w:cs="Arial"/>
          <w:color w:val="000000"/>
          <w:sz w:val="22"/>
          <w:szCs w:val="22"/>
        </w:rPr>
        <w:t>Woodhams</w:t>
      </w:r>
      <w:proofErr w:type="spellEnd"/>
      <w:r w:rsidR="00C6118F" w:rsidRPr="00AC696F">
        <w:rPr>
          <w:rFonts w:ascii="Arial" w:eastAsia="Times New Roman" w:hAnsi="Arial" w:cs="Arial"/>
          <w:color w:val="000000"/>
          <w:sz w:val="22"/>
          <w:szCs w:val="22"/>
        </w:rPr>
        <w:t xml:space="preserve"> (2016i)</w:t>
      </w:r>
    </w:p>
    <w:p w14:paraId="2BB6A93D" w14:textId="77777777" w:rsidR="00207E76" w:rsidRDefault="00D640DF">
      <w:pPr>
        <w:rPr>
          <w:rFonts w:ascii="Arial" w:hAnsi="Arial" w:cs="Arial"/>
          <w:sz w:val="22"/>
          <w:szCs w:val="22"/>
        </w:rPr>
      </w:pPr>
      <w:r w:rsidRPr="00AC696F">
        <w:rPr>
          <w:rFonts w:ascii="Arial" w:eastAsia="Times New Roman" w:hAnsi="Arial" w:cs="Arial"/>
          <w:color w:val="000000"/>
          <w:sz w:val="22"/>
          <w:szCs w:val="22"/>
        </w:rPr>
        <w:t xml:space="preserve">Research by McKinsey shows </w:t>
      </w:r>
      <w:r w:rsidR="00D71773" w:rsidRPr="00AC696F">
        <w:rPr>
          <w:rFonts w:ascii="Arial" w:eastAsia="Times New Roman" w:hAnsi="Arial" w:cs="Arial"/>
          <w:color w:val="000000"/>
          <w:sz w:val="22"/>
          <w:szCs w:val="22"/>
        </w:rPr>
        <w:t>minor difference</w:t>
      </w:r>
      <w:r w:rsidRPr="00AC696F">
        <w:rPr>
          <w:rFonts w:ascii="Arial" w:eastAsia="Times New Roman" w:hAnsi="Arial" w:cs="Arial"/>
          <w:color w:val="000000"/>
          <w:sz w:val="22"/>
          <w:szCs w:val="22"/>
        </w:rPr>
        <w:t xml:space="preserve"> between men and women in terms of ambition to progress in </w:t>
      </w:r>
      <w:r w:rsidR="00D71773" w:rsidRPr="00AC696F">
        <w:rPr>
          <w:rFonts w:ascii="Arial" w:eastAsia="Times New Roman" w:hAnsi="Arial" w:cs="Arial"/>
          <w:color w:val="000000"/>
          <w:sz w:val="22"/>
          <w:szCs w:val="22"/>
        </w:rPr>
        <w:t>organisations</w:t>
      </w:r>
      <w:r w:rsidRPr="00AC696F">
        <w:rPr>
          <w:rFonts w:ascii="Arial" w:eastAsia="Times New Roman" w:hAnsi="Arial" w:cs="Arial"/>
          <w:color w:val="000000"/>
          <w:sz w:val="22"/>
          <w:szCs w:val="22"/>
        </w:rPr>
        <w:t xml:space="preserve">, both at entry and middle management levels. Women hold only 37% of middle-management positions, 28% of vice-president and senior-managerial roles, and 14% of seats on executive committees. The odds of advancement for men are about twice those for women, and nearly four times as many men as women at large companies make the jump from the executive committee to CEO. Succession planning and diversity management should </w:t>
      </w:r>
      <w:bookmarkStart w:id="3" w:name="_Int_WGq1SDHo"/>
      <w:r w:rsidRPr="00AC696F">
        <w:rPr>
          <w:rFonts w:ascii="Arial" w:eastAsia="Times New Roman" w:hAnsi="Arial" w:cs="Arial"/>
          <w:color w:val="000000"/>
          <w:sz w:val="22"/>
          <w:szCs w:val="22"/>
        </w:rPr>
        <w:t xml:space="preserve">be </w:t>
      </w:r>
      <w:r w:rsidR="00D71773" w:rsidRPr="00AC696F">
        <w:rPr>
          <w:rFonts w:ascii="Arial" w:eastAsia="Times New Roman" w:hAnsi="Arial" w:cs="Arial"/>
          <w:color w:val="000000"/>
          <w:sz w:val="22"/>
          <w:szCs w:val="22"/>
        </w:rPr>
        <w:t>tightly integrated</w:t>
      </w:r>
      <w:bookmarkEnd w:id="3"/>
      <w:r w:rsidRPr="00AC696F">
        <w:rPr>
          <w:rFonts w:ascii="Arial" w:eastAsia="Times New Roman" w:hAnsi="Arial" w:cs="Arial"/>
          <w:color w:val="000000"/>
          <w:sz w:val="22"/>
          <w:szCs w:val="22"/>
        </w:rPr>
        <w:t xml:space="preserve"> to ensure equal opportunities for all.</w:t>
      </w:r>
      <w:r w:rsidR="00206912" w:rsidRPr="00AC696F">
        <w:rPr>
          <w:rFonts w:ascii="Arial" w:eastAsia="Times New Roman" w:hAnsi="Arial" w:cs="Arial"/>
          <w:color w:val="000000"/>
          <w:sz w:val="22"/>
          <w:szCs w:val="22"/>
        </w:rPr>
        <w:t xml:space="preserve"> Clutterbuck (2013)</w:t>
      </w:r>
    </w:p>
    <w:p w14:paraId="3116D2ED" w14:textId="0574BEA1" w:rsidR="00F7258C" w:rsidRDefault="00593693">
      <w:pPr>
        <w:rPr>
          <w:rFonts w:ascii="Arial" w:hAnsi="Arial" w:cs="Arial"/>
          <w:color w:val="215E99" w:themeColor="text2" w:themeTint="BF"/>
        </w:rPr>
      </w:pPr>
      <w:r>
        <w:rPr>
          <w:rStyle w:val="ui-provider"/>
          <w:rFonts w:ascii="Arial" w:hAnsi="Arial" w:cs="Arial"/>
          <w:color w:val="215E99" w:themeColor="text2" w:themeTint="BF"/>
        </w:rPr>
        <w:t>5.</w:t>
      </w:r>
      <w:r w:rsidR="00207E76" w:rsidRPr="00207E76">
        <w:rPr>
          <w:rStyle w:val="ui-provider"/>
          <w:rFonts w:ascii="Arial" w:hAnsi="Arial" w:cs="Arial"/>
          <w:color w:val="215E99" w:themeColor="text2" w:themeTint="BF"/>
        </w:rPr>
        <w:t xml:space="preserve">Currently, vacancies </w:t>
      </w:r>
      <w:bookmarkStart w:id="4" w:name="_Int_Uj6NMXEq"/>
      <w:r w:rsidR="00207E76" w:rsidRPr="00207E76">
        <w:rPr>
          <w:rStyle w:val="ui-provider"/>
          <w:rFonts w:ascii="Arial" w:hAnsi="Arial" w:cs="Arial"/>
          <w:color w:val="215E99" w:themeColor="text2" w:themeTint="BF"/>
        </w:rPr>
        <w:t>are advertised</w:t>
      </w:r>
      <w:bookmarkEnd w:id="4"/>
      <w:r w:rsidR="00207E76" w:rsidRPr="00207E76">
        <w:rPr>
          <w:rStyle w:val="ui-provider"/>
          <w:rFonts w:ascii="Arial" w:hAnsi="Arial" w:cs="Arial"/>
          <w:color w:val="215E99" w:themeColor="text2" w:themeTint="BF"/>
        </w:rPr>
        <w:t xml:space="preserve"> on ParcelCare’s website. Line managers then interview shortlisted applicants. You feel that these are suitable recruitment and selection methods to use but want to broaden the methods used. Evaluate the strengths and weaknesses of</w:t>
      </w:r>
      <w:r w:rsidR="00207E76" w:rsidRPr="00207E76">
        <w:rPr>
          <w:rFonts w:ascii="Arial" w:hAnsi="Arial" w:cs="Arial"/>
          <w:color w:val="215E99" w:themeColor="text2" w:themeTint="BF"/>
        </w:rPr>
        <w:t xml:space="preserve"> two</w:t>
      </w:r>
      <w:r w:rsidR="00207E76" w:rsidRPr="00207E76">
        <w:rPr>
          <w:rStyle w:val="ui-provider"/>
          <w:rFonts w:ascii="Arial" w:hAnsi="Arial" w:cs="Arial"/>
          <w:color w:val="215E99" w:themeColor="text2" w:themeTint="BF"/>
        </w:rPr>
        <w:t xml:space="preserve"> different recruitment methods and </w:t>
      </w:r>
      <w:r w:rsidR="00207E76" w:rsidRPr="00207E76">
        <w:rPr>
          <w:rFonts w:ascii="Arial" w:hAnsi="Arial" w:cs="Arial"/>
          <w:color w:val="215E99" w:themeColor="text2" w:themeTint="BF"/>
        </w:rPr>
        <w:t>two</w:t>
      </w:r>
      <w:r w:rsidR="00207E76" w:rsidRPr="00207E76">
        <w:rPr>
          <w:rStyle w:val="ui-provider"/>
          <w:rFonts w:ascii="Arial" w:hAnsi="Arial" w:cs="Arial"/>
          <w:color w:val="215E99" w:themeColor="text2" w:themeTint="BF"/>
        </w:rPr>
        <w:t xml:space="preserve"> different selection methods. (AC 2.3)</w:t>
      </w:r>
      <w:r w:rsidR="00F7258C" w:rsidRPr="00207E76">
        <w:rPr>
          <w:rFonts w:ascii="Arial" w:hAnsi="Arial" w:cs="Arial"/>
          <w:color w:val="215E99" w:themeColor="text2" w:themeTint="BF"/>
        </w:rPr>
        <w:t xml:space="preserve"> </w:t>
      </w:r>
    </w:p>
    <w:p w14:paraId="1F57A074" w14:textId="530F1266" w:rsidR="00C07B84" w:rsidRPr="008A62C9" w:rsidRDefault="00F905DD">
      <w:pPr>
        <w:rPr>
          <w:rFonts w:ascii="Arial" w:eastAsia="Times New Roman" w:hAnsi="Arial" w:cs="Arial"/>
          <w:color w:val="000000"/>
          <w:sz w:val="22"/>
          <w:szCs w:val="22"/>
        </w:rPr>
      </w:pPr>
      <w:r w:rsidRPr="008A62C9">
        <w:rPr>
          <w:rFonts w:ascii="Arial" w:eastAsia="Times New Roman" w:hAnsi="Arial" w:cs="Arial"/>
          <w:color w:val="000000"/>
          <w:sz w:val="22"/>
          <w:szCs w:val="22"/>
        </w:rPr>
        <w:lastRenderedPageBreak/>
        <w:t>Effective recruitment is crucial for a company's long-term success, ensuring the workforce has the necessary skills for its current and future needs, using workforce planning data.</w:t>
      </w:r>
      <w:r w:rsidR="001528D8" w:rsidRPr="008A62C9">
        <w:rPr>
          <w:rFonts w:ascii="Arial" w:eastAsia="Times New Roman" w:hAnsi="Arial" w:cs="Arial"/>
          <w:color w:val="000000"/>
          <w:sz w:val="22"/>
          <w:szCs w:val="22"/>
        </w:rPr>
        <w:t xml:space="preserve"> McCartney (2023)</w:t>
      </w:r>
    </w:p>
    <w:p w14:paraId="58629D5B" w14:textId="77777777" w:rsidR="00A67E61" w:rsidRDefault="002666D0">
      <w:pPr>
        <w:rPr>
          <w:rFonts w:ascii="Arial" w:eastAsia="Times New Roman" w:hAnsi="Arial" w:cs="Arial"/>
          <w:color w:val="000000"/>
          <w:sz w:val="22"/>
          <w:szCs w:val="22"/>
        </w:rPr>
      </w:pPr>
      <w:r w:rsidRPr="008A62C9">
        <w:rPr>
          <w:rFonts w:ascii="Arial" w:eastAsia="Times New Roman" w:hAnsi="Arial" w:cs="Arial"/>
          <w:color w:val="000000"/>
          <w:sz w:val="22"/>
          <w:szCs w:val="22"/>
        </w:rPr>
        <w:t xml:space="preserve">Temporary agencies and industry/field-specific search firms are two types of recruitment services that help </w:t>
      </w:r>
      <w:r w:rsidR="00943B3A" w:rsidRPr="008A62C9">
        <w:rPr>
          <w:rFonts w:ascii="Arial" w:eastAsia="Times New Roman" w:hAnsi="Arial" w:cs="Arial"/>
          <w:color w:val="000000"/>
          <w:sz w:val="22"/>
          <w:szCs w:val="22"/>
        </w:rPr>
        <w:t>organisations</w:t>
      </w:r>
      <w:r w:rsidRPr="008A62C9">
        <w:rPr>
          <w:rFonts w:ascii="Arial" w:eastAsia="Times New Roman" w:hAnsi="Arial" w:cs="Arial"/>
          <w:color w:val="000000"/>
          <w:sz w:val="22"/>
          <w:szCs w:val="22"/>
        </w:rPr>
        <w:t xml:space="preserve"> fill temporary vacancies. Temporary agencies provide candidates for part-time or full-time jobs, often through their own assessment methods, ensuring a good fit for the job. Industry/field-specific search firms </w:t>
      </w:r>
      <w:r w:rsidR="00943B3A" w:rsidRPr="008A62C9">
        <w:rPr>
          <w:rFonts w:ascii="Arial" w:eastAsia="Times New Roman" w:hAnsi="Arial" w:cs="Arial"/>
          <w:color w:val="000000"/>
          <w:sz w:val="22"/>
          <w:szCs w:val="22"/>
        </w:rPr>
        <w:t>specialise</w:t>
      </w:r>
      <w:r w:rsidRPr="008A62C9">
        <w:rPr>
          <w:rFonts w:ascii="Arial" w:eastAsia="Times New Roman" w:hAnsi="Arial" w:cs="Arial"/>
          <w:color w:val="000000"/>
          <w:sz w:val="22"/>
          <w:szCs w:val="22"/>
        </w:rPr>
        <w:t xml:space="preserve"> in specific fields, such as IT, accounting, healthcare, insurance, or senior-level professionals. They have extensive pipelines of qualified candidates and can be costly to </w:t>
      </w:r>
      <w:r w:rsidR="00F66024" w:rsidRPr="008A62C9">
        <w:rPr>
          <w:rFonts w:ascii="Arial" w:eastAsia="Times New Roman" w:hAnsi="Arial" w:cs="Arial"/>
          <w:color w:val="000000"/>
          <w:sz w:val="22"/>
          <w:szCs w:val="22"/>
        </w:rPr>
        <w:t>retain but</w:t>
      </w:r>
      <w:r w:rsidRPr="008A62C9">
        <w:rPr>
          <w:rFonts w:ascii="Arial" w:eastAsia="Times New Roman" w:hAnsi="Arial" w:cs="Arial"/>
          <w:color w:val="000000"/>
          <w:sz w:val="22"/>
          <w:szCs w:val="22"/>
        </w:rPr>
        <w:t xml:space="preserve"> are worth it for recruiting exceptional or hard-to-find professionals.</w:t>
      </w:r>
      <w:r w:rsidR="00F66024" w:rsidRPr="008A62C9">
        <w:rPr>
          <w:rFonts w:ascii="Arial" w:eastAsia="Times New Roman" w:hAnsi="Arial" w:cs="Arial"/>
          <w:color w:val="000000"/>
          <w:sz w:val="22"/>
          <w:szCs w:val="22"/>
        </w:rPr>
        <w:t xml:space="preserve"> </w:t>
      </w:r>
      <w:proofErr w:type="spellStart"/>
      <w:r w:rsidR="00F66024" w:rsidRPr="008A62C9">
        <w:rPr>
          <w:rFonts w:ascii="Arial" w:eastAsia="Times New Roman" w:hAnsi="Arial" w:cs="Arial"/>
          <w:color w:val="000000"/>
          <w:sz w:val="22"/>
          <w:szCs w:val="22"/>
        </w:rPr>
        <w:t>Picardi</w:t>
      </w:r>
      <w:proofErr w:type="spellEnd"/>
      <w:r w:rsidR="00F66024" w:rsidRPr="008A62C9">
        <w:rPr>
          <w:rFonts w:ascii="Arial" w:eastAsia="Times New Roman" w:hAnsi="Arial" w:cs="Arial"/>
          <w:color w:val="000000"/>
          <w:sz w:val="22"/>
          <w:szCs w:val="22"/>
        </w:rPr>
        <w:t xml:space="preserve"> (2020)</w:t>
      </w:r>
      <w:r w:rsidR="00AD1396" w:rsidRPr="008A62C9">
        <w:rPr>
          <w:rFonts w:ascii="Arial" w:eastAsia="Times New Roman" w:hAnsi="Arial" w:cs="Arial"/>
          <w:color w:val="000000"/>
          <w:sz w:val="22"/>
          <w:szCs w:val="22"/>
        </w:rPr>
        <w:t xml:space="preserve">. </w:t>
      </w:r>
    </w:p>
    <w:p w14:paraId="24838527" w14:textId="232187C7" w:rsidR="00B71D1F" w:rsidRPr="008A62C9" w:rsidRDefault="00025169">
      <w:pPr>
        <w:rPr>
          <w:rFonts w:ascii="Arial" w:eastAsia="Times New Roman" w:hAnsi="Arial" w:cs="Arial"/>
          <w:color w:val="000000"/>
          <w:sz w:val="22"/>
          <w:szCs w:val="22"/>
        </w:rPr>
      </w:pPr>
      <w:r w:rsidRPr="008A62C9">
        <w:rPr>
          <w:rFonts w:ascii="Arial" w:eastAsia="Times New Roman" w:hAnsi="Arial" w:cs="Arial"/>
          <w:color w:val="000000"/>
          <w:sz w:val="22"/>
          <w:szCs w:val="22"/>
        </w:rPr>
        <w:t>Agencies often recruit staff quickly, potentially leaving them on the books of other agencies without ethical restrictions. They may not provide suitable candidates and charge a fee ranging from 10% to 20%.</w:t>
      </w:r>
      <w:r w:rsidR="0032390F" w:rsidRPr="008A62C9">
        <w:rPr>
          <w:rFonts w:ascii="Arial" w:eastAsia="Times New Roman" w:hAnsi="Arial" w:cs="Arial"/>
          <w:color w:val="000000"/>
          <w:sz w:val="22"/>
          <w:szCs w:val="22"/>
        </w:rPr>
        <w:t xml:space="preserve"> </w:t>
      </w:r>
      <w:proofErr w:type="spellStart"/>
      <w:r w:rsidR="0032390F" w:rsidRPr="008A62C9">
        <w:rPr>
          <w:rFonts w:ascii="Arial" w:eastAsia="Times New Roman" w:hAnsi="Arial" w:cs="Arial"/>
          <w:color w:val="000000"/>
          <w:sz w:val="22"/>
          <w:szCs w:val="22"/>
        </w:rPr>
        <w:t>Stredwick</w:t>
      </w:r>
      <w:proofErr w:type="spellEnd"/>
      <w:r w:rsidR="0032390F" w:rsidRPr="008A62C9">
        <w:rPr>
          <w:rFonts w:ascii="Arial" w:eastAsia="Times New Roman" w:hAnsi="Arial" w:cs="Arial"/>
          <w:color w:val="000000"/>
          <w:sz w:val="22"/>
          <w:szCs w:val="22"/>
        </w:rPr>
        <w:t xml:space="preserve"> (2005)</w:t>
      </w:r>
    </w:p>
    <w:p w14:paraId="1C55BAF5" w14:textId="53BCDE5D" w:rsidR="00C07B84" w:rsidRPr="008A62C9" w:rsidRDefault="00EE089C">
      <w:pPr>
        <w:rPr>
          <w:rFonts w:ascii="Arial" w:eastAsia="Times New Roman" w:hAnsi="Arial" w:cs="Arial"/>
          <w:color w:val="000000"/>
          <w:sz w:val="22"/>
          <w:szCs w:val="22"/>
        </w:rPr>
      </w:pPr>
      <w:r w:rsidRPr="008A62C9">
        <w:rPr>
          <w:rFonts w:ascii="Arial" w:eastAsia="Times New Roman" w:hAnsi="Arial" w:cs="Arial"/>
          <w:color w:val="000000"/>
          <w:sz w:val="22"/>
          <w:szCs w:val="22"/>
        </w:rPr>
        <w:t xml:space="preserve">Word of mouth is a cost-effective and simple recruitment method, often boosted by staff introductions. It is likely to attract applicants with a good understanding of the </w:t>
      </w:r>
      <w:r w:rsidR="007E603F" w:rsidRPr="008A62C9">
        <w:rPr>
          <w:rFonts w:ascii="Arial" w:eastAsia="Times New Roman" w:hAnsi="Arial" w:cs="Arial"/>
          <w:color w:val="000000"/>
          <w:sz w:val="22"/>
          <w:szCs w:val="22"/>
        </w:rPr>
        <w:t>organisation</w:t>
      </w:r>
      <w:r w:rsidRPr="008A62C9">
        <w:rPr>
          <w:rFonts w:ascii="Arial" w:eastAsia="Times New Roman" w:hAnsi="Arial" w:cs="Arial"/>
          <w:color w:val="000000"/>
          <w:sz w:val="22"/>
          <w:szCs w:val="22"/>
        </w:rPr>
        <w:t xml:space="preserve"> and </w:t>
      </w:r>
      <w:r w:rsidR="007E603F" w:rsidRPr="008A62C9">
        <w:rPr>
          <w:rFonts w:ascii="Arial" w:eastAsia="Times New Roman" w:hAnsi="Arial" w:cs="Arial"/>
          <w:color w:val="000000"/>
          <w:sz w:val="22"/>
          <w:szCs w:val="22"/>
        </w:rPr>
        <w:t>job and</w:t>
      </w:r>
      <w:r w:rsidRPr="008A62C9">
        <w:rPr>
          <w:rFonts w:ascii="Arial" w:eastAsia="Times New Roman" w:hAnsi="Arial" w:cs="Arial"/>
          <w:color w:val="000000"/>
          <w:sz w:val="22"/>
          <w:szCs w:val="22"/>
        </w:rPr>
        <w:t xml:space="preserve"> should fit well within the </w:t>
      </w:r>
      <w:r w:rsidR="007E603F" w:rsidRPr="008A62C9">
        <w:rPr>
          <w:rFonts w:ascii="Arial" w:eastAsia="Times New Roman" w:hAnsi="Arial" w:cs="Arial"/>
          <w:color w:val="000000"/>
          <w:sz w:val="22"/>
          <w:szCs w:val="22"/>
        </w:rPr>
        <w:t>organisation’s</w:t>
      </w:r>
      <w:r w:rsidRPr="008A62C9">
        <w:rPr>
          <w:rFonts w:ascii="Arial" w:eastAsia="Times New Roman" w:hAnsi="Arial" w:cs="Arial"/>
          <w:color w:val="000000"/>
          <w:sz w:val="22"/>
          <w:szCs w:val="22"/>
        </w:rPr>
        <w:t xml:space="preserve"> culture. However, it may be a discriminatory approach, as opportunities may not be known to outside applicants, and it may exclude females and ethnic minorities from the process in a </w:t>
      </w:r>
      <w:r w:rsidR="007E603F" w:rsidRPr="008A62C9">
        <w:rPr>
          <w:rFonts w:ascii="Arial" w:eastAsia="Times New Roman" w:hAnsi="Arial" w:cs="Arial"/>
          <w:color w:val="000000"/>
          <w:sz w:val="22"/>
          <w:szCs w:val="22"/>
        </w:rPr>
        <w:t>white</w:t>
      </w:r>
      <w:r w:rsidRPr="008A62C9">
        <w:rPr>
          <w:rFonts w:ascii="Arial" w:eastAsia="Times New Roman" w:hAnsi="Arial" w:cs="Arial"/>
          <w:color w:val="000000"/>
          <w:sz w:val="22"/>
          <w:szCs w:val="22"/>
        </w:rPr>
        <w:t>, single-sex environment.</w:t>
      </w:r>
      <w:r w:rsidR="002134B2" w:rsidRPr="008A62C9">
        <w:rPr>
          <w:rFonts w:ascii="Arial" w:eastAsia="Times New Roman" w:hAnsi="Arial" w:cs="Arial"/>
          <w:color w:val="000000"/>
          <w:sz w:val="22"/>
          <w:szCs w:val="22"/>
        </w:rPr>
        <w:t xml:space="preserve"> </w:t>
      </w:r>
      <w:proofErr w:type="spellStart"/>
      <w:r w:rsidR="002134B2" w:rsidRPr="008A62C9">
        <w:rPr>
          <w:rFonts w:ascii="Arial" w:eastAsia="Times New Roman" w:hAnsi="Arial" w:cs="Arial"/>
          <w:color w:val="000000"/>
          <w:sz w:val="22"/>
          <w:szCs w:val="22"/>
        </w:rPr>
        <w:t>Stredwick</w:t>
      </w:r>
      <w:proofErr w:type="spellEnd"/>
      <w:r w:rsidR="002134B2" w:rsidRPr="008A62C9">
        <w:rPr>
          <w:rFonts w:ascii="Arial" w:eastAsia="Times New Roman" w:hAnsi="Arial" w:cs="Arial"/>
          <w:color w:val="000000"/>
          <w:sz w:val="22"/>
          <w:szCs w:val="22"/>
        </w:rPr>
        <w:t xml:space="preserve"> (2005b)</w:t>
      </w:r>
    </w:p>
    <w:p w14:paraId="2932D418" w14:textId="72D0029F" w:rsidR="00456983" w:rsidRPr="008A62C9" w:rsidRDefault="00456983">
      <w:pPr>
        <w:rPr>
          <w:rFonts w:ascii="Arial" w:eastAsia="Times New Roman" w:hAnsi="Arial" w:cs="Arial"/>
          <w:color w:val="000000"/>
          <w:sz w:val="22"/>
          <w:szCs w:val="22"/>
        </w:rPr>
      </w:pPr>
      <w:r w:rsidRPr="008A62C9">
        <w:rPr>
          <w:rFonts w:ascii="Arial" w:eastAsia="Times New Roman" w:hAnsi="Arial" w:cs="Arial"/>
          <w:color w:val="000000"/>
          <w:sz w:val="22"/>
          <w:szCs w:val="22"/>
        </w:rPr>
        <w:t xml:space="preserve">ParcelCare should ensure fair selection methods, including shortlisting and assessment, based on candidates' ability to perform roles, contribute to the </w:t>
      </w:r>
      <w:r w:rsidR="00C07B84" w:rsidRPr="008A62C9">
        <w:rPr>
          <w:rFonts w:ascii="Arial" w:eastAsia="Times New Roman" w:hAnsi="Arial" w:cs="Arial"/>
          <w:color w:val="000000"/>
          <w:sz w:val="22"/>
          <w:szCs w:val="22"/>
        </w:rPr>
        <w:t>organisation</w:t>
      </w:r>
      <w:r w:rsidRPr="008A62C9">
        <w:rPr>
          <w:rFonts w:ascii="Arial" w:eastAsia="Times New Roman" w:hAnsi="Arial" w:cs="Arial"/>
          <w:color w:val="000000"/>
          <w:sz w:val="22"/>
          <w:szCs w:val="22"/>
        </w:rPr>
        <w:t>, and their potential for development.</w:t>
      </w:r>
      <w:r w:rsidR="00F4527A" w:rsidRPr="008A62C9">
        <w:rPr>
          <w:rFonts w:ascii="Arial" w:eastAsia="Times New Roman" w:hAnsi="Arial" w:cs="Arial"/>
          <w:color w:val="000000"/>
          <w:sz w:val="22"/>
          <w:szCs w:val="22"/>
        </w:rPr>
        <w:t xml:space="preserve"> CIPD (2023c)</w:t>
      </w:r>
    </w:p>
    <w:p w14:paraId="493414DE" w14:textId="51BA4459" w:rsidR="00D36917" w:rsidRPr="008A62C9" w:rsidRDefault="00D36917">
      <w:pPr>
        <w:rPr>
          <w:rFonts w:ascii="Arial" w:eastAsia="Times New Roman" w:hAnsi="Arial" w:cs="Arial"/>
          <w:color w:val="000000"/>
          <w:sz w:val="22"/>
          <w:szCs w:val="22"/>
        </w:rPr>
      </w:pPr>
      <w:r w:rsidRPr="008A62C9">
        <w:rPr>
          <w:rFonts w:ascii="Arial" w:eastAsia="Times New Roman" w:hAnsi="Arial" w:cs="Arial"/>
          <w:color w:val="000000"/>
          <w:sz w:val="22"/>
          <w:szCs w:val="22"/>
        </w:rPr>
        <w:t>Assessment centres are sophisticated selection methods that combine various selection methods, including candidate presentations, interviews, individual work samples, ability tests, group activities, and role-playing. These centres gather a group of applicants and assess each individual using various selection methods, such as candidate presentations, interviews, and group activities. The advantage of these methods is their validity in measuring an individual's suitability for a role, but they are only viable for large numbers of candidates and can be costly.</w:t>
      </w:r>
      <w:r w:rsidR="00146448" w:rsidRPr="008A62C9">
        <w:rPr>
          <w:rFonts w:ascii="Arial" w:eastAsia="Times New Roman" w:hAnsi="Arial" w:cs="Arial"/>
          <w:color w:val="000000"/>
          <w:sz w:val="22"/>
          <w:szCs w:val="22"/>
        </w:rPr>
        <w:t xml:space="preserve"> </w:t>
      </w:r>
      <w:r w:rsidR="00B82944" w:rsidRPr="008A62C9">
        <w:rPr>
          <w:rFonts w:ascii="Arial" w:eastAsia="Times New Roman" w:hAnsi="Arial" w:cs="Arial"/>
          <w:color w:val="000000"/>
          <w:sz w:val="22"/>
          <w:szCs w:val="22"/>
        </w:rPr>
        <w:t xml:space="preserve">Taylor and </w:t>
      </w:r>
      <w:proofErr w:type="spellStart"/>
      <w:r w:rsidR="00B82944" w:rsidRPr="008A62C9">
        <w:rPr>
          <w:rFonts w:ascii="Arial" w:eastAsia="Times New Roman" w:hAnsi="Arial" w:cs="Arial"/>
          <w:color w:val="000000"/>
          <w:sz w:val="22"/>
          <w:szCs w:val="22"/>
        </w:rPr>
        <w:t>Woodhams</w:t>
      </w:r>
      <w:proofErr w:type="spellEnd"/>
      <w:r w:rsidR="00B82944" w:rsidRPr="008A62C9">
        <w:rPr>
          <w:rFonts w:ascii="Arial" w:eastAsia="Times New Roman" w:hAnsi="Arial" w:cs="Arial"/>
          <w:color w:val="000000"/>
          <w:sz w:val="22"/>
          <w:szCs w:val="22"/>
        </w:rPr>
        <w:t xml:space="preserve"> (2016k)</w:t>
      </w:r>
    </w:p>
    <w:p w14:paraId="1809E285" w14:textId="3A4A262F" w:rsidR="007C4640" w:rsidRPr="008A62C9" w:rsidRDefault="008A62C9">
      <w:pPr>
        <w:rPr>
          <w:rFonts w:ascii="Arial" w:eastAsia="Times New Roman" w:hAnsi="Arial" w:cs="Arial"/>
          <w:color w:val="000000"/>
          <w:sz w:val="22"/>
          <w:szCs w:val="22"/>
        </w:rPr>
      </w:pPr>
      <w:r w:rsidRPr="008A62C9">
        <w:rPr>
          <w:rFonts w:ascii="Arial" w:eastAsia="Times New Roman" w:hAnsi="Arial" w:cs="Arial"/>
          <w:color w:val="000000"/>
          <w:sz w:val="22"/>
          <w:szCs w:val="22"/>
        </w:rPr>
        <w:t xml:space="preserve">Structured interviews are essential for employer and candidate selection, ensuring equal playing field and </w:t>
      </w:r>
      <w:r w:rsidR="00A67E61" w:rsidRPr="008A62C9">
        <w:rPr>
          <w:rFonts w:ascii="Arial" w:eastAsia="Times New Roman" w:hAnsi="Arial" w:cs="Arial"/>
          <w:color w:val="000000"/>
          <w:sz w:val="22"/>
          <w:szCs w:val="22"/>
        </w:rPr>
        <w:t>minimising</w:t>
      </w:r>
      <w:r w:rsidRPr="008A62C9">
        <w:rPr>
          <w:rFonts w:ascii="Arial" w:eastAsia="Times New Roman" w:hAnsi="Arial" w:cs="Arial"/>
          <w:color w:val="000000"/>
          <w:sz w:val="22"/>
          <w:szCs w:val="22"/>
        </w:rPr>
        <w:t xml:space="preserve"> bias. They should include questions, scoring criteria, multiple interviewers, and professional conduct, including psychometric tests and task simulation activities.</w:t>
      </w:r>
      <w:r w:rsidR="0054277C" w:rsidRPr="008A62C9">
        <w:rPr>
          <w:rFonts w:ascii="Arial" w:eastAsia="Times New Roman" w:hAnsi="Arial" w:cs="Arial"/>
          <w:color w:val="000000"/>
          <w:sz w:val="22"/>
          <w:szCs w:val="22"/>
        </w:rPr>
        <w:t xml:space="preserve"> CIPD (2023d)</w:t>
      </w:r>
    </w:p>
    <w:p w14:paraId="1DE49D65" w14:textId="00EE8FAB" w:rsidR="00795BD4" w:rsidRPr="008A62C9" w:rsidRDefault="004231F8">
      <w:pPr>
        <w:rPr>
          <w:rFonts w:ascii="Arial" w:hAnsi="Arial" w:cs="Arial"/>
          <w:color w:val="215E99" w:themeColor="text2" w:themeTint="BF"/>
          <w:sz w:val="22"/>
          <w:szCs w:val="22"/>
        </w:rPr>
      </w:pPr>
      <w:r w:rsidRPr="008A62C9">
        <w:rPr>
          <w:rFonts w:ascii="Arial" w:eastAsia="Times New Roman" w:hAnsi="Arial" w:cs="Arial"/>
          <w:color w:val="000000"/>
          <w:sz w:val="22"/>
          <w:szCs w:val="22"/>
        </w:rPr>
        <w:t xml:space="preserve">Interviewers make decisions based on factors like person specification, intuition, prior decision-making, self-preference, and stereotypes. They may also adjust information, influence candidates' </w:t>
      </w:r>
      <w:r w:rsidR="00A67E61" w:rsidRPr="008A62C9">
        <w:rPr>
          <w:rFonts w:ascii="Arial" w:eastAsia="Times New Roman" w:hAnsi="Arial" w:cs="Arial"/>
          <w:color w:val="000000"/>
          <w:sz w:val="22"/>
          <w:szCs w:val="22"/>
        </w:rPr>
        <w:t>behaviour</w:t>
      </w:r>
      <w:r w:rsidRPr="008A62C9">
        <w:rPr>
          <w:rFonts w:ascii="Arial" w:eastAsia="Times New Roman" w:hAnsi="Arial" w:cs="Arial"/>
          <w:color w:val="000000"/>
          <w:sz w:val="22"/>
          <w:szCs w:val="22"/>
        </w:rPr>
        <w:t>, and pressure to select a successful candidate, making it crucial to avoid biases.</w:t>
      </w:r>
      <w:r w:rsidR="00CF427B" w:rsidRPr="008A62C9">
        <w:rPr>
          <w:rFonts w:ascii="Arial" w:eastAsia="Times New Roman" w:hAnsi="Arial" w:cs="Arial"/>
          <w:color w:val="000000"/>
          <w:sz w:val="22"/>
          <w:szCs w:val="22"/>
        </w:rPr>
        <w:t xml:space="preserve"> </w:t>
      </w:r>
      <w:proofErr w:type="spellStart"/>
      <w:r w:rsidR="00CF427B" w:rsidRPr="008A62C9">
        <w:rPr>
          <w:rFonts w:ascii="Arial" w:eastAsia="Times New Roman" w:hAnsi="Arial" w:cs="Arial"/>
          <w:color w:val="000000"/>
          <w:sz w:val="22"/>
          <w:szCs w:val="22"/>
        </w:rPr>
        <w:t>Stredwick</w:t>
      </w:r>
      <w:proofErr w:type="spellEnd"/>
      <w:r w:rsidR="00CF427B" w:rsidRPr="008A62C9">
        <w:rPr>
          <w:rFonts w:ascii="Arial" w:eastAsia="Times New Roman" w:hAnsi="Arial" w:cs="Arial"/>
          <w:color w:val="000000"/>
          <w:sz w:val="22"/>
          <w:szCs w:val="22"/>
        </w:rPr>
        <w:t xml:space="preserve"> (2005c)</w:t>
      </w:r>
    </w:p>
    <w:p w14:paraId="5B25D674" w14:textId="64EB249A" w:rsidR="00E334FC" w:rsidRDefault="002B0FA8">
      <w:pPr>
        <w:rPr>
          <w:rStyle w:val="ui-provider"/>
          <w:rFonts w:ascii="Arial" w:hAnsi="Arial" w:cs="Arial"/>
          <w:color w:val="215E99" w:themeColor="text2" w:themeTint="BF"/>
          <w:sz w:val="22"/>
          <w:szCs w:val="22"/>
        </w:rPr>
      </w:pPr>
      <w:r w:rsidRPr="002B0FA8">
        <w:rPr>
          <w:rStyle w:val="ui-provider"/>
          <w:rFonts w:ascii="Arial" w:hAnsi="Arial" w:cs="Arial"/>
          <w:color w:val="215E99" w:themeColor="text2" w:themeTint="BF"/>
          <w:sz w:val="22"/>
          <w:szCs w:val="22"/>
        </w:rPr>
        <w:t>6.</w:t>
      </w:r>
      <w:r w:rsidR="00C541D1" w:rsidRPr="002B0FA8">
        <w:rPr>
          <w:rStyle w:val="ui-provider"/>
          <w:rFonts w:ascii="Arial" w:hAnsi="Arial" w:cs="Arial"/>
          <w:color w:val="215E99" w:themeColor="text2" w:themeTint="BF"/>
          <w:sz w:val="22"/>
          <w:szCs w:val="22"/>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3860760E" w14:textId="679DBE0A" w:rsidR="00B1420A" w:rsidRPr="00614D8D" w:rsidRDefault="003C3A1F">
      <w:pPr>
        <w:rPr>
          <w:rFonts w:ascii="Arial" w:eastAsia="Times New Roman" w:hAnsi="Arial" w:cs="Arial"/>
          <w:color w:val="000000"/>
          <w:sz w:val="22"/>
          <w:szCs w:val="22"/>
        </w:rPr>
      </w:pPr>
      <w:r w:rsidRPr="00614D8D">
        <w:rPr>
          <w:rFonts w:ascii="Arial" w:eastAsia="Times New Roman" w:hAnsi="Arial" w:cs="Arial"/>
          <w:color w:val="000000"/>
          <w:sz w:val="22"/>
          <w:szCs w:val="22"/>
        </w:rPr>
        <w:lastRenderedPageBreak/>
        <w:t>Understanding the reasons behind dysfunctional turnover is crucial for reducing it, distinguishing between unavoidable and potentially avoided reasons for employee departures.</w:t>
      </w:r>
    </w:p>
    <w:p w14:paraId="726957C2" w14:textId="27D38783" w:rsidR="006B5D86" w:rsidRDefault="006B5D86">
      <w:pPr>
        <w:rPr>
          <w:rFonts w:ascii="Arial" w:eastAsia="Times New Roman" w:hAnsi="Arial" w:cs="Arial"/>
          <w:color w:val="000000"/>
          <w:sz w:val="22"/>
          <w:szCs w:val="22"/>
        </w:rPr>
      </w:pPr>
      <w:r w:rsidRPr="00614D8D">
        <w:rPr>
          <w:rFonts w:ascii="Arial" w:eastAsia="Times New Roman" w:hAnsi="Arial" w:cs="Arial"/>
          <w:color w:val="000000"/>
          <w:sz w:val="22"/>
          <w:szCs w:val="22"/>
        </w:rPr>
        <w:t xml:space="preserve">Unavoidable turnover occurs due to unrelated factors like illness or domestic commitments, </w:t>
      </w:r>
      <w:r w:rsidRPr="000A242C">
        <w:rPr>
          <w:rFonts w:ascii="Arial" w:eastAsia="Times New Roman" w:hAnsi="Arial" w:cs="Arial"/>
          <w:color w:val="000000"/>
          <w:sz w:val="22"/>
          <w:szCs w:val="22"/>
        </w:rPr>
        <w:t>while avoidable turnover, influenced by dissatisfaction, is potentially within management's control, accounting for around 90% of employee departures.</w:t>
      </w:r>
      <w:r w:rsidR="00614D8D" w:rsidRPr="000A242C">
        <w:rPr>
          <w:rFonts w:ascii="Arial" w:eastAsia="Times New Roman" w:hAnsi="Arial" w:cs="Arial"/>
          <w:color w:val="000000"/>
          <w:sz w:val="22"/>
          <w:szCs w:val="22"/>
        </w:rPr>
        <w:t xml:space="preserve"> Taylor and </w:t>
      </w:r>
      <w:proofErr w:type="spellStart"/>
      <w:r w:rsidR="00614D8D" w:rsidRPr="000A242C">
        <w:rPr>
          <w:rFonts w:ascii="Arial" w:eastAsia="Times New Roman" w:hAnsi="Arial" w:cs="Arial"/>
          <w:color w:val="000000"/>
          <w:sz w:val="22"/>
          <w:szCs w:val="22"/>
        </w:rPr>
        <w:t>Woodhams</w:t>
      </w:r>
      <w:proofErr w:type="spellEnd"/>
      <w:r w:rsidR="00614D8D" w:rsidRPr="000A242C">
        <w:rPr>
          <w:rFonts w:ascii="Arial" w:eastAsia="Times New Roman" w:hAnsi="Arial" w:cs="Arial"/>
          <w:color w:val="000000"/>
          <w:sz w:val="22"/>
          <w:szCs w:val="22"/>
        </w:rPr>
        <w:t xml:space="preserve"> (2016l)</w:t>
      </w:r>
    </w:p>
    <w:p w14:paraId="22E23934" w14:textId="20F15554" w:rsidR="004A6B14" w:rsidRPr="00305FE6" w:rsidRDefault="004A6B14">
      <w:pPr>
        <w:rPr>
          <w:rFonts w:ascii="Arial" w:eastAsia="Times New Roman" w:hAnsi="Arial" w:cs="Arial"/>
          <w:color w:val="000000"/>
          <w:sz w:val="22"/>
          <w:szCs w:val="22"/>
        </w:rPr>
      </w:pPr>
      <w:r w:rsidRPr="00305FE6">
        <w:rPr>
          <w:rFonts w:ascii="Arial" w:eastAsia="Times New Roman" w:hAnsi="Arial" w:cs="Arial"/>
          <w:color w:val="000000"/>
          <w:sz w:val="22"/>
          <w:szCs w:val="22"/>
        </w:rPr>
        <w:t xml:space="preserve">Unavoidable turnover can be caused by various factors like health issues or lottery </w:t>
      </w:r>
      <w:r w:rsidR="00305FE6" w:rsidRPr="00305FE6">
        <w:rPr>
          <w:rFonts w:ascii="Arial" w:eastAsia="Times New Roman" w:hAnsi="Arial" w:cs="Arial"/>
          <w:color w:val="000000"/>
          <w:sz w:val="22"/>
          <w:szCs w:val="22"/>
        </w:rPr>
        <w:t>winnings and</w:t>
      </w:r>
      <w:r w:rsidRPr="00305FE6">
        <w:rPr>
          <w:rFonts w:ascii="Arial" w:eastAsia="Times New Roman" w:hAnsi="Arial" w:cs="Arial"/>
          <w:color w:val="000000"/>
          <w:sz w:val="22"/>
          <w:szCs w:val="22"/>
        </w:rPr>
        <w:t xml:space="preserve"> can be influenced by eight types of motivations: affective, calculative, contractual, </w:t>
      </w:r>
      <w:proofErr w:type="spellStart"/>
      <w:r w:rsidRPr="00305FE6">
        <w:rPr>
          <w:rFonts w:ascii="Arial" w:eastAsia="Times New Roman" w:hAnsi="Arial" w:cs="Arial"/>
          <w:color w:val="000000"/>
          <w:sz w:val="22"/>
          <w:szCs w:val="22"/>
        </w:rPr>
        <w:t>behavioral</w:t>
      </w:r>
      <w:proofErr w:type="spellEnd"/>
      <w:r w:rsidRPr="00305FE6">
        <w:rPr>
          <w:rFonts w:ascii="Arial" w:eastAsia="Times New Roman" w:hAnsi="Arial" w:cs="Arial"/>
          <w:color w:val="000000"/>
          <w:sz w:val="22"/>
          <w:szCs w:val="22"/>
        </w:rPr>
        <w:t>, alternative, normative constituent, and moral/ethical.</w:t>
      </w:r>
      <w:r w:rsidR="007D2F1A" w:rsidRPr="00305FE6">
        <w:rPr>
          <w:rFonts w:ascii="Arial" w:eastAsia="Times New Roman" w:hAnsi="Arial" w:cs="Arial"/>
          <w:color w:val="000000"/>
          <w:sz w:val="22"/>
          <w:szCs w:val="22"/>
        </w:rPr>
        <w:t xml:space="preserve"> Allen and Bryant (2012b)</w:t>
      </w:r>
    </w:p>
    <w:p w14:paraId="6F663D6C" w14:textId="508F38F1" w:rsidR="00DA7BE1" w:rsidRPr="0026260A" w:rsidRDefault="00DA7BE1">
      <w:pPr>
        <w:rPr>
          <w:rFonts w:ascii="Arial" w:eastAsia="Times New Roman" w:hAnsi="Arial" w:cs="Arial"/>
          <w:color w:val="000000"/>
          <w:sz w:val="22"/>
          <w:szCs w:val="22"/>
        </w:rPr>
      </w:pPr>
      <w:r w:rsidRPr="0026260A">
        <w:rPr>
          <w:rFonts w:ascii="Arial" w:eastAsia="Times New Roman" w:hAnsi="Arial" w:cs="Arial"/>
          <w:color w:val="000000"/>
          <w:sz w:val="22"/>
          <w:szCs w:val="22"/>
        </w:rPr>
        <w:t xml:space="preserve">Avoidable turnover occurs due to factors under </w:t>
      </w:r>
      <w:r w:rsidR="0026260A" w:rsidRPr="0026260A">
        <w:rPr>
          <w:rFonts w:ascii="Arial" w:eastAsia="Times New Roman" w:hAnsi="Arial" w:cs="Arial"/>
          <w:color w:val="000000"/>
          <w:sz w:val="22"/>
          <w:szCs w:val="22"/>
        </w:rPr>
        <w:t>organisational</w:t>
      </w:r>
      <w:r w:rsidRPr="0026260A">
        <w:rPr>
          <w:rFonts w:ascii="Arial" w:eastAsia="Times New Roman" w:hAnsi="Arial" w:cs="Arial"/>
          <w:color w:val="000000"/>
          <w:sz w:val="22"/>
          <w:szCs w:val="22"/>
        </w:rPr>
        <w:t xml:space="preserve"> control, such as job dissatisfaction, poor supervision, inadequate growth opportunities, or negative </w:t>
      </w:r>
      <w:r w:rsidR="0026260A" w:rsidRPr="0026260A">
        <w:rPr>
          <w:rFonts w:ascii="Arial" w:eastAsia="Times New Roman" w:hAnsi="Arial" w:cs="Arial"/>
          <w:color w:val="000000"/>
          <w:sz w:val="22"/>
          <w:szCs w:val="22"/>
        </w:rPr>
        <w:t>organisational</w:t>
      </w:r>
      <w:r w:rsidRPr="0026260A">
        <w:rPr>
          <w:rFonts w:ascii="Arial" w:eastAsia="Times New Roman" w:hAnsi="Arial" w:cs="Arial"/>
          <w:color w:val="000000"/>
          <w:sz w:val="22"/>
          <w:szCs w:val="22"/>
        </w:rPr>
        <w:t xml:space="preserve"> culture, even if the </w:t>
      </w:r>
      <w:r w:rsidR="0026260A" w:rsidRPr="0026260A">
        <w:rPr>
          <w:rFonts w:ascii="Arial" w:eastAsia="Times New Roman" w:hAnsi="Arial" w:cs="Arial"/>
          <w:color w:val="000000"/>
          <w:sz w:val="22"/>
          <w:szCs w:val="22"/>
        </w:rPr>
        <w:t>organisation</w:t>
      </w:r>
      <w:r w:rsidRPr="0026260A">
        <w:rPr>
          <w:rFonts w:ascii="Arial" w:eastAsia="Times New Roman" w:hAnsi="Arial" w:cs="Arial"/>
          <w:color w:val="000000"/>
          <w:sz w:val="22"/>
          <w:szCs w:val="22"/>
        </w:rPr>
        <w:t xml:space="preserve"> does everything right</w:t>
      </w:r>
      <w:r w:rsidR="00E31AD5" w:rsidRPr="0026260A">
        <w:rPr>
          <w:rFonts w:ascii="Arial" w:eastAsia="Times New Roman" w:hAnsi="Arial" w:cs="Arial"/>
          <w:color w:val="000000"/>
          <w:sz w:val="22"/>
          <w:szCs w:val="22"/>
        </w:rPr>
        <w:t xml:space="preserve"> Allen and Bryant (2012)</w:t>
      </w:r>
      <w:r w:rsidRPr="0026260A">
        <w:rPr>
          <w:rFonts w:ascii="Arial" w:eastAsia="Times New Roman" w:hAnsi="Arial" w:cs="Arial"/>
          <w:color w:val="000000"/>
          <w:sz w:val="22"/>
          <w:szCs w:val="22"/>
        </w:rPr>
        <w:t>.</w:t>
      </w:r>
    </w:p>
    <w:p w14:paraId="1784ED4E" w14:textId="106D2149" w:rsidR="003C3A1F" w:rsidRPr="002B0FA8" w:rsidRDefault="00B04551">
      <w:pPr>
        <w:rPr>
          <w:rFonts w:ascii="Arial" w:hAnsi="Arial" w:cs="Arial"/>
          <w:color w:val="215E99" w:themeColor="text2" w:themeTint="BF"/>
          <w:sz w:val="22"/>
          <w:szCs w:val="22"/>
        </w:rPr>
      </w:pPr>
      <w:r w:rsidRPr="000A242C">
        <w:rPr>
          <w:rFonts w:ascii="Arial" w:eastAsia="Times New Roman" w:hAnsi="Arial" w:cs="Arial"/>
          <w:color w:val="000000"/>
          <w:sz w:val="22"/>
          <w:szCs w:val="22"/>
        </w:rPr>
        <w:t xml:space="preserve">Around 90% of employee departures are voluntary, and identifying the reasons behind these departures is crucial for implementing appropriate </w:t>
      </w:r>
      <w:r w:rsidR="002A6D52" w:rsidRPr="000A242C">
        <w:rPr>
          <w:rFonts w:ascii="Arial" w:eastAsia="Times New Roman" w:hAnsi="Arial" w:cs="Arial"/>
          <w:color w:val="000000"/>
          <w:sz w:val="22"/>
          <w:szCs w:val="22"/>
        </w:rPr>
        <w:t>organisational</w:t>
      </w:r>
      <w:r w:rsidRPr="000A242C">
        <w:rPr>
          <w:rFonts w:ascii="Arial" w:eastAsia="Times New Roman" w:hAnsi="Arial" w:cs="Arial"/>
          <w:color w:val="000000"/>
          <w:sz w:val="22"/>
          <w:szCs w:val="22"/>
        </w:rPr>
        <w:t xml:space="preserve"> interventions. Qualitative data sources like exit interviews and staff satisfaction surveys can help identify the real reasons for turnover. Around 90% of organisations use exit interview mechanisms, which involve discussions between the departing employee and a company representative, focusing on reasons for leaving and potential improvements.</w:t>
      </w:r>
      <w:r w:rsidR="000A242C" w:rsidRPr="000A242C">
        <w:rPr>
          <w:rFonts w:ascii="Arial" w:eastAsia="Times New Roman" w:hAnsi="Arial" w:cs="Arial"/>
          <w:color w:val="000000"/>
          <w:sz w:val="22"/>
          <w:szCs w:val="22"/>
        </w:rPr>
        <w:t xml:space="preserve"> Taylor and </w:t>
      </w:r>
      <w:proofErr w:type="spellStart"/>
      <w:r w:rsidR="000A242C" w:rsidRPr="000A242C">
        <w:rPr>
          <w:rFonts w:ascii="Arial" w:eastAsia="Times New Roman" w:hAnsi="Arial" w:cs="Arial"/>
          <w:color w:val="000000"/>
          <w:sz w:val="22"/>
          <w:szCs w:val="22"/>
        </w:rPr>
        <w:t>Woodhams</w:t>
      </w:r>
      <w:proofErr w:type="spellEnd"/>
      <w:r w:rsidR="000A242C" w:rsidRPr="000A242C">
        <w:rPr>
          <w:rFonts w:ascii="Arial" w:eastAsia="Times New Roman" w:hAnsi="Arial" w:cs="Arial"/>
          <w:color w:val="000000"/>
          <w:sz w:val="22"/>
          <w:szCs w:val="22"/>
        </w:rPr>
        <w:t xml:space="preserve"> (2016m)</w:t>
      </w:r>
    </w:p>
    <w:p w14:paraId="796F4247" w14:textId="77777777" w:rsidR="00063716" w:rsidRDefault="00D44043">
      <w:pPr>
        <w:rPr>
          <w:rFonts w:ascii="-webkit-standard" w:eastAsia="Times New Roman" w:hAnsi="-webkit-standard"/>
          <w:color w:val="000000"/>
          <w:sz w:val="27"/>
          <w:szCs w:val="27"/>
        </w:rPr>
      </w:pPr>
      <w:r w:rsidRPr="00D44043">
        <w:rPr>
          <w:rFonts w:ascii="Arial" w:eastAsia="Times New Roman" w:hAnsi="Arial" w:cs="Arial"/>
          <w:color w:val="000000"/>
          <w:sz w:val="22"/>
          <w:szCs w:val="22"/>
        </w:rPr>
        <w:t>Organisational</w:t>
      </w:r>
      <w:r w:rsidR="00180ACC" w:rsidRPr="00D44043">
        <w:rPr>
          <w:rFonts w:ascii="Arial" w:eastAsia="Times New Roman" w:hAnsi="Arial" w:cs="Arial"/>
          <w:color w:val="000000"/>
          <w:sz w:val="22"/>
          <w:szCs w:val="22"/>
        </w:rPr>
        <w:t xml:space="preserve"> turnover can be driven by 'pull' factors like job attraction or 'push' factors like </w:t>
      </w:r>
      <w:r w:rsidRPr="00D44043">
        <w:rPr>
          <w:rFonts w:ascii="Arial" w:eastAsia="Times New Roman" w:hAnsi="Arial" w:cs="Arial"/>
          <w:color w:val="000000"/>
          <w:sz w:val="22"/>
          <w:szCs w:val="22"/>
        </w:rPr>
        <w:t>organisational</w:t>
      </w:r>
      <w:r w:rsidR="00180ACC" w:rsidRPr="00D44043">
        <w:rPr>
          <w:rFonts w:ascii="Arial" w:eastAsia="Times New Roman" w:hAnsi="Arial" w:cs="Arial"/>
          <w:color w:val="000000"/>
          <w:sz w:val="22"/>
          <w:szCs w:val="22"/>
        </w:rPr>
        <w:t xml:space="preserve"> change or lack of career development opportunities. Monitoring turnover can identify trends and issues to ensure employee satisfaction.</w:t>
      </w:r>
      <w:r w:rsidR="003F0B85" w:rsidRPr="00D44043">
        <w:rPr>
          <w:rFonts w:ascii="Arial" w:eastAsia="Times New Roman" w:hAnsi="Arial" w:cs="Arial"/>
          <w:color w:val="000000"/>
          <w:sz w:val="22"/>
          <w:szCs w:val="22"/>
        </w:rPr>
        <w:t xml:space="preserve"> </w:t>
      </w:r>
      <w:proofErr w:type="spellStart"/>
      <w:r w:rsidR="003F0B85" w:rsidRPr="00D44043">
        <w:rPr>
          <w:rFonts w:ascii="Arial" w:eastAsia="Times New Roman" w:hAnsi="Arial" w:cs="Arial"/>
          <w:color w:val="000000"/>
          <w:sz w:val="22"/>
          <w:szCs w:val="22"/>
        </w:rPr>
        <w:t>Cockett</w:t>
      </w:r>
      <w:proofErr w:type="spellEnd"/>
      <w:r w:rsidR="003F0B85" w:rsidRPr="00D44043">
        <w:rPr>
          <w:rFonts w:ascii="Arial" w:eastAsia="Times New Roman" w:hAnsi="Arial" w:cs="Arial"/>
          <w:color w:val="000000"/>
          <w:sz w:val="22"/>
          <w:szCs w:val="22"/>
        </w:rPr>
        <w:t xml:space="preserve"> (2024)</w:t>
      </w:r>
      <w:r w:rsidR="00557A4B" w:rsidRPr="00557A4B">
        <w:rPr>
          <w:rFonts w:ascii="-webkit-standard" w:eastAsia="Times New Roman" w:hAnsi="-webkit-standard"/>
          <w:color w:val="000000"/>
          <w:sz w:val="27"/>
          <w:szCs w:val="27"/>
        </w:rPr>
        <w:t xml:space="preserve"> </w:t>
      </w:r>
    </w:p>
    <w:p w14:paraId="27E75E13" w14:textId="77777777" w:rsidR="00D52FFC" w:rsidRDefault="00D52FFC">
      <w:pPr>
        <w:rPr>
          <w:rFonts w:ascii="-webkit-standard" w:eastAsia="Times New Roman" w:hAnsi="-webkit-standard"/>
          <w:color w:val="000000"/>
          <w:sz w:val="27"/>
          <w:szCs w:val="27"/>
        </w:rPr>
      </w:pPr>
    </w:p>
    <w:p w14:paraId="7DFF7015" w14:textId="2FA5A68B" w:rsidR="00833D4A" w:rsidRPr="00833919" w:rsidRDefault="00557A4B">
      <w:pPr>
        <w:rPr>
          <w:rFonts w:ascii="Arial" w:eastAsia="Times New Roman" w:hAnsi="Arial" w:cs="Arial"/>
          <w:color w:val="000000"/>
          <w:sz w:val="22"/>
          <w:szCs w:val="22"/>
        </w:rPr>
      </w:pPr>
      <w:r w:rsidRPr="00021C3C">
        <w:rPr>
          <w:rFonts w:ascii="Arial" w:eastAsia="Times New Roman" w:hAnsi="Arial" w:cs="Arial"/>
          <w:color w:val="000000"/>
          <w:sz w:val="22"/>
          <w:szCs w:val="22"/>
        </w:rPr>
        <w:t>Employees often leave companies due to lack of development opportunities, poor relationships with supervisors, and poor communication</w:t>
      </w:r>
      <w:r w:rsidR="00063716" w:rsidRPr="00021C3C">
        <w:rPr>
          <w:rFonts w:ascii="Arial" w:eastAsia="Times New Roman" w:hAnsi="Arial" w:cs="Arial"/>
          <w:color w:val="000000"/>
          <w:sz w:val="22"/>
          <w:szCs w:val="22"/>
        </w:rPr>
        <w:t xml:space="preserve"> ‘push’ factors</w:t>
      </w:r>
      <w:r w:rsidRPr="00021C3C">
        <w:rPr>
          <w:rFonts w:ascii="Arial" w:eastAsia="Times New Roman" w:hAnsi="Arial" w:cs="Arial"/>
          <w:color w:val="000000"/>
          <w:sz w:val="22"/>
          <w:szCs w:val="22"/>
        </w:rPr>
        <w:t xml:space="preserve">. To address this, </w:t>
      </w:r>
      <w:r w:rsidRPr="00833919">
        <w:rPr>
          <w:rFonts w:ascii="Arial" w:eastAsia="Times New Roman" w:hAnsi="Arial" w:cs="Arial"/>
          <w:color w:val="000000"/>
          <w:sz w:val="22"/>
          <w:szCs w:val="22"/>
        </w:rPr>
        <w:t xml:space="preserve">companies should invest in training, communication, and </w:t>
      </w:r>
      <w:r w:rsidR="00021C3C" w:rsidRPr="00833919">
        <w:rPr>
          <w:rFonts w:ascii="Arial" w:eastAsia="Times New Roman" w:hAnsi="Arial" w:cs="Arial"/>
          <w:color w:val="000000"/>
          <w:sz w:val="22"/>
          <w:szCs w:val="22"/>
        </w:rPr>
        <w:t>team-building</w:t>
      </w:r>
      <w:r w:rsidRPr="00833919">
        <w:rPr>
          <w:rFonts w:ascii="Arial" w:eastAsia="Times New Roman" w:hAnsi="Arial" w:cs="Arial"/>
          <w:color w:val="000000"/>
          <w:sz w:val="22"/>
          <w:szCs w:val="22"/>
        </w:rPr>
        <w:t xml:space="preserve"> activities. They should also focus on equal opportunities, diversity, ethics, and CSR initiatives. Additionally, companies should consider flexible working arrangements, support for working mothers, and invest in maintenance and equipment.</w:t>
      </w:r>
      <w:r w:rsidR="00BE161F" w:rsidRPr="00833919">
        <w:rPr>
          <w:rFonts w:ascii="Arial" w:eastAsia="Times New Roman" w:hAnsi="Arial" w:cs="Arial"/>
          <w:color w:val="000000"/>
          <w:sz w:val="22"/>
          <w:szCs w:val="22"/>
        </w:rPr>
        <w:t xml:space="preserve"> Taylor and </w:t>
      </w:r>
      <w:proofErr w:type="spellStart"/>
      <w:r w:rsidR="00BE161F" w:rsidRPr="00833919">
        <w:rPr>
          <w:rFonts w:ascii="Arial" w:eastAsia="Times New Roman" w:hAnsi="Arial" w:cs="Arial"/>
          <w:color w:val="000000"/>
          <w:sz w:val="22"/>
          <w:szCs w:val="22"/>
        </w:rPr>
        <w:t>Woodhams</w:t>
      </w:r>
      <w:proofErr w:type="spellEnd"/>
      <w:r w:rsidR="00BE161F" w:rsidRPr="00833919">
        <w:rPr>
          <w:rFonts w:ascii="Arial" w:eastAsia="Times New Roman" w:hAnsi="Arial" w:cs="Arial"/>
          <w:color w:val="000000"/>
          <w:sz w:val="22"/>
          <w:szCs w:val="22"/>
        </w:rPr>
        <w:t xml:space="preserve"> (2016n)</w:t>
      </w:r>
    </w:p>
    <w:p w14:paraId="70966569" w14:textId="2BC21B11" w:rsidR="00D44043" w:rsidRDefault="00432C8D">
      <w:pPr>
        <w:rPr>
          <w:rFonts w:ascii="Arial" w:eastAsia="Times New Roman" w:hAnsi="Arial" w:cs="Arial"/>
          <w:color w:val="000000"/>
          <w:sz w:val="22"/>
          <w:szCs w:val="22"/>
        </w:rPr>
      </w:pPr>
      <w:r w:rsidRPr="00833919">
        <w:rPr>
          <w:rFonts w:ascii="Arial" w:eastAsia="Times New Roman" w:hAnsi="Arial" w:cs="Arial"/>
          <w:color w:val="000000"/>
          <w:sz w:val="22"/>
          <w:szCs w:val="22"/>
        </w:rPr>
        <w:t>The ‘pull’ factors influencing job switch decisions include compensation packages offered by other companies, designation offered by other companies, and the goodwill of the company from where the offer is made. Males are more responsive to designation, and those with higher dependency burden and experience are more likely to consider it. Overall, these factors significantly influence employee decisions.</w:t>
      </w:r>
      <w:r w:rsidR="009D1702" w:rsidRPr="00833919">
        <w:rPr>
          <w:rFonts w:ascii="Arial" w:eastAsia="Times New Roman" w:hAnsi="Arial" w:cs="Arial"/>
          <w:color w:val="000000"/>
          <w:sz w:val="22"/>
          <w:szCs w:val="22"/>
        </w:rPr>
        <w:t xml:space="preserve"> </w:t>
      </w:r>
      <w:proofErr w:type="spellStart"/>
      <w:r w:rsidR="009D1702" w:rsidRPr="00833919">
        <w:rPr>
          <w:rFonts w:ascii="Arial" w:eastAsia="Times New Roman" w:hAnsi="Arial" w:cs="Arial"/>
          <w:color w:val="000000"/>
          <w:sz w:val="22"/>
          <w:szCs w:val="22"/>
        </w:rPr>
        <w:t>Sufyan</w:t>
      </w:r>
      <w:proofErr w:type="spellEnd"/>
      <w:r w:rsidR="009D1702" w:rsidRPr="00833919">
        <w:rPr>
          <w:rFonts w:ascii="Arial" w:eastAsia="Times New Roman" w:hAnsi="Arial" w:cs="Arial"/>
          <w:color w:val="000000"/>
          <w:sz w:val="22"/>
          <w:szCs w:val="22"/>
        </w:rPr>
        <w:t xml:space="preserve"> (2010)</w:t>
      </w:r>
    </w:p>
    <w:p w14:paraId="50C79B85" w14:textId="6CE07724" w:rsidR="00A7187F" w:rsidRDefault="00091CD4">
      <w:pPr>
        <w:rPr>
          <w:rStyle w:val="ui-provider"/>
          <w:rFonts w:ascii="Arial" w:hAnsi="Arial" w:cs="Arial"/>
          <w:color w:val="215E99" w:themeColor="text2" w:themeTint="BF"/>
          <w:sz w:val="22"/>
          <w:szCs w:val="22"/>
        </w:rPr>
      </w:pPr>
      <w:r>
        <w:rPr>
          <w:rStyle w:val="ui-provider"/>
          <w:rFonts w:ascii="Arial" w:hAnsi="Arial" w:cs="Arial"/>
          <w:color w:val="215E99" w:themeColor="text2" w:themeTint="BF"/>
          <w:sz w:val="22"/>
          <w:szCs w:val="22"/>
        </w:rPr>
        <w:t>7.</w:t>
      </w:r>
      <w:r w:rsidR="00A7187F" w:rsidRPr="00091CD4">
        <w:rPr>
          <w:rStyle w:val="ui-provider"/>
          <w:rFonts w:ascii="Arial" w:hAnsi="Arial" w:cs="Arial"/>
          <w:color w:val="215E99" w:themeColor="text2" w:themeTint="BF"/>
          <w:sz w:val="22"/>
          <w:szCs w:val="22"/>
        </w:rPr>
        <w:t>Retention of warehouse staff is an issue, as there are many labour market competitors. Compare the following retention approaches: realistic job previews; induction; job enrichment; and reward. (AC 3.2)</w:t>
      </w:r>
    </w:p>
    <w:p w14:paraId="383546AF" w14:textId="38B99F9A" w:rsidR="005335CF" w:rsidRPr="0057043D" w:rsidRDefault="0057043D">
      <w:pPr>
        <w:rPr>
          <w:rStyle w:val="ui-provider"/>
          <w:rFonts w:ascii="Arial" w:hAnsi="Arial" w:cs="Arial"/>
          <w:color w:val="215E99" w:themeColor="text2" w:themeTint="BF"/>
          <w:sz w:val="22"/>
          <w:szCs w:val="22"/>
        </w:rPr>
      </w:pPr>
      <w:r w:rsidRPr="0057043D">
        <w:rPr>
          <w:rFonts w:ascii="Arial" w:eastAsia="Times New Roman" w:hAnsi="Arial" w:cs="Arial"/>
          <w:color w:val="000000"/>
          <w:sz w:val="22"/>
          <w:szCs w:val="22"/>
        </w:rPr>
        <w:t xml:space="preserve">Job design is a crucial process that </w:t>
      </w:r>
      <w:r w:rsidR="000F546C" w:rsidRPr="0057043D">
        <w:rPr>
          <w:rFonts w:ascii="Arial" w:eastAsia="Times New Roman" w:hAnsi="Arial" w:cs="Arial"/>
          <w:color w:val="000000"/>
          <w:sz w:val="22"/>
          <w:szCs w:val="22"/>
        </w:rPr>
        <w:t>improves</w:t>
      </w:r>
      <w:r w:rsidRPr="0057043D">
        <w:rPr>
          <w:rFonts w:ascii="Arial" w:eastAsia="Times New Roman" w:hAnsi="Arial" w:cs="Arial"/>
          <w:color w:val="000000"/>
          <w:sz w:val="22"/>
          <w:szCs w:val="22"/>
        </w:rPr>
        <w:t xml:space="preserve"> work processes, improves productivity, and enhances employee attitudes and behaviours. It considers external and human factors, motivational and growth factors, and aims to support the </w:t>
      </w:r>
      <w:r w:rsidR="000F546C" w:rsidRPr="0057043D">
        <w:rPr>
          <w:rFonts w:ascii="Arial" w:eastAsia="Times New Roman" w:hAnsi="Arial" w:cs="Arial"/>
          <w:color w:val="000000"/>
          <w:sz w:val="22"/>
          <w:szCs w:val="22"/>
        </w:rPr>
        <w:t>organisation’s</w:t>
      </w:r>
      <w:r w:rsidRPr="0057043D">
        <w:rPr>
          <w:rFonts w:ascii="Arial" w:eastAsia="Times New Roman" w:hAnsi="Arial" w:cs="Arial"/>
          <w:color w:val="000000"/>
          <w:sz w:val="22"/>
          <w:szCs w:val="22"/>
        </w:rPr>
        <w:t xml:space="preserve"> purpose, health, safety, and productivity.</w:t>
      </w:r>
      <w:r w:rsidR="005335CF" w:rsidRPr="0057043D">
        <w:rPr>
          <w:rFonts w:ascii="Arial" w:eastAsia="Times New Roman" w:hAnsi="Arial" w:cs="Arial"/>
          <w:color w:val="000000"/>
          <w:sz w:val="22"/>
          <w:szCs w:val="22"/>
        </w:rPr>
        <w:t>CIPD (2024a)</w:t>
      </w:r>
    </w:p>
    <w:p w14:paraId="1B63F60D" w14:textId="62A2F025" w:rsidR="00C67FE2" w:rsidRPr="0057043D" w:rsidRDefault="00C67FE2">
      <w:pPr>
        <w:rPr>
          <w:rFonts w:ascii="Arial" w:eastAsia="Times New Roman" w:hAnsi="Arial" w:cs="Arial"/>
          <w:color w:val="000000"/>
          <w:sz w:val="22"/>
          <w:szCs w:val="22"/>
        </w:rPr>
      </w:pPr>
      <w:r w:rsidRPr="0057043D">
        <w:rPr>
          <w:rFonts w:ascii="Arial" w:eastAsia="Times New Roman" w:hAnsi="Arial" w:cs="Arial"/>
          <w:color w:val="000000"/>
          <w:sz w:val="22"/>
          <w:szCs w:val="22"/>
        </w:rPr>
        <w:lastRenderedPageBreak/>
        <w:t xml:space="preserve">Realistic job profiles are crucial tools in early personnel selection, providing accurate information about a job, including experience-based aspects. These messages, monitored by the recruiting </w:t>
      </w:r>
      <w:r w:rsidR="009624E2" w:rsidRPr="0057043D">
        <w:rPr>
          <w:rFonts w:ascii="Arial" w:eastAsia="Times New Roman" w:hAnsi="Arial" w:cs="Arial"/>
          <w:color w:val="000000"/>
          <w:sz w:val="22"/>
          <w:szCs w:val="22"/>
        </w:rPr>
        <w:t>organisation</w:t>
      </w:r>
      <w:r w:rsidRPr="0057043D">
        <w:rPr>
          <w:rFonts w:ascii="Arial" w:eastAsia="Times New Roman" w:hAnsi="Arial" w:cs="Arial"/>
          <w:color w:val="000000"/>
          <w:sz w:val="22"/>
          <w:szCs w:val="22"/>
        </w:rPr>
        <w:t xml:space="preserve">, help job seekers understand the </w:t>
      </w:r>
      <w:r w:rsidR="009624E2" w:rsidRPr="0057043D">
        <w:rPr>
          <w:rFonts w:ascii="Arial" w:eastAsia="Times New Roman" w:hAnsi="Arial" w:cs="Arial"/>
          <w:color w:val="000000"/>
          <w:sz w:val="22"/>
          <w:szCs w:val="22"/>
        </w:rPr>
        <w:t>organisations</w:t>
      </w:r>
      <w:r w:rsidRPr="0057043D">
        <w:rPr>
          <w:rFonts w:ascii="Arial" w:eastAsia="Times New Roman" w:hAnsi="Arial" w:cs="Arial"/>
          <w:color w:val="000000"/>
          <w:sz w:val="22"/>
          <w:szCs w:val="22"/>
        </w:rPr>
        <w:t xml:space="preserve"> culture and expectations. The format of RJP messages, such as employer-sourced or staff-sourced, can influence content. Employee testimonials increase credibility.</w:t>
      </w:r>
      <w:r w:rsidR="0084766A" w:rsidRPr="0057043D">
        <w:rPr>
          <w:rFonts w:ascii="Arial" w:eastAsia="Times New Roman" w:hAnsi="Arial" w:cs="Arial"/>
          <w:color w:val="000000"/>
          <w:sz w:val="22"/>
          <w:szCs w:val="22"/>
        </w:rPr>
        <w:t xml:space="preserve"> (Liu, Keeling and </w:t>
      </w:r>
      <w:proofErr w:type="spellStart"/>
      <w:r w:rsidR="0084766A" w:rsidRPr="0057043D">
        <w:rPr>
          <w:rFonts w:ascii="Arial" w:eastAsia="Times New Roman" w:hAnsi="Arial" w:cs="Arial"/>
          <w:color w:val="000000"/>
          <w:sz w:val="22"/>
          <w:szCs w:val="22"/>
        </w:rPr>
        <w:t>Papamichail</w:t>
      </w:r>
      <w:proofErr w:type="spellEnd"/>
      <w:r w:rsidR="0084766A" w:rsidRPr="0057043D">
        <w:rPr>
          <w:rFonts w:ascii="Arial" w:eastAsia="Times New Roman" w:hAnsi="Arial" w:cs="Arial"/>
          <w:color w:val="000000"/>
          <w:sz w:val="22"/>
          <w:szCs w:val="22"/>
        </w:rPr>
        <w:t>, 2016)</w:t>
      </w:r>
    </w:p>
    <w:p w14:paraId="3F675632" w14:textId="2AF741D2" w:rsidR="004456CB" w:rsidRPr="0057043D" w:rsidRDefault="004C340C">
      <w:pPr>
        <w:rPr>
          <w:rFonts w:ascii="Arial" w:eastAsia="Times New Roman" w:hAnsi="Arial" w:cs="Arial"/>
          <w:color w:val="000000"/>
          <w:sz w:val="22"/>
          <w:szCs w:val="22"/>
        </w:rPr>
      </w:pPr>
      <w:r w:rsidRPr="0057043D">
        <w:rPr>
          <w:rFonts w:ascii="Arial" w:eastAsia="Times New Roman" w:hAnsi="Arial" w:cs="Arial"/>
          <w:color w:val="000000"/>
          <w:sz w:val="22"/>
          <w:szCs w:val="22"/>
        </w:rPr>
        <w:t xml:space="preserve">Scholars question the effectiveness of realistic job previews in hiring, citing potential biases and mixed results. Future research should focus on accuracy, specificity, breadth, credibility, and importance, and address methodological flaws. </w:t>
      </w:r>
      <w:r w:rsidR="009C05A5" w:rsidRPr="0057043D">
        <w:rPr>
          <w:rFonts w:ascii="Arial" w:eastAsia="Times New Roman" w:hAnsi="Arial" w:cs="Arial"/>
          <w:color w:val="000000"/>
          <w:sz w:val="22"/>
          <w:szCs w:val="22"/>
        </w:rPr>
        <w:t xml:space="preserve">(E. </w:t>
      </w:r>
      <w:proofErr w:type="spellStart"/>
      <w:r w:rsidR="009C05A5" w:rsidRPr="0057043D">
        <w:rPr>
          <w:rFonts w:ascii="Arial" w:eastAsia="Times New Roman" w:hAnsi="Arial" w:cs="Arial"/>
          <w:color w:val="000000"/>
          <w:sz w:val="22"/>
          <w:szCs w:val="22"/>
        </w:rPr>
        <w:t>Baur</w:t>
      </w:r>
      <w:proofErr w:type="spellEnd"/>
      <w:r w:rsidR="009C05A5" w:rsidRPr="0057043D">
        <w:rPr>
          <w:rFonts w:ascii="Arial" w:eastAsia="Times New Roman" w:hAnsi="Arial" w:cs="Arial"/>
          <w:color w:val="000000"/>
          <w:sz w:val="22"/>
          <w:szCs w:val="22"/>
        </w:rPr>
        <w:t xml:space="preserve"> et al., 2014)</w:t>
      </w:r>
    </w:p>
    <w:p w14:paraId="5273E819" w14:textId="67664FD3" w:rsidR="00301BB3" w:rsidRPr="0057043D" w:rsidRDefault="00AC77FC">
      <w:pPr>
        <w:rPr>
          <w:rFonts w:ascii="Arial" w:eastAsia="Times New Roman" w:hAnsi="Arial" w:cs="Arial"/>
          <w:color w:val="000000"/>
          <w:sz w:val="22"/>
          <w:szCs w:val="22"/>
        </w:rPr>
      </w:pPr>
      <w:r w:rsidRPr="0057043D">
        <w:rPr>
          <w:rFonts w:ascii="Arial" w:eastAsia="Times New Roman" w:hAnsi="Arial" w:cs="Arial"/>
          <w:color w:val="000000"/>
          <w:sz w:val="22"/>
          <w:szCs w:val="22"/>
        </w:rPr>
        <w:t>Induction programmes can reduce turnover, increase employee commitment, and boost job satisfaction. Formal courses can be effective, promoting positive communication and cross-functional relationships. However, avoid overwhelming inductees, overselling the job, and focusing solely on administration. The process should be evaluated for success and feedback from new employees.</w:t>
      </w:r>
      <w:r w:rsidR="002B3F76" w:rsidRPr="0057043D">
        <w:rPr>
          <w:rFonts w:ascii="Arial" w:eastAsia="Times New Roman" w:hAnsi="Arial" w:cs="Arial"/>
          <w:color w:val="000000"/>
          <w:sz w:val="22"/>
          <w:szCs w:val="22"/>
        </w:rPr>
        <w:t xml:space="preserve"> McCartney (2023a)</w:t>
      </w:r>
    </w:p>
    <w:p w14:paraId="13C49478" w14:textId="1C2F079B" w:rsidR="00F32AAA" w:rsidRPr="0057043D" w:rsidRDefault="00072671">
      <w:pPr>
        <w:rPr>
          <w:rStyle w:val="ui-provider"/>
          <w:rFonts w:ascii="Arial" w:hAnsi="Arial" w:cs="Arial"/>
          <w:color w:val="215E99" w:themeColor="text2" w:themeTint="BF"/>
          <w:sz w:val="22"/>
          <w:szCs w:val="22"/>
        </w:rPr>
      </w:pPr>
      <w:r w:rsidRPr="0057043D">
        <w:rPr>
          <w:rFonts w:ascii="Arial" w:eastAsia="Times New Roman" w:hAnsi="Arial" w:cs="Arial"/>
          <w:color w:val="000000"/>
          <w:sz w:val="22"/>
          <w:szCs w:val="22"/>
        </w:rPr>
        <w:t xml:space="preserve">A reward strategy is a formal plan that includes rewards, rationale, principles, and implementation. It includes total reward, which includes flexible benefits, professional development, and transparency. It attracts, retains, and motivates employees, meets </w:t>
      </w:r>
      <w:r w:rsidR="000F546C" w:rsidRPr="0057043D">
        <w:rPr>
          <w:rFonts w:ascii="Arial" w:eastAsia="Times New Roman" w:hAnsi="Arial" w:cs="Arial"/>
          <w:color w:val="000000"/>
          <w:sz w:val="22"/>
          <w:szCs w:val="22"/>
        </w:rPr>
        <w:t>organisational</w:t>
      </w:r>
      <w:r w:rsidRPr="0057043D">
        <w:rPr>
          <w:rFonts w:ascii="Arial" w:eastAsia="Times New Roman" w:hAnsi="Arial" w:cs="Arial"/>
          <w:color w:val="000000"/>
          <w:sz w:val="22"/>
          <w:szCs w:val="22"/>
        </w:rPr>
        <w:t xml:space="preserve"> priorities, and enhances an </w:t>
      </w:r>
      <w:r w:rsidR="000F546C" w:rsidRPr="0057043D">
        <w:rPr>
          <w:rFonts w:ascii="Arial" w:eastAsia="Times New Roman" w:hAnsi="Arial" w:cs="Arial"/>
          <w:color w:val="000000"/>
          <w:sz w:val="22"/>
          <w:szCs w:val="22"/>
        </w:rPr>
        <w:t>organisation’s</w:t>
      </w:r>
      <w:r w:rsidRPr="0057043D">
        <w:rPr>
          <w:rFonts w:ascii="Arial" w:eastAsia="Times New Roman" w:hAnsi="Arial" w:cs="Arial"/>
          <w:color w:val="000000"/>
          <w:sz w:val="22"/>
          <w:szCs w:val="22"/>
        </w:rPr>
        <w:t xml:space="preserve"> reputation. Challenges include providing easy rewards, weighing rewards, educating employees, and defining rewards without considering staff needs.</w:t>
      </w:r>
      <w:r w:rsidR="00B3299C" w:rsidRPr="0057043D">
        <w:rPr>
          <w:rFonts w:ascii="Arial" w:eastAsia="Times New Roman" w:hAnsi="Arial" w:cs="Arial"/>
          <w:color w:val="000000"/>
          <w:sz w:val="22"/>
          <w:szCs w:val="22"/>
        </w:rPr>
        <w:t xml:space="preserve"> Cotton (2024)</w:t>
      </w:r>
    </w:p>
    <w:p w14:paraId="6C1B721C" w14:textId="52913A29" w:rsidR="00AB7A90" w:rsidRPr="0057043D" w:rsidRDefault="00650AB9">
      <w:pPr>
        <w:rPr>
          <w:rFonts w:ascii="Arial" w:eastAsia="Times New Roman" w:hAnsi="Arial" w:cs="Arial"/>
          <w:color w:val="000000" w:themeColor="text1"/>
          <w:sz w:val="22"/>
          <w:szCs w:val="22"/>
        </w:rPr>
      </w:pPr>
      <w:r w:rsidRPr="0057043D">
        <w:rPr>
          <w:rFonts w:ascii="Arial" w:eastAsia="Times New Roman" w:hAnsi="Arial" w:cs="Arial"/>
          <w:color w:val="000000"/>
          <w:sz w:val="22"/>
          <w:szCs w:val="22"/>
        </w:rPr>
        <w:t xml:space="preserve">Job enrichment vertically expands jobs by adding tasks and decisions typically performed by higher-ups, enhancing responsibility, accountability, and autonomy, and offering opportunities for personal growth and </w:t>
      </w:r>
      <w:r w:rsidR="000F546C" w:rsidRPr="0057043D">
        <w:rPr>
          <w:rFonts w:ascii="Arial" w:eastAsia="Times New Roman" w:hAnsi="Arial" w:cs="Arial"/>
          <w:color w:val="000000"/>
          <w:sz w:val="22"/>
          <w:szCs w:val="22"/>
        </w:rPr>
        <w:t>development.</w:t>
      </w:r>
      <w:r w:rsidR="000F546C" w:rsidRPr="0057043D">
        <w:rPr>
          <w:rFonts w:ascii="Arial" w:eastAsia="Times New Roman" w:hAnsi="Arial" w:cs="Arial"/>
          <w:color w:val="000000" w:themeColor="text1"/>
          <w:sz w:val="22"/>
          <w:szCs w:val="22"/>
        </w:rPr>
        <w:t xml:space="preserve"> </w:t>
      </w:r>
      <w:proofErr w:type="spellStart"/>
      <w:r w:rsidR="000F546C" w:rsidRPr="0057043D">
        <w:rPr>
          <w:rFonts w:ascii="Arial" w:eastAsia="Times New Roman" w:hAnsi="Arial" w:cs="Arial"/>
          <w:color w:val="000000" w:themeColor="text1"/>
          <w:sz w:val="22"/>
          <w:szCs w:val="22"/>
        </w:rPr>
        <w:t>Asuyama</w:t>
      </w:r>
      <w:proofErr w:type="spellEnd"/>
      <w:r w:rsidR="008B367E" w:rsidRPr="0057043D">
        <w:rPr>
          <w:rFonts w:ascii="Arial" w:eastAsia="Times New Roman" w:hAnsi="Arial" w:cs="Arial"/>
          <w:color w:val="000000" w:themeColor="text1"/>
          <w:sz w:val="22"/>
          <w:szCs w:val="22"/>
        </w:rPr>
        <w:t xml:space="preserve"> (2022)</w:t>
      </w:r>
    </w:p>
    <w:p w14:paraId="44239671" w14:textId="404FDCC5" w:rsidR="00D225C9" w:rsidRPr="0057043D" w:rsidRDefault="003877E1">
      <w:pPr>
        <w:rPr>
          <w:rFonts w:ascii="Arial" w:eastAsia="Times New Roman" w:hAnsi="Arial" w:cs="Arial"/>
          <w:color w:val="000000"/>
          <w:sz w:val="22"/>
          <w:szCs w:val="22"/>
        </w:rPr>
      </w:pPr>
      <w:r w:rsidRPr="0057043D">
        <w:rPr>
          <w:rFonts w:ascii="Arial" w:eastAsia="Times New Roman" w:hAnsi="Arial" w:cs="Arial"/>
          <w:color w:val="000000"/>
          <w:sz w:val="22"/>
          <w:szCs w:val="22"/>
        </w:rPr>
        <w:t>Job enrichment's impact on organisational commitment varies across employee career stages, as it must be adjusted to individual abilities, perseverance, and satisfaction levels. The linear inverted U-shaped relationship between job enrichment and organisational commitment suggests that the effect varies across different stages of an employee's career.</w:t>
      </w:r>
      <w:r w:rsidR="00BB0441" w:rsidRPr="0057043D">
        <w:rPr>
          <w:rFonts w:ascii="Arial" w:eastAsia="Times New Roman" w:hAnsi="Arial" w:cs="Arial"/>
          <w:color w:val="000000"/>
          <w:sz w:val="22"/>
          <w:szCs w:val="22"/>
        </w:rPr>
        <w:t xml:space="preserve"> (Marta et al., 2021)</w:t>
      </w:r>
    </w:p>
    <w:p w14:paraId="58BB28FB" w14:textId="2E86EDF1" w:rsidR="00C477AD" w:rsidRDefault="00693B31">
      <w:pPr>
        <w:rPr>
          <w:rStyle w:val="ui-provider"/>
          <w:rFonts w:ascii="Arial" w:hAnsi="Arial" w:cs="Arial"/>
          <w:color w:val="215E99" w:themeColor="text2" w:themeTint="BF"/>
          <w:sz w:val="22"/>
          <w:szCs w:val="22"/>
        </w:rPr>
      </w:pPr>
      <w:r w:rsidRPr="00F66EA1">
        <w:rPr>
          <w:rStyle w:val="ui-provider"/>
          <w:rFonts w:ascii="Arial" w:hAnsi="Arial" w:cs="Arial"/>
          <w:color w:val="215E99" w:themeColor="text2" w:themeTint="BF"/>
          <w:sz w:val="22"/>
          <w:szCs w:val="22"/>
        </w:rPr>
        <w:t>8.To influence the senior leadership team to accept that employee turnover should be addressed, explain the impact of dysfunctional employee turnover. (AC 3.3)</w:t>
      </w:r>
    </w:p>
    <w:p w14:paraId="3F739EAA" w14:textId="40273156" w:rsidR="006B11FC" w:rsidRDefault="006B11FC">
      <w:pPr>
        <w:rPr>
          <w:rFonts w:ascii="Arial" w:eastAsia="Times New Roman" w:hAnsi="Arial" w:cs="Arial"/>
          <w:color w:val="000000"/>
          <w:sz w:val="22"/>
          <w:szCs w:val="22"/>
        </w:rPr>
      </w:pPr>
      <w:r w:rsidRPr="005E0102">
        <w:rPr>
          <w:rFonts w:ascii="Arial" w:eastAsia="Times New Roman" w:hAnsi="Arial" w:cs="Arial"/>
          <w:color w:val="000000"/>
          <w:sz w:val="22"/>
          <w:szCs w:val="22"/>
        </w:rPr>
        <w:t>Dysfunctional turnover can be costly for businesses, causing both direct and indirect costs. HR practitioners must calculate these costs to understand the problem and gain commitment from senior management. However, only 15% of organisations are currently calculating the cost of labor turnover, according to the CIPD's 2015 survey. This is due to the difficulty in quantifying indirect costs, lack of necessary records, difficulty distinguishing between functional and dysfunctional turnover, and the time-consuming process. Dysfunctional turnover can result in external vacancy filling, making it crucial for HR practitioners to address this issue.</w:t>
      </w:r>
      <w:r w:rsidR="005E0102" w:rsidRPr="005E0102">
        <w:rPr>
          <w:rFonts w:ascii="Arial" w:eastAsia="Times New Roman" w:hAnsi="Arial" w:cs="Arial"/>
          <w:color w:val="000000"/>
          <w:sz w:val="22"/>
          <w:szCs w:val="22"/>
        </w:rPr>
        <w:t xml:space="preserve"> Taylor and </w:t>
      </w:r>
      <w:proofErr w:type="spellStart"/>
      <w:r w:rsidR="005E0102" w:rsidRPr="005E0102">
        <w:rPr>
          <w:rFonts w:ascii="Arial" w:eastAsia="Times New Roman" w:hAnsi="Arial" w:cs="Arial"/>
          <w:color w:val="000000"/>
          <w:sz w:val="22"/>
          <w:szCs w:val="22"/>
        </w:rPr>
        <w:t>Woodhams</w:t>
      </w:r>
      <w:proofErr w:type="spellEnd"/>
      <w:r w:rsidR="005E0102" w:rsidRPr="005E0102">
        <w:rPr>
          <w:rFonts w:ascii="Arial" w:eastAsia="Times New Roman" w:hAnsi="Arial" w:cs="Arial"/>
          <w:color w:val="000000"/>
          <w:sz w:val="22"/>
          <w:szCs w:val="22"/>
        </w:rPr>
        <w:t xml:space="preserve"> (2016o)</w:t>
      </w:r>
    </w:p>
    <w:p w14:paraId="2574038F" w14:textId="0B09376E" w:rsidR="00F23E1D" w:rsidRPr="00D439A8" w:rsidRDefault="00F23E1D">
      <w:pPr>
        <w:rPr>
          <w:rFonts w:ascii="Arial" w:eastAsia="Times New Roman" w:hAnsi="Arial" w:cs="Arial"/>
          <w:color w:val="000000"/>
          <w:sz w:val="22"/>
          <w:szCs w:val="22"/>
        </w:rPr>
      </w:pPr>
      <w:r w:rsidRPr="00D439A8">
        <w:rPr>
          <w:rFonts w:ascii="Arial" w:eastAsia="Times New Roman" w:hAnsi="Arial" w:cs="Arial"/>
          <w:color w:val="000000"/>
          <w:sz w:val="22"/>
          <w:szCs w:val="22"/>
        </w:rPr>
        <w:t xml:space="preserve">The </w:t>
      </w:r>
      <w:r w:rsidR="00D439A8" w:rsidRPr="00D439A8">
        <w:rPr>
          <w:rFonts w:ascii="Arial" w:eastAsia="Times New Roman" w:hAnsi="Arial" w:cs="Arial"/>
          <w:color w:val="000000"/>
          <w:sz w:val="22"/>
          <w:szCs w:val="22"/>
        </w:rPr>
        <w:t>organisation</w:t>
      </w:r>
      <w:r w:rsidRPr="00D439A8">
        <w:rPr>
          <w:rFonts w:ascii="Arial" w:eastAsia="Times New Roman" w:hAnsi="Arial" w:cs="Arial"/>
          <w:color w:val="000000"/>
          <w:sz w:val="22"/>
          <w:szCs w:val="22"/>
        </w:rPr>
        <w:t xml:space="preserve"> incurs direct costs such as HR administration time for the leaver, recruitment and selection processes, selection expenses, vacant roles, new starter costs, and induction and basic training.</w:t>
      </w:r>
      <w:r w:rsidR="006A64E1" w:rsidRPr="00D439A8">
        <w:rPr>
          <w:rFonts w:ascii="Arial" w:eastAsia="Times New Roman" w:hAnsi="Arial" w:cs="Arial"/>
          <w:color w:val="000000"/>
          <w:sz w:val="22"/>
          <w:szCs w:val="22"/>
        </w:rPr>
        <w:t xml:space="preserve"> The indirect costs are the negative effects of leaving and hiring employees, including decreased productivity, loss of morale, potential damage to client relationships, lack of return on investment in training and development, potential use of </w:t>
      </w:r>
      <w:r w:rsidR="006A64E1" w:rsidRPr="00D439A8">
        <w:rPr>
          <w:rFonts w:ascii="Arial" w:eastAsia="Times New Roman" w:hAnsi="Arial" w:cs="Arial"/>
          <w:color w:val="000000"/>
          <w:sz w:val="22"/>
          <w:szCs w:val="22"/>
        </w:rPr>
        <w:lastRenderedPageBreak/>
        <w:t>company information for competitor advantage, and damage to company reputation if an employee leaves on bad terms or has high turnover levels.</w:t>
      </w:r>
      <w:r w:rsidR="0080494D" w:rsidRPr="00D439A8">
        <w:rPr>
          <w:rFonts w:ascii="Arial" w:eastAsia="Times New Roman" w:hAnsi="Arial" w:cs="Arial"/>
          <w:color w:val="000000"/>
          <w:sz w:val="22"/>
          <w:szCs w:val="22"/>
        </w:rPr>
        <w:t xml:space="preserve"> Taylor and </w:t>
      </w:r>
      <w:proofErr w:type="spellStart"/>
      <w:r w:rsidR="0080494D" w:rsidRPr="00D439A8">
        <w:rPr>
          <w:rFonts w:ascii="Arial" w:eastAsia="Times New Roman" w:hAnsi="Arial" w:cs="Arial"/>
          <w:color w:val="000000"/>
          <w:sz w:val="22"/>
          <w:szCs w:val="22"/>
        </w:rPr>
        <w:t>Woodhams</w:t>
      </w:r>
      <w:proofErr w:type="spellEnd"/>
      <w:r w:rsidR="0080494D" w:rsidRPr="00D439A8">
        <w:rPr>
          <w:rFonts w:ascii="Arial" w:eastAsia="Times New Roman" w:hAnsi="Arial" w:cs="Arial"/>
          <w:color w:val="000000"/>
          <w:sz w:val="22"/>
          <w:szCs w:val="22"/>
        </w:rPr>
        <w:t xml:space="preserve"> (2016p)</w:t>
      </w:r>
    </w:p>
    <w:p w14:paraId="2876C267" w14:textId="77777777" w:rsidR="003B2E0F" w:rsidRPr="003B2E0F" w:rsidRDefault="00CF06D4">
      <w:pPr>
        <w:rPr>
          <w:rFonts w:ascii="Arial" w:eastAsia="Times New Roman" w:hAnsi="Arial" w:cs="Arial"/>
          <w:color w:val="000000"/>
          <w:sz w:val="22"/>
          <w:szCs w:val="22"/>
        </w:rPr>
      </w:pPr>
      <w:r w:rsidRPr="003B2E0F">
        <w:rPr>
          <w:rFonts w:ascii="Arial" w:eastAsia="Times New Roman" w:hAnsi="Arial" w:cs="Arial"/>
          <w:color w:val="000000"/>
          <w:sz w:val="22"/>
          <w:szCs w:val="22"/>
        </w:rPr>
        <w:t>To reduce dysfunctional turnover, it's crucial to understand the reasons behind employee departures. Unavoidable turnover, such as ill health or domestic commitments, is out of management's control. Avoidable turnover, caused by dissatisfaction, is potentially within management's control. Qualitative data sources like exit interviews and staff satisfaction surveys can help identify the real reasons for departures.</w:t>
      </w:r>
      <w:r w:rsidR="00B2362B" w:rsidRPr="003B2E0F">
        <w:rPr>
          <w:rFonts w:ascii="Arial" w:eastAsia="Times New Roman" w:hAnsi="Arial" w:cs="Arial"/>
          <w:color w:val="000000"/>
          <w:sz w:val="22"/>
          <w:szCs w:val="22"/>
        </w:rPr>
        <w:t xml:space="preserve"> Taylor and </w:t>
      </w:r>
      <w:proofErr w:type="spellStart"/>
      <w:r w:rsidR="00B2362B" w:rsidRPr="003B2E0F">
        <w:rPr>
          <w:rFonts w:ascii="Arial" w:eastAsia="Times New Roman" w:hAnsi="Arial" w:cs="Arial"/>
          <w:color w:val="000000"/>
          <w:sz w:val="22"/>
          <w:szCs w:val="22"/>
        </w:rPr>
        <w:t>Woodhams</w:t>
      </w:r>
      <w:proofErr w:type="spellEnd"/>
      <w:r w:rsidR="00B2362B" w:rsidRPr="003B2E0F">
        <w:rPr>
          <w:rFonts w:ascii="Arial" w:eastAsia="Times New Roman" w:hAnsi="Arial" w:cs="Arial"/>
          <w:color w:val="000000"/>
          <w:sz w:val="22"/>
          <w:szCs w:val="22"/>
        </w:rPr>
        <w:t xml:space="preserve"> (2016q)</w:t>
      </w:r>
    </w:p>
    <w:p w14:paraId="4238F39C" w14:textId="17253236" w:rsidR="00EA5633" w:rsidRPr="002E6702" w:rsidRDefault="00DA4C9D">
      <w:pPr>
        <w:rPr>
          <w:rStyle w:val="ui-provider"/>
          <w:rFonts w:ascii="Arial" w:hAnsi="Arial" w:cs="Arial"/>
          <w:color w:val="215E99" w:themeColor="text2" w:themeTint="BF"/>
          <w:sz w:val="22"/>
          <w:szCs w:val="22"/>
        </w:rPr>
      </w:pPr>
      <w:r w:rsidRPr="00DA4C9D">
        <w:rPr>
          <w:rStyle w:val="ui-provider"/>
          <w:rFonts w:ascii="Arial" w:hAnsi="Arial" w:cs="Arial"/>
          <w:color w:val="215E99" w:themeColor="text2" w:themeTint="BF"/>
          <w:sz w:val="22"/>
          <w:szCs w:val="22"/>
        </w:rPr>
        <w:t>9.</w:t>
      </w:r>
      <w:r w:rsidR="00BF192A" w:rsidRPr="00DA4C9D">
        <w:rPr>
          <w:rStyle w:val="ui-provider"/>
          <w:rFonts w:ascii="Arial" w:hAnsi="Arial" w:cs="Arial"/>
          <w:color w:val="215E99" w:themeColor="text2" w:themeTint="BF"/>
          <w:sz w:val="22"/>
          <w:szCs w:val="22"/>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37712A91" w14:textId="1B1E87B1" w:rsidR="00507096" w:rsidRPr="002E6702" w:rsidRDefault="00507096">
      <w:pPr>
        <w:rPr>
          <w:rFonts w:ascii="Arial" w:eastAsia="Times New Roman" w:hAnsi="Arial" w:cs="Arial"/>
          <w:color w:val="000000"/>
          <w:sz w:val="22"/>
          <w:szCs w:val="22"/>
        </w:rPr>
      </w:pPr>
      <w:r w:rsidRPr="002E6702">
        <w:rPr>
          <w:rFonts w:ascii="Arial" w:eastAsia="Times New Roman" w:hAnsi="Arial" w:cs="Arial"/>
          <w:color w:val="000000"/>
          <w:sz w:val="22"/>
          <w:szCs w:val="22"/>
        </w:rPr>
        <w:t>Offering permanent contracts can significantly improve employee loyalty and retention, fostering a sense of commitment and commitment. This can lead to higher job satisfaction and lower turnover rates. Permanent contracts also ensure consistency and productivity, reducing the need for onboarding and training. They also offer legal and financial stability, allowing employers to better predict labor costs and manage financial planning. Additionally, permanent employees are more likely to be covered by the company's insurance and benefits programs.</w:t>
      </w:r>
      <w:r w:rsidR="00970287" w:rsidRPr="002E6702">
        <w:rPr>
          <w:rFonts w:ascii="Arial" w:eastAsia="Times New Roman" w:hAnsi="Arial" w:cs="Arial"/>
          <w:color w:val="000000"/>
          <w:sz w:val="22"/>
          <w:szCs w:val="22"/>
        </w:rPr>
        <w:t xml:space="preserve"> Morris (2024a)</w:t>
      </w:r>
    </w:p>
    <w:p w14:paraId="2812B78F" w14:textId="0903FB04" w:rsidR="007960A8" w:rsidRDefault="006B1519">
      <w:pPr>
        <w:rPr>
          <w:rStyle w:val="ui-provider"/>
          <w:rFonts w:ascii="Arial" w:hAnsi="Arial" w:cs="Arial"/>
          <w:color w:val="215E99" w:themeColor="text2" w:themeTint="BF"/>
          <w:sz w:val="22"/>
          <w:szCs w:val="22"/>
        </w:rPr>
      </w:pPr>
      <w:r w:rsidRPr="002E6702">
        <w:rPr>
          <w:rFonts w:ascii="Arial" w:eastAsia="Times New Roman" w:hAnsi="Arial" w:cs="Arial"/>
          <w:color w:val="000000"/>
          <w:sz w:val="22"/>
          <w:szCs w:val="22"/>
        </w:rPr>
        <w:t>Permanent contracts present significant financial commitments, including salaries, benefits, and potential redundancy payments. Employers must balance these costs to maintain productivity and sustainability. Flexibility issues arise due to set working hours and job roles, which can limit adaptability to changing business needs. The long-term nature of permanent contracts can also make it difficult to retrain or redeploy staff. Managing underperformance is a challenge, as permanent employees have greater job security and legal rights. Regular performance reviews, feedback, and implementing Performance Improvement Plans can help address underperformance.</w:t>
      </w:r>
      <w:r w:rsidR="00970287" w:rsidRPr="002E6702">
        <w:rPr>
          <w:rFonts w:ascii="Arial" w:eastAsia="Times New Roman" w:hAnsi="Arial" w:cs="Arial"/>
          <w:color w:val="000000"/>
          <w:sz w:val="22"/>
          <w:szCs w:val="22"/>
        </w:rPr>
        <w:t xml:space="preserve"> Morris (2024</w:t>
      </w:r>
      <w:r w:rsidR="002E6702" w:rsidRPr="002E6702">
        <w:rPr>
          <w:rFonts w:ascii="Arial" w:eastAsia="Times New Roman" w:hAnsi="Arial" w:cs="Arial"/>
          <w:color w:val="000000"/>
          <w:sz w:val="22"/>
          <w:szCs w:val="22"/>
        </w:rPr>
        <w:t>b</w:t>
      </w:r>
      <w:r w:rsidR="00970287" w:rsidRPr="002E6702">
        <w:rPr>
          <w:rFonts w:ascii="Arial" w:eastAsia="Times New Roman" w:hAnsi="Arial" w:cs="Arial"/>
          <w:color w:val="000000"/>
          <w:sz w:val="22"/>
          <w:szCs w:val="22"/>
        </w:rPr>
        <w:t>)</w:t>
      </w:r>
    </w:p>
    <w:p w14:paraId="09270A6E" w14:textId="27A2F52D" w:rsidR="007960A8" w:rsidRDefault="00044CCB">
      <w:pPr>
        <w:rPr>
          <w:rFonts w:ascii="Arial" w:eastAsia="Times New Roman" w:hAnsi="Arial" w:cs="Arial"/>
          <w:color w:val="000000"/>
          <w:sz w:val="22"/>
          <w:szCs w:val="22"/>
        </w:rPr>
      </w:pPr>
      <w:r w:rsidRPr="00B3192D">
        <w:rPr>
          <w:rFonts w:ascii="Arial" w:eastAsia="Times New Roman" w:hAnsi="Arial" w:cs="Arial"/>
          <w:color w:val="000000"/>
          <w:sz w:val="22"/>
          <w:szCs w:val="22"/>
        </w:rPr>
        <w:t>The term 'agency worker' refers to individuals supplied by a temporary work agency to work under the supervision of a hirer. Under the Agency Workers Regulations 2010, these workers have a contract with the agency and are paid by it, not the hirer.</w:t>
      </w:r>
      <w:r w:rsidR="006112A8" w:rsidRPr="00B3192D">
        <w:rPr>
          <w:rFonts w:ascii="Arial" w:eastAsia="Times New Roman" w:hAnsi="Arial" w:cs="Arial"/>
          <w:color w:val="000000"/>
          <w:sz w:val="22"/>
          <w:szCs w:val="22"/>
        </w:rPr>
        <w:t xml:space="preserve"> </w:t>
      </w:r>
      <w:proofErr w:type="spellStart"/>
      <w:r w:rsidR="006112A8" w:rsidRPr="00B3192D">
        <w:rPr>
          <w:rFonts w:ascii="Arial" w:eastAsia="Times New Roman" w:hAnsi="Arial" w:cs="Arial"/>
          <w:color w:val="000000"/>
          <w:sz w:val="22"/>
          <w:szCs w:val="22"/>
        </w:rPr>
        <w:t>Silkin</w:t>
      </w:r>
      <w:proofErr w:type="spellEnd"/>
      <w:r w:rsidR="006112A8" w:rsidRPr="00B3192D">
        <w:rPr>
          <w:rFonts w:ascii="Arial" w:eastAsia="Times New Roman" w:hAnsi="Arial" w:cs="Arial"/>
          <w:color w:val="000000"/>
          <w:sz w:val="22"/>
          <w:szCs w:val="22"/>
        </w:rPr>
        <w:t xml:space="preserve"> (2024)</w:t>
      </w:r>
    </w:p>
    <w:p w14:paraId="5AED8FA1" w14:textId="5E1777CD" w:rsidR="00FF7183" w:rsidRPr="00496BCA" w:rsidRDefault="00FE09D3">
      <w:pPr>
        <w:rPr>
          <w:rStyle w:val="ui-provider"/>
          <w:rFonts w:ascii="Arial" w:hAnsi="Arial" w:cs="Arial"/>
          <w:color w:val="215E99" w:themeColor="text2" w:themeTint="BF"/>
          <w:sz w:val="22"/>
          <w:szCs w:val="22"/>
        </w:rPr>
      </w:pPr>
      <w:r w:rsidRPr="00496BCA">
        <w:rPr>
          <w:rFonts w:ascii="Arial" w:eastAsia="Times New Roman" w:hAnsi="Arial" w:cs="Arial"/>
          <w:color w:val="000000"/>
          <w:sz w:val="22"/>
          <w:szCs w:val="22"/>
        </w:rPr>
        <w:t xml:space="preserve">Companies use agency workers for temporary workplace cover, headcount restraints, flexibility, ease of hiring or termination, and low-cost cover. However, there are disadvantages to using agency workers over permanent employees, such as compliance with regulations, additional costs, disciplinary issues, and less employee loyalty. Compliance with regulations can be administratively burdensome, and non-compliance can lead to liability risks. Additionally, agency workers may not adhere to company policies, making it difficult for hirers to address unacceptable </w:t>
      </w:r>
      <w:r w:rsidR="00CA279B" w:rsidRPr="00496BCA">
        <w:rPr>
          <w:rFonts w:ascii="Arial" w:eastAsia="Times New Roman" w:hAnsi="Arial" w:cs="Arial"/>
          <w:color w:val="000000"/>
          <w:sz w:val="22"/>
          <w:szCs w:val="22"/>
        </w:rPr>
        <w:t>behaviour</w:t>
      </w:r>
      <w:r w:rsidRPr="00496BCA">
        <w:rPr>
          <w:rFonts w:ascii="Arial" w:eastAsia="Times New Roman" w:hAnsi="Arial" w:cs="Arial"/>
          <w:color w:val="000000"/>
          <w:sz w:val="22"/>
          <w:szCs w:val="22"/>
        </w:rPr>
        <w:t>. Additionally, agency workers may be less committed to their work than permanent employees, limiting their opportunities for progression and promotion..</w:t>
      </w:r>
      <w:r w:rsidR="00522D93" w:rsidRPr="00496BCA">
        <w:rPr>
          <w:rFonts w:ascii="Arial" w:eastAsia="Times New Roman" w:hAnsi="Arial" w:cs="Arial"/>
          <w:color w:val="000000"/>
          <w:sz w:val="22"/>
          <w:szCs w:val="22"/>
        </w:rPr>
        <w:t xml:space="preserve"> (</w:t>
      </w:r>
      <w:proofErr w:type="spellStart"/>
      <w:r w:rsidR="00522D93" w:rsidRPr="00496BCA">
        <w:rPr>
          <w:rFonts w:ascii="Arial" w:eastAsia="Times New Roman" w:hAnsi="Arial" w:cs="Arial"/>
          <w:color w:val="000000"/>
          <w:sz w:val="22"/>
          <w:szCs w:val="22"/>
        </w:rPr>
        <w:t>Silkin</w:t>
      </w:r>
      <w:proofErr w:type="spellEnd"/>
      <w:r w:rsidR="00522D93" w:rsidRPr="00496BCA">
        <w:rPr>
          <w:rFonts w:ascii="Arial" w:eastAsia="Times New Roman" w:hAnsi="Arial" w:cs="Arial"/>
          <w:color w:val="000000"/>
          <w:sz w:val="22"/>
          <w:szCs w:val="22"/>
        </w:rPr>
        <w:t xml:space="preserve">, 2024b) </w:t>
      </w:r>
    </w:p>
    <w:p w14:paraId="50B21EA9" w14:textId="68D259DE" w:rsidR="00245B93" w:rsidRPr="0098615F" w:rsidRDefault="00131664">
      <w:pPr>
        <w:rPr>
          <w:rStyle w:val="ui-provider"/>
          <w:rFonts w:ascii="Arial" w:hAnsi="Arial" w:cs="Arial"/>
          <w:color w:val="215E99" w:themeColor="text2" w:themeTint="BF"/>
          <w:sz w:val="22"/>
          <w:szCs w:val="22"/>
        </w:rPr>
      </w:pPr>
      <w:r w:rsidRPr="0098615F">
        <w:rPr>
          <w:rFonts w:ascii="Arial" w:eastAsia="Times New Roman" w:hAnsi="Arial" w:cs="Arial"/>
          <w:color w:val="000000"/>
          <w:sz w:val="22"/>
          <w:szCs w:val="22"/>
        </w:rPr>
        <w:t xml:space="preserve">Over the past decade, a clear approach has been followed, concluding that agency workers are rarely employees of the agency or </w:t>
      </w:r>
      <w:r w:rsidR="0098615F" w:rsidRPr="0098615F">
        <w:rPr>
          <w:rFonts w:ascii="Arial" w:eastAsia="Times New Roman" w:hAnsi="Arial" w:cs="Arial"/>
          <w:color w:val="000000"/>
          <w:sz w:val="22"/>
          <w:szCs w:val="22"/>
        </w:rPr>
        <w:t>organisation</w:t>
      </w:r>
      <w:r w:rsidRPr="0098615F">
        <w:rPr>
          <w:rFonts w:ascii="Arial" w:eastAsia="Times New Roman" w:hAnsi="Arial" w:cs="Arial"/>
          <w:color w:val="000000"/>
          <w:sz w:val="22"/>
          <w:szCs w:val="22"/>
        </w:rPr>
        <w:t xml:space="preserve"> where they are placed. Workers provided by an agency do not have a clearly defined employment relationship, and the agency may argue they have no control over their daily work. Over the past decade, a clear approach has </w:t>
      </w:r>
      <w:r w:rsidRPr="0098615F">
        <w:rPr>
          <w:rFonts w:ascii="Arial" w:eastAsia="Times New Roman" w:hAnsi="Arial" w:cs="Arial"/>
          <w:color w:val="000000"/>
          <w:sz w:val="22"/>
          <w:szCs w:val="22"/>
        </w:rPr>
        <w:lastRenderedPageBreak/>
        <w:t xml:space="preserve">been followed, concluding that agency workers are rarely employees of the agency or </w:t>
      </w:r>
      <w:r w:rsidR="0098615F" w:rsidRPr="0098615F">
        <w:rPr>
          <w:rFonts w:ascii="Arial" w:eastAsia="Times New Roman" w:hAnsi="Arial" w:cs="Arial"/>
          <w:color w:val="000000"/>
          <w:sz w:val="22"/>
          <w:szCs w:val="22"/>
        </w:rPr>
        <w:t>organisation</w:t>
      </w:r>
      <w:r w:rsidRPr="0098615F">
        <w:rPr>
          <w:rFonts w:ascii="Arial" w:eastAsia="Times New Roman" w:hAnsi="Arial" w:cs="Arial"/>
          <w:color w:val="000000"/>
          <w:sz w:val="22"/>
          <w:szCs w:val="22"/>
        </w:rPr>
        <w:t xml:space="preserve"> where they are placed. Workers provided by an agency do not have a clearly defined employment relationship, and the agency may argue they have no control over their daily work.</w:t>
      </w:r>
      <w:r w:rsidR="00A27963" w:rsidRPr="0098615F">
        <w:rPr>
          <w:rFonts w:ascii="Arial" w:eastAsia="Times New Roman" w:hAnsi="Arial" w:cs="Arial"/>
          <w:color w:val="000000"/>
          <w:sz w:val="22"/>
          <w:szCs w:val="22"/>
        </w:rPr>
        <w:t xml:space="preserve"> Daniels (2022) </w:t>
      </w:r>
    </w:p>
    <w:p w14:paraId="28EE3AB5" w14:textId="14BCB1C2" w:rsidR="0005645A" w:rsidRPr="00803BAD" w:rsidRDefault="00A3630A">
      <w:pPr>
        <w:rPr>
          <w:rFonts w:ascii="Arial" w:hAnsi="Arial" w:cs="Arial"/>
          <w:color w:val="215E99" w:themeColor="text2" w:themeTint="BF"/>
          <w:sz w:val="22"/>
          <w:szCs w:val="22"/>
        </w:rPr>
      </w:pPr>
      <w:r w:rsidRPr="00582D03">
        <w:rPr>
          <w:rFonts w:ascii="Arial" w:eastAsia="Times New Roman" w:hAnsi="Arial" w:cs="Arial"/>
          <w:color w:val="000000"/>
          <w:sz w:val="22"/>
          <w:szCs w:val="22"/>
        </w:rPr>
        <w:t xml:space="preserve">The Agency Workers Regulations 2010 granted agency workers similar terms and conditions as similar employees after 12 continuous weeks of service, negotiated by the UK Government, TUC, and CBI. They have rights to 12-week continuous periods, access to facilities, training opportunities, and compensation at the Employment Tribunal. They are not </w:t>
      </w:r>
      <w:r w:rsidR="00582D03" w:rsidRPr="00582D03">
        <w:rPr>
          <w:rFonts w:ascii="Arial" w:eastAsia="Times New Roman" w:hAnsi="Arial" w:cs="Arial"/>
          <w:color w:val="000000"/>
          <w:sz w:val="22"/>
          <w:szCs w:val="22"/>
        </w:rPr>
        <w:t>prioritised</w:t>
      </w:r>
      <w:r w:rsidRPr="00582D03">
        <w:rPr>
          <w:rFonts w:ascii="Arial" w:eastAsia="Times New Roman" w:hAnsi="Arial" w:cs="Arial"/>
          <w:color w:val="000000"/>
          <w:sz w:val="22"/>
          <w:szCs w:val="22"/>
        </w:rPr>
        <w:t xml:space="preserve"> over other workers. </w:t>
      </w:r>
      <w:r w:rsidR="000F4D19" w:rsidRPr="00582D03">
        <w:rPr>
          <w:rFonts w:ascii="Arial" w:eastAsia="Times New Roman" w:hAnsi="Arial" w:cs="Arial"/>
          <w:color w:val="000000"/>
          <w:sz w:val="22"/>
          <w:szCs w:val="22"/>
        </w:rPr>
        <w:t>(Daniels, 2022b)</w:t>
      </w:r>
    </w:p>
    <w:p w14:paraId="58E606A6" w14:textId="7F0396CB" w:rsidR="00F466E0" w:rsidRPr="00A56B78" w:rsidRDefault="00450192">
      <w:pPr>
        <w:rPr>
          <w:rFonts w:ascii="Arial" w:hAnsi="Arial" w:cs="Arial"/>
          <w:sz w:val="22"/>
          <w:szCs w:val="22"/>
        </w:rPr>
      </w:pPr>
      <w:r w:rsidRPr="00A56B78">
        <w:rPr>
          <w:rFonts w:ascii="Arial" w:eastAsia="Times New Roman" w:hAnsi="Arial" w:cs="Arial"/>
          <w:color w:val="000000"/>
          <w:sz w:val="22"/>
          <w:szCs w:val="22"/>
        </w:rPr>
        <w:t>Zero hour contracts offer control over work processes, stable workforce, longer employee relationships, longer notice periods, and post-termination restrictions. However, they require investment in career development, equipment, and workstations.</w:t>
      </w:r>
      <w:r w:rsidR="00EF2C53" w:rsidRPr="00A56B78">
        <w:rPr>
          <w:rFonts w:ascii="Arial" w:eastAsia="Times New Roman" w:hAnsi="Arial" w:cs="Arial"/>
          <w:color w:val="000000"/>
          <w:sz w:val="22"/>
          <w:szCs w:val="22"/>
        </w:rPr>
        <w:t xml:space="preserve"> (CIPD, 2021b)</w:t>
      </w:r>
    </w:p>
    <w:p w14:paraId="625E2978" w14:textId="54A07318" w:rsidR="00BA5BC6" w:rsidRDefault="008E54B3">
      <w:pPr>
        <w:rPr>
          <w:rFonts w:ascii="Arial" w:eastAsia="Times New Roman" w:hAnsi="Arial" w:cs="Arial"/>
          <w:color w:val="000000"/>
          <w:sz w:val="22"/>
          <w:szCs w:val="22"/>
        </w:rPr>
      </w:pPr>
      <w:r w:rsidRPr="00803BAD">
        <w:rPr>
          <w:rFonts w:ascii="Arial" w:eastAsia="Times New Roman" w:hAnsi="Arial" w:cs="Arial"/>
          <w:color w:val="000000"/>
          <w:sz w:val="22"/>
          <w:szCs w:val="22"/>
        </w:rPr>
        <w:t xml:space="preserve">Zero-hours contracts are used by </w:t>
      </w:r>
      <w:proofErr w:type="spellStart"/>
      <w:r w:rsidRPr="00803BAD">
        <w:rPr>
          <w:rFonts w:ascii="Arial" w:eastAsia="Times New Roman" w:hAnsi="Arial" w:cs="Arial"/>
          <w:color w:val="000000"/>
          <w:sz w:val="22"/>
          <w:szCs w:val="22"/>
        </w:rPr>
        <w:t>organizations</w:t>
      </w:r>
      <w:proofErr w:type="spellEnd"/>
      <w:r w:rsidRPr="00803BAD">
        <w:rPr>
          <w:rFonts w:ascii="Arial" w:eastAsia="Times New Roman" w:hAnsi="Arial" w:cs="Arial"/>
          <w:color w:val="000000"/>
          <w:sz w:val="22"/>
          <w:szCs w:val="22"/>
        </w:rPr>
        <w:t xml:space="preserve"> for flexibility and shift allocation without guaranteeing work, often in seasonal industries. However, they have faced criticism for not providing certainty of work and income. The Small Business Enterprise and Employment Act 2015 prohibits exclusivity clauses in zero-hours contracts, making dismissals unfair if the individual worked for another employer. The Exclusivity Terms in Zero-Hour Contracts (Redress) Regulations 2015 prohibit submitting zero-hour workers to a detriment.</w:t>
      </w:r>
      <w:r w:rsidR="00A56B78" w:rsidRPr="00803BAD">
        <w:rPr>
          <w:rFonts w:ascii="Arial" w:eastAsia="Times New Roman" w:hAnsi="Arial" w:cs="Arial"/>
          <w:color w:val="000000"/>
          <w:sz w:val="22"/>
          <w:szCs w:val="22"/>
        </w:rPr>
        <w:t xml:space="preserve"> (Daniels, 2022</w:t>
      </w:r>
      <w:r w:rsidR="00803BAD">
        <w:rPr>
          <w:rFonts w:ascii="Arial" w:eastAsia="Times New Roman" w:hAnsi="Arial" w:cs="Arial"/>
          <w:color w:val="000000"/>
          <w:sz w:val="22"/>
          <w:szCs w:val="22"/>
        </w:rPr>
        <w:t>c</w:t>
      </w:r>
      <w:r w:rsidR="00A56B78" w:rsidRPr="00803BAD">
        <w:rPr>
          <w:rFonts w:ascii="Arial" w:eastAsia="Times New Roman" w:hAnsi="Arial" w:cs="Arial"/>
          <w:color w:val="000000"/>
          <w:sz w:val="22"/>
          <w:szCs w:val="22"/>
        </w:rPr>
        <w:t>)</w:t>
      </w:r>
    </w:p>
    <w:p w14:paraId="4CD4DE6E" w14:textId="10AB2DBB" w:rsidR="00EC2540" w:rsidRPr="00A541C0" w:rsidRDefault="00A541C0">
      <w:pPr>
        <w:rPr>
          <w:rFonts w:ascii="Arial" w:eastAsia="Times New Roman" w:hAnsi="Arial" w:cs="Arial"/>
          <w:color w:val="000000"/>
          <w:sz w:val="22"/>
          <w:szCs w:val="22"/>
        </w:rPr>
      </w:pPr>
      <w:r>
        <w:rPr>
          <w:rFonts w:ascii="Arial" w:eastAsia="Times New Roman" w:hAnsi="Arial" w:cs="Arial"/>
          <w:color w:val="000000"/>
          <w:sz w:val="22"/>
          <w:szCs w:val="22"/>
        </w:rPr>
        <w:t xml:space="preserve">Pros and cons for employer - </w:t>
      </w:r>
      <w:r w:rsidR="00A3227B" w:rsidRPr="00A541C0">
        <w:rPr>
          <w:rFonts w:ascii="Arial" w:eastAsia="Times New Roman" w:hAnsi="Arial" w:cs="Arial"/>
          <w:color w:val="000000"/>
          <w:sz w:val="22"/>
          <w:szCs w:val="22"/>
        </w:rPr>
        <w:t>Workers receive lower pay and fewer benefits than employees, making them cheaper to engage with. Employers invest less time and resources in workers, often not offering career development or equipment. They can respond quickly and cost-effectively to increased demand and dismiss workers more quickly than employees. However, the workforce is less stable, leading to higher staff turnover rates. Workers may be less productive due to lack of long-term career development prospects and fewer rewards. Disengagement can result in higher absenteeism and sickness rates. Administrative burdens, post-termination restrictions, and less certainty over employment status are also challenges.</w:t>
      </w:r>
      <w:r w:rsidRPr="00A541C0">
        <w:rPr>
          <w:rFonts w:ascii="Arial" w:eastAsia="Times New Roman" w:hAnsi="Arial" w:cs="Arial"/>
          <w:color w:val="000000"/>
          <w:sz w:val="22"/>
          <w:szCs w:val="22"/>
        </w:rPr>
        <w:t xml:space="preserve"> CIPD (2021c)</w:t>
      </w:r>
    </w:p>
    <w:p w14:paraId="57B93324" w14:textId="4FFCE74F" w:rsidR="00A3227B" w:rsidRDefault="00A541C0">
      <w:pPr>
        <w:rPr>
          <w:rFonts w:ascii="Arial" w:eastAsia="Times New Roman" w:hAnsi="Arial" w:cs="Arial"/>
          <w:color w:val="000000"/>
          <w:sz w:val="22"/>
          <w:szCs w:val="22"/>
        </w:rPr>
      </w:pPr>
      <w:r>
        <w:rPr>
          <w:rFonts w:ascii="Arial" w:eastAsia="Times New Roman" w:hAnsi="Arial" w:cs="Arial"/>
          <w:color w:val="000000"/>
          <w:sz w:val="22"/>
          <w:szCs w:val="22"/>
        </w:rPr>
        <w:t xml:space="preserve">Pros and cons for </w:t>
      </w:r>
      <w:r w:rsidR="00AC1CC5">
        <w:rPr>
          <w:rFonts w:ascii="Arial" w:eastAsia="Times New Roman" w:hAnsi="Arial" w:cs="Arial"/>
          <w:color w:val="000000"/>
          <w:sz w:val="22"/>
          <w:szCs w:val="22"/>
        </w:rPr>
        <w:t xml:space="preserve">employee - </w:t>
      </w:r>
      <w:r w:rsidR="00155B5F" w:rsidRPr="00A541C0">
        <w:rPr>
          <w:rFonts w:ascii="Arial" w:eastAsia="Times New Roman" w:hAnsi="Arial" w:cs="Arial"/>
          <w:color w:val="000000"/>
          <w:sz w:val="22"/>
          <w:szCs w:val="22"/>
        </w:rPr>
        <w:t xml:space="preserve">Employee status provides stability and permanency, as employees are part of the employer's core workforce and are fully integrated into the </w:t>
      </w:r>
      <w:r w:rsidR="00AC1CC5" w:rsidRPr="00A541C0">
        <w:rPr>
          <w:rFonts w:ascii="Arial" w:eastAsia="Times New Roman" w:hAnsi="Arial" w:cs="Arial"/>
          <w:color w:val="000000"/>
          <w:sz w:val="22"/>
          <w:szCs w:val="22"/>
        </w:rPr>
        <w:t>organisation</w:t>
      </w:r>
      <w:r w:rsidR="00155B5F" w:rsidRPr="00A541C0">
        <w:rPr>
          <w:rFonts w:ascii="Arial" w:eastAsia="Times New Roman" w:hAnsi="Arial" w:cs="Arial"/>
          <w:color w:val="000000"/>
          <w:sz w:val="22"/>
          <w:szCs w:val="22"/>
        </w:rPr>
        <w:t>. They are subject to and benefit from the employer's policies and procedures, and receive a wide range of benefits such as bonuses, insurances, and enhanced sick pay. If you wish to leave, you may have a notice period and may be subject to post-termination restrictions. However, there may be limited flexibility in work schedules, no option to refuse work, and it may be challenging to balance professional and work-related interests.</w:t>
      </w:r>
      <w:r w:rsidR="00AF7E51" w:rsidRPr="00A541C0">
        <w:rPr>
          <w:rFonts w:ascii="Arial" w:eastAsia="Times New Roman" w:hAnsi="Arial" w:cs="Arial"/>
          <w:color w:val="000000"/>
          <w:sz w:val="22"/>
          <w:szCs w:val="22"/>
        </w:rPr>
        <w:t xml:space="preserve"> CIPD (2021</w:t>
      </w:r>
      <w:r w:rsidRPr="00A541C0">
        <w:rPr>
          <w:rFonts w:ascii="Arial" w:eastAsia="Times New Roman" w:hAnsi="Arial" w:cs="Arial"/>
          <w:color w:val="000000"/>
          <w:sz w:val="22"/>
          <w:szCs w:val="22"/>
        </w:rPr>
        <w:t>d)</w:t>
      </w:r>
    </w:p>
    <w:p w14:paraId="5412791B" w14:textId="27B71F99" w:rsidR="00B24995" w:rsidRDefault="00280F1F">
      <w:pPr>
        <w:rPr>
          <w:rStyle w:val="ui-provider"/>
          <w:rFonts w:ascii="Arial" w:hAnsi="Arial" w:cs="Arial"/>
          <w:color w:val="215E99" w:themeColor="text2" w:themeTint="BF"/>
          <w:sz w:val="22"/>
          <w:szCs w:val="22"/>
        </w:rPr>
      </w:pPr>
      <w:r w:rsidRPr="00280F1F">
        <w:rPr>
          <w:rStyle w:val="ui-provider"/>
          <w:rFonts w:ascii="Arial" w:hAnsi="Arial" w:cs="Arial"/>
          <w:color w:val="215E99" w:themeColor="text2" w:themeTint="BF"/>
          <w:sz w:val="22"/>
          <w:szCs w:val="22"/>
        </w:rPr>
        <w:t>10.</w:t>
      </w:r>
      <w:r w:rsidR="00B24995" w:rsidRPr="00280F1F">
        <w:rPr>
          <w:rStyle w:val="ui-provider"/>
          <w:rFonts w:ascii="Arial" w:hAnsi="Arial" w:cs="Arial"/>
          <w:color w:val="215E99" w:themeColor="text2" w:themeTint="BF"/>
          <w:sz w:val="22"/>
          <w:szCs w:val="22"/>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524C6863" w14:textId="715562B0" w:rsidR="006B67DE" w:rsidRPr="00C87F09" w:rsidRDefault="00137096">
      <w:pPr>
        <w:rPr>
          <w:rFonts w:ascii="Arial" w:eastAsia="Times New Roman" w:hAnsi="Arial" w:cs="Arial"/>
          <w:color w:val="000000"/>
          <w:sz w:val="22"/>
          <w:szCs w:val="22"/>
        </w:rPr>
      </w:pPr>
      <w:r w:rsidRPr="006B67DE">
        <w:rPr>
          <w:rFonts w:ascii="Arial" w:eastAsia="Times New Roman" w:hAnsi="Arial" w:cs="Arial"/>
          <w:color w:val="000000"/>
          <w:sz w:val="22"/>
          <w:szCs w:val="22"/>
        </w:rPr>
        <w:t xml:space="preserve">On-boarding is crucial for employee retention, as it positively impacts engagement, morale, </w:t>
      </w:r>
      <w:r w:rsidRPr="00C87F09">
        <w:rPr>
          <w:rFonts w:ascii="Arial" w:eastAsia="Times New Roman" w:hAnsi="Arial" w:cs="Arial"/>
          <w:color w:val="000000"/>
          <w:sz w:val="22"/>
          <w:szCs w:val="22"/>
        </w:rPr>
        <w:t xml:space="preserve">productivity, and retention. </w:t>
      </w:r>
      <w:r w:rsidR="006B67DE" w:rsidRPr="00C87F09">
        <w:rPr>
          <w:rFonts w:ascii="Arial" w:eastAsia="Times New Roman" w:hAnsi="Arial" w:cs="Arial"/>
          <w:color w:val="000000"/>
          <w:sz w:val="22"/>
          <w:szCs w:val="22"/>
        </w:rPr>
        <w:t>Organisations</w:t>
      </w:r>
      <w:r w:rsidRPr="00C87F09">
        <w:rPr>
          <w:rFonts w:ascii="Arial" w:eastAsia="Times New Roman" w:hAnsi="Arial" w:cs="Arial"/>
          <w:color w:val="000000"/>
          <w:sz w:val="22"/>
          <w:szCs w:val="22"/>
        </w:rPr>
        <w:t xml:space="preserve"> should invest in on-boarding programs, which should include a weekly schedule, names of interacting people, and company procedures. </w:t>
      </w:r>
      <w:r w:rsidRPr="00C87F09">
        <w:rPr>
          <w:rFonts w:ascii="Arial" w:eastAsia="Times New Roman" w:hAnsi="Arial" w:cs="Arial"/>
          <w:color w:val="000000"/>
          <w:sz w:val="22"/>
          <w:szCs w:val="22"/>
        </w:rPr>
        <w:lastRenderedPageBreak/>
        <w:t>Intangible factors like workload and time spent training new employees can also be alleviated through an on-boarding program, making retention more important.</w:t>
      </w:r>
      <w:r w:rsidR="006B6330" w:rsidRPr="00C87F09">
        <w:rPr>
          <w:rFonts w:ascii="Arial" w:eastAsia="Times New Roman" w:hAnsi="Arial" w:cs="Arial"/>
          <w:color w:val="000000"/>
          <w:sz w:val="22"/>
          <w:szCs w:val="22"/>
        </w:rPr>
        <w:t xml:space="preserve"> (</w:t>
      </w:r>
      <w:proofErr w:type="spellStart"/>
      <w:r w:rsidR="006B6330" w:rsidRPr="00C87F09">
        <w:rPr>
          <w:rFonts w:ascii="Arial" w:eastAsia="Times New Roman" w:hAnsi="Arial" w:cs="Arial"/>
          <w:color w:val="000000"/>
          <w:sz w:val="22"/>
          <w:szCs w:val="22"/>
        </w:rPr>
        <w:t>proquest</w:t>
      </w:r>
      <w:proofErr w:type="spellEnd"/>
      <w:r w:rsidR="006B6330" w:rsidRPr="00C87F09">
        <w:rPr>
          <w:rFonts w:ascii="Arial" w:eastAsia="Times New Roman" w:hAnsi="Arial" w:cs="Arial"/>
          <w:color w:val="000000"/>
          <w:sz w:val="22"/>
          <w:szCs w:val="22"/>
        </w:rPr>
        <w:t>, 2024)</w:t>
      </w:r>
    </w:p>
    <w:p w14:paraId="31F68CE0" w14:textId="0C4440D6" w:rsidR="002B3244" w:rsidRPr="00C87F09" w:rsidRDefault="00B52B24">
      <w:pPr>
        <w:rPr>
          <w:rFonts w:ascii="Arial" w:eastAsia="Times New Roman" w:hAnsi="Arial" w:cs="Arial"/>
          <w:color w:val="000000"/>
          <w:sz w:val="22"/>
          <w:szCs w:val="22"/>
        </w:rPr>
      </w:pPr>
      <w:r w:rsidRPr="00C87F09">
        <w:rPr>
          <w:rFonts w:ascii="Arial" w:eastAsia="Times New Roman" w:hAnsi="Arial" w:cs="Arial"/>
          <w:color w:val="000000"/>
          <w:sz w:val="22"/>
          <w:szCs w:val="22"/>
        </w:rPr>
        <w:t>Onboarding is crucial for businesses, but many external hires leave within two years and less than one-third of executives are positive about their experience. Formal onboarding increases the chances of keeping a new employee for at least three years by 69%. Effective onboarding programs offer benefits like a comprehensive application process and resources.</w:t>
      </w:r>
      <w:r w:rsidR="00A270B9" w:rsidRPr="00C87F09">
        <w:rPr>
          <w:rFonts w:ascii="Arial" w:eastAsia="Times New Roman" w:hAnsi="Arial" w:cs="Arial"/>
          <w:color w:val="000000"/>
          <w:sz w:val="22"/>
          <w:szCs w:val="22"/>
        </w:rPr>
        <w:t xml:space="preserve"> Davila and Pina-Ramirez (2018a)</w:t>
      </w:r>
    </w:p>
    <w:p w14:paraId="02523CA0" w14:textId="6A4A2ED8" w:rsidR="001A7937" w:rsidRPr="00C87F09" w:rsidRDefault="00B50040">
      <w:pPr>
        <w:rPr>
          <w:rFonts w:ascii="Arial" w:eastAsia="Times New Roman" w:hAnsi="Arial" w:cs="Arial"/>
          <w:color w:val="000000"/>
          <w:sz w:val="22"/>
          <w:szCs w:val="22"/>
        </w:rPr>
      </w:pPr>
      <w:r w:rsidRPr="00C87F09">
        <w:rPr>
          <w:rFonts w:ascii="Arial" w:eastAsia="Times New Roman" w:hAnsi="Arial" w:cs="Arial"/>
          <w:color w:val="000000"/>
          <w:sz w:val="22"/>
          <w:szCs w:val="22"/>
        </w:rPr>
        <w:t xml:space="preserve">Employee onboarding sets the foundation for engagement beyond the initial honeymoon period, resulting in higher levels of engagement and understanding of the company's value proposition and brand. These programs also help </w:t>
      </w:r>
      <w:r w:rsidR="001A7937" w:rsidRPr="00C87F09">
        <w:rPr>
          <w:rFonts w:ascii="Arial" w:eastAsia="Times New Roman" w:hAnsi="Arial" w:cs="Arial"/>
          <w:color w:val="000000"/>
          <w:sz w:val="22"/>
          <w:szCs w:val="22"/>
        </w:rPr>
        <w:t>organisations</w:t>
      </w:r>
      <w:r w:rsidRPr="00C87F09">
        <w:rPr>
          <w:rFonts w:ascii="Arial" w:eastAsia="Times New Roman" w:hAnsi="Arial" w:cs="Arial"/>
          <w:color w:val="000000"/>
          <w:sz w:val="22"/>
          <w:szCs w:val="22"/>
        </w:rPr>
        <w:t xml:space="preserve"> strengthen their brand and attract top talent for future roles</w:t>
      </w:r>
      <w:r w:rsidR="004D1529" w:rsidRPr="00C87F09">
        <w:rPr>
          <w:rFonts w:ascii="Arial" w:eastAsia="Times New Roman" w:hAnsi="Arial" w:cs="Arial"/>
          <w:color w:val="000000"/>
          <w:sz w:val="22"/>
          <w:szCs w:val="22"/>
        </w:rPr>
        <w:t xml:space="preserve"> Davila and Pina-Ramirez (2018b)</w:t>
      </w:r>
    </w:p>
    <w:p w14:paraId="5B59158C" w14:textId="51D40A84" w:rsidR="00045C74" w:rsidRPr="00C87F09" w:rsidRDefault="00284A39">
      <w:pPr>
        <w:rPr>
          <w:rFonts w:ascii="Arial" w:eastAsia="Times New Roman" w:hAnsi="Arial" w:cs="Arial"/>
          <w:color w:val="000000"/>
          <w:sz w:val="22"/>
          <w:szCs w:val="22"/>
        </w:rPr>
      </w:pPr>
      <w:r w:rsidRPr="00C87F09">
        <w:rPr>
          <w:rFonts w:ascii="Arial" w:eastAsia="Times New Roman" w:hAnsi="Arial" w:cs="Arial"/>
          <w:color w:val="000000"/>
          <w:sz w:val="22"/>
          <w:szCs w:val="22"/>
        </w:rPr>
        <w:t>Onboarding programs can significantly benefit businesses by fostering a sense of welcome and value for employees, leading to lower turnover rates, cost savings in recruitment, selection, and training, and workforce stability, reducing productivity losses and absenteeism rates.</w:t>
      </w:r>
      <w:r w:rsidR="004D1529" w:rsidRPr="00C87F09">
        <w:rPr>
          <w:rFonts w:ascii="Arial" w:eastAsia="Times New Roman" w:hAnsi="Arial" w:cs="Arial"/>
          <w:color w:val="000000"/>
          <w:sz w:val="22"/>
          <w:szCs w:val="22"/>
        </w:rPr>
        <w:t xml:space="preserve"> Davila and Pina-Ramirez (2018c)</w:t>
      </w:r>
    </w:p>
    <w:p w14:paraId="2A699594" w14:textId="3EA784FC" w:rsidR="006E58AC" w:rsidRDefault="00093121">
      <w:pPr>
        <w:rPr>
          <w:rStyle w:val="ui-provider"/>
          <w:rFonts w:ascii="Arial" w:hAnsi="Arial" w:cs="Arial"/>
          <w:color w:val="215E99" w:themeColor="text2" w:themeTint="BF"/>
          <w:sz w:val="22"/>
          <w:szCs w:val="22"/>
        </w:rPr>
      </w:pPr>
      <w:r w:rsidRPr="00C87F09">
        <w:rPr>
          <w:rFonts w:ascii="Arial" w:eastAsia="Times New Roman" w:hAnsi="Arial" w:cs="Arial"/>
          <w:color w:val="000000"/>
          <w:sz w:val="22"/>
          <w:szCs w:val="22"/>
        </w:rPr>
        <w:t>Onboarding programs can provide a competitive advantage for top talent, offering global mobility and technology-enhanced job flexibility. Companies investing in employee development from hiring can attract top candidates, resulting in a more qualified workforce. These programs foster valuable relationships, collaboration, and communication, reducing integration time.</w:t>
      </w:r>
      <w:r w:rsidR="004D1529" w:rsidRPr="00C87F09">
        <w:rPr>
          <w:rFonts w:ascii="Arial" w:eastAsia="Times New Roman" w:hAnsi="Arial" w:cs="Arial"/>
          <w:color w:val="000000"/>
          <w:sz w:val="22"/>
          <w:szCs w:val="22"/>
        </w:rPr>
        <w:t xml:space="preserve"> Davila and Pina-Ramirez (2018d)</w:t>
      </w:r>
    </w:p>
    <w:p w14:paraId="6753456C" w14:textId="2C786A08" w:rsidR="0019253F" w:rsidRPr="0019253F" w:rsidRDefault="000E56A8" w:rsidP="0019253F">
      <w:pPr>
        <w:spacing w:after="240" w:line="540" w:lineRule="atLeast"/>
        <w:outlineLvl w:val="0"/>
        <w:divId w:val="1730108492"/>
        <w:rPr>
          <w:rFonts w:ascii="Arial" w:eastAsia="Times New Roman" w:hAnsi="Arial" w:cs="Arial"/>
          <w:color w:val="000000"/>
          <w:kern w:val="36"/>
          <w:sz w:val="22"/>
          <w:szCs w:val="22"/>
          <w14:ligatures w14:val="none"/>
        </w:rPr>
      </w:pPr>
      <w:r w:rsidRPr="000E56A8">
        <w:rPr>
          <w:rFonts w:ascii="Arial" w:hAnsi="Arial" w:cs="Arial"/>
          <w:color w:val="215E99" w:themeColor="text2" w:themeTint="BF"/>
          <w:kern w:val="0"/>
          <w:sz w:val="22"/>
          <w:szCs w:val="22"/>
          <w:u w:val="single"/>
          <w14:ligatures w14:val="none"/>
        </w:rPr>
        <w:t>Bibliography</w:t>
      </w:r>
    </w:p>
    <w:p w14:paraId="009B2FF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Allen, D.G. and Bryant, P.C. (2012a). Managing Employee Turnover : Dispelling Myths and Fostering evidence-based Retention Strategies. New York: Business Expert Press.</w:t>
      </w:r>
    </w:p>
    <w:p w14:paraId="5C8B76CF"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Allen, D.G. and Bryant, P.C. (2012b). Managing Employee Turnover : Dispelling Myths and Fostering evidence-based Retention Strategies. New York: Business Expert Press.</w:t>
      </w:r>
    </w:p>
    <w:p w14:paraId="6D59D4DD"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Armstrong, M. (2007). A Handbook of Employee Reward Management and Practice. 2nd ed. Philadelphia: Kogan Page.</w:t>
      </w:r>
    </w:p>
    <w:p w14:paraId="2A481CA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Asuyama</w:t>
      </w:r>
      <w:proofErr w:type="spellEnd"/>
      <w:r w:rsidRPr="0019253F">
        <w:rPr>
          <w:rFonts w:ascii="Arial" w:hAnsi="Arial" w:cs="Arial"/>
          <w:color w:val="000000"/>
          <w:kern w:val="0"/>
          <w:sz w:val="22"/>
          <w:szCs w:val="22"/>
          <w14:ligatures w14:val="none"/>
        </w:rPr>
        <w:t>, Y. (2022). Doing Boss</w:t>
      </w:r>
      <w:r w:rsidRPr="0019253F">
        <w:rPr>
          <w:rFonts w:ascii="Cambria Math" w:hAnsi="Cambria Math" w:cs="Cambria Math"/>
          <w:color w:val="000000"/>
          <w:kern w:val="0"/>
          <w:sz w:val="22"/>
          <w:szCs w:val="22"/>
          <w14:ligatures w14:val="none"/>
        </w:rPr>
        <w:t>‐</w:t>
      </w:r>
      <w:r w:rsidRPr="0019253F">
        <w:rPr>
          <w:rFonts w:ascii="Arial" w:hAnsi="Arial" w:cs="Arial"/>
          <w:color w:val="000000"/>
          <w:kern w:val="0"/>
          <w:sz w:val="22"/>
          <w:szCs w:val="22"/>
          <w14:ligatures w14:val="none"/>
        </w:rPr>
        <w:t>like Tasks and Worker well</w:t>
      </w:r>
      <w:r w:rsidRPr="0019253F">
        <w:rPr>
          <w:rFonts w:ascii="Cambria Math" w:hAnsi="Cambria Math" w:cs="Cambria Math"/>
          <w:color w:val="000000"/>
          <w:kern w:val="0"/>
          <w:sz w:val="22"/>
          <w:szCs w:val="22"/>
          <w14:ligatures w14:val="none"/>
        </w:rPr>
        <w:t>‐</w:t>
      </w:r>
      <w:r w:rsidRPr="0019253F">
        <w:rPr>
          <w:rFonts w:ascii="Arial" w:hAnsi="Arial" w:cs="Arial"/>
          <w:color w:val="000000"/>
          <w:kern w:val="0"/>
          <w:sz w:val="22"/>
          <w:szCs w:val="22"/>
          <w14:ligatures w14:val="none"/>
        </w:rPr>
        <w:t xml:space="preserve">being: Job Enrichment Revisited. LABOUR, 36(2). </w:t>
      </w:r>
      <w:proofErr w:type="spellStart"/>
      <w:r w:rsidRPr="0019253F">
        <w:rPr>
          <w:rFonts w:ascii="Arial" w:hAnsi="Arial" w:cs="Arial"/>
          <w:color w:val="000000"/>
          <w:kern w:val="0"/>
          <w:sz w:val="22"/>
          <w:szCs w:val="22"/>
          <w14:ligatures w14:val="none"/>
        </w:rPr>
        <w:t>doi:https</w:t>
      </w:r>
      <w:proofErr w:type="spellEnd"/>
      <w:r w:rsidRPr="0019253F">
        <w:rPr>
          <w:rFonts w:ascii="Arial" w:hAnsi="Arial" w:cs="Arial"/>
          <w:color w:val="000000"/>
          <w:kern w:val="0"/>
          <w:sz w:val="22"/>
          <w:szCs w:val="22"/>
          <w14:ligatures w14:val="none"/>
        </w:rPr>
        <w:t>://doi.org/10.1111/labr.12217.</w:t>
      </w:r>
    </w:p>
    <w:p w14:paraId="2B7FB13F"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BBC (2022). The Advantages and Disadvantages of Different Methods of Recruitment - Recruitment - </w:t>
      </w:r>
      <w:proofErr w:type="spellStart"/>
      <w:r w:rsidRPr="0019253F">
        <w:rPr>
          <w:rFonts w:ascii="Arial" w:hAnsi="Arial" w:cs="Arial"/>
          <w:color w:val="000000"/>
          <w:kern w:val="0"/>
          <w:sz w:val="22"/>
          <w:szCs w:val="22"/>
          <w14:ligatures w14:val="none"/>
        </w:rPr>
        <w:t>Eduqas</w:t>
      </w:r>
      <w:proofErr w:type="spellEnd"/>
      <w:r w:rsidRPr="0019253F">
        <w:rPr>
          <w:rFonts w:ascii="Arial" w:hAnsi="Arial" w:cs="Arial"/>
          <w:color w:val="000000"/>
          <w:kern w:val="0"/>
          <w:sz w:val="22"/>
          <w:szCs w:val="22"/>
          <w14:ligatures w14:val="none"/>
        </w:rPr>
        <w:t xml:space="preserve"> - GCSE Business Revision - </w:t>
      </w:r>
      <w:proofErr w:type="spellStart"/>
      <w:r w:rsidRPr="0019253F">
        <w:rPr>
          <w:rFonts w:ascii="Arial" w:hAnsi="Arial" w:cs="Arial"/>
          <w:color w:val="000000"/>
          <w:kern w:val="0"/>
          <w:sz w:val="22"/>
          <w:szCs w:val="22"/>
          <w14:ligatures w14:val="none"/>
        </w:rPr>
        <w:t>Eduqas</w:t>
      </w:r>
      <w:proofErr w:type="spellEnd"/>
      <w:r w:rsidRPr="0019253F">
        <w:rPr>
          <w:rFonts w:ascii="Arial" w:hAnsi="Arial" w:cs="Arial"/>
          <w:color w:val="000000"/>
          <w:kern w:val="0"/>
          <w:sz w:val="22"/>
          <w:szCs w:val="22"/>
          <w14:ligatures w14:val="none"/>
        </w:rPr>
        <w:t>. [online] BBC Bitesize. Available at: https://www.bbc.co.uk/bitesize/guides/zm3jjhv/revision/3 [Accessed 25 Oct. 2024].</w:t>
      </w:r>
    </w:p>
    <w:p w14:paraId="5CBF866A"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Boxall</w:t>
      </w:r>
      <w:proofErr w:type="spellEnd"/>
      <w:r w:rsidRPr="0019253F">
        <w:rPr>
          <w:rFonts w:ascii="Arial" w:hAnsi="Arial" w:cs="Arial"/>
          <w:color w:val="000000"/>
          <w:kern w:val="0"/>
          <w:sz w:val="22"/>
          <w:szCs w:val="22"/>
          <w14:ligatures w14:val="none"/>
        </w:rPr>
        <w:t>, P.F., Purcell, J. and Wright, P. (2008). The Oxford Handbook of Human Resource Management. Oxford: Oxford University Press.</w:t>
      </w:r>
    </w:p>
    <w:p w14:paraId="3A948A1E"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lastRenderedPageBreak/>
        <w:t>CIPD (2019). CIPD | Flexible working: New cross-sector Guidance and Toolkits. [online] CIPD. Available at: https://www.cipd.org/uk/views-and-insights/thought-leadership/cipd-voice/flexible-working-guidance-toolkits/ [Accessed 22 Oct. 2024].</w:t>
      </w:r>
    </w:p>
    <w:p w14:paraId="6F83732B"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(2021a). CIPD | Technology and the Future of Work | Factsheets. [online] CIPD. Available at: https://www.cipd.org/uk/knowledge/factsheets/emerging-future-work-factsheet/ [Accessed 21 Oct. 2024].</w:t>
      </w:r>
    </w:p>
    <w:p w14:paraId="20E6236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(2021b). ZERO-HOURS CONTRACTS Understanding the law in partnership with Guide. [online] Available at: https://www.cipd.org/globalassets/media/knowledge/knowledge-hub/guides/zero-hours-contracts-guide-web-2021_tcm18-10706.pdf [Accessed 27 Oct. 2024].</w:t>
      </w:r>
    </w:p>
    <w:p w14:paraId="37E8AD63"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(2021c). ZERO-HOURS CONTRACTS Understanding the law in partnership with Guide. [online] Available at: https://www.cipd.org/globalassets/media/knowledge/knowledge-hub/guides/zero-hours-contracts-guide-web-2021_tcm18-10706.pdf [Accessed 27 Oct. 2024].</w:t>
      </w:r>
    </w:p>
    <w:p w14:paraId="745084AE"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(2021d). ZERO-HOURS CONTRACTS Understanding the law in partnership with Guide. [online] Available at: https://www.cipd.org/globalassets/media/knowledge/knowledge-hub/guides/zero-hours-contracts-guide-web-2021_tcm18-10706.pdf [Accessed 27 Oct. 2024].</w:t>
      </w:r>
    </w:p>
    <w:p w14:paraId="4FFEFF9F"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(2022). Survey Report Financial Wellbeing and Organisational Support REWARD MANAGEMENT SURVEY. [online] Available at: https://www.cipd.org/globalassets/media/knowledge/knowledge-hub/reports/2023-pdfs/financial-wellbeing-organisational-support_tcm18-108774.pdf [Accessed 22 Oct. 2024].</w:t>
      </w:r>
    </w:p>
    <w:p w14:paraId="04A14CB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(2023a). CIPD - Wellbeing. [online] www.cipd.org. Available at: https://www.cipd.org/uk/the-people-profession/the-profession-map/explore-the-profession-map/specialist-knowledge/wellbeing/ [Accessed 21 Oct. 2024].</w:t>
      </w:r>
    </w:p>
    <w:p w14:paraId="3B087C58"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(2023b). CIPD | PESTLE Analysis. [online] CIPD. Available at: https://www.cipd.org/uk/knowledge/factsheets/pestle-analysis-factsheet/#what-is-a-pestle-analysis [Accessed 18 Oct. 2024].</w:t>
      </w:r>
    </w:p>
    <w:p w14:paraId="4F970579"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(2023c). CIPD | Selection Methods. [online] CIPD. Available at: https://www.cipd.org/uk/knowledge/factsheets/selection-factsheet/#candidatesselected [Accessed 24 Oct. 2024].</w:t>
      </w:r>
    </w:p>
    <w:p w14:paraId="6FB9D410"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lastRenderedPageBreak/>
        <w:t>CIPD (2023d). CIPD | Selection Methods. [online] CIPD. Available at: https://www.cipd.org/uk/knowledge/factsheets/selection-factsheet/#interviewing [Accessed 25 Oct. 2024].</w:t>
      </w:r>
    </w:p>
    <w:p w14:paraId="4709533D"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(2023e). CIPD | Workforce Planning | Factsheets. [online] CIPD. Available at: https://www.cipd.org/uk/knowledge/factsheets/workforce-planning-factsheet/#what-is-workforce-planning.</w:t>
      </w:r>
    </w:p>
    <w:p w14:paraId="4BCB1484"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(2023f). Organisational Culture. [online] CIPD. Available at: https://www.cipd.org/uk/views-and-insights/cipd-viewpoint/organisational-culture/ [Accessed 18 Oct. 2024].</w:t>
      </w:r>
    </w:p>
    <w:p w14:paraId="48DEDF20"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(2023g). Strategic Workforce Planning. [online] CIPD. Available at: https://www.cipd.org/uk/knowledge/guides/strategic-workforce-planning/ [Accessed 24 Oct. 2024].</w:t>
      </w:r>
    </w:p>
    <w:p w14:paraId="292299EE"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(2024a). CIPD | Job Design | Factsheets. [online] CIPD. Available at: https://www.cipd.org/uk/knowledge/factsheets/job-design-factsheet/#what-is-job-design.</w:t>
      </w:r>
    </w:p>
    <w:p w14:paraId="2F7807FE"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(2024b). CIPD | SWOT Analysis | Factsheets. [online] CIPD. Available at: https://www.cipd.org/uk/knowledge/factsheets/swot-analysis-factsheet/#when-to-use-a-swot-analysis [Accessed 17 Oct. 2024].</w:t>
      </w:r>
    </w:p>
    <w:p w14:paraId="2AD76E8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(2024c). CIPD | SWOT Analysis | Factsheets. [online] CIPD. Available at: https://www.cipd.org/uk/knowledge/factsheets/swot-analysis-factsheet/#when-to-use-a-swot-analysis [Accessed 17 Oct. 2024].</w:t>
      </w:r>
    </w:p>
    <w:p w14:paraId="25B7B697"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(2024d). LABOUR MARKET. [online] Available at: https://www.cipd.org/globalassets/media/knowledge/knowledge-hub/reports/2024-pdfs/2024-labour-market-outlook-winter-2024-8552.pdf.</w:t>
      </w:r>
    </w:p>
    <w:p w14:paraId="13E4834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CIPD (2024e). Resourcing and Talent Planning Report 2024. [online] Available at: https://www.cipd.org/globalassets/media/knowledge/knowledge-hub/reports/2024-pdfs/8662-resource-and-talent-planning-2024-report-web.pdf [Accessed 2 Nov. 2024].</w:t>
      </w:r>
    </w:p>
    <w:p w14:paraId="408C9B53"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Clutterbuck</w:t>
      </w:r>
      <w:proofErr w:type="spellEnd"/>
      <w:r w:rsidRPr="0019253F">
        <w:rPr>
          <w:rFonts w:ascii="Arial" w:hAnsi="Arial" w:cs="Arial"/>
          <w:color w:val="000000"/>
          <w:kern w:val="0"/>
          <w:sz w:val="22"/>
          <w:szCs w:val="22"/>
          <w14:ligatures w14:val="none"/>
        </w:rPr>
        <w:t>, D. (2013). The Talent Wave : Why Succession Planning Fails and What to Do about It. London: Kogan Page.</w:t>
      </w:r>
    </w:p>
    <w:p w14:paraId="6D2F8DE6"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Cockett</w:t>
      </w:r>
      <w:proofErr w:type="spellEnd"/>
      <w:r w:rsidRPr="0019253F">
        <w:rPr>
          <w:rFonts w:ascii="Arial" w:hAnsi="Arial" w:cs="Arial"/>
          <w:color w:val="000000"/>
          <w:kern w:val="0"/>
          <w:sz w:val="22"/>
          <w:szCs w:val="22"/>
          <w14:ligatures w14:val="none"/>
        </w:rPr>
        <w:t>, J. (2024). CIPD | Benchmarking employee turnover: What are the latest trends and insights? [online] CIPD. Available at: https://www.cipd.org/uk/views-and-insights/thought-leadership/cipd-voice/benchmarking-employee-turnover/ [Accessed 26 Oct. 2024].</w:t>
      </w:r>
    </w:p>
    <w:p w14:paraId="5463AD16"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lastRenderedPageBreak/>
        <w:t>Cotton, C. (2024). Strategic &amp; Total Reward | Factsheets. [online] CIPD. Available at: https://www.cipd.org/uk/knowledge/factsheets/strategic-total-factsheet/ [Accessed 27 Oct. 2024].</w:t>
      </w:r>
    </w:p>
    <w:p w14:paraId="0EF3FA7D"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Daniels, K. (2022a). Introduction to Employment Law: Fundamentals for HR and Business Students. Chartered Institute of Personnel &amp; Development.</w:t>
      </w:r>
    </w:p>
    <w:p w14:paraId="40DD4A8D"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Daniels, K. (2022b). Introduction to Employment Law: Fundamentals for HR and Business Students. Chartered Institute of Personnel &amp; Development.</w:t>
      </w:r>
    </w:p>
    <w:p w14:paraId="0481E57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Daniels, K. (2022c). Introduction to Employment Law: Fundamentals for HR and Business Students. Chartered Institute of Personnel &amp; Development.</w:t>
      </w:r>
    </w:p>
    <w:p w14:paraId="064C7201"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Daniels, K. (2022d). Introduction to Employment Law: Fundamentals for HR and Business Students. Chartered Institute of Personnel &amp; Development.</w:t>
      </w:r>
    </w:p>
    <w:p w14:paraId="3DBE4231"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Davila, N. and Pina-Ramirez, W. (2018a). Effective Onboarding. American Society for Training and Development.</w:t>
      </w:r>
    </w:p>
    <w:p w14:paraId="46FE239F"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Davila, N. and Pina-Ramirez, W. (2018b). Effective Onboarding. American Society for Training and Development.</w:t>
      </w:r>
    </w:p>
    <w:p w14:paraId="1EA97217"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Davila, N. and Pina-Ramirez, W. (2018c). Effective Onboarding. American Society for Training and Development.</w:t>
      </w:r>
    </w:p>
    <w:p w14:paraId="658AA256"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Davila, N. and Pina-Ramirez, W. (2018d). Effective Onboarding. American Society for Training and Development.</w:t>
      </w:r>
    </w:p>
    <w:p w14:paraId="1282B01C"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Dr Elouise Leonard-Cross (2021). CIPD | What Will the Future of Work and Skills Look like. [online] CIPD. Available at: https://www.cipd.org/uk/about/news/future-of-work-and-skills/ [Accessed 23 Oct. 2024].</w:t>
      </w:r>
    </w:p>
    <w:p w14:paraId="3AAAE71B"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E. </w:t>
      </w:r>
      <w:proofErr w:type="spellStart"/>
      <w:r w:rsidRPr="0019253F">
        <w:rPr>
          <w:rFonts w:ascii="Arial" w:hAnsi="Arial" w:cs="Arial"/>
          <w:color w:val="000000"/>
          <w:kern w:val="0"/>
          <w:sz w:val="22"/>
          <w:szCs w:val="22"/>
          <w14:ligatures w14:val="none"/>
        </w:rPr>
        <w:t>Baur</w:t>
      </w:r>
      <w:proofErr w:type="spellEnd"/>
      <w:r w:rsidRPr="0019253F">
        <w:rPr>
          <w:rFonts w:ascii="Arial" w:hAnsi="Arial" w:cs="Arial"/>
          <w:color w:val="000000"/>
          <w:kern w:val="0"/>
          <w:sz w:val="22"/>
          <w:szCs w:val="22"/>
          <w14:ligatures w14:val="none"/>
        </w:rPr>
        <w:t xml:space="preserve">, J., Ronald Buckley, M., </w:t>
      </w:r>
      <w:proofErr w:type="spellStart"/>
      <w:r w:rsidRPr="0019253F">
        <w:rPr>
          <w:rFonts w:ascii="Arial" w:hAnsi="Arial" w:cs="Arial"/>
          <w:color w:val="000000"/>
          <w:kern w:val="0"/>
          <w:sz w:val="22"/>
          <w:szCs w:val="22"/>
          <w14:ligatures w14:val="none"/>
        </w:rPr>
        <w:t>Bagdasarov</w:t>
      </w:r>
      <w:proofErr w:type="spellEnd"/>
      <w:r w:rsidRPr="0019253F">
        <w:rPr>
          <w:rFonts w:ascii="Arial" w:hAnsi="Arial" w:cs="Arial"/>
          <w:color w:val="000000"/>
          <w:kern w:val="0"/>
          <w:sz w:val="22"/>
          <w:szCs w:val="22"/>
          <w14:ligatures w14:val="none"/>
        </w:rPr>
        <w:t xml:space="preserve">, Z. and S. </w:t>
      </w:r>
      <w:proofErr w:type="spellStart"/>
      <w:r w:rsidRPr="0019253F">
        <w:rPr>
          <w:rFonts w:ascii="Arial" w:hAnsi="Arial" w:cs="Arial"/>
          <w:color w:val="000000"/>
          <w:kern w:val="0"/>
          <w:sz w:val="22"/>
          <w:szCs w:val="22"/>
          <w14:ligatures w14:val="none"/>
        </w:rPr>
        <w:t>Dharmasiri</w:t>
      </w:r>
      <w:proofErr w:type="spellEnd"/>
      <w:r w:rsidRPr="0019253F">
        <w:rPr>
          <w:rFonts w:ascii="Arial" w:hAnsi="Arial" w:cs="Arial"/>
          <w:color w:val="000000"/>
          <w:kern w:val="0"/>
          <w:sz w:val="22"/>
          <w:szCs w:val="22"/>
          <w14:ligatures w14:val="none"/>
        </w:rPr>
        <w:t xml:space="preserve">, A. (2014). A Historical Approach to Realistic Job Previews. Journal of Management History, 20(2), pp.200–223. </w:t>
      </w:r>
      <w:proofErr w:type="spellStart"/>
      <w:r w:rsidRPr="0019253F">
        <w:rPr>
          <w:rFonts w:ascii="Arial" w:hAnsi="Arial" w:cs="Arial"/>
          <w:color w:val="000000"/>
          <w:kern w:val="0"/>
          <w:sz w:val="22"/>
          <w:szCs w:val="22"/>
          <w14:ligatures w14:val="none"/>
        </w:rPr>
        <w:t>doi:https</w:t>
      </w:r>
      <w:proofErr w:type="spellEnd"/>
      <w:r w:rsidRPr="0019253F">
        <w:rPr>
          <w:rFonts w:ascii="Arial" w:hAnsi="Arial" w:cs="Arial"/>
          <w:color w:val="000000"/>
          <w:kern w:val="0"/>
          <w:sz w:val="22"/>
          <w:szCs w:val="22"/>
          <w14:ligatures w14:val="none"/>
        </w:rPr>
        <w:t>://doi.org/10.1108/jmh-06-2012-0046.</w:t>
      </w:r>
    </w:p>
    <w:p w14:paraId="4970D4D8"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Gibson, A. (2021a). Agile Workforce Planning : How to Align People with </w:t>
      </w:r>
      <w:proofErr w:type="spellStart"/>
      <w:r w:rsidRPr="0019253F">
        <w:rPr>
          <w:rFonts w:ascii="Arial" w:hAnsi="Arial" w:cs="Arial"/>
          <w:color w:val="000000"/>
          <w:kern w:val="0"/>
          <w:sz w:val="22"/>
          <w:szCs w:val="22"/>
          <w14:ligatures w14:val="none"/>
        </w:rPr>
        <w:t>Organizational</w:t>
      </w:r>
      <w:proofErr w:type="spellEnd"/>
      <w:r w:rsidRPr="0019253F">
        <w:rPr>
          <w:rFonts w:ascii="Arial" w:hAnsi="Arial" w:cs="Arial"/>
          <w:color w:val="000000"/>
          <w:kern w:val="0"/>
          <w:sz w:val="22"/>
          <w:szCs w:val="22"/>
          <w14:ligatures w14:val="none"/>
        </w:rPr>
        <w:t xml:space="preserve"> Strategy for Improved Performance. London: Kogan Page.</w:t>
      </w:r>
    </w:p>
    <w:p w14:paraId="08A23ABD"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Gibson, A. (2021b). Agile Workforce Planning : How to Align People with </w:t>
      </w:r>
      <w:proofErr w:type="spellStart"/>
      <w:r w:rsidRPr="0019253F">
        <w:rPr>
          <w:rFonts w:ascii="Arial" w:hAnsi="Arial" w:cs="Arial"/>
          <w:color w:val="000000"/>
          <w:kern w:val="0"/>
          <w:sz w:val="22"/>
          <w:szCs w:val="22"/>
          <w14:ligatures w14:val="none"/>
        </w:rPr>
        <w:t>Organizational</w:t>
      </w:r>
      <w:proofErr w:type="spellEnd"/>
      <w:r w:rsidRPr="0019253F">
        <w:rPr>
          <w:rFonts w:ascii="Arial" w:hAnsi="Arial" w:cs="Arial"/>
          <w:color w:val="000000"/>
          <w:kern w:val="0"/>
          <w:sz w:val="22"/>
          <w:szCs w:val="22"/>
          <w14:ligatures w14:val="none"/>
        </w:rPr>
        <w:t xml:space="preserve"> Strategy for Improved Performance. London: Kogan Page.</w:t>
      </w:r>
    </w:p>
    <w:p w14:paraId="52B41716"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lastRenderedPageBreak/>
        <w:t xml:space="preserve">Gibson, A. (2021c). Agile Workforce Planning : How to Align People with </w:t>
      </w:r>
      <w:proofErr w:type="spellStart"/>
      <w:r w:rsidRPr="0019253F">
        <w:rPr>
          <w:rFonts w:ascii="Arial" w:hAnsi="Arial" w:cs="Arial"/>
          <w:color w:val="000000"/>
          <w:kern w:val="0"/>
          <w:sz w:val="22"/>
          <w:szCs w:val="22"/>
          <w14:ligatures w14:val="none"/>
        </w:rPr>
        <w:t>Organizational</w:t>
      </w:r>
      <w:proofErr w:type="spellEnd"/>
      <w:r w:rsidRPr="0019253F">
        <w:rPr>
          <w:rFonts w:ascii="Arial" w:hAnsi="Arial" w:cs="Arial"/>
          <w:color w:val="000000"/>
          <w:kern w:val="0"/>
          <w:sz w:val="22"/>
          <w:szCs w:val="22"/>
          <w14:ligatures w14:val="none"/>
        </w:rPr>
        <w:t xml:space="preserve"> Strategy for Improved Performance. London: Kogan Page.</w:t>
      </w:r>
    </w:p>
    <w:p w14:paraId="61E68A32"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Leonard, K. (2023). 10 Effective Recruitment Strategies in 2023. [online] Forbes. Available at: https://www.forbes.com/advisor/business/recruitment-strategies/ [Accessed 21 Oct. 2024].</w:t>
      </w:r>
    </w:p>
    <w:p w14:paraId="64508CE2"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Liu, Y.-L., Keeling, K.A. and </w:t>
      </w:r>
      <w:proofErr w:type="spellStart"/>
      <w:r w:rsidRPr="0019253F">
        <w:rPr>
          <w:rFonts w:ascii="Arial" w:hAnsi="Arial" w:cs="Arial"/>
          <w:color w:val="000000"/>
          <w:kern w:val="0"/>
          <w:sz w:val="22"/>
          <w:szCs w:val="22"/>
          <w14:ligatures w14:val="none"/>
        </w:rPr>
        <w:t>Papamichail</w:t>
      </w:r>
      <w:proofErr w:type="spellEnd"/>
      <w:r w:rsidRPr="0019253F">
        <w:rPr>
          <w:rFonts w:ascii="Arial" w:hAnsi="Arial" w:cs="Arial"/>
          <w:color w:val="000000"/>
          <w:kern w:val="0"/>
          <w:sz w:val="22"/>
          <w:szCs w:val="22"/>
          <w14:ligatures w14:val="none"/>
        </w:rPr>
        <w:t xml:space="preserve">, K.N. (2016). Maximising the Credibility of Realistic Job Preview messages: the Effect of Jobseekers’ decision-making Style on Recruitment Information Credibility. The International Journal of Human Resource Management, 29(7), pp.1330–1364. </w:t>
      </w:r>
      <w:proofErr w:type="spellStart"/>
      <w:r w:rsidRPr="0019253F">
        <w:rPr>
          <w:rFonts w:ascii="Arial" w:hAnsi="Arial" w:cs="Arial"/>
          <w:color w:val="000000"/>
          <w:kern w:val="0"/>
          <w:sz w:val="22"/>
          <w:szCs w:val="22"/>
          <w14:ligatures w14:val="none"/>
        </w:rPr>
        <w:t>doi:https</w:t>
      </w:r>
      <w:proofErr w:type="spellEnd"/>
      <w:r w:rsidRPr="0019253F">
        <w:rPr>
          <w:rFonts w:ascii="Arial" w:hAnsi="Arial" w:cs="Arial"/>
          <w:color w:val="000000"/>
          <w:kern w:val="0"/>
          <w:sz w:val="22"/>
          <w:szCs w:val="22"/>
          <w14:ligatures w14:val="none"/>
        </w:rPr>
        <w:t>://doi.org/10.1080/09585192.2016.1203347.</w:t>
      </w:r>
    </w:p>
    <w:p w14:paraId="0139A973"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Lupena</w:t>
      </w:r>
      <w:proofErr w:type="spellEnd"/>
      <w:r w:rsidRPr="0019253F">
        <w:rPr>
          <w:rFonts w:ascii="Arial" w:hAnsi="Arial" w:cs="Arial"/>
          <w:color w:val="000000"/>
          <w:kern w:val="0"/>
          <w:sz w:val="22"/>
          <w:szCs w:val="22"/>
          <w14:ligatures w14:val="none"/>
        </w:rPr>
        <w:t xml:space="preserve">, L. (2024). The Pitfalls of Poor Workforce Planning. [online] </w:t>
      </w:r>
      <w:proofErr w:type="spellStart"/>
      <w:r w:rsidRPr="0019253F">
        <w:rPr>
          <w:rFonts w:ascii="Arial" w:hAnsi="Arial" w:cs="Arial"/>
          <w:color w:val="000000"/>
          <w:kern w:val="0"/>
          <w:sz w:val="22"/>
          <w:szCs w:val="22"/>
          <w14:ligatures w14:val="none"/>
        </w:rPr>
        <w:t>Thinkdev</w:t>
      </w:r>
      <w:proofErr w:type="spellEnd"/>
      <w:r w:rsidRPr="0019253F">
        <w:rPr>
          <w:rFonts w:ascii="Arial" w:hAnsi="Arial" w:cs="Arial"/>
          <w:color w:val="000000"/>
          <w:kern w:val="0"/>
          <w:sz w:val="22"/>
          <w:szCs w:val="22"/>
          <w14:ligatures w14:val="none"/>
        </w:rPr>
        <w:t>. Available at: https://thinkdev.org/blog/the-pitfalls-of-poor-workforce-planning [Accessed 23 Oct. 2024].</w:t>
      </w:r>
    </w:p>
    <w:p w14:paraId="1C26511C"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Marta, I.A., </w:t>
      </w:r>
      <w:proofErr w:type="spellStart"/>
      <w:r w:rsidRPr="0019253F">
        <w:rPr>
          <w:rFonts w:ascii="Arial" w:hAnsi="Arial" w:cs="Arial"/>
          <w:color w:val="000000"/>
          <w:kern w:val="0"/>
          <w:sz w:val="22"/>
          <w:szCs w:val="22"/>
          <w14:ligatures w14:val="none"/>
        </w:rPr>
        <w:t>Supartha</w:t>
      </w:r>
      <w:proofErr w:type="spellEnd"/>
      <w:r w:rsidRPr="0019253F">
        <w:rPr>
          <w:rFonts w:ascii="Arial" w:hAnsi="Arial" w:cs="Arial"/>
          <w:color w:val="000000"/>
          <w:kern w:val="0"/>
          <w:sz w:val="22"/>
          <w:szCs w:val="22"/>
          <w14:ligatures w14:val="none"/>
        </w:rPr>
        <w:t xml:space="preserve">, I.W.G., Dewi, I.G.A.M. and </w:t>
      </w:r>
      <w:proofErr w:type="spellStart"/>
      <w:r w:rsidRPr="0019253F">
        <w:rPr>
          <w:rFonts w:ascii="Arial" w:hAnsi="Arial" w:cs="Arial"/>
          <w:color w:val="000000"/>
          <w:kern w:val="0"/>
          <w:sz w:val="22"/>
          <w:szCs w:val="22"/>
          <w14:ligatures w14:val="none"/>
        </w:rPr>
        <w:t>Wibawa</w:t>
      </w:r>
      <w:proofErr w:type="spellEnd"/>
      <w:r w:rsidRPr="0019253F">
        <w:rPr>
          <w:rFonts w:ascii="Arial" w:hAnsi="Arial" w:cs="Arial"/>
          <w:color w:val="000000"/>
          <w:kern w:val="0"/>
          <w:sz w:val="22"/>
          <w:szCs w:val="22"/>
          <w14:ligatures w14:val="none"/>
        </w:rPr>
        <w:t xml:space="preserve">, I.M.A. (2021). Job Enrichment, Empowerment, and </w:t>
      </w:r>
      <w:proofErr w:type="spellStart"/>
      <w:r w:rsidRPr="0019253F">
        <w:rPr>
          <w:rFonts w:ascii="Arial" w:hAnsi="Arial" w:cs="Arial"/>
          <w:color w:val="000000"/>
          <w:kern w:val="0"/>
          <w:sz w:val="22"/>
          <w:szCs w:val="22"/>
          <w14:ligatures w14:val="none"/>
        </w:rPr>
        <w:t>Organizational</w:t>
      </w:r>
      <w:proofErr w:type="spellEnd"/>
      <w:r w:rsidRPr="0019253F">
        <w:rPr>
          <w:rFonts w:ascii="Arial" w:hAnsi="Arial" w:cs="Arial"/>
          <w:color w:val="000000"/>
          <w:kern w:val="0"/>
          <w:sz w:val="22"/>
          <w:szCs w:val="22"/>
          <w14:ligatures w14:val="none"/>
        </w:rPr>
        <w:t xml:space="preserve"> Commitment: the Mediating Role of Work Motivation and Job Satisfaction. The Journal of Asian Finance, Economics, and Business, [online] 8(1), pp.1031–1040. </w:t>
      </w:r>
      <w:proofErr w:type="spellStart"/>
      <w:r w:rsidRPr="0019253F">
        <w:rPr>
          <w:rFonts w:ascii="Arial" w:hAnsi="Arial" w:cs="Arial"/>
          <w:color w:val="000000"/>
          <w:kern w:val="0"/>
          <w:sz w:val="22"/>
          <w:szCs w:val="22"/>
          <w14:ligatures w14:val="none"/>
        </w:rPr>
        <w:t>doi:https</w:t>
      </w:r>
      <w:proofErr w:type="spellEnd"/>
      <w:r w:rsidRPr="0019253F">
        <w:rPr>
          <w:rFonts w:ascii="Arial" w:hAnsi="Arial" w:cs="Arial"/>
          <w:color w:val="000000"/>
          <w:kern w:val="0"/>
          <w:sz w:val="22"/>
          <w:szCs w:val="22"/>
          <w14:ligatures w14:val="none"/>
        </w:rPr>
        <w:t>://doi.org/10.13106/jafeb.2021.vol8.no1.1031.</w:t>
      </w:r>
    </w:p>
    <w:p w14:paraId="050258B9"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McCartney, C. (2023a). CIPD | Induction | Factsheets. [online] CIPD. Available at: https://www.cipd.org/uk/knowledge/factsheets/induction-factsheet/#benefitseffectiveinduction [Accessed 27 Oct. 2024].</w:t>
      </w:r>
    </w:p>
    <w:p w14:paraId="46125D01"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McCartney, C. (2023b). CIPD | Recruitment Process Overview | Factsheets. [online] CIPD. Available at: https://www.cipd.org/uk/knowledge/factsheets/recruitment-factsheet/ [Accessed 24 Oct. 2024].</w:t>
      </w:r>
    </w:p>
    <w:p w14:paraId="4986BC80"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Morris, A. (2024a). Understanding the Permanent Contract for Employers | DavidsonMorris. [online] DavidsonMorris | Solicitors. Available at: https://www.davidsonmorris.com/permanent-contract/ [Accessed 28 Oct. 2024].</w:t>
      </w:r>
    </w:p>
    <w:p w14:paraId="50FA678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Morris, A. (2024b). Understanding the Permanent Contract for Employers | DavidsonMorris. [online] DavidsonMorris | Solicitors. Available at: https://www.davidsonmorris.com/permanent-contract/ [Accessed 28 Oct. 2024].</w:t>
      </w:r>
    </w:p>
    <w:p w14:paraId="31623E2C"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Peters, R. (2024). People Profession 2023 International Survey Report. [online] Available at: https://www.cipd.org/globalassets/media/knowledge/knowledge-hub/reports/2023-pdfs/2023-people-profession-report-international.pdf.</w:t>
      </w:r>
    </w:p>
    <w:p w14:paraId="20F7E432"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Picardi</w:t>
      </w:r>
      <w:proofErr w:type="spellEnd"/>
      <w:r w:rsidRPr="0019253F">
        <w:rPr>
          <w:rFonts w:ascii="Arial" w:hAnsi="Arial" w:cs="Arial"/>
          <w:color w:val="000000"/>
          <w:kern w:val="0"/>
          <w:sz w:val="22"/>
          <w:szCs w:val="22"/>
          <w14:ligatures w14:val="none"/>
        </w:rPr>
        <w:t>, C.A. (2020). Recruitment and Selection : Strategies for Workforce Planning and Assessment. Los Angeles ; London Sage.</w:t>
      </w:r>
    </w:p>
    <w:p w14:paraId="60FA0D35"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lastRenderedPageBreak/>
        <w:t>Porter, M.E. (1985). Competitive Advantage. Micheal Porter.</w:t>
      </w:r>
    </w:p>
    <w:p w14:paraId="73D9892F"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proquest</w:t>
      </w:r>
      <w:proofErr w:type="spellEnd"/>
      <w:r w:rsidRPr="0019253F">
        <w:rPr>
          <w:rFonts w:ascii="Arial" w:hAnsi="Arial" w:cs="Arial"/>
          <w:color w:val="000000"/>
          <w:kern w:val="0"/>
          <w:sz w:val="22"/>
          <w:szCs w:val="22"/>
          <w14:ligatures w14:val="none"/>
        </w:rPr>
        <w:t xml:space="preserve"> (2024). Part One in a Series: RETENTION THROUGH ON-BOARDING - ProQuest. [online] Proquest.com. Available at: https://www.proquest.com/trade-journals/part-one-series-retention-through-on-boarding/docview/214010113/se-2?accountid=130472 [Accessed 2 Nov. 2024].</w:t>
      </w:r>
    </w:p>
    <w:p w14:paraId="7B70D598"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Russell, T. and Weeks, A. (2024). Ethics at work: an Employer’s Guide. [online] CIPD. Available at: https://www.cipd.org/uk/knowledge/guides/ethics-work-guide/ [Accessed 21 Oct. 2024].</w:t>
      </w:r>
    </w:p>
    <w:p w14:paraId="32BF1C49"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Silkin</w:t>
      </w:r>
      <w:proofErr w:type="spellEnd"/>
      <w:r w:rsidRPr="0019253F">
        <w:rPr>
          <w:rFonts w:ascii="Arial" w:hAnsi="Arial" w:cs="Arial"/>
          <w:color w:val="000000"/>
          <w:kern w:val="0"/>
          <w:sz w:val="22"/>
          <w:szCs w:val="22"/>
          <w14:ligatures w14:val="none"/>
        </w:rPr>
        <w:t>, L. (2024a). CIPD | How to manage an increase in flexible working requests. [online] CIPD. Available at: https://www.cipd.org/uk/knowledge/guides/agency-workers-guide/#agency-workers-and-an-overview-of-the-law [Accessed 27 Oct. 2024].</w:t>
      </w:r>
    </w:p>
    <w:p w14:paraId="68ACDDEE"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Silkin</w:t>
      </w:r>
      <w:proofErr w:type="spellEnd"/>
      <w:r w:rsidRPr="0019253F">
        <w:rPr>
          <w:rFonts w:ascii="Arial" w:hAnsi="Arial" w:cs="Arial"/>
          <w:color w:val="000000"/>
          <w:kern w:val="0"/>
          <w:sz w:val="22"/>
          <w:szCs w:val="22"/>
          <w14:ligatures w14:val="none"/>
        </w:rPr>
        <w:t>, L. (2024b). CIPD | How to manage an increase in flexible working requests. [online] CIPD. Available at: https://www.cipd.org/uk/knowledge/guides/agency-workers-guide/#agency-workers-and-an-overview-of-the-law [Accessed 27 Oct. 2024].</w:t>
      </w:r>
    </w:p>
    <w:p w14:paraId="4ACAE341"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Stredwick</w:t>
      </w:r>
      <w:proofErr w:type="spellEnd"/>
      <w:r w:rsidRPr="0019253F">
        <w:rPr>
          <w:rFonts w:ascii="Arial" w:hAnsi="Arial" w:cs="Arial"/>
          <w:color w:val="000000"/>
          <w:kern w:val="0"/>
          <w:sz w:val="22"/>
          <w:szCs w:val="22"/>
          <w14:ligatures w14:val="none"/>
        </w:rPr>
        <w:t>, J. (2005a). An Introduction to Human Resource Management. Great Britain: Butterworth-Heinemann.</w:t>
      </w:r>
    </w:p>
    <w:p w14:paraId="647D0EC0"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Stredwick</w:t>
      </w:r>
      <w:proofErr w:type="spellEnd"/>
      <w:r w:rsidRPr="0019253F">
        <w:rPr>
          <w:rFonts w:ascii="Arial" w:hAnsi="Arial" w:cs="Arial"/>
          <w:color w:val="000000"/>
          <w:kern w:val="0"/>
          <w:sz w:val="22"/>
          <w:szCs w:val="22"/>
          <w14:ligatures w14:val="none"/>
        </w:rPr>
        <w:t>, J. (2005b). An Introduction to Human Resource Management. Great Britain: Butterworth-Heinemann.</w:t>
      </w:r>
    </w:p>
    <w:p w14:paraId="2CABC94C"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Stredwick</w:t>
      </w:r>
      <w:proofErr w:type="spellEnd"/>
      <w:r w:rsidRPr="0019253F">
        <w:rPr>
          <w:rFonts w:ascii="Arial" w:hAnsi="Arial" w:cs="Arial"/>
          <w:color w:val="000000"/>
          <w:kern w:val="0"/>
          <w:sz w:val="22"/>
          <w:szCs w:val="22"/>
          <w14:ligatures w14:val="none"/>
        </w:rPr>
        <w:t>, J. (2005c). An Introduction to Human Resource Management. Great Britain: Butterworth-Heinemann.</w:t>
      </w:r>
    </w:p>
    <w:p w14:paraId="55563183"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proofErr w:type="spellStart"/>
      <w:r w:rsidRPr="0019253F">
        <w:rPr>
          <w:rFonts w:ascii="Arial" w:hAnsi="Arial" w:cs="Arial"/>
          <w:color w:val="000000"/>
          <w:kern w:val="0"/>
          <w:sz w:val="22"/>
          <w:szCs w:val="22"/>
          <w14:ligatures w14:val="none"/>
        </w:rPr>
        <w:t>Sufyan</w:t>
      </w:r>
      <w:proofErr w:type="spellEnd"/>
      <w:r w:rsidRPr="0019253F">
        <w:rPr>
          <w:rFonts w:ascii="Arial" w:hAnsi="Arial" w:cs="Arial"/>
          <w:color w:val="000000"/>
          <w:kern w:val="0"/>
          <w:sz w:val="22"/>
          <w:szCs w:val="22"/>
          <w14:ligatures w14:val="none"/>
        </w:rPr>
        <w:t xml:space="preserve">, M.Z. (2010). Role of Push Vs Pull Factors in Employee Job Switch Decision. Journal of Independent Studies and Research-Management, Social Sciences and Economics, 8(1), pp.95–105. </w:t>
      </w:r>
      <w:proofErr w:type="spellStart"/>
      <w:r w:rsidRPr="0019253F">
        <w:rPr>
          <w:rFonts w:ascii="Arial" w:hAnsi="Arial" w:cs="Arial"/>
          <w:color w:val="000000"/>
          <w:kern w:val="0"/>
          <w:sz w:val="22"/>
          <w:szCs w:val="22"/>
          <w14:ligatures w14:val="none"/>
        </w:rPr>
        <w:t>doi:https</w:t>
      </w:r>
      <w:proofErr w:type="spellEnd"/>
      <w:r w:rsidRPr="0019253F">
        <w:rPr>
          <w:rFonts w:ascii="Arial" w:hAnsi="Arial" w:cs="Arial"/>
          <w:color w:val="000000"/>
          <w:kern w:val="0"/>
          <w:sz w:val="22"/>
          <w:szCs w:val="22"/>
          <w14:ligatures w14:val="none"/>
        </w:rPr>
        <w:t>://doi.org/10.31384/jisrmsse/2010.08.1.8.</w:t>
      </w:r>
    </w:p>
    <w:p w14:paraId="66B664AD"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(2016a). Studying Human Resource Management. 2nd ed. Kogan Page Publishers.</w:t>
      </w:r>
    </w:p>
    <w:p w14:paraId="7E4124E0"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(2016b). Studying Human Resource Management. 2nd ed. Kogan Page Publishers.</w:t>
      </w:r>
    </w:p>
    <w:p w14:paraId="24309206"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(2016c). Studying Human Resource Management. 2nd ed. Kogan Page Publishers.</w:t>
      </w:r>
    </w:p>
    <w:p w14:paraId="765EB230"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lastRenderedPageBreak/>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(2016d). Studying Human Resource Management. 2nd ed. Kogan Page Publishers.</w:t>
      </w:r>
    </w:p>
    <w:p w14:paraId="29E6DC9E"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(2016e). Studying Human Resource Management. 2nd ed. Kogan Page Publishers.</w:t>
      </w:r>
    </w:p>
    <w:p w14:paraId="18AA5292"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(2016f). Studying Human Resource Management. 2nd ed. Kogan Page Publishers.</w:t>
      </w:r>
    </w:p>
    <w:p w14:paraId="592E7538"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(2016g). Studying Human Resource Management. 2nd ed. Kogan Page Publishers.</w:t>
      </w:r>
    </w:p>
    <w:p w14:paraId="6653B870"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(2016h). Studying Human Resource Management. 2nd ed. Kogan Page Publishers.</w:t>
      </w:r>
    </w:p>
    <w:p w14:paraId="34D78B63"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(2016i). Studying Human Resource Management. 2nd ed. Kogan Page Publishers.</w:t>
      </w:r>
    </w:p>
    <w:p w14:paraId="4C0B219E"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(2016j). Studying Human Resource Management. 2nd ed. Kogan Page Publishers.</w:t>
      </w:r>
    </w:p>
    <w:p w14:paraId="62157D44"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(2016k). Studying Human Resource Management. 2nd ed. Kogan Page Publishers.</w:t>
      </w:r>
    </w:p>
    <w:p w14:paraId="6D7395DB"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(2016l). Studying Human Resource Management. 2nd ed. Kogan Page Publishers.</w:t>
      </w:r>
    </w:p>
    <w:p w14:paraId="0648F1F1"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(2016m). Studying Human Resource Management. 2nd ed. Kogan Page Publishers.</w:t>
      </w:r>
    </w:p>
    <w:p w14:paraId="377655EF"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(2016n). Studying Human Resource Management. 2nd ed. Kogan Page Publishers.</w:t>
      </w:r>
    </w:p>
    <w:p w14:paraId="51CB922E"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(2016o). Studying Human Resource Management. 2nd ed. Kogan Page Publishers.</w:t>
      </w:r>
    </w:p>
    <w:p w14:paraId="09B3DF2F"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(2016p). Studying Human Resource Management. 2nd ed. Kogan Page Publishers.</w:t>
      </w:r>
    </w:p>
    <w:p w14:paraId="5485B3D6" w14:textId="77777777" w:rsidR="0019253F" w:rsidRPr="0019253F" w:rsidRDefault="0019253F" w:rsidP="0019253F">
      <w:pPr>
        <w:spacing w:after="240" w:line="360" w:lineRule="atLeast"/>
        <w:divId w:val="572813823"/>
        <w:rPr>
          <w:rFonts w:ascii="Arial" w:hAnsi="Arial" w:cs="Arial"/>
          <w:color w:val="000000"/>
          <w:kern w:val="0"/>
          <w:sz w:val="22"/>
          <w:szCs w:val="22"/>
          <w14:ligatures w14:val="none"/>
        </w:rPr>
      </w:pPr>
      <w:r w:rsidRPr="0019253F">
        <w:rPr>
          <w:rFonts w:ascii="Arial" w:hAnsi="Arial" w:cs="Arial"/>
          <w:color w:val="000000"/>
          <w:kern w:val="0"/>
          <w:sz w:val="22"/>
          <w:szCs w:val="22"/>
          <w14:ligatures w14:val="none"/>
        </w:rPr>
        <w:t xml:space="preserve">Taylor, S. and </w:t>
      </w:r>
      <w:proofErr w:type="spellStart"/>
      <w:r w:rsidRPr="0019253F">
        <w:rPr>
          <w:rFonts w:ascii="Arial" w:hAnsi="Arial" w:cs="Arial"/>
          <w:color w:val="000000"/>
          <w:kern w:val="0"/>
          <w:sz w:val="22"/>
          <w:szCs w:val="22"/>
          <w14:ligatures w14:val="none"/>
        </w:rPr>
        <w:t>Woodhams</w:t>
      </w:r>
      <w:proofErr w:type="spellEnd"/>
      <w:r w:rsidRPr="0019253F">
        <w:rPr>
          <w:rFonts w:ascii="Arial" w:hAnsi="Arial" w:cs="Arial"/>
          <w:color w:val="000000"/>
          <w:kern w:val="0"/>
          <w:sz w:val="22"/>
          <w:szCs w:val="22"/>
          <w14:ligatures w14:val="none"/>
        </w:rPr>
        <w:t>, C. (2016q). Studying Human Resource Management. 2nd ed. Kogan Page Publishers.</w:t>
      </w:r>
    </w:p>
    <w:p w14:paraId="6D1CB178" w14:textId="0361F702" w:rsidR="003C4F80" w:rsidRPr="000E56A8" w:rsidRDefault="003C4F80">
      <w:pPr>
        <w:rPr>
          <w:rFonts w:ascii="Arial" w:hAnsi="Arial" w:cs="Arial"/>
          <w:sz w:val="22"/>
          <w:szCs w:val="22"/>
        </w:rPr>
      </w:pPr>
    </w:p>
    <w:sectPr w:rsidR="003C4F80" w:rsidRPr="000E5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ifVT1EIA" int2:invalidationBookmarkName="" int2:hashCode="LKKPgOwzGSnxNB" int2:id="z87rrgyl">
      <int2:state int2:value="Rejected" int2:type="AugLoop_Text_Critique"/>
    </int2:bookmark>
    <int2:bookmark int2:bookmarkName="_Int_fj6S5H3J" int2:invalidationBookmarkName="" int2:hashCode="ISQDfKZqM8FMSE" int2:id="L3RrBQf1">
      <int2:state int2:value="Rejected" int2:type="AugLoop_Text_Critique"/>
    </int2:bookmark>
    <int2:bookmark int2:bookmarkName="_Int_vVWcaIBi" int2:invalidationBookmarkName="" int2:hashCode="2uW32/K8uBDHiu" int2:id="6kXCBHCg">
      <int2:state int2:value="Rejected" int2:type="AugLoop_Text_Critique"/>
    </int2:bookmark>
    <int2:bookmark int2:bookmarkName="_Int_WGq1SDHo" int2:invalidationBookmarkName="" int2:hashCode="R5GaswwaFG/Fks" int2:id="7KWPLxAu">
      <int2:state int2:value="Rejected" int2:type="AugLoop_Text_Critique"/>
    </int2:bookmark>
    <int2:bookmark int2:bookmarkName="_Int_Uj6NMXEq" int2:invalidationBookmarkName="" int2:hashCode="N6w+ZVWwv33fAV" int2:id="kkJhxKe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C0060"/>
    <w:multiLevelType w:val="hybridMultilevel"/>
    <w:tmpl w:val="28665A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4F3232"/>
    <w:multiLevelType w:val="hybridMultilevel"/>
    <w:tmpl w:val="FFFFFFFF"/>
    <w:numStyleLink w:val="ImportedStyle5"/>
  </w:abstractNum>
  <w:abstractNum w:abstractNumId="2" w15:restartNumberingAfterBreak="0">
    <w:nsid w:val="3F3A45B8"/>
    <w:multiLevelType w:val="hybridMultilevel"/>
    <w:tmpl w:val="FFFFFFFF"/>
    <w:numStyleLink w:val="ImportedStyle5"/>
  </w:abstractNum>
  <w:abstractNum w:abstractNumId="3" w15:restartNumberingAfterBreak="0">
    <w:nsid w:val="44A3591F"/>
    <w:multiLevelType w:val="hybridMultilevel"/>
    <w:tmpl w:val="FFFFFFFF"/>
    <w:styleLink w:val="ImportedStyle5"/>
    <w:lvl w:ilvl="0" w:tplc="76121274">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4FEEF57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257A1418">
      <w:start w:val="1"/>
      <w:numFmt w:val="lowerRoman"/>
      <w:lvlText w:val="%3."/>
      <w:lvlJc w:val="left"/>
      <w:pPr>
        <w:ind w:left="216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568463CA">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46F38A">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D24001A">
      <w:start w:val="1"/>
      <w:numFmt w:val="lowerRoman"/>
      <w:lvlText w:val="%6."/>
      <w:lvlJc w:val="left"/>
      <w:pPr>
        <w:ind w:left="432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5AF2838A">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E042DF2E">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99F00C5C">
      <w:start w:val="1"/>
      <w:numFmt w:val="lowerRoman"/>
      <w:lvlText w:val="%9."/>
      <w:lvlJc w:val="left"/>
      <w:pPr>
        <w:ind w:left="648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 w15:restartNumberingAfterBreak="0">
    <w:nsid w:val="6A301479"/>
    <w:multiLevelType w:val="hybridMultilevel"/>
    <w:tmpl w:val="FFFFFFFF"/>
    <w:lvl w:ilvl="0" w:tplc="3A0AE7FC">
      <w:start w:val="1"/>
      <w:numFmt w:val="decimal"/>
      <w:lvlText w:val="%1)"/>
      <w:lvlJc w:val="left"/>
      <w:pPr>
        <w:ind w:left="327" w:hanging="327"/>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00A1564">
      <w:start w:val="1"/>
      <w:numFmt w:val="decimal"/>
      <w:lvlText w:val="%2)"/>
      <w:lvlJc w:val="left"/>
      <w:pPr>
        <w:ind w:left="753" w:hanging="39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06649786">
      <w:start w:val="1"/>
      <w:numFmt w:val="decimal"/>
      <w:lvlText w:val="%3)"/>
      <w:lvlJc w:val="left"/>
      <w:pPr>
        <w:ind w:left="1113" w:hanging="39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65887EF4">
      <w:start w:val="1"/>
      <w:numFmt w:val="decimal"/>
      <w:lvlText w:val="%4)"/>
      <w:lvlJc w:val="left"/>
      <w:pPr>
        <w:ind w:left="1473" w:hanging="39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EB2EF88A">
      <w:start w:val="1"/>
      <w:numFmt w:val="decimal"/>
      <w:lvlText w:val="%5)"/>
      <w:lvlJc w:val="left"/>
      <w:pPr>
        <w:ind w:left="1833" w:hanging="39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7D2A2166">
      <w:start w:val="1"/>
      <w:numFmt w:val="decimal"/>
      <w:lvlText w:val="%6)"/>
      <w:lvlJc w:val="left"/>
      <w:pPr>
        <w:ind w:left="2193" w:hanging="39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B78C29C2">
      <w:start w:val="1"/>
      <w:numFmt w:val="decimal"/>
      <w:lvlText w:val="%7)"/>
      <w:lvlJc w:val="left"/>
      <w:pPr>
        <w:ind w:left="2553" w:hanging="39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B9E5900">
      <w:start w:val="1"/>
      <w:numFmt w:val="decimal"/>
      <w:lvlText w:val="%8)"/>
      <w:lvlJc w:val="left"/>
      <w:pPr>
        <w:ind w:left="2913" w:hanging="39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EF949B4C">
      <w:start w:val="1"/>
      <w:numFmt w:val="decimal"/>
      <w:lvlText w:val="%9)"/>
      <w:lvlJc w:val="left"/>
      <w:pPr>
        <w:ind w:left="3273" w:hanging="39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num w:numId="1" w16cid:durableId="1001353867">
    <w:abstractNumId w:val="0"/>
  </w:num>
  <w:num w:numId="2" w16cid:durableId="4934499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3874657">
    <w:abstractNumId w:val="3"/>
  </w:num>
  <w:num w:numId="4" w16cid:durableId="19565953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77602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062"/>
    <w:rsid w:val="00004A40"/>
    <w:rsid w:val="00021C3C"/>
    <w:rsid w:val="00025169"/>
    <w:rsid w:val="00030BA3"/>
    <w:rsid w:val="00044CCB"/>
    <w:rsid w:val="000452B0"/>
    <w:rsid w:val="00045C74"/>
    <w:rsid w:val="00050A11"/>
    <w:rsid w:val="000529C8"/>
    <w:rsid w:val="000551FC"/>
    <w:rsid w:val="0005645A"/>
    <w:rsid w:val="00063716"/>
    <w:rsid w:val="00072671"/>
    <w:rsid w:val="00077E4D"/>
    <w:rsid w:val="00085071"/>
    <w:rsid w:val="000865EC"/>
    <w:rsid w:val="00091CD4"/>
    <w:rsid w:val="00093121"/>
    <w:rsid w:val="000941BB"/>
    <w:rsid w:val="000A242C"/>
    <w:rsid w:val="000A41EA"/>
    <w:rsid w:val="000B5154"/>
    <w:rsid w:val="000E00A6"/>
    <w:rsid w:val="000E1DB0"/>
    <w:rsid w:val="000E2321"/>
    <w:rsid w:val="000E56A8"/>
    <w:rsid w:val="000F14C8"/>
    <w:rsid w:val="000F4D19"/>
    <w:rsid w:val="000F546C"/>
    <w:rsid w:val="000F718B"/>
    <w:rsid w:val="001034C5"/>
    <w:rsid w:val="0010399B"/>
    <w:rsid w:val="001061AC"/>
    <w:rsid w:val="00117F4D"/>
    <w:rsid w:val="00125AD7"/>
    <w:rsid w:val="001279C5"/>
    <w:rsid w:val="00130B5F"/>
    <w:rsid w:val="00131664"/>
    <w:rsid w:val="00137096"/>
    <w:rsid w:val="0014016F"/>
    <w:rsid w:val="0014060B"/>
    <w:rsid w:val="00142F20"/>
    <w:rsid w:val="00143804"/>
    <w:rsid w:val="00144F55"/>
    <w:rsid w:val="00146448"/>
    <w:rsid w:val="001472BE"/>
    <w:rsid w:val="00150D13"/>
    <w:rsid w:val="001528D8"/>
    <w:rsid w:val="00155B5F"/>
    <w:rsid w:val="001577B8"/>
    <w:rsid w:val="00166837"/>
    <w:rsid w:val="00180ACC"/>
    <w:rsid w:val="001841F3"/>
    <w:rsid w:val="001850EB"/>
    <w:rsid w:val="0019253F"/>
    <w:rsid w:val="00195AB0"/>
    <w:rsid w:val="00196638"/>
    <w:rsid w:val="001A1E2F"/>
    <w:rsid w:val="001A7937"/>
    <w:rsid w:val="001B49C9"/>
    <w:rsid w:val="001B645D"/>
    <w:rsid w:val="001C6267"/>
    <w:rsid w:val="001D7AC4"/>
    <w:rsid w:val="001E0BD5"/>
    <w:rsid w:val="001E7BB4"/>
    <w:rsid w:val="001F058A"/>
    <w:rsid w:val="00206912"/>
    <w:rsid w:val="00207AE7"/>
    <w:rsid w:val="00207E76"/>
    <w:rsid w:val="002134B2"/>
    <w:rsid w:val="00217649"/>
    <w:rsid w:val="00223F14"/>
    <w:rsid w:val="002346E7"/>
    <w:rsid w:val="00245B93"/>
    <w:rsid w:val="00252F2F"/>
    <w:rsid w:val="00261599"/>
    <w:rsid w:val="0026260A"/>
    <w:rsid w:val="00263567"/>
    <w:rsid w:val="002666D0"/>
    <w:rsid w:val="0027567C"/>
    <w:rsid w:val="00280F1F"/>
    <w:rsid w:val="00284A39"/>
    <w:rsid w:val="00290CE5"/>
    <w:rsid w:val="00292595"/>
    <w:rsid w:val="002A6D52"/>
    <w:rsid w:val="002B0FA8"/>
    <w:rsid w:val="002B305B"/>
    <w:rsid w:val="002B3244"/>
    <w:rsid w:val="002B3F76"/>
    <w:rsid w:val="002C09A0"/>
    <w:rsid w:val="002C5567"/>
    <w:rsid w:val="002D20E3"/>
    <w:rsid w:val="002D36DF"/>
    <w:rsid w:val="002D7676"/>
    <w:rsid w:val="002E6702"/>
    <w:rsid w:val="002F4312"/>
    <w:rsid w:val="00301BB3"/>
    <w:rsid w:val="00305FE6"/>
    <w:rsid w:val="003139FF"/>
    <w:rsid w:val="00317B20"/>
    <w:rsid w:val="00320BFE"/>
    <w:rsid w:val="00321195"/>
    <w:rsid w:val="00322303"/>
    <w:rsid w:val="0032390F"/>
    <w:rsid w:val="00347C3E"/>
    <w:rsid w:val="00351CAC"/>
    <w:rsid w:val="003749A9"/>
    <w:rsid w:val="00377BEA"/>
    <w:rsid w:val="003877E1"/>
    <w:rsid w:val="00390CD9"/>
    <w:rsid w:val="00395EBE"/>
    <w:rsid w:val="003B2E0F"/>
    <w:rsid w:val="003B4731"/>
    <w:rsid w:val="003C128D"/>
    <w:rsid w:val="003C2E85"/>
    <w:rsid w:val="003C3A1F"/>
    <w:rsid w:val="003C4F80"/>
    <w:rsid w:val="003C58FD"/>
    <w:rsid w:val="003C7841"/>
    <w:rsid w:val="003D040A"/>
    <w:rsid w:val="003D1C1A"/>
    <w:rsid w:val="003D6206"/>
    <w:rsid w:val="003E4885"/>
    <w:rsid w:val="003F0867"/>
    <w:rsid w:val="003F0B85"/>
    <w:rsid w:val="003F4378"/>
    <w:rsid w:val="004015D7"/>
    <w:rsid w:val="00410975"/>
    <w:rsid w:val="00415DBF"/>
    <w:rsid w:val="004231F8"/>
    <w:rsid w:val="004236AA"/>
    <w:rsid w:val="00432C8D"/>
    <w:rsid w:val="00434816"/>
    <w:rsid w:val="00437341"/>
    <w:rsid w:val="004456CB"/>
    <w:rsid w:val="00450192"/>
    <w:rsid w:val="00450C0D"/>
    <w:rsid w:val="00451808"/>
    <w:rsid w:val="0045557C"/>
    <w:rsid w:val="00456983"/>
    <w:rsid w:val="0047024D"/>
    <w:rsid w:val="00486D32"/>
    <w:rsid w:val="00492C92"/>
    <w:rsid w:val="00496BCA"/>
    <w:rsid w:val="004A643E"/>
    <w:rsid w:val="004A6B14"/>
    <w:rsid w:val="004B0927"/>
    <w:rsid w:val="004B250B"/>
    <w:rsid w:val="004B3ACA"/>
    <w:rsid w:val="004C340C"/>
    <w:rsid w:val="004C76BE"/>
    <w:rsid w:val="004D0217"/>
    <w:rsid w:val="004D1529"/>
    <w:rsid w:val="004E350C"/>
    <w:rsid w:val="004F0595"/>
    <w:rsid w:val="004F0608"/>
    <w:rsid w:val="004F36C8"/>
    <w:rsid w:val="004F4074"/>
    <w:rsid w:val="004F64ED"/>
    <w:rsid w:val="00507096"/>
    <w:rsid w:val="005100B3"/>
    <w:rsid w:val="00522D93"/>
    <w:rsid w:val="005235A2"/>
    <w:rsid w:val="005241FA"/>
    <w:rsid w:val="005255D0"/>
    <w:rsid w:val="005335CF"/>
    <w:rsid w:val="00536928"/>
    <w:rsid w:val="00537A10"/>
    <w:rsid w:val="00542213"/>
    <w:rsid w:val="0054277C"/>
    <w:rsid w:val="00557A4B"/>
    <w:rsid w:val="005600FD"/>
    <w:rsid w:val="0057043D"/>
    <w:rsid w:val="005709CD"/>
    <w:rsid w:val="005741BD"/>
    <w:rsid w:val="005752D9"/>
    <w:rsid w:val="00580736"/>
    <w:rsid w:val="00582D03"/>
    <w:rsid w:val="005838BE"/>
    <w:rsid w:val="00584E71"/>
    <w:rsid w:val="00593693"/>
    <w:rsid w:val="005A34C6"/>
    <w:rsid w:val="005C1843"/>
    <w:rsid w:val="005D6D7B"/>
    <w:rsid w:val="005E0102"/>
    <w:rsid w:val="005E0FD5"/>
    <w:rsid w:val="006019DD"/>
    <w:rsid w:val="00602736"/>
    <w:rsid w:val="00604B0A"/>
    <w:rsid w:val="006112A8"/>
    <w:rsid w:val="00614D8D"/>
    <w:rsid w:val="0062146A"/>
    <w:rsid w:val="0062169C"/>
    <w:rsid w:val="00622105"/>
    <w:rsid w:val="00650AB9"/>
    <w:rsid w:val="006522FB"/>
    <w:rsid w:val="00665CB8"/>
    <w:rsid w:val="00671DAF"/>
    <w:rsid w:val="0067581C"/>
    <w:rsid w:val="00682AA8"/>
    <w:rsid w:val="0069005C"/>
    <w:rsid w:val="006929C3"/>
    <w:rsid w:val="00693B31"/>
    <w:rsid w:val="00697A98"/>
    <w:rsid w:val="00697BF7"/>
    <w:rsid w:val="006A44A6"/>
    <w:rsid w:val="006A64E1"/>
    <w:rsid w:val="006A7831"/>
    <w:rsid w:val="006B1104"/>
    <w:rsid w:val="006B11FC"/>
    <w:rsid w:val="006B1519"/>
    <w:rsid w:val="006B5D86"/>
    <w:rsid w:val="006B6330"/>
    <w:rsid w:val="006B67DE"/>
    <w:rsid w:val="006C0740"/>
    <w:rsid w:val="006D6734"/>
    <w:rsid w:val="006E58AC"/>
    <w:rsid w:val="006E6DCF"/>
    <w:rsid w:val="006E763E"/>
    <w:rsid w:val="006F1FCE"/>
    <w:rsid w:val="006F5511"/>
    <w:rsid w:val="007043A2"/>
    <w:rsid w:val="007065BE"/>
    <w:rsid w:val="0071480E"/>
    <w:rsid w:val="00723D4C"/>
    <w:rsid w:val="00726E95"/>
    <w:rsid w:val="007651D6"/>
    <w:rsid w:val="007669C4"/>
    <w:rsid w:val="007765DC"/>
    <w:rsid w:val="007814E0"/>
    <w:rsid w:val="007834F2"/>
    <w:rsid w:val="0078503A"/>
    <w:rsid w:val="0078624B"/>
    <w:rsid w:val="007879F5"/>
    <w:rsid w:val="00791FBA"/>
    <w:rsid w:val="00793DB1"/>
    <w:rsid w:val="00795BD4"/>
    <w:rsid w:val="007960A8"/>
    <w:rsid w:val="007A6989"/>
    <w:rsid w:val="007B501D"/>
    <w:rsid w:val="007B553F"/>
    <w:rsid w:val="007C4640"/>
    <w:rsid w:val="007C5A7E"/>
    <w:rsid w:val="007C67F6"/>
    <w:rsid w:val="007D2F1A"/>
    <w:rsid w:val="007E603F"/>
    <w:rsid w:val="007F2AA4"/>
    <w:rsid w:val="00803BAD"/>
    <w:rsid w:val="0080494D"/>
    <w:rsid w:val="0080642C"/>
    <w:rsid w:val="00816525"/>
    <w:rsid w:val="00817A22"/>
    <w:rsid w:val="008219A8"/>
    <w:rsid w:val="0082259B"/>
    <w:rsid w:val="008271A4"/>
    <w:rsid w:val="008321A7"/>
    <w:rsid w:val="008333C1"/>
    <w:rsid w:val="00833919"/>
    <w:rsid w:val="00833D4A"/>
    <w:rsid w:val="00841C7E"/>
    <w:rsid w:val="0084766A"/>
    <w:rsid w:val="008645AC"/>
    <w:rsid w:val="008707C8"/>
    <w:rsid w:val="00871E88"/>
    <w:rsid w:val="00887C5A"/>
    <w:rsid w:val="00893EF4"/>
    <w:rsid w:val="008A0E7F"/>
    <w:rsid w:val="008A62C9"/>
    <w:rsid w:val="008A65B2"/>
    <w:rsid w:val="008B2B63"/>
    <w:rsid w:val="008B367E"/>
    <w:rsid w:val="008C4933"/>
    <w:rsid w:val="008C7B5B"/>
    <w:rsid w:val="008D0EB5"/>
    <w:rsid w:val="008D6357"/>
    <w:rsid w:val="008E34BA"/>
    <w:rsid w:val="008E4C94"/>
    <w:rsid w:val="008E5415"/>
    <w:rsid w:val="008E54B3"/>
    <w:rsid w:val="008F2524"/>
    <w:rsid w:val="008F48C2"/>
    <w:rsid w:val="008F78B1"/>
    <w:rsid w:val="0090050D"/>
    <w:rsid w:val="00942D85"/>
    <w:rsid w:val="00943B3A"/>
    <w:rsid w:val="00947747"/>
    <w:rsid w:val="00952452"/>
    <w:rsid w:val="009610FE"/>
    <w:rsid w:val="009624E2"/>
    <w:rsid w:val="0096308E"/>
    <w:rsid w:val="00967E1E"/>
    <w:rsid w:val="00970287"/>
    <w:rsid w:val="00980278"/>
    <w:rsid w:val="009830D5"/>
    <w:rsid w:val="00983545"/>
    <w:rsid w:val="00984CCE"/>
    <w:rsid w:val="00984D26"/>
    <w:rsid w:val="0098615F"/>
    <w:rsid w:val="00987377"/>
    <w:rsid w:val="00994D47"/>
    <w:rsid w:val="009A551F"/>
    <w:rsid w:val="009B4FE8"/>
    <w:rsid w:val="009C05A5"/>
    <w:rsid w:val="009C6947"/>
    <w:rsid w:val="009D1702"/>
    <w:rsid w:val="009D1D20"/>
    <w:rsid w:val="009E610D"/>
    <w:rsid w:val="009F28A7"/>
    <w:rsid w:val="009F2AE0"/>
    <w:rsid w:val="00A122E1"/>
    <w:rsid w:val="00A25C92"/>
    <w:rsid w:val="00A270B9"/>
    <w:rsid w:val="00A27963"/>
    <w:rsid w:val="00A3227B"/>
    <w:rsid w:val="00A35FBF"/>
    <w:rsid w:val="00A3630A"/>
    <w:rsid w:val="00A36E32"/>
    <w:rsid w:val="00A403C5"/>
    <w:rsid w:val="00A50402"/>
    <w:rsid w:val="00A52B2C"/>
    <w:rsid w:val="00A541C0"/>
    <w:rsid w:val="00A564A5"/>
    <w:rsid w:val="00A5659C"/>
    <w:rsid w:val="00A56B78"/>
    <w:rsid w:val="00A60CAB"/>
    <w:rsid w:val="00A61CC9"/>
    <w:rsid w:val="00A65FAD"/>
    <w:rsid w:val="00A67E61"/>
    <w:rsid w:val="00A7187F"/>
    <w:rsid w:val="00A7280D"/>
    <w:rsid w:val="00A808DE"/>
    <w:rsid w:val="00A85693"/>
    <w:rsid w:val="00AB0C2C"/>
    <w:rsid w:val="00AB3A5F"/>
    <w:rsid w:val="00AB4909"/>
    <w:rsid w:val="00AB7A90"/>
    <w:rsid w:val="00AC1CC5"/>
    <w:rsid w:val="00AC6864"/>
    <w:rsid w:val="00AC696F"/>
    <w:rsid w:val="00AC77FC"/>
    <w:rsid w:val="00AD1396"/>
    <w:rsid w:val="00AD6886"/>
    <w:rsid w:val="00AE5062"/>
    <w:rsid w:val="00AF176C"/>
    <w:rsid w:val="00AF1924"/>
    <w:rsid w:val="00AF7E51"/>
    <w:rsid w:val="00B04551"/>
    <w:rsid w:val="00B0798B"/>
    <w:rsid w:val="00B12DDA"/>
    <w:rsid w:val="00B13550"/>
    <w:rsid w:val="00B1420A"/>
    <w:rsid w:val="00B2362B"/>
    <w:rsid w:val="00B24995"/>
    <w:rsid w:val="00B2545B"/>
    <w:rsid w:val="00B31825"/>
    <w:rsid w:val="00B3192D"/>
    <w:rsid w:val="00B3299C"/>
    <w:rsid w:val="00B50040"/>
    <w:rsid w:val="00B52B24"/>
    <w:rsid w:val="00B71D1F"/>
    <w:rsid w:val="00B8083F"/>
    <w:rsid w:val="00B816A2"/>
    <w:rsid w:val="00B82944"/>
    <w:rsid w:val="00B85F12"/>
    <w:rsid w:val="00BA229E"/>
    <w:rsid w:val="00BA256D"/>
    <w:rsid w:val="00BA2F3B"/>
    <w:rsid w:val="00BA5BC6"/>
    <w:rsid w:val="00BB015A"/>
    <w:rsid w:val="00BB0441"/>
    <w:rsid w:val="00BB4401"/>
    <w:rsid w:val="00BD4416"/>
    <w:rsid w:val="00BD5BA1"/>
    <w:rsid w:val="00BE161F"/>
    <w:rsid w:val="00BF1171"/>
    <w:rsid w:val="00BF192A"/>
    <w:rsid w:val="00BF4280"/>
    <w:rsid w:val="00C02775"/>
    <w:rsid w:val="00C05B33"/>
    <w:rsid w:val="00C0634D"/>
    <w:rsid w:val="00C07B84"/>
    <w:rsid w:val="00C14EF0"/>
    <w:rsid w:val="00C158D1"/>
    <w:rsid w:val="00C16691"/>
    <w:rsid w:val="00C30026"/>
    <w:rsid w:val="00C3013B"/>
    <w:rsid w:val="00C32CD3"/>
    <w:rsid w:val="00C4040B"/>
    <w:rsid w:val="00C422BC"/>
    <w:rsid w:val="00C477AD"/>
    <w:rsid w:val="00C541D1"/>
    <w:rsid w:val="00C55A7E"/>
    <w:rsid w:val="00C566B7"/>
    <w:rsid w:val="00C6118F"/>
    <w:rsid w:val="00C64E87"/>
    <w:rsid w:val="00C66F63"/>
    <w:rsid w:val="00C67FE2"/>
    <w:rsid w:val="00C77918"/>
    <w:rsid w:val="00C8572D"/>
    <w:rsid w:val="00C87F09"/>
    <w:rsid w:val="00CA279B"/>
    <w:rsid w:val="00CA5D82"/>
    <w:rsid w:val="00CA7ED2"/>
    <w:rsid w:val="00CB128D"/>
    <w:rsid w:val="00CB2028"/>
    <w:rsid w:val="00CB3F59"/>
    <w:rsid w:val="00CB45EC"/>
    <w:rsid w:val="00CB6041"/>
    <w:rsid w:val="00CC5FA9"/>
    <w:rsid w:val="00CD16C9"/>
    <w:rsid w:val="00CD26CB"/>
    <w:rsid w:val="00CD50ED"/>
    <w:rsid w:val="00CD71B8"/>
    <w:rsid w:val="00CE49E2"/>
    <w:rsid w:val="00CE68F5"/>
    <w:rsid w:val="00CF06D4"/>
    <w:rsid w:val="00CF07A2"/>
    <w:rsid w:val="00CF2B2A"/>
    <w:rsid w:val="00CF427B"/>
    <w:rsid w:val="00D06F68"/>
    <w:rsid w:val="00D11F95"/>
    <w:rsid w:val="00D225C9"/>
    <w:rsid w:val="00D23641"/>
    <w:rsid w:val="00D36917"/>
    <w:rsid w:val="00D37C36"/>
    <w:rsid w:val="00D40456"/>
    <w:rsid w:val="00D439A8"/>
    <w:rsid w:val="00D44043"/>
    <w:rsid w:val="00D51BB8"/>
    <w:rsid w:val="00D52FFC"/>
    <w:rsid w:val="00D640DF"/>
    <w:rsid w:val="00D71773"/>
    <w:rsid w:val="00D76F78"/>
    <w:rsid w:val="00D834A7"/>
    <w:rsid w:val="00D86DEF"/>
    <w:rsid w:val="00D9253B"/>
    <w:rsid w:val="00D9794E"/>
    <w:rsid w:val="00DA1DDF"/>
    <w:rsid w:val="00DA4C9D"/>
    <w:rsid w:val="00DA61CD"/>
    <w:rsid w:val="00DA7BE1"/>
    <w:rsid w:val="00DA7FEF"/>
    <w:rsid w:val="00DB6C27"/>
    <w:rsid w:val="00DC7120"/>
    <w:rsid w:val="00DE483D"/>
    <w:rsid w:val="00DF40BA"/>
    <w:rsid w:val="00E26376"/>
    <w:rsid w:val="00E31AD5"/>
    <w:rsid w:val="00E334FC"/>
    <w:rsid w:val="00E359BB"/>
    <w:rsid w:val="00E36B07"/>
    <w:rsid w:val="00E3796A"/>
    <w:rsid w:val="00E425B9"/>
    <w:rsid w:val="00E60DFE"/>
    <w:rsid w:val="00E650BC"/>
    <w:rsid w:val="00E66DA0"/>
    <w:rsid w:val="00E73979"/>
    <w:rsid w:val="00E950D3"/>
    <w:rsid w:val="00EA5633"/>
    <w:rsid w:val="00EA68FD"/>
    <w:rsid w:val="00EB29D6"/>
    <w:rsid w:val="00EB2A10"/>
    <w:rsid w:val="00EB2D29"/>
    <w:rsid w:val="00EB7BF0"/>
    <w:rsid w:val="00EC2540"/>
    <w:rsid w:val="00ED093E"/>
    <w:rsid w:val="00ED7008"/>
    <w:rsid w:val="00EE089C"/>
    <w:rsid w:val="00EE137B"/>
    <w:rsid w:val="00EF2C53"/>
    <w:rsid w:val="00EF5DA7"/>
    <w:rsid w:val="00EF7977"/>
    <w:rsid w:val="00F12727"/>
    <w:rsid w:val="00F2242F"/>
    <w:rsid w:val="00F22F9D"/>
    <w:rsid w:val="00F23E1D"/>
    <w:rsid w:val="00F324BE"/>
    <w:rsid w:val="00F32AAA"/>
    <w:rsid w:val="00F4527A"/>
    <w:rsid w:val="00F466E0"/>
    <w:rsid w:val="00F47920"/>
    <w:rsid w:val="00F56830"/>
    <w:rsid w:val="00F61508"/>
    <w:rsid w:val="00F66024"/>
    <w:rsid w:val="00F66EA1"/>
    <w:rsid w:val="00F72463"/>
    <w:rsid w:val="00F7258C"/>
    <w:rsid w:val="00F74E28"/>
    <w:rsid w:val="00F8239C"/>
    <w:rsid w:val="00F847B8"/>
    <w:rsid w:val="00F84949"/>
    <w:rsid w:val="00F857F8"/>
    <w:rsid w:val="00F905DD"/>
    <w:rsid w:val="00F917FB"/>
    <w:rsid w:val="00F96D28"/>
    <w:rsid w:val="00FA1FAA"/>
    <w:rsid w:val="00FA2C82"/>
    <w:rsid w:val="00FA5398"/>
    <w:rsid w:val="00FB2C8F"/>
    <w:rsid w:val="00FB3CFC"/>
    <w:rsid w:val="00FD1065"/>
    <w:rsid w:val="00FD216C"/>
    <w:rsid w:val="00FD4CC0"/>
    <w:rsid w:val="00FE09D3"/>
    <w:rsid w:val="00FE10BA"/>
    <w:rsid w:val="00FE23ED"/>
    <w:rsid w:val="00FF10A7"/>
    <w:rsid w:val="00FF7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C22873"/>
  <w15:chartTrackingRefBased/>
  <w15:docId w15:val="{505C32C0-CDEB-E143-85D2-CA9BE80E3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0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0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0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0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0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0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0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0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0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0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0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0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0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0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0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0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0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062"/>
    <w:rPr>
      <w:rFonts w:eastAsiaTheme="majorEastAsia" w:cstheme="majorBidi"/>
      <w:color w:val="272727" w:themeColor="text1" w:themeTint="D8"/>
    </w:rPr>
  </w:style>
  <w:style w:type="paragraph" w:styleId="Title">
    <w:name w:val="Title"/>
    <w:basedOn w:val="Normal"/>
    <w:next w:val="Normal"/>
    <w:link w:val="TitleChar"/>
    <w:uiPriority w:val="10"/>
    <w:qFormat/>
    <w:rsid w:val="00AE50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0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0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0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062"/>
    <w:pPr>
      <w:spacing w:before="160"/>
      <w:jc w:val="center"/>
    </w:pPr>
    <w:rPr>
      <w:i/>
      <w:iCs/>
      <w:color w:val="404040" w:themeColor="text1" w:themeTint="BF"/>
    </w:rPr>
  </w:style>
  <w:style w:type="character" w:customStyle="1" w:styleId="QuoteChar">
    <w:name w:val="Quote Char"/>
    <w:basedOn w:val="DefaultParagraphFont"/>
    <w:link w:val="Quote"/>
    <w:uiPriority w:val="29"/>
    <w:rsid w:val="00AE5062"/>
    <w:rPr>
      <w:i/>
      <w:iCs/>
      <w:color w:val="404040" w:themeColor="text1" w:themeTint="BF"/>
    </w:rPr>
  </w:style>
  <w:style w:type="paragraph" w:styleId="ListParagraph">
    <w:name w:val="List Paragraph"/>
    <w:basedOn w:val="Normal"/>
    <w:uiPriority w:val="34"/>
    <w:qFormat/>
    <w:rsid w:val="00AE5062"/>
    <w:pPr>
      <w:ind w:left="720"/>
      <w:contextualSpacing/>
    </w:pPr>
  </w:style>
  <w:style w:type="character" w:styleId="IntenseEmphasis">
    <w:name w:val="Intense Emphasis"/>
    <w:basedOn w:val="DefaultParagraphFont"/>
    <w:uiPriority w:val="21"/>
    <w:qFormat/>
    <w:rsid w:val="00AE5062"/>
    <w:rPr>
      <w:i/>
      <w:iCs/>
      <w:color w:val="0F4761" w:themeColor="accent1" w:themeShade="BF"/>
    </w:rPr>
  </w:style>
  <w:style w:type="paragraph" w:styleId="IntenseQuote">
    <w:name w:val="Intense Quote"/>
    <w:basedOn w:val="Normal"/>
    <w:next w:val="Normal"/>
    <w:link w:val="IntenseQuoteChar"/>
    <w:uiPriority w:val="30"/>
    <w:qFormat/>
    <w:rsid w:val="00AE50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062"/>
    <w:rPr>
      <w:i/>
      <w:iCs/>
      <w:color w:val="0F4761" w:themeColor="accent1" w:themeShade="BF"/>
    </w:rPr>
  </w:style>
  <w:style w:type="character" w:styleId="IntenseReference">
    <w:name w:val="Intense Reference"/>
    <w:basedOn w:val="DefaultParagraphFont"/>
    <w:uiPriority w:val="32"/>
    <w:qFormat/>
    <w:rsid w:val="00AE5062"/>
    <w:rPr>
      <w:b/>
      <w:bCs/>
      <w:smallCaps/>
      <w:color w:val="0F4761" w:themeColor="accent1" w:themeShade="BF"/>
      <w:spacing w:val="5"/>
    </w:rPr>
  </w:style>
  <w:style w:type="character" w:customStyle="1" w:styleId="ui-provider">
    <w:name w:val="ui-provider"/>
    <w:rsid w:val="00AE5062"/>
  </w:style>
  <w:style w:type="character" w:customStyle="1" w:styleId="apple-converted-space">
    <w:name w:val="apple-converted-space"/>
    <w:basedOn w:val="DefaultParagraphFont"/>
    <w:rsid w:val="0010399B"/>
  </w:style>
  <w:style w:type="paragraph" w:customStyle="1" w:styleId="Nornal">
    <w:name w:val="Nornal"/>
    <w:rsid w:val="00EB7BF0"/>
    <w:pPr>
      <w:spacing w:line="264" w:lineRule="auto"/>
    </w:pPr>
    <w:rPr>
      <w:rFonts w:ascii="Arial" w:eastAsia="Arial" w:hAnsi="Arial" w:cs="Arial"/>
      <w:color w:val="000000"/>
      <w:kern w:val="0"/>
      <w:sz w:val="22"/>
      <w:szCs w:val="22"/>
      <w:u w:color="000000"/>
      <w:lang w:val="en-US"/>
      <w14:ligatures w14:val="none"/>
    </w:rPr>
  </w:style>
  <w:style w:type="numbering" w:customStyle="1" w:styleId="ImportedStyle5">
    <w:name w:val="Imported Style 5"/>
    <w:rsid w:val="00EB7BF0"/>
    <w:pPr>
      <w:numPr>
        <w:numId w:val="3"/>
      </w:numPr>
    </w:pPr>
  </w:style>
  <w:style w:type="paragraph" w:customStyle="1" w:styleId="TableStyle2">
    <w:name w:val="Table Style 2"/>
    <w:rsid w:val="004B3ACA"/>
    <w:pPr>
      <w:spacing w:after="0" w:line="240" w:lineRule="auto"/>
    </w:pPr>
    <w:rPr>
      <w:rFonts w:ascii="Helvetica Neue" w:eastAsia="Arial Unicode MS" w:hAnsi="Helvetica Neue" w:cs="Arial Unicode MS"/>
      <w:color w:val="000000"/>
      <w:kern w:val="0"/>
      <w:sz w:val="20"/>
      <w:szCs w:val="20"/>
      <w:u w:color="000000"/>
      <w:lang w:val="en-US"/>
      <w14:textOutline w14:w="12700" w14:cap="flat" w14:cmpd="sng" w14:algn="ctr">
        <w14:noFill/>
        <w14:prstDash w14:val="solid"/>
        <w14:miter w14:lim="100000"/>
      </w14:textOutline>
      <w14:ligatures w14:val="none"/>
    </w:rPr>
  </w:style>
  <w:style w:type="character" w:customStyle="1" w:styleId="None">
    <w:name w:val="None"/>
    <w:rsid w:val="004B3ACA"/>
  </w:style>
  <w:style w:type="paragraph" w:styleId="NormalWeb">
    <w:name w:val="Normal (Web)"/>
    <w:basedOn w:val="Normal"/>
    <w:uiPriority w:val="99"/>
    <w:semiHidden/>
    <w:unhideWhenUsed/>
    <w:rsid w:val="0019253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94066">
      <w:bodyDiv w:val="1"/>
      <w:marLeft w:val="0"/>
      <w:marRight w:val="0"/>
      <w:marTop w:val="0"/>
      <w:marBottom w:val="0"/>
      <w:divBdr>
        <w:top w:val="none" w:sz="0" w:space="0" w:color="auto"/>
        <w:left w:val="none" w:sz="0" w:space="0" w:color="auto"/>
        <w:bottom w:val="none" w:sz="0" w:space="0" w:color="auto"/>
        <w:right w:val="none" w:sz="0" w:space="0" w:color="auto"/>
      </w:divBdr>
    </w:div>
    <w:div w:id="112018729">
      <w:bodyDiv w:val="1"/>
      <w:marLeft w:val="0"/>
      <w:marRight w:val="0"/>
      <w:marTop w:val="0"/>
      <w:marBottom w:val="0"/>
      <w:divBdr>
        <w:top w:val="none" w:sz="0" w:space="0" w:color="auto"/>
        <w:left w:val="none" w:sz="0" w:space="0" w:color="auto"/>
        <w:bottom w:val="none" w:sz="0" w:space="0" w:color="auto"/>
        <w:right w:val="none" w:sz="0" w:space="0" w:color="auto"/>
      </w:divBdr>
    </w:div>
    <w:div w:id="201016118">
      <w:bodyDiv w:val="1"/>
      <w:marLeft w:val="0"/>
      <w:marRight w:val="0"/>
      <w:marTop w:val="0"/>
      <w:marBottom w:val="0"/>
      <w:divBdr>
        <w:top w:val="none" w:sz="0" w:space="0" w:color="auto"/>
        <w:left w:val="none" w:sz="0" w:space="0" w:color="auto"/>
        <w:bottom w:val="none" w:sz="0" w:space="0" w:color="auto"/>
        <w:right w:val="none" w:sz="0" w:space="0" w:color="auto"/>
      </w:divBdr>
    </w:div>
    <w:div w:id="715550582">
      <w:bodyDiv w:val="1"/>
      <w:marLeft w:val="0"/>
      <w:marRight w:val="0"/>
      <w:marTop w:val="0"/>
      <w:marBottom w:val="0"/>
      <w:divBdr>
        <w:top w:val="none" w:sz="0" w:space="0" w:color="auto"/>
        <w:left w:val="none" w:sz="0" w:space="0" w:color="auto"/>
        <w:bottom w:val="none" w:sz="0" w:space="0" w:color="auto"/>
        <w:right w:val="none" w:sz="0" w:space="0" w:color="auto"/>
      </w:divBdr>
    </w:div>
    <w:div w:id="1432509396">
      <w:bodyDiv w:val="1"/>
      <w:marLeft w:val="0"/>
      <w:marRight w:val="0"/>
      <w:marTop w:val="0"/>
      <w:marBottom w:val="0"/>
      <w:divBdr>
        <w:top w:val="none" w:sz="0" w:space="0" w:color="auto"/>
        <w:left w:val="none" w:sz="0" w:space="0" w:color="auto"/>
        <w:bottom w:val="none" w:sz="0" w:space="0" w:color="auto"/>
        <w:right w:val="none" w:sz="0" w:space="0" w:color="auto"/>
      </w:divBdr>
    </w:div>
    <w:div w:id="1730108492">
      <w:bodyDiv w:val="1"/>
      <w:marLeft w:val="0"/>
      <w:marRight w:val="0"/>
      <w:marTop w:val="0"/>
      <w:marBottom w:val="0"/>
      <w:divBdr>
        <w:top w:val="none" w:sz="0" w:space="0" w:color="auto"/>
        <w:left w:val="none" w:sz="0" w:space="0" w:color="auto"/>
        <w:bottom w:val="none" w:sz="0" w:space="0" w:color="auto"/>
        <w:right w:val="none" w:sz="0" w:space="0" w:color="auto"/>
      </w:divBdr>
      <w:divsChild>
        <w:div w:id="572813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14351</TotalTime>
  <Pages>16</Pages>
  <Words>6565</Words>
  <Characters>37421</Characters>
  <Application>Microsoft Office Word</Application>
  <DocSecurity>0</DocSecurity>
  <Lines>311</Lines>
  <Paragraphs>87</Paragraphs>
  <ScaleCrop>false</ScaleCrop>
  <Company/>
  <LinksUpToDate>false</LinksUpToDate>
  <CharactersWithSpaces>43899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Naish (2309072)</dc:creator>
  <cp:keywords/>
  <dc:description/>
  <cp:lastModifiedBy>will naish</cp:lastModifiedBy>
  <cp:revision>357</cp:revision>
  <dcterms:created xsi:type="dcterms:W3CDTF">2024-10-22T21:05:00Z</dcterms:created>
  <dcterms:modified xsi:type="dcterms:W3CDTF">2024-11-02T17:47:00Z</dcterms:modified>
</cp:coreProperties>
</file>