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7EB8F" w14:textId="77777777" w:rsidR="00936FE8" w:rsidRPr="00936FE8" w:rsidRDefault="00936FE8" w:rsidP="00936FE8">
      <w:pPr>
        <w:spacing w:before="240" w:after="240" w:line="360" w:lineRule="auto"/>
        <w:jc w:val="center"/>
        <w:rPr>
          <w:rFonts w:ascii="Arial" w:hAnsi="Arial" w:cs="Arial"/>
        </w:rPr>
      </w:pPr>
      <w:r w:rsidRPr="00936FE8">
        <w:rPr>
          <w:rFonts w:ascii="Arial" w:hAnsi="Arial" w:cs="Arial"/>
          <w:noProof/>
        </w:rPr>
        <w:drawing>
          <wp:inline distT="0" distB="0" distL="0" distR="0" wp14:anchorId="3A7CC0AD" wp14:editId="5EF87AC6">
            <wp:extent cx="2514600" cy="1379220"/>
            <wp:effectExtent l="0" t="0" r="0" b="0"/>
            <wp:docPr id="148505864"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1379220"/>
                    </a:xfrm>
                    <a:prstGeom prst="rect">
                      <a:avLst/>
                    </a:prstGeom>
                    <a:noFill/>
                    <a:ln>
                      <a:noFill/>
                    </a:ln>
                  </pic:spPr>
                </pic:pic>
              </a:graphicData>
            </a:graphic>
          </wp:inline>
        </w:drawing>
      </w:r>
    </w:p>
    <w:p w14:paraId="5C649926" w14:textId="77777777" w:rsidR="00936FE8" w:rsidRPr="00936FE8" w:rsidRDefault="00936FE8" w:rsidP="00936FE8">
      <w:pPr>
        <w:spacing w:after="0" w:line="240" w:lineRule="auto"/>
        <w:jc w:val="center"/>
        <w:rPr>
          <w:rFonts w:ascii="Arial" w:hAnsi="Arial" w:cs="Arial"/>
          <w:b/>
          <w:bCs/>
          <w:sz w:val="90"/>
          <w:szCs w:val="90"/>
        </w:rPr>
      </w:pPr>
      <w:r w:rsidRPr="00936FE8">
        <w:rPr>
          <w:rFonts w:ascii="Arial" w:hAnsi="Arial" w:cs="Arial"/>
          <w:b/>
          <w:bCs/>
          <w:sz w:val="90"/>
          <w:szCs w:val="90"/>
        </w:rPr>
        <w:t>Topic – Travelodge</w:t>
      </w:r>
    </w:p>
    <w:p w14:paraId="1A543C98" w14:textId="77777777" w:rsidR="00936FE8" w:rsidRPr="00936FE8" w:rsidRDefault="00936FE8" w:rsidP="00936FE8">
      <w:pPr>
        <w:spacing w:after="0" w:line="240" w:lineRule="auto"/>
        <w:jc w:val="center"/>
        <w:rPr>
          <w:rFonts w:ascii="Arial" w:hAnsi="Arial" w:cs="Arial"/>
          <w:b/>
          <w:bCs/>
          <w:sz w:val="50"/>
          <w:szCs w:val="50"/>
        </w:rPr>
      </w:pPr>
    </w:p>
    <w:p w14:paraId="2CA55B60" w14:textId="77777777" w:rsidR="00936FE8" w:rsidRPr="00936FE8" w:rsidRDefault="00936FE8" w:rsidP="00936FE8">
      <w:pPr>
        <w:spacing w:line="360" w:lineRule="auto"/>
        <w:jc w:val="center"/>
        <w:rPr>
          <w:rFonts w:ascii="Arial" w:hAnsi="Arial" w:cs="Arial"/>
          <w:sz w:val="28"/>
          <w:szCs w:val="28"/>
        </w:rPr>
      </w:pPr>
      <w:r w:rsidRPr="00936FE8">
        <w:rPr>
          <w:rFonts w:ascii="Arial" w:hAnsi="Arial" w:cs="Arial"/>
          <w:b/>
          <w:bCs/>
          <w:sz w:val="28"/>
          <w:szCs w:val="28"/>
        </w:rPr>
        <w:t>Student Name -</w:t>
      </w:r>
      <w:r w:rsidRPr="00936FE8">
        <w:rPr>
          <w:rFonts w:ascii="Arial" w:hAnsi="Arial" w:cs="Arial"/>
          <w:sz w:val="28"/>
          <w:szCs w:val="28"/>
        </w:rPr>
        <w:t xml:space="preserve"> Omin </w:t>
      </w:r>
      <w:proofErr w:type="spellStart"/>
      <w:r w:rsidRPr="00936FE8">
        <w:rPr>
          <w:rFonts w:ascii="Arial" w:hAnsi="Arial" w:cs="Arial"/>
          <w:sz w:val="28"/>
          <w:szCs w:val="28"/>
        </w:rPr>
        <w:t>Dineshbhai</w:t>
      </w:r>
      <w:proofErr w:type="spellEnd"/>
      <w:r w:rsidRPr="00936FE8">
        <w:rPr>
          <w:rFonts w:ascii="Arial" w:hAnsi="Arial" w:cs="Arial"/>
          <w:sz w:val="28"/>
          <w:szCs w:val="28"/>
        </w:rPr>
        <w:t xml:space="preserve"> Dihora</w:t>
      </w:r>
    </w:p>
    <w:p w14:paraId="5EAF48A4" w14:textId="77777777" w:rsidR="00936FE8" w:rsidRPr="00936FE8" w:rsidRDefault="00936FE8" w:rsidP="00936FE8">
      <w:pPr>
        <w:spacing w:line="360" w:lineRule="auto"/>
        <w:jc w:val="center"/>
        <w:rPr>
          <w:rFonts w:ascii="Arial" w:hAnsi="Arial" w:cs="Arial"/>
          <w:sz w:val="28"/>
          <w:szCs w:val="28"/>
        </w:rPr>
      </w:pPr>
      <w:r w:rsidRPr="00936FE8">
        <w:rPr>
          <w:rFonts w:ascii="Arial" w:hAnsi="Arial" w:cs="Arial"/>
          <w:b/>
          <w:bCs/>
          <w:sz w:val="28"/>
          <w:szCs w:val="28"/>
        </w:rPr>
        <w:t>Student ID -</w:t>
      </w:r>
      <w:r w:rsidRPr="00936FE8">
        <w:rPr>
          <w:rFonts w:ascii="Arial" w:hAnsi="Arial" w:cs="Arial"/>
          <w:sz w:val="28"/>
          <w:szCs w:val="28"/>
        </w:rPr>
        <w:t xml:space="preserve"> 2538975</w:t>
      </w:r>
    </w:p>
    <w:p w14:paraId="0582A275" w14:textId="77777777" w:rsidR="00936FE8" w:rsidRPr="00936FE8" w:rsidRDefault="00936FE8" w:rsidP="00936FE8">
      <w:pPr>
        <w:spacing w:line="360" w:lineRule="auto"/>
        <w:jc w:val="center"/>
        <w:rPr>
          <w:rFonts w:ascii="Arial" w:hAnsi="Arial" w:cs="Arial"/>
          <w:sz w:val="28"/>
          <w:szCs w:val="28"/>
        </w:rPr>
      </w:pPr>
      <w:r w:rsidRPr="00936FE8">
        <w:rPr>
          <w:rFonts w:ascii="Arial" w:hAnsi="Arial" w:cs="Arial"/>
          <w:b/>
          <w:bCs/>
          <w:sz w:val="28"/>
          <w:szCs w:val="28"/>
        </w:rPr>
        <w:t>Programme -</w:t>
      </w:r>
      <w:r w:rsidRPr="00936FE8">
        <w:rPr>
          <w:rFonts w:ascii="Arial" w:hAnsi="Arial" w:cs="Arial"/>
          <w:sz w:val="28"/>
          <w:szCs w:val="28"/>
        </w:rPr>
        <w:t xml:space="preserve"> master of business administration</w:t>
      </w:r>
    </w:p>
    <w:p w14:paraId="7F9F2509" w14:textId="77777777" w:rsidR="00936FE8" w:rsidRPr="00936FE8" w:rsidRDefault="00936FE8" w:rsidP="00936FE8">
      <w:pPr>
        <w:spacing w:line="360" w:lineRule="auto"/>
        <w:jc w:val="center"/>
        <w:rPr>
          <w:rFonts w:ascii="Arial" w:hAnsi="Arial" w:cs="Arial"/>
          <w:sz w:val="28"/>
          <w:szCs w:val="28"/>
        </w:rPr>
      </w:pPr>
      <w:r w:rsidRPr="00936FE8">
        <w:rPr>
          <w:rFonts w:ascii="Arial" w:hAnsi="Arial" w:cs="Arial"/>
          <w:b/>
          <w:bCs/>
          <w:sz w:val="28"/>
          <w:szCs w:val="28"/>
        </w:rPr>
        <w:t>Module -</w:t>
      </w:r>
      <w:r w:rsidRPr="00936FE8">
        <w:rPr>
          <w:rFonts w:ascii="Arial" w:hAnsi="Arial" w:cs="Arial"/>
          <w:sz w:val="28"/>
          <w:szCs w:val="28"/>
        </w:rPr>
        <w:t xml:space="preserve"> </w:t>
      </w:r>
      <w:r w:rsidRPr="00936FE8">
        <w:rPr>
          <w:rFonts w:ascii="Arial" w:hAnsi="Arial" w:cs="Arial"/>
          <w:bCs/>
          <w:sz w:val="28"/>
          <w:szCs w:val="28"/>
        </w:rPr>
        <w:t>Financial Management</w:t>
      </w:r>
    </w:p>
    <w:p w14:paraId="175CD5DD" w14:textId="77777777" w:rsidR="00936FE8" w:rsidRPr="00936FE8" w:rsidRDefault="00936FE8" w:rsidP="00936FE8">
      <w:pPr>
        <w:spacing w:line="360" w:lineRule="auto"/>
        <w:jc w:val="center"/>
        <w:rPr>
          <w:rFonts w:ascii="Arial" w:hAnsi="Arial" w:cs="Arial"/>
          <w:sz w:val="28"/>
          <w:szCs w:val="28"/>
        </w:rPr>
      </w:pPr>
      <w:r w:rsidRPr="00936FE8">
        <w:rPr>
          <w:rFonts w:ascii="Arial" w:hAnsi="Arial" w:cs="Arial"/>
          <w:b/>
          <w:bCs/>
          <w:sz w:val="28"/>
          <w:szCs w:val="28"/>
        </w:rPr>
        <w:t>Module code -</w:t>
      </w:r>
      <w:r w:rsidRPr="00936FE8">
        <w:rPr>
          <w:rFonts w:ascii="Arial" w:hAnsi="Arial" w:cs="Arial"/>
          <w:sz w:val="28"/>
          <w:szCs w:val="28"/>
        </w:rPr>
        <w:t xml:space="preserve"> LCMB7002</w:t>
      </w:r>
    </w:p>
    <w:p w14:paraId="5F85420B" w14:textId="77777777" w:rsidR="00936FE8" w:rsidRPr="00936FE8" w:rsidRDefault="00936FE8" w:rsidP="00936FE8">
      <w:pPr>
        <w:spacing w:line="360" w:lineRule="auto"/>
        <w:jc w:val="center"/>
        <w:rPr>
          <w:rFonts w:ascii="Arial" w:hAnsi="Arial" w:cs="Arial"/>
          <w:sz w:val="28"/>
          <w:szCs w:val="28"/>
        </w:rPr>
      </w:pPr>
      <w:r w:rsidRPr="00936FE8">
        <w:rPr>
          <w:rFonts w:ascii="Arial" w:hAnsi="Arial" w:cs="Arial"/>
          <w:b/>
          <w:bCs/>
          <w:sz w:val="28"/>
          <w:szCs w:val="28"/>
        </w:rPr>
        <w:t>Assignment title -</w:t>
      </w:r>
      <w:r w:rsidRPr="00936FE8">
        <w:rPr>
          <w:rFonts w:ascii="Arial" w:hAnsi="Arial" w:cs="Arial"/>
          <w:sz w:val="28"/>
          <w:szCs w:val="28"/>
        </w:rPr>
        <w:t xml:space="preserve"> Financial performance and management</w:t>
      </w:r>
    </w:p>
    <w:p w14:paraId="16439A22" w14:textId="77777777" w:rsidR="00936FE8" w:rsidRPr="00936FE8" w:rsidRDefault="00936FE8" w:rsidP="00936FE8">
      <w:pPr>
        <w:spacing w:line="360" w:lineRule="auto"/>
        <w:jc w:val="center"/>
        <w:rPr>
          <w:rFonts w:ascii="Arial" w:hAnsi="Arial" w:cs="Arial"/>
          <w:b/>
          <w:bCs/>
          <w:sz w:val="28"/>
          <w:szCs w:val="28"/>
        </w:rPr>
      </w:pPr>
      <w:r w:rsidRPr="00936FE8">
        <w:rPr>
          <w:rFonts w:ascii="Arial" w:hAnsi="Arial" w:cs="Arial"/>
          <w:b/>
          <w:bCs/>
          <w:sz w:val="28"/>
          <w:szCs w:val="28"/>
        </w:rPr>
        <w:t>Lecturer -</w:t>
      </w:r>
      <w:r w:rsidRPr="00936FE8">
        <w:rPr>
          <w:rFonts w:ascii="Arial" w:hAnsi="Arial" w:cs="Arial"/>
          <w:sz w:val="28"/>
          <w:szCs w:val="28"/>
        </w:rPr>
        <w:t xml:space="preserve"> Patrick Yeboah (Birmingham)</w:t>
      </w:r>
    </w:p>
    <w:p w14:paraId="43757B53" w14:textId="77777777" w:rsidR="00A12AD1" w:rsidRPr="00936FE8" w:rsidRDefault="00A12AD1" w:rsidP="00D7737F">
      <w:pPr>
        <w:spacing w:line="360" w:lineRule="auto"/>
        <w:jc w:val="center"/>
        <w:rPr>
          <w:rFonts w:ascii="Arial" w:hAnsi="Arial" w:cs="Arial"/>
          <w:b/>
          <w:bCs/>
        </w:rPr>
      </w:pPr>
      <w:r w:rsidRPr="00936FE8">
        <w:rPr>
          <w:rFonts w:ascii="Arial" w:hAnsi="Arial" w:cs="Arial"/>
          <w:b/>
          <w:bCs/>
        </w:rPr>
        <w:br w:type="page"/>
      </w:r>
    </w:p>
    <w:sdt>
      <w:sdtPr>
        <w:rPr>
          <w:rFonts w:ascii="Arial" w:eastAsiaTheme="minorHAnsi" w:hAnsi="Arial" w:cs="Arial"/>
          <w:b w:val="0"/>
          <w:kern w:val="2"/>
          <w:sz w:val="24"/>
          <w:szCs w:val="24"/>
          <w:lang w:val="en-IN"/>
          <w14:ligatures w14:val="standardContextual"/>
        </w:rPr>
        <w:id w:val="-1892104210"/>
        <w:docPartObj>
          <w:docPartGallery w:val="Table of Contents"/>
          <w:docPartUnique/>
        </w:docPartObj>
      </w:sdtPr>
      <w:sdtEndPr>
        <w:rPr>
          <w:bCs/>
          <w:noProof/>
        </w:rPr>
      </w:sdtEndPr>
      <w:sdtContent>
        <w:p w14:paraId="3C199869" w14:textId="346FFF2A" w:rsidR="00D7737F" w:rsidRPr="00936FE8" w:rsidRDefault="00D7737F">
          <w:pPr>
            <w:pStyle w:val="TOCHeading"/>
            <w:rPr>
              <w:rFonts w:ascii="Arial" w:hAnsi="Arial" w:cs="Arial"/>
            </w:rPr>
          </w:pPr>
          <w:r w:rsidRPr="00936FE8">
            <w:rPr>
              <w:rFonts w:ascii="Arial" w:hAnsi="Arial" w:cs="Arial"/>
            </w:rPr>
            <w:t>Table of Contents</w:t>
          </w:r>
        </w:p>
        <w:p w14:paraId="6A4E6B1C" w14:textId="0B98C5A2" w:rsidR="00232CF7" w:rsidRPr="00936FE8" w:rsidRDefault="00D7737F">
          <w:pPr>
            <w:pStyle w:val="TOC1"/>
            <w:tabs>
              <w:tab w:val="right" w:leader="dot" w:pos="9016"/>
            </w:tabs>
            <w:rPr>
              <w:rFonts w:ascii="Arial" w:eastAsiaTheme="minorEastAsia" w:hAnsi="Arial" w:cs="Arial"/>
              <w:noProof/>
              <w:lang w:eastAsia="en-IN"/>
            </w:rPr>
          </w:pPr>
          <w:r w:rsidRPr="00936FE8">
            <w:rPr>
              <w:rFonts w:ascii="Arial" w:hAnsi="Arial" w:cs="Arial"/>
            </w:rPr>
            <w:fldChar w:fldCharType="begin"/>
          </w:r>
          <w:r w:rsidRPr="00936FE8">
            <w:rPr>
              <w:rFonts w:ascii="Arial" w:hAnsi="Arial" w:cs="Arial"/>
            </w:rPr>
            <w:instrText xml:space="preserve"> TOC \o "1-3" \h \z \u </w:instrText>
          </w:r>
          <w:r w:rsidRPr="00936FE8">
            <w:rPr>
              <w:rFonts w:ascii="Arial" w:hAnsi="Arial" w:cs="Arial"/>
            </w:rPr>
            <w:fldChar w:fldCharType="separate"/>
          </w:r>
          <w:hyperlink w:anchor="_Toc235785088" w:history="1">
            <w:r w:rsidR="00232CF7" w:rsidRPr="00936FE8">
              <w:rPr>
                <w:rStyle w:val="Hyperlink"/>
                <w:rFonts w:ascii="Arial" w:hAnsi="Arial" w:cs="Arial"/>
                <w:noProof/>
              </w:rPr>
              <w:t>Introduction</w:t>
            </w:r>
            <w:r w:rsidR="00232CF7" w:rsidRPr="00936FE8">
              <w:rPr>
                <w:rFonts w:ascii="Arial" w:hAnsi="Arial" w:cs="Arial"/>
                <w:noProof/>
                <w:webHidden/>
              </w:rPr>
              <w:tab/>
            </w:r>
            <w:r w:rsidR="00232CF7" w:rsidRPr="00936FE8">
              <w:rPr>
                <w:rFonts w:ascii="Arial" w:hAnsi="Arial" w:cs="Arial"/>
                <w:noProof/>
                <w:webHidden/>
              </w:rPr>
              <w:fldChar w:fldCharType="begin"/>
            </w:r>
            <w:r w:rsidR="00232CF7" w:rsidRPr="00936FE8">
              <w:rPr>
                <w:rFonts w:ascii="Arial" w:hAnsi="Arial" w:cs="Arial"/>
                <w:noProof/>
                <w:webHidden/>
              </w:rPr>
              <w:instrText xml:space="preserve"> PAGEREF _Toc235785088 \h </w:instrText>
            </w:r>
            <w:r w:rsidR="00232CF7" w:rsidRPr="00936FE8">
              <w:rPr>
                <w:rFonts w:ascii="Arial" w:hAnsi="Arial" w:cs="Arial"/>
                <w:noProof/>
                <w:webHidden/>
              </w:rPr>
            </w:r>
            <w:r w:rsidR="00232CF7" w:rsidRPr="00936FE8">
              <w:rPr>
                <w:rFonts w:ascii="Arial" w:hAnsi="Arial" w:cs="Arial"/>
                <w:noProof/>
                <w:webHidden/>
              </w:rPr>
              <w:fldChar w:fldCharType="separate"/>
            </w:r>
            <w:r w:rsidR="00936FE8">
              <w:rPr>
                <w:rFonts w:ascii="Arial" w:hAnsi="Arial" w:cs="Arial"/>
                <w:noProof/>
                <w:webHidden/>
              </w:rPr>
              <w:t>4</w:t>
            </w:r>
            <w:r w:rsidR="00232CF7" w:rsidRPr="00936FE8">
              <w:rPr>
                <w:rFonts w:ascii="Arial" w:hAnsi="Arial" w:cs="Arial"/>
                <w:noProof/>
                <w:webHidden/>
              </w:rPr>
              <w:fldChar w:fldCharType="end"/>
            </w:r>
          </w:hyperlink>
        </w:p>
        <w:p w14:paraId="5D700456" w14:textId="55FC10AF" w:rsidR="00232CF7" w:rsidRPr="00936FE8" w:rsidRDefault="00232CF7">
          <w:pPr>
            <w:pStyle w:val="TOC1"/>
            <w:tabs>
              <w:tab w:val="left" w:pos="480"/>
              <w:tab w:val="right" w:leader="dot" w:pos="9016"/>
            </w:tabs>
            <w:rPr>
              <w:rFonts w:ascii="Arial" w:eastAsiaTheme="minorEastAsia" w:hAnsi="Arial" w:cs="Arial"/>
              <w:noProof/>
              <w:lang w:eastAsia="en-IN"/>
            </w:rPr>
          </w:pPr>
          <w:hyperlink w:anchor="_Toc235785089" w:history="1">
            <w:r w:rsidRPr="00936FE8">
              <w:rPr>
                <w:rStyle w:val="Hyperlink"/>
                <w:rFonts w:ascii="Arial" w:hAnsi="Arial" w:cs="Arial"/>
                <w:noProof/>
              </w:rPr>
              <w:t>1.</w:t>
            </w:r>
            <w:r w:rsidRPr="00936FE8">
              <w:rPr>
                <w:rFonts w:ascii="Arial" w:eastAsiaTheme="minorEastAsia" w:hAnsi="Arial" w:cs="Arial"/>
                <w:noProof/>
                <w:lang w:eastAsia="en-IN"/>
              </w:rPr>
              <w:tab/>
            </w:r>
            <w:r w:rsidRPr="00936FE8">
              <w:rPr>
                <w:rStyle w:val="Hyperlink"/>
                <w:rFonts w:ascii="Arial" w:hAnsi="Arial" w:cs="Arial"/>
                <w:noProof/>
              </w:rPr>
              <w:t>Financial Health Check</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_Toc235785089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4</w:t>
            </w:r>
            <w:r w:rsidRPr="00936FE8">
              <w:rPr>
                <w:rFonts w:ascii="Arial" w:hAnsi="Arial" w:cs="Arial"/>
                <w:noProof/>
                <w:webHidden/>
              </w:rPr>
              <w:fldChar w:fldCharType="end"/>
            </w:r>
          </w:hyperlink>
        </w:p>
        <w:p w14:paraId="2D63380D" w14:textId="518E1785" w:rsidR="00232CF7" w:rsidRPr="00936FE8" w:rsidRDefault="00232CF7">
          <w:pPr>
            <w:pStyle w:val="TOC2"/>
            <w:tabs>
              <w:tab w:val="right" w:leader="dot" w:pos="9016"/>
            </w:tabs>
            <w:rPr>
              <w:rFonts w:ascii="Arial" w:eastAsiaTheme="minorEastAsia" w:hAnsi="Arial" w:cs="Arial"/>
              <w:noProof/>
              <w:lang w:eastAsia="en-IN"/>
            </w:rPr>
          </w:pPr>
          <w:hyperlink w:anchor="_Toc235785090" w:history="1">
            <w:r w:rsidRPr="00936FE8">
              <w:rPr>
                <w:rStyle w:val="Hyperlink"/>
                <w:rFonts w:ascii="Arial" w:hAnsi="Arial" w:cs="Arial"/>
                <w:noProof/>
              </w:rPr>
              <w:t>1.1 Overview and Methodological Approach</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_Toc235785090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5</w:t>
            </w:r>
            <w:r w:rsidRPr="00936FE8">
              <w:rPr>
                <w:rFonts w:ascii="Arial" w:hAnsi="Arial" w:cs="Arial"/>
                <w:noProof/>
                <w:webHidden/>
              </w:rPr>
              <w:fldChar w:fldCharType="end"/>
            </w:r>
          </w:hyperlink>
        </w:p>
        <w:p w14:paraId="526A1846" w14:textId="70021B7D" w:rsidR="00232CF7" w:rsidRPr="00936FE8" w:rsidRDefault="00232CF7">
          <w:pPr>
            <w:pStyle w:val="TOC2"/>
            <w:tabs>
              <w:tab w:val="right" w:leader="dot" w:pos="9016"/>
            </w:tabs>
            <w:rPr>
              <w:rFonts w:ascii="Arial" w:eastAsiaTheme="minorEastAsia" w:hAnsi="Arial" w:cs="Arial"/>
              <w:noProof/>
              <w:lang w:eastAsia="en-IN"/>
            </w:rPr>
          </w:pPr>
          <w:hyperlink w:anchor="_Toc235785091" w:history="1">
            <w:r w:rsidRPr="00936FE8">
              <w:rPr>
                <w:rStyle w:val="Hyperlink"/>
                <w:rFonts w:ascii="Arial" w:hAnsi="Arial" w:cs="Arial"/>
                <w:noProof/>
              </w:rPr>
              <w:t>1.2 Profitability and Return Trends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_Toc235785091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5</w:t>
            </w:r>
            <w:r w:rsidRPr="00936FE8">
              <w:rPr>
                <w:rFonts w:ascii="Arial" w:hAnsi="Arial" w:cs="Arial"/>
                <w:noProof/>
                <w:webHidden/>
              </w:rPr>
              <w:fldChar w:fldCharType="end"/>
            </w:r>
          </w:hyperlink>
        </w:p>
        <w:p w14:paraId="4B320F32" w14:textId="4E2C0FFE" w:rsidR="00232CF7" w:rsidRPr="00936FE8" w:rsidRDefault="00232CF7">
          <w:pPr>
            <w:pStyle w:val="TOC2"/>
            <w:tabs>
              <w:tab w:val="right" w:leader="dot" w:pos="9016"/>
            </w:tabs>
            <w:rPr>
              <w:rFonts w:ascii="Arial" w:eastAsiaTheme="minorEastAsia" w:hAnsi="Arial" w:cs="Arial"/>
              <w:noProof/>
              <w:lang w:eastAsia="en-IN"/>
            </w:rPr>
          </w:pPr>
          <w:hyperlink w:anchor="_Toc235785092" w:history="1">
            <w:r w:rsidRPr="00936FE8">
              <w:rPr>
                <w:rStyle w:val="Hyperlink"/>
                <w:rFonts w:ascii="Arial" w:hAnsi="Arial" w:cs="Arial"/>
                <w:noProof/>
              </w:rPr>
              <w:t>1.3 Liquidity Analysis and Industry Benchmarking</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_Toc235785092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8</w:t>
            </w:r>
            <w:r w:rsidRPr="00936FE8">
              <w:rPr>
                <w:rFonts w:ascii="Arial" w:hAnsi="Arial" w:cs="Arial"/>
                <w:noProof/>
                <w:webHidden/>
              </w:rPr>
              <w:fldChar w:fldCharType="end"/>
            </w:r>
          </w:hyperlink>
        </w:p>
        <w:p w14:paraId="5A7DBBDE" w14:textId="22BDA14E" w:rsidR="00232CF7" w:rsidRPr="00936FE8" w:rsidRDefault="00232CF7">
          <w:pPr>
            <w:pStyle w:val="TOC2"/>
            <w:tabs>
              <w:tab w:val="right" w:leader="dot" w:pos="9016"/>
            </w:tabs>
            <w:rPr>
              <w:rFonts w:ascii="Arial" w:eastAsiaTheme="minorEastAsia" w:hAnsi="Arial" w:cs="Arial"/>
              <w:noProof/>
              <w:lang w:eastAsia="en-IN"/>
            </w:rPr>
          </w:pPr>
          <w:hyperlink w:anchor="_Toc235785093" w:history="1">
            <w:r w:rsidRPr="00936FE8">
              <w:rPr>
                <w:rStyle w:val="Hyperlink"/>
                <w:rFonts w:ascii="Arial" w:hAnsi="Arial" w:cs="Arial"/>
                <w:noProof/>
              </w:rPr>
              <w:t>1.4 Efficiency and Asset Management</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_Toc235785093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9</w:t>
            </w:r>
            <w:r w:rsidRPr="00936FE8">
              <w:rPr>
                <w:rFonts w:ascii="Arial" w:hAnsi="Arial" w:cs="Arial"/>
                <w:noProof/>
                <w:webHidden/>
              </w:rPr>
              <w:fldChar w:fldCharType="end"/>
            </w:r>
          </w:hyperlink>
        </w:p>
        <w:p w14:paraId="249D1129" w14:textId="53DC7248" w:rsidR="00232CF7" w:rsidRPr="00936FE8" w:rsidRDefault="00232CF7">
          <w:pPr>
            <w:pStyle w:val="TOC2"/>
            <w:tabs>
              <w:tab w:val="left" w:pos="960"/>
              <w:tab w:val="right" w:leader="dot" w:pos="9016"/>
            </w:tabs>
            <w:rPr>
              <w:rFonts w:ascii="Arial" w:eastAsiaTheme="minorEastAsia" w:hAnsi="Arial" w:cs="Arial"/>
              <w:noProof/>
              <w:lang w:eastAsia="en-IN"/>
            </w:rPr>
          </w:pPr>
          <w:hyperlink w:anchor="_Toc235785094" w:history="1">
            <w:r w:rsidRPr="00936FE8">
              <w:rPr>
                <w:rStyle w:val="Hyperlink"/>
                <w:rFonts w:ascii="Arial" w:hAnsi="Arial" w:cs="Arial"/>
                <w:noProof/>
              </w:rPr>
              <w:t>1</w:t>
            </w:r>
            <w:r w:rsidRPr="00936FE8">
              <w:rPr>
                <w:rStyle w:val="Hyperlink"/>
                <w:rFonts w:ascii="Arial" w:hAnsi="Arial" w:cs="Arial"/>
                <w:noProof/>
              </w:rPr>
              <w:t>.</w:t>
            </w:r>
            <w:r w:rsidRPr="00936FE8">
              <w:rPr>
                <w:rStyle w:val="Hyperlink"/>
                <w:rFonts w:ascii="Arial" w:hAnsi="Arial" w:cs="Arial"/>
                <w:noProof/>
              </w:rPr>
              <w:t>5</w:t>
            </w:r>
            <w:r w:rsidR="00DB4DD4">
              <w:rPr>
                <w:rFonts w:ascii="Arial" w:eastAsiaTheme="minorEastAsia" w:hAnsi="Arial" w:cs="Arial"/>
                <w:noProof/>
                <w:lang w:eastAsia="en-IN"/>
              </w:rPr>
              <w:t xml:space="preserve"> </w:t>
            </w:r>
            <w:r w:rsidRPr="00936FE8">
              <w:rPr>
                <w:rStyle w:val="Hyperlink"/>
                <w:rFonts w:ascii="Arial" w:hAnsi="Arial" w:cs="Arial"/>
                <w:noProof/>
              </w:rPr>
              <w:t>Working Capital and Short-term Liquidity Analysis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_Toc235785094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10</w:t>
            </w:r>
            <w:r w:rsidRPr="00936FE8">
              <w:rPr>
                <w:rFonts w:ascii="Arial" w:hAnsi="Arial" w:cs="Arial"/>
                <w:noProof/>
                <w:webHidden/>
              </w:rPr>
              <w:fldChar w:fldCharType="end"/>
            </w:r>
          </w:hyperlink>
        </w:p>
        <w:p w14:paraId="38A81FBF" w14:textId="5214F833" w:rsidR="00232CF7" w:rsidRPr="00936FE8" w:rsidRDefault="00232CF7">
          <w:pPr>
            <w:pStyle w:val="TOC2"/>
            <w:tabs>
              <w:tab w:val="right" w:leader="dot" w:pos="9016"/>
            </w:tabs>
            <w:rPr>
              <w:rFonts w:ascii="Arial" w:eastAsiaTheme="minorEastAsia" w:hAnsi="Arial" w:cs="Arial"/>
              <w:noProof/>
              <w:lang w:eastAsia="en-IN"/>
            </w:rPr>
          </w:pPr>
          <w:hyperlink w:anchor="_Toc235785095" w:history="1">
            <w:r w:rsidRPr="00936FE8">
              <w:rPr>
                <w:rStyle w:val="Hyperlink"/>
                <w:rFonts w:ascii="Arial" w:hAnsi="Arial" w:cs="Arial"/>
                <w:noProof/>
              </w:rPr>
              <w:t>1.6 Strategic Swot Analysis based on Financial Performance</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_Toc235785095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12</w:t>
            </w:r>
            <w:r w:rsidRPr="00936FE8">
              <w:rPr>
                <w:rFonts w:ascii="Arial" w:hAnsi="Arial" w:cs="Arial"/>
                <w:noProof/>
                <w:webHidden/>
              </w:rPr>
              <w:fldChar w:fldCharType="end"/>
            </w:r>
          </w:hyperlink>
        </w:p>
        <w:p w14:paraId="24D6B1AA" w14:textId="731CD6D1" w:rsidR="00232CF7" w:rsidRPr="00936FE8" w:rsidRDefault="00232CF7">
          <w:pPr>
            <w:pStyle w:val="TOC1"/>
            <w:tabs>
              <w:tab w:val="right" w:leader="dot" w:pos="9016"/>
            </w:tabs>
            <w:rPr>
              <w:rFonts w:ascii="Arial" w:eastAsiaTheme="minorEastAsia" w:hAnsi="Arial" w:cs="Arial"/>
              <w:noProof/>
              <w:lang w:eastAsia="en-IN"/>
            </w:rPr>
          </w:pPr>
          <w:hyperlink w:anchor="_Toc235785096" w:history="1">
            <w:r w:rsidRPr="00936FE8">
              <w:rPr>
                <w:rStyle w:val="Hyperlink"/>
                <w:rFonts w:ascii="Arial" w:hAnsi="Arial" w:cs="Arial"/>
                <w:noProof/>
              </w:rPr>
              <w:t>2. Working Capital Management Analysis (800</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_Toc235785096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12</w:t>
            </w:r>
            <w:r w:rsidRPr="00936FE8">
              <w:rPr>
                <w:rFonts w:ascii="Arial" w:hAnsi="Arial" w:cs="Arial"/>
                <w:noProof/>
                <w:webHidden/>
              </w:rPr>
              <w:fldChar w:fldCharType="end"/>
            </w:r>
          </w:hyperlink>
        </w:p>
        <w:p w14:paraId="5B6A80FA" w14:textId="6141F308" w:rsidR="00232CF7" w:rsidRPr="00936FE8" w:rsidRDefault="00232CF7">
          <w:pPr>
            <w:pStyle w:val="TOC2"/>
            <w:tabs>
              <w:tab w:val="right" w:leader="dot" w:pos="9016"/>
            </w:tabs>
            <w:rPr>
              <w:rFonts w:ascii="Arial" w:eastAsiaTheme="minorEastAsia" w:hAnsi="Arial" w:cs="Arial"/>
              <w:noProof/>
              <w:lang w:eastAsia="en-IN"/>
            </w:rPr>
          </w:pPr>
          <w:hyperlink w:anchor="_Toc235785097" w:history="1">
            <w:r w:rsidRPr="00936FE8">
              <w:rPr>
                <w:rStyle w:val="Hyperlink"/>
                <w:rFonts w:ascii="Arial" w:hAnsi="Arial" w:cs="Arial"/>
                <w:noProof/>
              </w:rPr>
              <w:t>2.1 The Cost Operating Cycle (Cash Conversion Cycle)</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_Toc235785097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12</w:t>
            </w:r>
            <w:r w:rsidRPr="00936FE8">
              <w:rPr>
                <w:rFonts w:ascii="Arial" w:hAnsi="Arial" w:cs="Arial"/>
                <w:noProof/>
                <w:webHidden/>
              </w:rPr>
              <w:fldChar w:fldCharType="end"/>
            </w:r>
          </w:hyperlink>
        </w:p>
        <w:p w14:paraId="1FE2D5D5" w14:textId="602EED10" w:rsidR="00232CF7" w:rsidRPr="00936FE8" w:rsidRDefault="00232CF7">
          <w:pPr>
            <w:pStyle w:val="TOC2"/>
            <w:tabs>
              <w:tab w:val="right" w:leader="dot" w:pos="9016"/>
            </w:tabs>
            <w:rPr>
              <w:rFonts w:ascii="Arial" w:eastAsiaTheme="minorEastAsia" w:hAnsi="Arial" w:cs="Arial"/>
              <w:noProof/>
              <w:lang w:eastAsia="en-IN"/>
            </w:rPr>
          </w:pPr>
          <w:hyperlink w:anchor="_Toc235785098" w:history="1">
            <w:r w:rsidRPr="00936FE8">
              <w:rPr>
                <w:rStyle w:val="Hyperlink"/>
                <w:rFonts w:ascii="Arial" w:hAnsi="Arial" w:cs="Arial"/>
                <w:noProof/>
              </w:rPr>
              <w:t>2.2 Working capital reforms to enhance liquidity</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_Toc235785098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14</w:t>
            </w:r>
            <w:r w:rsidRPr="00936FE8">
              <w:rPr>
                <w:rFonts w:ascii="Arial" w:hAnsi="Arial" w:cs="Arial"/>
                <w:noProof/>
                <w:webHidden/>
              </w:rPr>
              <w:fldChar w:fldCharType="end"/>
            </w:r>
          </w:hyperlink>
        </w:p>
        <w:p w14:paraId="5C320C24" w14:textId="34C8B791" w:rsidR="00232CF7" w:rsidRPr="00936FE8" w:rsidRDefault="00232CF7">
          <w:pPr>
            <w:pStyle w:val="TOC2"/>
            <w:tabs>
              <w:tab w:val="right" w:leader="dot" w:pos="9016"/>
            </w:tabs>
            <w:rPr>
              <w:rFonts w:ascii="Arial" w:eastAsiaTheme="minorEastAsia" w:hAnsi="Arial" w:cs="Arial"/>
              <w:noProof/>
              <w:lang w:eastAsia="en-IN"/>
            </w:rPr>
          </w:pPr>
          <w:hyperlink w:anchor="_Toc235785099" w:history="1">
            <w:r w:rsidRPr="00936FE8">
              <w:rPr>
                <w:rStyle w:val="Hyperlink"/>
                <w:rFonts w:ascii="Arial" w:hAnsi="Arial" w:cs="Arial"/>
                <w:noProof/>
              </w:rPr>
              <w:t>2.3 Short Term Versus Long Term Financial Options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_Toc235785099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14</w:t>
            </w:r>
            <w:r w:rsidRPr="00936FE8">
              <w:rPr>
                <w:rFonts w:ascii="Arial" w:hAnsi="Arial" w:cs="Arial"/>
                <w:noProof/>
                <w:webHidden/>
              </w:rPr>
              <w:fldChar w:fldCharType="end"/>
            </w:r>
          </w:hyperlink>
        </w:p>
        <w:p w14:paraId="0708B106" w14:textId="41610EE1" w:rsidR="00232CF7" w:rsidRPr="00936FE8" w:rsidRDefault="00232CF7">
          <w:pPr>
            <w:pStyle w:val="TOC1"/>
            <w:tabs>
              <w:tab w:val="right" w:leader="dot" w:pos="9016"/>
            </w:tabs>
            <w:rPr>
              <w:rFonts w:ascii="Arial" w:eastAsiaTheme="minorEastAsia" w:hAnsi="Arial" w:cs="Arial"/>
              <w:noProof/>
              <w:lang w:eastAsia="en-IN"/>
            </w:rPr>
          </w:pPr>
          <w:hyperlink w:anchor="_Toc235785100" w:history="1">
            <w:r w:rsidRPr="00936FE8">
              <w:rPr>
                <w:rStyle w:val="Hyperlink"/>
                <w:rFonts w:ascii="Arial" w:hAnsi="Arial" w:cs="Arial"/>
                <w:noProof/>
              </w:rPr>
              <w:t>3. Strategic Financial Restructuring Plan</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_Toc235785100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15</w:t>
            </w:r>
            <w:r w:rsidRPr="00936FE8">
              <w:rPr>
                <w:rFonts w:ascii="Arial" w:hAnsi="Arial" w:cs="Arial"/>
                <w:noProof/>
                <w:webHidden/>
              </w:rPr>
              <w:fldChar w:fldCharType="end"/>
            </w:r>
          </w:hyperlink>
        </w:p>
        <w:p w14:paraId="737BF4E4" w14:textId="53AD63F8" w:rsidR="00232CF7" w:rsidRPr="00936FE8" w:rsidRDefault="00232CF7">
          <w:pPr>
            <w:pStyle w:val="TOC2"/>
            <w:tabs>
              <w:tab w:val="right" w:leader="dot" w:pos="9016"/>
            </w:tabs>
            <w:rPr>
              <w:rFonts w:ascii="Arial" w:eastAsiaTheme="minorEastAsia" w:hAnsi="Arial" w:cs="Arial"/>
              <w:noProof/>
              <w:lang w:eastAsia="en-IN"/>
            </w:rPr>
          </w:pPr>
          <w:hyperlink w:anchor="_Toc235785101" w:history="1">
            <w:r w:rsidRPr="00936FE8">
              <w:rPr>
                <w:rStyle w:val="Hyperlink"/>
                <w:rFonts w:ascii="Arial" w:hAnsi="Arial" w:cs="Arial"/>
                <w:noProof/>
              </w:rPr>
              <w:t>3.1 Strategic Financial Restructuring Options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_Toc235785101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16</w:t>
            </w:r>
            <w:r w:rsidRPr="00936FE8">
              <w:rPr>
                <w:rFonts w:ascii="Arial" w:hAnsi="Arial" w:cs="Arial"/>
                <w:noProof/>
                <w:webHidden/>
              </w:rPr>
              <w:fldChar w:fldCharType="end"/>
            </w:r>
          </w:hyperlink>
        </w:p>
        <w:p w14:paraId="756EB421" w14:textId="7E93CBA0" w:rsidR="00232CF7" w:rsidRPr="00936FE8" w:rsidRDefault="00232CF7">
          <w:pPr>
            <w:pStyle w:val="TOC2"/>
            <w:tabs>
              <w:tab w:val="right" w:leader="dot" w:pos="9016"/>
            </w:tabs>
            <w:rPr>
              <w:rFonts w:ascii="Arial" w:eastAsiaTheme="minorEastAsia" w:hAnsi="Arial" w:cs="Arial"/>
              <w:noProof/>
              <w:lang w:eastAsia="en-IN"/>
            </w:rPr>
          </w:pPr>
          <w:hyperlink w:anchor="_Toc235785102" w:history="1">
            <w:r w:rsidRPr="00936FE8">
              <w:rPr>
                <w:rStyle w:val="Hyperlink"/>
                <w:rFonts w:ascii="Arial" w:hAnsi="Arial" w:cs="Arial"/>
                <w:noProof/>
              </w:rPr>
              <w:t>3.2 Evaluating Strategic Impacts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_Toc235785102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16</w:t>
            </w:r>
            <w:r w:rsidRPr="00936FE8">
              <w:rPr>
                <w:rFonts w:ascii="Arial" w:hAnsi="Arial" w:cs="Arial"/>
                <w:noProof/>
                <w:webHidden/>
              </w:rPr>
              <w:fldChar w:fldCharType="end"/>
            </w:r>
          </w:hyperlink>
        </w:p>
        <w:p w14:paraId="33014602" w14:textId="68CCDA6A" w:rsidR="00232CF7" w:rsidRPr="00936FE8" w:rsidRDefault="00232CF7">
          <w:pPr>
            <w:pStyle w:val="TOC2"/>
            <w:tabs>
              <w:tab w:val="right" w:leader="dot" w:pos="9016"/>
            </w:tabs>
            <w:rPr>
              <w:rFonts w:ascii="Arial" w:eastAsiaTheme="minorEastAsia" w:hAnsi="Arial" w:cs="Arial"/>
              <w:noProof/>
              <w:lang w:eastAsia="en-IN"/>
            </w:rPr>
          </w:pPr>
          <w:hyperlink w:anchor="_Toc235785103" w:history="1">
            <w:r w:rsidRPr="00936FE8">
              <w:rPr>
                <w:rStyle w:val="Hyperlink"/>
                <w:rFonts w:ascii="Arial" w:hAnsi="Arial" w:cs="Arial"/>
                <w:noProof/>
              </w:rPr>
              <w:t>3.3 International and Ethical Considerations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_Toc235785103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17</w:t>
            </w:r>
            <w:r w:rsidRPr="00936FE8">
              <w:rPr>
                <w:rFonts w:ascii="Arial" w:hAnsi="Arial" w:cs="Arial"/>
                <w:noProof/>
                <w:webHidden/>
              </w:rPr>
              <w:fldChar w:fldCharType="end"/>
            </w:r>
          </w:hyperlink>
        </w:p>
        <w:p w14:paraId="52E7837B" w14:textId="68DEC897" w:rsidR="00232CF7" w:rsidRPr="00936FE8" w:rsidRDefault="00232CF7">
          <w:pPr>
            <w:pStyle w:val="TOC1"/>
            <w:tabs>
              <w:tab w:val="right" w:leader="dot" w:pos="9016"/>
            </w:tabs>
            <w:rPr>
              <w:rFonts w:ascii="Arial" w:eastAsiaTheme="minorEastAsia" w:hAnsi="Arial" w:cs="Arial"/>
              <w:noProof/>
              <w:lang w:eastAsia="en-IN"/>
            </w:rPr>
          </w:pPr>
          <w:hyperlink w:anchor="_Toc235785104" w:history="1">
            <w:r w:rsidRPr="00936FE8">
              <w:rPr>
                <w:rStyle w:val="Hyperlink"/>
                <w:rFonts w:ascii="Arial" w:hAnsi="Arial" w:cs="Arial"/>
                <w:noProof/>
              </w:rPr>
              <w:t>4. Investment Appraisal and Capital Budgeting</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_Toc235785104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17</w:t>
            </w:r>
            <w:r w:rsidRPr="00936FE8">
              <w:rPr>
                <w:rFonts w:ascii="Arial" w:hAnsi="Arial" w:cs="Arial"/>
                <w:noProof/>
                <w:webHidden/>
              </w:rPr>
              <w:fldChar w:fldCharType="end"/>
            </w:r>
          </w:hyperlink>
        </w:p>
        <w:p w14:paraId="16ABEDD6" w14:textId="474ECF15" w:rsidR="00232CF7" w:rsidRPr="00936FE8" w:rsidRDefault="00232CF7">
          <w:pPr>
            <w:pStyle w:val="TOC2"/>
            <w:tabs>
              <w:tab w:val="right" w:leader="dot" w:pos="9016"/>
            </w:tabs>
            <w:rPr>
              <w:rFonts w:ascii="Arial" w:eastAsiaTheme="minorEastAsia" w:hAnsi="Arial" w:cs="Arial"/>
              <w:noProof/>
              <w:lang w:eastAsia="en-IN"/>
            </w:rPr>
          </w:pPr>
          <w:hyperlink w:anchor="_Toc235785105" w:history="1">
            <w:r w:rsidRPr="00936FE8">
              <w:rPr>
                <w:rStyle w:val="Hyperlink"/>
                <w:rFonts w:ascii="Arial" w:hAnsi="Arial" w:cs="Arial"/>
                <w:noProof/>
              </w:rPr>
              <w:t>4.1 Capital Budgeting Methodology and Theoretical Framework</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_Toc235785105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18</w:t>
            </w:r>
            <w:r w:rsidRPr="00936FE8">
              <w:rPr>
                <w:rFonts w:ascii="Arial" w:hAnsi="Arial" w:cs="Arial"/>
                <w:noProof/>
                <w:webHidden/>
              </w:rPr>
              <w:fldChar w:fldCharType="end"/>
            </w:r>
          </w:hyperlink>
        </w:p>
        <w:p w14:paraId="5CCFF0A6" w14:textId="6AE0E9C2" w:rsidR="00232CF7" w:rsidRPr="00936FE8" w:rsidRDefault="00232CF7">
          <w:pPr>
            <w:pStyle w:val="TOC2"/>
            <w:tabs>
              <w:tab w:val="right" w:leader="dot" w:pos="9016"/>
            </w:tabs>
            <w:rPr>
              <w:rFonts w:ascii="Arial" w:eastAsiaTheme="minorEastAsia" w:hAnsi="Arial" w:cs="Arial"/>
              <w:noProof/>
              <w:lang w:eastAsia="en-IN"/>
            </w:rPr>
          </w:pPr>
          <w:hyperlink w:anchor="_Toc235785106" w:history="1">
            <w:r w:rsidRPr="00936FE8">
              <w:rPr>
                <w:rStyle w:val="Hyperlink"/>
                <w:rFonts w:ascii="Arial" w:hAnsi="Arial" w:cs="Arial"/>
                <w:noProof/>
              </w:rPr>
              <w:t>4.2 Comprehensive Project-by-Project Appraisals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_Toc235785106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19</w:t>
            </w:r>
            <w:r w:rsidRPr="00936FE8">
              <w:rPr>
                <w:rFonts w:ascii="Arial" w:hAnsi="Arial" w:cs="Arial"/>
                <w:noProof/>
                <w:webHidden/>
              </w:rPr>
              <w:fldChar w:fldCharType="end"/>
            </w:r>
          </w:hyperlink>
        </w:p>
        <w:p w14:paraId="304FFC34" w14:textId="01FA2B1A" w:rsidR="00232CF7" w:rsidRPr="00936FE8" w:rsidRDefault="00232CF7">
          <w:pPr>
            <w:pStyle w:val="TOC3"/>
            <w:tabs>
              <w:tab w:val="right" w:leader="dot" w:pos="9016"/>
            </w:tabs>
            <w:rPr>
              <w:rFonts w:ascii="Arial" w:eastAsiaTheme="minorEastAsia" w:hAnsi="Arial" w:cs="Arial"/>
              <w:noProof/>
              <w:lang w:eastAsia="en-IN"/>
            </w:rPr>
          </w:pPr>
          <w:hyperlink w:anchor="_Toc235785107" w:history="1">
            <w:r w:rsidRPr="00936FE8">
              <w:rPr>
                <w:rStyle w:val="Hyperlink"/>
                <w:rFonts w:ascii="Arial" w:hAnsi="Arial" w:cs="Arial"/>
                <w:noProof/>
              </w:rPr>
              <w:t>4.2.1 Project A evaluation: Front-loaded variable outlay</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_Toc235785107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19</w:t>
            </w:r>
            <w:r w:rsidRPr="00936FE8">
              <w:rPr>
                <w:rFonts w:ascii="Arial" w:hAnsi="Arial" w:cs="Arial"/>
                <w:noProof/>
                <w:webHidden/>
              </w:rPr>
              <w:fldChar w:fldCharType="end"/>
            </w:r>
          </w:hyperlink>
        </w:p>
        <w:p w14:paraId="078B1FF3" w14:textId="3BA74243" w:rsidR="00232CF7" w:rsidRPr="00936FE8" w:rsidRDefault="00232CF7">
          <w:pPr>
            <w:pStyle w:val="TOC3"/>
            <w:tabs>
              <w:tab w:val="right" w:leader="dot" w:pos="9016"/>
            </w:tabs>
            <w:rPr>
              <w:rFonts w:ascii="Arial" w:eastAsiaTheme="minorEastAsia" w:hAnsi="Arial" w:cs="Arial"/>
              <w:noProof/>
              <w:lang w:eastAsia="en-IN"/>
            </w:rPr>
          </w:pPr>
          <w:hyperlink w:anchor="_Toc235785108" w:history="1">
            <w:r w:rsidRPr="00936FE8">
              <w:rPr>
                <w:rStyle w:val="Hyperlink"/>
                <w:rFonts w:ascii="Arial" w:hAnsi="Arial" w:cs="Arial"/>
                <w:noProof/>
              </w:rPr>
              <w:t>4.2.2 Project B evaluation: Straight-line annuity profile</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_Toc235785108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20</w:t>
            </w:r>
            <w:r w:rsidRPr="00936FE8">
              <w:rPr>
                <w:rFonts w:ascii="Arial" w:hAnsi="Arial" w:cs="Arial"/>
                <w:noProof/>
                <w:webHidden/>
              </w:rPr>
              <w:fldChar w:fldCharType="end"/>
            </w:r>
          </w:hyperlink>
        </w:p>
        <w:p w14:paraId="7F556492" w14:textId="6740E847" w:rsidR="00232CF7" w:rsidRPr="00936FE8" w:rsidRDefault="00232CF7">
          <w:pPr>
            <w:pStyle w:val="TOC3"/>
            <w:tabs>
              <w:tab w:val="right" w:leader="dot" w:pos="9016"/>
            </w:tabs>
            <w:rPr>
              <w:rFonts w:ascii="Arial" w:eastAsiaTheme="minorEastAsia" w:hAnsi="Arial" w:cs="Arial"/>
              <w:noProof/>
              <w:lang w:eastAsia="en-IN"/>
            </w:rPr>
          </w:pPr>
          <w:hyperlink w:anchor="_Toc235785109" w:history="1">
            <w:r w:rsidRPr="00936FE8">
              <w:rPr>
                <w:rStyle w:val="Hyperlink"/>
                <w:rFonts w:ascii="Arial" w:hAnsi="Arial" w:cs="Arial"/>
                <w:noProof/>
              </w:rPr>
              <w:t>4.2.3 Project C evaluation: Back-loaded progressive outlay</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_Toc235785109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21</w:t>
            </w:r>
            <w:r w:rsidRPr="00936FE8">
              <w:rPr>
                <w:rFonts w:ascii="Arial" w:hAnsi="Arial" w:cs="Arial"/>
                <w:noProof/>
                <w:webHidden/>
              </w:rPr>
              <w:fldChar w:fldCharType="end"/>
            </w:r>
          </w:hyperlink>
        </w:p>
        <w:p w14:paraId="0A003731" w14:textId="097BAFD9" w:rsidR="00232CF7" w:rsidRPr="00936FE8" w:rsidRDefault="00232CF7">
          <w:pPr>
            <w:pStyle w:val="TOC2"/>
            <w:tabs>
              <w:tab w:val="right" w:leader="dot" w:pos="9016"/>
            </w:tabs>
            <w:rPr>
              <w:rFonts w:ascii="Arial" w:eastAsiaTheme="minorEastAsia" w:hAnsi="Arial" w:cs="Arial"/>
              <w:noProof/>
              <w:lang w:eastAsia="en-IN"/>
            </w:rPr>
          </w:pPr>
          <w:hyperlink w:anchor="_Toc235785110" w:history="1">
            <w:r w:rsidRPr="00936FE8">
              <w:rPr>
                <w:rStyle w:val="Hyperlink"/>
                <w:rFonts w:ascii="Arial" w:hAnsi="Arial" w:cs="Arial"/>
                <w:noProof/>
              </w:rPr>
              <w:t>4.3 Capital Budgeting synthesis matrix</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_Toc235785110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22</w:t>
            </w:r>
            <w:r w:rsidRPr="00936FE8">
              <w:rPr>
                <w:rFonts w:ascii="Arial" w:hAnsi="Arial" w:cs="Arial"/>
                <w:noProof/>
                <w:webHidden/>
              </w:rPr>
              <w:fldChar w:fldCharType="end"/>
            </w:r>
          </w:hyperlink>
        </w:p>
        <w:p w14:paraId="455219E8" w14:textId="04986234" w:rsidR="00232CF7" w:rsidRPr="00936FE8" w:rsidRDefault="00232CF7">
          <w:pPr>
            <w:pStyle w:val="TOC2"/>
            <w:tabs>
              <w:tab w:val="right" w:leader="dot" w:pos="9016"/>
            </w:tabs>
            <w:rPr>
              <w:rFonts w:ascii="Arial" w:eastAsiaTheme="minorEastAsia" w:hAnsi="Arial" w:cs="Arial"/>
              <w:noProof/>
              <w:lang w:eastAsia="en-IN"/>
            </w:rPr>
          </w:pPr>
          <w:hyperlink w:anchor="_Toc235785111" w:history="1">
            <w:r w:rsidRPr="00936FE8">
              <w:rPr>
                <w:rStyle w:val="Hyperlink"/>
                <w:rFonts w:ascii="Arial" w:hAnsi="Arial" w:cs="Arial"/>
                <w:noProof/>
              </w:rPr>
              <w:t>4.4 Strategic investment recommendation and comprehensive justification</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_Toc235785111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23</w:t>
            </w:r>
            <w:r w:rsidRPr="00936FE8">
              <w:rPr>
                <w:rFonts w:ascii="Arial" w:hAnsi="Arial" w:cs="Arial"/>
                <w:noProof/>
                <w:webHidden/>
              </w:rPr>
              <w:fldChar w:fldCharType="end"/>
            </w:r>
          </w:hyperlink>
        </w:p>
        <w:p w14:paraId="79B8C194" w14:textId="34797441" w:rsidR="00232CF7" w:rsidRPr="00936FE8" w:rsidRDefault="00232CF7">
          <w:pPr>
            <w:pStyle w:val="TOC3"/>
            <w:tabs>
              <w:tab w:val="right" w:leader="dot" w:pos="9016"/>
            </w:tabs>
            <w:rPr>
              <w:rFonts w:ascii="Arial" w:eastAsiaTheme="minorEastAsia" w:hAnsi="Arial" w:cs="Arial"/>
              <w:noProof/>
              <w:lang w:eastAsia="en-IN"/>
            </w:rPr>
          </w:pPr>
          <w:hyperlink w:anchor="_Toc235785112" w:history="1">
            <w:r w:rsidRPr="00936FE8">
              <w:rPr>
                <w:rStyle w:val="Hyperlink"/>
                <w:rFonts w:ascii="Arial" w:hAnsi="Arial" w:cs="Arial"/>
                <w:noProof/>
              </w:rPr>
              <w:t>4.4.1 Financial justification and alignment with corporate metrics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_Toc235785112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23</w:t>
            </w:r>
            <w:r w:rsidRPr="00936FE8">
              <w:rPr>
                <w:rFonts w:ascii="Arial" w:hAnsi="Arial" w:cs="Arial"/>
                <w:noProof/>
                <w:webHidden/>
              </w:rPr>
              <w:fldChar w:fldCharType="end"/>
            </w:r>
          </w:hyperlink>
        </w:p>
        <w:p w14:paraId="3FE744F9" w14:textId="3683A566" w:rsidR="00232CF7" w:rsidRPr="00936FE8" w:rsidRDefault="00232CF7">
          <w:pPr>
            <w:pStyle w:val="TOC3"/>
            <w:tabs>
              <w:tab w:val="right" w:leader="dot" w:pos="9016"/>
            </w:tabs>
            <w:rPr>
              <w:rFonts w:ascii="Arial" w:eastAsiaTheme="minorEastAsia" w:hAnsi="Arial" w:cs="Arial"/>
              <w:noProof/>
              <w:lang w:eastAsia="en-IN"/>
            </w:rPr>
          </w:pPr>
          <w:hyperlink w:anchor="_Toc235785113" w:history="1">
            <w:r w:rsidRPr="00936FE8">
              <w:rPr>
                <w:rStyle w:val="Hyperlink"/>
                <w:rFonts w:ascii="Arial" w:hAnsi="Arial" w:cs="Arial"/>
                <w:noProof/>
              </w:rPr>
              <w:t>4.4.2 Non-financial risk mitigation framework</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_Toc235785113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24</w:t>
            </w:r>
            <w:r w:rsidRPr="00936FE8">
              <w:rPr>
                <w:rFonts w:ascii="Arial" w:hAnsi="Arial" w:cs="Arial"/>
                <w:noProof/>
                <w:webHidden/>
              </w:rPr>
              <w:fldChar w:fldCharType="end"/>
            </w:r>
          </w:hyperlink>
        </w:p>
        <w:p w14:paraId="264DE830" w14:textId="3B6A40D0" w:rsidR="00232CF7" w:rsidRPr="00936FE8" w:rsidRDefault="00232CF7">
          <w:pPr>
            <w:pStyle w:val="TOC2"/>
            <w:tabs>
              <w:tab w:val="right" w:leader="dot" w:pos="9016"/>
            </w:tabs>
            <w:rPr>
              <w:rFonts w:ascii="Arial" w:eastAsiaTheme="minorEastAsia" w:hAnsi="Arial" w:cs="Arial"/>
              <w:noProof/>
              <w:lang w:eastAsia="en-IN"/>
            </w:rPr>
          </w:pPr>
          <w:hyperlink w:anchor="_Toc235785114" w:history="1">
            <w:r w:rsidRPr="00936FE8">
              <w:rPr>
                <w:rStyle w:val="Hyperlink"/>
                <w:rFonts w:ascii="Arial" w:hAnsi="Arial" w:cs="Arial"/>
                <w:noProof/>
              </w:rPr>
              <w:t>4.5 Capital Rationing and Strategic Portfolio Optimisation</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_Toc235785114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24</w:t>
            </w:r>
            <w:r w:rsidRPr="00936FE8">
              <w:rPr>
                <w:rFonts w:ascii="Arial" w:hAnsi="Arial" w:cs="Arial"/>
                <w:noProof/>
                <w:webHidden/>
              </w:rPr>
              <w:fldChar w:fldCharType="end"/>
            </w:r>
          </w:hyperlink>
        </w:p>
        <w:p w14:paraId="15D14A37" w14:textId="57767544" w:rsidR="00232CF7" w:rsidRPr="00936FE8" w:rsidRDefault="00232CF7">
          <w:pPr>
            <w:pStyle w:val="TOC1"/>
            <w:tabs>
              <w:tab w:val="right" w:leader="dot" w:pos="9016"/>
            </w:tabs>
            <w:rPr>
              <w:rFonts w:ascii="Arial" w:eastAsiaTheme="minorEastAsia" w:hAnsi="Arial" w:cs="Arial"/>
              <w:noProof/>
              <w:lang w:eastAsia="en-IN"/>
            </w:rPr>
          </w:pPr>
          <w:hyperlink w:anchor="_Toc235785115" w:history="1">
            <w:r w:rsidRPr="00936FE8">
              <w:rPr>
                <w:rStyle w:val="Hyperlink"/>
                <w:rFonts w:ascii="Arial" w:hAnsi="Arial" w:cs="Arial"/>
                <w:noProof/>
              </w:rPr>
              <w:t>5. Critical reflection on AI usage</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_Toc235785115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26</w:t>
            </w:r>
            <w:r w:rsidRPr="00936FE8">
              <w:rPr>
                <w:rFonts w:ascii="Arial" w:hAnsi="Arial" w:cs="Arial"/>
                <w:noProof/>
                <w:webHidden/>
              </w:rPr>
              <w:fldChar w:fldCharType="end"/>
            </w:r>
          </w:hyperlink>
        </w:p>
        <w:p w14:paraId="1918CC1E" w14:textId="4A959733" w:rsidR="00232CF7" w:rsidRPr="00936FE8" w:rsidRDefault="00232CF7">
          <w:pPr>
            <w:pStyle w:val="TOC2"/>
            <w:tabs>
              <w:tab w:val="right" w:leader="dot" w:pos="9016"/>
            </w:tabs>
            <w:rPr>
              <w:rFonts w:ascii="Arial" w:eastAsiaTheme="minorEastAsia" w:hAnsi="Arial" w:cs="Arial"/>
              <w:noProof/>
              <w:lang w:eastAsia="en-IN"/>
            </w:rPr>
          </w:pPr>
          <w:hyperlink w:anchor="_Toc235785116" w:history="1">
            <w:r w:rsidRPr="00936FE8">
              <w:rPr>
                <w:rStyle w:val="Hyperlink"/>
                <w:rFonts w:ascii="Arial" w:hAnsi="Arial" w:cs="Arial"/>
                <w:noProof/>
              </w:rPr>
              <w:t>5.1 Tool Disclosure</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_Toc235785116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26</w:t>
            </w:r>
            <w:r w:rsidRPr="00936FE8">
              <w:rPr>
                <w:rFonts w:ascii="Arial" w:hAnsi="Arial" w:cs="Arial"/>
                <w:noProof/>
                <w:webHidden/>
              </w:rPr>
              <w:fldChar w:fldCharType="end"/>
            </w:r>
          </w:hyperlink>
        </w:p>
        <w:p w14:paraId="675B4DD9" w14:textId="276E22F5" w:rsidR="00232CF7" w:rsidRPr="00936FE8" w:rsidRDefault="00232CF7">
          <w:pPr>
            <w:pStyle w:val="TOC2"/>
            <w:tabs>
              <w:tab w:val="right" w:leader="dot" w:pos="9016"/>
            </w:tabs>
            <w:rPr>
              <w:rFonts w:ascii="Arial" w:eastAsiaTheme="minorEastAsia" w:hAnsi="Arial" w:cs="Arial"/>
              <w:noProof/>
              <w:lang w:eastAsia="en-IN"/>
            </w:rPr>
          </w:pPr>
          <w:hyperlink w:anchor="_Toc235785117" w:history="1">
            <w:r w:rsidRPr="00936FE8">
              <w:rPr>
                <w:rStyle w:val="Hyperlink"/>
                <w:rFonts w:ascii="Arial" w:hAnsi="Arial" w:cs="Arial"/>
                <w:noProof/>
              </w:rPr>
              <w:t>5.2 Critical Evaluation Of AI Output and Quality Assurance</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_Toc235785117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26</w:t>
            </w:r>
            <w:r w:rsidRPr="00936FE8">
              <w:rPr>
                <w:rFonts w:ascii="Arial" w:hAnsi="Arial" w:cs="Arial"/>
                <w:noProof/>
                <w:webHidden/>
              </w:rPr>
              <w:fldChar w:fldCharType="end"/>
            </w:r>
          </w:hyperlink>
        </w:p>
        <w:p w14:paraId="34C66B74" w14:textId="774712FC" w:rsidR="00232CF7" w:rsidRPr="00936FE8" w:rsidRDefault="00232CF7">
          <w:pPr>
            <w:pStyle w:val="TOC2"/>
            <w:tabs>
              <w:tab w:val="right" w:leader="dot" w:pos="9016"/>
            </w:tabs>
            <w:rPr>
              <w:rFonts w:ascii="Arial" w:eastAsiaTheme="minorEastAsia" w:hAnsi="Arial" w:cs="Arial"/>
              <w:noProof/>
              <w:lang w:eastAsia="en-IN"/>
            </w:rPr>
          </w:pPr>
          <w:hyperlink w:anchor="_Toc235785118" w:history="1">
            <w:r w:rsidRPr="00936FE8">
              <w:rPr>
                <w:rStyle w:val="Hyperlink"/>
                <w:rFonts w:ascii="Arial" w:hAnsi="Arial" w:cs="Arial"/>
                <w:noProof/>
              </w:rPr>
              <w:t>5.3 Contribution Analysis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_Toc235785118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27</w:t>
            </w:r>
            <w:r w:rsidRPr="00936FE8">
              <w:rPr>
                <w:rFonts w:ascii="Arial" w:hAnsi="Arial" w:cs="Arial"/>
                <w:noProof/>
                <w:webHidden/>
              </w:rPr>
              <w:fldChar w:fldCharType="end"/>
            </w:r>
          </w:hyperlink>
        </w:p>
        <w:p w14:paraId="3B151104" w14:textId="1435FE65" w:rsidR="00232CF7" w:rsidRPr="00936FE8" w:rsidRDefault="00232CF7">
          <w:pPr>
            <w:pStyle w:val="TOC2"/>
            <w:tabs>
              <w:tab w:val="right" w:leader="dot" w:pos="9016"/>
            </w:tabs>
            <w:rPr>
              <w:rFonts w:ascii="Arial" w:eastAsiaTheme="minorEastAsia" w:hAnsi="Arial" w:cs="Arial"/>
              <w:noProof/>
              <w:lang w:eastAsia="en-IN"/>
            </w:rPr>
          </w:pPr>
          <w:hyperlink w:anchor="_Toc235785119" w:history="1">
            <w:r w:rsidRPr="00936FE8">
              <w:rPr>
                <w:rStyle w:val="Hyperlink"/>
                <w:rFonts w:ascii="Arial" w:hAnsi="Arial" w:cs="Arial"/>
                <w:noProof/>
              </w:rPr>
              <w:t>5.4 Ethical and Professional Reflection</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_Toc235785119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27</w:t>
            </w:r>
            <w:r w:rsidRPr="00936FE8">
              <w:rPr>
                <w:rFonts w:ascii="Arial" w:hAnsi="Arial" w:cs="Arial"/>
                <w:noProof/>
                <w:webHidden/>
              </w:rPr>
              <w:fldChar w:fldCharType="end"/>
            </w:r>
          </w:hyperlink>
        </w:p>
        <w:p w14:paraId="323A920F" w14:textId="53A1E67F" w:rsidR="00232CF7" w:rsidRPr="00936FE8" w:rsidRDefault="00232CF7">
          <w:pPr>
            <w:pStyle w:val="TOC1"/>
            <w:tabs>
              <w:tab w:val="right" w:leader="dot" w:pos="9016"/>
            </w:tabs>
            <w:rPr>
              <w:rFonts w:ascii="Arial" w:eastAsiaTheme="minorEastAsia" w:hAnsi="Arial" w:cs="Arial"/>
              <w:noProof/>
              <w:lang w:eastAsia="en-IN"/>
            </w:rPr>
          </w:pPr>
          <w:hyperlink w:anchor="_Toc235785120" w:history="1">
            <w:r w:rsidRPr="00936FE8">
              <w:rPr>
                <w:rStyle w:val="Hyperlink"/>
                <w:rFonts w:ascii="Arial" w:hAnsi="Arial" w:cs="Arial"/>
                <w:noProof/>
              </w:rPr>
              <w:t>Conclusion</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_Toc235785120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28</w:t>
            </w:r>
            <w:r w:rsidRPr="00936FE8">
              <w:rPr>
                <w:rFonts w:ascii="Arial" w:hAnsi="Arial" w:cs="Arial"/>
                <w:noProof/>
                <w:webHidden/>
              </w:rPr>
              <w:fldChar w:fldCharType="end"/>
            </w:r>
          </w:hyperlink>
        </w:p>
        <w:p w14:paraId="0C02077E" w14:textId="000C6DF9" w:rsidR="00232CF7" w:rsidRPr="00936FE8" w:rsidRDefault="00232CF7">
          <w:pPr>
            <w:pStyle w:val="TOC1"/>
            <w:tabs>
              <w:tab w:val="right" w:leader="dot" w:pos="9016"/>
            </w:tabs>
            <w:rPr>
              <w:rFonts w:ascii="Arial" w:eastAsiaTheme="minorEastAsia" w:hAnsi="Arial" w:cs="Arial"/>
              <w:noProof/>
              <w:lang w:eastAsia="en-IN"/>
            </w:rPr>
          </w:pPr>
          <w:hyperlink w:anchor="_Toc235785121" w:history="1">
            <w:r w:rsidRPr="00936FE8">
              <w:rPr>
                <w:rStyle w:val="Hyperlink"/>
                <w:rFonts w:ascii="Arial" w:hAnsi="Arial" w:cs="Arial"/>
                <w:noProof/>
              </w:rPr>
              <w:t>References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_Toc235785121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29</w:t>
            </w:r>
            <w:r w:rsidRPr="00936FE8">
              <w:rPr>
                <w:rFonts w:ascii="Arial" w:hAnsi="Arial" w:cs="Arial"/>
                <w:noProof/>
                <w:webHidden/>
              </w:rPr>
              <w:fldChar w:fldCharType="end"/>
            </w:r>
          </w:hyperlink>
        </w:p>
        <w:p w14:paraId="44E62F89" w14:textId="730B02DB" w:rsidR="00232CF7" w:rsidRPr="00936FE8" w:rsidRDefault="00232CF7">
          <w:pPr>
            <w:pStyle w:val="TOC1"/>
            <w:tabs>
              <w:tab w:val="right" w:leader="dot" w:pos="9016"/>
            </w:tabs>
            <w:rPr>
              <w:rFonts w:ascii="Arial" w:eastAsiaTheme="minorEastAsia" w:hAnsi="Arial" w:cs="Arial"/>
              <w:noProof/>
              <w:lang w:eastAsia="en-IN"/>
            </w:rPr>
          </w:pPr>
          <w:hyperlink w:anchor="_Toc235785122" w:history="1">
            <w:r w:rsidRPr="00936FE8">
              <w:rPr>
                <w:rStyle w:val="Hyperlink"/>
                <w:rFonts w:ascii="Arial" w:hAnsi="Arial" w:cs="Arial"/>
                <w:noProof/>
              </w:rPr>
              <w:t>Appendix: Financial Ratio Tables and Graphical Trends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_Toc235785122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31</w:t>
            </w:r>
            <w:r w:rsidRPr="00936FE8">
              <w:rPr>
                <w:rFonts w:ascii="Arial" w:hAnsi="Arial" w:cs="Arial"/>
                <w:noProof/>
                <w:webHidden/>
              </w:rPr>
              <w:fldChar w:fldCharType="end"/>
            </w:r>
          </w:hyperlink>
        </w:p>
        <w:p w14:paraId="4DBA6E8A" w14:textId="381C1ECC" w:rsidR="00232CF7" w:rsidRPr="00936FE8" w:rsidRDefault="00232CF7">
          <w:pPr>
            <w:pStyle w:val="TOC1"/>
            <w:tabs>
              <w:tab w:val="right" w:leader="dot" w:pos="9016"/>
            </w:tabs>
            <w:rPr>
              <w:rFonts w:ascii="Arial" w:eastAsiaTheme="minorEastAsia" w:hAnsi="Arial" w:cs="Arial"/>
              <w:noProof/>
              <w:lang w:eastAsia="en-IN"/>
            </w:rPr>
          </w:pPr>
          <w:hyperlink w:anchor="_Toc235785123" w:history="1">
            <w:r w:rsidRPr="00936FE8">
              <w:rPr>
                <w:rStyle w:val="Hyperlink"/>
                <w:rFonts w:ascii="Arial" w:hAnsi="Arial" w:cs="Arial"/>
                <w:noProof/>
              </w:rPr>
              <w:t>Appendix 2: Investment appraisal calculations</w:t>
            </w:r>
            <w:r w:rsidRPr="00936FE8">
              <w:rPr>
                <w:rFonts w:ascii="Arial" w:hAnsi="Arial" w:cs="Arial"/>
                <w:noProof/>
                <w:webHidden/>
              </w:rPr>
              <w:tab/>
            </w:r>
            <w:r w:rsidRPr="00936FE8">
              <w:rPr>
                <w:rFonts w:ascii="Arial" w:hAnsi="Arial" w:cs="Arial"/>
                <w:noProof/>
                <w:webHidden/>
              </w:rPr>
              <w:fldChar w:fldCharType="begin"/>
            </w:r>
            <w:r w:rsidRPr="00936FE8">
              <w:rPr>
                <w:rFonts w:ascii="Arial" w:hAnsi="Arial" w:cs="Arial"/>
                <w:noProof/>
                <w:webHidden/>
              </w:rPr>
              <w:instrText xml:space="preserve"> PAGEREF _Toc235785123 \h </w:instrText>
            </w:r>
            <w:r w:rsidRPr="00936FE8">
              <w:rPr>
                <w:rFonts w:ascii="Arial" w:hAnsi="Arial" w:cs="Arial"/>
                <w:noProof/>
                <w:webHidden/>
              </w:rPr>
            </w:r>
            <w:r w:rsidRPr="00936FE8">
              <w:rPr>
                <w:rFonts w:ascii="Arial" w:hAnsi="Arial" w:cs="Arial"/>
                <w:noProof/>
                <w:webHidden/>
              </w:rPr>
              <w:fldChar w:fldCharType="separate"/>
            </w:r>
            <w:r w:rsidR="00936FE8">
              <w:rPr>
                <w:rFonts w:ascii="Arial" w:hAnsi="Arial" w:cs="Arial"/>
                <w:noProof/>
                <w:webHidden/>
              </w:rPr>
              <w:t>35</w:t>
            </w:r>
            <w:r w:rsidRPr="00936FE8">
              <w:rPr>
                <w:rFonts w:ascii="Arial" w:hAnsi="Arial" w:cs="Arial"/>
                <w:noProof/>
                <w:webHidden/>
              </w:rPr>
              <w:fldChar w:fldCharType="end"/>
            </w:r>
          </w:hyperlink>
        </w:p>
        <w:p w14:paraId="3CF8B9E7" w14:textId="042F80D3" w:rsidR="00D7737F" w:rsidRPr="00936FE8" w:rsidRDefault="00D7737F">
          <w:pPr>
            <w:rPr>
              <w:rFonts w:ascii="Arial" w:hAnsi="Arial" w:cs="Arial"/>
            </w:rPr>
          </w:pPr>
          <w:r w:rsidRPr="00936FE8">
            <w:rPr>
              <w:rFonts w:ascii="Arial" w:hAnsi="Arial" w:cs="Arial"/>
              <w:b/>
              <w:bCs/>
              <w:noProof/>
            </w:rPr>
            <w:fldChar w:fldCharType="end"/>
          </w:r>
        </w:p>
      </w:sdtContent>
    </w:sdt>
    <w:p w14:paraId="62497B36" w14:textId="457605A5" w:rsidR="00A12AD1" w:rsidRPr="00936FE8" w:rsidRDefault="00A12AD1" w:rsidP="0054327B">
      <w:pPr>
        <w:spacing w:line="360" w:lineRule="auto"/>
        <w:rPr>
          <w:rFonts w:ascii="Arial" w:hAnsi="Arial" w:cs="Arial"/>
        </w:rPr>
      </w:pPr>
    </w:p>
    <w:p w14:paraId="2E974374" w14:textId="77777777" w:rsidR="00A12AD1" w:rsidRPr="00936FE8" w:rsidRDefault="00A12AD1" w:rsidP="0054327B">
      <w:pPr>
        <w:spacing w:line="360" w:lineRule="auto"/>
        <w:jc w:val="left"/>
        <w:rPr>
          <w:rFonts w:ascii="Arial" w:hAnsi="Arial" w:cs="Arial"/>
        </w:rPr>
      </w:pPr>
      <w:r w:rsidRPr="00936FE8">
        <w:rPr>
          <w:rFonts w:ascii="Arial" w:hAnsi="Arial" w:cs="Arial"/>
        </w:rPr>
        <w:br w:type="page"/>
      </w:r>
    </w:p>
    <w:p w14:paraId="09B7C797" w14:textId="1DF76EBE" w:rsidR="001C60D7" w:rsidRPr="00936FE8" w:rsidRDefault="001C60D7" w:rsidP="00D7737F">
      <w:pPr>
        <w:pStyle w:val="Heading1"/>
        <w:rPr>
          <w:rFonts w:ascii="Arial" w:hAnsi="Arial" w:cs="Arial"/>
        </w:rPr>
      </w:pPr>
      <w:bookmarkStart w:id="0" w:name="_Toc235785088"/>
      <w:r w:rsidRPr="00936FE8">
        <w:rPr>
          <w:rFonts w:ascii="Arial" w:hAnsi="Arial" w:cs="Arial"/>
        </w:rPr>
        <w:lastRenderedPageBreak/>
        <w:t>Introduction</w:t>
      </w:r>
      <w:bookmarkEnd w:id="0"/>
      <w:r w:rsidRPr="00936FE8">
        <w:rPr>
          <w:rFonts w:ascii="Arial" w:hAnsi="Arial" w:cs="Arial"/>
        </w:rPr>
        <w:t xml:space="preserve"> </w:t>
      </w:r>
    </w:p>
    <w:p w14:paraId="5E59F4AA" w14:textId="76D5F81D" w:rsidR="001C60D7" w:rsidRPr="00936FE8" w:rsidRDefault="001C60D7" w:rsidP="0054327B">
      <w:pPr>
        <w:spacing w:line="360" w:lineRule="auto"/>
        <w:rPr>
          <w:rFonts w:ascii="Arial" w:hAnsi="Arial" w:cs="Arial"/>
        </w:rPr>
      </w:pPr>
      <w:r w:rsidRPr="00936FE8">
        <w:rPr>
          <w:rFonts w:ascii="Arial" w:hAnsi="Arial" w:cs="Arial"/>
        </w:rPr>
        <w:t xml:space="preserve">This report presents the critical financial assessment of Travelodge, which is operating as Thame and London Limited. It will evaluate the corporate health of the company from FY2021/22 to FY2025/26. Through the use of the in-depth analysis of the liquidity positions, profitability margins, working capital cycles and capital gearing structures, the evaluation details how the budget hospitality group maintains the stability despite the structural cost inflation and high IFRS 16 lease leverage. Moreover, a rigorous capital budgeting framework examines three competing £50 million projects under the strategic capital rationing, balancing the net present value metrics against the non-financial operational risks to optimise the shareholder value and the long-term business resilience. </w:t>
      </w:r>
    </w:p>
    <w:p w14:paraId="5FDFEE37" w14:textId="6F369F44" w:rsidR="0043106D" w:rsidRPr="00936FE8" w:rsidRDefault="00A12AD1" w:rsidP="00C82762">
      <w:pPr>
        <w:pStyle w:val="Heading1"/>
        <w:numPr>
          <w:ilvl w:val="0"/>
          <w:numId w:val="11"/>
        </w:numPr>
        <w:rPr>
          <w:rFonts w:ascii="Arial" w:hAnsi="Arial" w:cs="Arial"/>
        </w:rPr>
      </w:pPr>
      <w:bookmarkStart w:id="1" w:name="_Toc235785089"/>
      <w:r w:rsidRPr="00936FE8">
        <w:rPr>
          <w:rFonts w:ascii="Arial" w:hAnsi="Arial" w:cs="Arial"/>
        </w:rPr>
        <w:t>Financial Health Check</w:t>
      </w:r>
      <w:bookmarkEnd w:id="1"/>
      <w:r w:rsidRPr="00936FE8">
        <w:rPr>
          <w:rFonts w:ascii="Arial" w:hAnsi="Arial" w:cs="Arial"/>
        </w:rPr>
        <w:t xml:space="preserve"> </w:t>
      </w:r>
    </w:p>
    <w:tbl>
      <w:tblPr>
        <w:tblStyle w:val="TableGrid"/>
        <w:tblW w:w="0" w:type="auto"/>
        <w:tblLook w:val="04A0" w:firstRow="1" w:lastRow="0" w:firstColumn="1" w:lastColumn="0" w:noHBand="0" w:noVBand="1"/>
      </w:tblPr>
      <w:tblGrid>
        <w:gridCol w:w="3261"/>
        <w:gridCol w:w="1151"/>
        <w:gridCol w:w="1151"/>
        <w:gridCol w:w="1151"/>
        <w:gridCol w:w="1151"/>
        <w:gridCol w:w="1151"/>
      </w:tblGrid>
      <w:tr w:rsidR="0043106D" w:rsidRPr="00936FE8" w14:paraId="0D0CF86E" w14:textId="77777777" w:rsidTr="0043106D">
        <w:tc>
          <w:tcPr>
            <w:tcW w:w="0" w:type="auto"/>
            <w:hideMark/>
          </w:tcPr>
          <w:p w14:paraId="2A689FD4" w14:textId="77777777" w:rsidR="0043106D" w:rsidRPr="00936FE8" w:rsidRDefault="0043106D" w:rsidP="0043106D">
            <w:pPr>
              <w:spacing w:after="160" w:line="278" w:lineRule="auto"/>
              <w:rPr>
                <w:rFonts w:ascii="Arial" w:hAnsi="Arial" w:cs="Arial"/>
              </w:rPr>
            </w:pPr>
            <w:r w:rsidRPr="00936FE8">
              <w:rPr>
                <w:rFonts w:ascii="Arial" w:hAnsi="Arial" w:cs="Arial"/>
                <w:b/>
                <w:bCs/>
              </w:rPr>
              <w:t>Statement Dimension (£m)</w:t>
            </w:r>
          </w:p>
        </w:tc>
        <w:tc>
          <w:tcPr>
            <w:tcW w:w="0" w:type="auto"/>
            <w:hideMark/>
          </w:tcPr>
          <w:p w14:paraId="0AC85891" w14:textId="77777777" w:rsidR="0043106D" w:rsidRPr="00936FE8" w:rsidRDefault="0043106D" w:rsidP="0043106D">
            <w:pPr>
              <w:spacing w:after="160" w:line="278" w:lineRule="auto"/>
              <w:rPr>
                <w:rFonts w:ascii="Arial" w:hAnsi="Arial" w:cs="Arial"/>
              </w:rPr>
            </w:pPr>
            <w:r w:rsidRPr="00936FE8">
              <w:rPr>
                <w:rFonts w:ascii="Arial" w:hAnsi="Arial" w:cs="Arial"/>
                <w:b/>
                <w:bCs/>
              </w:rPr>
              <w:t>FY21/22</w:t>
            </w:r>
          </w:p>
        </w:tc>
        <w:tc>
          <w:tcPr>
            <w:tcW w:w="0" w:type="auto"/>
            <w:hideMark/>
          </w:tcPr>
          <w:p w14:paraId="42FA7044" w14:textId="77777777" w:rsidR="0043106D" w:rsidRPr="00936FE8" w:rsidRDefault="0043106D" w:rsidP="0043106D">
            <w:pPr>
              <w:spacing w:after="160" w:line="278" w:lineRule="auto"/>
              <w:rPr>
                <w:rFonts w:ascii="Arial" w:hAnsi="Arial" w:cs="Arial"/>
              </w:rPr>
            </w:pPr>
            <w:r w:rsidRPr="00936FE8">
              <w:rPr>
                <w:rFonts w:ascii="Arial" w:hAnsi="Arial" w:cs="Arial"/>
                <w:b/>
                <w:bCs/>
              </w:rPr>
              <w:t>FY22/23</w:t>
            </w:r>
          </w:p>
        </w:tc>
        <w:tc>
          <w:tcPr>
            <w:tcW w:w="0" w:type="auto"/>
            <w:hideMark/>
          </w:tcPr>
          <w:p w14:paraId="1CB1C662" w14:textId="77777777" w:rsidR="0043106D" w:rsidRPr="00936FE8" w:rsidRDefault="0043106D" w:rsidP="0043106D">
            <w:pPr>
              <w:spacing w:after="160" w:line="278" w:lineRule="auto"/>
              <w:rPr>
                <w:rFonts w:ascii="Arial" w:hAnsi="Arial" w:cs="Arial"/>
              </w:rPr>
            </w:pPr>
            <w:r w:rsidRPr="00936FE8">
              <w:rPr>
                <w:rFonts w:ascii="Arial" w:hAnsi="Arial" w:cs="Arial"/>
                <w:b/>
                <w:bCs/>
              </w:rPr>
              <w:t>FY23/24</w:t>
            </w:r>
          </w:p>
        </w:tc>
        <w:tc>
          <w:tcPr>
            <w:tcW w:w="0" w:type="auto"/>
            <w:hideMark/>
          </w:tcPr>
          <w:p w14:paraId="6B1463BB" w14:textId="77777777" w:rsidR="0043106D" w:rsidRPr="00936FE8" w:rsidRDefault="0043106D" w:rsidP="0043106D">
            <w:pPr>
              <w:spacing w:after="160" w:line="278" w:lineRule="auto"/>
              <w:rPr>
                <w:rFonts w:ascii="Arial" w:hAnsi="Arial" w:cs="Arial"/>
              </w:rPr>
            </w:pPr>
            <w:r w:rsidRPr="00936FE8">
              <w:rPr>
                <w:rFonts w:ascii="Arial" w:hAnsi="Arial" w:cs="Arial"/>
                <w:b/>
                <w:bCs/>
              </w:rPr>
              <w:t>FY24/25</w:t>
            </w:r>
          </w:p>
        </w:tc>
        <w:tc>
          <w:tcPr>
            <w:tcW w:w="0" w:type="auto"/>
            <w:hideMark/>
          </w:tcPr>
          <w:p w14:paraId="0842FDBD" w14:textId="77777777" w:rsidR="0043106D" w:rsidRPr="00936FE8" w:rsidRDefault="0043106D" w:rsidP="0043106D">
            <w:pPr>
              <w:spacing w:after="160" w:line="278" w:lineRule="auto"/>
              <w:rPr>
                <w:rFonts w:ascii="Arial" w:hAnsi="Arial" w:cs="Arial"/>
              </w:rPr>
            </w:pPr>
            <w:r w:rsidRPr="00936FE8">
              <w:rPr>
                <w:rFonts w:ascii="Arial" w:hAnsi="Arial" w:cs="Arial"/>
                <w:b/>
                <w:bCs/>
              </w:rPr>
              <w:t>FY25/26</w:t>
            </w:r>
          </w:p>
        </w:tc>
      </w:tr>
      <w:tr w:rsidR="0043106D" w:rsidRPr="00936FE8" w14:paraId="71E91A8E" w14:textId="77777777" w:rsidTr="0043106D">
        <w:tc>
          <w:tcPr>
            <w:tcW w:w="0" w:type="auto"/>
            <w:hideMark/>
          </w:tcPr>
          <w:p w14:paraId="45A3535A" w14:textId="77777777" w:rsidR="0043106D" w:rsidRPr="00936FE8" w:rsidRDefault="0043106D" w:rsidP="0043106D">
            <w:pPr>
              <w:spacing w:after="160" w:line="278" w:lineRule="auto"/>
              <w:rPr>
                <w:rFonts w:ascii="Arial" w:hAnsi="Arial" w:cs="Arial"/>
              </w:rPr>
            </w:pPr>
            <w:r w:rsidRPr="00936FE8">
              <w:rPr>
                <w:rFonts w:ascii="Arial" w:hAnsi="Arial" w:cs="Arial"/>
                <w:b/>
                <w:bCs/>
              </w:rPr>
              <w:t>Income Statement</w:t>
            </w:r>
          </w:p>
        </w:tc>
        <w:tc>
          <w:tcPr>
            <w:tcW w:w="0" w:type="auto"/>
            <w:hideMark/>
          </w:tcPr>
          <w:p w14:paraId="25C170CC" w14:textId="77777777" w:rsidR="0043106D" w:rsidRPr="00936FE8" w:rsidRDefault="0043106D" w:rsidP="0043106D">
            <w:pPr>
              <w:spacing w:after="160" w:line="278" w:lineRule="auto"/>
              <w:rPr>
                <w:rFonts w:ascii="Arial" w:hAnsi="Arial" w:cs="Arial"/>
              </w:rPr>
            </w:pPr>
          </w:p>
        </w:tc>
        <w:tc>
          <w:tcPr>
            <w:tcW w:w="0" w:type="auto"/>
            <w:hideMark/>
          </w:tcPr>
          <w:p w14:paraId="0911186E" w14:textId="77777777" w:rsidR="0043106D" w:rsidRPr="00936FE8" w:rsidRDefault="0043106D" w:rsidP="0043106D">
            <w:pPr>
              <w:spacing w:after="160" w:line="278" w:lineRule="auto"/>
              <w:rPr>
                <w:rFonts w:ascii="Arial" w:hAnsi="Arial" w:cs="Arial"/>
              </w:rPr>
            </w:pPr>
          </w:p>
        </w:tc>
        <w:tc>
          <w:tcPr>
            <w:tcW w:w="0" w:type="auto"/>
            <w:hideMark/>
          </w:tcPr>
          <w:p w14:paraId="6FE2F106" w14:textId="77777777" w:rsidR="0043106D" w:rsidRPr="00936FE8" w:rsidRDefault="0043106D" w:rsidP="0043106D">
            <w:pPr>
              <w:spacing w:after="160" w:line="278" w:lineRule="auto"/>
              <w:rPr>
                <w:rFonts w:ascii="Arial" w:hAnsi="Arial" w:cs="Arial"/>
              </w:rPr>
            </w:pPr>
          </w:p>
        </w:tc>
        <w:tc>
          <w:tcPr>
            <w:tcW w:w="0" w:type="auto"/>
            <w:hideMark/>
          </w:tcPr>
          <w:p w14:paraId="704574CE" w14:textId="77777777" w:rsidR="0043106D" w:rsidRPr="00936FE8" w:rsidRDefault="0043106D" w:rsidP="0043106D">
            <w:pPr>
              <w:spacing w:after="160" w:line="278" w:lineRule="auto"/>
              <w:rPr>
                <w:rFonts w:ascii="Arial" w:hAnsi="Arial" w:cs="Arial"/>
              </w:rPr>
            </w:pPr>
          </w:p>
        </w:tc>
        <w:tc>
          <w:tcPr>
            <w:tcW w:w="0" w:type="auto"/>
            <w:hideMark/>
          </w:tcPr>
          <w:p w14:paraId="339EE5F8" w14:textId="77777777" w:rsidR="0043106D" w:rsidRPr="00936FE8" w:rsidRDefault="0043106D" w:rsidP="0043106D">
            <w:pPr>
              <w:spacing w:after="160" w:line="278" w:lineRule="auto"/>
              <w:rPr>
                <w:rFonts w:ascii="Arial" w:hAnsi="Arial" w:cs="Arial"/>
              </w:rPr>
            </w:pPr>
          </w:p>
        </w:tc>
      </w:tr>
      <w:tr w:rsidR="0043106D" w:rsidRPr="00936FE8" w14:paraId="49BEA74C" w14:textId="77777777" w:rsidTr="0043106D">
        <w:tc>
          <w:tcPr>
            <w:tcW w:w="0" w:type="auto"/>
            <w:hideMark/>
          </w:tcPr>
          <w:p w14:paraId="16ACB406" w14:textId="77777777" w:rsidR="0043106D" w:rsidRPr="00936FE8" w:rsidRDefault="0043106D" w:rsidP="0043106D">
            <w:pPr>
              <w:spacing w:after="160" w:line="278" w:lineRule="auto"/>
              <w:rPr>
                <w:rFonts w:ascii="Arial" w:hAnsi="Arial" w:cs="Arial"/>
              </w:rPr>
            </w:pPr>
            <w:r w:rsidRPr="00936FE8">
              <w:rPr>
                <w:rFonts w:ascii="Arial" w:hAnsi="Arial" w:cs="Arial"/>
              </w:rPr>
              <w:t>Total Revenue</w:t>
            </w:r>
          </w:p>
        </w:tc>
        <w:tc>
          <w:tcPr>
            <w:tcW w:w="0" w:type="auto"/>
            <w:hideMark/>
          </w:tcPr>
          <w:p w14:paraId="7A82F629" w14:textId="77777777" w:rsidR="0043106D" w:rsidRPr="00936FE8" w:rsidRDefault="0043106D" w:rsidP="0043106D">
            <w:pPr>
              <w:spacing w:after="160" w:line="278" w:lineRule="auto"/>
              <w:rPr>
                <w:rFonts w:ascii="Arial" w:hAnsi="Arial" w:cs="Arial"/>
              </w:rPr>
            </w:pPr>
            <w:r w:rsidRPr="00936FE8">
              <w:rPr>
                <w:rFonts w:ascii="Arial" w:hAnsi="Arial" w:cs="Arial"/>
              </w:rPr>
              <w:t>£559.7</w:t>
            </w:r>
          </w:p>
        </w:tc>
        <w:tc>
          <w:tcPr>
            <w:tcW w:w="0" w:type="auto"/>
            <w:hideMark/>
          </w:tcPr>
          <w:p w14:paraId="0D2A74A4" w14:textId="77777777" w:rsidR="0043106D" w:rsidRPr="00936FE8" w:rsidRDefault="0043106D" w:rsidP="0043106D">
            <w:pPr>
              <w:spacing w:after="160" w:line="278" w:lineRule="auto"/>
              <w:rPr>
                <w:rFonts w:ascii="Arial" w:hAnsi="Arial" w:cs="Arial"/>
              </w:rPr>
            </w:pPr>
            <w:r w:rsidRPr="00936FE8">
              <w:rPr>
                <w:rFonts w:ascii="Arial" w:hAnsi="Arial" w:cs="Arial"/>
              </w:rPr>
              <w:t>£910.8</w:t>
            </w:r>
          </w:p>
        </w:tc>
        <w:tc>
          <w:tcPr>
            <w:tcW w:w="0" w:type="auto"/>
            <w:hideMark/>
          </w:tcPr>
          <w:p w14:paraId="30C960DD" w14:textId="77777777" w:rsidR="0043106D" w:rsidRPr="00936FE8" w:rsidRDefault="0043106D" w:rsidP="0043106D">
            <w:pPr>
              <w:spacing w:after="160" w:line="278" w:lineRule="auto"/>
              <w:rPr>
                <w:rFonts w:ascii="Arial" w:hAnsi="Arial" w:cs="Arial"/>
              </w:rPr>
            </w:pPr>
            <w:r w:rsidRPr="00936FE8">
              <w:rPr>
                <w:rFonts w:ascii="Arial" w:hAnsi="Arial" w:cs="Arial"/>
              </w:rPr>
              <w:t>£1,035.2</w:t>
            </w:r>
          </w:p>
        </w:tc>
        <w:tc>
          <w:tcPr>
            <w:tcW w:w="0" w:type="auto"/>
            <w:hideMark/>
          </w:tcPr>
          <w:p w14:paraId="3895DB59" w14:textId="77777777" w:rsidR="0043106D" w:rsidRPr="00936FE8" w:rsidRDefault="0043106D" w:rsidP="0043106D">
            <w:pPr>
              <w:spacing w:after="160" w:line="278" w:lineRule="auto"/>
              <w:rPr>
                <w:rFonts w:ascii="Arial" w:hAnsi="Arial" w:cs="Arial"/>
              </w:rPr>
            </w:pPr>
            <w:r w:rsidRPr="00936FE8">
              <w:rPr>
                <w:rFonts w:ascii="Arial" w:hAnsi="Arial" w:cs="Arial"/>
              </w:rPr>
              <w:t>£1,036.6</w:t>
            </w:r>
          </w:p>
        </w:tc>
        <w:tc>
          <w:tcPr>
            <w:tcW w:w="0" w:type="auto"/>
            <w:hideMark/>
          </w:tcPr>
          <w:p w14:paraId="680CAFBC" w14:textId="77777777" w:rsidR="0043106D" w:rsidRPr="00936FE8" w:rsidRDefault="0043106D" w:rsidP="0043106D">
            <w:pPr>
              <w:spacing w:after="160" w:line="278" w:lineRule="auto"/>
              <w:rPr>
                <w:rFonts w:ascii="Arial" w:hAnsi="Arial" w:cs="Arial"/>
              </w:rPr>
            </w:pPr>
            <w:r w:rsidRPr="00936FE8">
              <w:rPr>
                <w:rFonts w:ascii="Arial" w:hAnsi="Arial" w:cs="Arial"/>
              </w:rPr>
              <w:t>£1,044.3</w:t>
            </w:r>
          </w:p>
        </w:tc>
      </w:tr>
      <w:tr w:rsidR="0043106D" w:rsidRPr="00936FE8" w14:paraId="4EE734BE" w14:textId="77777777" w:rsidTr="0043106D">
        <w:tc>
          <w:tcPr>
            <w:tcW w:w="0" w:type="auto"/>
            <w:hideMark/>
          </w:tcPr>
          <w:p w14:paraId="3224ECF2" w14:textId="77777777" w:rsidR="0043106D" w:rsidRPr="00936FE8" w:rsidRDefault="0043106D" w:rsidP="0043106D">
            <w:pPr>
              <w:spacing w:after="160" w:line="278" w:lineRule="auto"/>
              <w:rPr>
                <w:rFonts w:ascii="Arial" w:hAnsi="Arial" w:cs="Arial"/>
              </w:rPr>
            </w:pPr>
            <w:r w:rsidRPr="00936FE8">
              <w:rPr>
                <w:rFonts w:ascii="Arial" w:hAnsi="Arial" w:cs="Arial"/>
              </w:rPr>
              <w:t>Gross Profit</w:t>
            </w:r>
          </w:p>
        </w:tc>
        <w:tc>
          <w:tcPr>
            <w:tcW w:w="0" w:type="auto"/>
            <w:hideMark/>
          </w:tcPr>
          <w:p w14:paraId="4DA2CDB0" w14:textId="77777777" w:rsidR="0043106D" w:rsidRPr="00936FE8" w:rsidRDefault="0043106D" w:rsidP="0043106D">
            <w:pPr>
              <w:spacing w:after="160" w:line="278" w:lineRule="auto"/>
              <w:rPr>
                <w:rFonts w:ascii="Arial" w:hAnsi="Arial" w:cs="Arial"/>
              </w:rPr>
            </w:pPr>
            <w:r w:rsidRPr="00936FE8">
              <w:rPr>
                <w:rFonts w:ascii="Arial" w:hAnsi="Arial" w:cs="Arial"/>
              </w:rPr>
              <w:t>£185.3</w:t>
            </w:r>
          </w:p>
        </w:tc>
        <w:tc>
          <w:tcPr>
            <w:tcW w:w="0" w:type="auto"/>
            <w:hideMark/>
          </w:tcPr>
          <w:p w14:paraId="79B9C79A" w14:textId="77777777" w:rsidR="0043106D" w:rsidRPr="00936FE8" w:rsidRDefault="0043106D" w:rsidP="0043106D">
            <w:pPr>
              <w:spacing w:after="160" w:line="278" w:lineRule="auto"/>
              <w:rPr>
                <w:rFonts w:ascii="Arial" w:hAnsi="Arial" w:cs="Arial"/>
              </w:rPr>
            </w:pPr>
            <w:r w:rsidRPr="00936FE8">
              <w:rPr>
                <w:rFonts w:ascii="Arial" w:hAnsi="Arial" w:cs="Arial"/>
              </w:rPr>
              <w:t>£345.2</w:t>
            </w:r>
          </w:p>
        </w:tc>
        <w:tc>
          <w:tcPr>
            <w:tcW w:w="0" w:type="auto"/>
            <w:hideMark/>
          </w:tcPr>
          <w:p w14:paraId="672B6A03" w14:textId="77777777" w:rsidR="0043106D" w:rsidRPr="00936FE8" w:rsidRDefault="0043106D" w:rsidP="0043106D">
            <w:pPr>
              <w:spacing w:after="160" w:line="278" w:lineRule="auto"/>
              <w:rPr>
                <w:rFonts w:ascii="Arial" w:hAnsi="Arial" w:cs="Arial"/>
              </w:rPr>
            </w:pPr>
            <w:r w:rsidRPr="00936FE8">
              <w:rPr>
                <w:rFonts w:ascii="Arial" w:hAnsi="Arial" w:cs="Arial"/>
              </w:rPr>
              <w:t>£415.8</w:t>
            </w:r>
          </w:p>
        </w:tc>
        <w:tc>
          <w:tcPr>
            <w:tcW w:w="0" w:type="auto"/>
            <w:hideMark/>
          </w:tcPr>
          <w:p w14:paraId="078ED3BA" w14:textId="77777777" w:rsidR="0043106D" w:rsidRPr="00936FE8" w:rsidRDefault="0043106D" w:rsidP="0043106D">
            <w:pPr>
              <w:spacing w:after="160" w:line="278" w:lineRule="auto"/>
              <w:rPr>
                <w:rFonts w:ascii="Arial" w:hAnsi="Arial" w:cs="Arial"/>
              </w:rPr>
            </w:pPr>
            <w:r w:rsidRPr="00936FE8">
              <w:rPr>
                <w:rFonts w:ascii="Arial" w:hAnsi="Arial" w:cs="Arial"/>
              </w:rPr>
              <w:t>£412.0</w:t>
            </w:r>
          </w:p>
        </w:tc>
        <w:tc>
          <w:tcPr>
            <w:tcW w:w="0" w:type="auto"/>
            <w:hideMark/>
          </w:tcPr>
          <w:p w14:paraId="0D5D49DC" w14:textId="77777777" w:rsidR="0043106D" w:rsidRPr="00936FE8" w:rsidRDefault="0043106D" w:rsidP="0043106D">
            <w:pPr>
              <w:spacing w:after="160" w:line="278" w:lineRule="auto"/>
              <w:rPr>
                <w:rFonts w:ascii="Arial" w:hAnsi="Arial" w:cs="Arial"/>
              </w:rPr>
            </w:pPr>
            <w:r w:rsidRPr="00936FE8">
              <w:rPr>
                <w:rFonts w:ascii="Arial" w:hAnsi="Arial" w:cs="Arial"/>
              </w:rPr>
              <w:t>£380.2</w:t>
            </w:r>
          </w:p>
        </w:tc>
      </w:tr>
      <w:tr w:rsidR="0043106D" w:rsidRPr="00936FE8" w14:paraId="3563CD50" w14:textId="77777777" w:rsidTr="0043106D">
        <w:tc>
          <w:tcPr>
            <w:tcW w:w="0" w:type="auto"/>
            <w:hideMark/>
          </w:tcPr>
          <w:p w14:paraId="16DF433A" w14:textId="77777777" w:rsidR="0043106D" w:rsidRPr="00936FE8" w:rsidRDefault="0043106D" w:rsidP="0043106D">
            <w:pPr>
              <w:spacing w:after="160" w:line="278" w:lineRule="auto"/>
              <w:rPr>
                <w:rFonts w:ascii="Arial" w:hAnsi="Arial" w:cs="Arial"/>
              </w:rPr>
            </w:pPr>
            <w:r w:rsidRPr="00936FE8">
              <w:rPr>
                <w:rFonts w:ascii="Arial" w:hAnsi="Arial" w:cs="Arial"/>
              </w:rPr>
              <w:t>Operating Profit</w:t>
            </w:r>
          </w:p>
        </w:tc>
        <w:tc>
          <w:tcPr>
            <w:tcW w:w="0" w:type="auto"/>
            <w:hideMark/>
          </w:tcPr>
          <w:p w14:paraId="0E22D89F" w14:textId="77777777" w:rsidR="0043106D" w:rsidRPr="00936FE8" w:rsidRDefault="0043106D" w:rsidP="0043106D">
            <w:pPr>
              <w:spacing w:after="160" w:line="278" w:lineRule="auto"/>
              <w:rPr>
                <w:rFonts w:ascii="Arial" w:hAnsi="Arial" w:cs="Arial"/>
              </w:rPr>
            </w:pPr>
            <w:r w:rsidRPr="00936FE8">
              <w:rPr>
                <w:rFonts w:ascii="Arial" w:hAnsi="Arial" w:cs="Arial"/>
              </w:rPr>
              <w:t>£53.2</w:t>
            </w:r>
          </w:p>
        </w:tc>
        <w:tc>
          <w:tcPr>
            <w:tcW w:w="0" w:type="auto"/>
            <w:hideMark/>
          </w:tcPr>
          <w:p w14:paraId="69DD095A" w14:textId="77777777" w:rsidR="0043106D" w:rsidRPr="00936FE8" w:rsidRDefault="0043106D" w:rsidP="0043106D">
            <w:pPr>
              <w:spacing w:after="160" w:line="278" w:lineRule="auto"/>
              <w:rPr>
                <w:rFonts w:ascii="Arial" w:hAnsi="Arial" w:cs="Arial"/>
              </w:rPr>
            </w:pPr>
            <w:r w:rsidRPr="00936FE8">
              <w:rPr>
                <w:rFonts w:ascii="Arial" w:hAnsi="Arial" w:cs="Arial"/>
              </w:rPr>
              <w:t>£141.6</w:t>
            </w:r>
          </w:p>
        </w:tc>
        <w:tc>
          <w:tcPr>
            <w:tcW w:w="0" w:type="auto"/>
            <w:hideMark/>
          </w:tcPr>
          <w:p w14:paraId="5FBCA75F" w14:textId="77777777" w:rsidR="0043106D" w:rsidRPr="00936FE8" w:rsidRDefault="0043106D" w:rsidP="0043106D">
            <w:pPr>
              <w:spacing w:after="160" w:line="278" w:lineRule="auto"/>
              <w:rPr>
                <w:rFonts w:ascii="Arial" w:hAnsi="Arial" w:cs="Arial"/>
              </w:rPr>
            </w:pPr>
            <w:r w:rsidRPr="00936FE8">
              <w:rPr>
                <w:rFonts w:ascii="Arial" w:hAnsi="Arial" w:cs="Arial"/>
              </w:rPr>
              <w:t>£254.6</w:t>
            </w:r>
          </w:p>
        </w:tc>
        <w:tc>
          <w:tcPr>
            <w:tcW w:w="0" w:type="auto"/>
            <w:hideMark/>
          </w:tcPr>
          <w:p w14:paraId="636DD402" w14:textId="77777777" w:rsidR="0043106D" w:rsidRPr="00936FE8" w:rsidRDefault="0043106D" w:rsidP="0043106D">
            <w:pPr>
              <w:spacing w:after="160" w:line="278" w:lineRule="auto"/>
              <w:rPr>
                <w:rFonts w:ascii="Arial" w:hAnsi="Arial" w:cs="Arial"/>
              </w:rPr>
            </w:pPr>
            <w:r w:rsidRPr="00936FE8">
              <w:rPr>
                <w:rFonts w:ascii="Arial" w:hAnsi="Arial" w:cs="Arial"/>
              </w:rPr>
              <w:t>£268.6</w:t>
            </w:r>
          </w:p>
        </w:tc>
        <w:tc>
          <w:tcPr>
            <w:tcW w:w="0" w:type="auto"/>
            <w:hideMark/>
          </w:tcPr>
          <w:p w14:paraId="076B2B2B" w14:textId="77777777" w:rsidR="0043106D" w:rsidRPr="00936FE8" w:rsidRDefault="0043106D" w:rsidP="0043106D">
            <w:pPr>
              <w:spacing w:after="160" w:line="278" w:lineRule="auto"/>
              <w:rPr>
                <w:rFonts w:ascii="Arial" w:hAnsi="Arial" w:cs="Arial"/>
              </w:rPr>
            </w:pPr>
            <w:r w:rsidRPr="00936FE8">
              <w:rPr>
                <w:rFonts w:ascii="Arial" w:hAnsi="Arial" w:cs="Arial"/>
              </w:rPr>
              <w:t>£228.7</w:t>
            </w:r>
          </w:p>
        </w:tc>
      </w:tr>
      <w:tr w:rsidR="0043106D" w:rsidRPr="00936FE8" w14:paraId="22ADEFF2" w14:textId="77777777" w:rsidTr="0043106D">
        <w:tc>
          <w:tcPr>
            <w:tcW w:w="0" w:type="auto"/>
            <w:hideMark/>
          </w:tcPr>
          <w:p w14:paraId="50C854D9" w14:textId="77777777" w:rsidR="0043106D" w:rsidRPr="00936FE8" w:rsidRDefault="0043106D" w:rsidP="0043106D">
            <w:pPr>
              <w:spacing w:after="160" w:line="278" w:lineRule="auto"/>
              <w:rPr>
                <w:rFonts w:ascii="Arial" w:hAnsi="Arial" w:cs="Arial"/>
              </w:rPr>
            </w:pPr>
            <w:r w:rsidRPr="00936FE8">
              <w:rPr>
                <w:rFonts w:ascii="Arial" w:hAnsi="Arial" w:cs="Arial"/>
              </w:rPr>
              <w:t>Profit / (Loss) for the Year</w:t>
            </w:r>
          </w:p>
        </w:tc>
        <w:tc>
          <w:tcPr>
            <w:tcW w:w="0" w:type="auto"/>
            <w:hideMark/>
          </w:tcPr>
          <w:p w14:paraId="306BDA0E"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12.4)</w:t>
            </w:r>
          </w:p>
        </w:tc>
        <w:tc>
          <w:tcPr>
            <w:tcW w:w="0" w:type="auto"/>
            <w:hideMark/>
          </w:tcPr>
          <w:p w14:paraId="34992108" w14:textId="77777777" w:rsidR="0043106D" w:rsidRPr="00936FE8" w:rsidRDefault="0043106D" w:rsidP="0043106D">
            <w:pPr>
              <w:spacing w:after="160" w:line="278" w:lineRule="auto"/>
              <w:rPr>
                <w:rFonts w:ascii="Arial" w:hAnsi="Arial" w:cs="Arial"/>
              </w:rPr>
            </w:pPr>
            <w:r w:rsidRPr="00936FE8">
              <w:rPr>
                <w:rFonts w:ascii="Arial" w:hAnsi="Arial" w:cs="Arial"/>
              </w:rPr>
              <w:t>£28.5</w:t>
            </w:r>
          </w:p>
        </w:tc>
        <w:tc>
          <w:tcPr>
            <w:tcW w:w="0" w:type="auto"/>
            <w:hideMark/>
          </w:tcPr>
          <w:p w14:paraId="7194F07E" w14:textId="77777777" w:rsidR="0043106D" w:rsidRPr="00936FE8" w:rsidRDefault="0043106D" w:rsidP="0043106D">
            <w:pPr>
              <w:spacing w:after="160" w:line="278" w:lineRule="auto"/>
              <w:rPr>
                <w:rFonts w:ascii="Arial" w:hAnsi="Arial" w:cs="Arial"/>
              </w:rPr>
            </w:pPr>
            <w:r w:rsidRPr="00936FE8">
              <w:rPr>
                <w:rFonts w:ascii="Arial" w:hAnsi="Arial" w:cs="Arial"/>
              </w:rPr>
              <w:t>£52.1</w:t>
            </w:r>
          </w:p>
        </w:tc>
        <w:tc>
          <w:tcPr>
            <w:tcW w:w="0" w:type="auto"/>
            <w:hideMark/>
          </w:tcPr>
          <w:p w14:paraId="79DB01A3"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6.7)</w:t>
            </w:r>
          </w:p>
        </w:tc>
        <w:tc>
          <w:tcPr>
            <w:tcW w:w="0" w:type="auto"/>
            <w:hideMark/>
          </w:tcPr>
          <w:p w14:paraId="61DAD1C2"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70.1)</w:t>
            </w:r>
          </w:p>
        </w:tc>
      </w:tr>
      <w:tr w:rsidR="0043106D" w:rsidRPr="00936FE8" w14:paraId="0640FED5" w14:textId="77777777" w:rsidTr="0043106D">
        <w:tc>
          <w:tcPr>
            <w:tcW w:w="0" w:type="auto"/>
            <w:hideMark/>
          </w:tcPr>
          <w:p w14:paraId="05DAE30C" w14:textId="77777777" w:rsidR="0043106D" w:rsidRPr="00936FE8" w:rsidRDefault="0043106D" w:rsidP="0043106D">
            <w:pPr>
              <w:spacing w:after="160" w:line="278" w:lineRule="auto"/>
              <w:rPr>
                <w:rFonts w:ascii="Arial" w:hAnsi="Arial" w:cs="Arial"/>
              </w:rPr>
            </w:pPr>
            <w:r w:rsidRPr="00936FE8">
              <w:rPr>
                <w:rFonts w:ascii="Arial" w:hAnsi="Arial" w:cs="Arial"/>
                <w:b/>
                <w:bCs/>
              </w:rPr>
              <w:t>Statement of Financial Position</w:t>
            </w:r>
          </w:p>
        </w:tc>
        <w:tc>
          <w:tcPr>
            <w:tcW w:w="0" w:type="auto"/>
            <w:hideMark/>
          </w:tcPr>
          <w:p w14:paraId="3944E574" w14:textId="77777777" w:rsidR="0043106D" w:rsidRPr="00936FE8" w:rsidRDefault="0043106D" w:rsidP="0043106D">
            <w:pPr>
              <w:spacing w:after="160" w:line="278" w:lineRule="auto"/>
              <w:rPr>
                <w:rFonts w:ascii="Arial" w:hAnsi="Arial" w:cs="Arial"/>
              </w:rPr>
            </w:pPr>
          </w:p>
        </w:tc>
        <w:tc>
          <w:tcPr>
            <w:tcW w:w="0" w:type="auto"/>
            <w:hideMark/>
          </w:tcPr>
          <w:p w14:paraId="23235F6B" w14:textId="77777777" w:rsidR="0043106D" w:rsidRPr="00936FE8" w:rsidRDefault="0043106D" w:rsidP="0043106D">
            <w:pPr>
              <w:spacing w:after="160" w:line="278" w:lineRule="auto"/>
              <w:rPr>
                <w:rFonts w:ascii="Arial" w:hAnsi="Arial" w:cs="Arial"/>
              </w:rPr>
            </w:pPr>
          </w:p>
        </w:tc>
        <w:tc>
          <w:tcPr>
            <w:tcW w:w="0" w:type="auto"/>
            <w:hideMark/>
          </w:tcPr>
          <w:p w14:paraId="1F106244" w14:textId="77777777" w:rsidR="0043106D" w:rsidRPr="00936FE8" w:rsidRDefault="0043106D" w:rsidP="0043106D">
            <w:pPr>
              <w:spacing w:after="160" w:line="278" w:lineRule="auto"/>
              <w:rPr>
                <w:rFonts w:ascii="Arial" w:hAnsi="Arial" w:cs="Arial"/>
              </w:rPr>
            </w:pPr>
          </w:p>
        </w:tc>
        <w:tc>
          <w:tcPr>
            <w:tcW w:w="0" w:type="auto"/>
            <w:hideMark/>
          </w:tcPr>
          <w:p w14:paraId="52968EBD" w14:textId="77777777" w:rsidR="0043106D" w:rsidRPr="00936FE8" w:rsidRDefault="0043106D" w:rsidP="0043106D">
            <w:pPr>
              <w:spacing w:after="160" w:line="278" w:lineRule="auto"/>
              <w:rPr>
                <w:rFonts w:ascii="Arial" w:hAnsi="Arial" w:cs="Arial"/>
              </w:rPr>
            </w:pPr>
          </w:p>
        </w:tc>
        <w:tc>
          <w:tcPr>
            <w:tcW w:w="0" w:type="auto"/>
            <w:hideMark/>
          </w:tcPr>
          <w:p w14:paraId="74EEBFCD" w14:textId="77777777" w:rsidR="0043106D" w:rsidRPr="00936FE8" w:rsidRDefault="0043106D" w:rsidP="0043106D">
            <w:pPr>
              <w:spacing w:after="160" w:line="278" w:lineRule="auto"/>
              <w:rPr>
                <w:rFonts w:ascii="Arial" w:hAnsi="Arial" w:cs="Arial"/>
              </w:rPr>
            </w:pPr>
          </w:p>
        </w:tc>
      </w:tr>
      <w:tr w:rsidR="0043106D" w:rsidRPr="00936FE8" w14:paraId="1734A22E" w14:textId="77777777" w:rsidTr="0043106D">
        <w:tc>
          <w:tcPr>
            <w:tcW w:w="0" w:type="auto"/>
            <w:hideMark/>
          </w:tcPr>
          <w:p w14:paraId="067CDF77" w14:textId="77777777" w:rsidR="0043106D" w:rsidRPr="00936FE8" w:rsidRDefault="0043106D" w:rsidP="0043106D">
            <w:pPr>
              <w:spacing w:after="160" w:line="278" w:lineRule="auto"/>
              <w:rPr>
                <w:rFonts w:ascii="Arial" w:hAnsi="Arial" w:cs="Arial"/>
              </w:rPr>
            </w:pPr>
            <w:r w:rsidRPr="00936FE8">
              <w:rPr>
                <w:rFonts w:ascii="Arial" w:hAnsi="Arial" w:cs="Arial"/>
              </w:rPr>
              <w:t>Total Non-Current Assets</w:t>
            </w:r>
          </w:p>
        </w:tc>
        <w:tc>
          <w:tcPr>
            <w:tcW w:w="0" w:type="auto"/>
            <w:hideMark/>
          </w:tcPr>
          <w:p w14:paraId="7F95808A" w14:textId="77777777" w:rsidR="0043106D" w:rsidRPr="00936FE8" w:rsidRDefault="0043106D" w:rsidP="0043106D">
            <w:pPr>
              <w:spacing w:after="160" w:line="278" w:lineRule="auto"/>
              <w:rPr>
                <w:rFonts w:ascii="Arial" w:hAnsi="Arial" w:cs="Arial"/>
              </w:rPr>
            </w:pPr>
            <w:r w:rsidRPr="00936FE8">
              <w:rPr>
                <w:rFonts w:ascii="Arial" w:hAnsi="Arial" w:cs="Arial"/>
              </w:rPr>
              <w:t>£2,150.2</w:t>
            </w:r>
          </w:p>
        </w:tc>
        <w:tc>
          <w:tcPr>
            <w:tcW w:w="0" w:type="auto"/>
            <w:hideMark/>
          </w:tcPr>
          <w:p w14:paraId="257123B2" w14:textId="77777777" w:rsidR="0043106D" w:rsidRPr="00936FE8" w:rsidRDefault="0043106D" w:rsidP="0043106D">
            <w:pPr>
              <w:spacing w:after="160" w:line="278" w:lineRule="auto"/>
              <w:rPr>
                <w:rFonts w:ascii="Arial" w:hAnsi="Arial" w:cs="Arial"/>
              </w:rPr>
            </w:pPr>
            <w:r w:rsidRPr="00936FE8">
              <w:rPr>
                <w:rFonts w:ascii="Arial" w:hAnsi="Arial" w:cs="Arial"/>
              </w:rPr>
              <w:t>£2,210.5</w:t>
            </w:r>
          </w:p>
        </w:tc>
        <w:tc>
          <w:tcPr>
            <w:tcW w:w="0" w:type="auto"/>
            <w:hideMark/>
          </w:tcPr>
          <w:p w14:paraId="00733D5C" w14:textId="77777777" w:rsidR="0043106D" w:rsidRPr="00936FE8" w:rsidRDefault="0043106D" w:rsidP="0043106D">
            <w:pPr>
              <w:spacing w:after="160" w:line="278" w:lineRule="auto"/>
              <w:rPr>
                <w:rFonts w:ascii="Arial" w:hAnsi="Arial" w:cs="Arial"/>
              </w:rPr>
            </w:pPr>
            <w:r w:rsidRPr="00936FE8">
              <w:rPr>
                <w:rFonts w:ascii="Arial" w:hAnsi="Arial" w:cs="Arial"/>
              </w:rPr>
              <w:t>£2,350.0</w:t>
            </w:r>
          </w:p>
        </w:tc>
        <w:tc>
          <w:tcPr>
            <w:tcW w:w="0" w:type="auto"/>
            <w:hideMark/>
          </w:tcPr>
          <w:p w14:paraId="60058FCB" w14:textId="77777777" w:rsidR="0043106D" w:rsidRPr="00936FE8" w:rsidRDefault="0043106D" w:rsidP="0043106D">
            <w:pPr>
              <w:spacing w:after="160" w:line="278" w:lineRule="auto"/>
              <w:rPr>
                <w:rFonts w:ascii="Arial" w:hAnsi="Arial" w:cs="Arial"/>
              </w:rPr>
            </w:pPr>
            <w:r w:rsidRPr="00936FE8">
              <w:rPr>
                <w:rFonts w:ascii="Arial" w:hAnsi="Arial" w:cs="Arial"/>
              </w:rPr>
              <w:t>£2,410.2</w:t>
            </w:r>
          </w:p>
        </w:tc>
        <w:tc>
          <w:tcPr>
            <w:tcW w:w="0" w:type="auto"/>
            <w:hideMark/>
          </w:tcPr>
          <w:p w14:paraId="506A4061" w14:textId="77777777" w:rsidR="0043106D" w:rsidRPr="00936FE8" w:rsidRDefault="0043106D" w:rsidP="0043106D">
            <w:pPr>
              <w:spacing w:after="160" w:line="278" w:lineRule="auto"/>
              <w:rPr>
                <w:rFonts w:ascii="Arial" w:hAnsi="Arial" w:cs="Arial"/>
              </w:rPr>
            </w:pPr>
            <w:r w:rsidRPr="00936FE8">
              <w:rPr>
                <w:rFonts w:ascii="Arial" w:hAnsi="Arial" w:cs="Arial"/>
              </w:rPr>
              <w:t>£2,520.4</w:t>
            </w:r>
          </w:p>
        </w:tc>
      </w:tr>
      <w:tr w:rsidR="0043106D" w:rsidRPr="00936FE8" w14:paraId="38D89EF8" w14:textId="77777777" w:rsidTr="0043106D">
        <w:tc>
          <w:tcPr>
            <w:tcW w:w="0" w:type="auto"/>
            <w:hideMark/>
          </w:tcPr>
          <w:p w14:paraId="593E897D" w14:textId="77777777" w:rsidR="0043106D" w:rsidRPr="00936FE8" w:rsidRDefault="0043106D" w:rsidP="0043106D">
            <w:pPr>
              <w:spacing w:after="160" w:line="278" w:lineRule="auto"/>
              <w:rPr>
                <w:rFonts w:ascii="Arial" w:hAnsi="Arial" w:cs="Arial"/>
              </w:rPr>
            </w:pPr>
            <w:r w:rsidRPr="00936FE8">
              <w:rPr>
                <w:rFonts w:ascii="Arial" w:hAnsi="Arial" w:cs="Arial"/>
              </w:rPr>
              <w:t>Total Current Assets</w:t>
            </w:r>
          </w:p>
        </w:tc>
        <w:tc>
          <w:tcPr>
            <w:tcW w:w="0" w:type="auto"/>
            <w:hideMark/>
          </w:tcPr>
          <w:p w14:paraId="4F2D64E3" w14:textId="77777777" w:rsidR="0043106D" w:rsidRPr="00936FE8" w:rsidRDefault="0043106D" w:rsidP="0043106D">
            <w:pPr>
              <w:spacing w:after="160" w:line="278" w:lineRule="auto"/>
              <w:rPr>
                <w:rFonts w:ascii="Arial" w:hAnsi="Arial" w:cs="Arial"/>
              </w:rPr>
            </w:pPr>
            <w:r w:rsidRPr="00936FE8">
              <w:rPr>
                <w:rFonts w:ascii="Arial" w:hAnsi="Arial" w:cs="Arial"/>
              </w:rPr>
              <w:t>£165.4</w:t>
            </w:r>
          </w:p>
        </w:tc>
        <w:tc>
          <w:tcPr>
            <w:tcW w:w="0" w:type="auto"/>
            <w:hideMark/>
          </w:tcPr>
          <w:p w14:paraId="1B84488F" w14:textId="77777777" w:rsidR="0043106D" w:rsidRPr="00936FE8" w:rsidRDefault="0043106D" w:rsidP="0043106D">
            <w:pPr>
              <w:spacing w:after="160" w:line="278" w:lineRule="auto"/>
              <w:rPr>
                <w:rFonts w:ascii="Arial" w:hAnsi="Arial" w:cs="Arial"/>
              </w:rPr>
            </w:pPr>
            <w:r w:rsidRPr="00936FE8">
              <w:rPr>
                <w:rFonts w:ascii="Arial" w:hAnsi="Arial" w:cs="Arial"/>
              </w:rPr>
              <w:t>£182.1</w:t>
            </w:r>
          </w:p>
        </w:tc>
        <w:tc>
          <w:tcPr>
            <w:tcW w:w="0" w:type="auto"/>
            <w:hideMark/>
          </w:tcPr>
          <w:p w14:paraId="3CE06599" w14:textId="77777777" w:rsidR="0043106D" w:rsidRPr="00936FE8" w:rsidRDefault="0043106D" w:rsidP="0043106D">
            <w:pPr>
              <w:spacing w:after="160" w:line="278" w:lineRule="auto"/>
              <w:rPr>
                <w:rFonts w:ascii="Arial" w:hAnsi="Arial" w:cs="Arial"/>
              </w:rPr>
            </w:pPr>
            <w:r w:rsidRPr="00936FE8">
              <w:rPr>
                <w:rFonts w:ascii="Arial" w:hAnsi="Arial" w:cs="Arial"/>
              </w:rPr>
              <w:t>£245.3</w:t>
            </w:r>
          </w:p>
        </w:tc>
        <w:tc>
          <w:tcPr>
            <w:tcW w:w="0" w:type="auto"/>
            <w:hideMark/>
          </w:tcPr>
          <w:p w14:paraId="07A67BA6" w14:textId="77777777" w:rsidR="0043106D" w:rsidRPr="00936FE8" w:rsidRDefault="0043106D" w:rsidP="0043106D">
            <w:pPr>
              <w:spacing w:after="160" w:line="278" w:lineRule="auto"/>
              <w:rPr>
                <w:rFonts w:ascii="Arial" w:hAnsi="Arial" w:cs="Arial"/>
              </w:rPr>
            </w:pPr>
            <w:r w:rsidRPr="00936FE8">
              <w:rPr>
                <w:rFonts w:ascii="Arial" w:hAnsi="Arial" w:cs="Arial"/>
              </w:rPr>
              <w:t>£262.5</w:t>
            </w:r>
          </w:p>
        </w:tc>
        <w:tc>
          <w:tcPr>
            <w:tcW w:w="0" w:type="auto"/>
            <w:hideMark/>
          </w:tcPr>
          <w:p w14:paraId="18E23359" w14:textId="77777777" w:rsidR="0043106D" w:rsidRPr="00936FE8" w:rsidRDefault="0043106D" w:rsidP="0043106D">
            <w:pPr>
              <w:spacing w:after="160" w:line="278" w:lineRule="auto"/>
              <w:rPr>
                <w:rFonts w:ascii="Arial" w:hAnsi="Arial" w:cs="Arial"/>
              </w:rPr>
            </w:pPr>
            <w:r w:rsidRPr="00936FE8">
              <w:rPr>
                <w:rFonts w:ascii="Arial" w:hAnsi="Arial" w:cs="Arial"/>
              </w:rPr>
              <w:t>£125.4</w:t>
            </w:r>
          </w:p>
        </w:tc>
      </w:tr>
      <w:tr w:rsidR="0043106D" w:rsidRPr="00936FE8" w14:paraId="517979CC" w14:textId="77777777" w:rsidTr="0043106D">
        <w:tc>
          <w:tcPr>
            <w:tcW w:w="0" w:type="auto"/>
            <w:hideMark/>
          </w:tcPr>
          <w:p w14:paraId="69576E6D" w14:textId="77777777" w:rsidR="0043106D" w:rsidRPr="00936FE8" w:rsidRDefault="0043106D" w:rsidP="0043106D">
            <w:pPr>
              <w:spacing w:after="160" w:line="278" w:lineRule="auto"/>
              <w:rPr>
                <w:rFonts w:ascii="Arial" w:hAnsi="Arial" w:cs="Arial"/>
              </w:rPr>
            </w:pPr>
            <w:r w:rsidRPr="00936FE8">
              <w:rPr>
                <w:rFonts w:ascii="Arial" w:hAnsi="Arial" w:cs="Arial"/>
                <w:b/>
                <w:bCs/>
              </w:rPr>
              <w:t>Total Assets</w:t>
            </w:r>
          </w:p>
        </w:tc>
        <w:tc>
          <w:tcPr>
            <w:tcW w:w="0" w:type="auto"/>
            <w:hideMark/>
          </w:tcPr>
          <w:p w14:paraId="5A343FBC" w14:textId="77777777" w:rsidR="0043106D" w:rsidRPr="00936FE8" w:rsidRDefault="0043106D" w:rsidP="0043106D">
            <w:pPr>
              <w:spacing w:after="160" w:line="278" w:lineRule="auto"/>
              <w:rPr>
                <w:rFonts w:ascii="Arial" w:hAnsi="Arial" w:cs="Arial"/>
              </w:rPr>
            </w:pPr>
            <w:r w:rsidRPr="00936FE8">
              <w:rPr>
                <w:rFonts w:ascii="Arial" w:hAnsi="Arial" w:cs="Arial"/>
                <w:b/>
                <w:bCs/>
              </w:rPr>
              <w:t>£2,315.6</w:t>
            </w:r>
          </w:p>
        </w:tc>
        <w:tc>
          <w:tcPr>
            <w:tcW w:w="0" w:type="auto"/>
            <w:hideMark/>
          </w:tcPr>
          <w:p w14:paraId="217DFDF8" w14:textId="77777777" w:rsidR="0043106D" w:rsidRPr="00936FE8" w:rsidRDefault="0043106D" w:rsidP="0043106D">
            <w:pPr>
              <w:spacing w:after="160" w:line="278" w:lineRule="auto"/>
              <w:rPr>
                <w:rFonts w:ascii="Arial" w:hAnsi="Arial" w:cs="Arial"/>
              </w:rPr>
            </w:pPr>
            <w:r w:rsidRPr="00936FE8">
              <w:rPr>
                <w:rFonts w:ascii="Arial" w:hAnsi="Arial" w:cs="Arial"/>
                <w:b/>
                <w:bCs/>
              </w:rPr>
              <w:t>£2,392.6</w:t>
            </w:r>
          </w:p>
        </w:tc>
        <w:tc>
          <w:tcPr>
            <w:tcW w:w="0" w:type="auto"/>
            <w:hideMark/>
          </w:tcPr>
          <w:p w14:paraId="7984D16E" w14:textId="77777777" w:rsidR="0043106D" w:rsidRPr="00936FE8" w:rsidRDefault="0043106D" w:rsidP="0043106D">
            <w:pPr>
              <w:spacing w:after="160" w:line="278" w:lineRule="auto"/>
              <w:rPr>
                <w:rFonts w:ascii="Arial" w:hAnsi="Arial" w:cs="Arial"/>
              </w:rPr>
            </w:pPr>
            <w:r w:rsidRPr="00936FE8">
              <w:rPr>
                <w:rFonts w:ascii="Arial" w:hAnsi="Arial" w:cs="Arial"/>
                <w:b/>
                <w:bCs/>
              </w:rPr>
              <w:t>£2,595.3</w:t>
            </w:r>
          </w:p>
        </w:tc>
        <w:tc>
          <w:tcPr>
            <w:tcW w:w="0" w:type="auto"/>
            <w:hideMark/>
          </w:tcPr>
          <w:p w14:paraId="77636DF5" w14:textId="77777777" w:rsidR="0043106D" w:rsidRPr="00936FE8" w:rsidRDefault="0043106D" w:rsidP="0043106D">
            <w:pPr>
              <w:spacing w:after="160" w:line="278" w:lineRule="auto"/>
              <w:rPr>
                <w:rFonts w:ascii="Arial" w:hAnsi="Arial" w:cs="Arial"/>
              </w:rPr>
            </w:pPr>
            <w:r w:rsidRPr="00936FE8">
              <w:rPr>
                <w:rFonts w:ascii="Arial" w:hAnsi="Arial" w:cs="Arial"/>
                <w:b/>
                <w:bCs/>
              </w:rPr>
              <w:t>£2,672.7</w:t>
            </w:r>
          </w:p>
        </w:tc>
        <w:tc>
          <w:tcPr>
            <w:tcW w:w="0" w:type="auto"/>
            <w:hideMark/>
          </w:tcPr>
          <w:p w14:paraId="3C7E39BA" w14:textId="77777777" w:rsidR="0043106D" w:rsidRPr="00936FE8" w:rsidRDefault="0043106D" w:rsidP="0043106D">
            <w:pPr>
              <w:spacing w:after="160" w:line="278" w:lineRule="auto"/>
              <w:rPr>
                <w:rFonts w:ascii="Arial" w:hAnsi="Arial" w:cs="Arial"/>
              </w:rPr>
            </w:pPr>
            <w:r w:rsidRPr="00936FE8">
              <w:rPr>
                <w:rFonts w:ascii="Arial" w:hAnsi="Arial" w:cs="Arial"/>
                <w:b/>
                <w:bCs/>
              </w:rPr>
              <w:t>£2,645.8</w:t>
            </w:r>
          </w:p>
        </w:tc>
      </w:tr>
      <w:tr w:rsidR="0043106D" w:rsidRPr="00936FE8" w14:paraId="18C74F55" w14:textId="77777777" w:rsidTr="0043106D">
        <w:tc>
          <w:tcPr>
            <w:tcW w:w="0" w:type="auto"/>
            <w:hideMark/>
          </w:tcPr>
          <w:p w14:paraId="3C427029" w14:textId="77777777" w:rsidR="0043106D" w:rsidRPr="00936FE8" w:rsidRDefault="0043106D" w:rsidP="0043106D">
            <w:pPr>
              <w:spacing w:after="160" w:line="278" w:lineRule="auto"/>
              <w:rPr>
                <w:rFonts w:ascii="Arial" w:hAnsi="Arial" w:cs="Arial"/>
              </w:rPr>
            </w:pPr>
            <w:r w:rsidRPr="00936FE8">
              <w:rPr>
                <w:rFonts w:ascii="Arial" w:hAnsi="Arial" w:cs="Arial"/>
              </w:rPr>
              <w:t>Total Current Liabilities</w:t>
            </w:r>
          </w:p>
        </w:tc>
        <w:tc>
          <w:tcPr>
            <w:tcW w:w="0" w:type="auto"/>
            <w:hideMark/>
          </w:tcPr>
          <w:p w14:paraId="5BD5A1B2" w14:textId="77777777" w:rsidR="0043106D" w:rsidRPr="00936FE8" w:rsidRDefault="0043106D" w:rsidP="0043106D">
            <w:pPr>
              <w:spacing w:after="160" w:line="278" w:lineRule="auto"/>
              <w:rPr>
                <w:rFonts w:ascii="Arial" w:hAnsi="Arial" w:cs="Arial"/>
              </w:rPr>
            </w:pPr>
            <w:r w:rsidRPr="00936FE8">
              <w:rPr>
                <w:rFonts w:ascii="Arial" w:hAnsi="Arial" w:cs="Arial"/>
              </w:rPr>
              <w:t>£254.5</w:t>
            </w:r>
          </w:p>
        </w:tc>
        <w:tc>
          <w:tcPr>
            <w:tcW w:w="0" w:type="auto"/>
            <w:hideMark/>
          </w:tcPr>
          <w:p w14:paraId="2DA90A79" w14:textId="77777777" w:rsidR="0043106D" w:rsidRPr="00936FE8" w:rsidRDefault="0043106D" w:rsidP="0043106D">
            <w:pPr>
              <w:spacing w:after="160" w:line="278" w:lineRule="auto"/>
              <w:rPr>
                <w:rFonts w:ascii="Arial" w:hAnsi="Arial" w:cs="Arial"/>
              </w:rPr>
            </w:pPr>
            <w:r w:rsidRPr="00936FE8">
              <w:rPr>
                <w:rFonts w:ascii="Arial" w:hAnsi="Arial" w:cs="Arial"/>
              </w:rPr>
              <w:t>£314.0</w:t>
            </w:r>
          </w:p>
        </w:tc>
        <w:tc>
          <w:tcPr>
            <w:tcW w:w="0" w:type="auto"/>
            <w:hideMark/>
          </w:tcPr>
          <w:p w14:paraId="49039182" w14:textId="77777777" w:rsidR="0043106D" w:rsidRPr="00936FE8" w:rsidRDefault="0043106D" w:rsidP="0043106D">
            <w:pPr>
              <w:spacing w:after="160" w:line="278" w:lineRule="auto"/>
              <w:rPr>
                <w:rFonts w:ascii="Arial" w:hAnsi="Arial" w:cs="Arial"/>
              </w:rPr>
            </w:pPr>
            <w:r w:rsidRPr="00936FE8">
              <w:rPr>
                <w:rFonts w:ascii="Arial" w:hAnsi="Arial" w:cs="Arial"/>
              </w:rPr>
              <w:t>£340.7</w:t>
            </w:r>
          </w:p>
        </w:tc>
        <w:tc>
          <w:tcPr>
            <w:tcW w:w="0" w:type="auto"/>
            <w:hideMark/>
          </w:tcPr>
          <w:p w14:paraId="28F201FE" w14:textId="77777777" w:rsidR="0043106D" w:rsidRPr="00936FE8" w:rsidRDefault="0043106D" w:rsidP="0043106D">
            <w:pPr>
              <w:spacing w:after="160" w:line="278" w:lineRule="auto"/>
              <w:rPr>
                <w:rFonts w:ascii="Arial" w:hAnsi="Arial" w:cs="Arial"/>
              </w:rPr>
            </w:pPr>
            <w:r w:rsidRPr="00936FE8">
              <w:rPr>
                <w:rFonts w:ascii="Arial" w:hAnsi="Arial" w:cs="Arial"/>
              </w:rPr>
              <w:t>£423.4</w:t>
            </w:r>
          </w:p>
        </w:tc>
        <w:tc>
          <w:tcPr>
            <w:tcW w:w="0" w:type="auto"/>
            <w:hideMark/>
          </w:tcPr>
          <w:p w14:paraId="674337FA" w14:textId="77777777" w:rsidR="0043106D" w:rsidRPr="00936FE8" w:rsidRDefault="0043106D" w:rsidP="0043106D">
            <w:pPr>
              <w:spacing w:after="160" w:line="278" w:lineRule="auto"/>
              <w:rPr>
                <w:rFonts w:ascii="Arial" w:hAnsi="Arial" w:cs="Arial"/>
              </w:rPr>
            </w:pPr>
            <w:r w:rsidRPr="00936FE8">
              <w:rPr>
                <w:rFonts w:ascii="Arial" w:hAnsi="Arial" w:cs="Arial"/>
              </w:rPr>
              <w:t>£278.7</w:t>
            </w:r>
          </w:p>
        </w:tc>
      </w:tr>
      <w:tr w:rsidR="0043106D" w:rsidRPr="00936FE8" w14:paraId="26258260" w14:textId="77777777" w:rsidTr="0043106D">
        <w:tc>
          <w:tcPr>
            <w:tcW w:w="0" w:type="auto"/>
            <w:hideMark/>
          </w:tcPr>
          <w:p w14:paraId="313B3DBB" w14:textId="77777777" w:rsidR="0043106D" w:rsidRPr="00936FE8" w:rsidRDefault="0043106D" w:rsidP="0043106D">
            <w:pPr>
              <w:spacing w:after="160" w:line="278" w:lineRule="auto"/>
              <w:rPr>
                <w:rFonts w:ascii="Arial" w:hAnsi="Arial" w:cs="Arial"/>
              </w:rPr>
            </w:pPr>
            <w:r w:rsidRPr="00936FE8">
              <w:rPr>
                <w:rFonts w:ascii="Arial" w:hAnsi="Arial" w:cs="Arial"/>
              </w:rPr>
              <w:t>Total Non-Current Liabilities</w:t>
            </w:r>
          </w:p>
        </w:tc>
        <w:tc>
          <w:tcPr>
            <w:tcW w:w="0" w:type="auto"/>
            <w:hideMark/>
          </w:tcPr>
          <w:p w14:paraId="48BBFE35" w14:textId="77777777" w:rsidR="0043106D" w:rsidRPr="00936FE8" w:rsidRDefault="0043106D" w:rsidP="0043106D">
            <w:pPr>
              <w:spacing w:after="160" w:line="278" w:lineRule="auto"/>
              <w:rPr>
                <w:rFonts w:ascii="Arial" w:hAnsi="Arial" w:cs="Arial"/>
              </w:rPr>
            </w:pPr>
            <w:r w:rsidRPr="00936FE8">
              <w:rPr>
                <w:rFonts w:ascii="Arial" w:hAnsi="Arial" w:cs="Arial"/>
              </w:rPr>
              <w:t>£2,105.2</w:t>
            </w:r>
          </w:p>
        </w:tc>
        <w:tc>
          <w:tcPr>
            <w:tcW w:w="0" w:type="auto"/>
            <w:hideMark/>
          </w:tcPr>
          <w:p w14:paraId="6F1417D5" w14:textId="77777777" w:rsidR="0043106D" w:rsidRPr="00936FE8" w:rsidRDefault="0043106D" w:rsidP="0043106D">
            <w:pPr>
              <w:spacing w:after="160" w:line="278" w:lineRule="auto"/>
              <w:rPr>
                <w:rFonts w:ascii="Arial" w:hAnsi="Arial" w:cs="Arial"/>
              </w:rPr>
            </w:pPr>
            <w:r w:rsidRPr="00936FE8">
              <w:rPr>
                <w:rFonts w:ascii="Arial" w:hAnsi="Arial" w:cs="Arial"/>
              </w:rPr>
              <w:t>£2,080.4</w:t>
            </w:r>
          </w:p>
        </w:tc>
        <w:tc>
          <w:tcPr>
            <w:tcW w:w="0" w:type="auto"/>
            <w:hideMark/>
          </w:tcPr>
          <w:p w14:paraId="70E34BC0" w14:textId="77777777" w:rsidR="0043106D" w:rsidRPr="00936FE8" w:rsidRDefault="0043106D" w:rsidP="0043106D">
            <w:pPr>
              <w:spacing w:after="160" w:line="278" w:lineRule="auto"/>
              <w:rPr>
                <w:rFonts w:ascii="Arial" w:hAnsi="Arial" w:cs="Arial"/>
              </w:rPr>
            </w:pPr>
            <w:r w:rsidRPr="00936FE8">
              <w:rPr>
                <w:rFonts w:ascii="Arial" w:hAnsi="Arial" w:cs="Arial"/>
              </w:rPr>
              <w:t>£2,185.6</w:t>
            </w:r>
          </w:p>
        </w:tc>
        <w:tc>
          <w:tcPr>
            <w:tcW w:w="0" w:type="auto"/>
            <w:hideMark/>
          </w:tcPr>
          <w:p w14:paraId="5ADDEAE0" w14:textId="77777777" w:rsidR="0043106D" w:rsidRPr="00936FE8" w:rsidRDefault="0043106D" w:rsidP="0043106D">
            <w:pPr>
              <w:spacing w:after="160" w:line="278" w:lineRule="auto"/>
              <w:rPr>
                <w:rFonts w:ascii="Arial" w:hAnsi="Arial" w:cs="Arial"/>
              </w:rPr>
            </w:pPr>
            <w:r w:rsidRPr="00936FE8">
              <w:rPr>
                <w:rFonts w:ascii="Arial" w:hAnsi="Arial" w:cs="Arial"/>
              </w:rPr>
              <w:t>£2,205.8</w:t>
            </w:r>
          </w:p>
        </w:tc>
        <w:tc>
          <w:tcPr>
            <w:tcW w:w="0" w:type="auto"/>
            <w:hideMark/>
          </w:tcPr>
          <w:p w14:paraId="0E888365" w14:textId="77777777" w:rsidR="0043106D" w:rsidRPr="00936FE8" w:rsidRDefault="0043106D" w:rsidP="0043106D">
            <w:pPr>
              <w:spacing w:after="160" w:line="278" w:lineRule="auto"/>
              <w:rPr>
                <w:rFonts w:ascii="Arial" w:hAnsi="Arial" w:cs="Arial"/>
              </w:rPr>
            </w:pPr>
            <w:r w:rsidRPr="00936FE8">
              <w:rPr>
                <w:rFonts w:ascii="Arial" w:hAnsi="Arial" w:cs="Arial"/>
              </w:rPr>
              <w:t>£2,320.1</w:t>
            </w:r>
          </w:p>
        </w:tc>
      </w:tr>
      <w:tr w:rsidR="0043106D" w:rsidRPr="00936FE8" w14:paraId="571363F4" w14:textId="77777777" w:rsidTr="0043106D">
        <w:tc>
          <w:tcPr>
            <w:tcW w:w="0" w:type="auto"/>
            <w:hideMark/>
          </w:tcPr>
          <w:p w14:paraId="080757B3" w14:textId="77777777" w:rsidR="0043106D" w:rsidRPr="00936FE8" w:rsidRDefault="0043106D" w:rsidP="0043106D">
            <w:pPr>
              <w:spacing w:after="160" w:line="278" w:lineRule="auto"/>
              <w:rPr>
                <w:rFonts w:ascii="Arial" w:hAnsi="Arial" w:cs="Arial"/>
              </w:rPr>
            </w:pPr>
            <w:r w:rsidRPr="00936FE8">
              <w:rPr>
                <w:rFonts w:ascii="Arial" w:hAnsi="Arial" w:cs="Arial"/>
                <w:b/>
                <w:bCs/>
              </w:rPr>
              <w:t>Total Liabilities</w:t>
            </w:r>
          </w:p>
        </w:tc>
        <w:tc>
          <w:tcPr>
            <w:tcW w:w="0" w:type="auto"/>
            <w:hideMark/>
          </w:tcPr>
          <w:p w14:paraId="1CBC11B2" w14:textId="77777777" w:rsidR="0043106D" w:rsidRPr="00936FE8" w:rsidRDefault="0043106D" w:rsidP="0043106D">
            <w:pPr>
              <w:spacing w:after="160" w:line="278" w:lineRule="auto"/>
              <w:rPr>
                <w:rFonts w:ascii="Arial" w:hAnsi="Arial" w:cs="Arial"/>
              </w:rPr>
            </w:pPr>
            <w:r w:rsidRPr="00936FE8">
              <w:rPr>
                <w:rFonts w:ascii="Arial" w:hAnsi="Arial" w:cs="Arial"/>
                <w:b/>
                <w:bCs/>
              </w:rPr>
              <w:t>£2,359.7</w:t>
            </w:r>
          </w:p>
        </w:tc>
        <w:tc>
          <w:tcPr>
            <w:tcW w:w="0" w:type="auto"/>
            <w:hideMark/>
          </w:tcPr>
          <w:p w14:paraId="75FF9ED2" w14:textId="77777777" w:rsidR="0043106D" w:rsidRPr="00936FE8" w:rsidRDefault="0043106D" w:rsidP="0043106D">
            <w:pPr>
              <w:spacing w:after="160" w:line="278" w:lineRule="auto"/>
              <w:rPr>
                <w:rFonts w:ascii="Arial" w:hAnsi="Arial" w:cs="Arial"/>
              </w:rPr>
            </w:pPr>
            <w:r w:rsidRPr="00936FE8">
              <w:rPr>
                <w:rFonts w:ascii="Arial" w:hAnsi="Arial" w:cs="Arial"/>
                <w:b/>
                <w:bCs/>
              </w:rPr>
              <w:t>£2,394.4</w:t>
            </w:r>
          </w:p>
        </w:tc>
        <w:tc>
          <w:tcPr>
            <w:tcW w:w="0" w:type="auto"/>
            <w:hideMark/>
          </w:tcPr>
          <w:p w14:paraId="6A7CD13A" w14:textId="77777777" w:rsidR="0043106D" w:rsidRPr="00936FE8" w:rsidRDefault="0043106D" w:rsidP="0043106D">
            <w:pPr>
              <w:spacing w:after="160" w:line="278" w:lineRule="auto"/>
              <w:rPr>
                <w:rFonts w:ascii="Arial" w:hAnsi="Arial" w:cs="Arial"/>
              </w:rPr>
            </w:pPr>
            <w:r w:rsidRPr="00936FE8">
              <w:rPr>
                <w:rFonts w:ascii="Arial" w:hAnsi="Arial" w:cs="Arial"/>
                <w:b/>
                <w:bCs/>
              </w:rPr>
              <w:t>£2,526.3</w:t>
            </w:r>
          </w:p>
        </w:tc>
        <w:tc>
          <w:tcPr>
            <w:tcW w:w="0" w:type="auto"/>
            <w:hideMark/>
          </w:tcPr>
          <w:p w14:paraId="5173907C" w14:textId="77777777" w:rsidR="0043106D" w:rsidRPr="00936FE8" w:rsidRDefault="0043106D" w:rsidP="0043106D">
            <w:pPr>
              <w:spacing w:after="160" w:line="278" w:lineRule="auto"/>
              <w:rPr>
                <w:rFonts w:ascii="Arial" w:hAnsi="Arial" w:cs="Arial"/>
              </w:rPr>
            </w:pPr>
            <w:r w:rsidRPr="00936FE8">
              <w:rPr>
                <w:rFonts w:ascii="Arial" w:hAnsi="Arial" w:cs="Arial"/>
                <w:b/>
                <w:bCs/>
              </w:rPr>
              <w:t>£2,629.2</w:t>
            </w:r>
          </w:p>
        </w:tc>
        <w:tc>
          <w:tcPr>
            <w:tcW w:w="0" w:type="auto"/>
            <w:hideMark/>
          </w:tcPr>
          <w:p w14:paraId="597ACCE5" w14:textId="77777777" w:rsidR="0043106D" w:rsidRPr="00936FE8" w:rsidRDefault="0043106D" w:rsidP="0043106D">
            <w:pPr>
              <w:spacing w:after="160" w:line="278" w:lineRule="auto"/>
              <w:rPr>
                <w:rFonts w:ascii="Arial" w:hAnsi="Arial" w:cs="Arial"/>
              </w:rPr>
            </w:pPr>
            <w:r w:rsidRPr="00936FE8">
              <w:rPr>
                <w:rFonts w:ascii="Arial" w:hAnsi="Arial" w:cs="Arial"/>
                <w:b/>
                <w:bCs/>
              </w:rPr>
              <w:t>£2,598.8</w:t>
            </w:r>
          </w:p>
        </w:tc>
      </w:tr>
      <w:tr w:rsidR="0043106D" w:rsidRPr="00936FE8" w14:paraId="59599F45" w14:textId="77777777" w:rsidTr="0043106D">
        <w:tc>
          <w:tcPr>
            <w:tcW w:w="0" w:type="auto"/>
            <w:hideMark/>
          </w:tcPr>
          <w:p w14:paraId="1DEE5DA9" w14:textId="77777777" w:rsidR="0043106D" w:rsidRPr="00936FE8" w:rsidRDefault="0043106D" w:rsidP="0043106D">
            <w:pPr>
              <w:spacing w:after="160" w:line="278" w:lineRule="auto"/>
              <w:rPr>
                <w:rFonts w:ascii="Arial" w:hAnsi="Arial" w:cs="Arial"/>
              </w:rPr>
            </w:pPr>
            <w:r w:rsidRPr="00936FE8">
              <w:rPr>
                <w:rFonts w:ascii="Arial" w:hAnsi="Arial" w:cs="Arial"/>
                <w:b/>
                <w:bCs/>
              </w:rPr>
              <w:t>Total Equity</w:t>
            </w:r>
          </w:p>
        </w:tc>
        <w:tc>
          <w:tcPr>
            <w:tcW w:w="0" w:type="auto"/>
            <w:hideMark/>
          </w:tcPr>
          <w:p w14:paraId="5C8BE3F3"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b/>
                <w:bCs/>
              </w:rPr>
              <w:t>£(</w:t>
            </w:r>
            <w:proofErr w:type="gramEnd"/>
            <w:r w:rsidRPr="00936FE8">
              <w:rPr>
                <w:rFonts w:ascii="Arial" w:hAnsi="Arial" w:cs="Arial"/>
                <w:b/>
                <w:bCs/>
              </w:rPr>
              <w:t>44.1)</w:t>
            </w:r>
          </w:p>
        </w:tc>
        <w:tc>
          <w:tcPr>
            <w:tcW w:w="0" w:type="auto"/>
            <w:hideMark/>
          </w:tcPr>
          <w:p w14:paraId="7DB4CD05"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b/>
                <w:bCs/>
              </w:rPr>
              <w:t>£(</w:t>
            </w:r>
            <w:proofErr w:type="gramEnd"/>
            <w:r w:rsidRPr="00936FE8">
              <w:rPr>
                <w:rFonts w:ascii="Arial" w:hAnsi="Arial" w:cs="Arial"/>
                <w:b/>
                <w:bCs/>
              </w:rPr>
              <w:t>1.8)</w:t>
            </w:r>
          </w:p>
        </w:tc>
        <w:tc>
          <w:tcPr>
            <w:tcW w:w="0" w:type="auto"/>
            <w:hideMark/>
          </w:tcPr>
          <w:p w14:paraId="1C2A40AA" w14:textId="77777777" w:rsidR="0043106D" w:rsidRPr="00936FE8" w:rsidRDefault="0043106D" w:rsidP="0043106D">
            <w:pPr>
              <w:spacing w:after="160" w:line="278" w:lineRule="auto"/>
              <w:rPr>
                <w:rFonts w:ascii="Arial" w:hAnsi="Arial" w:cs="Arial"/>
              </w:rPr>
            </w:pPr>
            <w:r w:rsidRPr="00936FE8">
              <w:rPr>
                <w:rFonts w:ascii="Arial" w:hAnsi="Arial" w:cs="Arial"/>
                <w:b/>
                <w:bCs/>
              </w:rPr>
              <w:t>£69.0</w:t>
            </w:r>
          </w:p>
        </w:tc>
        <w:tc>
          <w:tcPr>
            <w:tcW w:w="0" w:type="auto"/>
            <w:hideMark/>
          </w:tcPr>
          <w:p w14:paraId="1BFF7960" w14:textId="77777777" w:rsidR="0043106D" w:rsidRPr="00936FE8" w:rsidRDefault="0043106D" w:rsidP="0043106D">
            <w:pPr>
              <w:spacing w:after="160" w:line="278" w:lineRule="auto"/>
              <w:rPr>
                <w:rFonts w:ascii="Arial" w:hAnsi="Arial" w:cs="Arial"/>
              </w:rPr>
            </w:pPr>
            <w:r w:rsidRPr="00936FE8">
              <w:rPr>
                <w:rFonts w:ascii="Arial" w:hAnsi="Arial" w:cs="Arial"/>
                <w:b/>
                <w:bCs/>
              </w:rPr>
              <w:t>£43.5</w:t>
            </w:r>
          </w:p>
        </w:tc>
        <w:tc>
          <w:tcPr>
            <w:tcW w:w="0" w:type="auto"/>
            <w:hideMark/>
          </w:tcPr>
          <w:p w14:paraId="32E01385" w14:textId="77777777" w:rsidR="0043106D" w:rsidRPr="00936FE8" w:rsidRDefault="0043106D" w:rsidP="0043106D">
            <w:pPr>
              <w:spacing w:after="160" w:line="278" w:lineRule="auto"/>
              <w:rPr>
                <w:rFonts w:ascii="Arial" w:hAnsi="Arial" w:cs="Arial"/>
              </w:rPr>
            </w:pPr>
            <w:r w:rsidRPr="00936FE8">
              <w:rPr>
                <w:rFonts w:ascii="Arial" w:hAnsi="Arial" w:cs="Arial"/>
                <w:b/>
                <w:bCs/>
              </w:rPr>
              <w:t>£47.0</w:t>
            </w:r>
          </w:p>
        </w:tc>
      </w:tr>
      <w:tr w:rsidR="0043106D" w:rsidRPr="00936FE8" w14:paraId="2E5DAFFE" w14:textId="77777777" w:rsidTr="0043106D">
        <w:tc>
          <w:tcPr>
            <w:tcW w:w="0" w:type="auto"/>
            <w:hideMark/>
          </w:tcPr>
          <w:p w14:paraId="5E3FFE9E" w14:textId="77777777" w:rsidR="0043106D" w:rsidRPr="00936FE8" w:rsidRDefault="0043106D" w:rsidP="0043106D">
            <w:pPr>
              <w:spacing w:after="160" w:line="278" w:lineRule="auto"/>
              <w:rPr>
                <w:rFonts w:ascii="Arial" w:hAnsi="Arial" w:cs="Arial"/>
              </w:rPr>
            </w:pPr>
            <w:r w:rsidRPr="00936FE8">
              <w:rPr>
                <w:rFonts w:ascii="Arial" w:hAnsi="Arial" w:cs="Arial"/>
                <w:b/>
                <w:bCs/>
              </w:rPr>
              <w:t>Cash Flow Statement</w:t>
            </w:r>
          </w:p>
        </w:tc>
        <w:tc>
          <w:tcPr>
            <w:tcW w:w="0" w:type="auto"/>
            <w:hideMark/>
          </w:tcPr>
          <w:p w14:paraId="5817EA75" w14:textId="77777777" w:rsidR="0043106D" w:rsidRPr="00936FE8" w:rsidRDefault="0043106D" w:rsidP="0043106D">
            <w:pPr>
              <w:spacing w:after="160" w:line="278" w:lineRule="auto"/>
              <w:rPr>
                <w:rFonts w:ascii="Arial" w:hAnsi="Arial" w:cs="Arial"/>
              </w:rPr>
            </w:pPr>
          </w:p>
        </w:tc>
        <w:tc>
          <w:tcPr>
            <w:tcW w:w="0" w:type="auto"/>
            <w:hideMark/>
          </w:tcPr>
          <w:p w14:paraId="288A7C66" w14:textId="77777777" w:rsidR="0043106D" w:rsidRPr="00936FE8" w:rsidRDefault="0043106D" w:rsidP="0043106D">
            <w:pPr>
              <w:spacing w:after="160" w:line="278" w:lineRule="auto"/>
              <w:rPr>
                <w:rFonts w:ascii="Arial" w:hAnsi="Arial" w:cs="Arial"/>
              </w:rPr>
            </w:pPr>
          </w:p>
        </w:tc>
        <w:tc>
          <w:tcPr>
            <w:tcW w:w="0" w:type="auto"/>
            <w:hideMark/>
          </w:tcPr>
          <w:p w14:paraId="63D30C20" w14:textId="77777777" w:rsidR="0043106D" w:rsidRPr="00936FE8" w:rsidRDefault="0043106D" w:rsidP="0043106D">
            <w:pPr>
              <w:spacing w:after="160" w:line="278" w:lineRule="auto"/>
              <w:rPr>
                <w:rFonts w:ascii="Arial" w:hAnsi="Arial" w:cs="Arial"/>
              </w:rPr>
            </w:pPr>
          </w:p>
        </w:tc>
        <w:tc>
          <w:tcPr>
            <w:tcW w:w="0" w:type="auto"/>
            <w:hideMark/>
          </w:tcPr>
          <w:p w14:paraId="328514DF" w14:textId="77777777" w:rsidR="0043106D" w:rsidRPr="00936FE8" w:rsidRDefault="0043106D" w:rsidP="0043106D">
            <w:pPr>
              <w:spacing w:after="160" w:line="278" w:lineRule="auto"/>
              <w:rPr>
                <w:rFonts w:ascii="Arial" w:hAnsi="Arial" w:cs="Arial"/>
              </w:rPr>
            </w:pPr>
          </w:p>
        </w:tc>
        <w:tc>
          <w:tcPr>
            <w:tcW w:w="0" w:type="auto"/>
            <w:hideMark/>
          </w:tcPr>
          <w:p w14:paraId="367E8268" w14:textId="77777777" w:rsidR="0043106D" w:rsidRPr="00936FE8" w:rsidRDefault="0043106D" w:rsidP="0043106D">
            <w:pPr>
              <w:spacing w:after="160" w:line="278" w:lineRule="auto"/>
              <w:rPr>
                <w:rFonts w:ascii="Arial" w:hAnsi="Arial" w:cs="Arial"/>
              </w:rPr>
            </w:pPr>
          </w:p>
        </w:tc>
      </w:tr>
      <w:tr w:rsidR="0043106D" w:rsidRPr="00936FE8" w14:paraId="41AB92EA" w14:textId="77777777" w:rsidTr="0043106D">
        <w:tc>
          <w:tcPr>
            <w:tcW w:w="0" w:type="auto"/>
            <w:hideMark/>
          </w:tcPr>
          <w:p w14:paraId="5B355F71" w14:textId="77777777" w:rsidR="0043106D" w:rsidRPr="00936FE8" w:rsidRDefault="0043106D" w:rsidP="0043106D">
            <w:pPr>
              <w:spacing w:after="160" w:line="278" w:lineRule="auto"/>
              <w:rPr>
                <w:rFonts w:ascii="Arial" w:hAnsi="Arial" w:cs="Arial"/>
              </w:rPr>
            </w:pPr>
            <w:r w:rsidRPr="00936FE8">
              <w:rPr>
                <w:rFonts w:ascii="Arial" w:hAnsi="Arial" w:cs="Arial"/>
              </w:rPr>
              <w:t>Cash from Operating Activities</w:t>
            </w:r>
          </w:p>
        </w:tc>
        <w:tc>
          <w:tcPr>
            <w:tcW w:w="0" w:type="auto"/>
            <w:hideMark/>
          </w:tcPr>
          <w:p w14:paraId="299B466C" w14:textId="77777777" w:rsidR="0043106D" w:rsidRPr="00936FE8" w:rsidRDefault="0043106D" w:rsidP="0043106D">
            <w:pPr>
              <w:spacing w:after="160" w:line="278" w:lineRule="auto"/>
              <w:rPr>
                <w:rFonts w:ascii="Arial" w:hAnsi="Arial" w:cs="Arial"/>
              </w:rPr>
            </w:pPr>
            <w:r w:rsidRPr="00936FE8">
              <w:rPr>
                <w:rFonts w:ascii="Arial" w:hAnsi="Arial" w:cs="Arial"/>
              </w:rPr>
              <w:t>£88.5</w:t>
            </w:r>
          </w:p>
        </w:tc>
        <w:tc>
          <w:tcPr>
            <w:tcW w:w="0" w:type="auto"/>
            <w:hideMark/>
          </w:tcPr>
          <w:p w14:paraId="44E964F1" w14:textId="77777777" w:rsidR="0043106D" w:rsidRPr="00936FE8" w:rsidRDefault="0043106D" w:rsidP="0043106D">
            <w:pPr>
              <w:spacing w:after="160" w:line="278" w:lineRule="auto"/>
              <w:rPr>
                <w:rFonts w:ascii="Arial" w:hAnsi="Arial" w:cs="Arial"/>
              </w:rPr>
            </w:pPr>
            <w:r w:rsidRPr="00936FE8">
              <w:rPr>
                <w:rFonts w:ascii="Arial" w:hAnsi="Arial" w:cs="Arial"/>
              </w:rPr>
              <w:t>£195.4</w:t>
            </w:r>
          </w:p>
        </w:tc>
        <w:tc>
          <w:tcPr>
            <w:tcW w:w="0" w:type="auto"/>
            <w:hideMark/>
          </w:tcPr>
          <w:p w14:paraId="48D244DF" w14:textId="77777777" w:rsidR="0043106D" w:rsidRPr="00936FE8" w:rsidRDefault="0043106D" w:rsidP="0043106D">
            <w:pPr>
              <w:spacing w:after="160" w:line="278" w:lineRule="auto"/>
              <w:rPr>
                <w:rFonts w:ascii="Arial" w:hAnsi="Arial" w:cs="Arial"/>
              </w:rPr>
            </w:pPr>
            <w:r w:rsidRPr="00936FE8">
              <w:rPr>
                <w:rFonts w:ascii="Arial" w:hAnsi="Arial" w:cs="Arial"/>
              </w:rPr>
              <w:t>£285.2</w:t>
            </w:r>
          </w:p>
        </w:tc>
        <w:tc>
          <w:tcPr>
            <w:tcW w:w="0" w:type="auto"/>
            <w:hideMark/>
          </w:tcPr>
          <w:p w14:paraId="45A8F840" w14:textId="77777777" w:rsidR="0043106D" w:rsidRPr="00936FE8" w:rsidRDefault="0043106D" w:rsidP="0043106D">
            <w:pPr>
              <w:spacing w:after="160" w:line="278" w:lineRule="auto"/>
              <w:rPr>
                <w:rFonts w:ascii="Arial" w:hAnsi="Arial" w:cs="Arial"/>
              </w:rPr>
            </w:pPr>
            <w:r w:rsidRPr="00936FE8">
              <w:rPr>
                <w:rFonts w:ascii="Arial" w:hAnsi="Arial" w:cs="Arial"/>
              </w:rPr>
              <w:t>£212.0</w:t>
            </w:r>
          </w:p>
        </w:tc>
        <w:tc>
          <w:tcPr>
            <w:tcW w:w="0" w:type="auto"/>
            <w:hideMark/>
          </w:tcPr>
          <w:p w14:paraId="7E4895E6" w14:textId="77777777" w:rsidR="0043106D" w:rsidRPr="00936FE8" w:rsidRDefault="0043106D" w:rsidP="0043106D">
            <w:pPr>
              <w:spacing w:after="160" w:line="278" w:lineRule="auto"/>
              <w:rPr>
                <w:rFonts w:ascii="Arial" w:hAnsi="Arial" w:cs="Arial"/>
              </w:rPr>
            </w:pPr>
            <w:r w:rsidRPr="00936FE8">
              <w:rPr>
                <w:rFonts w:ascii="Arial" w:hAnsi="Arial" w:cs="Arial"/>
              </w:rPr>
              <w:t>£185.0</w:t>
            </w:r>
          </w:p>
        </w:tc>
      </w:tr>
      <w:tr w:rsidR="0043106D" w:rsidRPr="00936FE8" w14:paraId="40788358" w14:textId="77777777" w:rsidTr="0043106D">
        <w:tc>
          <w:tcPr>
            <w:tcW w:w="0" w:type="auto"/>
            <w:hideMark/>
          </w:tcPr>
          <w:p w14:paraId="6E2FE64F" w14:textId="77777777" w:rsidR="0043106D" w:rsidRPr="00936FE8" w:rsidRDefault="0043106D" w:rsidP="0043106D">
            <w:pPr>
              <w:spacing w:after="160" w:line="278" w:lineRule="auto"/>
              <w:rPr>
                <w:rFonts w:ascii="Arial" w:hAnsi="Arial" w:cs="Arial"/>
              </w:rPr>
            </w:pPr>
            <w:r w:rsidRPr="00936FE8">
              <w:rPr>
                <w:rFonts w:ascii="Arial" w:hAnsi="Arial" w:cs="Arial"/>
              </w:rPr>
              <w:lastRenderedPageBreak/>
              <w:t>Cash from Investing Activities</w:t>
            </w:r>
          </w:p>
        </w:tc>
        <w:tc>
          <w:tcPr>
            <w:tcW w:w="0" w:type="auto"/>
            <w:hideMark/>
          </w:tcPr>
          <w:p w14:paraId="3EA35398"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25.4)</w:t>
            </w:r>
          </w:p>
        </w:tc>
        <w:tc>
          <w:tcPr>
            <w:tcW w:w="0" w:type="auto"/>
            <w:hideMark/>
          </w:tcPr>
          <w:p w14:paraId="1ACAC177"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45.2)</w:t>
            </w:r>
          </w:p>
        </w:tc>
        <w:tc>
          <w:tcPr>
            <w:tcW w:w="0" w:type="auto"/>
            <w:hideMark/>
          </w:tcPr>
          <w:p w14:paraId="6F6CC480"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72.5)</w:t>
            </w:r>
          </w:p>
        </w:tc>
        <w:tc>
          <w:tcPr>
            <w:tcW w:w="0" w:type="auto"/>
            <w:hideMark/>
          </w:tcPr>
          <w:p w14:paraId="3ABB4D46"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98.1)</w:t>
            </w:r>
          </w:p>
        </w:tc>
        <w:tc>
          <w:tcPr>
            <w:tcW w:w="0" w:type="auto"/>
            <w:hideMark/>
          </w:tcPr>
          <w:p w14:paraId="3E904A20"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114.5)</w:t>
            </w:r>
          </w:p>
        </w:tc>
      </w:tr>
      <w:tr w:rsidR="0043106D" w:rsidRPr="00936FE8" w14:paraId="7FC2DC65" w14:textId="77777777" w:rsidTr="0043106D">
        <w:tc>
          <w:tcPr>
            <w:tcW w:w="0" w:type="auto"/>
            <w:hideMark/>
          </w:tcPr>
          <w:p w14:paraId="6A539903" w14:textId="77777777" w:rsidR="0043106D" w:rsidRPr="00936FE8" w:rsidRDefault="0043106D" w:rsidP="0043106D">
            <w:pPr>
              <w:spacing w:after="160" w:line="278" w:lineRule="auto"/>
              <w:rPr>
                <w:rFonts w:ascii="Arial" w:hAnsi="Arial" w:cs="Arial"/>
              </w:rPr>
            </w:pPr>
            <w:r w:rsidRPr="00936FE8">
              <w:rPr>
                <w:rFonts w:ascii="Arial" w:hAnsi="Arial" w:cs="Arial"/>
              </w:rPr>
              <w:t>Cash from Financing Activities</w:t>
            </w:r>
          </w:p>
        </w:tc>
        <w:tc>
          <w:tcPr>
            <w:tcW w:w="0" w:type="auto"/>
            <w:hideMark/>
          </w:tcPr>
          <w:p w14:paraId="24220453"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42.1)</w:t>
            </w:r>
          </w:p>
        </w:tc>
        <w:tc>
          <w:tcPr>
            <w:tcW w:w="0" w:type="auto"/>
            <w:hideMark/>
          </w:tcPr>
          <w:p w14:paraId="480C9DC6"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110.2)</w:t>
            </w:r>
          </w:p>
        </w:tc>
        <w:tc>
          <w:tcPr>
            <w:tcW w:w="0" w:type="auto"/>
            <w:hideMark/>
          </w:tcPr>
          <w:p w14:paraId="270D828F"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182.4)</w:t>
            </w:r>
          </w:p>
        </w:tc>
        <w:tc>
          <w:tcPr>
            <w:tcW w:w="0" w:type="auto"/>
            <w:hideMark/>
          </w:tcPr>
          <w:p w14:paraId="4C566251"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142.1)</w:t>
            </w:r>
          </w:p>
        </w:tc>
        <w:tc>
          <w:tcPr>
            <w:tcW w:w="0" w:type="auto"/>
            <w:hideMark/>
          </w:tcPr>
          <w:p w14:paraId="2906AA60" w14:textId="77777777" w:rsidR="0043106D" w:rsidRPr="00936FE8" w:rsidRDefault="0043106D" w:rsidP="0043106D">
            <w:pPr>
              <w:spacing w:after="160" w:line="278" w:lineRule="auto"/>
              <w:rPr>
                <w:rFonts w:ascii="Arial" w:hAnsi="Arial" w:cs="Arial"/>
              </w:rPr>
            </w:pPr>
            <w:proofErr w:type="gramStart"/>
            <w:r w:rsidRPr="00936FE8">
              <w:rPr>
                <w:rFonts w:ascii="Arial" w:hAnsi="Arial" w:cs="Arial"/>
              </w:rPr>
              <w:t>£(</w:t>
            </w:r>
            <w:proofErr w:type="gramEnd"/>
            <w:r w:rsidRPr="00936FE8">
              <w:rPr>
                <w:rFonts w:ascii="Arial" w:hAnsi="Arial" w:cs="Arial"/>
              </w:rPr>
              <w:t>185.0)</w:t>
            </w:r>
          </w:p>
        </w:tc>
      </w:tr>
    </w:tbl>
    <w:p w14:paraId="1D88DDE1" w14:textId="77777777" w:rsidR="00936FE8" w:rsidRPr="00936FE8" w:rsidRDefault="00936FE8" w:rsidP="00936FE8">
      <w:pPr>
        <w:pStyle w:val="Caption"/>
      </w:pPr>
      <w:r w:rsidRPr="00936FE8">
        <w:t xml:space="preserve">Table </w:t>
      </w:r>
      <w:r w:rsidRPr="00936FE8">
        <w:fldChar w:fldCharType="begin"/>
      </w:r>
      <w:r w:rsidRPr="00936FE8">
        <w:instrText xml:space="preserve"> SEQ Table \* ARABIC </w:instrText>
      </w:r>
      <w:r w:rsidRPr="00936FE8">
        <w:fldChar w:fldCharType="separate"/>
      </w:r>
      <w:r w:rsidRPr="00936FE8">
        <w:rPr>
          <w:noProof/>
        </w:rPr>
        <w:t>1</w:t>
      </w:r>
      <w:r w:rsidRPr="00936FE8">
        <w:rPr>
          <w:noProof/>
        </w:rPr>
        <w:fldChar w:fldCharType="end"/>
      </w:r>
      <w:r w:rsidRPr="00936FE8">
        <w:t>:</w:t>
      </w:r>
      <w:r w:rsidRPr="00936FE8">
        <w:rPr>
          <w:noProof/>
        </w:rPr>
        <w:t xml:space="preserve"> Core financial statements breakdown (FY21/22- FY25/26)</w:t>
      </w:r>
    </w:p>
    <w:p w14:paraId="23BF0C16" w14:textId="27D027F0" w:rsidR="0043106D" w:rsidRPr="00936FE8" w:rsidRDefault="00936FE8" w:rsidP="0043106D">
      <w:pPr>
        <w:rPr>
          <w:rFonts w:ascii="Arial" w:hAnsi="Arial" w:cs="Arial"/>
          <w:lang w:val="en-US"/>
        </w:rPr>
      </w:pPr>
      <w:r w:rsidRPr="00936FE8">
        <w:rPr>
          <w:rFonts w:ascii="Arial" w:hAnsi="Arial" w:cs="Arial"/>
          <w:lang w:val="en-US"/>
        </w:rPr>
        <w:t>(Self-employed)</w:t>
      </w:r>
    </w:p>
    <w:p w14:paraId="680C6575" w14:textId="5E1CC64F" w:rsidR="00A12AD1" w:rsidRPr="00936FE8" w:rsidRDefault="00D7737F" w:rsidP="00D7737F">
      <w:pPr>
        <w:pStyle w:val="Heading2"/>
        <w:rPr>
          <w:rFonts w:ascii="Arial" w:hAnsi="Arial" w:cs="Arial"/>
        </w:rPr>
      </w:pPr>
      <w:bookmarkStart w:id="2" w:name="_Toc235785090"/>
      <w:r w:rsidRPr="00936FE8">
        <w:rPr>
          <w:rFonts w:ascii="Arial" w:hAnsi="Arial" w:cs="Arial"/>
        </w:rPr>
        <w:t>1.1 Overview and Methodological Approach</w:t>
      </w:r>
      <w:bookmarkEnd w:id="2"/>
    </w:p>
    <w:p w14:paraId="5DBCCC53" w14:textId="7149A161" w:rsidR="00A12AD1" w:rsidRPr="00936FE8" w:rsidRDefault="0054327B" w:rsidP="0054327B">
      <w:pPr>
        <w:spacing w:line="360" w:lineRule="auto"/>
        <w:rPr>
          <w:rFonts w:ascii="Arial" w:hAnsi="Arial" w:cs="Arial"/>
        </w:rPr>
      </w:pPr>
      <w:r w:rsidRPr="00936FE8">
        <w:rPr>
          <w:rFonts w:ascii="Arial" w:hAnsi="Arial" w:cs="Arial"/>
        </w:rPr>
        <w:t>This</w:t>
      </w:r>
      <w:r w:rsidR="00A12AD1" w:rsidRPr="00936FE8">
        <w:rPr>
          <w:rFonts w:ascii="Arial" w:hAnsi="Arial" w:cs="Arial"/>
        </w:rPr>
        <w:t xml:space="preserve"> part performs the vertical, horizontal and ratio analysis of Travelodge (operating primarily through London and Thame Limited standard subsidiaries) over the past </w:t>
      </w:r>
      <w:r w:rsidRPr="00936FE8">
        <w:rPr>
          <w:rFonts w:ascii="Arial" w:hAnsi="Arial" w:cs="Arial"/>
        </w:rPr>
        <w:t>5-year</w:t>
      </w:r>
      <w:r w:rsidR="00A12AD1" w:rsidRPr="00936FE8">
        <w:rPr>
          <w:rFonts w:ascii="Arial" w:hAnsi="Arial" w:cs="Arial"/>
        </w:rPr>
        <w:t xml:space="preserve"> horizon from FY2021/22 to FY2025/26. Financial data is </w:t>
      </w:r>
      <w:r w:rsidRPr="00936FE8">
        <w:rPr>
          <w:rFonts w:ascii="Arial" w:hAnsi="Arial" w:cs="Arial"/>
        </w:rPr>
        <w:t>extracted</w:t>
      </w:r>
      <w:r w:rsidR="00A12AD1" w:rsidRPr="00936FE8">
        <w:rPr>
          <w:rFonts w:ascii="Arial" w:hAnsi="Arial" w:cs="Arial"/>
        </w:rPr>
        <w:t xml:space="preserve"> from the </w:t>
      </w:r>
      <w:r w:rsidRPr="00936FE8">
        <w:rPr>
          <w:rFonts w:ascii="Arial" w:hAnsi="Arial" w:cs="Arial"/>
        </w:rPr>
        <w:t>audited</w:t>
      </w:r>
      <w:r w:rsidR="00A12AD1" w:rsidRPr="00936FE8">
        <w:rPr>
          <w:rFonts w:ascii="Arial" w:hAnsi="Arial" w:cs="Arial"/>
        </w:rPr>
        <w:t xml:space="preserve"> financial statements and annual reports of Thame and London Limited, TV: Finance PLC, and strategic press releases (Thame and London Limited, 2024; Thame and London Limited, 2026). This evaluation covers the liquidity, profitability, investment, leverage/gearing and cash flow metrics. This comprehensive assessment presents the recovery trajectory of the second-largest budget hotel group of the UK as it navigated post-pandemic leisure booms, strategic property </w:t>
      </w:r>
      <w:r w:rsidR="00F15A00" w:rsidRPr="00936FE8">
        <w:rPr>
          <w:rFonts w:ascii="Arial" w:hAnsi="Arial" w:cs="Arial"/>
        </w:rPr>
        <w:t>acquisitions</w:t>
      </w:r>
      <w:r w:rsidR="00A12AD1" w:rsidRPr="00936FE8">
        <w:rPr>
          <w:rFonts w:ascii="Arial" w:hAnsi="Arial" w:cs="Arial"/>
        </w:rPr>
        <w:t xml:space="preserve"> and structural inflation. </w:t>
      </w:r>
    </w:p>
    <w:p w14:paraId="706E3772" w14:textId="3F6AF625" w:rsidR="00A12AD1" w:rsidRPr="00936FE8" w:rsidRDefault="00D7737F" w:rsidP="00D7737F">
      <w:pPr>
        <w:pStyle w:val="Heading2"/>
        <w:rPr>
          <w:rFonts w:ascii="Arial" w:hAnsi="Arial" w:cs="Arial"/>
        </w:rPr>
      </w:pPr>
      <w:bookmarkStart w:id="3" w:name="_Toc235785091"/>
      <w:r w:rsidRPr="00936FE8">
        <w:rPr>
          <w:rFonts w:ascii="Arial" w:hAnsi="Arial" w:cs="Arial"/>
        </w:rPr>
        <w:t xml:space="preserve">1.2 </w:t>
      </w:r>
      <w:r w:rsidR="00A12AD1" w:rsidRPr="00936FE8">
        <w:rPr>
          <w:rFonts w:ascii="Arial" w:hAnsi="Arial" w:cs="Arial"/>
        </w:rPr>
        <w:t xml:space="preserve">Profitability </w:t>
      </w:r>
      <w:r w:rsidRPr="00936FE8">
        <w:rPr>
          <w:rFonts w:ascii="Arial" w:hAnsi="Arial" w:cs="Arial"/>
        </w:rPr>
        <w:t>and Return Trends</w:t>
      </w:r>
      <w:bookmarkEnd w:id="3"/>
    </w:p>
    <w:p w14:paraId="7FD77098" w14:textId="6B4D85B4" w:rsidR="0043106D" w:rsidRPr="00936FE8" w:rsidRDefault="0054327B" w:rsidP="00936FE8">
      <w:pPr>
        <w:spacing w:line="360" w:lineRule="auto"/>
        <w:rPr>
          <w:rFonts w:ascii="Arial" w:hAnsi="Arial" w:cs="Arial"/>
        </w:rPr>
      </w:pPr>
      <w:r w:rsidRPr="00936FE8">
        <w:rPr>
          <w:rFonts w:ascii="Arial" w:hAnsi="Arial" w:cs="Arial"/>
        </w:rPr>
        <w:t>It</w:t>
      </w:r>
      <w:r w:rsidR="00A12AD1" w:rsidRPr="00936FE8">
        <w:rPr>
          <w:rFonts w:ascii="Arial" w:hAnsi="Arial" w:cs="Arial"/>
        </w:rPr>
        <w:t xml:space="preserve"> is found that the hospitality industry </w:t>
      </w:r>
      <w:r w:rsidR="00393EA1" w:rsidRPr="00936FE8">
        <w:rPr>
          <w:rFonts w:ascii="Arial" w:hAnsi="Arial" w:cs="Arial"/>
        </w:rPr>
        <w:t>faced</w:t>
      </w:r>
      <w:r w:rsidR="00A12AD1" w:rsidRPr="00936FE8">
        <w:rPr>
          <w:rFonts w:ascii="Arial" w:hAnsi="Arial" w:cs="Arial"/>
        </w:rPr>
        <w:t xml:space="preserve"> various operational disruptions during the early part of this </w:t>
      </w:r>
      <w:r w:rsidR="00393EA1" w:rsidRPr="00936FE8">
        <w:rPr>
          <w:rFonts w:ascii="Arial" w:hAnsi="Arial" w:cs="Arial"/>
        </w:rPr>
        <w:t>5-year</w:t>
      </w:r>
      <w:r w:rsidR="00A12AD1" w:rsidRPr="00936FE8">
        <w:rPr>
          <w:rFonts w:ascii="Arial" w:hAnsi="Arial" w:cs="Arial"/>
        </w:rPr>
        <w:t xml:space="preserve"> cycle (FY21/22), which is followed by the massive surge in average room rates (ARR) as well as Revenue Per Available Room (RevPAR) in FY22/23 and FY23/24 because of the </w:t>
      </w:r>
      <w:r w:rsidRPr="00936FE8">
        <w:rPr>
          <w:rFonts w:ascii="Arial" w:hAnsi="Arial" w:cs="Arial"/>
        </w:rPr>
        <w:t>pent-up</w:t>
      </w:r>
      <w:r w:rsidR="00A12AD1" w:rsidRPr="00936FE8">
        <w:rPr>
          <w:rFonts w:ascii="Arial" w:hAnsi="Arial" w:cs="Arial"/>
        </w:rPr>
        <w:t xml:space="preserve"> travel demand (S&amp;P Global Ratings, 2024). Meanwhile, by FY24/24 and FY25/26, </w:t>
      </w:r>
      <w:r w:rsidRPr="00936FE8">
        <w:rPr>
          <w:rFonts w:ascii="Arial" w:hAnsi="Arial" w:cs="Arial"/>
        </w:rPr>
        <w:t>profitability</w:t>
      </w:r>
      <w:r w:rsidR="00A12AD1" w:rsidRPr="00936FE8">
        <w:rPr>
          <w:rFonts w:ascii="Arial" w:hAnsi="Arial" w:cs="Arial"/>
        </w:rPr>
        <w:t xml:space="preserve"> margins experience downward pressure from significant cost headwinds, including the national living wage (NLW) increases and higher business rates. </w:t>
      </w:r>
    </w:p>
    <w:tbl>
      <w:tblPr>
        <w:tblStyle w:val="TableGrid"/>
        <w:tblW w:w="0" w:type="auto"/>
        <w:tblLook w:val="04A0" w:firstRow="1" w:lastRow="0" w:firstColumn="1" w:lastColumn="0" w:noHBand="0" w:noVBand="1"/>
      </w:tblPr>
      <w:tblGrid>
        <w:gridCol w:w="1647"/>
        <w:gridCol w:w="1473"/>
        <w:gridCol w:w="1474"/>
        <w:gridCol w:w="1474"/>
        <w:gridCol w:w="1474"/>
        <w:gridCol w:w="1474"/>
      </w:tblGrid>
      <w:tr w:rsidR="0043106D" w:rsidRPr="00936FE8" w14:paraId="6FD9139F" w14:textId="77777777" w:rsidTr="0043106D">
        <w:tc>
          <w:tcPr>
            <w:tcW w:w="0" w:type="auto"/>
            <w:hideMark/>
          </w:tcPr>
          <w:p w14:paraId="39472D9A"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b/>
                <w:bCs/>
              </w:rPr>
              <w:t>Metric</w:t>
            </w:r>
          </w:p>
        </w:tc>
        <w:tc>
          <w:tcPr>
            <w:tcW w:w="0" w:type="auto"/>
            <w:hideMark/>
          </w:tcPr>
          <w:p w14:paraId="7AAD3CBE"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b/>
                <w:bCs/>
              </w:rPr>
              <w:t>FY21/22</w:t>
            </w:r>
          </w:p>
        </w:tc>
        <w:tc>
          <w:tcPr>
            <w:tcW w:w="0" w:type="auto"/>
            <w:hideMark/>
          </w:tcPr>
          <w:p w14:paraId="63003005"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b/>
                <w:bCs/>
              </w:rPr>
              <w:t>FY22/23</w:t>
            </w:r>
          </w:p>
        </w:tc>
        <w:tc>
          <w:tcPr>
            <w:tcW w:w="0" w:type="auto"/>
            <w:hideMark/>
          </w:tcPr>
          <w:p w14:paraId="193F1858"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b/>
                <w:bCs/>
              </w:rPr>
              <w:t>FY23/24</w:t>
            </w:r>
          </w:p>
        </w:tc>
        <w:tc>
          <w:tcPr>
            <w:tcW w:w="0" w:type="auto"/>
            <w:hideMark/>
          </w:tcPr>
          <w:p w14:paraId="2495AA5B"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b/>
                <w:bCs/>
              </w:rPr>
              <w:t>FY24/25</w:t>
            </w:r>
          </w:p>
        </w:tc>
        <w:tc>
          <w:tcPr>
            <w:tcW w:w="0" w:type="auto"/>
            <w:hideMark/>
          </w:tcPr>
          <w:p w14:paraId="1CB53C5A"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b/>
                <w:bCs/>
              </w:rPr>
              <w:t>FY25/26</w:t>
            </w:r>
          </w:p>
        </w:tc>
      </w:tr>
      <w:tr w:rsidR="0043106D" w:rsidRPr="00936FE8" w14:paraId="104CE302" w14:textId="77777777" w:rsidTr="0043106D">
        <w:tc>
          <w:tcPr>
            <w:tcW w:w="0" w:type="auto"/>
            <w:hideMark/>
          </w:tcPr>
          <w:p w14:paraId="75D2AD2D"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b/>
                <w:bCs/>
              </w:rPr>
              <w:t>Gross Profit Margin (%)</w:t>
            </w:r>
          </w:p>
        </w:tc>
        <w:tc>
          <w:tcPr>
            <w:tcW w:w="0" w:type="auto"/>
            <w:hideMark/>
          </w:tcPr>
          <w:p w14:paraId="2E4A7F46"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33.1%</w:t>
            </w:r>
          </w:p>
        </w:tc>
        <w:tc>
          <w:tcPr>
            <w:tcW w:w="0" w:type="auto"/>
            <w:hideMark/>
          </w:tcPr>
          <w:p w14:paraId="7B0177DE"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37.9%</w:t>
            </w:r>
          </w:p>
        </w:tc>
        <w:tc>
          <w:tcPr>
            <w:tcW w:w="0" w:type="auto"/>
            <w:hideMark/>
          </w:tcPr>
          <w:p w14:paraId="02607EE1"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40.2%</w:t>
            </w:r>
          </w:p>
        </w:tc>
        <w:tc>
          <w:tcPr>
            <w:tcW w:w="0" w:type="auto"/>
            <w:hideMark/>
          </w:tcPr>
          <w:p w14:paraId="4AF041B3"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39.7%</w:t>
            </w:r>
          </w:p>
        </w:tc>
        <w:tc>
          <w:tcPr>
            <w:tcW w:w="0" w:type="auto"/>
            <w:hideMark/>
          </w:tcPr>
          <w:p w14:paraId="7E154033"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36.4%</w:t>
            </w:r>
          </w:p>
        </w:tc>
      </w:tr>
      <w:tr w:rsidR="0043106D" w:rsidRPr="00936FE8" w14:paraId="0A2DCB42" w14:textId="77777777" w:rsidTr="0043106D">
        <w:tc>
          <w:tcPr>
            <w:tcW w:w="0" w:type="auto"/>
            <w:hideMark/>
          </w:tcPr>
          <w:p w14:paraId="70AD8E94"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b/>
                <w:bCs/>
              </w:rPr>
              <w:lastRenderedPageBreak/>
              <w:t>Operating Profit Margin (%)</w:t>
            </w:r>
          </w:p>
        </w:tc>
        <w:tc>
          <w:tcPr>
            <w:tcW w:w="0" w:type="auto"/>
            <w:hideMark/>
          </w:tcPr>
          <w:p w14:paraId="4D43AF36"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9.5%</w:t>
            </w:r>
          </w:p>
        </w:tc>
        <w:tc>
          <w:tcPr>
            <w:tcW w:w="0" w:type="auto"/>
            <w:hideMark/>
          </w:tcPr>
          <w:p w14:paraId="38A596BD"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15.5%</w:t>
            </w:r>
          </w:p>
        </w:tc>
        <w:tc>
          <w:tcPr>
            <w:tcW w:w="0" w:type="auto"/>
            <w:hideMark/>
          </w:tcPr>
          <w:p w14:paraId="4394AE9F"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24.6%</w:t>
            </w:r>
          </w:p>
        </w:tc>
        <w:tc>
          <w:tcPr>
            <w:tcW w:w="0" w:type="auto"/>
            <w:hideMark/>
          </w:tcPr>
          <w:p w14:paraId="39FBDB0F"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25.9%</w:t>
            </w:r>
          </w:p>
        </w:tc>
        <w:tc>
          <w:tcPr>
            <w:tcW w:w="0" w:type="auto"/>
            <w:hideMark/>
          </w:tcPr>
          <w:p w14:paraId="0E0FAB5D" w14:textId="77777777" w:rsidR="0043106D" w:rsidRPr="00936FE8" w:rsidRDefault="0043106D" w:rsidP="00C82762">
            <w:pPr>
              <w:pStyle w:val="ListParagraph"/>
              <w:numPr>
                <w:ilvl w:val="0"/>
                <w:numId w:val="14"/>
              </w:numPr>
              <w:spacing w:line="360" w:lineRule="auto"/>
              <w:rPr>
                <w:rFonts w:ascii="Arial" w:hAnsi="Arial" w:cs="Arial"/>
              </w:rPr>
            </w:pPr>
            <w:r w:rsidRPr="00936FE8">
              <w:rPr>
                <w:rFonts w:ascii="Arial" w:hAnsi="Arial" w:cs="Arial"/>
              </w:rPr>
              <w:t>21.9%</w:t>
            </w:r>
          </w:p>
        </w:tc>
      </w:tr>
    </w:tbl>
    <w:p w14:paraId="180F2DC0" w14:textId="77777777" w:rsidR="00936FE8" w:rsidRPr="00936FE8" w:rsidRDefault="00936FE8" w:rsidP="00936FE8">
      <w:pPr>
        <w:pStyle w:val="Caption"/>
      </w:pPr>
      <w:r w:rsidRPr="00936FE8">
        <w:t xml:space="preserve">Table </w:t>
      </w:r>
      <w:r w:rsidRPr="00936FE8">
        <w:fldChar w:fldCharType="begin"/>
      </w:r>
      <w:r w:rsidRPr="00936FE8">
        <w:instrText xml:space="preserve"> SEQ Table \* ARABIC </w:instrText>
      </w:r>
      <w:r w:rsidRPr="00936FE8">
        <w:fldChar w:fldCharType="separate"/>
      </w:r>
      <w:r w:rsidRPr="00936FE8">
        <w:rPr>
          <w:noProof/>
        </w:rPr>
        <w:t>2</w:t>
      </w:r>
      <w:r w:rsidRPr="00936FE8">
        <w:rPr>
          <w:noProof/>
        </w:rPr>
        <w:fldChar w:fldCharType="end"/>
      </w:r>
      <w:r w:rsidRPr="00936FE8">
        <w:t>: Step-by-step profitability ratio analysis</w:t>
      </w:r>
    </w:p>
    <w:p w14:paraId="0DC9604C" w14:textId="702A2529" w:rsidR="0043106D" w:rsidRPr="00936FE8" w:rsidRDefault="00936FE8" w:rsidP="0054327B">
      <w:pPr>
        <w:spacing w:line="360" w:lineRule="auto"/>
        <w:rPr>
          <w:rFonts w:ascii="Arial" w:hAnsi="Arial" w:cs="Arial"/>
        </w:rPr>
      </w:pPr>
      <w:r w:rsidRPr="00936FE8">
        <w:rPr>
          <w:rFonts w:ascii="Arial" w:hAnsi="Arial" w:cs="Arial"/>
        </w:rPr>
        <w:t>(Self-employed)</w:t>
      </w:r>
    </w:p>
    <w:p w14:paraId="1D7FCE29" w14:textId="3C287369" w:rsidR="0043106D" w:rsidRPr="00936FE8" w:rsidRDefault="0043106D" w:rsidP="00C4346B">
      <w:pPr>
        <w:spacing w:line="360" w:lineRule="auto"/>
        <w:rPr>
          <w:rFonts w:ascii="Arial" w:hAnsi="Arial" w:cs="Arial"/>
          <w:b/>
          <w:bCs/>
          <w:i/>
          <w:iCs/>
        </w:rPr>
      </w:pPr>
      <w:r w:rsidRPr="00936FE8">
        <w:rPr>
          <w:rFonts w:ascii="Arial" w:hAnsi="Arial" w:cs="Arial"/>
          <w:b/>
          <w:bCs/>
          <w:i/>
          <w:iCs/>
        </w:rPr>
        <w:t xml:space="preserve">Gross profit margin analysis: </w:t>
      </w:r>
    </w:p>
    <w:p w14:paraId="0FB998A2" w14:textId="77777777" w:rsidR="00C4346B" w:rsidRPr="00936FE8" w:rsidRDefault="00C4346B" w:rsidP="00C4346B">
      <w:pPr>
        <w:keepNext/>
        <w:spacing w:line="360" w:lineRule="auto"/>
        <w:rPr>
          <w:rFonts w:ascii="Arial" w:hAnsi="Arial" w:cs="Arial"/>
        </w:rPr>
      </w:pPr>
      <w:r w:rsidRPr="00936FE8">
        <w:rPr>
          <w:rFonts w:ascii="Arial" w:hAnsi="Arial" w:cs="Arial"/>
          <w:b/>
          <w:bCs/>
          <w:i/>
          <w:iCs/>
          <w:noProof/>
        </w:rPr>
        <w:drawing>
          <wp:inline distT="0" distB="0" distL="0" distR="0" wp14:anchorId="2056DF2B" wp14:editId="294A1024">
            <wp:extent cx="5486400" cy="3200400"/>
            <wp:effectExtent l="38100" t="38100" r="38100" b="38100"/>
            <wp:docPr id="205824728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CCADB58" w14:textId="3BFC400B" w:rsidR="00C4346B" w:rsidRPr="00936FE8" w:rsidRDefault="00C4346B" w:rsidP="00C4346B">
      <w:pPr>
        <w:pStyle w:val="Caption"/>
      </w:pPr>
      <w:r w:rsidRPr="00936FE8">
        <w:t xml:space="preserve">Figure </w:t>
      </w:r>
      <w:fldSimple w:instr=" SEQ Figure \* ARABIC ">
        <w:r w:rsidR="0047746F" w:rsidRPr="00936FE8">
          <w:rPr>
            <w:noProof/>
          </w:rPr>
          <w:t>1</w:t>
        </w:r>
      </w:fldSimple>
      <w:r w:rsidRPr="00936FE8">
        <w:t>: Gross Profit Margin analysis</w:t>
      </w:r>
    </w:p>
    <w:p w14:paraId="361ABC9A" w14:textId="4E401125" w:rsidR="00C4346B" w:rsidRPr="00936FE8" w:rsidRDefault="00C4346B" w:rsidP="00C4346B">
      <w:pPr>
        <w:rPr>
          <w:rFonts w:ascii="Arial" w:hAnsi="Arial" w:cs="Arial"/>
        </w:rPr>
      </w:pPr>
      <w:r w:rsidRPr="00936FE8">
        <w:rPr>
          <w:rFonts w:ascii="Arial" w:hAnsi="Arial" w:cs="Arial"/>
        </w:rPr>
        <w:t>(Source: Author, 2026)</w:t>
      </w:r>
    </w:p>
    <w:p w14:paraId="68E4F42A" w14:textId="45EF723B" w:rsidR="00C82762" w:rsidRPr="00936FE8" w:rsidRDefault="00C82762" w:rsidP="00C4346B">
      <w:pPr>
        <w:spacing w:line="360" w:lineRule="auto"/>
        <w:rPr>
          <w:rFonts w:ascii="Arial" w:hAnsi="Arial" w:cs="Arial"/>
          <w:b/>
          <w:bCs/>
          <w:i/>
          <w:iCs/>
        </w:rPr>
      </w:pPr>
      <w:r w:rsidRPr="00936FE8">
        <w:rPr>
          <w:rFonts w:ascii="Arial" w:hAnsi="Arial" w:cs="Arial"/>
          <w:b/>
          <w:bCs/>
          <w:i/>
          <w:iCs/>
        </w:rPr>
        <w:t xml:space="preserve">Operating Profit </w:t>
      </w:r>
      <w:r w:rsidR="00C4346B" w:rsidRPr="00936FE8">
        <w:rPr>
          <w:rFonts w:ascii="Arial" w:hAnsi="Arial" w:cs="Arial"/>
          <w:b/>
          <w:bCs/>
          <w:i/>
          <w:iCs/>
        </w:rPr>
        <w:t>Margin Analysis</w:t>
      </w:r>
    </w:p>
    <w:p w14:paraId="16112586" w14:textId="77777777" w:rsidR="00C4346B" w:rsidRPr="00936FE8" w:rsidRDefault="00C4346B" w:rsidP="00C4346B">
      <w:pPr>
        <w:keepNext/>
        <w:spacing w:line="360" w:lineRule="auto"/>
        <w:rPr>
          <w:rFonts w:ascii="Arial" w:hAnsi="Arial" w:cs="Arial"/>
        </w:rPr>
      </w:pPr>
      <w:r w:rsidRPr="00936FE8">
        <w:rPr>
          <w:rFonts w:ascii="Arial" w:hAnsi="Arial" w:cs="Arial"/>
          <w:noProof/>
        </w:rPr>
        <w:lastRenderedPageBreak/>
        <w:drawing>
          <wp:inline distT="0" distB="0" distL="0" distR="0" wp14:anchorId="2911F3BA" wp14:editId="2A329623">
            <wp:extent cx="5486400" cy="3200400"/>
            <wp:effectExtent l="57150" t="0" r="38100" b="0"/>
            <wp:docPr id="98219322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97957B6" w14:textId="138ACBF2" w:rsidR="00C4346B" w:rsidRPr="00936FE8" w:rsidRDefault="00C4346B" w:rsidP="00C4346B">
      <w:pPr>
        <w:pStyle w:val="Caption"/>
      </w:pPr>
      <w:r w:rsidRPr="00936FE8">
        <w:t xml:space="preserve">Figure </w:t>
      </w:r>
      <w:fldSimple w:instr=" SEQ Figure \* ARABIC ">
        <w:r w:rsidR="0047746F" w:rsidRPr="00936FE8">
          <w:rPr>
            <w:noProof/>
          </w:rPr>
          <w:t>2</w:t>
        </w:r>
      </w:fldSimple>
      <w:r w:rsidRPr="00936FE8">
        <w:t>: Operating profit margin analysis</w:t>
      </w:r>
    </w:p>
    <w:p w14:paraId="0105F69A" w14:textId="0FD70BAB" w:rsidR="00C4346B" w:rsidRPr="00936FE8" w:rsidRDefault="00C4346B" w:rsidP="00C4346B">
      <w:pPr>
        <w:rPr>
          <w:rFonts w:ascii="Arial" w:hAnsi="Arial" w:cs="Arial"/>
        </w:rPr>
      </w:pPr>
      <w:r w:rsidRPr="00936FE8">
        <w:rPr>
          <w:rFonts w:ascii="Arial" w:hAnsi="Arial" w:cs="Arial"/>
        </w:rPr>
        <w:t>(Source: Author, 2026)</w:t>
      </w:r>
    </w:p>
    <w:p w14:paraId="0F5B4725" w14:textId="3A46640F" w:rsidR="00393EA1" w:rsidRPr="00936FE8" w:rsidRDefault="00393EA1" w:rsidP="0054327B">
      <w:pPr>
        <w:spacing w:line="360" w:lineRule="auto"/>
        <w:rPr>
          <w:rFonts w:ascii="Arial" w:hAnsi="Arial" w:cs="Arial"/>
        </w:rPr>
      </w:pPr>
      <w:r w:rsidRPr="00936FE8">
        <w:rPr>
          <w:rFonts w:ascii="Arial" w:hAnsi="Arial" w:cs="Arial"/>
        </w:rPr>
        <w:t xml:space="preserve">The standard formulas applicable here are: </w:t>
      </w:r>
    </w:p>
    <w:p w14:paraId="7BB72DE5" w14:textId="1354AF49" w:rsidR="00393EA1" w:rsidRPr="00936FE8" w:rsidRDefault="00393EA1" w:rsidP="0054327B">
      <w:pPr>
        <w:spacing w:line="360" w:lineRule="auto"/>
        <w:rPr>
          <w:rFonts w:ascii="Arial" w:eastAsiaTheme="minorEastAsia" w:hAnsi="Arial" w:cs="Arial"/>
        </w:rPr>
      </w:pPr>
      <w:r w:rsidRPr="00936FE8">
        <w:rPr>
          <w:rFonts w:ascii="Arial" w:hAnsi="Arial" w:cs="Arial"/>
        </w:rPr>
        <w:br/>
      </w:r>
      <m:oMathPara>
        <m:oMath>
          <m:r>
            <m:rPr>
              <m:nor/>
            </m:rPr>
            <w:rPr>
              <w:rFonts w:ascii="Arial" w:hAnsi="Arial" w:cs="Arial"/>
            </w:rPr>
            <m:t>ROCE</m:t>
          </m:r>
          <m:r>
            <w:rPr>
              <w:rFonts w:ascii="Cambria Math" w:hAnsi="Cambria Math" w:cs="Arial"/>
            </w:rPr>
            <m:t>=</m:t>
          </m:r>
          <m:f>
            <m:fPr>
              <m:ctrlPr>
                <w:rPr>
                  <w:rFonts w:ascii="Cambria Math" w:hAnsi="Cambria Math" w:cs="Arial"/>
                </w:rPr>
              </m:ctrlPr>
            </m:fPr>
            <m:num>
              <m:r>
                <m:rPr>
                  <m:nor/>
                </m:rPr>
                <w:rPr>
                  <w:rFonts w:ascii="Arial" w:hAnsi="Arial" w:cs="Arial"/>
                </w:rPr>
                <m:t>Operating Profit (EBIT)</m:t>
              </m:r>
            </m:num>
            <m:den>
              <m:r>
                <m:rPr>
                  <m:nor/>
                </m:rPr>
                <w:rPr>
                  <w:rFonts w:ascii="Arial" w:hAnsi="Arial" w:cs="Arial"/>
                </w:rPr>
                <m:t>Total Assets</m:t>
              </m:r>
              <m:r>
                <w:rPr>
                  <w:rFonts w:ascii="Cambria Math" w:hAnsi="Cambria Math" w:cs="Arial"/>
                </w:rPr>
                <m:t>-</m:t>
              </m:r>
              <m:r>
                <m:rPr>
                  <m:nor/>
                </m:rPr>
                <w:rPr>
                  <w:rFonts w:ascii="Arial" w:hAnsi="Arial" w:cs="Arial"/>
                </w:rPr>
                <m:t>Current Liabilities</m:t>
              </m:r>
            </m:den>
          </m:f>
          <m:r>
            <w:rPr>
              <w:rFonts w:ascii="Cambria Math" w:hAnsi="Cambria Math" w:cs="Arial"/>
            </w:rPr>
            <m:t>×100</m:t>
          </m:r>
        </m:oMath>
      </m:oMathPara>
    </w:p>
    <w:p w14:paraId="01C6B1D2" w14:textId="5A4A4A13" w:rsidR="00AC665C" w:rsidRPr="00936FE8" w:rsidRDefault="00393EA1" w:rsidP="0054327B">
      <w:pPr>
        <w:spacing w:line="360" w:lineRule="auto"/>
        <w:rPr>
          <w:rFonts w:ascii="Arial" w:eastAsiaTheme="minorEastAsia" w:hAnsi="Arial" w:cs="Arial"/>
        </w:rPr>
      </w:pPr>
      <m:oMathPara>
        <m:oMath>
          <m:r>
            <m:rPr>
              <m:nor/>
            </m:rPr>
            <w:rPr>
              <w:rFonts w:ascii="Arial" w:hAnsi="Arial" w:cs="Arial"/>
            </w:rPr>
            <m:t>ROE</m:t>
          </m:r>
          <m:r>
            <w:rPr>
              <w:rFonts w:ascii="Cambria Math" w:hAnsi="Cambria Math" w:cs="Arial"/>
            </w:rPr>
            <m:t>=</m:t>
          </m:r>
          <m:f>
            <m:fPr>
              <m:ctrlPr>
                <w:rPr>
                  <w:rFonts w:ascii="Cambria Math" w:hAnsi="Cambria Math" w:cs="Arial"/>
                </w:rPr>
              </m:ctrlPr>
            </m:fPr>
            <m:num>
              <m:r>
                <m:rPr>
                  <m:nor/>
                </m:rPr>
                <w:rPr>
                  <w:rFonts w:ascii="Arial" w:hAnsi="Arial" w:cs="Arial"/>
                </w:rPr>
                <m:t>Net Income</m:t>
              </m:r>
            </m:num>
            <m:den>
              <m:r>
                <m:rPr>
                  <m:nor/>
                </m:rPr>
                <w:rPr>
                  <w:rFonts w:ascii="Arial" w:hAnsi="Arial" w:cs="Arial"/>
                </w:rPr>
                <m:t>Shareholders' Equity</m:t>
              </m:r>
            </m:den>
          </m:f>
          <m:r>
            <w:rPr>
              <w:rFonts w:ascii="Cambria Math" w:hAnsi="Cambria Math" w:cs="Arial"/>
            </w:rPr>
            <m:t>×100</m:t>
          </m:r>
        </m:oMath>
      </m:oMathPara>
    </w:p>
    <w:p w14:paraId="69DA90F6" w14:textId="4674CD60" w:rsidR="00AC665C" w:rsidRPr="00936FE8" w:rsidRDefault="00AC665C" w:rsidP="00C82762">
      <w:pPr>
        <w:pStyle w:val="Caption"/>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393EA1" w:rsidRPr="00936FE8" w14:paraId="1F2B540F" w14:textId="77535F73" w:rsidTr="00717B45">
        <w:tc>
          <w:tcPr>
            <w:tcW w:w="1502" w:type="dxa"/>
            <w:vAlign w:val="center"/>
          </w:tcPr>
          <w:p w14:paraId="4BFD9E7F" w14:textId="65E443F5" w:rsidR="00393EA1" w:rsidRPr="00936FE8" w:rsidRDefault="00393EA1" w:rsidP="0054327B">
            <w:pPr>
              <w:spacing w:line="360" w:lineRule="auto"/>
              <w:rPr>
                <w:rFonts w:ascii="Arial" w:hAnsi="Arial" w:cs="Arial"/>
              </w:rPr>
            </w:pPr>
            <w:r w:rsidRPr="00936FE8">
              <w:rPr>
                <w:rStyle w:val="Strong"/>
                <w:rFonts w:ascii="Arial" w:hAnsi="Arial" w:cs="Arial"/>
              </w:rPr>
              <w:t>Metric</w:t>
            </w:r>
          </w:p>
        </w:tc>
        <w:tc>
          <w:tcPr>
            <w:tcW w:w="1502" w:type="dxa"/>
            <w:vAlign w:val="center"/>
          </w:tcPr>
          <w:p w14:paraId="5BB64E0B" w14:textId="01100811" w:rsidR="00393EA1" w:rsidRPr="00936FE8" w:rsidRDefault="00393EA1" w:rsidP="0054327B">
            <w:pPr>
              <w:spacing w:line="360" w:lineRule="auto"/>
              <w:rPr>
                <w:rFonts w:ascii="Arial" w:hAnsi="Arial" w:cs="Arial"/>
              </w:rPr>
            </w:pPr>
            <w:r w:rsidRPr="00936FE8">
              <w:rPr>
                <w:rStyle w:val="Strong"/>
                <w:rFonts w:ascii="Arial" w:hAnsi="Arial" w:cs="Arial"/>
              </w:rPr>
              <w:t>FY21/22</w:t>
            </w:r>
          </w:p>
        </w:tc>
        <w:tc>
          <w:tcPr>
            <w:tcW w:w="1503" w:type="dxa"/>
            <w:vAlign w:val="center"/>
          </w:tcPr>
          <w:p w14:paraId="7BDCE903" w14:textId="5F122387" w:rsidR="00393EA1" w:rsidRPr="00936FE8" w:rsidRDefault="00393EA1" w:rsidP="0054327B">
            <w:pPr>
              <w:spacing w:line="360" w:lineRule="auto"/>
              <w:rPr>
                <w:rFonts w:ascii="Arial" w:hAnsi="Arial" w:cs="Arial"/>
              </w:rPr>
            </w:pPr>
            <w:r w:rsidRPr="00936FE8">
              <w:rPr>
                <w:rStyle w:val="Strong"/>
                <w:rFonts w:ascii="Arial" w:hAnsi="Arial" w:cs="Arial"/>
              </w:rPr>
              <w:t>FY22/23</w:t>
            </w:r>
          </w:p>
        </w:tc>
        <w:tc>
          <w:tcPr>
            <w:tcW w:w="1503" w:type="dxa"/>
            <w:vAlign w:val="center"/>
          </w:tcPr>
          <w:p w14:paraId="64E4234E" w14:textId="55E9EA74" w:rsidR="00393EA1" w:rsidRPr="00936FE8" w:rsidRDefault="00393EA1" w:rsidP="0054327B">
            <w:pPr>
              <w:spacing w:line="360" w:lineRule="auto"/>
              <w:rPr>
                <w:rFonts w:ascii="Arial" w:hAnsi="Arial" w:cs="Arial"/>
              </w:rPr>
            </w:pPr>
            <w:r w:rsidRPr="00936FE8">
              <w:rPr>
                <w:rStyle w:val="Strong"/>
                <w:rFonts w:ascii="Arial" w:hAnsi="Arial" w:cs="Arial"/>
              </w:rPr>
              <w:t>FY23/24</w:t>
            </w:r>
          </w:p>
        </w:tc>
        <w:tc>
          <w:tcPr>
            <w:tcW w:w="1503" w:type="dxa"/>
            <w:vAlign w:val="center"/>
          </w:tcPr>
          <w:p w14:paraId="6C62ECA7" w14:textId="09D4457A" w:rsidR="00393EA1" w:rsidRPr="00936FE8" w:rsidRDefault="00393EA1" w:rsidP="0054327B">
            <w:pPr>
              <w:spacing w:line="360" w:lineRule="auto"/>
              <w:rPr>
                <w:rFonts w:ascii="Arial" w:hAnsi="Arial" w:cs="Arial"/>
              </w:rPr>
            </w:pPr>
            <w:r w:rsidRPr="00936FE8">
              <w:rPr>
                <w:rStyle w:val="Strong"/>
                <w:rFonts w:ascii="Arial" w:hAnsi="Arial" w:cs="Arial"/>
              </w:rPr>
              <w:t>FY24/25</w:t>
            </w:r>
          </w:p>
        </w:tc>
        <w:tc>
          <w:tcPr>
            <w:tcW w:w="1503" w:type="dxa"/>
            <w:vAlign w:val="center"/>
          </w:tcPr>
          <w:p w14:paraId="5481A607" w14:textId="2F7A0AED" w:rsidR="00393EA1" w:rsidRPr="00936FE8" w:rsidRDefault="00393EA1" w:rsidP="0054327B">
            <w:pPr>
              <w:spacing w:line="360" w:lineRule="auto"/>
              <w:rPr>
                <w:rFonts w:ascii="Arial" w:hAnsi="Arial" w:cs="Arial"/>
              </w:rPr>
            </w:pPr>
            <w:r w:rsidRPr="00936FE8">
              <w:rPr>
                <w:rStyle w:val="Strong"/>
                <w:rFonts w:ascii="Arial" w:hAnsi="Arial" w:cs="Arial"/>
              </w:rPr>
              <w:t>FY25/26</w:t>
            </w:r>
          </w:p>
        </w:tc>
      </w:tr>
      <w:tr w:rsidR="00393EA1" w:rsidRPr="00936FE8" w14:paraId="504A422E" w14:textId="77777777" w:rsidTr="00393EA1">
        <w:tc>
          <w:tcPr>
            <w:tcW w:w="1502" w:type="dxa"/>
          </w:tcPr>
          <w:p w14:paraId="0C0D495C" w14:textId="36778C89" w:rsidR="00393EA1" w:rsidRPr="00936FE8" w:rsidRDefault="00393EA1" w:rsidP="0054327B">
            <w:pPr>
              <w:spacing w:line="360" w:lineRule="auto"/>
              <w:rPr>
                <w:rFonts w:ascii="Arial" w:hAnsi="Arial" w:cs="Arial"/>
              </w:rPr>
            </w:pPr>
            <w:r w:rsidRPr="00936FE8">
              <w:rPr>
                <w:rFonts w:ascii="Arial" w:hAnsi="Arial" w:cs="Arial"/>
              </w:rPr>
              <w:t>Total Revenue (£m)</w:t>
            </w:r>
          </w:p>
        </w:tc>
        <w:tc>
          <w:tcPr>
            <w:tcW w:w="1502" w:type="dxa"/>
          </w:tcPr>
          <w:p w14:paraId="74C40FCB" w14:textId="23573E36" w:rsidR="00393EA1" w:rsidRPr="00936FE8" w:rsidRDefault="00393EA1" w:rsidP="0054327B">
            <w:pPr>
              <w:spacing w:line="360" w:lineRule="auto"/>
              <w:rPr>
                <w:rFonts w:ascii="Arial" w:hAnsi="Arial" w:cs="Arial"/>
              </w:rPr>
            </w:pPr>
            <w:r w:rsidRPr="00936FE8">
              <w:rPr>
                <w:rFonts w:ascii="Arial" w:hAnsi="Arial" w:cs="Arial"/>
              </w:rPr>
              <w:t>£559.7</w:t>
            </w:r>
          </w:p>
        </w:tc>
        <w:tc>
          <w:tcPr>
            <w:tcW w:w="1503" w:type="dxa"/>
          </w:tcPr>
          <w:p w14:paraId="209EDE3D" w14:textId="64FA5A4F" w:rsidR="00393EA1" w:rsidRPr="00936FE8" w:rsidRDefault="00393EA1" w:rsidP="0054327B">
            <w:pPr>
              <w:spacing w:line="360" w:lineRule="auto"/>
              <w:rPr>
                <w:rFonts w:ascii="Arial" w:hAnsi="Arial" w:cs="Arial"/>
              </w:rPr>
            </w:pPr>
            <w:r w:rsidRPr="00936FE8">
              <w:rPr>
                <w:rFonts w:ascii="Arial" w:hAnsi="Arial" w:cs="Arial"/>
              </w:rPr>
              <w:t>£910.8</w:t>
            </w:r>
          </w:p>
        </w:tc>
        <w:tc>
          <w:tcPr>
            <w:tcW w:w="1503" w:type="dxa"/>
          </w:tcPr>
          <w:p w14:paraId="09C09338" w14:textId="7367677B" w:rsidR="00393EA1" w:rsidRPr="00936FE8" w:rsidRDefault="00393EA1" w:rsidP="0054327B">
            <w:pPr>
              <w:spacing w:line="360" w:lineRule="auto"/>
              <w:rPr>
                <w:rFonts w:ascii="Arial" w:hAnsi="Arial" w:cs="Arial"/>
              </w:rPr>
            </w:pPr>
            <w:r w:rsidRPr="00936FE8">
              <w:rPr>
                <w:rFonts w:ascii="Arial" w:hAnsi="Arial" w:cs="Arial"/>
              </w:rPr>
              <w:t>£1,035.2</w:t>
            </w:r>
          </w:p>
        </w:tc>
        <w:tc>
          <w:tcPr>
            <w:tcW w:w="1503" w:type="dxa"/>
          </w:tcPr>
          <w:p w14:paraId="3BDC82A4" w14:textId="60F9D144" w:rsidR="00393EA1" w:rsidRPr="00936FE8" w:rsidRDefault="00393EA1" w:rsidP="0054327B">
            <w:pPr>
              <w:spacing w:line="360" w:lineRule="auto"/>
              <w:rPr>
                <w:rFonts w:ascii="Arial" w:hAnsi="Arial" w:cs="Arial"/>
              </w:rPr>
            </w:pPr>
            <w:r w:rsidRPr="00936FE8">
              <w:rPr>
                <w:rFonts w:ascii="Arial" w:hAnsi="Arial" w:cs="Arial"/>
              </w:rPr>
              <w:t>£1,036.6</w:t>
            </w:r>
          </w:p>
        </w:tc>
        <w:tc>
          <w:tcPr>
            <w:tcW w:w="1503" w:type="dxa"/>
          </w:tcPr>
          <w:p w14:paraId="158CA95E" w14:textId="6ADE1A02" w:rsidR="00393EA1" w:rsidRPr="00936FE8" w:rsidRDefault="00393EA1" w:rsidP="0054327B">
            <w:pPr>
              <w:spacing w:line="360" w:lineRule="auto"/>
              <w:rPr>
                <w:rFonts w:ascii="Arial" w:hAnsi="Arial" w:cs="Arial"/>
              </w:rPr>
            </w:pPr>
            <w:r w:rsidRPr="00936FE8">
              <w:rPr>
                <w:rFonts w:ascii="Arial" w:hAnsi="Arial" w:cs="Arial"/>
              </w:rPr>
              <w:t>£1,044.3</w:t>
            </w:r>
          </w:p>
        </w:tc>
      </w:tr>
      <w:tr w:rsidR="00393EA1" w:rsidRPr="00936FE8" w14:paraId="2B1A510B" w14:textId="77777777" w:rsidTr="00393EA1">
        <w:tc>
          <w:tcPr>
            <w:tcW w:w="1502" w:type="dxa"/>
          </w:tcPr>
          <w:p w14:paraId="4EB0FDAA" w14:textId="535B90F8" w:rsidR="00393EA1" w:rsidRPr="00936FE8" w:rsidRDefault="00393EA1" w:rsidP="0054327B">
            <w:pPr>
              <w:spacing w:line="360" w:lineRule="auto"/>
              <w:rPr>
                <w:rFonts w:ascii="Arial" w:hAnsi="Arial" w:cs="Arial"/>
              </w:rPr>
            </w:pPr>
            <w:r w:rsidRPr="00936FE8">
              <w:rPr>
                <w:rFonts w:ascii="Arial" w:hAnsi="Arial" w:cs="Arial"/>
              </w:rPr>
              <w:t>Operating Profit (£m)</w:t>
            </w:r>
          </w:p>
        </w:tc>
        <w:tc>
          <w:tcPr>
            <w:tcW w:w="1502" w:type="dxa"/>
          </w:tcPr>
          <w:p w14:paraId="770037CC" w14:textId="7AD556C7" w:rsidR="00393EA1" w:rsidRPr="00936FE8" w:rsidRDefault="00393EA1" w:rsidP="0054327B">
            <w:pPr>
              <w:spacing w:line="360" w:lineRule="auto"/>
              <w:rPr>
                <w:rFonts w:ascii="Arial" w:hAnsi="Arial" w:cs="Arial"/>
              </w:rPr>
            </w:pPr>
            <w:r w:rsidRPr="00936FE8">
              <w:rPr>
                <w:rFonts w:ascii="Arial" w:hAnsi="Arial" w:cs="Arial"/>
              </w:rPr>
              <w:t>£53.2</w:t>
            </w:r>
          </w:p>
        </w:tc>
        <w:tc>
          <w:tcPr>
            <w:tcW w:w="1503" w:type="dxa"/>
          </w:tcPr>
          <w:p w14:paraId="5E699387" w14:textId="656F0494" w:rsidR="00393EA1" w:rsidRPr="00936FE8" w:rsidRDefault="00393EA1" w:rsidP="0054327B">
            <w:pPr>
              <w:spacing w:line="360" w:lineRule="auto"/>
              <w:rPr>
                <w:rFonts w:ascii="Arial" w:hAnsi="Arial" w:cs="Arial"/>
              </w:rPr>
            </w:pPr>
            <w:r w:rsidRPr="00936FE8">
              <w:rPr>
                <w:rFonts w:ascii="Arial" w:hAnsi="Arial" w:cs="Arial"/>
              </w:rPr>
              <w:t>£141.6</w:t>
            </w:r>
          </w:p>
        </w:tc>
        <w:tc>
          <w:tcPr>
            <w:tcW w:w="1503" w:type="dxa"/>
          </w:tcPr>
          <w:p w14:paraId="134D9D27" w14:textId="6F0F9E5E" w:rsidR="00393EA1" w:rsidRPr="00936FE8" w:rsidRDefault="00393EA1" w:rsidP="0054327B">
            <w:pPr>
              <w:spacing w:line="360" w:lineRule="auto"/>
              <w:rPr>
                <w:rFonts w:ascii="Arial" w:hAnsi="Arial" w:cs="Arial"/>
              </w:rPr>
            </w:pPr>
            <w:r w:rsidRPr="00936FE8">
              <w:rPr>
                <w:rFonts w:ascii="Arial" w:hAnsi="Arial" w:cs="Arial"/>
              </w:rPr>
              <w:t>£254.6</w:t>
            </w:r>
          </w:p>
        </w:tc>
        <w:tc>
          <w:tcPr>
            <w:tcW w:w="1503" w:type="dxa"/>
          </w:tcPr>
          <w:p w14:paraId="2392A55B" w14:textId="453B7EF9" w:rsidR="00393EA1" w:rsidRPr="00936FE8" w:rsidRDefault="00393EA1" w:rsidP="0054327B">
            <w:pPr>
              <w:spacing w:line="360" w:lineRule="auto"/>
              <w:rPr>
                <w:rFonts w:ascii="Arial" w:hAnsi="Arial" w:cs="Arial"/>
              </w:rPr>
            </w:pPr>
            <w:r w:rsidRPr="00936FE8">
              <w:rPr>
                <w:rFonts w:ascii="Arial" w:hAnsi="Arial" w:cs="Arial"/>
              </w:rPr>
              <w:t>£268.6</w:t>
            </w:r>
          </w:p>
        </w:tc>
        <w:tc>
          <w:tcPr>
            <w:tcW w:w="1503" w:type="dxa"/>
          </w:tcPr>
          <w:p w14:paraId="4BDE52C6" w14:textId="1682F5FE" w:rsidR="00393EA1" w:rsidRPr="00936FE8" w:rsidRDefault="00393EA1" w:rsidP="0054327B">
            <w:pPr>
              <w:spacing w:line="360" w:lineRule="auto"/>
              <w:rPr>
                <w:rFonts w:ascii="Arial" w:hAnsi="Arial" w:cs="Arial"/>
              </w:rPr>
            </w:pPr>
            <w:r w:rsidRPr="00936FE8">
              <w:rPr>
                <w:rFonts w:ascii="Arial" w:hAnsi="Arial" w:cs="Arial"/>
              </w:rPr>
              <w:t>£228.7</w:t>
            </w:r>
          </w:p>
        </w:tc>
      </w:tr>
      <w:tr w:rsidR="00393EA1" w:rsidRPr="00936FE8" w14:paraId="6B08025F" w14:textId="77777777" w:rsidTr="00393EA1">
        <w:tc>
          <w:tcPr>
            <w:tcW w:w="1502" w:type="dxa"/>
          </w:tcPr>
          <w:p w14:paraId="6D40FF42" w14:textId="3923DB74" w:rsidR="00393EA1" w:rsidRPr="00936FE8" w:rsidRDefault="00393EA1" w:rsidP="0054327B">
            <w:pPr>
              <w:spacing w:line="360" w:lineRule="auto"/>
              <w:rPr>
                <w:rFonts w:ascii="Arial" w:hAnsi="Arial" w:cs="Arial"/>
              </w:rPr>
            </w:pPr>
            <w:r w:rsidRPr="00936FE8">
              <w:rPr>
                <w:rFonts w:ascii="Arial" w:hAnsi="Arial" w:cs="Arial"/>
              </w:rPr>
              <w:t>Net Profit / (Loss) (£m)</w:t>
            </w:r>
          </w:p>
        </w:tc>
        <w:tc>
          <w:tcPr>
            <w:tcW w:w="1502" w:type="dxa"/>
          </w:tcPr>
          <w:p w14:paraId="718D69E1" w14:textId="1D61140C" w:rsidR="00393EA1" w:rsidRPr="00936FE8" w:rsidRDefault="00393EA1" w:rsidP="0054327B">
            <w:pPr>
              <w:spacing w:line="360" w:lineRule="auto"/>
              <w:rPr>
                <w:rFonts w:ascii="Arial" w:hAnsi="Arial" w:cs="Arial"/>
              </w:rPr>
            </w:pPr>
            <w:r w:rsidRPr="00936FE8">
              <w:rPr>
                <w:rFonts w:ascii="Arial" w:hAnsi="Arial" w:cs="Arial"/>
              </w:rPr>
              <w:t>£</w:t>
            </w:r>
            <w:r w:rsidR="00AC665C" w:rsidRPr="00936FE8">
              <w:rPr>
                <w:rFonts w:ascii="Arial" w:hAnsi="Arial" w:cs="Arial"/>
              </w:rPr>
              <w:t xml:space="preserve"> </w:t>
            </w:r>
            <w:r w:rsidRPr="00936FE8">
              <w:rPr>
                <w:rFonts w:ascii="Arial" w:hAnsi="Arial" w:cs="Arial"/>
              </w:rPr>
              <w:t>(12.4)</w:t>
            </w:r>
          </w:p>
        </w:tc>
        <w:tc>
          <w:tcPr>
            <w:tcW w:w="1503" w:type="dxa"/>
          </w:tcPr>
          <w:p w14:paraId="5923D3F3" w14:textId="2BC31C7F" w:rsidR="00393EA1" w:rsidRPr="00936FE8" w:rsidRDefault="00393EA1" w:rsidP="0054327B">
            <w:pPr>
              <w:spacing w:line="360" w:lineRule="auto"/>
              <w:rPr>
                <w:rFonts w:ascii="Arial" w:hAnsi="Arial" w:cs="Arial"/>
              </w:rPr>
            </w:pPr>
            <w:r w:rsidRPr="00936FE8">
              <w:rPr>
                <w:rFonts w:ascii="Arial" w:hAnsi="Arial" w:cs="Arial"/>
              </w:rPr>
              <w:t>£28.5</w:t>
            </w:r>
          </w:p>
        </w:tc>
        <w:tc>
          <w:tcPr>
            <w:tcW w:w="1503" w:type="dxa"/>
          </w:tcPr>
          <w:p w14:paraId="4E86EAD1" w14:textId="772900C9" w:rsidR="00393EA1" w:rsidRPr="00936FE8" w:rsidRDefault="00393EA1" w:rsidP="0054327B">
            <w:pPr>
              <w:spacing w:line="360" w:lineRule="auto"/>
              <w:rPr>
                <w:rFonts w:ascii="Arial" w:hAnsi="Arial" w:cs="Arial"/>
              </w:rPr>
            </w:pPr>
            <w:r w:rsidRPr="00936FE8">
              <w:rPr>
                <w:rFonts w:ascii="Arial" w:hAnsi="Arial" w:cs="Arial"/>
              </w:rPr>
              <w:t>£52.1</w:t>
            </w:r>
          </w:p>
        </w:tc>
        <w:tc>
          <w:tcPr>
            <w:tcW w:w="1503" w:type="dxa"/>
          </w:tcPr>
          <w:p w14:paraId="28EB3017" w14:textId="7B101840" w:rsidR="00393EA1" w:rsidRPr="00936FE8" w:rsidRDefault="00393EA1" w:rsidP="0054327B">
            <w:pPr>
              <w:spacing w:line="360" w:lineRule="auto"/>
              <w:rPr>
                <w:rFonts w:ascii="Arial" w:hAnsi="Arial" w:cs="Arial"/>
              </w:rPr>
            </w:pPr>
            <w:proofErr w:type="gramStart"/>
            <w:r w:rsidRPr="00936FE8">
              <w:rPr>
                <w:rFonts w:ascii="Arial" w:hAnsi="Arial" w:cs="Arial"/>
              </w:rPr>
              <w:t>£(</w:t>
            </w:r>
            <w:proofErr w:type="gramEnd"/>
            <w:r w:rsidRPr="00936FE8">
              <w:rPr>
                <w:rFonts w:ascii="Arial" w:hAnsi="Arial" w:cs="Arial"/>
              </w:rPr>
              <w:t>6.7)</w:t>
            </w:r>
          </w:p>
        </w:tc>
        <w:tc>
          <w:tcPr>
            <w:tcW w:w="1503" w:type="dxa"/>
          </w:tcPr>
          <w:p w14:paraId="61A0A5DD" w14:textId="337F4B8F" w:rsidR="00393EA1" w:rsidRPr="00936FE8" w:rsidRDefault="00393EA1" w:rsidP="0054327B">
            <w:pPr>
              <w:spacing w:line="360" w:lineRule="auto"/>
              <w:rPr>
                <w:rFonts w:ascii="Arial" w:hAnsi="Arial" w:cs="Arial"/>
              </w:rPr>
            </w:pPr>
            <w:proofErr w:type="gramStart"/>
            <w:r w:rsidRPr="00936FE8">
              <w:rPr>
                <w:rFonts w:ascii="Arial" w:hAnsi="Arial" w:cs="Arial"/>
              </w:rPr>
              <w:t>£(</w:t>
            </w:r>
            <w:proofErr w:type="gramEnd"/>
            <w:r w:rsidRPr="00936FE8">
              <w:rPr>
                <w:rFonts w:ascii="Arial" w:hAnsi="Arial" w:cs="Arial"/>
              </w:rPr>
              <w:t>70.1)</w:t>
            </w:r>
          </w:p>
        </w:tc>
      </w:tr>
      <w:tr w:rsidR="00393EA1" w:rsidRPr="00936FE8" w14:paraId="5CF2744B" w14:textId="77777777" w:rsidTr="00393EA1">
        <w:tc>
          <w:tcPr>
            <w:tcW w:w="1502" w:type="dxa"/>
          </w:tcPr>
          <w:p w14:paraId="6128B36D" w14:textId="35826D9D" w:rsidR="00393EA1" w:rsidRPr="00936FE8" w:rsidRDefault="00393EA1" w:rsidP="0054327B">
            <w:pPr>
              <w:spacing w:line="360" w:lineRule="auto"/>
              <w:rPr>
                <w:rFonts w:ascii="Arial" w:hAnsi="Arial" w:cs="Arial"/>
              </w:rPr>
            </w:pPr>
            <w:r w:rsidRPr="00936FE8">
              <w:rPr>
                <w:rFonts w:ascii="Arial" w:hAnsi="Arial" w:cs="Arial"/>
              </w:rPr>
              <w:t>Operating Margin (%)</w:t>
            </w:r>
          </w:p>
        </w:tc>
        <w:tc>
          <w:tcPr>
            <w:tcW w:w="1502" w:type="dxa"/>
          </w:tcPr>
          <w:p w14:paraId="7178524F" w14:textId="67B3F082" w:rsidR="00393EA1" w:rsidRPr="00936FE8" w:rsidRDefault="00393EA1" w:rsidP="0054327B">
            <w:pPr>
              <w:spacing w:line="360" w:lineRule="auto"/>
              <w:rPr>
                <w:rFonts w:ascii="Arial" w:hAnsi="Arial" w:cs="Arial"/>
              </w:rPr>
            </w:pPr>
            <w:r w:rsidRPr="00936FE8">
              <w:rPr>
                <w:rFonts w:ascii="Arial" w:hAnsi="Arial" w:cs="Arial"/>
              </w:rPr>
              <w:t>9.5%</w:t>
            </w:r>
          </w:p>
        </w:tc>
        <w:tc>
          <w:tcPr>
            <w:tcW w:w="1503" w:type="dxa"/>
          </w:tcPr>
          <w:p w14:paraId="2FFA8840" w14:textId="7D1E8836" w:rsidR="00393EA1" w:rsidRPr="00936FE8" w:rsidRDefault="00393EA1" w:rsidP="0054327B">
            <w:pPr>
              <w:spacing w:line="360" w:lineRule="auto"/>
              <w:rPr>
                <w:rFonts w:ascii="Arial" w:hAnsi="Arial" w:cs="Arial"/>
              </w:rPr>
            </w:pPr>
            <w:r w:rsidRPr="00936FE8">
              <w:rPr>
                <w:rFonts w:ascii="Arial" w:hAnsi="Arial" w:cs="Arial"/>
              </w:rPr>
              <w:t>15.5%</w:t>
            </w:r>
          </w:p>
        </w:tc>
        <w:tc>
          <w:tcPr>
            <w:tcW w:w="1503" w:type="dxa"/>
          </w:tcPr>
          <w:p w14:paraId="3949DA4A" w14:textId="175C696B" w:rsidR="00393EA1" w:rsidRPr="00936FE8" w:rsidRDefault="00393EA1" w:rsidP="0054327B">
            <w:pPr>
              <w:spacing w:line="360" w:lineRule="auto"/>
              <w:rPr>
                <w:rFonts w:ascii="Arial" w:hAnsi="Arial" w:cs="Arial"/>
              </w:rPr>
            </w:pPr>
            <w:r w:rsidRPr="00936FE8">
              <w:rPr>
                <w:rFonts w:ascii="Arial" w:hAnsi="Arial" w:cs="Arial"/>
              </w:rPr>
              <w:t>24.6%</w:t>
            </w:r>
          </w:p>
        </w:tc>
        <w:tc>
          <w:tcPr>
            <w:tcW w:w="1503" w:type="dxa"/>
          </w:tcPr>
          <w:p w14:paraId="614816F5" w14:textId="4F44F3A1" w:rsidR="00393EA1" w:rsidRPr="00936FE8" w:rsidRDefault="00393EA1" w:rsidP="0054327B">
            <w:pPr>
              <w:spacing w:line="360" w:lineRule="auto"/>
              <w:rPr>
                <w:rFonts w:ascii="Arial" w:hAnsi="Arial" w:cs="Arial"/>
              </w:rPr>
            </w:pPr>
            <w:r w:rsidRPr="00936FE8">
              <w:rPr>
                <w:rFonts w:ascii="Arial" w:hAnsi="Arial" w:cs="Arial"/>
              </w:rPr>
              <w:t>25.9%</w:t>
            </w:r>
          </w:p>
        </w:tc>
        <w:tc>
          <w:tcPr>
            <w:tcW w:w="1503" w:type="dxa"/>
          </w:tcPr>
          <w:p w14:paraId="25A5992F" w14:textId="23434573" w:rsidR="00393EA1" w:rsidRPr="00936FE8" w:rsidRDefault="00393EA1" w:rsidP="0054327B">
            <w:pPr>
              <w:spacing w:line="360" w:lineRule="auto"/>
              <w:rPr>
                <w:rFonts w:ascii="Arial" w:hAnsi="Arial" w:cs="Arial"/>
              </w:rPr>
            </w:pPr>
            <w:r w:rsidRPr="00936FE8">
              <w:rPr>
                <w:rFonts w:ascii="Arial" w:hAnsi="Arial" w:cs="Arial"/>
              </w:rPr>
              <w:t>21.9%</w:t>
            </w:r>
          </w:p>
        </w:tc>
      </w:tr>
      <w:tr w:rsidR="00393EA1" w:rsidRPr="00936FE8" w14:paraId="3EAE66D2" w14:textId="77777777" w:rsidTr="00393EA1">
        <w:tc>
          <w:tcPr>
            <w:tcW w:w="1502" w:type="dxa"/>
          </w:tcPr>
          <w:p w14:paraId="3EDBBA5E" w14:textId="66CC1E13" w:rsidR="00393EA1" w:rsidRPr="00936FE8" w:rsidRDefault="00393EA1" w:rsidP="0054327B">
            <w:pPr>
              <w:spacing w:line="360" w:lineRule="auto"/>
              <w:rPr>
                <w:rFonts w:ascii="Arial" w:hAnsi="Arial" w:cs="Arial"/>
              </w:rPr>
            </w:pPr>
            <w:r w:rsidRPr="00936FE8">
              <w:rPr>
                <w:rFonts w:ascii="Arial" w:hAnsi="Arial" w:cs="Arial"/>
              </w:rPr>
              <w:lastRenderedPageBreak/>
              <w:t>Net Margin (%)</w:t>
            </w:r>
          </w:p>
        </w:tc>
        <w:tc>
          <w:tcPr>
            <w:tcW w:w="1502" w:type="dxa"/>
          </w:tcPr>
          <w:p w14:paraId="0E898DC2" w14:textId="3FAA9BD0" w:rsidR="00393EA1" w:rsidRPr="00936FE8" w:rsidRDefault="00393EA1" w:rsidP="0054327B">
            <w:pPr>
              <w:spacing w:line="360" w:lineRule="auto"/>
              <w:rPr>
                <w:rFonts w:ascii="Arial" w:hAnsi="Arial" w:cs="Arial"/>
              </w:rPr>
            </w:pPr>
            <w:r w:rsidRPr="00936FE8">
              <w:rPr>
                <w:rFonts w:ascii="Arial" w:hAnsi="Arial" w:cs="Arial"/>
              </w:rPr>
              <w:t>-2.2%</w:t>
            </w:r>
          </w:p>
        </w:tc>
        <w:tc>
          <w:tcPr>
            <w:tcW w:w="1503" w:type="dxa"/>
          </w:tcPr>
          <w:p w14:paraId="4E0FFB48" w14:textId="0F285D65" w:rsidR="00393EA1" w:rsidRPr="00936FE8" w:rsidRDefault="00393EA1" w:rsidP="0054327B">
            <w:pPr>
              <w:spacing w:line="360" w:lineRule="auto"/>
              <w:rPr>
                <w:rFonts w:ascii="Arial" w:hAnsi="Arial" w:cs="Arial"/>
              </w:rPr>
            </w:pPr>
            <w:r w:rsidRPr="00936FE8">
              <w:rPr>
                <w:rFonts w:ascii="Arial" w:hAnsi="Arial" w:cs="Arial"/>
              </w:rPr>
              <w:t>3.1%</w:t>
            </w:r>
          </w:p>
        </w:tc>
        <w:tc>
          <w:tcPr>
            <w:tcW w:w="1503" w:type="dxa"/>
          </w:tcPr>
          <w:p w14:paraId="5627CEA6" w14:textId="1A93B593" w:rsidR="00393EA1" w:rsidRPr="00936FE8" w:rsidRDefault="00393EA1" w:rsidP="0054327B">
            <w:pPr>
              <w:spacing w:line="360" w:lineRule="auto"/>
              <w:rPr>
                <w:rFonts w:ascii="Arial" w:hAnsi="Arial" w:cs="Arial"/>
              </w:rPr>
            </w:pPr>
            <w:r w:rsidRPr="00936FE8">
              <w:rPr>
                <w:rFonts w:ascii="Arial" w:hAnsi="Arial" w:cs="Arial"/>
              </w:rPr>
              <w:t>5.0%</w:t>
            </w:r>
          </w:p>
        </w:tc>
        <w:tc>
          <w:tcPr>
            <w:tcW w:w="1503" w:type="dxa"/>
          </w:tcPr>
          <w:p w14:paraId="502F99CF" w14:textId="2FA97FA0" w:rsidR="00393EA1" w:rsidRPr="00936FE8" w:rsidRDefault="00393EA1" w:rsidP="0054327B">
            <w:pPr>
              <w:spacing w:line="360" w:lineRule="auto"/>
              <w:rPr>
                <w:rFonts w:ascii="Arial" w:hAnsi="Arial" w:cs="Arial"/>
              </w:rPr>
            </w:pPr>
            <w:r w:rsidRPr="00936FE8">
              <w:rPr>
                <w:rFonts w:ascii="Arial" w:hAnsi="Arial" w:cs="Arial"/>
              </w:rPr>
              <w:t>-0.6%</w:t>
            </w:r>
          </w:p>
        </w:tc>
        <w:tc>
          <w:tcPr>
            <w:tcW w:w="1503" w:type="dxa"/>
          </w:tcPr>
          <w:p w14:paraId="4D2C7C6E" w14:textId="1491F1F2" w:rsidR="00393EA1" w:rsidRPr="00936FE8" w:rsidRDefault="00393EA1" w:rsidP="0054327B">
            <w:pPr>
              <w:spacing w:line="360" w:lineRule="auto"/>
              <w:rPr>
                <w:rFonts w:ascii="Arial" w:hAnsi="Arial" w:cs="Arial"/>
              </w:rPr>
            </w:pPr>
            <w:r w:rsidRPr="00936FE8">
              <w:rPr>
                <w:rFonts w:ascii="Arial" w:hAnsi="Arial" w:cs="Arial"/>
              </w:rPr>
              <w:t>-6.7%</w:t>
            </w:r>
          </w:p>
        </w:tc>
      </w:tr>
      <w:tr w:rsidR="00393EA1" w:rsidRPr="00936FE8" w14:paraId="158D81A5" w14:textId="77777777" w:rsidTr="00393EA1">
        <w:tc>
          <w:tcPr>
            <w:tcW w:w="1502" w:type="dxa"/>
          </w:tcPr>
          <w:p w14:paraId="2F06B812" w14:textId="3DFB9C11" w:rsidR="00393EA1" w:rsidRPr="00936FE8" w:rsidRDefault="00393EA1" w:rsidP="0054327B">
            <w:pPr>
              <w:spacing w:line="360" w:lineRule="auto"/>
              <w:rPr>
                <w:rFonts w:ascii="Arial" w:hAnsi="Arial" w:cs="Arial"/>
              </w:rPr>
            </w:pPr>
            <w:r w:rsidRPr="00936FE8">
              <w:rPr>
                <w:rFonts w:ascii="Arial" w:hAnsi="Arial" w:cs="Arial"/>
              </w:rPr>
              <w:t>ROCE (%)</w:t>
            </w:r>
          </w:p>
        </w:tc>
        <w:tc>
          <w:tcPr>
            <w:tcW w:w="1502" w:type="dxa"/>
          </w:tcPr>
          <w:p w14:paraId="2FD062CE" w14:textId="789F1921" w:rsidR="00393EA1" w:rsidRPr="00936FE8" w:rsidRDefault="00393EA1" w:rsidP="0054327B">
            <w:pPr>
              <w:spacing w:line="360" w:lineRule="auto"/>
              <w:rPr>
                <w:rFonts w:ascii="Arial" w:hAnsi="Arial" w:cs="Arial"/>
              </w:rPr>
            </w:pPr>
            <w:r w:rsidRPr="00936FE8">
              <w:rPr>
                <w:rFonts w:ascii="Arial" w:hAnsi="Arial" w:cs="Arial"/>
              </w:rPr>
              <w:t>2.1%</w:t>
            </w:r>
          </w:p>
        </w:tc>
        <w:tc>
          <w:tcPr>
            <w:tcW w:w="1503" w:type="dxa"/>
          </w:tcPr>
          <w:p w14:paraId="686B51A0" w14:textId="0A9408D8" w:rsidR="00393EA1" w:rsidRPr="00936FE8" w:rsidRDefault="00393EA1" w:rsidP="0054327B">
            <w:pPr>
              <w:spacing w:line="360" w:lineRule="auto"/>
              <w:rPr>
                <w:rFonts w:ascii="Arial" w:hAnsi="Arial" w:cs="Arial"/>
              </w:rPr>
            </w:pPr>
            <w:r w:rsidRPr="00936FE8">
              <w:rPr>
                <w:rFonts w:ascii="Arial" w:hAnsi="Arial" w:cs="Arial"/>
              </w:rPr>
              <w:t>5.8%</w:t>
            </w:r>
          </w:p>
        </w:tc>
        <w:tc>
          <w:tcPr>
            <w:tcW w:w="1503" w:type="dxa"/>
          </w:tcPr>
          <w:p w14:paraId="78274A54" w14:textId="6C23F1B3" w:rsidR="00393EA1" w:rsidRPr="00936FE8" w:rsidRDefault="00393EA1" w:rsidP="0054327B">
            <w:pPr>
              <w:spacing w:line="360" w:lineRule="auto"/>
              <w:rPr>
                <w:rFonts w:ascii="Arial" w:hAnsi="Arial" w:cs="Arial"/>
              </w:rPr>
            </w:pPr>
            <w:r w:rsidRPr="00936FE8">
              <w:rPr>
                <w:rFonts w:ascii="Arial" w:hAnsi="Arial" w:cs="Arial"/>
              </w:rPr>
              <w:t>10.1%</w:t>
            </w:r>
          </w:p>
        </w:tc>
        <w:tc>
          <w:tcPr>
            <w:tcW w:w="1503" w:type="dxa"/>
          </w:tcPr>
          <w:p w14:paraId="165B653D" w14:textId="39FC58D0" w:rsidR="00393EA1" w:rsidRPr="00936FE8" w:rsidRDefault="00393EA1" w:rsidP="0054327B">
            <w:pPr>
              <w:spacing w:line="360" w:lineRule="auto"/>
              <w:rPr>
                <w:rFonts w:ascii="Arial" w:hAnsi="Arial" w:cs="Arial"/>
              </w:rPr>
            </w:pPr>
            <w:r w:rsidRPr="00936FE8">
              <w:rPr>
                <w:rFonts w:ascii="Arial" w:hAnsi="Arial" w:cs="Arial"/>
              </w:rPr>
              <w:t>9.4%</w:t>
            </w:r>
          </w:p>
        </w:tc>
        <w:tc>
          <w:tcPr>
            <w:tcW w:w="1503" w:type="dxa"/>
          </w:tcPr>
          <w:p w14:paraId="4B479E37" w14:textId="20E7F5E9" w:rsidR="00393EA1" w:rsidRPr="00936FE8" w:rsidRDefault="00393EA1" w:rsidP="0054327B">
            <w:pPr>
              <w:spacing w:line="360" w:lineRule="auto"/>
              <w:rPr>
                <w:rFonts w:ascii="Arial" w:hAnsi="Arial" w:cs="Arial"/>
              </w:rPr>
            </w:pPr>
            <w:r w:rsidRPr="00936FE8">
              <w:rPr>
                <w:rFonts w:ascii="Arial" w:hAnsi="Arial" w:cs="Arial"/>
              </w:rPr>
              <w:t>7.2%</w:t>
            </w:r>
          </w:p>
        </w:tc>
      </w:tr>
      <w:tr w:rsidR="00393EA1" w:rsidRPr="00936FE8" w14:paraId="46F1E794" w14:textId="77777777" w:rsidTr="00393EA1">
        <w:tc>
          <w:tcPr>
            <w:tcW w:w="1502" w:type="dxa"/>
          </w:tcPr>
          <w:p w14:paraId="49368D00" w14:textId="7DD1B705" w:rsidR="00393EA1" w:rsidRPr="00936FE8" w:rsidRDefault="00393EA1" w:rsidP="0054327B">
            <w:pPr>
              <w:spacing w:line="360" w:lineRule="auto"/>
              <w:rPr>
                <w:rFonts w:ascii="Arial" w:hAnsi="Arial" w:cs="Arial"/>
              </w:rPr>
            </w:pPr>
            <w:r w:rsidRPr="00936FE8">
              <w:rPr>
                <w:rFonts w:ascii="Arial" w:hAnsi="Arial" w:cs="Arial"/>
              </w:rPr>
              <w:t>ROE (%)</w:t>
            </w:r>
          </w:p>
        </w:tc>
        <w:tc>
          <w:tcPr>
            <w:tcW w:w="1502" w:type="dxa"/>
          </w:tcPr>
          <w:p w14:paraId="4CCC0667" w14:textId="716730AD" w:rsidR="00393EA1" w:rsidRPr="00936FE8" w:rsidRDefault="00393EA1" w:rsidP="0054327B">
            <w:pPr>
              <w:spacing w:line="360" w:lineRule="auto"/>
              <w:rPr>
                <w:rFonts w:ascii="Arial" w:hAnsi="Arial" w:cs="Arial"/>
              </w:rPr>
            </w:pPr>
            <w:r w:rsidRPr="00936FE8">
              <w:rPr>
                <w:rFonts w:ascii="Arial" w:hAnsi="Arial" w:cs="Arial"/>
              </w:rPr>
              <w:t>N/A (Neg Equity)</w:t>
            </w:r>
          </w:p>
        </w:tc>
        <w:tc>
          <w:tcPr>
            <w:tcW w:w="1503" w:type="dxa"/>
          </w:tcPr>
          <w:p w14:paraId="4A1E693F" w14:textId="1EC3526A" w:rsidR="00393EA1" w:rsidRPr="00936FE8" w:rsidRDefault="00393EA1" w:rsidP="0054327B">
            <w:pPr>
              <w:spacing w:line="360" w:lineRule="auto"/>
              <w:rPr>
                <w:rFonts w:ascii="Arial" w:hAnsi="Arial" w:cs="Arial"/>
              </w:rPr>
            </w:pPr>
            <w:r w:rsidRPr="00936FE8">
              <w:rPr>
                <w:rFonts w:ascii="Arial" w:hAnsi="Arial" w:cs="Arial"/>
              </w:rPr>
              <w:t>18.2%</w:t>
            </w:r>
          </w:p>
        </w:tc>
        <w:tc>
          <w:tcPr>
            <w:tcW w:w="1503" w:type="dxa"/>
          </w:tcPr>
          <w:p w14:paraId="0BB868D6" w14:textId="463D5FD5" w:rsidR="00393EA1" w:rsidRPr="00936FE8" w:rsidRDefault="00393EA1" w:rsidP="0054327B">
            <w:pPr>
              <w:spacing w:line="360" w:lineRule="auto"/>
              <w:rPr>
                <w:rFonts w:ascii="Arial" w:hAnsi="Arial" w:cs="Arial"/>
              </w:rPr>
            </w:pPr>
            <w:r w:rsidRPr="00936FE8">
              <w:rPr>
                <w:rFonts w:ascii="Arial" w:hAnsi="Arial" w:cs="Arial"/>
              </w:rPr>
              <w:t>28.5%</w:t>
            </w:r>
          </w:p>
        </w:tc>
        <w:tc>
          <w:tcPr>
            <w:tcW w:w="1503" w:type="dxa"/>
          </w:tcPr>
          <w:p w14:paraId="3C9A9024" w14:textId="3B92587A" w:rsidR="00393EA1" w:rsidRPr="00936FE8" w:rsidRDefault="00393EA1" w:rsidP="0054327B">
            <w:pPr>
              <w:spacing w:line="360" w:lineRule="auto"/>
              <w:rPr>
                <w:rFonts w:ascii="Arial" w:hAnsi="Arial" w:cs="Arial"/>
              </w:rPr>
            </w:pPr>
            <w:r w:rsidRPr="00936FE8">
              <w:rPr>
                <w:rFonts w:ascii="Arial" w:hAnsi="Arial" w:cs="Arial"/>
              </w:rPr>
              <w:t>-3.5%</w:t>
            </w:r>
          </w:p>
        </w:tc>
        <w:tc>
          <w:tcPr>
            <w:tcW w:w="1503" w:type="dxa"/>
          </w:tcPr>
          <w:p w14:paraId="109889FA" w14:textId="785921F3" w:rsidR="00393EA1" w:rsidRPr="00936FE8" w:rsidRDefault="00393EA1" w:rsidP="003C4E5C">
            <w:pPr>
              <w:keepNext/>
              <w:spacing w:line="360" w:lineRule="auto"/>
              <w:rPr>
                <w:rFonts w:ascii="Arial" w:hAnsi="Arial" w:cs="Arial"/>
              </w:rPr>
            </w:pPr>
            <w:r w:rsidRPr="00936FE8">
              <w:rPr>
                <w:rFonts w:ascii="Arial" w:hAnsi="Arial" w:cs="Arial"/>
              </w:rPr>
              <w:t>-31.6%</w:t>
            </w:r>
          </w:p>
        </w:tc>
      </w:tr>
    </w:tbl>
    <w:p w14:paraId="1B8AB54F" w14:textId="7F9D7621" w:rsidR="003C4E5C" w:rsidRPr="00936FE8" w:rsidRDefault="003C4E5C" w:rsidP="00C82762">
      <w:pPr>
        <w:pStyle w:val="Caption"/>
      </w:pPr>
      <w:r w:rsidRPr="00936FE8">
        <w:t xml:space="preserve">Table </w:t>
      </w:r>
      <w:fldSimple w:instr=" SEQ Table \* ARABIC ">
        <w:r w:rsidR="00132649" w:rsidRPr="00936FE8">
          <w:rPr>
            <w:noProof/>
          </w:rPr>
          <w:t>3</w:t>
        </w:r>
      </w:fldSimple>
      <w:r w:rsidRPr="00936FE8">
        <w:t>: Travelodge Profitability and Return Trends</w:t>
      </w:r>
    </w:p>
    <w:p w14:paraId="5AA04A5D" w14:textId="12AE712B" w:rsidR="003C4E5C" w:rsidRPr="00936FE8" w:rsidRDefault="003C4E5C" w:rsidP="003C4E5C">
      <w:pPr>
        <w:rPr>
          <w:rFonts w:ascii="Arial" w:hAnsi="Arial" w:cs="Arial"/>
        </w:rPr>
      </w:pPr>
      <w:r w:rsidRPr="00936FE8">
        <w:rPr>
          <w:rFonts w:ascii="Arial" w:hAnsi="Arial" w:cs="Arial"/>
        </w:rPr>
        <w:t xml:space="preserve">(Self-employed) </w:t>
      </w:r>
    </w:p>
    <w:p w14:paraId="2F102713" w14:textId="13A3EECD" w:rsidR="00393EA1" w:rsidRPr="00936FE8" w:rsidRDefault="00393EA1" w:rsidP="0054327B">
      <w:pPr>
        <w:spacing w:line="360" w:lineRule="auto"/>
        <w:rPr>
          <w:rFonts w:ascii="Arial" w:hAnsi="Arial" w:cs="Arial"/>
        </w:rPr>
      </w:pPr>
      <w:r w:rsidRPr="00936FE8">
        <w:rPr>
          <w:rFonts w:ascii="Arial" w:hAnsi="Arial" w:cs="Arial"/>
        </w:rPr>
        <w:t xml:space="preserve">In FY21/22, </w:t>
      </w:r>
      <w:r w:rsidR="00AC665C" w:rsidRPr="00936FE8">
        <w:rPr>
          <w:rFonts w:ascii="Arial" w:hAnsi="Arial" w:cs="Arial"/>
        </w:rPr>
        <w:t xml:space="preserve">Travelodge was emerging from the losses that were faced during the pandemic with a net profit margin of -2.2%. Performance peaked in FY23/24, in which the total revenues exceeded £1 billion </w:t>
      </w:r>
      <w:r w:rsidR="00C4346B" w:rsidRPr="00936FE8">
        <w:rPr>
          <w:rFonts w:ascii="Arial" w:hAnsi="Arial" w:cs="Arial"/>
        </w:rPr>
        <w:t>for</w:t>
      </w:r>
      <w:r w:rsidR="00AC665C" w:rsidRPr="00936FE8">
        <w:rPr>
          <w:rFonts w:ascii="Arial" w:hAnsi="Arial" w:cs="Arial"/>
        </w:rPr>
        <w:t xml:space="preserve"> the first time, reaching to £1,035.2 million. This was driven by the record event schedule (including the major sporting events and music tours) along with the strong business travel demand (TVL Finance PLC, 2023). </w:t>
      </w:r>
    </w:p>
    <w:p w14:paraId="0D1A09D3" w14:textId="2D7FF7DB" w:rsidR="00AC665C" w:rsidRPr="00936FE8" w:rsidRDefault="00AC665C" w:rsidP="0054327B">
      <w:pPr>
        <w:spacing w:line="360" w:lineRule="auto"/>
        <w:rPr>
          <w:rFonts w:ascii="Arial" w:hAnsi="Arial" w:cs="Arial"/>
        </w:rPr>
      </w:pPr>
      <w:r w:rsidRPr="00936FE8">
        <w:rPr>
          <w:rFonts w:ascii="Arial" w:hAnsi="Arial" w:cs="Arial"/>
        </w:rPr>
        <w:t xml:space="preserve">Meanwhile, by FY25/25, instead </w:t>
      </w:r>
      <w:r w:rsidR="0054327B" w:rsidRPr="00936FE8">
        <w:rPr>
          <w:rFonts w:ascii="Arial" w:hAnsi="Arial" w:cs="Arial"/>
        </w:rPr>
        <w:t xml:space="preserve">of </w:t>
      </w:r>
      <w:r w:rsidRPr="00936FE8">
        <w:rPr>
          <w:rFonts w:ascii="Arial" w:hAnsi="Arial" w:cs="Arial"/>
        </w:rPr>
        <w:t xml:space="preserve">record revenues of £1,044.3 million, the statutory operating profits decreased to £228.7 million, </w:t>
      </w:r>
      <w:r w:rsidR="0054327B" w:rsidRPr="00936FE8">
        <w:rPr>
          <w:rFonts w:ascii="Arial" w:hAnsi="Arial" w:cs="Arial"/>
        </w:rPr>
        <w:t>and</w:t>
      </w:r>
      <w:r w:rsidRPr="00936FE8">
        <w:rPr>
          <w:rFonts w:ascii="Arial" w:hAnsi="Arial" w:cs="Arial"/>
        </w:rPr>
        <w:t xml:space="preserve"> the net losses widened to </w:t>
      </w:r>
      <w:proofErr w:type="gramStart"/>
      <w:r w:rsidRPr="00936FE8">
        <w:rPr>
          <w:rFonts w:ascii="Arial" w:hAnsi="Arial" w:cs="Arial"/>
        </w:rPr>
        <w:t>£(</w:t>
      </w:r>
      <w:proofErr w:type="gramEnd"/>
      <w:r w:rsidRPr="00936FE8">
        <w:rPr>
          <w:rFonts w:ascii="Arial" w:hAnsi="Arial" w:cs="Arial"/>
        </w:rPr>
        <w:t xml:space="preserve">70.1) million. This performance </w:t>
      </w:r>
      <w:r w:rsidR="00C4346B" w:rsidRPr="00936FE8">
        <w:rPr>
          <w:rFonts w:ascii="Arial" w:hAnsi="Arial" w:cs="Arial"/>
        </w:rPr>
        <w:t>drop</w:t>
      </w:r>
      <w:r w:rsidRPr="00936FE8">
        <w:rPr>
          <w:rFonts w:ascii="Arial" w:hAnsi="Arial" w:cs="Arial"/>
        </w:rPr>
        <w:t xml:space="preserve"> was due to severe</w:t>
      </w:r>
      <w:r w:rsidR="00C4346B" w:rsidRPr="00936FE8">
        <w:rPr>
          <w:rFonts w:ascii="Arial" w:hAnsi="Arial" w:cs="Arial"/>
        </w:rPr>
        <w:t>,</w:t>
      </w:r>
      <w:r w:rsidRPr="00936FE8">
        <w:rPr>
          <w:rFonts w:ascii="Arial" w:hAnsi="Arial" w:cs="Arial"/>
        </w:rPr>
        <w:t xml:space="preserve"> costly inflation, along with the 6.7% rise in the National Living Wage and a £12 million annual increase in the business rates following the UK property revaluation (Travelodge Group, 2026a). </w:t>
      </w:r>
    </w:p>
    <w:p w14:paraId="112DF2E1" w14:textId="2FED8B40" w:rsidR="00AC665C" w:rsidRPr="00936FE8" w:rsidRDefault="00D7737F" w:rsidP="00D7737F">
      <w:pPr>
        <w:pStyle w:val="Heading2"/>
        <w:rPr>
          <w:rFonts w:ascii="Arial" w:hAnsi="Arial" w:cs="Arial"/>
        </w:rPr>
      </w:pPr>
      <w:bookmarkStart w:id="4" w:name="_Toc235785092"/>
      <w:r w:rsidRPr="00936FE8">
        <w:rPr>
          <w:rFonts w:ascii="Arial" w:hAnsi="Arial" w:cs="Arial"/>
        </w:rPr>
        <w:t>1.3 Liquidity Analysis and Industry Benchmarking</w:t>
      </w:r>
      <w:bookmarkEnd w:id="4"/>
    </w:p>
    <w:p w14:paraId="065FE2AA" w14:textId="3D219569" w:rsidR="00AC665C" w:rsidRPr="00936FE8" w:rsidRDefault="00D7737F" w:rsidP="0054327B">
      <w:pPr>
        <w:spacing w:line="360" w:lineRule="auto"/>
        <w:rPr>
          <w:rFonts w:ascii="Arial" w:hAnsi="Arial" w:cs="Arial"/>
        </w:rPr>
      </w:pPr>
      <w:r w:rsidRPr="00936FE8">
        <w:rPr>
          <w:rFonts w:ascii="Arial" w:hAnsi="Arial" w:cs="Arial"/>
        </w:rPr>
        <w:t>Under</w:t>
      </w:r>
      <w:r w:rsidR="00AC665C" w:rsidRPr="00936FE8">
        <w:rPr>
          <w:rFonts w:ascii="Arial" w:hAnsi="Arial" w:cs="Arial"/>
        </w:rPr>
        <w:t xml:space="preserve"> the operating model, Travelodge depends highly on the leasehold hotels, though it has recently acquired various freehold sites (Travelodge Group, 2026b). This leads to a unique liquidity profile in which the current liabilities regularly exceed the current assets of the </w:t>
      </w:r>
      <w:r w:rsidRPr="00936FE8">
        <w:rPr>
          <w:rFonts w:ascii="Arial" w:hAnsi="Arial" w:cs="Arial"/>
        </w:rPr>
        <w:t>organisation</w:t>
      </w:r>
      <w:r w:rsidR="00AC665C" w:rsidRPr="00936FE8">
        <w:rPr>
          <w:rFonts w:ascii="Arial" w:hAnsi="Arial" w:cs="Arial"/>
        </w:rPr>
        <w:t xml:space="preserve">. </w:t>
      </w:r>
    </w:p>
    <w:p w14:paraId="5F2F4873" w14:textId="173A3C0D" w:rsidR="00AC665C" w:rsidRPr="00936FE8" w:rsidRDefault="00AC665C" w:rsidP="0054327B">
      <w:pPr>
        <w:spacing w:line="360" w:lineRule="auto"/>
        <w:rPr>
          <w:rFonts w:ascii="Arial" w:hAnsi="Arial" w:cs="Arial"/>
        </w:rPr>
      </w:pPr>
      <m:oMathPara>
        <m:oMath>
          <m:r>
            <m:rPr>
              <m:nor/>
            </m:rPr>
            <w:rPr>
              <w:rFonts w:ascii="Arial" w:hAnsi="Arial" w:cs="Arial"/>
            </w:rPr>
            <m:t>Current Ratio</m:t>
          </m:r>
          <m:r>
            <w:rPr>
              <w:rFonts w:ascii="Cambria Math" w:hAnsi="Cambria Math" w:cs="Arial"/>
            </w:rPr>
            <m:t>=</m:t>
          </m:r>
          <m:f>
            <m:fPr>
              <m:ctrlPr>
                <w:rPr>
                  <w:rFonts w:ascii="Cambria Math" w:hAnsi="Cambria Math" w:cs="Arial"/>
                </w:rPr>
              </m:ctrlPr>
            </m:fPr>
            <m:num>
              <m:r>
                <m:rPr>
                  <m:nor/>
                </m:rPr>
                <w:rPr>
                  <w:rFonts w:ascii="Arial" w:hAnsi="Arial" w:cs="Arial"/>
                </w:rPr>
                <m:t>Current Assets</m:t>
              </m:r>
            </m:num>
            <m:den>
              <m:r>
                <m:rPr>
                  <m:nor/>
                </m:rPr>
                <w:rPr>
                  <w:rFonts w:ascii="Arial" w:hAnsi="Arial" w:cs="Arial"/>
                </w:rPr>
                <m:t>Current Liabilities</m:t>
              </m:r>
            </m:den>
          </m:f>
        </m:oMath>
      </m:oMathPara>
    </w:p>
    <w:p w14:paraId="33FB4389" w14:textId="05949DF9" w:rsidR="00AC665C" w:rsidRPr="00936FE8" w:rsidRDefault="00AC665C" w:rsidP="0054327B">
      <w:pPr>
        <w:spacing w:line="360" w:lineRule="auto"/>
        <w:rPr>
          <w:rFonts w:ascii="Arial" w:hAnsi="Arial" w:cs="Arial"/>
        </w:rPr>
      </w:pPr>
      <m:oMathPara>
        <m:oMath>
          <m:r>
            <m:rPr>
              <m:nor/>
            </m:rPr>
            <w:rPr>
              <w:rFonts w:ascii="Arial" w:hAnsi="Arial" w:cs="Arial"/>
            </w:rPr>
            <m:t>Quick Ratio</m:t>
          </m:r>
          <m:r>
            <w:rPr>
              <w:rFonts w:ascii="Cambria Math" w:hAnsi="Cambria Math" w:cs="Arial"/>
            </w:rPr>
            <m:t>=</m:t>
          </m:r>
          <m:f>
            <m:fPr>
              <m:ctrlPr>
                <w:rPr>
                  <w:rFonts w:ascii="Cambria Math" w:hAnsi="Cambria Math" w:cs="Arial"/>
                </w:rPr>
              </m:ctrlPr>
            </m:fPr>
            <m:num>
              <m:r>
                <m:rPr>
                  <m:nor/>
                </m:rPr>
                <w:rPr>
                  <w:rFonts w:ascii="Arial" w:hAnsi="Arial" w:cs="Arial"/>
                </w:rPr>
                <m:t>Current Assets</m:t>
              </m:r>
              <m:r>
                <w:rPr>
                  <w:rFonts w:ascii="Cambria Math" w:hAnsi="Cambria Math" w:cs="Arial"/>
                </w:rPr>
                <m:t>-</m:t>
              </m:r>
              <m:r>
                <m:rPr>
                  <m:nor/>
                </m:rPr>
                <w:rPr>
                  <w:rFonts w:ascii="Arial" w:hAnsi="Arial" w:cs="Arial"/>
                </w:rPr>
                <m:t>Inventory</m:t>
              </m:r>
            </m:num>
            <m:den>
              <m:r>
                <m:rPr>
                  <m:nor/>
                </m:rPr>
                <w:rPr>
                  <w:rFonts w:ascii="Arial" w:hAnsi="Arial" w:cs="Arial"/>
                </w:rPr>
                <m:t>Current Liabilities</m:t>
              </m:r>
            </m:den>
          </m:f>
        </m:oMath>
      </m:oMathPara>
    </w:p>
    <w:p w14:paraId="225E40C6" w14:textId="57CAA461" w:rsidR="00AA531F" w:rsidRPr="00936FE8" w:rsidRDefault="00AA531F" w:rsidP="00C82762">
      <w:pPr>
        <w:pStyle w:val="Caption"/>
      </w:pP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142D6" w:rsidRPr="00936FE8" w14:paraId="55805597" w14:textId="77777777" w:rsidTr="008142D6">
        <w:tc>
          <w:tcPr>
            <w:tcW w:w="1288" w:type="dxa"/>
          </w:tcPr>
          <w:p w14:paraId="262980AE" w14:textId="7C522DF5" w:rsidR="008142D6" w:rsidRPr="00936FE8" w:rsidRDefault="008142D6" w:rsidP="0054327B">
            <w:pPr>
              <w:spacing w:line="360" w:lineRule="auto"/>
              <w:rPr>
                <w:rFonts w:ascii="Arial" w:hAnsi="Arial" w:cs="Arial"/>
              </w:rPr>
            </w:pPr>
            <w:r w:rsidRPr="00936FE8">
              <w:rPr>
                <w:rFonts w:ascii="Arial" w:hAnsi="Arial" w:cs="Arial"/>
              </w:rPr>
              <w:t>Metric</w:t>
            </w:r>
          </w:p>
        </w:tc>
        <w:tc>
          <w:tcPr>
            <w:tcW w:w="1288" w:type="dxa"/>
          </w:tcPr>
          <w:p w14:paraId="213A4F88" w14:textId="77BA0843" w:rsidR="008142D6" w:rsidRPr="00936FE8" w:rsidRDefault="008142D6" w:rsidP="0054327B">
            <w:pPr>
              <w:spacing w:line="360" w:lineRule="auto"/>
              <w:rPr>
                <w:rFonts w:ascii="Arial" w:hAnsi="Arial" w:cs="Arial"/>
              </w:rPr>
            </w:pPr>
            <w:r w:rsidRPr="00936FE8">
              <w:rPr>
                <w:rFonts w:ascii="Arial" w:hAnsi="Arial" w:cs="Arial"/>
              </w:rPr>
              <w:t>FY21/22</w:t>
            </w:r>
          </w:p>
        </w:tc>
        <w:tc>
          <w:tcPr>
            <w:tcW w:w="1288" w:type="dxa"/>
          </w:tcPr>
          <w:p w14:paraId="5509D059" w14:textId="36DBE0B6" w:rsidR="008142D6" w:rsidRPr="00936FE8" w:rsidRDefault="008142D6" w:rsidP="0054327B">
            <w:pPr>
              <w:spacing w:line="360" w:lineRule="auto"/>
              <w:rPr>
                <w:rFonts w:ascii="Arial" w:hAnsi="Arial" w:cs="Arial"/>
              </w:rPr>
            </w:pPr>
            <w:r w:rsidRPr="00936FE8">
              <w:rPr>
                <w:rFonts w:ascii="Arial" w:hAnsi="Arial" w:cs="Arial"/>
              </w:rPr>
              <w:t>FY22/23</w:t>
            </w:r>
          </w:p>
        </w:tc>
        <w:tc>
          <w:tcPr>
            <w:tcW w:w="1288" w:type="dxa"/>
          </w:tcPr>
          <w:p w14:paraId="748ACC28" w14:textId="2C486F06" w:rsidR="008142D6" w:rsidRPr="00936FE8" w:rsidRDefault="008142D6" w:rsidP="0054327B">
            <w:pPr>
              <w:spacing w:line="360" w:lineRule="auto"/>
              <w:rPr>
                <w:rFonts w:ascii="Arial" w:hAnsi="Arial" w:cs="Arial"/>
              </w:rPr>
            </w:pPr>
            <w:r w:rsidRPr="00936FE8">
              <w:rPr>
                <w:rFonts w:ascii="Arial" w:hAnsi="Arial" w:cs="Arial"/>
              </w:rPr>
              <w:t>FY23/24</w:t>
            </w:r>
          </w:p>
        </w:tc>
        <w:tc>
          <w:tcPr>
            <w:tcW w:w="1288" w:type="dxa"/>
          </w:tcPr>
          <w:p w14:paraId="0BC714F8" w14:textId="71D808E7" w:rsidR="008142D6" w:rsidRPr="00936FE8" w:rsidRDefault="008142D6" w:rsidP="0054327B">
            <w:pPr>
              <w:spacing w:line="360" w:lineRule="auto"/>
              <w:rPr>
                <w:rFonts w:ascii="Arial" w:hAnsi="Arial" w:cs="Arial"/>
              </w:rPr>
            </w:pPr>
            <w:r w:rsidRPr="00936FE8">
              <w:rPr>
                <w:rFonts w:ascii="Arial" w:hAnsi="Arial" w:cs="Arial"/>
              </w:rPr>
              <w:t>FY24/25</w:t>
            </w:r>
          </w:p>
        </w:tc>
        <w:tc>
          <w:tcPr>
            <w:tcW w:w="1288" w:type="dxa"/>
          </w:tcPr>
          <w:p w14:paraId="6F7C1A13" w14:textId="07DA69F3" w:rsidR="008142D6" w:rsidRPr="00936FE8" w:rsidRDefault="008142D6" w:rsidP="0054327B">
            <w:pPr>
              <w:spacing w:line="360" w:lineRule="auto"/>
              <w:rPr>
                <w:rFonts w:ascii="Arial" w:hAnsi="Arial" w:cs="Arial"/>
              </w:rPr>
            </w:pPr>
            <w:r w:rsidRPr="00936FE8">
              <w:rPr>
                <w:rFonts w:ascii="Arial" w:hAnsi="Arial" w:cs="Arial"/>
              </w:rPr>
              <w:t>FY25/26</w:t>
            </w:r>
          </w:p>
        </w:tc>
        <w:tc>
          <w:tcPr>
            <w:tcW w:w="1288" w:type="dxa"/>
          </w:tcPr>
          <w:p w14:paraId="07013CA6" w14:textId="611F55A2" w:rsidR="008142D6" w:rsidRPr="00936FE8" w:rsidRDefault="008142D6" w:rsidP="0054327B">
            <w:pPr>
              <w:spacing w:line="360" w:lineRule="auto"/>
              <w:rPr>
                <w:rFonts w:ascii="Arial" w:hAnsi="Arial" w:cs="Arial"/>
              </w:rPr>
            </w:pPr>
            <w:r w:rsidRPr="00936FE8">
              <w:rPr>
                <w:rFonts w:ascii="Arial" w:hAnsi="Arial" w:cs="Arial"/>
              </w:rPr>
              <w:t>MSE Sector Average</w:t>
            </w:r>
          </w:p>
        </w:tc>
      </w:tr>
      <w:tr w:rsidR="008142D6" w:rsidRPr="00936FE8" w14:paraId="2D3710F2" w14:textId="77777777" w:rsidTr="008142D6">
        <w:tc>
          <w:tcPr>
            <w:tcW w:w="1288" w:type="dxa"/>
          </w:tcPr>
          <w:p w14:paraId="35E69064" w14:textId="38E5F89C" w:rsidR="008142D6" w:rsidRPr="00936FE8" w:rsidRDefault="008142D6" w:rsidP="0054327B">
            <w:pPr>
              <w:spacing w:line="360" w:lineRule="auto"/>
              <w:rPr>
                <w:rFonts w:ascii="Arial" w:hAnsi="Arial" w:cs="Arial"/>
              </w:rPr>
            </w:pPr>
            <w:r w:rsidRPr="00936FE8">
              <w:rPr>
                <w:rFonts w:ascii="Arial" w:hAnsi="Arial" w:cs="Arial"/>
              </w:rPr>
              <w:lastRenderedPageBreak/>
              <w:t>Current Ratio</w:t>
            </w:r>
          </w:p>
        </w:tc>
        <w:tc>
          <w:tcPr>
            <w:tcW w:w="1288" w:type="dxa"/>
          </w:tcPr>
          <w:p w14:paraId="693E2F62" w14:textId="697F4339" w:rsidR="008142D6" w:rsidRPr="00936FE8" w:rsidRDefault="008142D6" w:rsidP="0054327B">
            <w:pPr>
              <w:spacing w:line="360" w:lineRule="auto"/>
              <w:rPr>
                <w:rFonts w:ascii="Arial" w:hAnsi="Arial" w:cs="Arial"/>
              </w:rPr>
            </w:pPr>
            <w:r w:rsidRPr="00936FE8">
              <w:rPr>
                <w:rFonts w:ascii="Arial" w:hAnsi="Arial" w:cs="Arial"/>
              </w:rPr>
              <w:t>0.65</w:t>
            </w:r>
          </w:p>
        </w:tc>
        <w:tc>
          <w:tcPr>
            <w:tcW w:w="1288" w:type="dxa"/>
          </w:tcPr>
          <w:p w14:paraId="11ACA164" w14:textId="5242D7A5" w:rsidR="008142D6" w:rsidRPr="00936FE8" w:rsidRDefault="008142D6" w:rsidP="0054327B">
            <w:pPr>
              <w:spacing w:line="360" w:lineRule="auto"/>
              <w:rPr>
                <w:rFonts w:ascii="Arial" w:hAnsi="Arial" w:cs="Arial"/>
              </w:rPr>
            </w:pPr>
            <w:r w:rsidRPr="00936FE8">
              <w:rPr>
                <w:rFonts w:ascii="Arial" w:hAnsi="Arial" w:cs="Arial"/>
              </w:rPr>
              <w:t>0.58</w:t>
            </w:r>
          </w:p>
        </w:tc>
        <w:tc>
          <w:tcPr>
            <w:tcW w:w="1288" w:type="dxa"/>
          </w:tcPr>
          <w:p w14:paraId="26B82430" w14:textId="6957AB08" w:rsidR="008142D6" w:rsidRPr="00936FE8" w:rsidRDefault="008142D6" w:rsidP="0054327B">
            <w:pPr>
              <w:spacing w:line="360" w:lineRule="auto"/>
              <w:rPr>
                <w:rFonts w:ascii="Arial" w:hAnsi="Arial" w:cs="Arial"/>
              </w:rPr>
            </w:pPr>
            <w:r w:rsidRPr="00936FE8">
              <w:rPr>
                <w:rFonts w:ascii="Arial" w:hAnsi="Arial" w:cs="Arial"/>
              </w:rPr>
              <w:t>0.72</w:t>
            </w:r>
          </w:p>
        </w:tc>
        <w:tc>
          <w:tcPr>
            <w:tcW w:w="1288" w:type="dxa"/>
          </w:tcPr>
          <w:p w14:paraId="01511B62" w14:textId="634946CB" w:rsidR="008142D6" w:rsidRPr="00936FE8" w:rsidRDefault="008142D6" w:rsidP="0054327B">
            <w:pPr>
              <w:spacing w:line="360" w:lineRule="auto"/>
              <w:rPr>
                <w:rFonts w:ascii="Arial" w:hAnsi="Arial" w:cs="Arial"/>
              </w:rPr>
            </w:pPr>
            <w:r w:rsidRPr="00936FE8">
              <w:rPr>
                <w:rFonts w:ascii="Arial" w:hAnsi="Arial" w:cs="Arial"/>
              </w:rPr>
              <w:t>0.62</w:t>
            </w:r>
          </w:p>
        </w:tc>
        <w:tc>
          <w:tcPr>
            <w:tcW w:w="1288" w:type="dxa"/>
          </w:tcPr>
          <w:p w14:paraId="1F943F31" w14:textId="0D2DC160" w:rsidR="008142D6" w:rsidRPr="00936FE8" w:rsidRDefault="008142D6" w:rsidP="0054327B">
            <w:pPr>
              <w:spacing w:line="360" w:lineRule="auto"/>
              <w:rPr>
                <w:rFonts w:ascii="Arial" w:hAnsi="Arial" w:cs="Arial"/>
              </w:rPr>
            </w:pPr>
            <w:r w:rsidRPr="00936FE8">
              <w:rPr>
                <w:rFonts w:ascii="Arial" w:hAnsi="Arial" w:cs="Arial"/>
              </w:rPr>
              <w:t>0.45</w:t>
            </w:r>
          </w:p>
        </w:tc>
        <w:tc>
          <w:tcPr>
            <w:tcW w:w="1288" w:type="dxa"/>
          </w:tcPr>
          <w:p w14:paraId="1549044F" w14:textId="2F603B5F" w:rsidR="008142D6" w:rsidRPr="00936FE8" w:rsidRDefault="008142D6" w:rsidP="0054327B">
            <w:pPr>
              <w:spacing w:line="360" w:lineRule="auto"/>
              <w:rPr>
                <w:rFonts w:ascii="Arial" w:hAnsi="Arial" w:cs="Arial"/>
              </w:rPr>
            </w:pPr>
            <w:r w:rsidRPr="00936FE8">
              <w:rPr>
                <w:rFonts w:ascii="Arial" w:hAnsi="Arial" w:cs="Arial"/>
              </w:rPr>
              <w:t>0.85</w:t>
            </w:r>
          </w:p>
        </w:tc>
      </w:tr>
      <w:tr w:rsidR="008142D6" w:rsidRPr="00936FE8" w14:paraId="59A15B0E" w14:textId="77777777" w:rsidTr="008142D6">
        <w:tc>
          <w:tcPr>
            <w:tcW w:w="1288" w:type="dxa"/>
          </w:tcPr>
          <w:p w14:paraId="6EF2DEC3" w14:textId="6214A86B" w:rsidR="008142D6" w:rsidRPr="00936FE8" w:rsidRDefault="008142D6" w:rsidP="0054327B">
            <w:pPr>
              <w:spacing w:line="360" w:lineRule="auto"/>
              <w:rPr>
                <w:rFonts w:ascii="Arial" w:hAnsi="Arial" w:cs="Arial"/>
              </w:rPr>
            </w:pPr>
            <w:r w:rsidRPr="00936FE8">
              <w:rPr>
                <w:rFonts w:ascii="Arial" w:hAnsi="Arial" w:cs="Arial"/>
              </w:rPr>
              <w:t>Quick Ratio</w:t>
            </w:r>
          </w:p>
        </w:tc>
        <w:tc>
          <w:tcPr>
            <w:tcW w:w="1288" w:type="dxa"/>
          </w:tcPr>
          <w:p w14:paraId="7658DF30" w14:textId="4D8E0529" w:rsidR="008142D6" w:rsidRPr="00936FE8" w:rsidRDefault="008142D6" w:rsidP="0054327B">
            <w:pPr>
              <w:spacing w:line="360" w:lineRule="auto"/>
              <w:rPr>
                <w:rFonts w:ascii="Arial" w:hAnsi="Arial" w:cs="Arial"/>
              </w:rPr>
            </w:pPr>
            <w:r w:rsidRPr="00936FE8">
              <w:rPr>
                <w:rFonts w:ascii="Arial" w:hAnsi="Arial" w:cs="Arial"/>
              </w:rPr>
              <w:t>0.63</w:t>
            </w:r>
          </w:p>
        </w:tc>
        <w:tc>
          <w:tcPr>
            <w:tcW w:w="1288" w:type="dxa"/>
          </w:tcPr>
          <w:p w14:paraId="4A773A7C" w14:textId="5C68CC23" w:rsidR="008142D6" w:rsidRPr="00936FE8" w:rsidRDefault="008142D6" w:rsidP="0054327B">
            <w:pPr>
              <w:spacing w:line="360" w:lineRule="auto"/>
              <w:rPr>
                <w:rFonts w:ascii="Arial" w:hAnsi="Arial" w:cs="Arial"/>
              </w:rPr>
            </w:pPr>
            <w:r w:rsidRPr="00936FE8">
              <w:rPr>
                <w:rFonts w:ascii="Arial" w:hAnsi="Arial" w:cs="Arial"/>
              </w:rPr>
              <w:t>0.56</w:t>
            </w:r>
          </w:p>
        </w:tc>
        <w:tc>
          <w:tcPr>
            <w:tcW w:w="1288" w:type="dxa"/>
          </w:tcPr>
          <w:p w14:paraId="5B0B7F3C" w14:textId="3B6C372D" w:rsidR="008142D6" w:rsidRPr="00936FE8" w:rsidRDefault="008142D6" w:rsidP="0054327B">
            <w:pPr>
              <w:spacing w:line="360" w:lineRule="auto"/>
              <w:rPr>
                <w:rFonts w:ascii="Arial" w:hAnsi="Arial" w:cs="Arial"/>
              </w:rPr>
            </w:pPr>
            <w:r w:rsidRPr="00936FE8">
              <w:rPr>
                <w:rFonts w:ascii="Arial" w:hAnsi="Arial" w:cs="Arial"/>
              </w:rPr>
              <w:t>0.70</w:t>
            </w:r>
          </w:p>
        </w:tc>
        <w:tc>
          <w:tcPr>
            <w:tcW w:w="1288" w:type="dxa"/>
          </w:tcPr>
          <w:p w14:paraId="631D18FB" w14:textId="418D98BB" w:rsidR="008142D6" w:rsidRPr="00936FE8" w:rsidRDefault="008142D6" w:rsidP="0054327B">
            <w:pPr>
              <w:spacing w:line="360" w:lineRule="auto"/>
              <w:rPr>
                <w:rFonts w:ascii="Arial" w:hAnsi="Arial" w:cs="Arial"/>
              </w:rPr>
            </w:pPr>
            <w:r w:rsidRPr="00936FE8">
              <w:rPr>
                <w:rFonts w:ascii="Arial" w:hAnsi="Arial" w:cs="Arial"/>
              </w:rPr>
              <w:t>0.60</w:t>
            </w:r>
          </w:p>
        </w:tc>
        <w:tc>
          <w:tcPr>
            <w:tcW w:w="1288" w:type="dxa"/>
          </w:tcPr>
          <w:p w14:paraId="6E543C82" w14:textId="70292089" w:rsidR="008142D6" w:rsidRPr="00936FE8" w:rsidRDefault="008142D6" w:rsidP="0054327B">
            <w:pPr>
              <w:spacing w:line="360" w:lineRule="auto"/>
              <w:rPr>
                <w:rFonts w:ascii="Arial" w:hAnsi="Arial" w:cs="Arial"/>
              </w:rPr>
            </w:pPr>
            <w:r w:rsidRPr="00936FE8">
              <w:rPr>
                <w:rFonts w:ascii="Arial" w:hAnsi="Arial" w:cs="Arial"/>
              </w:rPr>
              <w:t>0.43</w:t>
            </w:r>
          </w:p>
        </w:tc>
        <w:tc>
          <w:tcPr>
            <w:tcW w:w="1288" w:type="dxa"/>
          </w:tcPr>
          <w:p w14:paraId="30A23393" w14:textId="74D22978" w:rsidR="008142D6" w:rsidRPr="00936FE8" w:rsidRDefault="008142D6" w:rsidP="003C4E5C">
            <w:pPr>
              <w:keepNext/>
              <w:spacing w:line="360" w:lineRule="auto"/>
              <w:rPr>
                <w:rFonts w:ascii="Arial" w:hAnsi="Arial" w:cs="Arial"/>
              </w:rPr>
            </w:pPr>
            <w:r w:rsidRPr="00936FE8">
              <w:rPr>
                <w:rFonts w:ascii="Arial" w:hAnsi="Arial" w:cs="Arial"/>
              </w:rPr>
              <w:t>0.78</w:t>
            </w:r>
          </w:p>
        </w:tc>
      </w:tr>
    </w:tbl>
    <w:p w14:paraId="33396493" w14:textId="2A260534" w:rsidR="00AC665C" w:rsidRPr="00936FE8" w:rsidRDefault="003C4E5C" w:rsidP="00C82762">
      <w:pPr>
        <w:pStyle w:val="Caption"/>
      </w:pPr>
      <w:r w:rsidRPr="00936FE8">
        <w:t xml:space="preserve">Table </w:t>
      </w:r>
      <w:fldSimple w:instr=" SEQ Table \* ARABIC ">
        <w:r w:rsidR="00132649" w:rsidRPr="00936FE8">
          <w:rPr>
            <w:noProof/>
          </w:rPr>
          <w:t>4</w:t>
        </w:r>
      </w:fldSimple>
      <w:r w:rsidRPr="00936FE8">
        <w:t>: Liquidity Trends vs. Midscale &amp; Economy (MSE) Sector Benchmarks</w:t>
      </w:r>
    </w:p>
    <w:p w14:paraId="04CDDB90" w14:textId="10204F16" w:rsidR="003C4E5C" w:rsidRPr="00936FE8" w:rsidRDefault="003C4E5C" w:rsidP="003C4E5C">
      <w:pPr>
        <w:rPr>
          <w:rFonts w:ascii="Arial" w:hAnsi="Arial" w:cs="Arial"/>
        </w:rPr>
      </w:pPr>
      <w:r w:rsidRPr="00936FE8">
        <w:rPr>
          <w:rFonts w:ascii="Arial" w:hAnsi="Arial" w:cs="Arial"/>
        </w:rPr>
        <w:t>(Self-employed)</w:t>
      </w:r>
    </w:p>
    <w:p w14:paraId="7428FE58" w14:textId="57572564" w:rsidR="008142D6" w:rsidRPr="00936FE8" w:rsidRDefault="008142D6" w:rsidP="0054327B">
      <w:pPr>
        <w:spacing w:line="360" w:lineRule="auto"/>
        <w:rPr>
          <w:rFonts w:ascii="Arial" w:hAnsi="Arial" w:cs="Arial"/>
        </w:rPr>
      </w:pPr>
      <w:r w:rsidRPr="00936FE8">
        <w:rPr>
          <w:rFonts w:ascii="Arial" w:hAnsi="Arial" w:cs="Arial"/>
        </w:rPr>
        <w:t xml:space="preserve">The liquidity metrics of Travelodge are consistently lower than the hospitality sector averages. In FY25/26, the current ratio dropped to 0.45, particularly because of the decrease in cash balances to £113.2 million from £227.7 million in the previous year. This cash was deployed to fund the refurbishment and acquisition of the freehold hotel assets (Thame and London Limited, 2026). </w:t>
      </w:r>
    </w:p>
    <w:p w14:paraId="748F498C" w14:textId="5DCBE097" w:rsidR="008142D6" w:rsidRPr="00936FE8" w:rsidRDefault="008142D6" w:rsidP="0054327B">
      <w:pPr>
        <w:spacing w:line="360" w:lineRule="auto"/>
        <w:rPr>
          <w:rFonts w:ascii="Arial" w:hAnsi="Arial" w:cs="Arial"/>
        </w:rPr>
      </w:pPr>
      <w:r w:rsidRPr="00936FE8">
        <w:rPr>
          <w:rFonts w:ascii="Arial" w:hAnsi="Arial" w:cs="Arial"/>
        </w:rPr>
        <w:t xml:space="preserve">While the current ratio of 0.45 would trigger concerns </w:t>
      </w:r>
      <w:r w:rsidR="0054327B" w:rsidRPr="00936FE8">
        <w:rPr>
          <w:rFonts w:ascii="Arial" w:hAnsi="Arial" w:cs="Arial"/>
        </w:rPr>
        <w:t>in</w:t>
      </w:r>
      <w:r w:rsidRPr="00936FE8">
        <w:rPr>
          <w:rFonts w:ascii="Arial" w:hAnsi="Arial" w:cs="Arial"/>
        </w:rPr>
        <w:t xml:space="preserve"> other </w:t>
      </w:r>
      <w:r w:rsidR="0054327B" w:rsidRPr="00936FE8">
        <w:rPr>
          <w:rFonts w:ascii="Arial" w:hAnsi="Arial" w:cs="Arial"/>
        </w:rPr>
        <w:t>sectors</w:t>
      </w:r>
      <w:r w:rsidRPr="00936FE8">
        <w:rPr>
          <w:rFonts w:ascii="Arial" w:hAnsi="Arial" w:cs="Arial"/>
        </w:rPr>
        <w:t xml:space="preserve">, Travelodge collects cash immediately from the consumers at the point of booking, months or weeks before the service is delivered to them. This negative working capital model decreases the need to maintain the highly liquid cash reserves to cover the </w:t>
      </w:r>
      <w:r w:rsidR="00C4346B" w:rsidRPr="00936FE8">
        <w:rPr>
          <w:rFonts w:ascii="Arial" w:hAnsi="Arial" w:cs="Arial"/>
        </w:rPr>
        <w:t>near-term</w:t>
      </w:r>
      <w:r w:rsidRPr="00936FE8">
        <w:rPr>
          <w:rFonts w:ascii="Arial" w:hAnsi="Arial" w:cs="Arial"/>
        </w:rPr>
        <w:t xml:space="preserve"> obligations of the company. </w:t>
      </w:r>
    </w:p>
    <w:p w14:paraId="4733C39A" w14:textId="15245307" w:rsidR="008142D6" w:rsidRPr="00936FE8" w:rsidRDefault="00D7737F" w:rsidP="00D7737F">
      <w:pPr>
        <w:pStyle w:val="Heading2"/>
        <w:rPr>
          <w:rFonts w:ascii="Arial" w:hAnsi="Arial" w:cs="Arial"/>
        </w:rPr>
      </w:pPr>
      <w:bookmarkStart w:id="5" w:name="_Toc235785093"/>
      <w:r w:rsidRPr="00936FE8">
        <w:rPr>
          <w:rFonts w:ascii="Arial" w:hAnsi="Arial" w:cs="Arial"/>
        </w:rPr>
        <w:t>1.4 Efficiency and Asset Management</w:t>
      </w:r>
      <w:bookmarkEnd w:id="5"/>
    </w:p>
    <w:p w14:paraId="333308AA" w14:textId="7A5D057B" w:rsidR="00AA531F" w:rsidRPr="00936FE8" w:rsidRDefault="00AA531F" w:rsidP="0054327B">
      <w:pPr>
        <w:spacing w:line="360" w:lineRule="auto"/>
        <w:rPr>
          <w:rFonts w:ascii="Arial" w:hAnsi="Arial" w:cs="Arial"/>
        </w:rPr>
      </w:pPr>
      <w:r w:rsidRPr="00936FE8">
        <w:rPr>
          <w:rFonts w:ascii="Arial" w:hAnsi="Arial" w:cs="Arial"/>
        </w:rPr>
        <w:t xml:space="preserve">Efficiency ratios </w:t>
      </w:r>
      <w:r w:rsidR="00D7737F" w:rsidRPr="00936FE8">
        <w:rPr>
          <w:rFonts w:ascii="Arial" w:hAnsi="Arial" w:cs="Arial"/>
        </w:rPr>
        <w:t>measure</w:t>
      </w:r>
      <w:r w:rsidRPr="00936FE8">
        <w:rPr>
          <w:rFonts w:ascii="Arial" w:hAnsi="Arial" w:cs="Arial"/>
        </w:rPr>
        <w:t xml:space="preserve"> how productively Travelodge uses its physical resources and manages the trade payables and receivables</w:t>
      </w:r>
      <w:r w:rsidR="00C4346B" w:rsidRPr="00936FE8">
        <w:rPr>
          <w:rFonts w:ascii="Arial" w:hAnsi="Arial" w:cs="Arial"/>
        </w:rPr>
        <w:t>.</w:t>
      </w:r>
    </w:p>
    <w:tbl>
      <w:tblPr>
        <w:tblStyle w:val="TableGrid"/>
        <w:tblW w:w="0" w:type="auto"/>
        <w:tblLook w:val="04A0" w:firstRow="1" w:lastRow="0" w:firstColumn="1" w:lastColumn="0" w:noHBand="0" w:noVBand="1"/>
      </w:tblPr>
      <w:tblGrid>
        <w:gridCol w:w="1604"/>
        <w:gridCol w:w="1481"/>
        <w:gridCol w:w="1482"/>
        <w:gridCol w:w="1483"/>
        <w:gridCol w:w="1483"/>
        <w:gridCol w:w="1483"/>
      </w:tblGrid>
      <w:tr w:rsidR="00AA531F" w:rsidRPr="00936FE8" w14:paraId="73585433" w14:textId="77777777" w:rsidTr="003C4E5C">
        <w:tc>
          <w:tcPr>
            <w:tcW w:w="1604" w:type="dxa"/>
            <w:vAlign w:val="center"/>
          </w:tcPr>
          <w:p w14:paraId="50CB302B" w14:textId="20BE9B75" w:rsidR="00AA531F" w:rsidRPr="00936FE8" w:rsidRDefault="00AA531F" w:rsidP="0054327B">
            <w:pPr>
              <w:spacing w:line="360" w:lineRule="auto"/>
              <w:rPr>
                <w:rFonts w:ascii="Arial" w:hAnsi="Arial" w:cs="Arial"/>
              </w:rPr>
            </w:pPr>
            <w:r w:rsidRPr="00936FE8">
              <w:rPr>
                <w:rStyle w:val="Strong"/>
                <w:rFonts w:ascii="Arial" w:hAnsi="Arial" w:cs="Arial"/>
              </w:rPr>
              <w:t>Metric</w:t>
            </w:r>
          </w:p>
        </w:tc>
        <w:tc>
          <w:tcPr>
            <w:tcW w:w="1481" w:type="dxa"/>
            <w:vAlign w:val="center"/>
          </w:tcPr>
          <w:p w14:paraId="1E03CEB8" w14:textId="4B5E98C4" w:rsidR="00AA531F" w:rsidRPr="00936FE8" w:rsidRDefault="00AA531F" w:rsidP="0054327B">
            <w:pPr>
              <w:spacing w:line="360" w:lineRule="auto"/>
              <w:rPr>
                <w:rFonts w:ascii="Arial" w:hAnsi="Arial" w:cs="Arial"/>
              </w:rPr>
            </w:pPr>
            <w:r w:rsidRPr="00936FE8">
              <w:rPr>
                <w:rStyle w:val="Strong"/>
                <w:rFonts w:ascii="Arial" w:hAnsi="Arial" w:cs="Arial"/>
              </w:rPr>
              <w:t>FY21/22</w:t>
            </w:r>
          </w:p>
        </w:tc>
        <w:tc>
          <w:tcPr>
            <w:tcW w:w="1482" w:type="dxa"/>
            <w:vAlign w:val="center"/>
          </w:tcPr>
          <w:p w14:paraId="131E2E4E" w14:textId="07177910" w:rsidR="00AA531F" w:rsidRPr="00936FE8" w:rsidRDefault="00AA531F" w:rsidP="0054327B">
            <w:pPr>
              <w:spacing w:line="360" w:lineRule="auto"/>
              <w:rPr>
                <w:rFonts w:ascii="Arial" w:hAnsi="Arial" w:cs="Arial"/>
              </w:rPr>
            </w:pPr>
            <w:r w:rsidRPr="00936FE8">
              <w:rPr>
                <w:rStyle w:val="Strong"/>
                <w:rFonts w:ascii="Arial" w:hAnsi="Arial" w:cs="Arial"/>
              </w:rPr>
              <w:t>FY22/23</w:t>
            </w:r>
          </w:p>
        </w:tc>
        <w:tc>
          <w:tcPr>
            <w:tcW w:w="1483" w:type="dxa"/>
            <w:vAlign w:val="center"/>
          </w:tcPr>
          <w:p w14:paraId="07E3286D" w14:textId="2A8C16D5" w:rsidR="00AA531F" w:rsidRPr="00936FE8" w:rsidRDefault="00AA531F" w:rsidP="0054327B">
            <w:pPr>
              <w:spacing w:line="360" w:lineRule="auto"/>
              <w:rPr>
                <w:rFonts w:ascii="Arial" w:hAnsi="Arial" w:cs="Arial"/>
              </w:rPr>
            </w:pPr>
            <w:r w:rsidRPr="00936FE8">
              <w:rPr>
                <w:rStyle w:val="Strong"/>
                <w:rFonts w:ascii="Arial" w:hAnsi="Arial" w:cs="Arial"/>
              </w:rPr>
              <w:t>FY23/24</w:t>
            </w:r>
          </w:p>
        </w:tc>
        <w:tc>
          <w:tcPr>
            <w:tcW w:w="1483" w:type="dxa"/>
            <w:vAlign w:val="center"/>
          </w:tcPr>
          <w:p w14:paraId="30929904" w14:textId="5B54AFCF" w:rsidR="00AA531F" w:rsidRPr="00936FE8" w:rsidRDefault="00AA531F" w:rsidP="0054327B">
            <w:pPr>
              <w:spacing w:line="360" w:lineRule="auto"/>
              <w:rPr>
                <w:rFonts w:ascii="Arial" w:hAnsi="Arial" w:cs="Arial"/>
              </w:rPr>
            </w:pPr>
            <w:r w:rsidRPr="00936FE8">
              <w:rPr>
                <w:rStyle w:val="Strong"/>
                <w:rFonts w:ascii="Arial" w:hAnsi="Arial" w:cs="Arial"/>
              </w:rPr>
              <w:t>FY24/25</w:t>
            </w:r>
          </w:p>
        </w:tc>
        <w:tc>
          <w:tcPr>
            <w:tcW w:w="1483" w:type="dxa"/>
            <w:vAlign w:val="center"/>
          </w:tcPr>
          <w:p w14:paraId="030509DF" w14:textId="5AE98E82" w:rsidR="00AA531F" w:rsidRPr="00936FE8" w:rsidRDefault="00AA531F" w:rsidP="0054327B">
            <w:pPr>
              <w:spacing w:line="360" w:lineRule="auto"/>
              <w:rPr>
                <w:rFonts w:ascii="Arial" w:hAnsi="Arial" w:cs="Arial"/>
              </w:rPr>
            </w:pPr>
            <w:r w:rsidRPr="00936FE8">
              <w:rPr>
                <w:rStyle w:val="Strong"/>
                <w:rFonts w:ascii="Arial" w:hAnsi="Arial" w:cs="Arial"/>
              </w:rPr>
              <w:t>FY25/26</w:t>
            </w:r>
          </w:p>
        </w:tc>
      </w:tr>
      <w:tr w:rsidR="00AA531F" w:rsidRPr="00936FE8" w14:paraId="24EE9C88" w14:textId="77777777" w:rsidTr="003C4E5C">
        <w:tc>
          <w:tcPr>
            <w:tcW w:w="1604" w:type="dxa"/>
            <w:vAlign w:val="center"/>
          </w:tcPr>
          <w:p w14:paraId="1EA31E78" w14:textId="4D0D0A29" w:rsidR="00AA531F" w:rsidRPr="00936FE8" w:rsidRDefault="00AA531F" w:rsidP="0054327B">
            <w:pPr>
              <w:spacing w:line="360" w:lineRule="auto"/>
              <w:rPr>
                <w:rFonts w:ascii="Arial" w:hAnsi="Arial" w:cs="Arial"/>
              </w:rPr>
            </w:pPr>
            <w:r w:rsidRPr="00936FE8">
              <w:rPr>
                <w:rFonts w:ascii="Arial" w:hAnsi="Arial" w:cs="Arial"/>
                <w:b/>
                <w:bCs/>
              </w:rPr>
              <w:t>Receivables Days</w:t>
            </w:r>
          </w:p>
        </w:tc>
        <w:tc>
          <w:tcPr>
            <w:tcW w:w="1481" w:type="dxa"/>
            <w:vAlign w:val="center"/>
          </w:tcPr>
          <w:p w14:paraId="72D4A866" w14:textId="084BA72E" w:rsidR="00AA531F" w:rsidRPr="00936FE8" w:rsidRDefault="00AA531F" w:rsidP="0054327B">
            <w:pPr>
              <w:spacing w:line="360" w:lineRule="auto"/>
              <w:rPr>
                <w:rFonts w:ascii="Arial" w:hAnsi="Arial" w:cs="Arial"/>
              </w:rPr>
            </w:pPr>
            <w:r w:rsidRPr="00936FE8">
              <w:rPr>
                <w:rFonts w:ascii="Arial" w:hAnsi="Arial" w:cs="Arial"/>
              </w:rPr>
              <w:t>3.8</w:t>
            </w:r>
          </w:p>
        </w:tc>
        <w:tc>
          <w:tcPr>
            <w:tcW w:w="1482" w:type="dxa"/>
            <w:vAlign w:val="center"/>
          </w:tcPr>
          <w:p w14:paraId="634D43D8" w14:textId="595952D8" w:rsidR="00AA531F" w:rsidRPr="00936FE8" w:rsidRDefault="00AA531F" w:rsidP="0054327B">
            <w:pPr>
              <w:spacing w:line="360" w:lineRule="auto"/>
              <w:rPr>
                <w:rFonts w:ascii="Arial" w:hAnsi="Arial" w:cs="Arial"/>
              </w:rPr>
            </w:pPr>
            <w:r w:rsidRPr="00936FE8">
              <w:rPr>
                <w:rFonts w:ascii="Arial" w:hAnsi="Arial" w:cs="Arial"/>
              </w:rPr>
              <w:t>3.2</w:t>
            </w:r>
          </w:p>
        </w:tc>
        <w:tc>
          <w:tcPr>
            <w:tcW w:w="1483" w:type="dxa"/>
            <w:vAlign w:val="center"/>
          </w:tcPr>
          <w:p w14:paraId="263099CD" w14:textId="52CC1F14" w:rsidR="00AA531F" w:rsidRPr="00936FE8" w:rsidRDefault="00AA531F" w:rsidP="0054327B">
            <w:pPr>
              <w:spacing w:line="360" w:lineRule="auto"/>
              <w:rPr>
                <w:rFonts w:ascii="Arial" w:hAnsi="Arial" w:cs="Arial"/>
              </w:rPr>
            </w:pPr>
            <w:r w:rsidRPr="00936FE8">
              <w:rPr>
                <w:rFonts w:ascii="Arial" w:hAnsi="Arial" w:cs="Arial"/>
              </w:rPr>
              <w:t>2.9</w:t>
            </w:r>
          </w:p>
        </w:tc>
        <w:tc>
          <w:tcPr>
            <w:tcW w:w="1483" w:type="dxa"/>
            <w:vAlign w:val="center"/>
          </w:tcPr>
          <w:p w14:paraId="31890944" w14:textId="7BD130B5" w:rsidR="00AA531F" w:rsidRPr="00936FE8" w:rsidRDefault="00AA531F" w:rsidP="0054327B">
            <w:pPr>
              <w:spacing w:line="360" w:lineRule="auto"/>
              <w:rPr>
                <w:rFonts w:ascii="Arial" w:hAnsi="Arial" w:cs="Arial"/>
              </w:rPr>
            </w:pPr>
            <w:r w:rsidRPr="00936FE8">
              <w:rPr>
                <w:rFonts w:ascii="Arial" w:hAnsi="Arial" w:cs="Arial"/>
              </w:rPr>
              <w:t>2.7</w:t>
            </w:r>
          </w:p>
        </w:tc>
        <w:tc>
          <w:tcPr>
            <w:tcW w:w="1483" w:type="dxa"/>
            <w:vAlign w:val="center"/>
          </w:tcPr>
          <w:p w14:paraId="71354D97" w14:textId="234685EB" w:rsidR="00AA531F" w:rsidRPr="00936FE8" w:rsidRDefault="00AA531F" w:rsidP="0054327B">
            <w:pPr>
              <w:spacing w:line="360" w:lineRule="auto"/>
              <w:rPr>
                <w:rFonts w:ascii="Arial" w:hAnsi="Arial" w:cs="Arial"/>
              </w:rPr>
            </w:pPr>
            <w:r w:rsidRPr="00936FE8">
              <w:rPr>
                <w:rFonts w:ascii="Arial" w:hAnsi="Arial" w:cs="Arial"/>
              </w:rPr>
              <w:t>2.5</w:t>
            </w:r>
          </w:p>
        </w:tc>
      </w:tr>
      <w:tr w:rsidR="00AA531F" w:rsidRPr="00936FE8" w14:paraId="2F20BB1E" w14:textId="77777777" w:rsidTr="003C4E5C">
        <w:tc>
          <w:tcPr>
            <w:tcW w:w="1604" w:type="dxa"/>
            <w:vAlign w:val="center"/>
          </w:tcPr>
          <w:p w14:paraId="70F7DEDA" w14:textId="638C4D14" w:rsidR="00AA531F" w:rsidRPr="00936FE8" w:rsidRDefault="00AA531F" w:rsidP="0054327B">
            <w:pPr>
              <w:spacing w:line="360" w:lineRule="auto"/>
              <w:rPr>
                <w:rFonts w:ascii="Arial" w:hAnsi="Arial" w:cs="Arial"/>
              </w:rPr>
            </w:pPr>
            <w:r w:rsidRPr="00936FE8">
              <w:rPr>
                <w:rFonts w:ascii="Arial" w:hAnsi="Arial" w:cs="Arial"/>
                <w:b/>
                <w:bCs/>
              </w:rPr>
              <w:t>Payables Days</w:t>
            </w:r>
          </w:p>
        </w:tc>
        <w:tc>
          <w:tcPr>
            <w:tcW w:w="1481" w:type="dxa"/>
            <w:vAlign w:val="center"/>
          </w:tcPr>
          <w:p w14:paraId="702D3C0A" w14:textId="1875E7C3" w:rsidR="00AA531F" w:rsidRPr="00936FE8" w:rsidRDefault="00AA531F" w:rsidP="0054327B">
            <w:pPr>
              <w:spacing w:line="360" w:lineRule="auto"/>
              <w:rPr>
                <w:rFonts w:ascii="Arial" w:hAnsi="Arial" w:cs="Arial"/>
              </w:rPr>
            </w:pPr>
            <w:r w:rsidRPr="00936FE8">
              <w:rPr>
                <w:rFonts w:ascii="Arial" w:hAnsi="Arial" w:cs="Arial"/>
              </w:rPr>
              <w:t>52.4</w:t>
            </w:r>
          </w:p>
        </w:tc>
        <w:tc>
          <w:tcPr>
            <w:tcW w:w="1482" w:type="dxa"/>
            <w:vAlign w:val="center"/>
          </w:tcPr>
          <w:p w14:paraId="12654CBD" w14:textId="7E48E21A" w:rsidR="00AA531F" w:rsidRPr="00936FE8" w:rsidRDefault="00AA531F" w:rsidP="0054327B">
            <w:pPr>
              <w:spacing w:line="360" w:lineRule="auto"/>
              <w:rPr>
                <w:rFonts w:ascii="Arial" w:hAnsi="Arial" w:cs="Arial"/>
              </w:rPr>
            </w:pPr>
            <w:r w:rsidRPr="00936FE8">
              <w:rPr>
                <w:rFonts w:ascii="Arial" w:hAnsi="Arial" w:cs="Arial"/>
              </w:rPr>
              <w:t>48.1</w:t>
            </w:r>
          </w:p>
        </w:tc>
        <w:tc>
          <w:tcPr>
            <w:tcW w:w="1483" w:type="dxa"/>
            <w:vAlign w:val="center"/>
          </w:tcPr>
          <w:p w14:paraId="533DA0F0" w14:textId="4D16FD79" w:rsidR="00AA531F" w:rsidRPr="00936FE8" w:rsidRDefault="00AA531F" w:rsidP="0054327B">
            <w:pPr>
              <w:spacing w:line="360" w:lineRule="auto"/>
              <w:rPr>
                <w:rFonts w:ascii="Arial" w:hAnsi="Arial" w:cs="Arial"/>
              </w:rPr>
            </w:pPr>
            <w:r w:rsidRPr="00936FE8">
              <w:rPr>
                <w:rFonts w:ascii="Arial" w:hAnsi="Arial" w:cs="Arial"/>
              </w:rPr>
              <w:t>44.5</w:t>
            </w:r>
          </w:p>
        </w:tc>
        <w:tc>
          <w:tcPr>
            <w:tcW w:w="1483" w:type="dxa"/>
            <w:vAlign w:val="center"/>
          </w:tcPr>
          <w:p w14:paraId="7E53EC74" w14:textId="0606F8E1" w:rsidR="00AA531F" w:rsidRPr="00936FE8" w:rsidRDefault="00AA531F" w:rsidP="0054327B">
            <w:pPr>
              <w:spacing w:line="360" w:lineRule="auto"/>
              <w:rPr>
                <w:rFonts w:ascii="Arial" w:hAnsi="Arial" w:cs="Arial"/>
              </w:rPr>
            </w:pPr>
            <w:r w:rsidRPr="00936FE8">
              <w:rPr>
                <w:rFonts w:ascii="Arial" w:hAnsi="Arial" w:cs="Arial"/>
              </w:rPr>
              <w:t>42.0</w:t>
            </w:r>
          </w:p>
        </w:tc>
        <w:tc>
          <w:tcPr>
            <w:tcW w:w="1483" w:type="dxa"/>
            <w:vAlign w:val="center"/>
          </w:tcPr>
          <w:p w14:paraId="74A3131A" w14:textId="5486951F" w:rsidR="00AA531F" w:rsidRPr="00936FE8" w:rsidRDefault="00AA531F" w:rsidP="0054327B">
            <w:pPr>
              <w:spacing w:line="360" w:lineRule="auto"/>
              <w:rPr>
                <w:rFonts w:ascii="Arial" w:hAnsi="Arial" w:cs="Arial"/>
              </w:rPr>
            </w:pPr>
            <w:r w:rsidRPr="00936FE8">
              <w:rPr>
                <w:rFonts w:ascii="Arial" w:hAnsi="Arial" w:cs="Arial"/>
              </w:rPr>
              <w:t>41.2</w:t>
            </w:r>
          </w:p>
        </w:tc>
      </w:tr>
      <w:tr w:rsidR="00AA531F" w:rsidRPr="00936FE8" w14:paraId="1E88E12C" w14:textId="77777777" w:rsidTr="003C4E5C">
        <w:tc>
          <w:tcPr>
            <w:tcW w:w="1604" w:type="dxa"/>
            <w:vAlign w:val="center"/>
          </w:tcPr>
          <w:p w14:paraId="15B72C51" w14:textId="4A13A7BE" w:rsidR="00AA531F" w:rsidRPr="00936FE8" w:rsidRDefault="00AA531F" w:rsidP="0054327B">
            <w:pPr>
              <w:spacing w:line="360" w:lineRule="auto"/>
              <w:rPr>
                <w:rFonts w:ascii="Arial" w:hAnsi="Arial" w:cs="Arial"/>
              </w:rPr>
            </w:pPr>
            <w:r w:rsidRPr="00936FE8">
              <w:rPr>
                <w:rFonts w:ascii="Arial" w:hAnsi="Arial" w:cs="Arial"/>
                <w:b/>
                <w:bCs/>
              </w:rPr>
              <w:t>Inventory Turnover (Days)</w:t>
            </w:r>
          </w:p>
        </w:tc>
        <w:tc>
          <w:tcPr>
            <w:tcW w:w="1481" w:type="dxa"/>
            <w:vAlign w:val="center"/>
          </w:tcPr>
          <w:p w14:paraId="2F2BDEAB" w14:textId="6F1709EC" w:rsidR="00AA531F" w:rsidRPr="00936FE8" w:rsidRDefault="00AA531F" w:rsidP="0054327B">
            <w:pPr>
              <w:spacing w:line="360" w:lineRule="auto"/>
              <w:rPr>
                <w:rFonts w:ascii="Arial" w:hAnsi="Arial" w:cs="Arial"/>
              </w:rPr>
            </w:pPr>
            <w:r w:rsidRPr="00936FE8">
              <w:rPr>
                <w:rFonts w:ascii="Arial" w:hAnsi="Arial" w:cs="Arial"/>
              </w:rPr>
              <w:t>2.1</w:t>
            </w:r>
          </w:p>
        </w:tc>
        <w:tc>
          <w:tcPr>
            <w:tcW w:w="1482" w:type="dxa"/>
            <w:vAlign w:val="center"/>
          </w:tcPr>
          <w:p w14:paraId="410A0549" w14:textId="61E4A422" w:rsidR="00AA531F" w:rsidRPr="00936FE8" w:rsidRDefault="00AA531F" w:rsidP="0054327B">
            <w:pPr>
              <w:spacing w:line="360" w:lineRule="auto"/>
              <w:rPr>
                <w:rFonts w:ascii="Arial" w:hAnsi="Arial" w:cs="Arial"/>
              </w:rPr>
            </w:pPr>
            <w:r w:rsidRPr="00936FE8">
              <w:rPr>
                <w:rFonts w:ascii="Arial" w:hAnsi="Arial" w:cs="Arial"/>
              </w:rPr>
              <w:t>1.8</w:t>
            </w:r>
          </w:p>
        </w:tc>
        <w:tc>
          <w:tcPr>
            <w:tcW w:w="1483" w:type="dxa"/>
            <w:vAlign w:val="center"/>
          </w:tcPr>
          <w:p w14:paraId="3879A014" w14:textId="1B79A0DE" w:rsidR="00AA531F" w:rsidRPr="00936FE8" w:rsidRDefault="00AA531F" w:rsidP="0054327B">
            <w:pPr>
              <w:spacing w:line="360" w:lineRule="auto"/>
              <w:rPr>
                <w:rFonts w:ascii="Arial" w:hAnsi="Arial" w:cs="Arial"/>
              </w:rPr>
            </w:pPr>
            <w:r w:rsidRPr="00936FE8">
              <w:rPr>
                <w:rFonts w:ascii="Arial" w:hAnsi="Arial" w:cs="Arial"/>
              </w:rPr>
              <w:t>1.5</w:t>
            </w:r>
          </w:p>
        </w:tc>
        <w:tc>
          <w:tcPr>
            <w:tcW w:w="1483" w:type="dxa"/>
            <w:vAlign w:val="center"/>
          </w:tcPr>
          <w:p w14:paraId="2CFF01F3" w14:textId="241D296F" w:rsidR="00AA531F" w:rsidRPr="00936FE8" w:rsidRDefault="00AA531F" w:rsidP="0054327B">
            <w:pPr>
              <w:spacing w:line="360" w:lineRule="auto"/>
              <w:rPr>
                <w:rFonts w:ascii="Arial" w:hAnsi="Arial" w:cs="Arial"/>
              </w:rPr>
            </w:pPr>
            <w:r w:rsidRPr="00936FE8">
              <w:rPr>
                <w:rFonts w:ascii="Arial" w:hAnsi="Arial" w:cs="Arial"/>
              </w:rPr>
              <w:t>1.4</w:t>
            </w:r>
          </w:p>
        </w:tc>
        <w:tc>
          <w:tcPr>
            <w:tcW w:w="1483" w:type="dxa"/>
            <w:vAlign w:val="center"/>
          </w:tcPr>
          <w:p w14:paraId="4DFA8338" w14:textId="0DCB576D" w:rsidR="00AA531F" w:rsidRPr="00936FE8" w:rsidRDefault="00AA531F" w:rsidP="0054327B">
            <w:pPr>
              <w:spacing w:line="360" w:lineRule="auto"/>
              <w:rPr>
                <w:rFonts w:ascii="Arial" w:hAnsi="Arial" w:cs="Arial"/>
              </w:rPr>
            </w:pPr>
            <w:r w:rsidRPr="00936FE8">
              <w:rPr>
                <w:rFonts w:ascii="Arial" w:hAnsi="Arial" w:cs="Arial"/>
              </w:rPr>
              <w:t>1.3</w:t>
            </w:r>
          </w:p>
        </w:tc>
      </w:tr>
      <w:tr w:rsidR="00AA531F" w:rsidRPr="00936FE8" w14:paraId="1D3F3EF6" w14:textId="77777777" w:rsidTr="003C4E5C">
        <w:tc>
          <w:tcPr>
            <w:tcW w:w="1604" w:type="dxa"/>
            <w:vAlign w:val="center"/>
          </w:tcPr>
          <w:p w14:paraId="0433290F" w14:textId="4CE5AABE" w:rsidR="00AA531F" w:rsidRPr="00936FE8" w:rsidRDefault="00AA531F" w:rsidP="0054327B">
            <w:pPr>
              <w:spacing w:line="360" w:lineRule="auto"/>
              <w:rPr>
                <w:rFonts w:ascii="Arial" w:hAnsi="Arial" w:cs="Arial"/>
              </w:rPr>
            </w:pPr>
            <w:r w:rsidRPr="00936FE8">
              <w:rPr>
                <w:rFonts w:ascii="Arial" w:hAnsi="Arial" w:cs="Arial"/>
                <w:b/>
                <w:bCs/>
              </w:rPr>
              <w:t>Asset Turnover (x)</w:t>
            </w:r>
          </w:p>
        </w:tc>
        <w:tc>
          <w:tcPr>
            <w:tcW w:w="1481" w:type="dxa"/>
            <w:vAlign w:val="center"/>
          </w:tcPr>
          <w:p w14:paraId="39BAD048" w14:textId="21D41311" w:rsidR="00AA531F" w:rsidRPr="00936FE8" w:rsidRDefault="00AA531F" w:rsidP="0054327B">
            <w:pPr>
              <w:spacing w:line="360" w:lineRule="auto"/>
              <w:rPr>
                <w:rFonts w:ascii="Arial" w:hAnsi="Arial" w:cs="Arial"/>
              </w:rPr>
            </w:pPr>
            <w:r w:rsidRPr="00936FE8">
              <w:rPr>
                <w:rFonts w:ascii="Arial" w:hAnsi="Arial" w:cs="Arial"/>
              </w:rPr>
              <w:t>0.22x</w:t>
            </w:r>
          </w:p>
        </w:tc>
        <w:tc>
          <w:tcPr>
            <w:tcW w:w="1482" w:type="dxa"/>
            <w:vAlign w:val="center"/>
          </w:tcPr>
          <w:p w14:paraId="4ED53DF6" w14:textId="5FEC370F" w:rsidR="00AA531F" w:rsidRPr="00936FE8" w:rsidRDefault="00AA531F" w:rsidP="0054327B">
            <w:pPr>
              <w:spacing w:line="360" w:lineRule="auto"/>
              <w:rPr>
                <w:rFonts w:ascii="Arial" w:hAnsi="Arial" w:cs="Arial"/>
              </w:rPr>
            </w:pPr>
            <w:r w:rsidRPr="00936FE8">
              <w:rPr>
                <w:rFonts w:ascii="Arial" w:hAnsi="Arial" w:cs="Arial"/>
              </w:rPr>
              <w:t>0.35x</w:t>
            </w:r>
          </w:p>
        </w:tc>
        <w:tc>
          <w:tcPr>
            <w:tcW w:w="1483" w:type="dxa"/>
            <w:vAlign w:val="center"/>
          </w:tcPr>
          <w:p w14:paraId="65B6DE1B" w14:textId="04092A05" w:rsidR="00AA531F" w:rsidRPr="00936FE8" w:rsidRDefault="00AA531F" w:rsidP="0054327B">
            <w:pPr>
              <w:spacing w:line="360" w:lineRule="auto"/>
              <w:rPr>
                <w:rFonts w:ascii="Arial" w:hAnsi="Arial" w:cs="Arial"/>
              </w:rPr>
            </w:pPr>
            <w:r w:rsidRPr="00936FE8">
              <w:rPr>
                <w:rFonts w:ascii="Arial" w:hAnsi="Arial" w:cs="Arial"/>
              </w:rPr>
              <w:t>0.40x</w:t>
            </w:r>
          </w:p>
        </w:tc>
        <w:tc>
          <w:tcPr>
            <w:tcW w:w="1483" w:type="dxa"/>
            <w:vAlign w:val="center"/>
          </w:tcPr>
          <w:p w14:paraId="3373A68C" w14:textId="6E9DC70C" w:rsidR="00AA531F" w:rsidRPr="00936FE8" w:rsidRDefault="00AA531F" w:rsidP="0054327B">
            <w:pPr>
              <w:spacing w:line="360" w:lineRule="auto"/>
              <w:rPr>
                <w:rFonts w:ascii="Arial" w:hAnsi="Arial" w:cs="Arial"/>
              </w:rPr>
            </w:pPr>
            <w:r w:rsidRPr="00936FE8">
              <w:rPr>
                <w:rFonts w:ascii="Arial" w:hAnsi="Arial" w:cs="Arial"/>
              </w:rPr>
              <w:t>0.38x</w:t>
            </w:r>
          </w:p>
        </w:tc>
        <w:tc>
          <w:tcPr>
            <w:tcW w:w="1483" w:type="dxa"/>
            <w:vAlign w:val="center"/>
          </w:tcPr>
          <w:p w14:paraId="76C9228C" w14:textId="35EA1145" w:rsidR="00AA531F" w:rsidRPr="00936FE8" w:rsidRDefault="00AA531F" w:rsidP="003C4E5C">
            <w:pPr>
              <w:keepNext/>
              <w:spacing w:line="360" w:lineRule="auto"/>
              <w:rPr>
                <w:rFonts w:ascii="Arial" w:hAnsi="Arial" w:cs="Arial"/>
              </w:rPr>
            </w:pPr>
            <w:r w:rsidRPr="00936FE8">
              <w:rPr>
                <w:rFonts w:ascii="Arial" w:hAnsi="Arial" w:cs="Arial"/>
              </w:rPr>
              <w:t>0.35x</w:t>
            </w:r>
          </w:p>
        </w:tc>
      </w:tr>
    </w:tbl>
    <w:p w14:paraId="694552E7" w14:textId="6619210B" w:rsidR="00AA531F" w:rsidRPr="00936FE8" w:rsidRDefault="003C4E5C" w:rsidP="00C82762">
      <w:pPr>
        <w:pStyle w:val="Caption"/>
      </w:pPr>
      <w:r w:rsidRPr="00936FE8">
        <w:t xml:space="preserve">Table </w:t>
      </w:r>
      <w:fldSimple w:instr=" SEQ Table \* ARABIC ">
        <w:r w:rsidR="00132649" w:rsidRPr="00936FE8">
          <w:rPr>
            <w:noProof/>
          </w:rPr>
          <w:t>5</w:t>
        </w:r>
      </w:fldSimple>
      <w:r w:rsidRPr="00936FE8">
        <w:t>: Efficiency and Operational Turnover Days</w:t>
      </w:r>
    </w:p>
    <w:p w14:paraId="4ABF41D2" w14:textId="513905D5" w:rsidR="003C4E5C" w:rsidRPr="00936FE8" w:rsidRDefault="003C4E5C" w:rsidP="003C4E5C">
      <w:pPr>
        <w:rPr>
          <w:rFonts w:ascii="Arial" w:hAnsi="Arial" w:cs="Arial"/>
        </w:rPr>
      </w:pPr>
      <w:r w:rsidRPr="00936FE8">
        <w:rPr>
          <w:rFonts w:ascii="Arial" w:hAnsi="Arial" w:cs="Arial"/>
        </w:rPr>
        <w:t>(Self-employed)</w:t>
      </w:r>
    </w:p>
    <w:p w14:paraId="6AF82505" w14:textId="76C46BB3" w:rsidR="00AA531F" w:rsidRPr="00936FE8" w:rsidRDefault="00AA531F" w:rsidP="0054327B">
      <w:pPr>
        <w:spacing w:line="360" w:lineRule="auto"/>
        <w:rPr>
          <w:rFonts w:ascii="Arial" w:hAnsi="Arial" w:cs="Arial"/>
        </w:rPr>
      </w:pPr>
      <w:r w:rsidRPr="00936FE8">
        <w:rPr>
          <w:rFonts w:ascii="Arial" w:hAnsi="Arial" w:cs="Arial"/>
        </w:rPr>
        <w:lastRenderedPageBreak/>
        <w:t xml:space="preserve">Receivables days fell from 3.8 days in FY21/22 to 2.5 days in FY25/26, which presents the expansion of direct online bookings, which now </w:t>
      </w:r>
      <w:r w:rsidR="00C4346B" w:rsidRPr="00936FE8">
        <w:rPr>
          <w:rFonts w:ascii="Arial" w:hAnsi="Arial" w:cs="Arial"/>
        </w:rPr>
        <w:t>account</w:t>
      </w:r>
      <w:r w:rsidRPr="00936FE8">
        <w:rPr>
          <w:rFonts w:ascii="Arial" w:hAnsi="Arial" w:cs="Arial"/>
        </w:rPr>
        <w:t xml:space="preserve"> for more than 90% of the total reservations (Travelodge Investor Site, 2024). Inventory days are negligible (1.3 to 2.1 days) as the beverage and food offerings are limited to the </w:t>
      </w:r>
      <w:r w:rsidR="00C4346B" w:rsidRPr="00936FE8">
        <w:rPr>
          <w:rFonts w:ascii="Arial" w:hAnsi="Arial" w:cs="Arial"/>
        </w:rPr>
        <w:t>standardised</w:t>
      </w:r>
      <w:r w:rsidRPr="00936FE8">
        <w:rPr>
          <w:rFonts w:ascii="Arial" w:hAnsi="Arial" w:cs="Arial"/>
        </w:rPr>
        <w:t xml:space="preserve"> breakfast and bar cafe menus. </w:t>
      </w:r>
    </w:p>
    <w:p w14:paraId="382E4F16" w14:textId="0729AE09" w:rsidR="00AA531F" w:rsidRPr="00936FE8" w:rsidRDefault="00AA531F" w:rsidP="0054327B">
      <w:pPr>
        <w:spacing w:line="360" w:lineRule="auto"/>
        <w:rPr>
          <w:rFonts w:ascii="Arial" w:hAnsi="Arial" w:cs="Arial"/>
        </w:rPr>
      </w:pPr>
      <w:r w:rsidRPr="00936FE8">
        <w:rPr>
          <w:rFonts w:ascii="Arial" w:hAnsi="Arial" w:cs="Arial"/>
        </w:rPr>
        <w:t xml:space="preserve">Payables days have been maintained between 41 and 52 days. This offers Travelodge with the studies stream of </w:t>
      </w:r>
      <w:r w:rsidR="00D7737F" w:rsidRPr="00936FE8">
        <w:rPr>
          <w:rFonts w:ascii="Arial" w:hAnsi="Arial" w:cs="Arial"/>
        </w:rPr>
        <w:t>interest-free</w:t>
      </w:r>
      <w:r w:rsidRPr="00936FE8">
        <w:rPr>
          <w:rFonts w:ascii="Arial" w:hAnsi="Arial" w:cs="Arial"/>
        </w:rPr>
        <w:t xml:space="preserve"> supplier credit that assists daily operational needs. </w:t>
      </w:r>
    </w:p>
    <w:p w14:paraId="2B0A6711" w14:textId="0DBAE67D" w:rsidR="00AA531F" w:rsidRPr="00936FE8" w:rsidRDefault="003C1B08" w:rsidP="00D7737F">
      <w:pPr>
        <w:pStyle w:val="Heading2"/>
        <w:numPr>
          <w:ilvl w:val="1"/>
          <w:numId w:val="9"/>
        </w:numPr>
        <w:rPr>
          <w:rFonts w:ascii="Arial" w:hAnsi="Arial" w:cs="Arial"/>
        </w:rPr>
      </w:pPr>
      <w:bookmarkStart w:id="6" w:name="_Toc235785094"/>
      <w:r w:rsidRPr="00936FE8">
        <w:rPr>
          <w:rFonts w:ascii="Arial" w:hAnsi="Arial" w:cs="Arial"/>
        </w:rPr>
        <w:t>Working Capital and Short-term Liquidity Analysis</w:t>
      </w:r>
      <w:bookmarkEnd w:id="6"/>
      <w:r w:rsidRPr="00936FE8">
        <w:rPr>
          <w:rFonts w:ascii="Arial" w:hAnsi="Arial" w:cs="Arial"/>
        </w:rPr>
        <w:t xml:space="preserve"> </w:t>
      </w:r>
    </w:p>
    <w:p w14:paraId="23FB3A2C" w14:textId="45AF1232" w:rsidR="003C1B08" w:rsidRPr="00936FE8" w:rsidRDefault="00C4346B" w:rsidP="003C1B08">
      <w:pPr>
        <w:rPr>
          <w:rFonts w:ascii="Arial" w:hAnsi="Arial" w:cs="Arial"/>
        </w:rPr>
      </w:pPr>
      <w:r w:rsidRPr="00936FE8">
        <w:rPr>
          <w:rFonts w:ascii="Arial" w:hAnsi="Arial" w:cs="Arial"/>
        </w:rPr>
        <w:t>Working</w:t>
      </w:r>
      <w:r w:rsidR="003C1B08" w:rsidRPr="00936FE8">
        <w:rPr>
          <w:rFonts w:ascii="Arial" w:hAnsi="Arial" w:cs="Arial"/>
        </w:rPr>
        <w:t xml:space="preserve"> capital management offers the primary gauge of the immediate operational efficiency of the group and day-to-day liquidity survival. Working capital is calculated by subtracting current liabilities from the current assets (Current Assets- Current Liabilities). For the forecast period of FY25/26, the corporate group operates with </w:t>
      </w:r>
      <w:r w:rsidRPr="00936FE8">
        <w:rPr>
          <w:rFonts w:ascii="Arial" w:hAnsi="Arial" w:cs="Arial"/>
        </w:rPr>
        <w:t>a</w:t>
      </w:r>
      <w:r w:rsidR="003C1B08" w:rsidRPr="00936FE8">
        <w:rPr>
          <w:rFonts w:ascii="Arial" w:hAnsi="Arial" w:cs="Arial"/>
        </w:rPr>
        <w:t xml:space="preserve"> structurally compressed liquidity profile, </w:t>
      </w:r>
      <w:r w:rsidRPr="00936FE8">
        <w:rPr>
          <w:rFonts w:ascii="Arial" w:hAnsi="Arial" w:cs="Arial"/>
        </w:rPr>
        <w:t>featuring a</w:t>
      </w:r>
      <w:r w:rsidR="003C1B08" w:rsidRPr="00936FE8">
        <w:rPr>
          <w:rFonts w:ascii="Arial" w:hAnsi="Arial" w:cs="Arial"/>
        </w:rPr>
        <w:t xml:space="preserve"> net working capital deficit and current ratio setting below 0.50x. In the traditional manufacturing or retail environment, a negative working capital balance signals critical financial distress. However, in the hospitality </w:t>
      </w:r>
      <w:r w:rsidR="002906AB" w:rsidRPr="00936FE8">
        <w:rPr>
          <w:rFonts w:ascii="Arial" w:hAnsi="Arial" w:cs="Arial"/>
        </w:rPr>
        <w:t xml:space="preserve">sector, this configuration can be managed effectively because of the structural phenomenon called </w:t>
      </w:r>
      <w:r w:rsidR="002906AB" w:rsidRPr="00936FE8">
        <w:rPr>
          <w:rFonts w:ascii="Arial" w:hAnsi="Arial" w:cs="Arial"/>
          <w:b/>
          <w:i/>
        </w:rPr>
        <w:t xml:space="preserve">Negative Cash Operating Cycle. </w:t>
      </w:r>
      <w:r w:rsidR="003C4E5C" w:rsidRPr="00936FE8">
        <w:rPr>
          <w:rFonts w:ascii="Arial" w:hAnsi="Arial" w:cs="Arial"/>
        </w:rPr>
        <w:t xml:space="preserve">This cycle tracks the timeline from paying for operational supplies to obtaining the cash from the hotel guests: </w:t>
      </w:r>
    </w:p>
    <w:p w14:paraId="39A93C28" w14:textId="4A6507E7" w:rsidR="003C4E5C" w:rsidRPr="00936FE8" w:rsidRDefault="003C4E5C" w:rsidP="003C1B08">
      <w:pPr>
        <w:rPr>
          <w:rFonts w:ascii="Arial" w:eastAsiaTheme="minorEastAsia" w:hAnsi="Arial" w:cs="Arial"/>
        </w:rPr>
      </w:pPr>
      <m:oMathPara>
        <m:oMath>
          <m:r>
            <m:rPr>
              <m:nor/>
            </m:rPr>
            <w:rPr>
              <w:rFonts w:ascii="Arial" w:hAnsi="Arial" w:cs="Arial"/>
            </w:rPr>
            <m:t>Cash Operating Cycle</m:t>
          </m:r>
          <m:r>
            <w:rPr>
              <w:rFonts w:ascii="Cambria Math" w:hAnsi="Cambria Math" w:cs="Arial"/>
            </w:rPr>
            <m:t>=</m:t>
          </m:r>
          <m:r>
            <m:rPr>
              <m:nor/>
            </m:rPr>
            <w:rPr>
              <w:rFonts w:ascii="Arial" w:hAnsi="Arial" w:cs="Arial"/>
            </w:rPr>
            <m:t>Days Inventory Outstanding (DIO)</m:t>
          </m:r>
          <m:r>
            <w:rPr>
              <w:rFonts w:ascii="Cambria Math" w:hAnsi="Cambria Math" w:cs="Arial"/>
            </w:rPr>
            <m:t>+</m:t>
          </m:r>
          <m:r>
            <m:rPr>
              <m:nor/>
            </m:rPr>
            <w:rPr>
              <w:rFonts w:ascii="Arial" w:hAnsi="Arial" w:cs="Arial"/>
            </w:rPr>
            <m:t>Days Sales Outstanding (DSO)</m:t>
          </m:r>
          <m:r>
            <w:rPr>
              <w:rFonts w:ascii="Cambria Math" w:hAnsi="Cambria Math" w:cs="Arial"/>
            </w:rPr>
            <m:t>-</m:t>
          </m:r>
          <m:r>
            <m:rPr>
              <m:nor/>
            </m:rPr>
            <w:rPr>
              <w:rFonts w:ascii="Arial" w:hAnsi="Arial" w:cs="Arial"/>
            </w:rPr>
            <m:t>Days Payable Outstanding (DPO)</m:t>
          </m:r>
        </m:oMath>
      </m:oMathPara>
    </w:p>
    <w:p w14:paraId="7B3EBBB9" w14:textId="123E72E8" w:rsidR="003C4E5C" w:rsidRPr="00936FE8" w:rsidRDefault="003C4E5C" w:rsidP="003C4E5C">
      <w:pPr>
        <w:pStyle w:val="ListParagraph"/>
        <w:numPr>
          <w:ilvl w:val="0"/>
          <w:numId w:val="10"/>
        </w:numPr>
        <w:rPr>
          <w:rFonts w:ascii="Arial" w:eastAsiaTheme="minorEastAsia" w:hAnsi="Arial" w:cs="Arial"/>
        </w:rPr>
      </w:pPr>
      <w:r w:rsidRPr="00936FE8">
        <w:rPr>
          <w:rFonts w:ascii="Arial" w:eastAsiaTheme="minorEastAsia" w:hAnsi="Arial" w:cs="Arial"/>
        </w:rPr>
        <w:t xml:space="preserve">Days inventory outstanding (DIO): As the hotels do not store the raw materials and carry minimal inventory, the inventory turns over within 3 to 5 days. </w:t>
      </w:r>
    </w:p>
    <w:p w14:paraId="05573DB8" w14:textId="310D6A9C" w:rsidR="003C4E5C" w:rsidRPr="00936FE8" w:rsidRDefault="003C4E5C" w:rsidP="003C4E5C">
      <w:pPr>
        <w:pStyle w:val="ListParagraph"/>
        <w:numPr>
          <w:ilvl w:val="0"/>
          <w:numId w:val="10"/>
        </w:numPr>
        <w:rPr>
          <w:rFonts w:ascii="Arial" w:eastAsiaTheme="minorEastAsia" w:hAnsi="Arial" w:cs="Arial"/>
        </w:rPr>
      </w:pPr>
      <w:r w:rsidRPr="00936FE8">
        <w:rPr>
          <w:rFonts w:ascii="Arial" w:eastAsiaTheme="minorEastAsia" w:hAnsi="Arial" w:cs="Arial"/>
        </w:rPr>
        <w:t xml:space="preserve">Days sales outstanding (DSO): Due to the strong direct-to-consumer digital distribution network, the vast majority of the retail customers pay upfront at the time of booking or check-in. This keeps the collection timelines stabilised between 0 and 4 days. </w:t>
      </w:r>
    </w:p>
    <w:p w14:paraId="5EC95D30" w14:textId="7BBDC995" w:rsidR="003C4E5C" w:rsidRPr="00936FE8" w:rsidRDefault="003C4E5C" w:rsidP="003C1B08">
      <w:pPr>
        <w:pStyle w:val="ListParagraph"/>
        <w:numPr>
          <w:ilvl w:val="0"/>
          <w:numId w:val="10"/>
        </w:numPr>
        <w:rPr>
          <w:rFonts w:ascii="Arial" w:eastAsiaTheme="minorEastAsia" w:hAnsi="Arial" w:cs="Arial"/>
        </w:rPr>
      </w:pPr>
      <w:r w:rsidRPr="00936FE8">
        <w:rPr>
          <w:rFonts w:ascii="Arial" w:eastAsiaTheme="minorEastAsia" w:hAnsi="Arial" w:cs="Arial"/>
        </w:rPr>
        <w:t xml:space="preserve">Days payable outstanding (DPO): Conversely, the organisation negotiates standard commercial credit terms with the corporate vendors and utility suppliers, delaying cash outflows for 30 to 45 days. </w:t>
      </w:r>
    </w:p>
    <w:p w14:paraId="76BE771B" w14:textId="77777777" w:rsidR="00132649" w:rsidRPr="00936FE8" w:rsidRDefault="00132649" w:rsidP="00132649">
      <w:pPr>
        <w:rPr>
          <w:rFonts w:ascii="Arial" w:eastAsiaTheme="minorEastAsia" w:hAnsi="Arial" w:cs="Arial"/>
          <w:b/>
          <w:bCs/>
          <w:i/>
          <w:iCs/>
        </w:rPr>
      </w:pPr>
      <w:r w:rsidRPr="00936FE8">
        <w:rPr>
          <w:rFonts w:ascii="Arial" w:eastAsiaTheme="minorEastAsia" w:hAnsi="Arial" w:cs="Arial"/>
          <w:b/>
          <w:bCs/>
          <w:i/>
          <w:iCs/>
        </w:rPr>
        <w:t>Consolidated Working Capital Summary (FY21/22 – FY25/26)</w:t>
      </w:r>
    </w:p>
    <w:p w14:paraId="03EC3389" w14:textId="77777777" w:rsidR="00132649" w:rsidRPr="00936FE8" w:rsidRDefault="00132649" w:rsidP="00132649">
      <w:pPr>
        <w:rPr>
          <w:rFonts w:ascii="Arial" w:hAnsi="Arial" w:cs="Arial"/>
        </w:rPr>
      </w:pPr>
      <m:oMathPara>
        <m:oMath>
          <m:r>
            <m:rPr>
              <m:nor/>
            </m:rPr>
            <w:rPr>
              <w:rFonts w:ascii="Arial" w:eastAsia="Times New Roman" w:hAnsi="Arial" w:cs="Arial"/>
            </w:rPr>
            <m:t>Net Working Capital (NWC)</m:t>
          </m:r>
          <m:r>
            <w:rPr>
              <w:rFonts w:ascii="Cambria Math" w:eastAsia="Times New Roman" w:hAnsi="Cambria Math" w:cs="Arial"/>
            </w:rPr>
            <m:t>=</m:t>
          </m:r>
          <m:r>
            <m:rPr>
              <m:nor/>
            </m:rPr>
            <w:rPr>
              <w:rFonts w:ascii="Arial" w:eastAsia="Times New Roman" w:hAnsi="Arial" w:cs="Arial"/>
            </w:rPr>
            <m:t>Current Assets (CA)</m:t>
          </m:r>
          <m:r>
            <w:rPr>
              <w:rFonts w:ascii="Cambria Math" w:eastAsia="Times New Roman" w:hAnsi="Cambria Math" w:cs="Arial"/>
            </w:rPr>
            <m:t>-</m:t>
          </m:r>
          <m:r>
            <m:rPr>
              <m:nor/>
            </m:rPr>
            <w:rPr>
              <w:rFonts w:ascii="Arial" w:eastAsia="Times New Roman" w:hAnsi="Arial" w:cs="Arial"/>
            </w:rPr>
            <m:t>Current Liabilities (CL)</m:t>
          </m:r>
        </m:oMath>
      </m:oMathPara>
    </w:p>
    <w:p w14:paraId="1781B177" w14:textId="77777777" w:rsidR="00132649" w:rsidRPr="00936FE8" w:rsidRDefault="00132649" w:rsidP="00132649">
      <w:pPr>
        <w:rPr>
          <w:rFonts w:ascii="Arial" w:hAnsi="Arial" w:cs="Arial"/>
        </w:rPr>
      </w:pPr>
      <m:oMathPara>
        <m:oMath>
          <m:r>
            <m:rPr>
              <m:nor/>
            </m:rPr>
            <w:rPr>
              <w:rFonts w:ascii="Arial" w:eastAsia="Times New Roman" w:hAnsi="Arial" w:cs="Arial"/>
            </w:rPr>
            <m:t>Current Ratio</m:t>
          </m:r>
          <m:r>
            <w:rPr>
              <w:rFonts w:ascii="Cambria Math" w:eastAsia="Times New Roman" w:hAnsi="Cambria Math" w:cs="Arial"/>
            </w:rPr>
            <m:t>=</m:t>
          </m:r>
          <m:f>
            <m:fPr>
              <m:ctrlPr>
                <w:rPr>
                  <w:rFonts w:ascii="Cambria Math" w:eastAsia="Times New Roman" w:hAnsi="Cambria Math" w:cs="Arial"/>
                </w:rPr>
              </m:ctrlPr>
            </m:fPr>
            <m:num>
              <m:r>
                <m:rPr>
                  <m:nor/>
                </m:rPr>
                <w:rPr>
                  <w:rFonts w:ascii="Arial" w:eastAsia="Times New Roman" w:hAnsi="Arial" w:cs="Arial"/>
                </w:rPr>
                <m:t>Current Assets</m:t>
              </m:r>
            </m:num>
            <m:den>
              <m:r>
                <m:rPr>
                  <m:nor/>
                </m:rPr>
                <w:rPr>
                  <w:rFonts w:ascii="Arial" w:eastAsia="Times New Roman" w:hAnsi="Arial" w:cs="Arial"/>
                </w:rPr>
                <m:t>Current Liabilities</m:t>
              </m:r>
            </m:den>
          </m:f>
        </m:oMath>
      </m:oMathPara>
    </w:p>
    <w:p w14:paraId="6581D987" w14:textId="77777777" w:rsidR="00132649" w:rsidRPr="00936FE8" w:rsidRDefault="00132649" w:rsidP="00132649">
      <w:pPr>
        <w:rPr>
          <w:rFonts w:ascii="Arial" w:hAnsi="Arial" w:cs="Arial"/>
        </w:rPr>
      </w:pPr>
      <m:oMathPara>
        <m:oMath>
          <m:r>
            <m:rPr>
              <m:nor/>
            </m:rPr>
            <w:rPr>
              <w:rFonts w:ascii="Arial" w:eastAsia="Times New Roman" w:hAnsi="Arial" w:cs="Arial"/>
            </w:rPr>
            <w:lastRenderedPageBreak/>
            <m:t>Quick Ratio</m:t>
          </m:r>
          <m:r>
            <w:rPr>
              <w:rFonts w:ascii="Cambria Math" w:eastAsia="Times New Roman" w:hAnsi="Cambria Math" w:cs="Arial"/>
            </w:rPr>
            <m:t>=</m:t>
          </m:r>
          <m:f>
            <m:fPr>
              <m:ctrlPr>
                <w:rPr>
                  <w:rFonts w:ascii="Cambria Math" w:eastAsia="Times New Roman" w:hAnsi="Cambria Math" w:cs="Arial"/>
                </w:rPr>
              </m:ctrlPr>
            </m:fPr>
            <m:num>
              <m:r>
                <m:rPr>
                  <m:nor/>
                </m:rPr>
                <w:rPr>
                  <w:rFonts w:ascii="Arial" w:eastAsia="Times New Roman" w:hAnsi="Arial" w:cs="Arial"/>
                </w:rPr>
                <m:t>Current Assets</m:t>
              </m:r>
              <m:r>
                <w:rPr>
                  <w:rFonts w:ascii="Cambria Math" w:eastAsia="Times New Roman" w:hAnsi="Cambria Math" w:cs="Arial"/>
                </w:rPr>
                <m:t>-</m:t>
              </m:r>
              <m:r>
                <m:rPr>
                  <m:nor/>
                </m:rPr>
                <w:rPr>
                  <w:rFonts w:ascii="Arial" w:eastAsia="Times New Roman" w:hAnsi="Arial" w:cs="Arial"/>
                </w:rPr>
                <m:t>Inventory</m:t>
              </m:r>
            </m:num>
            <m:den>
              <m:r>
                <m:rPr>
                  <m:nor/>
                </m:rPr>
                <w:rPr>
                  <w:rFonts w:ascii="Arial" w:eastAsia="Times New Roman" w:hAnsi="Arial" w:cs="Arial"/>
                </w:rPr>
                <m:t>Current Liabilities</m:t>
              </m:r>
            </m:den>
          </m:f>
        </m:oMath>
      </m:oMathPara>
    </w:p>
    <w:p w14:paraId="71733C5D" w14:textId="48AD10CA" w:rsidR="00132649" w:rsidRPr="00936FE8" w:rsidRDefault="00132649" w:rsidP="00936FE8">
      <w:pPr>
        <w:rPr>
          <w:rFonts w:ascii="Arial" w:hAnsi="Arial" w:cs="Arial"/>
        </w:rPr>
      </w:pPr>
      <m:oMathPara>
        <m:oMath>
          <m:r>
            <m:rPr>
              <m:nor/>
            </m:rPr>
            <w:rPr>
              <w:rFonts w:ascii="Arial" w:eastAsia="Times New Roman" w:hAnsi="Arial" w:cs="Arial"/>
            </w:rPr>
            <m:t>Operating Cash Flow Ratio</m:t>
          </m:r>
          <m:r>
            <w:rPr>
              <w:rFonts w:ascii="Cambria Math" w:eastAsia="Times New Roman" w:hAnsi="Cambria Math" w:cs="Arial"/>
            </w:rPr>
            <m:t>=</m:t>
          </m:r>
          <m:f>
            <m:fPr>
              <m:ctrlPr>
                <w:rPr>
                  <w:rFonts w:ascii="Cambria Math" w:eastAsia="Times New Roman" w:hAnsi="Cambria Math" w:cs="Arial"/>
                </w:rPr>
              </m:ctrlPr>
            </m:fPr>
            <m:num>
              <m:r>
                <m:rPr>
                  <m:nor/>
                </m:rPr>
                <w:rPr>
                  <w:rFonts w:ascii="Arial" w:eastAsia="Times New Roman" w:hAnsi="Arial" w:cs="Arial"/>
                </w:rPr>
                <m:t>Net Cash from Operating Activities</m:t>
              </m:r>
            </m:num>
            <m:den>
              <m:r>
                <m:rPr>
                  <m:nor/>
                </m:rPr>
                <w:rPr>
                  <w:rFonts w:ascii="Arial" w:eastAsia="Times New Roman" w:hAnsi="Arial" w:cs="Arial"/>
                </w:rPr>
                <m:t>Current Liabilities</m:t>
              </m:r>
            </m:den>
          </m:f>
        </m:oMath>
      </m:oMathPara>
    </w:p>
    <w:tbl>
      <w:tblPr>
        <w:tblStyle w:val="TableGrid"/>
        <w:tblW w:w="0" w:type="auto"/>
        <w:tblLook w:val="04A0" w:firstRow="1" w:lastRow="0" w:firstColumn="1" w:lastColumn="0" w:noHBand="0" w:noVBand="1"/>
      </w:tblPr>
      <w:tblGrid>
        <w:gridCol w:w="3090"/>
        <w:gridCol w:w="1124"/>
        <w:gridCol w:w="1226"/>
        <w:gridCol w:w="1124"/>
        <w:gridCol w:w="1226"/>
        <w:gridCol w:w="1226"/>
      </w:tblGrid>
      <w:tr w:rsidR="00132649" w:rsidRPr="00936FE8" w14:paraId="74C5C2A4" w14:textId="77777777" w:rsidTr="00132649">
        <w:tc>
          <w:tcPr>
            <w:tcW w:w="0" w:type="auto"/>
            <w:hideMark/>
          </w:tcPr>
          <w:p w14:paraId="1DAF74FF"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Metric (£m)</w:t>
            </w:r>
          </w:p>
        </w:tc>
        <w:tc>
          <w:tcPr>
            <w:tcW w:w="0" w:type="auto"/>
            <w:hideMark/>
          </w:tcPr>
          <w:p w14:paraId="6F281E5F"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FY21/22</w:t>
            </w:r>
          </w:p>
        </w:tc>
        <w:tc>
          <w:tcPr>
            <w:tcW w:w="0" w:type="auto"/>
            <w:hideMark/>
          </w:tcPr>
          <w:p w14:paraId="71220424"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FY22/23</w:t>
            </w:r>
          </w:p>
        </w:tc>
        <w:tc>
          <w:tcPr>
            <w:tcW w:w="0" w:type="auto"/>
            <w:hideMark/>
          </w:tcPr>
          <w:p w14:paraId="4105CCFE"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FY23/24</w:t>
            </w:r>
          </w:p>
        </w:tc>
        <w:tc>
          <w:tcPr>
            <w:tcW w:w="0" w:type="auto"/>
            <w:hideMark/>
          </w:tcPr>
          <w:p w14:paraId="1696061E"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FY24/25</w:t>
            </w:r>
          </w:p>
        </w:tc>
        <w:tc>
          <w:tcPr>
            <w:tcW w:w="0" w:type="auto"/>
            <w:hideMark/>
          </w:tcPr>
          <w:p w14:paraId="14755836"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FY25/26</w:t>
            </w:r>
          </w:p>
        </w:tc>
      </w:tr>
      <w:tr w:rsidR="00132649" w:rsidRPr="00936FE8" w14:paraId="0BDE9323" w14:textId="77777777" w:rsidTr="00132649">
        <w:tc>
          <w:tcPr>
            <w:tcW w:w="0" w:type="auto"/>
            <w:hideMark/>
          </w:tcPr>
          <w:p w14:paraId="61C9022A"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Current Assets (CA)</w:t>
            </w:r>
          </w:p>
        </w:tc>
        <w:tc>
          <w:tcPr>
            <w:tcW w:w="0" w:type="auto"/>
            <w:hideMark/>
          </w:tcPr>
          <w:p w14:paraId="7764F75F"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£165.4</w:t>
            </w:r>
          </w:p>
        </w:tc>
        <w:tc>
          <w:tcPr>
            <w:tcW w:w="0" w:type="auto"/>
            <w:hideMark/>
          </w:tcPr>
          <w:p w14:paraId="7772E9D9"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£182.1</w:t>
            </w:r>
          </w:p>
        </w:tc>
        <w:tc>
          <w:tcPr>
            <w:tcW w:w="0" w:type="auto"/>
            <w:hideMark/>
          </w:tcPr>
          <w:p w14:paraId="0E82313B"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£245.3</w:t>
            </w:r>
          </w:p>
        </w:tc>
        <w:tc>
          <w:tcPr>
            <w:tcW w:w="0" w:type="auto"/>
            <w:hideMark/>
          </w:tcPr>
          <w:p w14:paraId="33A7609A"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£262.5</w:t>
            </w:r>
          </w:p>
        </w:tc>
        <w:tc>
          <w:tcPr>
            <w:tcW w:w="0" w:type="auto"/>
            <w:hideMark/>
          </w:tcPr>
          <w:p w14:paraId="3731C851"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£125.4</w:t>
            </w:r>
          </w:p>
        </w:tc>
      </w:tr>
      <w:tr w:rsidR="00132649" w:rsidRPr="00936FE8" w14:paraId="234F683E" w14:textId="77777777" w:rsidTr="00132649">
        <w:tc>
          <w:tcPr>
            <w:tcW w:w="0" w:type="auto"/>
            <w:hideMark/>
          </w:tcPr>
          <w:p w14:paraId="74BF52AB"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Less Inventory</w:t>
            </w:r>
          </w:p>
        </w:tc>
        <w:tc>
          <w:tcPr>
            <w:tcW w:w="0" w:type="auto"/>
            <w:hideMark/>
          </w:tcPr>
          <w:p w14:paraId="6AD369B9"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(£3.8)</w:t>
            </w:r>
          </w:p>
        </w:tc>
        <w:tc>
          <w:tcPr>
            <w:tcW w:w="0" w:type="auto"/>
            <w:hideMark/>
          </w:tcPr>
          <w:p w14:paraId="4B8BC4EF"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(£4.2)</w:t>
            </w:r>
          </w:p>
        </w:tc>
        <w:tc>
          <w:tcPr>
            <w:tcW w:w="0" w:type="auto"/>
            <w:hideMark/>
          </w:tcPr>
          <w:p w14:paraId="4C0EDFDD"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(£4.8)</w:t>
            </w:r>
          </w:p>
        </w:tc>
        <w:tc>
          <w:tcPr>
            <w:tcW w:w="0" w:type="auto"/>
            <w:hideMark/>
          </w:tcPr>
          <w:p w14:paraId="71AEEF5C"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(£5.1)</w:t>
            </w:r>
          </w:p>
        </w:tc>
        <w:tc>
          <w:tcPr>
            <w:tcW w:w="0" w:type="auto"/>
            <w:hideMark/>
          </w:tcPr>
          <w:p w14:paraId="5F218099"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(£4.9)</w:t>
            </w:r>
          </w:p>
        </w:tc>
      </w:tr>
      <w:tr w:rsidR="00132649" w:rsidRPr="00936FE8" w14:paraId="254D3996" w14:textId="77777777" w:rsidTr="00132649">
        <w:tc>
          <w:tcPr>
            <w:tcW w:w="0" w:type="auto"/>
            <w:hideMark/>
          </w:tcPr>
          <w:p w14:paraId="385ED343"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Current Liabilities (CL)</w:t>
            </w:r>
          </w:p>
        </w:tc>
        <w:tc>
          <w:tcPr>
            <w:tcW w:w="0" w:type="auto"/>
            <w:hideMark/>
          </w:tcPr>
          <w:p w14:paraId="28DB88C8"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(£254.5)</w:t>
            </w:r>
          </w:p>
        </w:tc>
        <w:tc>
          <w:tcPr>
            <w:tcW w:w="0" w:type="auto"/>
            <w:hideMark/>
          </w:tcPr>
          <w:p w14:paraId="091B3986"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(£314.0)</w:t>
            </w:r>
          </w:p>
        </w:tc>
        <w:tc>
          <w:tcPr>
            <w:tcW w:w="0" w:type="auto"/>
            <w:hideMark/>
          </w:tcPr>
          <w:p w14:paraId="747A8D7D"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(£340.7)</w:t>
            </w:r>
          </w:p>
        </w:tc>
        <w:tc>
          <w:tcPr>
            <w:tcW w:w="0" w:type="auto"/>
            <w:hideMark/>
          </w:tcPr>
          <w:p w14:paraId="1C92DD03"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(£423.4)</w:t>
            </w:r>
          </w:p>
        </w:tc>
        <w:tc>
          <w:tcPr>
            <w:tcW w:w="0" w:type="auto"/>
            <w:hideMark/>
          </w:tcPr>
          <w:p w14:paraId="49358572"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(£278.7)</w:t>
            </w:r>
          </w:p>
        </w:tc>
      </w:tr>
      <w:tr w:rsidR="00132649" w:rsidRPr="00936FE8" w14:paraId="31276395" w14:textId="77777777" w:rsidTr="00132649">
        <w:tc>
          <w:tcPr>
            <w:tcW w:w="0" w:type="auto"/>
            <w:hideMark/>
          </w:tcPr>
          <w:p w14:paraId="1EA6FACC"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Operating Cash Flow</w:t>
            </w:r>
          </w:p>
        </w:tc>
        <w:tc>
          <w:tcPr>
            <w:tcW w:w="0" w:type="auto"/>
            <w:hideMark/>
          </w:tcPr>
          <w:p w14:paraId="06F02CA5"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£88.5</w:t>
            </w:r>
          </w:p>
        </w:tc>
        <w:tc>
          <w:tcPr>
            <w:tcW w:w="0" w:type="auto"/>
            <w:hideMark/>
          </w:tcPr>
          <w:p w14:paraId="46ED62D3"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£195.4</w:t>
            </w:r>
          </w:p>
        </w:tc>
        <w:tc>
          <w:tcPr>
            <w:tcW w:w="0" w:type="auto"/>
            <w:hideMark/>
          </w:tcPr>
          <w:p w14:paraId="1BF50AED"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£285.2</w:t>
            </w:r>
          </w:p>
        </w:tc>
        <w:tc>
          <w:tcPr>
            <w:tcW w:w="0" w:type="auto"/>
            <w:hideMark/>
          </w:tcPr>
          <w:p w14:paraId="22B0EA82"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£212.0</w:t>
            </w:r>
          </w:p>
        </w:tc>
        <w:tc>
          <w:tcPr>
            <w:tcW w:w="0" w:type="auto"/>
            <w:hideMark/>
          </w:tcPr>
          <w:p w14:paraId="782150D8"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rPr>
              <w:t>£185.0</w:t>
            </w:r>
          </w:p>
        </w:tc>
      </w:tr>
      <w:tr w:rsidR="00132649" w:rsidRPr="00936FE8" w14:paraId="05581D0E" w14:textId="77777777" w:rsidTr="00132649">
        <w:tc>
          <w:tcPr>
            <w:tcW w:w="0" w:type="auto"/>
            <w:hideMark/>
          </w:tcPr>
          <w:p w14:paraId="4F24215F"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Net Working Capital (CA - CL)</w:t>
            </w:r>
          </w:p>
        </w:tc>
        <w:tc>
          <w:tcPr>
            <w:tcW w:w="0" w:type="auto"/>
            <w:hideMark/>
          </w:tcPr>
          <w:p w14:paraId="382115F9"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-£89.1m</w:t>
            </w:r>
          </w:p>
        </w:tc>
        <w:tc>
          <w:tcPr>
            <w:tcW w:w="0" w:type="auto"/>
            <w:hideMark/>
          </w:tcPr>
          <w:p w14:paraId="6854D0D7"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-£131.9m</w:t>
            </w:r>
          </w:p>
        </w:tc>
        <w:tc>
          <w:tcPr>
            <w:tcW w:w="0" w:type="auto"/>
            <w:hideMark/>
          </w:tcPr>
          <w:p w14:paraId="18DCAAB7"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-£95.4m</w:t>
            </w:r>
          </w:p>
        </w:tc>
        <w:tc>
          <w:tcPr>
            <w:tcW w:w="0" w:type="auto"/>
            <w:hideMark/>
          </w:tcPr>
          <w:p w14:paraId="648DE374"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-£160.9m</w:t>
            </w:r>
          </w:p>
        </w:tc>
        <w:tc>
          <w:tcPr>
            <w:tcW w:w="0" w:type="auto"/>
            <w:hideMark/>
          </w:tcPr>
          <w:p w14:paraId="325BC317"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-£153.3m</w:t>
            </w:r>
          </w:p>
        </w:tc>
      </w:tr>
      <w:tr w:rsidR="00132649" w:rsidRPr="00936FE8" w14:paraId="0D0231D2" w14:textId="77777777" w:rsidTr="00132649">
        <w:tc>
          <w:tcPr>
            <w:tcW w:w="0" w:type="auto"/>
            <w:hideMark/>
          </w:tcPr>
          <w:p w14:paraId="205F5171"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Current Ratio</w:t>
            </w:r>
          </w:p>
        </w:tc>
        <w:tc>
          <w:tcPr>
            <w:tcW w:w="0" w:type="auto"/>
            <w:hideMark/>
          </w:tcPr>
          <w:p w14:paraId="03C42E1A"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0.65x</w:t>
            </w:r>
          </w:p>
        </w:tc>
        <w:tc>
          <w:tcPr>
            <w:tcW w:w="0" w:type="auto"/>
            <w:hideMark/>
          </w:tcPr>
          <w:p w14:paraId="18294AF4"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0.58x</w:t>
            </w:r>
          </w:p>
        </w:tc>
        <w:tc>
          <w:tcPr>
            <w:tcW w:w="0" w:type="auto"/>
            <w:hideMark/>
          </w:tcPr>
          <w:p w14:paraId="032D2C44"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0.72x</w:t>
            </w:r>
          </w:p>
        </w:tc>
        <w:tc>
          <w:tcPr>
            <w:tcW w:w="0" w:type="auto"/>
            <w:hideMark/>
          </w:tcPr>
          <w:p w14:paraId="7707D3F6"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0.62x</w:t>
            </w:r>
          </w:p>
        </w:tc>
        <w:tc>
          <w:tcPr>
            <w:tcW w:w="0" w:type="auto"/>
            <w:hideMark/>
          </w:tcPr>
          <w:p w14:paraId="025B8B78"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0.45x</w:t>
            </w:r>
          </w:p>
        </w:tc>
      </w:tr>
      <w:tr w:rsidR="00132649" w:rsidRPr="00936FE8" w14:paraId="7774FFF9" w14:textId="77777777" w:rsidTr="00132649">
        <w:tc>
          <w:tcPr>
            <w:tcW w:w="0" w:type="auto"/>
            <w:hideMark/>
          </w:tcPr>
          <w:p w14:paraId="283DF3C0"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Quick Ratio</w:t>
            </w:r>
          </w:p>
        </w:tc>
        <w:tc>
          <w:tcPr>
            <w:tcW w:w="0" w:type="auto"/>
            <w:hideMark/>
          </w:tcPr>
          <w:p w14:paraId="6BBCC888"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0.63x</w:t>
            </w:r>
          </w:p>
        </w:tc>
        <w:tc>
          <w:tcPr>
            <w:tcW w:w="0" w:type="auto"/>
            <w:hideMark/>
          </w:tcPr>
          <w:p w14:paraId="4465F86A"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0.56x</w:t>
            </w:r>
          </w:p>
        </w:tc>
        <w:tc>
          <w:tcPr>
            <w:tcW w:w="0" w:type="auto"/>
            <w:hideMark/>
          </w:tcPr>
          <w:p w14:paraId="16F7C510"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0.70x</w:t>
            </w:r>
          </w:p>
        </w:tc>
        <w:tc>
          <w:tcPr>
            <w:tcW w:w="0" w:type="auto"/>
            <w:hideMark/>
          </w:tcPr>
          <w:p w14:paraId="3A4FC663"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0.60x</w:t>
            </w:r>
          </w:p>
        </w:tc>
        <w:tc>
          <w:tcPr>
            <w:tcW w:w="0" w:type="auto"/>
            <w:hideMark/>
          </w:tcPr>
          <w:p w14:paraId="217A9A0F"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0.43x</w:t>
            </w:r>
          </w:p>
        </w:tc>
      </w:tr>
      <w:tr w:rsidR="00132649" w:rsidRPr="00936FE8" w14:paraId="34739DE3" w14:textId="77777777" w:rsidTr="00132649">
        <w:tc>
          <w:tcPr>
            <w:tcW w:w="0" w:type="auto"/>
            <w:hideMark/>
          </w:tcPr>
          <w:p w14:paraId="5E8CDB15"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Operating Cash Flow Ratio</w:t>
            </w:r>
          </w:p>
        </w:tc>
        <w:tc>
          <w:tcPr>
            <w:tcW w:w="0" w:type="auto"/>
            <w:hideMark/>
          </w:tcPr>
          <w:p w14:paraId="5CBD968F"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0.35x</w:t>
            </w:r>
          </w:p>
        </w:tc>
        <w:tc>
          <w:tcPr>
            <w:tcW w:w="0" w:type="auto"/>
            <w:hideMark/>
          </w:tcPr>
          <w:p w14:paraId="7045D54C"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0.62x</w:t>
            </w:r>
          </w:p>
        </w:tc>
        <w:tc>
          <w:tcPr>
            <w:tcW w:w="0" w:type="auto"/>
            <w:hideMark/>
          </w:tcPr>
          <w:p w14:paraId="4214AD49"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0.84x</w:t>
            </w:r>
          </w:p>
        </w:tc>
        <w:tc>
          <w:tcPr>
            <w:tcW w:w="0" w:type="auto"/>
            <w:hideMark/>
          </w:tcPr>
          <w:p w14:paraId="2E4899EB"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0.50x</w:t>
            </w:r>
          </w:p>
        </w:tc>
        <w:tc>
          <w:tcPr>
            <w:tcW w:w="0" w:type="auto"/>
            <w:hideMark/>
          </w:tcPr>
          <w:p w14:paraId="3245A264" w14:textId="77777777" w:rsidR="00132649" w:rsidRPr="00936FE8" w:rsidRDefault="00132649" w:rsidP="00132649">
            <w:pPr>
              <w:spacing w:after="160" w:line="278" w:lineRule="auto"/>
              <w:rPr>
                <w:rFonts w:ascii="Arial" w:eastAsiaTheme="minorEastAsia" w:hAnsi="Arial" w:cs="Arial"/>
              </w:rPr>
            </w:pPr>
            <w:r w:rsidRPr="00936FE8">
              <w:rPr>
                <w:rFonts w:ascii="Arial" w:eastAsiaTheme="minorEastAsia" w:hAnsi="Arial" w:cs="Arial"/>
                <w:b/>
                <w:bCs/>
              </w:rPr>
              <w:t>0.66x</w:t>
            </w:r>
          </w:p>
        </w:tc>
      </w:tr>
    </w:tbl>
    <w:p w14:paraId="3269E7E1" w14:textId="77777777" w:rsidR="00936FE8" w:rsidRPr="00936FE8" w:rsidRDefault="00936FE8" w:rsidP="00936FE8">
      <w:pPr>
        <w:pStyle w:val="Caption"/>
      </w:pPr>
      <w:r w:rsidRPr="00936FE8">
        <w:t xml:space="preserve">Table </w:t>
      </w:r>
      <w:r w:rsidRPr="00936FE8">
        <w:fldChar w:fldCharType="begin"/>
      </w:r>
      <w:r w:rsidRPr="00936FE8">
        <w:instrText xml:space="preserve"> SEQ Table \* ARABIC </w:instrText>
      </w:r>
      <w:r w:rsidRPr="00936FE8">
        <w:fldChar w:fldCharType="separate"/>
      </w:r>
      <w:r w:rsidRPr="00936FE8">
        <w:rPr>
          <w:noProof/>
        </w:rPr>
        <w:t>6</w:t>
      </w:r>
      <w:r w:rsidRPr="00936FE8">
        <w:rPr>
          <w:noProof/>
        </w:rPr>
        <w:fldChar w:fldCharType="end"/>
      </w:r>
      <w:r w:rsidRPr="00936FE8">
        <w:t>: Consolidated working capital summary</w:t>
      </w:r>
    </w:p>
    <w:p w14:paraId="34A06A9F" w14:textId="677E62E6" w:rsidR="00132649" w:rsidRPr="00936FE8" w:rsidRDefault="00936FE8" w:rsidP="00132649">
      <w:pPr>
        <w:rPr>
          <w:rFonts w:ascii="Arial" w:eastAsiaTheme="minorEastAsia" w:hAnsi="Arial" w:cs="Arial"/>
        </w:rPr>
      </w:pPr>
      <w:r w:rsidRPr="00936FE8">
        <w:rPr>
          <w:rFonts w:ascii="Arial" w:eastAsiaTheme="minorEastAsia" w:hAnsi="Arial" w:cs="Arial"/>
        </w:rPr>
        <w:t>(Self-employed)</w:t>
      </w:r>
    </w:p>
    <w:p w14:paraId="5AB4D3D4" w14:textId="29A5C4B5" w:rsidR="005E64A8" w:rsidRPr="00936FE8" w:rsidRDefault="005E64A8" w:rsidP="005E64A8">
      <w:pPr>
        <w:rPr>
          <w:rFonts w:ascii="Arial" w:eastAsiaTheme="minorEastAsia" w:hAnsi="Arial" w:cs="Arial"/>
          <w:b/>
          <w:i/>
        </w:rPr>
      </w:pPr>
      <w:r w:rsidRPr="00936FE8">
        <w:rPr>
          <w:rFonts w:ascii="Arial" w:eastAsiaTheme="minorEastAsia" w:hAnsi="Arial" w:cs="Arial"/>
          <w:b/>
          <w:i/>
        </w:rPr>
        <w:t xml:space="preserve">Operating Cash Flow Ratio Analysis </w:t>
      </w:r>
    </w:p>
    <w:p w14:paraId="337ACB71" w14:textId="6E1C6D0B" w:rsidR="005E64A8" w:rsidRPr="00936FE8" w:rsidRDefault="00CE71EF" w:rsidP="005E64A8">
      <w:pPr>
        <w:rPr>
          <w:rFonts w:ascii="Arial" w:eastAsiaTheme="minorEastAsia" w:hAnsi="Arial" w:cs="Arial"/>
        </w:rPr>
      </w:pPr>
      <w:r w:rsidRPr="00936FE8">
        <w:rPr>
          <w:rFonts w:ascii="Arial" w:eastAsiaTheme="minorEastAsia" w:hAnsi="Arial" w:cs="Arial"/>
        </w:rPr>
        <w:t xml:space="preserve">To test if the negative working capital framework of the group poses a genuine default risk, the operating cash flow ratio must be used. This liquidity metric measures the </w:t>
      </w:r>
      <w:proofErr w:type="gramStart"/>
      <w:r w:rsidRPr="00936FE8">
        <w:rPr>
          <w:rFonts w:ascii="Arial" w:eastAsiaTheme="minorEastAsia" w:hAnsi="Arial" w:cs="Arial"/>
        </w:rPr>
        <w:t>potential  of</w:t>
      </w:r>
      <w:proofErr w:type="gramEnd"/>
      <w:r w:rsidRPr="00936FE8">
        <w:rPr>
          <w:rFonts w:ascii="Arial" w:eastAsiaTheme="minorEastAsia" w:hAnsi="Arial" w:cs="Arial"/>
        </w:rPr>
        <w:t xml:space="preserve"> the organisation to cover its short-term debts using the net cash generated strictly from its core daily operations: </w:t>
      </w:r>
    </w:p>
    <w:p w14:paraId="38999A9D" w14:textId="6FD6DBC7" w:rsidR="00CE71EF" w:rsidRPr="00936FE8" w:rsidRDefault="00CE71EF" w:rsidP="005E64A8">
      <w:pPr>
        <w:rPr>
          <w:rFonts w:ascii="Arial" w:eastAsiaTheme="minorEastAsia" w:hAnsi="Arial" w:cs="Arial"/>
        </w:rPr>
      </w:pPr>
      <m:oMathPara>
        <m:oMath>
          <m:r>
            <m:rPr>
              <m:nor/>
            </m:rPr>
            <w:rPr>
              <w:rFonts w:ascii="Arial" w:eastAsiaTheme="minorEastAsia" w:hAnsi="Arial" w:cs="Arial"/>
            </w:rPr>
            <m:t>Operating Cash Flow Ratio</m:t>
          </m:r>
          <m: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Net Cash Flow from Operating Activities</m:t>
              </m:r>
            </m:num>
            <m:den>
              <m:r>
                <m:rPr>
                  <m:nor/>
                </m:rPr>
                <w:rPr>
                  <w:rFonts w:ascii="Arial" w:eastAsiaTheme="minorEastAsia" w:hAnsi="Arial" w:cs="Arial"/>
                </w:rPr>
                <m:t>Current Liabilities</m:t>
              </m:r>
            </m:den>
          </m:f>
        </m:oMath>
      </m:oMathPara>
    </w:p>
    <w:p w14:paraId="254E70CC" w14:textId="4A1DA7D0" w:rsidR="00CE71EF" w:rsidRPr="00936FE8" w:rsidRDefault="00CE71EF" w:rsidP="005E64A8">
      <w:pPr>
        <w:rPr>
          <w:rFonts w:ascii="Arial" w:eastAsiaTheme="minorEastAsia" w:hAnsi="Arial" w:cs="Arial"/>
        </w:rPr>
      </w:pPr>
      <w:r w:rsidRPr="00936FE8">
        <w:rPr>
          <w:rFonts w:ascii="Arial" w:eastAsiaTheme="minorEastAsia" w:hAnsi="Arial" w:cs="Arial"/>
        </w:rPr>
        <w:t xml:space="preserve">Unlike the traditional quick or current ratios, which involve the uncollected accounts </w:t>
      </w:r>
      <w:r w:rsidR="00C4346B" w:rsidRPr="00936FE8">
        <w:rPr>
          <w:rFonts w:ascii="Arial" w:eastAsiaTheme="minorEastAsia" w:hAnsi="Arial" w:cs="Arial"/>
        </w:rPr>
        <w:t>receivable</w:t>
      </w:r>
      <w:r w:rsidRPr="00936FE8">
        <w:rPr>
          <w:rFonts w:ascii="Arial" w:eastAsiaTheme="minorEastAsia" w:hAnsi="Arial" w:cs="Arial"/>
        </w:rPr>
        <w:t xml:space="preserve"> and slow-moving inventory, </w:t>
      </w:r>
      <w:r w:rsidR="0074785A" w:rsidRPr="00936FE8">
        <w:rPr>
          <w:rFonts w:ascii="Arial" w:eastAsiaTheme="minorEastAsia" w:hAnsi="Arial" w:cs="Arial"/>
        </w:rPr>
        <w:t xml:space="preserve">the </w:t>
      </w:r>
      <w:r w:rsidRPr="00936FE8">
        <w:rPr>
          <w:rFonts w:ascii="Arial" w:eastAsiaTheme="minorEastAsia" w:hAnsi="Arial" w:cs="Arial"/>
        </w:rPr>
        <w:t xml:space="preserve">operating cash flow ratio depends purely on actual cash generated. A ratio above 1.0x shows good financial health of the company and proves the firm creates more cash from operations in comparison to </w:t>
      </w:r>
      <w:r w:rsidR="0074785A" w:rsidRPr="00936FE8">
        <w:rPr>
          <w:rFonts w:ascii="Arial" w:eastAsiaTheme="minorEastAsia" w:hAnsi="Arial" w:cs="Arial"/>
        </w:rPr>
        <w:t xml:space="preserve">what </w:t>
      </w:r>
      <w:r w:rsidRPr="00936FE8">
        <w:rPr>
          <w:rFonts w:ascii="Arial" w:eastAsiaTheme="minorEastAsia" w:hAnsi="Arial" w:cs="Arial"/>
        </w:rPr>
        <w:t xml:space="preserve">it owes to short-term debts. </w:t>
      </w:r>
    </w:p>
    <w:p w14:paraId="1239C8ED" w14:textId="2A71C897" w:rsidR="00CE71EF" w:rsidRPr="00936FE8" w:rsidRDefault="00CE71EF" w:rsidP="005E64A8">
      <w:pPr>
        <w:rPr>
          <w:rFonts w:ascii="Arial" w:eastAsiaTheme="minorEastAsia" w:hAnsi="Arial" w:cs="Arial"/>
        </w:rPr>
      </w:pPr>
      <w:r w:rsidRPr="00936FE8">
        <w:rPr>
          <w:rFonts w:ascii="Arial" w:eastAsiaTheme="minorEastAsia" w:hAnsi="Arial" w:cs="Arial"/>
        </w:rPr>
        <w:t xml:space="preserve">For the estimation cycle of FY25/26, the ratio of the group sits </w:t>
      </w:r>
      <w:r w:rsidR="002C75DB" w:rsidRPr="00936FE8">
        <w:rPr>
          <w:rFonts w:ascii="Arial" w:eastAsiaTheme="minorEastAsia" w:hAnsi="Arial" w:cs="Arial"/>
        </w:rPr>
        <w:t xml:space="preserve">below </w:t>
      </w:r>
      <w:r w:rsidR="00C4346B" w:rsidRPr="00936FE8">
        <w:rPr>
          <w:rFonts w:ascii="Arial" w:eastAsiaTheme="minorEastAsia" w:hAnsi="Arial" w:cs="Arial"/>
        </w:rPr>
        <w:t xml:space="preserve">the </w:t>
      </w:r>
      <w:r w:rsidR="002C75DB" w:rsidRPr="00936FE8">
        <w:rPr>
          <w:rFonts w:ascii="Arial" w:eastAsiaTheme="minorEastAsia" w:hAnsi="Arial" w:cs="Arial"/>
        </w:rPr>
        <w:t xml:space="preserve">1.0x safety threshold due to substantial lease payouts and inflationary operational costs. This shows that while the negative cash operating cycle of the company successfully decreases the amount of inventory funding required, the business remains highly reliant on revolving bank credit </w:t>
      </w:r>
      <w:r w:rsidR="0074785A" w:rsidRPr="00936FE8">
        <w:rPr>
          <w:rFonts w:ascii="Arial" w:eastAsiaTheme="minorEastAsia" w:hAnsi="Arial" w:cs="Arial"/>
        </w:rPr>
        <w:t>facilities</w:t>
      </w:r>
      <w:r w:rsidR="002C75DB" w:rsidRPr="00936FE8">
        <w:rPr>
          <w:rFonts w:ascii="Arial" w:eastAsiaTheme="minorEastAsia" w:hAnsi="Arial" w:cs="Arial"/>
        </w:rPr>
        <w:t xml:space="preserve"> to fully cover its short-term debt commitments during the off-peak periods. </w:t>
      </w:r>
    </w:p>
    <w:p w14:paraId="7436E2CB" w14:textId="4483A205" w:rsidR="00C4346B" w:rsidRPr="00936FE8" w:rsidRDefault="00D7737F" w:rsidP="00936FE8">
      <w:pPr>
        <w:pStyle w:val="Heading2"/>
        <w:spacing w:before="0"/>
        <w:rPr>
          <w:rFonts w:ascii="Arial" w:hAnsi="Arial" w:cs="Arial"/>
        </w:rPr>
      </w:pPr>
      <w:bookmarkStart w:id="7" w:name="_Toc235785095"/>
      <w:r w:rsidRPr="00936FE8">
        <w:rPr>
          <w:rFonts w:ascii="Arial" w:hAnsi="Arial" w:cs="Arial"/>
        </w:rPr>
        <w:lastRenderedPageBreak/>
        <w:t>1.6 Strategic Swot Analysis based on Financial Performance</w:t>
      </w:r>
      <w:bookmarkEnd w:id="7"/>
      <w:r w:rsidR="00C4346B" w:rsidRPr="00936FE8">
        <w:rPr>
          <w:rFonts w:ascii="Arial" w:hAnsi="Arial" w:cs="Arial"/>
          <w:b w:val="0"/>
          <w:bCs/>
          <w:i/>
          <w:iCs/>
          <w:noProof/>
        </w:rPr>
        <w:drawing>
          <wp:inline distT="0" distB="0" distL="0" distR="0" wp14:anchorId="597B2AF3" wp14:editId="034AA7D1">
            <wp:extent cx="5486400" cy="3200400"/>
            <wp:effectExtent l="38100" t="0" r="38100" b="0"/>
            <wp:docPr id="10269895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34F671D" w14:textId="5112EAB9" w:rsidR="00C4346B" w:rsidRPr="00936FE8" w:rsidRDefault="00C4346B" w:rsidP="00936FE8">
      <w:pPr>
        <w:pStyle w:val="Caption"/>
        <w:spacing w:after="80" w:line="240" w:lineRule="auto"/>
      </w:pPr>
      <w:r w:rsidRPr="00936FE8">
        <w:t xml:space="preserve">Figure </w:t>
      </w:r>
      <w:fldSimple w:instr=" SEQ Figure \* ARABIC ">
        <w:r w:rsidR="0047746F" w:rsidRPr="00936FE8">
          <w:rPr>
            <w:noProof/>
          </w:rPr>
          <w:t>3</w:t>
        </w:r>
      </w:fldSimple>
      <w:r w:rsidRPr="00936FE8">
        <w:t>: SWOT analysis</w:t>
      </w:r>
    </w:p>
    <w:p w14:paraId="68F8C255" w14:textId="2DA71CB4" w:rsidR="00C4346B" w:rsidRPr="00936FE8" w:rsidRDefault="00C4346B" w:rsidP="00936FE8">
      <w:pPr>
        <w:spacing w:after="80" w:line="240" w:lineRule="auto"/>
        <w:rPr>
          <w:rFonts w:ascii="Arial" w:hAnsi="Arial" w:cs="Arial"/>
        </w:rPr>
      </w:pPr>
      <w:r w:rsidRPr="00936FE8">
        <w:rPr>
          <w:rFonts w:ascii="Arial" w:hAnsi="Arial" w:cs="Arial"/>
        </w:rPr>
        <w:t>(Source: Author, 2026)</w:t>
      </w:r>
    </w:p>
    <w:p w14:paraId="133E486D" w14:textId="466847C0" w:rsidR="003817FA" w:rsidRPr="00936FE8" w:rsidRDefault="00D7737F" w:rsidP="00D7737F">
      <w:pPr>
        <w:pStyle w:val="Heading1"/>
        <w:rPr>
          <w:rFonts w:ascii="Arial" w:hAnsi="Arial" w:cs="Arial"/>
        </w:rPr>
      </w:pPr>
      <w:bookmarkStart w:id="8" w:name="_Toc235785096"/>
      <w:r w:rsidRPr="00936FE8">
        <w:rPr>
          <w:rFonts w:ascii="Arial" w:hAnsi="Arial" w:cs="Arial"/>
        </w:rPr>
        <w:t xml:space="preserve">2. </w:t>
      </w:r>
      <w:r w:rsidR="00233467" w:rsidRPr="00936FE8">
        <w:rPr>
          <w:rFonts w:ascii="Arial" w:hAnsi="Arial" w:cs="Arial"/>
        </w:rPr>
        <w:t>Working Capital Management Analysis (800</w:t>
      </w:r>
      <w:bookmarkEnd w:id="8"/>
      <w:r w:rsidR="00233467" w:rsidRPr="00936FE8">
        <w:rPr>
          <w:rFonts w:ascii="Arial" w:hAnsi="Arial" w:cs="Arial"/>
        </w:rPr>
        <w:t xml:space="preserve"> </w:t>
      </w:r>
    </w:p>
    <w:p w14:paraId="1753ADD1" w14:textId="2383D174" w:rsidR="00233467" w:rsidRPr="00936FE8" w:rsidRDefault="00D7737F" w:rsidP="00D7737F">
      <w:pPr>
        <w:pStyle w:val="Heading2"/>
        <w:rPr>
          <w:rFonts w:ascii="Arial" w:hAnsi="Arial" w:cs="Arial"/>
        </w:rPr>
      </w:pPr>
      <w:bookmarkStart w:id="9" w:name="_Toc235785097"/>
      <w:r w:rsidRPr="00936FE8">
        <w:rPr>
          <w:rFonts w:ascii="Arial" w:hAnsi="Arial" w:cs="Arial"/>
        </w:rPr>
        <w:t xml:space="preserve">2.1 </w:t>
      </w:r>
      <w:r w:rsidR="00233467" w:rsidRPr="00936FE8">
        <w:rPr>
          <w:rFonts w:ascii="Arial" w:hAnsi="Arial" w:cs="Arial"/>
        </w:rPr>
        <w:t>The Cost Operating Cycle (Cash Conversion Cycle)</w:t>
      </w:r>
      <w:bookmarkEnd w:id="9"/>
      <w:r w:rsidR="00233467" w:rsidRPr="00936FE8">
        <w:rPr>
          <w:rFonts w:ascii="Arial" w:hAnsi="Arial" w:cs="Arial"/>
        </w:rPr>
        <w:t xml:space="preserve"> </w:t>
      </w:r>
    </w:p>
    <w:p w14:paraId="5E77BD16" w14:textId="4F9656B8" w:rsidR="00233467" w:rsidRPr="00936FE8" w:rsidRDefault="00233467" w:rsidP="00936FE8">
      <w:pPr>
        <w:spacing w:after="0" w:line="360" w:lineRule="auto"/>
        <w:rPr>
          <w:rFonts w:ascii="Arial" w:hAnsi="Arial" w:cs="Arial"/>
        </w:rPr>
      </w:pPr>
      <w:r w:rsidRPr="00936FE8">
        <w:rPr>
          <w:rFonts w:ascii="Arial" w:hAnsi="Arial" w:cs="Arial"/>
        </w:rPr>
        <w:t xml:space="preserve">The Cash Operating Cycle (COC) tracks the time needed to convert the cash outflows for the resources back into the cash inflows from sales. </w:t>
      </w:r>
    </w:p>
    <w:p w14:paraId="203A2CA9" w14:textId="29E741B3" w:rsidR="00233467" w:rsidRPr="00936FE8" w:rsidRDefault="00233467" w:rsidP="00936FE8">
      <w:pPr>
        <w:spacing w:after="0" w:line="360" w:lineRule="auto"/>
        <w:rPr>
          <w:rFonts w:ascii="Arial" w:eastAsiaTheme="minorEastAsia" w:hAnsi="Arial" w:cs="Arial"/>
        </w:rPr>
      </w:pPr>
      <m:oMathPara>
        <m:oMathParaPr>
          <m:jc m:val="center"/>
        </m:oMathParaPr>
        <m:oMath>
          <m:r>
            <m:rPr>
              <m:nor/>
            </m:rPr>
            <w:rPr>
              <w:rFonts w:ascii="Arial" w:hAnsi="Arial" w:cs="Arial"/>
            </w:rPr>
            <m:t>Cash Operating Cycle= Days Inventory Outstanding (DIO)</m:t>
          </m:r>
          <m:r>
            <w:rPr>
              <w:rFonts w:ascii="Cambria Math" w:hAnsi="Cambria Math" w:cs="Arial"/>
            </w:rPr>
            <m:t>+</m:t>
          </m:r>
          <m:r>
            <m:rPr>
              <m:nor/>
            </m:rPr>
            <w:rPr>
              <w:rFonts w:ascii="Arial" w:hAnsi="Arial" w:cs="Arial"/>
            </w:rPr>
            <m:t>Days Sales Outstanding (DSO) - Days Payable Outstanding (DPO)</m:t>
          </m:r>
        </m:oMath>
      </m:oMathPara>
    </w:p>
    <w:tbl>
      <w:tblPr>
        <w:tblStyle w:val="TableGrid"/>
        <w:tblW w:w="9089" w:type="dxa"/>
        <w:tblLook w:val="04A0" w:firstRow="1" w:lastRow="0" w:firstColumn="1" w:lastColumn="0" w:noHBand="0" w:noVBand="1"/>
      </w:tblPr>
      <w:tblGrid>
        <w:gridCol w:w="1617"/>
        <w:gridCol w:w="1493"/>
        <w:gridCol w:w="1494"/>
        <w:gridCol w:w="1495"/>
        <w:gridCol w:w="1495"/>
        <w:gridCol w:w="1495"/>
      </w:tblGrid>
      <w:tr w:rsidR="00233467" w:rsidRPr="00936FE8" w14:paraId="4F2EDBD6" w14:textId="77777777" w:rsidTr="00936FE8">
        <w:trPr>
          <w:trHeight w:val="398"/>
        </w:trPr>
        <w:tc>
          <w:tcPr>
            <w:tcW w:w="1617" w:type="dxa"/>
            <w:vAlign w:val="center"/>
          </w:tcPr>
          <w:p w14:paraId="36BEABC7" w14:textId="1DC49A23" w:rsidR="00233467" w:rsidRPr="00936FE8" w:rsidRDefault="00233467" w:rsidP="0054327B">
            <w:pPr>
              <w:spacing w:line="360" w:lineRule="auto"/>
              <w:rPr>
                <w:rFonts w:ascii="Arial" w:hAnsi="Arial" w:cs="Arial"/>
              </w:rPr>
            </w:pPr>
            <w:r w:rsidRPr="00936FE8">
              <w:rPr>
                <w:rStyle w:val="Strong"/>
                <w:rFonts w:ascii="Arial" w:hAnsi="Arial" w:cs="Arial"/>
              </w:rPr>
              <w:t>Component</w:t>
            </w:r>
          </w:p>
        </w:tc>
        <w:tc>
          <w:tcPr>
            <w:tcW w:w="1493" w:type="dxa"/>
            <w:vAlign w:val="center"/>
          </w:tcPr>
          <w:p w14:paraId="4BD0C55D" w14:textId="1A59F653" w:rsidR="00233467" w:rsidRPr="00936FE8" w:rsidRDefault="00233467" w:rsidP="0054327B">
            <w:pPr>
              <w:spacing w:line="360" w:lineRule="auto"/>
              <w:rPr>
                <w:rFonts w:ascii="Arial" w:hAnsi="Arial" w:cs="Arial"/>
              </w:rPr>
            </w:pPr>
            <w:r w:rsidRPr="00936FE8">
              <w:rPr>
                <w:rStyle w:val="Strong"/>
                <w:rFonts w:ascii="Arial" w:hAnsi="Arial" w:cs="Arial"/>
              </w:rPr>
              <w:t>FY21/22</w:t>
            </w:r>
          </w:p>
        </w:tc>
        <w:tc>
          <w:tcPr>
            <w:tcW w:w="1494" w:type="dxa"/>
            <w:vAlign w:val="center"/>
          </w:tcPr>
          <w:p w14:paraId="233052FC" w14:textId="084B9E2E" w:rsidR="00233467" w:rsidRPr="00936FE8" w:rsidRDefault="00233467" w:rsidP="0054327B">
            <w:pPr>
              <w:spacing w:line="360" w:lineRule="auto"/>
              <w:rPr>
                <w:rFonts w:ascii="Arial" w:hAnsi="Arial" w:cs="Arial"/>
              </w:rPr>
            </w:pPr>
            <w:r w:rsidRPr="00936FE8">
              <w:rPr>
                <w:rStyle w:val="Strong"/>
                <w:rFonts w:ascii="Arial" w:hAnsi="Arial" w:cs="Arial"/>
              </w:rPr>
              <w:t>FY22/23</w:t>
            </w:r>
          </w:p>
        </w:tc>
        <w:tc>
          <w:tcPr>
            <w:tcW w:w="1495" w:type="dxa"/>
            <w:vAlign w:val="center"/>
          </w:tcPr>
          <w:p w14:paraId="0FEC4AFE" w14:textId="57FFFDE3" w:rsidR="00233467" w:rsidRPr="00936FE8" w:rsidRDefault="00233467" w:rsidP="0054327B">
            <w:pPr>
              <w:spacing w:line="360" w:lineRule="auto"/>
              <w:rPr>
                <w:rFonts w:ascii="Arial" w:hAnsi="Arial" w:cs="Arial"/>
              </w:rPr>
            </w:pPr>
            <w:r w:rsidRPr="00936FE8">
              <w:rPr>
                <w:rStyle w:val="Strong"/>
                <w:rFonts w:ascii="Arial" w:hAnsi="Arial" w:cs="Arial"/>
              </w:rPr>
              <w:t>FY23/24</w:t>
            </w:r>
          </w:p>
        </w:tc>
        <w:tc>
          <w:tcPr>
            <w:tcW w:w="1495" w:type="dxa"/>
            <w:vAlign w:val="center"/>
          </w:tcPr>
          <w:p w14:paraId="7705A3A6" w14:textId="12BBC9A1" w:rsidR="00233467" w:rsidRPr="00936FE8" w:rsidRDefault="00233467" w:rsidP="0054327B">
            <w:pPr>
              <w:spacing w:line="360" w:lineRule="auto"/>
              <w:rPr>
                <w:rFonts w:ascii="Arial" w:hAnsi="Arial" w:cs="Arial"/>
              </w:rPr>
            </w:pPr>
            <w:r w:rsidRPr="00936FE8">
              <w:rPr>
                <w:rStyle w:val="Strong"/>
                <w:rFonts w:ascii="Arial" w:hAnsi="Arial" w:cs="Arial"/>
              </w:rPr>
              <w:t>FY24/25</w:t>
            </w:r>
          </w:p>
        </w:tc>
        <w:tc>
          <w:tcPr>
            <w:tcW w:w="1495" w:type="dxa"/>
            <w:vAlign w:val="center"/>
          </w:tcPr>
          <w:p w14:paraId="2E640C0B" w14:textId="4932E900" w:rsidR="00233467" w:rsidRPr="00936FE8" w:rsidRDefault="00233467" w:rsidP="0054327B">
            <w:pPr>
              <w:spacing w:line="360" w:lineRule="auto"/>
              <w:rPr>
                <w:rFonts w:ascii="Arial" w:hAnsi="Arial" w:cs="Arial"/>
              </w:rPr>
            </w:pPr>
            <w:r w:rsidRPr="00936FE8">
              <w:rPr>
                <w:rStyle w:val="Strong"/>
                <w:rFonts w:ascii="Arial" w:hAnsi="Arial" w:cs="Arial"/>
              </w:rPr>
              <w:t>FY25/26</w:t>
            </w:r>
          </w:p>
        </w:tc>
      </w:tr>
      <w:tr w:rsidR="00233467" w:rsidRPr="00936FE8" w14:paraId="7F9F3FF5" w14:textId="77777777" w:rsidTr="00936FE8">
        <w:trPr>
          <w:trHeight w:val="795"/>
        </w:trPr>
        <w:tc>
          <w:tcPr>
            <w:tcW w:w="1617" w:type="dxa"/>
            <w:vAlign w:val="center"/>
          </w:tcPr>
          <w:p w14:paraId="53B4726A" w14:textId="412171BA" w:rsidR="00233467" w:rsidRPr="00936FE8" w:rsidRDefault="00233467" w:rsidP="0054327B">
            <w:pPr>
              <w:spacing w:line="360" w:lineRule="auto"/>
              <w:rPr>
                <w:rFonts w:ascii="Arial" w:hAnsi="Arial" w:cs="Arial"/>
              </w:rPr>
            </w:pPr>
            <w:r w:rsidRPr="00936FE8">
              <w:rPr>
                <w:rFonts w:ascii="Arial" w:hAnsi="Arial" w:cs="Arial"/>
                <w:b/>
                <w:bCs/>
              </w:rPr>
              <w:t>Inventory Days (DIO)</w:t>
            </w:r>
          </w:p>
        </w:tc>
        <w:tc>
          <w:tcPr>
            <w:tcW w:w="1493" w:type="dxa"/>
            <w:vAlign w:val="center"/>
          </w:tcPr>
          <w:p w14:paraId="4C9625E6" w14:textId="3B14C669" w:rsidR="00233467" w:rsidRPr="00936FE8" w:rsidRDefault="00233467" w:rsidP="0054327B">
            <w:pPr>
              <w:spacing w:line="360" w:lineRule="auto"/>
              <w:rPr>
                <w:rFonts w:ascii="Arial" w:hAnsi="Arial" w:cs="Arial"/>
              </w:rPr>
            </w:pPr>
            <w:r w:rsidRPr="00936FE8">
              <w:rPr>
                <w:rFonts w:ascii="Arial" w:hAnsi="Arial" w:cs="Arial"/>
              </w:rPr>
              <w:t>2.1</w:t>
            </w:r>
          </w:p>
        </w:tc>
        <w:tc>
          <w:tcPr>
            <w:tcW w:w="1494" w:type="dxa"/>
            <w:vAlign w:val="center"/>
          </w:tcPr>
          <w:p w14:paraId="3738B6C8" w14:textId="270C7BD1" w:rsidR="00233467" w:rsidRPr="00936FE8" w:rsidRDefault="00233467" w:rsidP="0054327B">
            <w:pPr>
              <w:spacing w:line="360" w:lineRule="auto"/>
              <w:rPr>
                <w:rFonts w:ascii="Arial" w:hAnsi="Arial" w:cs="Arial"/>
              </w:rPr>
            </w:pPr>
            <w:r w:rsidRPr="00936FE8">
              <w:rPr>
                <w:rFonts w:ascii="Arial" w:hAnsi="Arial" w:cs="Arial"/>
              </w:rPr>
              <w:t>1.8</w:t>
            </w:r>
          </w:p>
        </w:tc>
        <w:tc>
          <w:tcPr>
            <w:tcW w:w="1495" w:type="dxa"/>
            <w:vAlign w:val="center"/>
          </w:tcPr>
          <w:p w14:paraId="15C8E269" w14:textId="24F6DA51" w:rsidR="00233467" w:rsidRPr="00936FE8" w:rsidRDefault="00233467" w:rsidP="0054327B">
            <w:pPr>
              <w:spacing w:line="360" w:lineRule="auto"/>
              <w:rPr>
                <w:rFonts w:ascii="Arial" w:hAnsi="Arial" w:cs="Arial"/>
              </w:rPr>
            </w:pPr>
            <w:r w:rsidRPr="00936FE8">
              <w:rPr>
                <w:rFonts w:ascii="Arial" w:hAnsi="Arial" w:cs="Arial"/>
              </w:rPr>
              <w:t>1.5</w:t>
            </w:r>
          </w:p>
        </w:tc>
        <w:tc>
          <w:tcPr>
            <w:tcW w:w="1495" w:type="dxa"/>
            <w:vAlign w:val="center"/>
          </w:tcPr>
          <w:p w14:paraId="56A2A21F" w14:textId="2D2223A7" w:rsidR="00233467" w:rsidRPr="00936FE8" w:rsidRDefault="00233467" w:rsidP="0054327B">
            <w:pPr>
              <w:spacing w:line="360" w:lineRule="auto"/>
              <w:rPr>
                <w:rFonts w:ascii="Arial" w:hAnsi="Arial" w:cs="Arial"/>
              </w:rPr>
            </w:pPr>
            <w:r w:rsidRPr="00936FE8">
              <w:rPr>
                <w:rFonts w:ascii="Arial" w:hAnsi="Arial" w:cs="Arial"/>
              </w:rPr>
              <w:t>1.4</w:t>
            </w:r>
          </w:p>
        </w:tc>
        <w:tc>
          <w:tcPr>
            <w:tcW w:w="1495" w:type="dxa"/>
            <w:vAlign w:val="center"/>
          </w:tcPr>
          <w:p w14:paraId="38326025" w14:textId="11BE896C" w:rsidR="00233467" w:rsidRPr="00936FE8" w:rsidRDefault="00233467" w:rsidP="0054327B">
            <w:pPr>
              <w:spacing w:line="360" w:lineRule="auto"/>
              <w:rPr>
                <w:rFonts w:ascii="Arial" w:hAnsi="Arial" w:cs="Arial"/>
              </w:rPr>
            </w:pPr>
            <w:r w:rsidRPr="00936FE8">
              <w:rPr>
                <w:rFonts w:ascii="Arial" w:hAnsi="Arial" w:cs="Arial"/>
              </w:rPr>
              <w:t>1.3</w:t>
            </w:r>
          </w:p>
        </w:tc>
      </w:tr>
      <w:tr w:rsidR="00233467" w:rsidRPr="00936FE8" w14:paraId="1B6F61AE" w14:textId="77777777" w:rsidTr="00936FE8">
        <w:trPr>
          <w:trHeight w:val="1183"/>
        </w:trPr>
        <w:tc>
          <w:tcPr>
            <w:tcW w:w="1617" w:type="dxa"/>
            <w:vAlign w:val="center"/>
          </w:tcPr>
          <w:p w14:paraId="1B659603" w14:textId="55AAC036" w:rsidR="00233467" w:rsidRPr="00936FE8" w:rsidRDefault="00233467" w:rsidP="0054327B">
            <w:pPr>
              <w:spacing w:line="360" w:lineRule="auto"/>
              <w:rPr>
                <w:rFonts w:ascii="Arial" w:hAnsi="Arial" w:cs="Arial"/>
              </w:rPr>
            </w:pPr>
            <w:r w:rsidRPr="00936FE8">
              <w:rPr>
                <w:rFonts w:ascii="Arial" w:hAnsi="Arial" w:cs="Arial"/>
                <w:b/>
                <w:bCs/>
              </w:rPr>
              <w:t>+ Receivables Days (DSO)</w:t>
            </w:r>
          </w:p>
        </w:tc>
        <w:tc>
          <w:tcPr>
            <w:tcW w:w="1493" w:type="dxa"/>
            <w:vAlign w:val="center"/>
          </w:tcPr>
          <w:p w14:paraId="2338BC3F" w14:textId="129CB881" w:rsidR="00233467" w:rsidRPr="00936FE8" w:rsidRDefault="00233467" w:rsidP="0054327B">
            <w:pPr>
              <w:spacing w:line="360" w:lineRule="auto"/>
              <w:rPr>
                <w:rFonts w:ascii="Arial" w:hAnsi="Arial" w:cs="Arial"/>
              </w:rPr>
            </w:pPr>
            <w:r w:rsidRPr="00936FE8">
              <w:rPr>
                <w:rFonts w:ascii="Arial" w:hAnsi="Arial" w:cs="Arial"/>
              </w:rPr>
              <w:t>3.8</w:t>
            </w:r>
          </w:p>
        </w:tc>
        <w:tc>
          <w:tcPr>
            <w:tcW w:w="1494" w:type="dxa"/>
            <w:vAlign w:val="center"/>
          </w:tcPr>
          <w:p w14:paraId="529A777B" w14:textId="215EDB05" w:rsidR="00233467" w:rsidRPr="00936FE8" w:rsidRDefault="00233467" w:rsidP="0054327B">
            <w:pPr>
              <w:spacing w:line="360" w:lineRule="auto"/>
              <w:rPr>
                <w:rFonts w:ascii="Arial" w:hAnsi="Arial" w:cs="Arial"/>
              </w:rPr>
            </w:pPr>
            <w:r w:rsidRPr="00936FE8">
              <w:rPr>
                <w:rFonts w:ascii="Arial" w:hAnsi="Arial" w:cs="Arial"/>
              </w:rPr>
              <w:t>3.2</w:t>
            </w:r>
          </w:p>
        </w:tc>
        <w:tc>
          <w:tcPr>
            <w:tcW w:w="1495" w:type="dxa"/>
            <w:vAlign w:val="center"/>
          </w:tcPr>
          <w:p w14:paraId="0AE6852D" w14:textId="4F052475" w:rsidR="00233467" w:rsidRPr="00936FE8" w:rsidRDefault="00233467" w:rsidP="0054327B">
            <w:pPr>
              <w:spacing w:line="360" w:lineRule="auto"/>
              <w:rPr>
                <w:rFonts w:ascii="Arial" w:hAnsi="Arial" w:cs="Arial"/>
              </w:rPr>
            </w:pPr>
            <w:r w:rsidRPr="00936FE8">
              <w:rPr>
                <w:rFonts w:ascii="Arial" w:hAnsi="Arial" w:cs="Arial"/>
              </w:rPr>
              <w:t>2.9</w:t>
            </w:r>
          </w:p>
        </w:tc>
        <w:tc>
          <w:tcPr>
            <w:tcW w:w="1495" w:type="dxa"/>
            <w:vAlign w:val="center"/>
          </w:tcPr>
          <w:p w14:paraId="488FBA82" w14:textId="13548DF3" w:rsidR="00233467" w:rsidRPr="00936FE8" w:rsidRDefault="00233467" w:rsidP="0054327B">
            <w:pPr>
              <w:spacing w:line="360" w:lineRule="auto"/>
              <w:rPr>
                <w:rFonts w:ascii="Arial" w:hAnsi="Arial" w:cs="Arial"/>
              </w:rPr>
            </w:pPr>
            <w:r w:rsidRPr="00936FE8">
              <w:rPr>
                <w:rFonts w:ascii="Arial" w:hAnsi="Arial" w:cs="Arial"/>
              </w:rPr>
              <w:t>2.7</w:t>
            </w:r>
          </w:p>
        </w:tc>
        <w:tc>
          <w:tcPr>
            <w:tcW w:w="1495" w:type="dxa"/>
            <w:vAlign w:val="center"/>
          </w:tcPr>
          <w:p w14:paraId="4CF2D8AE" w14:textId="2DD656E8" w:rsidR="00233467" w:rsidRPr="00936FE8" w:rsidRDefault="00233467" w:rsidP="0054327B">
            <w:pPr>
              <w:spacing w:line="360" w:lineRule="auto"/>
              <w:rPr>
                <w:rFonts w:ascii="Arial" w:hAnsi="Arial" w:cs="Arial"/>
              </w:rPr>
            </w:pPr>
            <w:r w:rsidRPr="00936FE8">
              <w:rPr>
                <w:rFonts w:ascii="Arial" w:hAnsi="Arial" w:cs="Arial"/>
              </w:rPr>
              <w:t>2.5</w:t>
            </w:r>
          </w:p>
        </w:tc>
      </w:tr>
      <w:tr w:rsidR="00233467" w:rsidRPr="00936FE8" w14:paraId="640114EE" w14:textId="77777777" w:rsidTr="00936FE8">
        <w:trPr>
          <w:trHeight w:val="795"/>
        </w:trPr>
        <w:tc>
          <w:tcPr>
            <w:tcW w:w="1617" w:type="dxa"/>
            <w:vAlign w:val="center"/>
          </w:tcPr>
          <w:p w14:paraId="1B031B37" w14:textId="12D0BB88" w:rsidR="00233467" w:rsidRPr="00936FE8" w:rsidRDefault="00233467" w:rsidP="0054327B">
            <w:pPr>
              <w:spacing w:line="360" w:lineRule="auto"/>
              <w:rPr>
                <w:rFonts w:ascii="Arial" w:hAnsi="Arial" w:cs="Arial"/>
              </w:rPr>
            </w:pPr>
            <w:r w:rsidRPr="00936FE8">
              <w:rPr>
                <w:rFonts w:ascii="Arial" w:hAnsi="Arial" w:cs="Arial"/>
                <w:b/>
                <w:bCs/>
              </w:rPr>
              <w:t>- Payables Days (DPO)</w:t>
            </w:r>
          </w:p>
        </w:tc>
        <w:tc>
          <w:tcPr>
            <w:tcW w:w="1493" w:type="dxa"/>
            <w:vAlign w:val="center"/>
          </w:tcPr>
          <w:p w14:paraId="6137E000" w14:textId="6CB6FB30" w:rsidR="00233467" w:rsidRPr="00936FE8" w:rsidRDefault="00233467" w:rsidP="0054327B">
            <w:pPr>
              <w:spacing w:line="360" w:lineRule="auto"/>
              <w:rPr>
                <w:rFonts w:ascii="Arial" w:hAnsi="Arial" w:cs="Arial"/>
              </w:rPr>
            </w:pPr>
            <w:r w:rsidRPr="00936FE8">
              <w:rPr>
                <w:rFonts w:ascii="Arial" w:hAnsi="Arial" w:cs="Arial"/>
              </w:rPr>
              <w:t>52.4</w:t>
            </w:r>
          </w:p>
        </w:tc>
        <w:tc>
          <w:tcPr>
            <w:tcW w:w="1494" w:type="dxa"/>
            <w:vAlign w:val="center"/>
          </w:tcPr>
          <w:p w14:paraId="379943BB" w14:textId="42CF55C6" w:rsidR="00233467" w:rsidRPr="00936FE8" w:rsidRDefault="00233467" w:rsidP="0054327B">
            <w:pPr>
              <w:spacing w:line="360" w:lineRule="auto"/>
              <w:rPr>
                <w:rFonts w:ascii="Arial" w:hAnsi="Arial" w:cs="Arial"/>
              </w:rPr>
            </w:pPr>
            <w:r w:rsidRPr="00936FE8">
              <w:rPr>
                <w:rFonts w:ascii="Arial" w:hAnsi="Arial" w:cs="Arial"/>
              </w:rPr>
              <w:t>48.1</w:t>
            </w:r>
          </w:p>
        </w:tc>
        <w:tc>
          <w:tcPr>
            <w:tcW w:w="1495" w:type="dxa"/>
            <w:vAlign w:val="center"/>
          </w:tcPr>
          <w:p w14:paraId="0DC82DB6" w14:textId="271A7827" w:rsidR="00233467" w:rsidRPr="00936FE8" w:rsidRDefault="00233467" w:rsidP="0054327B">
            <w:pPr>
              <w:spacing w:line="360" w:lineRule="auto"/>
              <w:rPr>
                <w:rFonts w:ascii="Arial" w:hAnsi="Arial" w:cs="Arial"/>
              </w:rPr>
            </w:pPr>
            <w:r w:rsidRPr="00936FE8">
              <w:rPr>
                <w:rFonts w:ascii="Arial" w:hAnsi="Arial" w:cs="Arial"/>
              </w:rPr>
              <w:t>44.5</w:t>
            </w:r>
          </w:p>
        </w:tc>
        <w:tc>
          <w:tcPr>
            <w:tcW w:w="1495" w:type="dxa"/>
            <w:vAlign w:val="center"/>
          </w:tcPr>
          <w:p w14:paraId="538E4B40" w14:textId="3D80473C" w:rsidR="00233467" w:rsidRPr="00936FE8" w:rsidRDefault="00233467" w:rsidP="0054327B">
            <w:pPr>
              <w:spacing w:line="360" w:lineRule="auto"/>
              <w:rPr>
                <w:rFonts w:ascii="Arial" w:hAnsi="Arial" w:cs="Arial"/>
              </w:rPr>
            </w:pPr>
            <w:r w:rsidRPr="00936FE8">
              <w:rPr>
                <w:rFonts w:ascii="Arial" w:hAnsi="Arial" w:cs="Arial"/>
              </w:rPr>
              <w:t>42.0</w:t>
            </w:r>
          </w:p>
        </w:tc>
        <w:tc>
          <w:tcPr>
            <w:tcW w:w="1495" w:type="dxa"/>
            <w:vAlign w:val="center"/>
          </w:tcPr>
          <w:p w14:paraId="14E9AF91" w14:textId="7D39A52E" w:rsidR="00233467" w:rsidRPr="00936FE8" w:rsidRDefault="00233467" w:rsidP="0054327B">
            <w:pPr>
              <w:spacing w:line="360" w:lineRule="auto"/>
              <w:rPr>
                <w:rFonts w:ascii="Arial" w:hAnsi="Arial" w:cs="Arial"/>
              </w:rPr>
            </w:pPr>
            <w:r w:rsidRPr="00936FE8">
              <w:rPr>
                <w:rFonts w:ascii="Arial" w:hAnsi="Arial" w:cs="Arial"/>
              </w:rPr>
              <w:t>41.2</w:t>
            </w:r>
          </w:p>
        </w:tc>
      </w:tr>
      <w:tr w:rsidR="00233467" w:rsidRPr="00936FE8" w14:paraId="180AA24F" w14:textId="77777777" w:rsidTr="00936FE8">
        <w:trPr>
          <w:trHeight w:val="1193"/>
        </w:trPr>
        <w:tc>
          <w:tcPr>
            <w:tcW w:w="1617" w:type="dxa"/>
            <w:vAlign w:val="center"/>
          </w:tcPr>
          <w:p w14:paraId="188CE4B3" w14:textId="2782D47E" w:rsidR="00233467" w:rsidRPr="00936FE8" w:rsidRDefault="00233467" w:rsidP="0054327B">
            <w:pPr>
              <w:spacing w:line="360" w:lineRule="auto"/>
              <w:rPr>
                <w:rFonts w:ascii="Arial" w:hAnsi="Arial" w:cs="Arial"/>
              </w:rPr>
            </w:pPr>
            <w:r w:rsidRPr="00936FE8">
              <w:rPr>
                <w:rFonts w:ascii="Arial" w:hAnsi="Arial" w:cs="Arial"/>
                <w:b/>
                <w:bCs/>
              </w:rPr>
              <w:t>Net Cash Conversion Cycle</w:t>
            </w:r>
          </w:p>
        </w:tc>
        <w:tc>
          <w:tcPr>
            <w:tcW w:w="1493" w:type="dxa"/>
            <w:vAlign w:val="center"/>
          </w:tcPr>
          <w:p w14:paraId="702E72A1" w14:textId="611EA623" w:rsidR="00233467" w:rsidRPr="00936FE8" w:rsidRDefault="00233467" w:rsidP="0054327B">
            <w:pPr>
              <w:spacing w:line="360" w:lineRule="auto"/>
              <w:rPr>
                <w:rFonts w:ascii="Arial" w:hAnsi="Arial" w:cs="Arial"/>
              </w:rPr>
            </w:pPr>
            <w:r w:rsidRPr="00936FE8">
              <w:rPr>
                <w:rFonts w:ascii="Arial" w:hAnsi="Arial" w:cs="Arial"/>
                <w:b/>
                <w:bCs/>
              </w:rPr>
              <w:t>-46.5 Days</w:t>
            </w:r>
          </w:p>
        </w:tc>
        <w:tc>
          <w:tcPr>
            <w:tcW w:w="1494" w:type="dxa"/>
            <w:vAlign w:val="center"/>
          </w:tcPr>
          <w:p w14:paraId="40F06EE4" w14:textId="6FD867AD" w:rsidR="00233467" w:rsidRPr="00936FE8" w:rsidRDefault="00233467" w:rsidP="0054327B">
            <w:pPr>
              <w:spacing w:line="360" w:lineRule="auto"/>
              <w:rPr>
                <w:rFonts w:ascii="Arial" w:hAnsi="Arial" w:cs="Arial"/>
              </w:rPr>
            </w:pPr>
            <w:r w:rsidRPr="00936FE8">
              <w:rPr>
                <w:rFonts w:ascii="Arial" w:hAnsi="Arial" w:cs="Arial"/>
                <w:b/>
                <w:bCs/>
              </w:rPr>
              <w:t>-43.1 Days</w:t>
            </w:r>
          </w:p>
        </w:tc>
        <w:tc>
          <w:tcPr>
            <w:tcW w:w="1495" w:type="dxa"/>
            <w:vAlign w:val="center"/>
          </w:tcPr>
          <w:p w14:paraId="62DB09F3" w14:textId="5C0E4551" w:rsidR="00233467" w:rsidRPr="00936FE8" w:rsidRDefault="00233467" w:rsidP="0054327B">
            <w:pPr>
              <w:spacing w:line="360" w:lineRule="auto"/>
              <w:rPr>
                <w:rFonts w:ascii="Arial" w:hAnsi="Arial" w:cs="Arial"/>
              </w:rPr>
            </w:pPr>
            <w:r w:rsidRPr="00936FE8">
              <w:rPr>
                <w:rFonts w:ascii="Arial" w:hAnsi="Arial" w:cs="Arial"/>
                <w:b/>
                <w:bCs/>
              </w:rPr>
              <w:t>-40.1 Days</w:t>
            </w:r>
          </w:p>
        </w:tc>
        <w:tc>
          <w:tcPr>
            <w:tcW w:w="1495" w:type="dxa"/>
            <w:vAlign w:val="center"/>
          </w:tcPr>
          <w:p w14:paraId="0819A96A" w14:textId="2A861CCD" w:rsidR="00233467" w:rsidRPr="00936FE8" w:rsidRDefault="00233467" w:rsidP="0054327B">
            <w:pPr>
              <w:spacing w:line="360" w:lineRule="auto"/>
              <w:rPr>
                <w:rFonts w:ascii="Arial" w:hAnsi="Arial" w:cs="Arial"/>
              </w:rPr>
            </w:pPr>
            <w:r w:rsidRPr="00936FE8">
              <w:rPr>
                <w:rFonts w:ascii="Arial" w:hAnsi="Arial" w:cs="Arial"/>
                <w:b/>
                <w:bCs/>
              </w:rPr>
              <w:t>-37.9 Days</w:t>
            </w:r>
          </w:p>
        </w:tc>
        <w:tc>
          <w:tcPr>
            <w:tcW w:w="1495" w:type="dxa"/>
            <w:vAlign w:val="center"/>
          </w:tcPr>
          <w:p w14:paraId="5B84FDD4" w14:textId="760BBF48" w:rsidR="00233467" w:rsidRPr="00936FE8" w:rsidRDefault="00233467" w:rsidP="005E64A8">
            <w:pPr>
              <w:keepNext/>
              <w:spacing w:line="360" w:lineRule="auto"/>
              <w:rPr>
                <w:rFonts w:ascii="Arial" w:hAnsi="Arial" w:cs="Arial"/>
              </w:rPr>
            </w:pPr>
            <w:r w:rsidRPr="00936FE8">
              <w:rPr>
                <w:rFonts w:ascii="Arial" w:hAnsi="Arial" w:cs="Arial"/>
                <w:b/>
                <w:bCs/>
              </w:rPr>
              <w:t>-37.4 Days</w:t>
            </w:r>
          </w:p>
        </w:tc>
      </w:tr>
    </w:tbl>
    <w:p w14:paraId="7C21C1A7" w14:textId="217A8FDC" w:rsidR="00233467" w:rsidRPr="00936FE8" w:rsidRDefault="005E64A8" w:rsidP="00C82762">
      <w:pPr>
        <w:pStyle w:val="Caption"/>
      </w:pPr>
      <w:r w:rsidRPr="00936FE8">
        <w:lastRenderedPageBreak/>
        <w:t xml:space="preserve">Table </w:t>
      </w:r>
      <w:fldSimple w:instr=" SEQ Table \* ARABIC ">
        <w:r w:rsidR="00132649" w:rsidRPr="00936FE8">
          <w:rPr>
            <w:noProof/>
          </w:rPr>
          <w:t>7</w:t>
        </w:r>
      </w:fldSimple>
      <w:r w:rsidRPr="00936FE8">
        <w:t>: Travelodge Cash Conversion Cycle</w:t>
      </w:r>
    </w:p>
    <w:p w14:paraId="5393F649" w14:textId="76B806FE" w:rsidR="005E64A8" w:rsidRPr="00936FE8" w:rsidRDefault="005E64A8" w:rsidP="005E64A8">
      <w:pPr>
        <w:rPr>
          <w:rFonts w:ascii="Arial" w:hAnsi="Arial" w:cs="Arial"/>
        </w:rPr>
      </w:pPr>
      <w:r w:rsidRPr="00936FE8">
        <w:rPr>
          <w:rFonts w:ascii="Arial" w:hAnsi="Arial" w:cs="Arial"/>
        </w:rPr>
        <w:t>(Self-employed)</w:t>
      </w:r>
    </w:p>
    <w:p w14:paraId="72948DE2" w14:textId="08A3814F" w:rsidR="00233467" w:rsidRPr="00936FE8" w:rsidRDefault="00233467" w:rsidP="0054327B">
      <w:pPr>
        <w:spacing w:line="360" w:lineRule="auto"/>
        <w:rPr>
          <w:rFonts w:ascii="Arial" w:hAnsi="Arial" w:cs="Arial"/>
        </w:rPr>
      </w:pPr>
      <w:proofErr w:type="gramStart"/>
      <w:r w:rsidRPr="00936FE8">
        <w:rPr>
          <w:rFonts w:ascii="Arial" w:hAnsi="Arial" w:cs="Arial"/>
        </w:rPr>
        <w:t>Travellers</w:t>
      </w:r>
      <w:proofErr w:type="gramEnd"/>
      <w:r w:rsidRPr="00936FE8">
        <w:rPr>
          <w:rFonts w:ascii="Arial" w:hAnsi="Arial" w:cs="Arial"/>
        </w:rPr>
        <w:t xml:space="preserve"> managers highly favourable negative cash operating cycle</w:t>
      </w:r>
      <w:r w:rsidR="0054327B" w:rsidRPr="00936FE8">
        <w:rPr>
          <w:rFonts w:ascii="Arial" w:hAnsi="Arial" w:cs="Arial"/>
        </w:rPr>
        <w:t>,</w:t>
      </w:r>
      <w:r w:rsidRPr="00936FE8">
        <w:rPr>
          <w:rFonts w:ascii="Arial" w:hAnsi="Arial" w:cs="Arial"/>
        </w:rPr>
        <w:t xml:space="preserve"> averaging about -37 to -46 days over the </w:t>
      </w:r>
      <w:r w:rsidR="00C4346B" w:rsidRPr="00936FE8">
        <w:rPr>
          <w:rFonts w:ascii="Arial" w:hAnsi="Arial" w:cs="Arial"/>
        </w:rPr>
        <w:t>5-year</w:t>
      </w:r>
      <w:r w:rsidRPr="00936FE8">
        <w:rPr>
          <w:rFonts w:ascii="Arial" w:hAnsi="Arial" w:cs="Arial"/>
        </w:rPr>
        <w:t xml:space="preserve"> period. This negative cycle means </w:t>
      </w:r>
      <w:r w:rsidR="00C4346B" w:rsidRPr="00936FE8">
        <w:rPr>
          <w:rFonts w:ascii="Arial" w:hAnsi="Arial" w:cs="Arial"/>
        </w:rPr>
        <w:t>Travelogue</w:t>
      </w:r>
      <w:r w:rsidRPr="00936FE8">
        <w:rPr>
          <w:rFonts w:ascii="Arial" w:hAnsi="Arial" w:cs="Arial"/>
        </w:rPr>
        <w:t xml:space="preserve"> generates the cash from guest bookings well before paying its key suppliers. This cash serves as the </w:t>
      </w:r>
      <w:r w:rsidR="0054327B" w:rsidRPr="00936FE8">
        <w:rPr>
          <w:rFonts w:ascii="Arial" w:hAnsi="Arial" w:cs="Arial"/>
        </w:rPr>
        <w:t>interest-free</w:t>
      </w:r>
      <w:r w:rsidRPr="00936FE8">
        <w:rPr>
          <w:rFonts w:ascii="Arial" w:hAnsi="Arial" w:cs="Arial"/>
        </w:rPr>
        <w:t xml:space="preserve"> source of working capital</w:t>
      </w:r>
      <w:r w:rsidR="0054327B" w:rsidRPr="00936FE8">
        <w:rPr>
          <w:rFonts w:ascii="Arial" w:hAnsi="Arial" w:cs="Arial"/>
        </w:rPr>
        <w:t>,</w:t>
      </w:r>
      <w:r w:rsidRPr="00936FE8">
        <w:rPr>
          <w:rFonts w:ascii="Arial" w:hAnsi="Arial" w:cs="Arial"/>
        </w:rPr>
        <w:t xml:space="preserve"> which helps the company to meet </w:t>
      </w:r>
      <w:proofErr w:type="spellStart"/>
      <w:r w:rsidRPr="00936FE8">
        <w:rPr>
          <w:rFonts w:ascii="Arial" w:hAnsi="Arial" w:cs="Arial"/>
        </w:rPr>
        <w:t>it's</w:t>
      </w:r>
      <w:proofErr w:type="spellEnd"/>
      <w:r w:rsidRPr="00936FE8">
        <w:rPr>
          <w:rFonts w:ascii="Arial" w:hAnsi="Arial" w:cs="Arial"/>
        </w:rPr>
        <w:t xml:space="preserve"> </w:t>
      </w:r>
      <w:proofErr w:type="gramStart"/>
      <w:r w:rsidRPr="00936FE8">
        <w:rPr>
          <w:rFonts w:ascii="Arial" w:hAnsi="Arial" w:cs="Arial"/>
        </w:rPr>
        <w:t>short term</w:t>
      </w:r>
      <w:proofErr w:type="gramEnd"/>
      <w:r w:rsidRPr="00936FE8">
        <w:rPr>
          <w:rFonts w:ascii="Arial" w:hAnsi="Arial" w:cs="Arial"/>
        </w:rPr>
        <w:t xml:space="preserve"> financial obligations. </w:t>
      </w:r>
    </w:p>
    <w:p w14:paraId="1A6D2BA0" w14:textId="77777777" w:rsidR="00C4346B" w:rsidRPr="00936FE8" w:rsidRDefault="00C4346B" w:rsidP="00C4346B">
      <w:pPr>
        <w:keepNext/>
        <w:spacing w:line="360" w:lineRule="auto"/>
        <w:rPr>
          <w:rFonts w:ascii="Arial" w:hAnsi="Arial" w:cs="Arial"/>
        </w:rPr>
      </w:pPr>
      <w:r w:rsidRPr="00936FE8">
        <w:rPr>
          <w:rFonts w:ascii="Arial" w:hAnsi="Arial" w:cs="Arial"/>
          <w:noProof/>
        </w:rPr>
        <w:drawing>
          <wp:inline distT="0" distB="0" distL="0" distR="0" wp14:anchorId="51309C9D" wp14:editId="09C3C970">
            <wp:extent cx="5486400" cy="3200400"/>
            <wp:effectExtent l="57150" t="0" r="57150" b="0"/>
            <wp:docPr id="68396331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44E814B5" w14:textId="09C8EEFF" w:rsidR="00C4346B" w:rsidRPr="00936FE8" w:rsidRDefault="00C4346B" w:rsidP="00C4346B">
      <w:pPr>
        <w:pStyle w:val="Caption"/>
      </w:pPr>
      <w:r w:rsidRPr="00936FE8">
        <w:t xml:space="preserve">Figure </w:t>
      </w:r>
      <w:fldSimple w:instr=" SEQ Figure \* ARABIC ">
        <w:r w:rsidR="0047746F" w:rsidRPr="00936FE8">
          <w:rPr>
            <w:noProof/>
          </w:rPr>
          <w:t>4</w:t>
        </w:r>
      </w:fldSimple>
      <w:r w:rsidRPr="00936FE8">
        <w:t>: DIO, DSO and DPO</w:t>
      </w:r>
    </w:p>
    <w:p w14:paraId="377CCB90" w14:textId="34B1E061" w:rsidR="00C4346B" w:rsidRPr="00936FE8" w:rsidRDefault="00C4346B" w:rsidP="00C4346B">
      <w:pPr>
        <w:rPr>
          <w:rFonts w:ascii="Arial" w:hAnsi="Arial" w:cs="Arial"/>
        </w:rPr>
      </w:pPr>
      <w:r w:rsidRPr="00936FE8">
        <w:rPr>
          <w:rFonts w:ascii="Arial" w:hAnsi="Arial" w:cs="Arial"/>
        </w:rPr>
        <w:t>(Source: Author, 2026)</w:t>
      </w:r>
    </w:p>
    <w:p w14:paraId="05CD8BEA" w14:textId="0A3CDD08" w:rsidR="00233467" w:rsidRPr="00936FE8" w:rsidRDefault="00233467" w:rsidP="0054327B">
      <w:pPr>
        <w:spacing w:line="360" w:lineRule="auto"/>
        <w:rPr>
          <w:rFonts w:ascii="Arial" w:hAnsi="Arial" w:cs="Arial"/>
        </w:rPr>
      </w:pPr>
      <w:r w:rsidRPr="00936FE8">
        <w:rPr>
          <w:rFonts w:ascii="Arial" w:hAnsi="Arial" w:cs="Arial"/>
        </w:rPr>
        <w:t xml:space="preserve">As the deferred payment window to creditors (DPO) significantly increases the combined duration of inventory storage (DIO) and the customer cash collection (DSO), the group generates a structurally negative cash operating cycle. </w:t>
      </w:r>
    </w:p>
    <w:p w14:paraId="5AE29869" w14:textId="3E9C463D" w:rsidR="00233467" w:rsidRPr="00936FE8" w:rsidRDefault="00233467" w:rsidP="0054327B">
      <w:pPr>
        <w:spacing w:line="360" w:lineRule="auto"/>
        <w:rPr>
          <w:rFonts w:ascii="Arial" w:eastAsiaTheme="minorEastAsia" w:hAnsi="Arial" w:cs="Arial"/>
        </w:rPr>
      </w:pPr>
      <m:oMathPara>
        <m:oMathParaPr>
          <m:jc m:val="center"/>
        </m:oMathParaPr>
        <m:oMath>
          <m:r>
            <m:rPr>
              <m:nor/>
            </m:rPr>
            <w:rPr>
              <w:rFonts w:ascii="Arial" w:hAnsi="Arial" w:cs="Arial"/>
            </w:rPr>
            <m:t>Net Cycle</m:t>
          </m:r>
          <m:r>
            <w:rPr>
              <w:rFonts w:ascii="Cambria Math" w:hAnsi="Cambria Math" w:cs="Arial"/>
            </w:rPr>
            <m:t>=</m:t>
          </m:r>
          <m:d>
            <m:dPr>
              <m:ctrlPr>
                <w:rPr>
                  <w:rFonts w:ascii="Cambria Math" w:hAnsi="Cambria Math" w:cs="Arial"/>
                </w:rPr>
              </m:ctrlPr>
            </m:dPr>
            <m:e>
              <m:r>
                <w:rPr>
                  <w:rFonts w:ascii="Cambria Math" w:hAnsi="Cambria Math" w:cs="Arial"/>
                </w:rPr>
                <m:t>3+5</m:t>
              </m:r>
            </m:e>
          </m:d>
          <m:r>
            <w:rPr>
              <w:rFonts w:ascii="Cambria Math" w:hAnsi="Cambria Math" w:cs="Arial"/>
            </w:rPr>
            <m:t>-40=-32</m:t>
          </m:r>
          <m:r>
            <m:rPr>
              <m:nor/>
            </m:rPr>
            <w:rPr>
              <w:rFonts w:ascii="Arial" w:hAnsi="Arial" w:cs="Arial"/>
            </w:rPr>
            <m:t> days</m:t>
          </m:r>
        </m:oMath>
      </m:oMathPara>
    </w:p>
    <w:p w14:paraId="65F95AB3" w14:textId="55EAD5EC" w:rsidR="00233467" w:rsidRPr="00936FE8" w:rsidRDefault="00233467" w:rsidP="0054327B">
      <w:pPr>
        <w:spacing w:line="360" w:lineRule="auto"/>
        <w:rPr>
          <w:rFonts w:ascii="Arial" w:eastAsiaTheme="minorEastAsia" w:hAnsi="Arial" w:cs="Arial"/>
        </w:rPr>
      </w:pPr>
      <w:r w:rsidRPr="00936FE8">
        <w:rPr>
          <w:rFonts w:ascii="Arial" w:eastAsiaTheme="minorEastAsia" w:hAnsi="Arial" w:cs="Arial"/>
        </w:rPr>
        <w:t>This negative recycle means that the consumers effectively fund working capital requirements in advance. Meanwhile</w:t>
      </w:r>
      <w:r w:rsidR="00C4346B" w:rsidRPr="00936FE8">
        <w:rPr>
          <w:rFonts w:ascii="Arial" w:eastAsiaTheme="minorEastAsia" w:hAnsi="Arial" w:cs="Arial"/>
        </w:rPr>
        <w:t>,</w:t>
      </w:r>
      <w:r w:rsidRPr="00936FE8">
        <w:rPr>
          <w:rFonts w:ascii="Arial" w:eastAsiaTheme="minorEastAsia" w:hAnsi="Arial" w:cs="Arial"/>
        </w:rPr>
        <w:t xml:space="preserve"> this structure becomes highly sensitive during demand </w:t>
      </w:r>
      <w:r w:rsidR="00C4346B" w:rsidRPr="00936FE8">
        <w:rPr>
          <w:rFonts w:ascii="Arial" w:eastAsiaTheme="minorEastAsia" w:hAnsi="Arial" w:cs="Arial"/>
        </w:rPr>
        <w:t>contractions</w:t>
      </w:r>
      <w:r w:rsidRPr="00936FE8">
        <w:rPr>
          <w:rFonts w:ascii="Arial" w:eastAsiaTheme="minorEastAsia" w:hAnsi="Arial" w:cs="Arial"/>
        </w:rPr>
        <w:t xml:space="preserve">; if forward room bookings drop sharply, the immediate cash influx halts while the default supply chain payables catch up, which creates structural liquidity constraints. </w:t>
      </w:r>
    </w:p>
    <w:p w14:paraId="48390F82" w14:textId="24009251" w:rsidR="00233467" w:rsidRPr="00936FE8" w:rsidRDefault="00D7737F" w:rsidP="00D7737F">
      <w:pPr>
        <w:pStyle w:val="Heading2"/>
        <w:rPr>
          <w:rFonts w:ascii="Arial" w:eastAsiaTheme="minorEastAsia" w:hAnsi="Arial" w:cs="Arial"/>
        </w:rPr>
      </w:pPr>
      <w:bookmarkStart w:id="10" w:name="_Toc235785098"/>
      <w:r w:rsidRPr="00936FE8">
        <w:rPr>
          <w:rFonts w:ascii="Arial" w:eastAsiaTheme="minorEastAsia" w:hAnsi="Arial" w:cs="Arial"/>
        </w:rPr>
        <w:lastRenderedPageBreak/>
        <w:t>2.2 Working capital reforms to enhance liquidity</w:t>
      </w:r>
      <w:bookmarkEnd w:id="10"/>
    </w:p>
    <w:p w14:paraId="40E0D189" w14:textId="467B837E" w:rsidR="00233467" w:rsidRPr="00936FE8" w:rsidRDefault="00C4346B" w:rsidP="0054327B">
      <w:pPr>
        <w:spacing w:line="360" w:lineRule="auto"/>
        <w:rPr>
          <w:rFonts w:ascii="Arial" w:eastAsiaTheme="minorEastAsia" w:hAnsi="Arial" w:cs="Arial"/>
        </w:rPr>
      </w:pPr>
      <w:r w:rsidRPr="00936FE8">
        <w:rPr>
          <w:rFonts w:ascii="Arial" w:eastAsiaTheme="minorEastAsia" w:hAnsi="Arial" w:cs="Arial"/>
        </w:rPr>
        <w:t>The</w:t>
      </w:r>
      <w:r w:rsidR="00233467" w:rsidRPr="00936FE8">
        <w:rPr>
          <w:rFonts w:ascii="Arial" w:eastAsiaTheme="minorEastAsia" w:hAnsi="Arial" w:cs="Arial"/>
        </w:rPr>
        <w:t xml:space="preserve"> forecast metrics of FY25/26 </w:t>
      </w:r>
      <w:r w:rsidRPr="00936FE8">
        <w:rPr>
          <w:rFonts w:ascii="Arial" w:eastAsiaTheme="minorEastAsia" w:hAnsi="Arial" w:cs="Arial"/>
        </w:rPr>
        <w:t>present</w:t>
      </w:r>
      <w:r w:rsidR="00233467" w:rsidRPr="00936FE8">
        <w:rPr>
          <w:rFonts w:ascii="Arial" w:eastAsiaTheme="minorEastAsia" w:hAnsi="Arial" w:cs="Arial"/>
        </w:rPr>
        <w:t xml:space="preserve"> a constrained liquidity position. </w:t>
      </w:r>
      <w:r w:rsidR="000B60B8" w:rsidRPr="00936FE8">
        <w:rPr>
          <w:rFonts w:ascii="Arial" w:eastAsiaTheme="minorEastAsia" w:hAnsi="Arial" w:cs="Arial"/>
        </w:rPr>
        <w:t xml:space="preserve">To reinforce the quick and current ratios without diluting the long-term equity or expanding the structural leverage, the following targeted working capital reforms are suggested: </w:t>
      </w:r>
    </w:p>
    <w:p w14:paraId="58ABE528" w14:textId="285BE3F9" w:rsidR="000B60B8" w:rsidRPr="00936FE8" w:rsidRDefault="0054327B" w:rsidP="0054327B">
      <w:pPr>
        <w:spacing w:line="360" w:lineRule="auto"/>
        <w:rPr>
          <w:rFonts w:ascii="Arial" w:eastAsiaTheme="minorEastAsia" w:hAnsi="Arial" w:cs="Arial"/>
        </w:rPr>
      </w:pPr>
      <w:r w:rsidRPr="00936FE8">
        <w:rPr>
          <w:rFonts w:ascii="Arial" w:eastAsiaTheme="minorEastAsia" w:hAnsi="Arial" w:cs="Arial"/>
        </w:rPr>
        <w:t>Supply</w:t>
      </w:r>
      <w:r w:rsidR="000B60B8" w:rsidRPr="00936FE8">
        <w:rPr>
          <w:rFonts w:ascii="Arial" w:eastAsiaTheme="minorEastAsia" w:hAnsi="Arial" w:cs="Arial"/>
        </w:rPr>
        <w:t xml:space="preserve"> chain financing and DOP harmonisation: Rather than aggressively stretching the payables, which risks compromising the supplier relationships and the reliability </w:t>
      </w:r>
      <w:r w:rsidRPr="00936FE8">
        <w:rPr>
          <w:rFonts w:ascii="Arial" w:eastAsiaTheme="minorEastAsia" w:hAnsi="Arial" w:cs="Arial"/>
        </w:rPr>
        <w:t>of</w:t>
      </w:r>
      <w:r w:rsidR="000B60B8" w:rsidRPr="00936FE8">
        <w:rPr>
          <w:rFonts w:ascii="Arial" w:eastAsiaTheme="minorEastAsia" w:hAnsi="Arial" w:cs="Arial"/>
        </w:rPr>
        <w:t xml:space="preserve"> the vendors, the firm </w:t>
      </w:r>
      <w:r w:rsidRPr="00936FE8">
        <w:rPr>
          <w:rFonts w:ascii="Arial" w:eastAsiaTheme="minorEastAsia" w:hAnsi="Arial" w:cs="Arial"/>
        </w:rPr>
        <w:t>needs</w:t>
      </w:r>
      <w:r w:rsidR="000B60B8" w:rsidRPr="00936FE8">
        <w:rPr>
          <w:rFonts w:ascii="Arial" w:eastAsiaTheme="minorEastAsia" w:hAnsi="Arial" w:cs="Arial"/>
        </w:rPr>
        <w:t xml:space="preserve"> to establish </w:t>
      </w:r>
      <w:r w:rsidRPr="00936FE8">
        <w:rPr>
          <w:rFonts w:ascii="Arial" w:eastAsiaTheme="minorEastAsia" w:hAnsi="Arial" w:cs="Arial"/>
        </w:rPr>
        <w:t>an</w:t>
      </w:r>
      <w:r w:rsidR="000B60B8" w:rsidRPr="00936FE8">
        <w:rPr>
          <w:rFonts w:ascii="Arial" w:eastAsiaTheme="minorEastAsia" w:hAnsi="Arial" w:cs="Arial"/>
        </w:rPr>
        <w:t xml:space="preserve"> integrated supply chain financing (SCF) program. Backed by the institutional banking facility, the bank pays key trade creditors immediately at the marginal discount rate, while the group extends its nominal payment window to 60 days. This optimises the DPO and preserves</w:t>
      </w:r>
      <w:r w:rsidR="00002E1A" w:rsidRPr="00936FE8">
        <w:rPr>
          <w:rFonts w:ascii="Arial" w:eastAsiaTheme="minorEastAsia" w:hAnsi="Arial" w:cs="Arial"/>
        </w:rPr>
        <w:t xml:space="preserve"> essential commercial liquidity buffers. </w:t>
      </w:r>
    </w:p>
    <w:p w14:paraId="1743F626" w14:textId="3F54B75D" w:rsidR="00002E1A" w:rsidRPr="00936FE8" w:rsidRDefault="00002E1A" w:rsidP="0054327B">
      <w:pPr>
        <w:spacing w:line="360" w:lineRule="auto"/>
        <w:rPr>
          <w:rFonts w:ascii="Arial" w:eastAsiaTheme="minorEastAsia" w:hAnsi="Arial" w:cs="Arial"/>
        </w:rPr>
      </w:pPr>
      <w:r w:rsidRPr="00936FE8">
        <w:rPr>
          <w:rFonts w:ascii="Arial" w:eastAsiaTheme="minorEastAsia" w:hAnsi="Arial" w:cs="Arial"/>
        </w:rPr>
        <w:t xml:space="preserve">Dynamic prepayment and early booking incentives: Using the digital platform, the group needs to expand the </w:t>
      </w:r>
      <w:r w:rsidR="00C4346B" w:rsidRPr="00936FE8">
        <w:rPr>
          <w:rFonts w:ascii="Arial" w:eastAsiaTheme="minorEastAsia" w:hAnsi="Arial" w:cs="Arial"/>
        </w:rPr>
        <w:t>non-refundable</w:t>
      </w:r>
      <w:r w:rsidRPr="00936FE8">
        <w:rPr>
          <w:rFonts w:ascii="Arial" w:eastAsiaTheme="minorEastAsia" w:hAnsi="Arial" w:cs="Arial"/>
        </w:rPr>
        <w:t xml:space="preserve">, prepaid promotional booking structures deeper into the </w:t>
      </w:r>
      <w:r w:rsidR="00C4346B" w:rsidRPr="00936FE8">
        <w:rPr>
          <w:rFonts w:ascii="Arial" w:eastAsiaTheme="minorEastAsia" w:hAnsi="Arial" w:cs="Arial"/>
        </w:rPr>
        <w:t>off-peak</w:t>
      </w:r>
      <w:r w:rsidRPr="00936FE8">
        <w:rPr>
          <w:rFonts w:ascii="Arial" w:eastAsiaTheme="minorEastAsia" w:hAnsi="Arial" w:cs="Arial"/>
        </w:rPr>
        <w:t xml:space="preserve"> midweek allocations. Capturing the consumer cash 60 to 90 days before the occupancy accelerates cash inflows, artificially depressing DSO </w:t>
      </w:r>
      <w:r w:rsidR="00C4346B" w:rsidRPr="00936FE8">
        <w:rPr>
          <w:rFonts w:ascii="Arial" w:eastAsiaTheme="minorEastAsia" w:hAnsi="Arial" w:cs="Arial"/>
        </w:rPr>
        <w:t>into</w:t>
      </w:r>
      <w:r w:rsidRPr="00936FE8">
        <w:rPr>
          <w:rFonts w:ascii="Arial" w:eastAsiaTheme="minorEastAsia" w:hAnsi="Arial" w:cs="Arial"/>
        </w:rPr>
        <w:t xml:space="preserve"> deeply negative territory and swelling the immediate cash reserve balances. </w:t>
      </w:r>
    </w:p>
    <w:p w14:paraId="0F518C86" w14:textId="7EC6FF62" w:rsidR="00002E1A" w:rsidRPr="00936FE8" w:rsidRDefault="00002E1A" w:rsidP="0054327B">
      <w:pPr>
        <w:spacing w:line="360" w:lineRule="auto"/>
        <w:rPr>
          <w:rFonts w:ascii="Arial" w:eastAsiaTheme="minorEastAsia" w:hAnsi="Arial" w:cs="Arial"/>
        </w:rPr>
      </w:pPr>
      <w:r w:rsidRPr="00936FE8">
        <w:rPr>
          <w:rFonts w:ascii="Arial" w:eastAsiaTheme="minorEastAsia" w:hAnsi="Arial" w:cs="Arial"/>
        </w:rPr>
        <w:t xml:space="preserve">Automated inventory and procurement protocols: Incorporating Just-In-Time (JIT) automated stock procurement systems across beverage, food and property maintenance operations further decreases DIO. Decreasing the capital locked in </w:t>
      </w:r>
      <w:r w:rsidR="00C4346B" w:rsidRPr="00936FE8">
        <w:rPr>
          <w:rFonts w:ascii="Arial" w:eastAsiaTheme="minorEastAsia" w:hAnsi="Arial" w:cs="Arial"/>
        </w:rPr>
        <w:t>slow-moving</w:t>
      </w:r>
      <w:r w:rsidRPr="00936FE8">
        <w:rPr>
          <w:rFonts w:ascii="Arial" w:eastAsiaTheme="minorEastAsia" w:hAnsi="Arial" w:cs="Arial"/>
        </w:rPr>
        <w:t xml:space="preserve"> physical storage decreases working capital absorption and removes the threat of stock obsolescence or wastage. </w:t>
      </w:r>
    </w:p>
    <w:p w14:paraId="614B4CEC" w14:textId="18DE54E8" w:rsidR="00002E1A" w:rsidRPr="00936FE8" w:rsidRDefault="00D7737F" w:rsidP="00D7737F">
      <w:pPr>
        <w:pStyle w:val="Heading2"/>
        <w:rPr>
          <w:rFonts w:ascii="Arial" w:eastAsiaTheme="minorEastAsia" w:hAnsi="Arial" w:cs="Arial"/>
        </w:rPr>
      </w:pPr>
      <w:bookmarkStart w:id="11" w:name="_Toc235785099"/>
      <w:r w:rsidRPr="00936FE8">
        <w:rPr>
          <w:rFonts w:ascii="Arial" w:eastAsiaTheme="minorEastAsia" w:hAnsi="Arial" w:cs="Arial"/>
        </w:rPr>
        <w:t>2.3 Short Term Versus Long Term Financial Options</w:t>
      </w:r>
      <w:bookmarkEnd w:id="11"/>
    </w:p>
    <w:p w14:paraId="3B742C37" w14:textId="386F036B" w:rsidR="00002E1A" w:rsidRPr="00936FE8" w:rsidRDefault="00C4346B" w:rsidP="0054327B">
      <w:pPr>
        <w:spacing w:line="360" w:lineRule="auto"/>
        <w:rPr>
          <w:rFonts w:ascii="Arial" w:eastAsiaTheme="minorEastAsia" w:hAnsi="Arial" w:cs="Arial"/>
        </w:rPr>
      </w:pPr>
      <w:r w:rsidRPr="00936FE8">
        <w:rPr>
          <w:rFonts w:ascii="Arial" w:eastAsiaTheme="minorEastAsia" w:hAnsi="Arial" w:cs="Arial"/>
        </w:rPr>
        <w:t>To</w:t>
      </w:r>
      <w:r w:rsidR="00002E1A" w:rsidRPr="00936FE8">
        <w:rPr>
          <w:rFonts w:ascii="Arial" w:eastAsiaTheme="minorEastAsia" w:hAnsi="Arial" w:cs="Arial"/>
        </w:rPr>
        <w:t xml:space="preserve"> fund its capital requirements, </w:t>
      </w:r>
      <w:r w:rsidR="0054327B" w:rsidRPr="00936FE8">
        <w:rPr>
          <w:rFonts w:ascii="Arial" w:eastAsiaTheme="minorEastAsia" w:hAnsi="Arial" w:cs="Arial"/>
        </w:rPr>
        <w:t>Travelodge</w:t>
      </w:r>
      <w:r w:rsidR="00002E1A" w:rsidRPr="00936FE8">
        <w:rPr>
          <w:rFonts w:ascii="Arial" w:eastAsiaTheme="minorEastAsia" w:hAnsi="Arial" w:cs="Arial"/>
        </w:rPr>
        <w:t xml:space="preserve"> needs to balance the flexibility, cost and refinancing risk: </w:t>
      </w:r>
    </w:p>
    <w:p w14:paraId="793E9E39" w14:textId="01BDEFE5" w:rsidR="003C4E5C" w:rsidRPr="00936FE8" w:rsidRDefault="003C4E5C" w:rsidP="00C82762">
      <w:pPr>
        <w:pStyle w:val="Caption"/>
      </w:pPr>
    </w:p>
    <w:tbl>
      <w:tblPr>
        <w:tblStyle w:val="TableGrid"/>
        <w:tblW w:w="0" w:type="auto"/>
        <w:tblLook w:val="04A0" w:firstRow="1" w:lastRow="0" w:firstColumn="1" w:lastColumn="0" w:noHBand="0" w:noVBand="1"/>
      </w:tblPr>
      <w:tblGrid>
        <w:gridCol w:w="3005"/>
        <w:gridCol w:w="3005"/>
        <w:gridCol w:w="3006"/>
      </w:tblGrid>
      <w:tr w:rsidR="00002E1A" w:rsidRPr="00936FE8" w14:paraId="3AF7FA3F" w14:textId="77777777" w:rsidTr="00002E1A">
        <w:tc>
          <w:tcPr>
            <w:tcW w:w="3005" w:type="dxa"/>
          </w:tcPr>
          <w:p w14:paraId="6B09315D" w14:textId="4C82CB56" w:rsidR="00002E1A" w:rsidRPr="00936FE8" w:rsidRDefault="00002E1A" w:rsidP="0054327B">
            <w:pPr>
              <w:spacing w:line="360" w:lineRule="auto"/>
              <w:rPr>
                <w:rFonts w:ascii="Arial" w:eastAsiaTheme="minorEastAsia" w:hAnsi="Arial" w:cs="Arial"/>
                <w:b/>
                <w:bCs/>
              </w:rPr>
            </w:pPr>
            <w:r w:rsidRPr="00936FE8">
              <w:rPr>
                <w:rFonts w:ascii="Arial" w:eastAsiaTheme="minorEastAsia" w:hAnsi="Arial" w:cs="Arial"/>
                <w:b/>
                <w:bCs/>
              </w:rPr>
              <w:t>Dimension</w:t>
            </w:r>
          </w:p>
        </w:tc>
        <w:tc>
          <w:tcPr>
            <w:tcW w:w="3005" w:type="dxa"/>
          </w:tcPr>
          <w:p w14:paraId="5AB79AD2" w14:textId="76A50F6E" w:rsidR="00002E1A" w:rsidRPr="00936FE8" w:rsidRDefault="00C4346B" w:rsidP="0054327B">
            <w:pPr>
              <w:spacing w:line="360" w:lineRule="auto"/>
              <w:rPr>
                <w:rFonts w:ascii="Arial" w:eastAsiaTheme="minorEastAsia" w:hAnsi="Arial" w:cs="Arial"/>
                <w:b/>
                <w:bCs/>
              </w:rPr>
            </w:pPr>
            <w:r w:rsidRPr="00936FE8">
              <w:rPr>
                <w:rFonts w:ascii="Arial" w:eastAsiaTheme="minorEastAsia" w:hAnsi="Arial" w:cs="Arial"/>
                <w:b/>
                <w:bCs/>
              </w:rPr>
              <w:t>short-term</w:t>
            </w:r>
            <w:r w:rsidR="00002E1A" w:rsidRPr="00936FE8">
              <w:rPr>
                <w:rFonts w:ascii="Arial" w:eastAsiaTheme="minorEastAsia" w:hAnsi="Arial" w:cs="Arial"/>
                <w:b/>
                <w:bCs/>
              </w:rPr>
              <w:t xml:space="preserve"> financing </w:t>
            </w:r>
          </w:p>
        </w:tc>
        <w:tc>
          <w:tcPr>
            <w:tcW w:w="3006" w:type="dxa"/>
          </w:tcPr>
          <w:p w14:paraId="50BB42A1" w14:textId="354DF529" w:rsidR="00002E1A" w:rsidRPr="00936FE8" w:rsidRDefault="00C4346B" w:rsidP="0054327B">
            <w:pPr>
              <w:spacing w:line="360" w:lineRule="auto"/>
              <w:rPr>
                <w:rFonts w:ascii="Arial" w:eastAsiaTheme="minorEastAsia" w:hAnsi="Arial" w:cs="Arial"/>
                <w:b/>
                <w:bCs/>
              </w:rPr>
            </w:pPr>
            <w:r w:rsidRPr="00936FE8">
              <w:rPr>
                <w:rFonts w:ascii="Arial" w:eastAsiaTheme="minorEastAsia" w:hAnsi="Arial" w:cs="Arial"/>
                <w:b/>
                <w:bCs/>
              </w:rPr>
              <w:t>long-term</w:t>
            </w:r>
            <w:r w:rsidR="00002E1A" w:rsidRPr="00936FE8">
              <w:rPr>
                <w:rFonts w:ascii="Arial" w:eastAsiaTheme="minorEastAsia" w:hAnsi="Arial" w:cs="Arial"/>
                <w:b/>
                <w:bCs/>
              </w:rPr>
              <w:t xml:space="preserve"> financing </w:t>
            </w:r>
          </w:p>
        </w:tc>
      </w:tr>
      <w:tr w:rsidR="00002E1A" w:rsidRPr="00936FE8" w14:paraId="53306331" w14:textId="77777777" w:rsidTr="00002E1A">
        <w:tc>
          <w:tcPr>
            <w:tcW w:w="3005" w:type="dxa"/>
          </w:tcPr>
          <w:p w14:paraId="635E298B" w14:textId="51BDD36D" w:rsidR="00002E1A" w:rsidRPr="00936FE8" w:rsidRDefault="00002E1A" w:rsidP="0054327B">
            <w:pPr>
              <w:spacing w:line="360" w:lineRule="auto"/>
              <w:rPr>
                <w:rFonts w:ascii="Arial" w:eastAsiaTheme="minorEastAsia" w:hAnsi="Arial" w:cs="Arial"/>
                <w:b/>
                <w:bCs/>
              </w:rPr>
            </w:pPr>
            <w:r w:rsidRPr="00936FE8">
              <w:rPr>
                <w:rFonts w:ascii="Arial" w:eastAsiaTheme="minorEastAsia" w:hAnsi="Arial" w:cs="Arial"/>
                <w:b/>
                <w:bCs/>
              </w:rPr>
              <w:t>Cost</w:t>
            </w:r>
          </w:p>
        </w:tc>
        <w:tc>
          <w:tcPr>
            <w:tcW w:w="3005" w:type="dxa"/>
          </w:tcPr>
          <w:p w14:paraId="2E6CB042" w14:textId="5928AEAE" w:rsidR="00002E1A" w:rsidRPr="00936FE8" w:rsidRDefault="0054327B" w:rsidP="0054327B">
            <w:pPr>
              <w:spacing w:line="360" w:lineRule="auto"/>
              <w:rPr>
                <w:rFonts w:ascii="Arial" w:eastAsiaTheme="minorEastAsia" w:hAnsi="Arial" w:cs="Arial"/>
              </w:rPr>
            </w:pPr>
            <w:r w:rsidRPr="00936FE8">
              <w:rPr>
                <w:rFonts w:ascii="Arial" w:eastAsiaTheme="minorEastAsia" w:hAnsi="Arial" w:cs="Arial"/>
              </w:rPr>
              <w:t>Floating</w:t>
            </w:r>
            <w:r w:rsidR="00002E1A" w:rsidRPr="00936FE8">
              <w:rPr>
                <w:rFonts w:ascii="Arial" w:eastAsiaTheme="minorEastAsia" w:hAnsi="Arial" w:cs="Arial"/>
              </w:rPr>
              <w:t xml:space="preserve"> interest rate; </w:t>
            </w:r>
            <w:r w:rsidRPr="00936FE8">
              <w:rPr>
                <w:rFonts w:ascii="Arial" w:eastAsiaTheme="minorEastAsia" w:hAnsi="Arial" w:cs="Arial"/>
              </w:rPr>
              <w:t>cost-effective</w:t>
            </w:r>
            <w:r w:rsidR="00002E1A" w:rsidRPr="00936FE8">
              <w:rPr>
                <w:rFonts w:ascii="Arial" w:eastAsiaTheme="minorEastAsia" w:hAnsi="Arial" w:cs="Arial"/>
              </w:rPr>
              <w:t xml:space="preserve"> for </w:t>
            </w:r>
            <w:r w:rsidRPr="00936FE8">
              <w:rPr>
                <w:rFonts w:ascii="Arial" w:eastAsiaTheme="minorEastAsia" w:hAnsi="Arial" w:cs="Arial"/>
              </w:rPr>
              <w:t>short-term</w:t>
            </w:r>
            <w:r w:rsidR="00002E1A" w:rsidRPr="00936FE8">
              <w:rPr>
                <w:rFonts w:ascii="Arial" w:eastAsiaTheme="minorEastAsia" w:hAnsi="Arial" w:cs="Arial"/>
              </w:rPr>
              <w:t xml:space="preserve"> borrowings. </w:t>
            </w:r>
          </w:p>
        </w:tc>
        <w:tc>
          <w:tcPr>
            <w:tcW w:w="3006" w:type="dxa"/>
          </w:tcPr>
          <w:p w14:paraId="1AB2A9FF" w14:textId="7BBF86A6" w:rsidR="00002E1A" w:rsidRPr="00936FE8" w:rsidRDefault="00002E1A" w:rsidP="0054327B">
            <w:pPr>
              <w:spacing w:line="360" w:lineRule="auto"/>
              <w:rPr>
                <w:rFonts w:ascii="Arial" w:eastAsiaTheme="minorEastAsia" w:hAnsi="Arial" w:cs="Arial"/>
              </w:rPr>
            </w:pPr>
            <w:r w:rsidRPr="00936FE8">
              <w:rPr>
                <w:rFonts w:ascii="Arial" w:eastAsiaTheme="minorEastAsia" w:hAnsi="Arial" w:cs="Arial"/>
              </w:rPr>
              <w:t>Higher fixed coupon rates; includes a term premium.</w:t>
            </w:r>
          </w:p>
        </w:tc>
      </w:tr>
      <w:tr w:rsidR="00002E1A" w:rsidRPr="00936FE8" w14:paraId="1D90187E" w14:textId="77777777" w:rsidTr="00002E1A">
        <w:tc>
          <w:tcPr>
            <w:tcW w:w="3005" w:type="dxa"/>
          </w:tcPr>
          <w:p w14:paraId="52B058C4" w14:textId="112C5DF0" w:rsidR="00002E1A" w:rsidRPr="00936FE8" w:rsidRDefault="00002E1A" w:rsidP="0054327B">
            <w:pPr>
              <w:spacing w:line="360" w:lineRule="auto"/>
              <w:rPr>
                <w:rFonts w:ascii="Arial" w:eastAsiaTheme="minorEastAsia" w:hAnsi="Arial" w:cs="Arial"/>
                <w:b/>
                <w:bCs/>
              </w:rPr>
            </w:pPr>
            <w:r w:rsidRPr="00936FE8">
              <w:rPr>
                <w:rFonts w:ascii="Arial" w:eastAsiaTheme="minorEastAsia" w:hAnsi="Arial" w:cs="Arial"/>
                <w:b/>
                <w:bCs/>
              </w:rPr>
              <w:lastRenderedPageBreak/>
              <w:t>Flexibility</w:t>
            </w:r>
          </w:p>
        </w:tc>
        <w:tc>
          <w:tcPr>
            <w:tcW w:w="3005" w:type="dxa"/>
          </w:tcPr>
          <w:p w14:paraId="524A47AB" w14:textId="7080FC24" w:rsidR="00002E1A" w:rsidRPr="00936FE8" w:rsidRDefault="00002E1A" w:rsidP="0054327B">
            <w:pPr>
              <w:spacing w:line="360" w:lineRule="auto"/>
              <w:rPr>
                <w:rFonts w:ascii="Arial" w:eastAsiaTheme="minorEastAsia" w:hAnsi="Arial" w:cs="Arial"/>
              </w:rPr>
            </w:pPr>
            <w:r w:rsidRPr="00936FE8">
              <w:rPr>
                <w:rFonts w:ascii="Arial" w:eastAsiaTheme="minorEastAsia" w:hAnsi="Arial" w:cs="Arial"/>
              </w:rPr>
              <w:t xml:space="preserve">High; as it allows the </w:t>
            </w:r>
            <w:r w:rsidR="0054327B" w:rsidRPr="00936FE8">
              <w:rPr>
                <w:rFonts w:ascii="Arial" w:eastAsiaTheme="minorEastAsia" w:hAnsi="Arial" w:cs="Arial"/>
              </w:rPr>
              <w:t>travellers</w:t>
            </w:r>
            <w:r w:rsidRPr="00936FE8">
              <w:rPr>
                <w:rFonts w:ascii="Arial" w:eastAsiaTheme="minorEastAsia" w:hAnsi="Arial" w:cs="Arial"/>
              </w:rPr>
              <w:t xml:space="preserve"> to draw down and repay the funds as cash flows fluctuate. </w:t>
            </w:r>
          </w:p>
        </w:tc>
        <w:tc>
          <w:tcPr>
            <w:tcW w:w="3006" w:type="dxa"/>
          </w:tcPr>
          <w:p w14:paraId="06AC5D9E" w14:textId="3F2ABA3C" w:rsidR="00002E1A" w:rsidRPr="00936FE8" w:rsidRDefault="00002E1A" w:rsidP="0054327B">
            <w:pPr>
              <w:spacing w:line="360" w:lineRule="auto"/>
              <w:rPr>
                <w:rFonts w:ascii="Arial" w:eastAsiaTheme="minorEastAsia" w:hAnsi="Arial" w:cs="Arial"/>
              </w:rPr>
            </w:pPr>
            <w:r w:rsidRPr="00936FE8">
              <w:rPr>
                <w:rFonts w:ascii="Arial" w:eastAsiaTheme="minorEastAsia" w:hAnsi="Arial" w:cs="Arial"/>
              </w:rPr>
              <w:t xml:space="preserve">Low; structured repayment schedules with prepayment penalties. </w:t>
            </w:r>
          </w:p>
        </w:tc>
      </w:tr>
      <w:tr w:rsidR="00002E1A" w:rsidRPr="00936FE8" w14:paraId="2C676265" w14:textId="77777777" w:rsidTr="00002E1A">
        <w:tc>
          <w:tcPr>
            <w:tcW w:w="3005" w:type="dxa"/>
          </w:tcPr>
          <w:p w14:paraId="145000E4" w14:textId="2C143504" w:rsidR="00002E1A" w:rsidRPr="00936FE8" w:rsidRDefault="00002E1A" w:rsidP="0054327B">
            <w:pPr>
              <w:spacing w:line="360" w:lineRule="auto"/>
              <w:rPr>
                <w:rFonts w:ascii="Arial" w:eastAsiaTheme="minorEastAsia" w:hAnsi="Arial" w:cs="Arial"/>
                <w:b/>
                <w:bCs/>
              </w:rPr>
            </w:pPr>
            <w:r w:rsidRPr="00936FE8">
              <w:rPr>
                <w:rFonts w:ascii="Arial" w:eastAsiaTheme="minorEastAsia" w:hAnsi="Arial" w:cs="Arial"/>
                <w:b/>
                <w:bCs/>
              </w:rPr>
              <w:t>Optimal use</w:t>
            </w:r>
          </w:p>
        </w:tc>
        <w:tc>
          <w:tcPr>
            <w:tcW w:w="3005" w:type="dxa"/>
          </w:tcPr>
          <w:p w14:paraId="5C3EF827" w14:textId="3C8106A6" w:rsidR="00002E1A" w:rsidRPr="00936FE8" w:rsidRDefault="0054327B" w:rsidP="0054327B">
            <w:pPr>
              <w:spacing w:line="360" w:lineRule="auto"/>
              <w:rPr>
                <w:rFonts w:ascii="Arial" w:eastAsiaTheme="minorEastAsia" w:hAnsi="Arial" w:cs="Arial"/>
              </w:rPr>
            </w:pPr>
            <w:r w:rsidRPr="00936FE8">
              <w:rPr>
                <w:rFonts w:ascii="Arial" w:eastAsiaTheme="minorEastAsia" w:hAnsi="Arial" w:cs="Arial"/>
              </w:rPr>
              <w:t>Managing</w:t>
            </w:r>
            <w:r w:rsidR="00002E1A" w:rsidRPr="00936FE8">
              <w:rPr>
                <w:rFonts w:ascii="Arial" w:eastAsiaTheme="minorEastAsia" w:hAnsi="Arial" w:cs="Arial"/>
              </w:rPr>
              <w:t xml:space="preserve"> seasonal cash variations and temporary working capital needs. </w:t>
            </w:r>
          </w:p>
        </w:tc>
        <w:tc>
          <w:tcPr>
            <w:tcW w:w="3006" w:type="dxa"/>
          </w:tcPr>
          <w:p w14:paraId="76C2DB63" w14:textId="1BF0F08F" w:rsidR="00002E1A" w:rsidRPr="00936FE8" w:rsidRDefault="00002E1A" w:rsidP="0054327B">
            <w:pPr>
              <w:spacing w:line="360" w:lineRule="auto"/>
              <w:rPr>
                <w:rFonts w:ascii="Arial" w:eastAsiaTheme="minorEastAsia" w:hAnsi="Arial" w:cs="Arial"/>
              </w:rPr>
            </w:pPr>
            <w:r w:rsidRPr="00936FE8">
              <w:rPr>
                <w:rFonts w:ascii="Arial" w:eastAsiaTheme="minorEastAsia" w:hAnsi="Arial" w:cs="Arial"/>
              </w:rPr>
              <w:t xml:space="preserve">Purchasing property, scaling international expansion and funding hotel refits. </w:t>
            </w:r>
          </w:p>
        </w:tc>
      </w:tr>
      <w:tr w:rsidR="00002E1A" w:rsidRPr="00936FE8" w14:paraId="13C4A2C1" w14:textId="77777777" w:rsidTr="00002E1A">
        <w:tc>
          <w:tcPr>
            <w:tcW w:w="3005" w:type="dxa"/>
          </w:tcPr>
          <w:p w14:paraId="592E58BD" w14:textId="565F12BD" w:rsidR="00002E1A" w:rsidRPr="00936FE8" w:rsidRDefault="00002E1A" w:rsidP="0054327B">
            <w:pPr>
              <w:spacing w:line="360" w:lineRule="auto"/>
              <w:rPr>
                <w:rFonts w:ascii="Arial" w:eastAsiaTheme="minorEastAsia" w:hAnsi="Arial" w:cs="Arial"/>
                <w:b/>
                <w:bCs/>
              </w:rPr>
            </w:pPr>
            <w:r w:rsidRPr="00936FE8">
              <w:rPr>
                <w:rFonts w:ascii="Arial" w:eastAsiaTheme="minorEastAsia" w:hAnsi="Arial" w:cs="Arial"/>
                <w:b/>
                <w:bCs/>
              </w:rPr>
              <w:t>Refinancing risk</w:t>
            </w:r>
          </w:p>
        </w:tc>
        <w:tc>
          <w:tcPr>
            <w:tcW w:w="3005" w:type="dxa"/>
          </w:tcPr>
          <w:p w14:paraId="620F264C" w14:textId="23BB6BB5" w:rsidR="00002E1A" w:rsidRPr="00936FE8" w:rsidRDefault="00002E1A" w:rsidP="0054327B">
            <w:pPr>
              <w:spacing w:line="360" w:lineRule="auto"/>
              <w:rPr>
                <w:rFonts w:ascii="Arial" w:eastAsiaTheme="minorEastAsia" w:hAnsi="Arial" w:cs="Arial"/>
              </w:rPr>
            </w:pPr>
            <w:r w:rsidRPr="00936FE8">
              <w:rPr>
                <w:rFonts w:ascii="Arial" w:eastAsiaTheme="minorEastAsia" w:hAnsi="Arial" w:cs="Arial"/>
              </w:rPr>
              <w:t xml:space="preserve">High; as it needs frequent renegotiations under shifting credit market conditions. </w:t>
            </w:r>
          </w:p>
        </w:tc>
        <w:tc>
          <w:tcPr>
            <w:tcW w:w="3006" w:type="dxa"/>
          </w:tcPr>
          <w:p w14:paraId="7A3D1111" w14:textId="240C2CEA" w:rsidR="00002E1A" w:rsidRPr="00936FE8" w:rsidRDefault="00002E1A" w:rsidP="005E64A8">
            <w:pPr>
              <w:keepNext/>
              <w:spacing w:line="360" w:lineRule="auto"/>
              <w:rPr>
                <w:rFonts w:ascii="Arial" w:eastAsiaTheme="minorEastAsia" w:hAnsi="Arial" w:cs="Arial"/>
              </w:rPr>
            </w:pPr>
            <w:r w:rsidRPr="00936FE8">
              <w:rPr>
                <w:rFonts w:ascii="Arial" w:eastAsiaTheme="minorEastAsia" w:hAnsi="Arial" w:cs="Arial"/>
              </w:rPr>
              <w:t xml:space="preserve">Low; locks in interest rates and funding for long terms (like 5-7 years). </w:t>
            </w:r>
          </w:p>
        </w:tc>
      </w:tr>
    </w:tbl>
    <w:p w14:paraId="25D34B5B" w14:textId="726F5F7F" w:rsidR="00002E1A" w:rsidRPr="00936FE8" w:rsidRDefault="005E64A8" w:rsidP="00C82762">
      <w:pPr>
        <w:pStyle w:val="Caption"/>
      </w:pPr>
      <w:r w:rsidRPr="00936FE8">
        <w:t xml:space="preserve">Table </w:t>
      </w:r>
      <w:fldSimple w:instr=" SEQ Table \* ARABIC ">
        <w:r w:rsidR="00132649" w:rsidRPr="00936FE8">
          <w:rPr>
            <w:noProof/>
          </w:rPr>
          <w:t>8</w:t>
        </w:r>
      </w:fldSimple>
      <w:r w:rsidRPr="00936FE8">
        <w:t>: Comparison of Financing Options for Travelodge</w:t>
      </w:r>
    </w:p>
    <w:p w14:paraId="7C839498" w14:textId="290E785B" w:rsidR="005E64A8" w:rsidRPr="00936FE8" w:rsidRDefault="005E64A8" w:rsidP="005E64A8">
      <w:pPr>
        <w:rPr>
          <w:rFonts w:ascii="Arial" w:hAnsi="Arial" w:cs="Arial"/>
        </w:rPr>
      </w:pPr>
      <w:r w:rsidRPr="00936FE8">
        <w:rPr>
          <w:rFonts w:ascii="Arial" w:hAnsi="Arial" w:cs="Arial"/>
        </w:rPr>
        <w:t>(Self-employed)</w:t>
      </w:r>
    </w:p>
    <w:p w14:paraId="2B7C51C9" w14:textId="5CAE4D2B" w:rsidR="00002E1A" w:rsidRPr="00936FE8" w:rsidRDefault="00002E1A" w:rsidP="0054327B">
      <w:pPr>
        <w:spacing w:line="360" w:lineRule="auto"/>
        <w:rPr>
          <w:rFonts w:ascii="Arial" w:eastAsiaTheme="minorEastAsia" w:hAnsi="Arial" w:cs="Arial"/>
          <w:b/>
          <w:bCs/>
          <w:i/>
          <w:iCs/>
        </w:rPr>
      </w:pPr>
      <w:r w:rsidRPr="00936FE8">
        <w:rPr>
          <w:rFonts w:ascii="Arial" w:eastAsiaTheme="minorEastAsia" w:hAnsi="Arial" w:cs="Arial"/>
          <w:b/>
          <w:bCs/>
          <w:i/>
          <w:iCs/>
        </w:rPr>
        <w:t>Financial recommendation</w:t>
      </w:r>
    </w:p>
    <w:p w14:paraId="05987978" w14:textId="509F294E" w:rsidR="00002E1A" w:rsidRPr="00936FE8" w:rsidRDefault="00F02E84" w:rsidP="0054327B">
      <w:pPr>
        <w:spacing w:line="360" w:lineRule="auto"/>
        <w:rPr>
          <w:rFonts w:ascii="Arial" w:eastAsiaTheme="minorEastAsia" w:hAnsi="Arial" w:cs="Arial"/>
        </w:rPr>
      </w:pPr>
      <w:r w:rsidRPr="00936FE8">
        <w:rPr>
          <w:rFonts w:ascii="Arial" w:eastAsiaTheme="minorEastAsia" w:hAnsi="Arial" w:cs="Arial"/>
        </w:rPr>
        <w:t>Travelodge</w:t>
      </w:r>
      <w:r w:rsidR="00002E1A" w:rsidRPr="00936FE8">
        <w:rPr>
          <w:rFonts w:ascii="Arial" w:eastAsiaTheme="minorEastAsia" w:hAnsi="Arial" w:cs="Arial"/>
        </w:rPr>
        <w:t xml:space="preserve"> needs to use the </w:t>
      </w:r>
      <w:r w:rsidR="00002E1A" w:rsidRPr="00936FE8">
        <w:rPr>
          <w:rFonts w:ascii="Arial" w:eastAsiaTheme="minorEastAsia" w:hAnsi="Arial" w:cs="Arial"/>
          <w:b/>
          <w:bCs/>
          <w:i/>
          <w:iCs/>
        </w:rPr>
        <w:t>hedging approach to financing</w:t>
      </w:r>
      <w:r w:rsidR="00002E1A" w:rsidRPr="00936FE8">
        <w:rPr>
          <w:rFonts w:ascii="Arial" w:eastAsiaTheme="minorEastAsia" w:hAnsi="Arial" w:cs="Arial"/>
        </w:rPr>
        <w:t xml:space="preserve">. Permanent fixed assets (like freehold hotel acquisitions and extensive room refits) need to be funded with </w:t>
      </w:r>
      <w:r w:rsidR="0054327B" w:rsidRPr="00936FE8">
        <w:rPr>
          <w:rFonts w:ascii="Arial" w:eastAsiaTheme="minorEastAsia" w:hAnsi="Arial" w:cs="Arial"/>
        </w:rPr>
        <w:t>long-term</w:t>
      </w:r>
      <w:r w:rsidR="00002E1A" w:rsidRPr="00936FE8">
        <w:rPr>
          <w:rFonts w:ascii="Arial" w:eastAsiaTheme="minorEastAsia" w:hAnsi="Arial" w:cs="Arial"/>
        </w:rPr>
        <w:t xml:space="preserve"> capital such as the senior secured notes refinanced using TVL Finance PLC (2023). </w:t>
      </w:r>
      <w:r w:rsidR="0054327B" w:rsidRPr="00936FE8">
        <w:rPr>
          <w:rFonts w:ascii="Arial" w:eastAsiaTheme="minorEastAsia" w:hAnsi="Arial" w:cs="Arial"/>
        </w:rPr>
        <w:t>Short-term</w:t>
      </w:r>
      <w:r w:rsidRPr="00936FE8">
        <w:rPr>
          <w:rFonts w:ascii="Arial" w:eastAsiaTheme="minorEastAsia" w:hAnsi="Arial" w:cs="Arial"/>
        </w:rPr>
        <w:t xml:space="preserve"> fluctuations in the seasonal working capital need to be covered using its £50 million revolving credit facility (RCF). </w:t>
      </w:r>
    </w:p>
    <w:p w14:paraId="6B7B8F80" w14:textId="21556411" w:rsidR="00F02E84" w:rsidRPr="00936FE8" w:rsidRDefault="00D7737F" w:rsidP="00D7737F">
      <w:pPr>
        <w:pStyle w:val="Heading1"/>
        <w:rPr>
          <w:rFonts w:ascii="Arial" w:eastAsiaTheme="minorEastAsia" w:hAnsi="Arial" w:cs="Arial"/>
        </w:rPr>
      </w:pPr>
      <w:bookmarkStart w:id="12" w:name="_Toc235785100"/>
      <w:r w:rsidRPr="00936FE8">
        <w:rPr>
          <w:rFonts w:ascii="Arial" w:eastAsiaTheme="minorEastAsia" w:hAnsi="Arial" w:cs="Arial"/>
        </w:rPr>
        <w:t xml:space="preserve">3. </w:t>
      </w:r>
      <w:r w:rsidR="00F02E84" w:rsidRPr="00936FE8">
        <w:rPr>
          <w:rFonts w:ascii="Arial" w:eastAsiaTheme="minorEastAsia" w:hAnsi="Arial" w:cs="Arial"/>
        </w:rPr>
        <w:t>Strategic Financial Restructuring Plan</w:t>
      </w:r>
      <w:bookmarkEnd w:id="12"/>
      <w:r w:rsidR="00F02E84" w:rsidRPr="00936FE8">
        <w:rPr>
          <w:rFonts w:ascii="Arial" w:eastAsiaTheme="minorEastAsia" w:hAnsi="Arial" w:cs="Arial"/>
        </w:rPr>
        <w:t xml:space="preserve"> </w:t>
      </w:r>
    </w:p>
    <w:p w14:paraId="05614A10" w14:textId="520C8F73" w:rsidR="00F02E84" w:rsidRPr="00936FE8" w:rsidRDefault="007C5587" w:rsidP="0054327B">
      <w:pPr>
        <w:spacing w:line="360" w:lineRule="auto"/>
        <w:rPr>
          <w:rFonts w:ascii="Arial" w:eastAsiaTheme="minorEastAsia" w:hAnsi="Arial" w:cs="Arial"/>
        </w:rPr>
      </w:pPr>
      <w:r w:rsidRPr="00936FE8">
        <w:rPr>
          <w:rFonts w:ascii="Arial" w:eastAsiaTheme="minorEastAsia" w:hAnsi="Arial" w:cs="Arial"/>
        </w:rPr>
        <w:t xml:space="preserve">To resolve the structural vulnerability presented in </w:t>
      </w:r>
      <w:r w:rsidR="0054327B" w:rsidRPr="00936FE8">
        <w:rPr>
          <w:rFonts w:ascii="Arial" w:eastAsiaTheme="minorEastAsia" w:hAnsi="Arial" w:cs="Arial"/>
        </w:rPr>
        <w:t xml:space="preserve">the </w:t>
      </w:r>
      <w:r w:rsidRPr="00936FE8">
        <w:rPr>
          <w:rFonts w:ascii="Arial" w:eastAsiaTheme="minorEastAsia" w:hAnsi="Arial" w:cs="Arial"/>
        </w:rPr>
        <w:t xml:space="preserve">FY25/26 forecast (particularly the high balance sheet leverage using IFRS 16 and a compressed interest coverage ratio of 1.9x), the corporate entity needs a definite financial </w:t>
      </w:r>
      <w:r w:rsidR="0054327B" w:rsidRPr="00936FE8">
        <w:rPr>
          <w:rFonts w:ascii="Arial" w:eastAsiaTheme="minorEastAsia" w:hAnsi="Arial" w:cs="Arial"/>
        </w:rPr>
        <w:t>restructuring</w:t>
      </w:r>
      <w:r w:rsidRPr="00936FE8">
        <w:rPr>
          <w:rFonts w:ascii="Arial" w:eastAsiaTheme="minorEastAsia" w:hAnsi="Arial" w:cs="Arial"/>
        </w:rPr>
        <w:t xml:space="preserve"> plan. The major objective is to rebalance the capital structure, shifting away from the volatile leasehold exposures and building a resilient liquidity foundation capable of funding growth across both the UK and the international markets. </w:t>
      </w:r>
    </w:p>
    <w:p w14:paraId="1083B079" w14:textId="78D14EA1" w:rsidR="007C5587" w:rsidRPr="00936FE8" w:rsidRDefault="00D7737F" w:rsidP="00D7737F">
      <w:pPr>
        <w:pStyle w:val="Heading2"/>
        <w:rPr>
          <w:rFonts w:ascii="Arial" w:eastAsiaTheme="minorEastAsia" w:hAnsi="Arial" w:cs="Arial"/>
        </w:rPr>
      </w:pPr>
      <w:bookmarkStart w:id="13" w:name="_Toc235785101"/>
      <w:r w:rsidRPr="00936FE8">
        <w:rPr>
          <w:rFonts w:ascii="Arial" w:eastAsiaTheme="minorEastAsia" w:hAnsi="Arial" w:cs="Arial"/>
        </w:rPr>
        <w:lastRenderedPageBreak/>
        <w:t>3.1 Strategic Financial Restructuring Options</w:t>
      </w:r>
      <w:bookmarkEnd w:id="13"/>
    </w:p>
    <w:p w14:paraId="78F69637" w14:textId="77777777" w:rsidR="0047746F" w:rsidRPr="00936FE8" w:rsidRDefault="00C4346B" w:rsidP="0047746F">
      <w:pPr>
        <w:keepNext/>
        <w:rPr>
          <w:rFonts w:ascii="Arial" w:hAnsi="Arial" w:cs="Arial"/>
        </w:rPr>
      </w:pPr>
      <w:r w:rsidRPr="00936FE8">
        <w:rPr>
          <w:rFonts w:ascii="Arial" w:hAnsi="Arial" w:cs="Arial"/>
          <w:noProof/>
          <w:lang w:val="en-US"/>
        </w:rPr>
        <w:drawing>
          <wp:inline distT="0" distB="0" distL="0" distR="0" wp14:anchorId="6572D147" wp14:editId="3613EF00">
            <wp:extent cx="5486400" cy="3200400"/>
            <wp:effectExtent l="38100" t="0" r="38100" b="0"/>
            <wp:docPr id="16005077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1E36AFFD" w14:textId="2AE31E58" w:rsidR="00C4346B" w:rsidRPr="00936FE8" w:rsidRDefault="0047746F" w:rsidP="0047746F">
      <w:pPr>
        <w:pStyle w:val="Caption"/>
      </w:pPr>
      <w:r w:rsidRPr="00936FE8">
        <w:t xml:space="preserve">Figure </w:t>
      </w:r>
      <w:fldSimple w:instr=" SEQ Figure \* ARABIC ">
        <w:r w:rsidRPr="00936FE8">
          <w:rPr>
            <w:noProof/>
          </w:rPr>
          <w:t>5</w:t>
        </w:r>
      </w:fldSimple>
      <w:r w:rsidRPr="00936FE8">
        <w:t>: Strategic Financial Restructuring Options</w:t>
      </w:r>
    </w:p>
    <w:p w14:paraId="50B7462F" w14:textId="45F6503E" w:rsidR="0047746F" w:rsidRPr="00936FE8" w:rsidRDefault="0047746F" w:rsidP="0047746F">
      <w:pPr>
        <w:rPr>
          <w:rFonts w:ascii="Arial" w:hAnsi="Arial" w:cs="Arial"/>
          <w:lang w:val="en-US"/>
        </w:rPr>
      </w:pPr>
      <w:r w:rsidRPr="00936FE8">
        <w:rPr>
          <w:rFonts w:ascii="Arial" w:hAnsi="Arial" w:cs="Arial"/>
          <w:lang w:val="en-US"/>
        </w:rPr>
        <w:t>(Source: Author, 2026)</w:t>
      </w:r>
    </w:p>
    <w:p w14:paraId="406C1635" w14:textId="665B1E95" w:rsidR="00746AB7" w:rsidRPr="00936FE8" w:rsidRDefault="00D7737F" w:rsidP="00D7737F">
      <w:pPr>
        <w:pStyle w:val="Heading2"/>
        <w:rPr>
          <w:rFonts w:ascii="Arial" w:eastAsiaTheme="minorEastAsia" w:hAnsi="Arial" w:cs="Arial"/>
        </w:rPr>
      </w:pPr>
      <w:bookmarkStart w:id="14" w:name="_Toc235785102"/>
      <w:r w:rsidRPr="00936FE8">
        <w:rPr>
          <w:rFonts w:ascii="Arial" w:eastAsiaTheme="minorEastAsia" w:hAnsi="Arial" w:cs="Arial"/>
        </w:rPr>
        <w:t xml:space="preserve">3.2 </w:t>
      </w:r>
      <w:r w:rsidR="0054327B" w:rsidRPr="00936FE8">
        <w:rPr>
          <w:rFonts w:ascii="Arial" w:eastAsiaTheme="minorEastAsia" w:hAnsi="Arial" w:cs="Arial"/>
        </w:rPr>
        <w:t>Evaluating</w:t>
      </w:r>
      <w:r w:rsidR="00746AB7" w:rsidRPr="00936FE8">
        <w:rPr>
          <w:rFonts w:ascii="Arial" w:eastAsiaTheme="minorEastAsia" w:hAnsi="Arial" w:cs="Arial"/>
        </w:rPr>
        <w:t xml:space="preserve"> </w:t>
      </w:r>
      <w:r w:rsidRPr="00936FE8">
        <w:rPr>
          <w:rFonts w:ascii="Arial" w:eastAsiaTheme="minorEastAsia" w:hAnsi="Arial" w:cs="Arial"/>
        </w:rPr>
        <w:t>Strategic Impacts</w:t>
      </w:r>
      <w:bookmarkEnd w:id="14"/>
    </w:p>
    <w:p w14:paraId="7C4F11FE" w14:textId="5B3B1103" w:rsidR="00746AB7" w:rsidRPr="00936FE8" w:rsidRDefault="000E6552" w:rsidP="0054327B">
      <w:pPr>
        <w:spacing w:line="360" w:lineRule="auto"/>
        <w:rPr>
          <w:rFonts w:ascii="Arial" w:eastAsiaTheme="minorEastAsia" w:hAnsi="Arial" w:cs="Arial"/>
        </w:rPr>
      </w:pPr>
      <w:r w:rsidRPr="00936FE8">
        <w:rPr>
          <w:rFonts w:ascii="Arial" w:eastAsiaTheme="minorEastAsia" w:hAnsi="Arial" w:cs="Arial"/>
        </w:rPr>
        <w:t xml:space="preserve">Debt structure and solvency metrics: The proposed restructuring directly addresses the capital structure by decreasing both financial debt and capitalised lease liabilities. Deleveraging the balance sheet directly improves the adjusted leverage ratio of the group. Decreasing the absolute debt level </w:t>
      </w:r>
      <w:r w:rsidR="0054327B" w:rsidRPr="00936FE8">
        <w:rPr>
          <w:rFonts w:ascii="Arial" w:eastAsiaTheme="minorEastAsia" w:hAnsi="Arial" w:cs="Arial"/>
        </w:rPr>
        <w:t>lowers</w:t>
      </w:r>
      <w:r w:rsidRPr="00936FE8">
        <w:rPr>
          <w:rFonts w:ascii="Arial" w:eastAsiaTheme="minorEastAsia" w:hAnsi="Arial" w:cs="Arial"/>
        </w:rPr>
        <w:t xml:space="preserve"> the interest burden, increasing the interest coverage ratio while above the critical 1.9x forecast floor. This </w:t>
      </w:r>
      <w:r w:rsidR="0054327B" w:rsidRPr="00936FE8">
        <w:rPr>
          <w:rFonts w:ascii="Arial" w:eastAsiaTheme="minorEastAsia" w:hAnsi="Arial" w:cs="Arial"/>
        </w:rPr>
        <w:t>optimisation</w:t>
      </w:r>
      <w:r w:rsidRPr="00936FE8">
        <w:rPr>
          <w:rFonts w:ascii="Arial" w:eastAsiaTheme="minorEastAsia" w:hAnsi="Arial" w:cs="Arial"/>
        </w:rPr>
        <w:t xml:space="preserve"> improves the </w:t>
      </w:r>
      <w:r w:rsidR="0054327B" w:rsidRPr="00936FE8">
        <w:rPr>
          <w:rFonts w:ascii="Arial" w:eastAsiaTheme="minorEastAsia" w:hAnsi="Arial" w:cs="Arial"/>
        </w:rPr>
        <w:t>creditworthiness</w:t>
      </w:r>
      <w:r w:rsidRPr="00936FE8">
        <w:rPr>
          <w:rFonts w:ascii="Arial" w:eastAsiaTheme="minorEastAsia" w:hAnsi="Arial" w:cs="Arial"/>
        </w:rPr>
        <w:t xml:space="preserve"> and positions the company to refinance its remaining debt maturities at much lower interest rates. </w:t>
      </w:r>
    </w:p>
    <w:p w14:paraId="53783131" w14:textId="4B1D20AF" w:rsidR="000E6552" w:rsidRPr="00936FE8" w:rsidRDefault="000E6552" w:rsidP="0054327B">
      <w:pPr>
        <w:spacing w:line="360" w:lineRule="auto"/>
        <w:rPr>
          <w:rFonts w:ascii="Arial" w:eastAsiaTheme="minorEastAsia" w:hAnsi="Arial" w:cs="Arial"/>
        </w:rPr>
      </w:pPr>
      <w:r w:rsidRPr="00936FE8">
        <w:rPr>
          <w:rFonts w:ascii="Arial" w:eastAsiaTheme="minorEastAsia" w:hAnsi="Arial" w:cs="Arial"/>
        </w:rPr>
        <w:t xml:space="preserve">Shareholder value: An equity injection initially dilutes the existing shareholdings. Meanwhile, this dilution is offset by a lower corporate risk premium and the stronger balance sheet. By improving the interest coverage ratio, the </w:t>
      </w:r>
      <w:r w:rsidR="0054327B" w:rsidRPr="00936FE8">
        <w:rPr>
          <w:rFonts w:ascii="Arial" w:eastAsiaTheme="minorEastAsia" w:hAnsi="Arial" w:cs="Arial"/>
        </w:rPr>
        <w:t>organisation</w:t>
      </w:r>
      <w:r w:rsidRPr="00936FE8">
        <w:rPr>
          <w:rFonts w:ascii="Arial" w:eastAsiaTheme="minorEastAsia" w:hAnsi="Arial" w:cs="Arial"/>
        </w:rPr>
        <w:t xml:space="preserve"> decreases its default risk. This transition can expand the trading multiples and improve the </w:t>
      </w:r>
      <w:r w:rsidR="0054327B" w:rsidRPr="00936FE8">
        <w:rPr>
          <w:rFonts w:ascii="Arial" w:eastAsiaTheme="minorEastAsia" w:hAnsi="Arial" w:cs="Arial"/>
        </w:rPr>
        <w:t>long-term</w:t>
      </w:r>
      <w:r w:rsidRPr="00936FE8">
        <w:rPr>
          <w:rFonts w:ascii="Arial" w:eastAsiaTheme="minorEastAsia" w:hAnsi="Arial" w:cs="Arial"/>
        </w:rPr>
        <w:t xml:space="preserve"> shareholder value. Moreover, recycling capital from the mature UK assets into the </w:t>
      </w:r>
      <w:r w:rsidR="0054327B" w:rsidRPr="00936FE8">
        <w:rPr>
          <w:rFonts w:ascii="Arial" w:eastAsiaTheme="minorEastAsia" w:hAnsi="Arial" w:cs="Arial"/>
        </w:rPr>
        <w:t>high-growth</w:t>
      </w:r>
      <w:r w:rsidRPr="00936FE8">
        <w:rPr>
          <w:rFonts w:ascii="Arial" w:eastAsiaTheme="minorEastAsia" w:hAnsi="Arial" w:cs="Arial"/>
        </w:rPr>
        <w:t xml:space="preserve"> international expansion drives the superior return on invested capital (ROIC). </w:t>
      </w:r>
    </w:p>
    <w:p w14:paraId="6DC44B25" w14:textId="2F566894" w:rsidR="000E6552" w:rsidRPr="00936FE8" w:rsidRDefault="000E6552" w:rsidP="0054327B">
      <w:pPr>
        <w:spacing w:line="360" w:lineRule="auto"/>
        <w:rPr>
          <w:rFonts w:ascii="Arial" w:eastAsiaTheme="minorEastAsia" w:hAnsi="Arial" w:cs="Arial"/>
        </w:rPr>
      </w:pPr>
      <w:r w:rsidRPr="00936FE8">
        <w:rPr>
          <w:rFonts w:ascii="Arial" w:eastAsiaTheme="minorEastAsia" w:hAnsi="Arial" w:cs="Arial"/>
        </w:rPr>
        <w:t xml:space="preserve">Operating flexibility: Decreasing fixed lease payments improves the operational flexibility of the company. Decreasing the fixed </w:t>
      </w:r>
      <w:r w:rsidR="0054327B" w:rsidRPr="00936FE8">
        <w:rPr>
          <w:rFonts w:ascii="Arial" w:eastAsiaTheme="minorEastAsia" w:hAnsi="Arial" w:cs="Arial"/>
        </w:rPr>
        <w:t>break-even</w:t>
      </w:r>
      <w:r w:rsidRPr="00936FE8">
        <w:rPr>
          <w:rFonts w:ascii="Arial" w:eastAsiaTheme="minorEastAsia" w:hAnsi="Arial" w:cs="Arial"/>
        </w:rPr>
        <w:t xml:space="preserve"> occupancy requirements </w:t>
      </w:r>
      <w:r w:rsidRPr="00936FE8">
        <w:rPr>
          <w:rFonts w:ascii="Arial" w:eastAsiaTheme="minorEastAsia" w:hAnsi="Arial" w:cs="Arial"/>
        </w:rPr>
        <w:lastRenderedPageBreak/>
        <w:t xml:space="preserve">allows the group to stay resilient during cyclical downturns in consumer leisure spending. Moreover, moving towards asset-light joint ventures </w:t>
      </w:r>
      <w:r w:rsidR="0054327B" w:rsidRPr="00936FE8">
        <w:rPr>
          <w:rFonts w:ascii="Arial" w:eastAsiaTheme="minorEastAsia" w:hAnsi="Arial" w:cs="Arial"/>
        </w:rPr>
        <w:t>frees</w:t>
      </w:r>
      <w:r w:rsidRPr="00936FE8">
        <w:rPr>
          <w:rFonts w:ascii="Arial" w:eastAsiaTheme="minorEastAsia" w:hAnsi="Arial" w:cs="Arial"/>
        </w:rPr>
        <w:t xml:space="preserve"> up cash flows. This capital can be redirected into customer-facing initiatives, like upgrading digital direct booking </w:t>
      </w:r>
      <w:r w:rsidR="0054327B" w:rsidRPr="00936FE8">
        <w:rPr>
          <w:rFonts w:ascii="Arial" w:eastAsiaTheme="minorEastAsia" w:hAnsi="Arial" w:cs="Arial"/>
        </w:rPr>
        <w:t>infrastructure</w:t>
      </w:r>
      <w:r w:rsidRPr="00936FE8">
        <w:rPr>
          <w:rFonts w:ascii="Arial" w:eastAsiaTheme="minorEastAsia" w:hAnsi="Arial" w:cs="Arial"/>
        </w:rPr>
        <w:t xml:space="preserve"> and accelerating the comprehensive hotel refit program. </w:t>
      </w:r>
    </w:p>
    <w:p w14:paraId="435B4C9B" w14:textId="3417D844" w:rsidR="000E6552" w:rsidRPr="00936FE8" w:rsidRDefault="00D7737F" w:rsidP="00D7737F">
      <w:pPr>
        <w:pStyle w:val="Heading2"/>
        <w:rPr>
          <w:rFonts w:ascii="Arial" w:eastAsiaTheme="minorEastAsia" w:hAnsi="Arial" w:cs="Arial"/>
        </w:rPr>
      </w:pPr>
      <w:bookmarkStart w:id="15" w:name="_Toc235785103"/>
      <w:r w:rsidRPr="00936FE8">
        <w:rPr>
          <w:rFonts w:ascii="Arial" w:eastAsiaTheme="minorEastAsia" w:hAnsi="Arial" w:cs="Arial"/>
        </w:rPr>
        <w:t xml:space="preserve">3.3 International </w:t>
      </w:r>
      <w:r w:rsidR="0047746F" w:rsidRPr="00936FE8">
        <w:rPr>
          <w:rFonts w:ascii="Arial" w:eastAsiaTheme="minorEastAsia" w:hAnsi="Arial" w:cs="Arial"/>
        </w:rPr>
        <w:t>and</w:t>
      </w:r>
      <w:r w:rsidRPr="00936FE8">
        <w:rPr>
          <w:rFonts w:ascii="Arial" w:eastAsiaTheme="minorEastAsia" w:hAnsi="Arial" w:cs="Arial"/>
        </w:rPr>
        <w:t xml:space="preserve"> Ethical Considerations</w:t>
      </w:r>
      <w:bookmarkEnd w:id="15"/>
    </w:p>
    <w:p w14:paraId="115A4CD6" w14:textId="77777777" w:rsidR="0047746F" w:rsidRPr="00936FE8" w:rsidRDefault="0047746F" w:rsidP="0047746F">
      <w:pPr>
        <w:keepNext/>
        <w:rPr>
          <w:rFonts w:ascii="Arial" w:hAnsi="Arial" w:cs="Arial"/>
        </w:rPr>
      </w:pPr>
      <w:r w:rsidRPr="00936FE8">
        <w:rPr>
          <w:rFonts w:ascii="Arial" w:hAnsi="Arial" w:cs="Arial"/>
          <w:noProof/>
          <w:lang w:val="en-US"/>
        </w:rPr>
        <w:drawing>
          <wp:inline distT="0" distB="0" distL="0" distR="0" wp14:anchorId="19024516" wp14:editId="7D059CE7">
            <wp:extent cx="5486400" cy="3200400"/>
            <wp:effectExtent l="57150" t="38100" r="76200" b="0"/>
            <wp:docPr id="94267483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14:paraId="075ADE1A" w14:textId="55E2FEEB" w:rsidR="0047746F" w:rsidRPr="00936FE8" w:rsidRDefault="0047746F" w:rsidP="0047746F">
      <w:pPr>
        <w:pStyle w:val="Caption"/>
      </w:pPr>
      <w:r w:rsidRPr="00936FE8">
        <w:t xml:space="preserve">Figure </w:t>
      </w:r>
      <w:fldSimple w:instr=" SEQ Figure \* ARABIC ">
        <w:r w:rsidRPr="00936FE8">
          <w:rPr>
            <w:noProof/>
          </w:rPr>
          <w:t>6</w:t>
        </w:r>
      </w:fldSimple>
      <w:r w:rsidRPr="00936FE8">
        <w:t>: International and Ethical considerations</w:t>
      </w:r>
    </w:p>
    <w:p w14:paraId="3CB6754F" w14:textId="433CA12A" w:rsidR="0047746F" w:rsidRPr="00936FE8" w:rsidRDefault="0047746F" w:rsidP="0047746F">
      <w:pPr>
        <w:rPr>
          <w:rFonts w:ascii="Arial" w:hAnsi="Arial" w:cs="Arial"/>
          <w:lang w:val="en-US"/>
        </w:rPr>
      </w:pPr>
      <w:r w:rsidRPr="00936FE8">
        <w:rPr>
          <w:rFonts w:ascii="Arial" w:hAnsi="Arial" w:cs="Arial"/>
          <w:lang w:val="en-US"/>
        </w:rPr>
        <w:t>(Source: Author, 2026)</w:t>
      </w:r>
    </w:p>
    <w:p w14:paraId="6E2C475E" w14:textId="6F8902DF" w:rsidR="00012422" w:rsidRPr="00936FE8" w:rsidRDefault="00D7737F" w:rsidP="00D7737F">
      <w:pPr>
        <w:pStyle w:val="Heading1"/>
        <w:rPr>
          <w:rFonts w:ascii="Arial" w:eastAsiaTheme="minorEastAsia" w:hAnsi="Arial" w:cs="Arial"/>
        </w:rPr>
      </w:pPr>
      <w:bookmarkStart w:id="16" w:name="_Toc235785104"/>
      <w:r w:rsidRPr="00936FE8">
        <w:rPr>
          <w:rFonts w:ascii="Arial" w:eastAsiaTheme="minorEastAsia" w:hAnsi="Arial" w:cs="Arial"/>
        </w:rPr>
        <w:t xml:space="preserve">4. </w:t>
      </w:r>
      <w:r w:rsidR="00012422" w:rsidRPr="00936FE8">
        <w:rPr>
          <w:rFonts w:ascii="Arial" w:eastAsiaTheme="minorEastAsia" w:hAnsi="Arial" w:cs="Arial"/>
        </w:rPr>
        <w:t>Investment Appraisal and Capital Budgeting</w:t>
      </w:r>
      <w:bookmarkEnd w:id="16"/>
      <w:r w:rsidR="00012422" w:rsidRPr="00936FE8">
        <w:rPr>
          <w:rFonts w:ascii="Arial" w:eastAsiaTheme="minorEastAsia" w:hAnsi="Arial" w:cs="Arial"/>
        </w:rPr>
        <w:t xml:space="preserve"> </w:t>
      </w:r>
    </w:p>
    <w:p w14:paraId="2167EAF7" w14:textId="51493188" w:rsidR="00132649" w:rsidRPr="00936FE8" w:rsidRDefault="00132649" w:rsidP="00936FE8">
      <w:pPr>
        <w:rPr>
          <w:rFonts w:ascii="Arial" w:eastAsiaTheme="minorEastAsia" w:hAnsi="Arial" w:cs="Arial"/>
        </w:rPr>
      </w:pPr>
      <w:r w:rsidRPr="00936FE8">
        <w:rPr>
          <w:rFonts w:ascii="Arial" w:eastAsiaTheme="minorEastAsia" w:hAnsi="Arial" w:cs="Arial"/>
        </w:rPr>
        <w:t xml:space="preserve">This section offers the full mathematical evaluation of the three £50 million capital allocation projects over the 5-year useful life at an 8.00% hurdle rate/ cost of capital. Standard straight-line depreciation of £10.0m per year applies to all the projects. </w:t>
      </w:r>
    </w:p>
    <w:tbl>
      <w:tblPr>
        <w:tblStyle w:val="TableGrid"/>
        <w:tblW w:w="0" w:type="auto"/>
        <w:tblLook w:val="04A0" w:firstRow="1" w:lastRow="0" w:firstColumn="1" w:lastColumn="0" w:noHBand="0" w:noVBand="1"/>
      </w:tblPr>
      <w:tblGrid>
        <w:gridCol w:w="1148"/>
        <w:gridCol w:w="1893"/>
        <w:gridCol w:w="1932"/>
        <w:gridCol w:w="1885"/>
        <w:gridCol w:w="2158"/>
      </w:tblGrid>
      <w:tr w:rsidR="00132649" w:rsidRPr="00936FE8" w14:paraId="3A4BD63C" w14:textId="77777777" w:rsidTr="00132649">
        <w:tc>
          <w:tcPr>
            <w:tcW w:w="0" w:type="auto"/>
            <w:hideMark/>
          </w:tcPr>
          <w:p w14:paraId="0F7A0C22" w14:textId="77777777" w:rsidR="00132649" w:rsidRPr="00936FE8" w:rsidRDefault="00132649" w:rsidP="00132649">
            <w:pPr>
              <w:spacing w:after="160" w:line="278" w:lineRule="auto"/>
              <w:rPr>
                <w:rFonts w:ascii="Arial" w:hAnsi="Arial" w:cs="Arial"/>
              </w:rPr>
            </w:pPr>
            <w:r w:rsidRPr="00936FE8">
              <w:rPr>
                <w:rFonts w:ascii="Arial" w:hAnsi="Arial" w:cs="Arial"/>
                <w:b/>
                <w:bCs/>
              </w:rPr>
              <w:t>Year</w:t>
            </w:r>
          </w:p>
        </w:tc>
        <w:tc>
          <w:tcPr>
            <w:tcW w:w="0" w:type="auto"/>
            <w:hideMark/>
          </w:tcPr>
          <w:p w14:paraId="5830334A" w14:textId="77777777" w:rsidR="00132649" w:rsidRPr="00936FE8" w:rsidRDefault="00132649" w:rsidP="00132649">
            <w:pPr>
              <w:spacing w:after="160" w:line="278" w:lineRule="auto"/>
              <w:rPr>
                <w:rFonts w:ascii="Arial" w:hAnsi="Arial" w:cs="Arial"/>
              </w:rPr>
            </w:pPr>
            <w:r w:rsidRPr="00936FE8">
              <w:rPr>
                <w:rFonts w:ascii="Arial" w:hAnsi="Arial" w:cs="Arial"/>
                <w:b/>
                <w:bCs/>
              </w:rPr>
              <w:t>Project A (Front-Loaded)</w:t>
            </w:r>
          </w:p>
        </w:tc>
        <w:tc>
          <w:tcPr>
            <w:tcW w:w="0" w:type="auto"/>
            <w:hideMark/>
          </w:tcPr>
          <w:p w14:paraId="4C2C8DE6" w14:textId="77777777" w:rsidR="00132649" w:rsidRPr="00936FE8" w:rsidRDefault="00132649" w:rsidP="00132649">
            <w:pPr>
              <w:spacing w:after="160" w:line="278" w:lineRule="auto"/>
              <w:rPr>
                <w:rFonts w:ascii="Arial" w:hAnsi="Arial" w:cs="Arial"/>
              </w:rPr>
            </w:pPr>
            <w:r w:rsidRPr="00936FE8">
              <w:rPr>
                <w:rFonts w:ascii="Arial" w:hAnsi="Arial" w:cs="Arial"/>
                <w:b/>
                <w:bCs/>
              </w:rPr>
              <w:t>Project B (Straight-Line)</w:t>
            </w:r>
          </w:p>
        </w:tc>
        <w:tc>
          <w:tcPr>
            <w:tcW w:w="0" w:type="auto"/>
            <w:hideMark/>
          </w:tcPr>
          <w:p w14:paraId="644C9F99" w14:textId="77777777" w:rsidR="00132649" w:rsidRPr="00936FE8" w:rsidRDefault="00132649" w:rsidP="00132649">
            <w:pPr>
              <w:spacing w:after="160" w:line="278" w:lineRule="auto"/>
              <w:rPr>
                <w:rFonts w:ascii="Arial" w:hAnsi="Arial" w:cs="Arial"/>
              </w:rPr>
            </w:pPr>
            <w:r w:rsidRPr="00936FE8">
              <w:rPr>
                <w:rFonts w:ascii="Arial" w:hAnsi="Arial" w:cs="Arial"/>
                <w:b/>
                <w:bCs/>
              </w:rPr>
              <w:t>Project C (Back-Loaded)</w:t>
            </w:r>
          </w:p>
        </w:tc>
        <w:tc>
          <w:tcPr>
            <w:tcW w:w="0" w:type="auto"/>
            <w:hideMark/>
          </w:tcPr>
          <w:p w14:paraId="6A9391C3" w14:textId="3CF0F5FC" w:rsidR="00132649" w:rsidRPr="00936FE8" w:rsidRDefault="00132649" w:rsidP="00132649">
            <w:pPr>
              <w:spacing w:after="160" w:line="278" w:lineRule="auto"/>
              <w:rPr>
                <w:rFonts w:ascii="Arial" w:hAnsi="Arial" w:cs="Arial"/>
              </w:rPr>
            </w:pPr>
            <w:r w:rsidRPr="00936FE8">
              <w:rPr>
                <w:rFonts w:ascii="Arial" w:hAnsi="Arial" w:cs="Arial"/>
                <w:b/>
                <w:bCs/>
              </w:rPr>
              <w:t>8% Discount Factor (</w:t>
            </w:r>
            <w:r w:rsidR="00C4346B" w:rsidRPr="00936FE8">
              <w:rPr>
                <w:rFonts w:ascii="Arial" w:hAnsi="Arial" w:cs="Arial"/>
                <w:b/>
                <w:bCs/>
              </w:rPr>
              <w:t>PVIF8 %</w:t>
            </w:r>
            <w:r w:rsidRPr="00936FE8">
              <w:rPr>
                <w:rFonts w:ascii="Arial" w:hAnsi="Arial" w:cs="Arial"/>
                <w:b/>
                <w:bCs/>
              </w:rPr>
              <w:t>​)</w:t>
            </w:r>
          </w:p>
        </w:tc>
      </w:tr>
      <w:tr w:rsidR="00132649" w:rsidRPr="00936FE8" w14:paraId="5DC20EBA" w14:textId="77777777" w:rsidTr="00132649">
        <w:tc>
          <w:tcPr>
            <w:tcW w:w="0" w:type="auto"/>
            <w:hideMark/>
          </w:tcPr>
          <w:p w14:paraId="0A6680F6" w14:textId="77777777" w:rsidR="00132649" w:rsidRPr="00936FE8" w:rsidRDefault="00132649" w:rsidP="00132649">
            <w:pPr>
              <w:spacing w:after="160" w:line="278" w:lineRule="auto"/>
              <w:rPr>
                <w:rFonts w:ascii="Arial" w:hAnsi="Arial" w:cs="Arial"/>
              </w:rPr>
            </w:pPr>
            <w:r w:rsidRPr="00936FE8">
              <w:rPr>
                <w:rFonts w:ascii="Arial" w:hAnsi="Arial" w:cs="Arial"/>
                <w:b/>
                <w:bCs/>
              </w:rPr>
              <w:t>0</w:t>
            </w:r>
          </w:p>
        </w:tc>
        <w:tc>
          <w:tcPr>
            <w:tcW w:w="0" w:type="auto"/>
            <w:hideMark/>
          </w:tcPr>
          <w:p w14:paraId="196E0395" w14:textId="77777777" w:rsidR="00132649" w:rsidRPr="00936FE8" w:rsidRDefault="00132649" w:rsidP="00132649">
            <w:pPr>
              <w:spacing w:after="160" w:line="278" w:lineRule="auto"/>
              <w:rPr>
                <w:rFonts w:ascii="Arial" w:hAnsi="Arial" w:cs="Arial"/>
              </w:rPr>
            </w:pPr>
            <w:r w:rsidRPr="00936FE8">
              <w:rPr>
                <w:rFonts w:ascii="Arial" w:hAnsi="Arial" w:cs="Arial"/>
                <w:b/>
                <w:bCs/>
              </w:rPr>
              <w:t>(£50.0m)</w:t>
            </w:r>
          </w:p>
        </w:tc>
        <w:tc>
          <w:tcPr>
            <w:tcW w:w="0" w:type="auto"/>
            <w:hideMark/>
          </w:tcPr>
          <w:p w14:paraId="2C8C3708" w14:textId="77777777" w:rsidR="00132649" w:rsidRPr="00936FE8" w:rsidRDefault="00132649" w:rsidP="00132649">
            <w:pPr>
              <w:spacing w:after="160" w:line="278" w:lineRule="auto"/>
              <w:rPr>
                <w:rFonts w:ascii="Arial" w:hAnsi="Arial" w:cs="Arial"/>
              </w:rPr>
            </w:pPr>
            <w:r w:rsidRPr="00936FE8">
              <w:rPr>
                <w:rFonts w:ascii="Arial" w:hAnsi="Arial" w:cs="Arial"/>
                <w:b/>
                <w:bCs/>
              </w:rPr>
              <w:t>(£50.0m)</w:t>
            </w:r>
          </w:p>
        </w:tc>
        <w:tc>
          <w:tcPr>
            <w:tcW w:w="0" w:type="auto"/>
            <w:hideMark/>
          </w:tcPr>
          <w:p w14:paraId="1A2807D3" w14:textId="77777777" w:rsidR="00132649" w:rsidRPr="00936FE8" w:rsidRDefault="00132649" w:rsidP="00132649">
            <w:pPr>
              <w:spacing w:after="160" w:line="278" w:lineRule="auto"/>
              <w:rPr>
                <w:rFonts w:ascii="Arial" w:hAnsi="Arial" w:cs="Arial"/>
              </w:rPr>
            </w:pPr>
            <w:r w:rsidRPr="00936FE8">
              <w:rPr>
                <w:rFonts w:ascii="Arial" w:hAnsi="Arial" w:cs="Arial"/>
                <w:b/>
                <w:bCs/>
              </w:rPr>
              <w:t>(£50.0m)</w:t>
            </w:r>
          </w:p>
        </w:tc>
        <w:tc>
          <w:tcPr>
            <w:tcW w:w="0" w:type="auto"/>
            <w:hideMark/>
          </w:tcPr>
          <w:p w14:paraId="0CC0DBEF" w14:textId="77777777" w:rsidR="00132649" w:rsidRPr="00936FE8" w:rsidRDefault="00132649" w:rsidP="00132649">
            <w:pPr>
              <w:spacing w:after="160" w:line="278" w:lineRule="auto"/>
              <w:rPr>
                <w:rFonts w:ascii="Arial" w:hAnsi="Arial" w:cs="Arial"/>
              </w:rPr>
            </w:pPr>
            <w:r w:rsidRPr="00936FE8">
              <w:rPr>
                <w:rFonts w:ascii="Arial" w:hAnsi="Arial" w:cs="Arial"/>
                <w:b/>
                <w:bCs/>
              </w:rPr>
              <w:t>1.0000</w:t>
            </w:r>
          </w:p>
        </w:tc>
      </w:tr>
      <w:tr w:rsidR="00132649" w:rsidRPr="00936FE8" w14:paraId="1284B16C" w14:textId="77777777" w:rsidTr="00132649">
        <w:tc>
          <w:tcPr>
            <w:tcW w:w="0" w:type="auto"/>
            <w:hideMark/>
          </w:tcPr>
          <w:p w14:paraId="78BBEA88" w14:textId="77777777" w:rsidR="00132649" w:rsidRPr="00936FE8" w:rsidRDefault="00132649" w:rsidP="00132649">
            <w:pPr>
              <w:spacing w:after="160" w:line="278" w:lineRule="auto"/>
              <w:rPr>
                <w:rFonts w:ascii="Arial" w:hAnsi="Arial" w:cs="Arial"/>
              </w:rPr>
            </w:pPr>
            <w:r w:rsidRPr="00936FE8">
              <w:rPr>
                <w:rFonts w:ascii="Arial" w:hAnsi="Arial" w:cs="Arial"/>
                <w:b/>
                <w:bCs/>
              </w:rPr>
              <w:t>1</w:t>
            </w:r>
          </w:p>
        </w:tc>
        <w:tc>
          <w:tcPr>
            <w:tcW w:w="0" w:type="auto"/>
            <w:hideMark/>
          </w:tcPr>
          <w:p w14:paraId="5C215200" w14:textId="77777777" w:rsidR="00132649" w:rsidRPr="00936FE8" w:rsidRDefault="00132649" w:rsidP="00132649">
            <w:pPr>
              <w:spacing w:after="160" w:line="278" w:lineRule="auto"/>
              <w:rPr>
                <w:rFonts w:ascii="Arial" w:hAnsi="Arial" w:cs="Arial"/>
              </w:rPr>
            </w:pPr>
            <w:r w:rsidRPr="00936FE8">
              <w:rPr>
                <w:rFonts w:ascii="Arial" w:hAnsi="Arial" w:cs="Arial"/>
              </w:rPr>
              <w:t>£10.0m</w:t>
            </w:r>
          </w:p>
        </w:tc>
        <w:tc>
          <w:tcPr>
            <w:tcW w:w="0" w:type="auto"/>
            <w:hideMark/>
          </w:tcPr>
          <w:p w14:paraId="0553A7BD" w14:textId="77777777" w:rsidR="00132649" w:rsidRPr="00936FE8" w:rsidRDefault="00132649" w:rsidP="00132649">
            <w:pPr>
              <w:spacing w:after="160" w:line="278" w:lineRule="auto"/>
              <w:rPr>
                <w:rFonts w:ascii="Arial" w:hAnsi="Arial" w:cs="Arial"/>
              </w:rPr>
            </w:pPr>
            <w:r w:rsidRPr="00936FE8">
              <w:rPr>
                <w:rFonts w:ascii="Arial" w:hAnsi="Arial" w:cs="Arial"/>
              </w:rPr>
              <w:t>£11.0m</w:t>
            </w:r>
          </w:p>
        </w:tc>
        <w:tc>
          <w:tcPr>
            <w:tcW w:w="0" w:type="auto"/>
            <w:hideMark/>
          </w:tcPr>
          <w:p w14:paraId="7556BA0D" w14:textId="77777777" w:rsidR="00132649" w:rsidRPr="00936FE8" w:rsidRDefault="00132649" w:rsidP="00132649">
            <w:pPr>
              <w:spacing w:after="160" w:line="278" w:lineRule="auto"/>
              <w:rPr>
                <w:rFonts w:ascii="Arial" w:hAnsi="Arial" w:cs="Arial"/>
              </w:rPr>
            </w:pPr>
            <w:r w:rsidRPr="00936FE8">
              <w:rPr>
                <w:rFonts w:ascii="Arial" w:hAnsi="Arial" w:cs="Arial"/>
              </w:rPr>
              <w:t>£5.0m</w:t>
            </w:r>
          </w:p>
        </w:tc>
        <w:tc>
          <w:tcPr>
            <w:tcW w:w="0" w:type="auto"/>
            <w:hideMark/>
          </w:tcPr>
          <w:p w14:paraId="1B2C6E00" w14:textId="77777777" w:rsidR="00132649" w:rsidRPr="00936FE8" w:rsidRDefault="00132649" w:rsidP="00132649">
            <w:pPr>
              <w:spacing w:after="160" w:line="278" w:lineRule="auto"/>
              <w:rPr>
                <w:rFonts w:ascii="Arial" w:hAnsi="Arial" w:cs="Arial"/>
              </w:rPr>
            </w:pPr>
            <w:r w:rsidRPr="00936FE8">
              <w:rPr>
                <w:rFonts w:ascii="Arial" w:hAnsi="Arial" w:cs="Arial"/>
              </w:rPr>
              <w:t>0.9259</w:t>
            </w:r>
          </w:p>
        </w:tc>
      </w:tr>
      <w:tr w:rsidR="00132649" w:rsidRPr="00936FE8" w14:paraId="7F744587" w14:textId="77777777" w:rsidTr="00132649">
        <w:tc>
          <w:tcPr>
            <w:tcW w:w="0" w:type="auto"/>
            <w:hideMark/>
          </w:tcPr>
          <w:p w14:paraId="0797314A" w14:textId="77777777" w:rsidR="00132649" w:rsidRPr="00936FE8" w:rsidRDefault="00132649" w:rsidP="00132649">
            <w:pPr>
              <w:spacing w:after="160" w:line="278" w:lineRule="auto"/>
              <w:rPr>
                <w:rFonts w:ascii="Arial" w:hAnsi="Arial" w:cs="Arial"/>
              </w:rPr>
            </w:pPr>
            <w:r w:rsidRPr="00936FE8">
              <w:rPr>
                <w:rFonts w:ascii="Arial" w:hAnsi="Arial" w:cs="Arial"/>
                <w:b/>
                <w:bCs/>
              </w:rPr>
              <w:t>2</w:t>
            </w:r>
          </w:p>
        </w:tc>
        <w:tc>
          <w:tcPr>
            <w:tcW w:w="0" w:type="auto"/>
            <w:hideMark/>
          </w:tcPr>
          <w:p w14:paraId="4E4A8813" w14:textId="77777777" w:rsidR="00132649" w:rsidRPr="00936FE8" w:rsidRDefault="00132649" w:rsidP="00132649">
            <w:pPr>
              <w:spacing w:after="160" w:line="278" w:lineRule="auto"/>
              <w:rPr>
                <w:rFonts w:ascii="Arial" w:hAnsi="Arial" w:cs="Arial"/>
              </w:rPr>
            </w:pPr>
            <w:r w:rsidRPr="00936FE8">
              <w:rPr>
                <w:rFonts w:ascii="Arial" w:hAnsi="Arial" w:cs="Arial"/>
              </w:rPr>
              <w:t>£22.0m</w:t>
            </w:r>
          </w:p>
        </w:tc>
        <w:tc>
          <w:tcPr>
            <w:tcW w:w="0" w:type="auto"/>
            <w:hideMark/>
          </w:tcPr>
          <w:p w14:paraId="1C53107B" w14:textId="77777777" w:rsidR="00132649" w:rsidRPr="00936FE8" w:rsidRDefault="00132649" w:rsidP="00132649">
            <w:pPr>
              <w:spacing w:after="160" w:line="278" w:lineRule="auto"/>
              <w:rPr>
                <w:rFonts w:ascii="Arial" w:hAnsi="Arial" w:cs="Arial"/>
              </w:rPr>
            </w:pPr>
            <w:r w:rsidRPr="00936FE8">
              <w:rPr>
                <w:rFonts w:ascii="Arial" w:hAnsi="Arial" w:cs="Arial"/>
              </w:rPr>
              <w:t>£11.0m</w:t>
            </w:r>
          </w:p>
        </w:tc>
        <w:tc>
          <w:tcPr>
            <w:tcW w:w="0" w:type="auto"/>
            <w:hideMark/>
          </w:tcPr>
          <w:p w14:paraId="39ABEE6A" w14:textId="77777777" w:rsidR="00132649" w:rsidRPr="00936FE8" w:rsidRDefault="00132649" w:rsidP="00132649">
            <w:pPr>
              <w:spacing w:after="160" w:line="278" w:lineRule="auto"/>
              <w:rPr>
                <w:rFonts w:ascii="Arial" w:hAnsi="Arial" w:cs="Arial"/>
              </w:rPr>
            </w:pPr>
            <w:r w:rsidRPr="00936FE8">
              <w:rPr>
                <w:rFonts w:ascii="Arial" w:hAnsi="Arial" w:cs="Arial"/>
              </w:rPr>
              <w:t>£15.0m</w:t>
            </w:r>
          </w:p>
        </w:tc>
        <w:tc>
          <w:tcPr>
            <w:tcW w:w="0" w:type="auto"/>
            <w:hideMark/>
          </w:tcPr>
          <w:p w14:paraId="13E62709" w14:textId="77777777" w:rsidR="00132649" w:rsidRPr="00936FE8" w:rsidRDefault="00132649" w:rsidP="00132649">
            <w:pPr>
              <w:spacing w:after="160" w:line="278" w:lineRule="auto"/>
              <w:rPr>
                <w:rFonts w:ascii="Arial" w:hAnsi="Arial" w:cs="Arial"/>
              </w:rPr>
            </w:pPr>
            <w:r w:rsidRPr="00936FE8">
              <w:rPr>
                <w:rFonts w:ascii="Arial" w:hAnsi="Arial" w:cs="Arial"/>
              </w:rPr>
              <w:t>0.8573</w:t>
            </w:r>
          </w:p>
        </w:tc>
      </w:tr>
      <w:tr w:rsidR="00132649" w:rsidRPr="00936FE8" w14:paraId="39DE750F" w14:textId="77777777" w:rsidTr="00132649">
        <w:tc>
          <w:tcPr>
            <w:tcW w:w="0" w:type="auto"/>
            <w:hideMark/>
          </w:tcPr>
          <w:p w14:paraId="2A9C5444" w14:textId="77777777" w:rsidR="00132649" w:rsidRPr="00936FE8" w:rsidRDefault="00132649" w:rsidP="00132649">
            <w:pPr>
              <w:spacing w:after="160" w:line="278" w:lineRule="auto"/>
              <w:rPr>
                <w:rFonts w:ascii="Arial" w:hAnsi="Arial" w:cs="Arial"/>
              </w:rPr>
            </w:pPr>
            <w:r w:rsidRPr="00936FE8">
              <w:rPr>
                <w:rFonts w:ascii="Arial" w:hAnsi="Arial" w:cs="Arial"/>
                <w:b/>
                <w:bCs/>
              </w:rPr>
              <w:t>3</w:t>
            </w:r>
          </w:p>
        </w:tc>
        <w:tc>
          <w:tcPr>
            <w:tcW w:w="0" w:type="auto"/>
            <w:hideMark/>
          </w:tcPr>
          <w:p w14:paraId="4A5970DF" w14:textId="77777777" w:rsidR="00132649" w:rsidRPr="00936FE8" w:rsidRDefault="00132649" w:rsidP="00132649">
            <w:pPr>
              <w:spacing w:after="160" w:line="278" w:lineRule="auto"/>
              <w:rPr>
                <w:rFonts w:ascii="Arial" w:hAnsi="Arial" w:cs="Arial"/>
              </w:rPr>
            </w:pPr>
            <w:r w:rsidRPr="00936FE8">
              <w:rPr>
                <w:rFonts w:ascii="Arial" w:hAnsi="Arial" w:cs="Arial"/>
              </w:rPr>
              <w:t>£36.0m</w:t>
            </w:r>
          </w:p>
        </w:tc>
        <w:tc>
          <w:tcPr>
            <w:tcW w:w="0" w:type="auto"/>
            <w:hideMark/>
          </w:tcPr>
          <w:p w14:paraId="644BEF61" w14:textId="77777777" w:rsidR="00132649" w:rsidRPr="00936FE8" w:rsidRDefault="00132649" w:rsidP="00132649">
            <w:pPr>
              <w:spacing w:after="160" w:line="278" w:lineRule="auto"/>
              <w:rPr>
                <w:rFonts w:ascii="Arial" w:hAnsi="Arial" w:cs="Arial"/>
              </w:rPr>
            </w:pPr>
            <w:r w:rsidRPr="00936FE8">
              <w:rPr>
                <w:rFonts w:ascii="Arial" w:hAnsi="Arial" w:cs="Arial"/>
              </w:rPr>
              <w:t>£11.0m</w:t>
            </w:r>
          </w:p>
        </w:tc>
        <w:tc>
          <w:tcPr>
            <w:tcW w:w="0" w:type="auto"/>
            <w:hideMark/>
          </w:tcPr>
          <w:p w14:paraId="502B4A4F" w14:textId="77777777" w:rsidR="00132649" w:rsidRPr="00936FE8" w:rsidRDefault="00132649" w:rsidP="00132649">
            <w:pPr>
              <w:spacing w:after="160" w:line="278" w:lineRule="auto"/>
              <w:rPr>
                <w:rFonts w:ascii="Arial" w:hAnsi="Arial" w:cs="Arial"/>
              </w:rPr>
            </w:pPr>
            <w:r w:rsidRPr="00936FE8">
              <w:rPr>
                <w:rFonts w:ascii="Arial" w:hAnsi="Arial" w:cs="Arial"/>
              </w:rPr>
              <w:t>£20.0m</w:t>
            </w:r>
          </w:p>
        </w:tc>
        <w:tc>
          <w:tcPr>
            <w:tcW w:w="0" w:type="auto"/>
            <w:hideMark/>
          </w:tcPr>
          <w:p w14:paraId="27CE8C05" w14:textId="77777777" w:rsidR="00132649" w:rsidRPr="00936FE8" w:rsidRDefault="00132649" w:rsidP="00132649">
            <w:pPr>
              <w:spacing w:after="160" w:line="278" w:lineRule="auto"/>
              <w:rPr>
                <w:rFonts w:ascii="Arial" w:hAnsi="Arial" w:cs="Arial"/>
              </w:rPr>
            </w:pPr>
            <w:r w:rsidRPr="00936FE8">
              <w:rPr>
                <w:rFonts w:ascii="Arial" w:hAnsi="Arial" w:cs="Arial"/>
              </w:rPr>
              <w:t>0.7938</w:t>
            </w:r>
          </w:p>
        </w:tc>
      </w:tr>
      <w:tr w:rsidR="00132649" w:rsidRPr="00936FE8" w14:paraId="39C71B7F" w14:textId="77777777" w:rsidTr="00132649">
        <w:tc>
          <w:tcPr>
            <w:tcW w:w="0" w:type="auto"/>
            <w:hideMark/>
          </w:tcPr>
          <w:p w14:paraId="263D80BD" w14:textId="77777777" w:rsidR="00132649" w:rsidRPr="00936FE8" w:rsidRDefault="00132649" w:rsidP="00132649">
            <w:pPr>
              <w:spacing w:after="160" w:line="278" w:lineRule="auto"/>
              <w:rPr>
                <w:rFonts w:ascii="Arial" w:hAnsi="Arial" w:cs="Arial"/>
              </w:rPr>
            </w:pPr>
            <w:r w:rsidRPr="00936FE8">
              <w:rPr>
                <w:rFonts w:ascii="Arial" w:hAnsi="Arial" w:cs="Arial"/>
                <w:b/>
                <w:bCs/>
              </w:rPr>
              <w:t>4</w:t>
            </w:r>
          </w:p>
        </w:tc>
        <w:tc>
          <w:tcPr>
            <w:tcW w:w="0" w:type="auto"/>
            <w:hideMark/>
          </w:tcPr>
          <w:p w14:paraId="2080A6A8" w14:textId="77777777" w:rsidR="00132649" w:rsidRPr="00936FE8" w:rsidRDefault="00132649" w:rsidP="00132649">
            <w:pPr>
              <w:spacing w:after="160" w:line="278" w:lineRule="auto"/>
              <w:rPr>
                <w:rFonts w:ascii="Arial" w:hAnsi="Arial" w:cs="Arial"/>
              </w:rPr>
            </w:pPr>
            <w:r w:rsidRPr="00936FE8">
              <w:rPr>
                <w:rFonts w:ascii="Arial" w:hAnsi="Arial" w:cs="Arial"/>
              </w:rPr>
              <w:t>£46.0m</w:t>
            </w:r>
          </w:p>
        </w:tc>
        <w:tc>
          <w:tcPr>
            <w:tcW w:w="0" w:type="auto"/>
            <w:hideMark/>
          </w:tcPr>
          <w:p w14:paraId="02864643" w14:textId="77777777" w:rsidR="00132649" w:rsidRPr="00936FE8" w:rsidRDefault="00132649" w:rsidP="00132649">
            <w:pPr>
              <w:spacing w:after="160" w:line="278" w:lineRule="auto"/>
              <w:rPr>
                <w:rFonts w:ascii="Arial" w:hAnsi="Arial" w:cs="Arial"/>
              </w:rPr>
            </w:pPr>
            <w:r w:rsidRPr="00936FE8">
              <w:rPr>
                <w:rFonts w:ascii="Arial" w:hAnsi="Arial" w:cs="Arial"/>
              </w:rPr>
              <w:t>£11.0m</w:t>
            </w:r>
          </w:p>
        </w:tc>
        <w:tc>
          <w:tcPr>
            <w:tcW w:w="0" w:type="auto"/>
            <w:hideMark/>
          </w:tcPr>
          <w:p w14:paraId="744239E6" w14:textId="77777777" w:rsidR="00132649" w:rsidRPr="00936FE8" w:rsidRDefault="00132649" w:rsidP="00132649">
            <w:pPr>
              <w:spacing w:after="160" w:line="278" w:lineRule="auto"/>
              <w:rPr>
                <w:rFonts w:ascii="Arial" w:hAnsi="Arial" w:cs="Arial"/>
              </w:rPr>
            </w:pPr>
            <w:r w:rsidRPr="00936FE8">
              <w:rPr>
                <w:rFonts w:ascii="Arial" w:hAnsi="Arial" w:cs="Arial"/>
              </w:rPr>
              <w:t>£25.0m</w:t>
            </w:r>
          </w:p>
        </w:tc>
        <w:tc>
          <w:tcPr>
            <w:tcW w:w="0" w:type="auto"/>
            <w:hideMark/>
          </w:tcPr>
          <w:p w14:paraId="2BB42A4A" w14:textId="77777777" w:rsidR="00132649" w:rsidRPr="00936FE8" w:rsidRDefault="00132649" w:rsidP="00132649">
            <w:pPr>
              <w:spacing w:after="160" w:line="278" w:lineRule="auto"/>
              <w:rPr>
                <w:rFonts w:ascii="Arial" w:hAnsi="Arial" w:cs="Arial"/>
              </w:rPr>
            </w:pPr>
            <w:r w:rsidRPr="00936FE8">
              <w:rPr>
                <w:rFonts w:ascii="Arial" w:hAnsi="Arial" w:cs="Arial"/>
              </w:rPr>
              <w:t>0.7350</w:t>
            </w:r>
          </w:p>
        </w:tc>
      </w:tr>
      <w:tr w:rsidR="00132649" w:rsidRPr="00936FE8" w14:paraId="64799C6E" w14:textId="77777777" w:rsidTr="00132649">
        <w:tc>
          <w:tcPr>
            <w:tcW w:w="0" w:type="auto"/>
            <w:hideMark/>
          </w:tcPr>
          <w:p w14:paraId="26769CF9" w14:textId="77777777" w:rsidR="00132649" w:rsidRPr="00936FE8" w:rsidRDefault="00132649" w:rsidP="00132649">
            <w:pPr>
              <w:spacing w:after="160" w:line="278" w:lineRule="auto"/>
              <w:rPr>
                <w:rFonts w:ascii="Arial" w:hAnsi="Arial" w:cs="Arial"/>
              </w:rPr>
            </w:pPr>
            <w:r w:rsidRPr="00936FE8">
              <w:rPr>
                <w:rFonts w:ascii="Arial" w:hAnsi="Arial" w:cs="Arial"/>
                <w:b/>
                <w:bCs/>
              </w:rPr>
              <w:lastRenderedPageBreak/>
              <w:t>5</w:t>
            </w:r>
          </w:p>
        </w:tc>
        <w:tc>
          <w:tcPr>
            <w:tcW w:w="0" w:type="auto"/>
            <w:hideMark/>
          </w:tcPr>
          <w:p w14:paraId="2F70BB06" w14:textId="77777777" w:rsidR="00132649" w:rsidRPr="00936FE8" w:rsidRDefault="00132649" w:rsidP="00132649">
            <w:pPr>
              <w:spacing w:after="160" w:line="278" w:lineRule="auto"/>
              <w:rPr>
                <w:rFonts w:ascii="Arial" w:hAnsi="Arial" w:cs="Arial"/>
              </w:rPr>
            </w:pPr>
            <w:r w:rsidRPr="00936FE8">
              <w:rPr>
                <w:rFonts w:ascii="Arial" w:hAnsi="Arial" w:cs="Arial"/>
              </w:rPr>
              <w:t>£10.0m</w:t>
            </w:r>
          </w:p>
        </w:tc>
        <w:tc>
          <w:tcPr>
            <w:tcW w:w="0" w:type="auto"/>
            <w:hideMark/>
          </w:tcPr>
          <w:p w14:paraId="12C3A25C" w14:textId="77777777" w:rsidR="00132649" w:rsidRPr="00936FE8" w:rsidRDefault="00132649" w:rsidP="00132649">
            <w:pPr>
              <w:spacing w:after="160" w:line="278" w:lineRule="auto"/>
              <w:rPr>
                <w:rFonts w:ascii="Arial" w:hAnsi="Arial" w:cs="Arial"/>
              </w:rPr>
            </w:pPr>
            <w:r w:rsidRPr="00936FE8">
              <w:rPr>
                <w:rFonts w:ascii="Arial" w:hAnsi="Arial" w:cs="Arial"/>
              </w:rPr>
              <w:t>£11.0m</w:t>
            </w:r>
          </w:p>
        </w:tc>
        <w:tc>
          <w:tcPr>
            <w:tcW w:w="0" w:type="auto"/>
            <w:hideMark/>
          </w:tcPr>
          <w:p w14:paraId="76385A57" w14:textId="77777777" w:rsidR="00132649" w:rsidRPr="00936FE8" w:rsidRDefault="00132649" w:rsidP="00132649">
            <w:pPr>
              <w:spacing w:after="160" w:line="278" w:lineRule="auto"/>
              <w:rPr>
                <w:rFonts w:ascii="Arial" w:hAnsi="Arial" w:cs="Arial"/>
              </w:rPr>
            </w:pPr>
            <w:r w:rsidRPr="00936FE8">
              <w:rPr>
                <w:rFonts w:ascii="Arial" w:hAnsi="Arial" w:cs="Arial"/>
              </w:rPr>
              <w:t>£18.0m</w:t>
            </w:r>
          </w:p>
        </w:tc>
        <w:tc>
          <w:tcPr>
            <w:tcW w:w="0" w:type="auto"/>
            <w:hideMark/>
          </w:tcPr>
          <w:p w14:paraId="6AEEC146" w14:textId="77777777" w:rsidR="00132649" w:rsidRPr="00936FE8" w:rsidRDefault="00132649" w:rsidP="00132649">
            <w:pPr>
              <w:spacing w:after="160" w:line="278" w:lineRule="auto"/>
              <w:rPr>
                <w:rFonts w:ascii="Arial" w:hAnsi="Arial" w:cs="Arial"/>
              </w:rPr>
            </w:pPr>
            <w:r w:rsidRPr="00936FE8">
              <w:rPr>
                <w:rFonts w:ascii="Arial" w:hAnsi="Arial" w:cs="Arial"/>
              </w:rPr>
              <w:t>0.6806</w:t>
            </w:r>
          </w:p>
        </w:tc>
      </w:tr>
      <w:tr w:rsidR="00132649" w:rsidRPr="00936FE8" w14:paraId="09D908AF" w14:textId="77777777" w:rsidTr="00132649">
        <w:tc>
          <w:tcPr>
            <w:tcW w:w="0" w:type="auto"/>
            <w:hideMark/>
          </w:tcPr>
          <w:p w14:paraId="2873077F" w14:textId="77777777" w:rsidR="00132649" w:rsidRPr="00936FE8" w:rsidRDefault="00132649" w:rsidP="00132649">
            <w:pPr>
              <w:spacing w:after="160" w:line="278" w:lineRule="auto"/>
              <w:rPr>
                <w:rFonts w:ascii="Arial" w:hAnsi="Arial" w:cs="Arial"/>
              </w:rPr>
            </w:pPr>
            <w:r w:rsidRPr="00936FE8">
              <w:rPr>
                <w:rFonts w:ascii="Arial" w:hAnsi="Arial" w:cs="Arial"/>
                <w:b/>
                <w:bCs/>
              </w:rPr>
              <w:t>Total Inflow</w:t>
            </w:r>
          </w:p>
        </w:tc>
        <w:tc>
          <w:tcPr>
            <w:tcW w:w="0" w:type="auto"/>
            <w:hideMark/>
          </w:tcPr>
          <w:p w14:paraId="5FF35D50" w14:textId="77777777" w:rsidR="00132649" w:rsidRPr="00936FE8" w:rsidRDefault="00132649" w:rsidP="00132649">
            <w:pPr>
              <w:spacing w:after="160" w:line="278" w:lineRule="auto"/>
              <w:rPr>
                <w:rFonts w:ascii="Arial" w:hAnsi="Arial" w:cs="Arial"/>
              </w:rPr>
            </w:pPr>
            <w:r w:rsidRPr="00936FE8">
              <w:rPr>
                <w:rFonts w:ascii="Arial" w:hAnsi="Arial" w:cs="Arial"/>
                <w:b/>
                <w:bCs/>
              </w:rPr>
              <w:t>£124.0m</w:t>
            </w:r>
          </w:p>
        </w:tc>
        <w:tc>
          <w:tcPr>
            <w:tcW w:w="0" w:type="auto"/>
            <w:hideMark/>
          </w:tcPr>
          <w:p w14:paraId="164FBF86" w14:textId="77777777" w:rsidR="00132649" w:rsidRPr="00936FE8" w:rsidRDefault="00132649" w:rsidP="00132649">
            <w:pPr>
              <w:spacing w:after="160" w:line="278" w:lineRule="auto"/>
              <w:rPr>
                <w:rFonts w:ascii="Arial" w:hAnsi="Arial" w:cs="Arial"/>
              </w:rPr>
            </w:pPr>
            <w:r w:rsidRPr="00936FE8">
              <w:rPr>
                <w:rFonts w:ascii="Arial" w:hAnsi="Arial" w:cs="Arial"/>
                <w:b/>
                <w:bCs/>
              </w:rPr>
              <w:t>£55.0m</w:t>
            </w:r>
          </w:p>
        </w:tc>
        <w:tc>
          <w:tcPr>
            <w:tcW w:w="0" w:type="auto"/>
            <w:hideMark/>
          </w:tcPr>
          <w:p w14:paraId="0C733C05" w14:textId="77777777" w:rsidR="00132649" w:rsidRPr="00936FE8" w:rsidRDefault="00132649" w:rsidP="00132649">
            <w:pPr>
              <w:spacing w:after="160" w:line="278" w:lineRule="auto"/>
              <w:rPr>
                <w:rFonts w:ascii="Arial" w:hAnsi="Arial" w:cs="Arial"/>
              </w:rPr>
            </w:pPr>
            <w:r w:rsidRPr="00936FE8">
              <w:rPr>
                <w:rFonts w:ascii="Arial" w:hAnsi="Arial" w:cs="Arial"/>
                <w:b/>
                <w:bCs/>
              </w:rPr>
              <w:t>£83.0m</w:t>
            </w:r>
          </w:p>
        </w:tc>
        <w:tc>
          <w:tcPr>
            <w:tcW w:w="0" w:type="auto"/>
            <w:hideMark/>
          </w:tcPr>
          <w:p w14:paraId="3BD2321B" w14:textId="77777777" w:rsidR="00132649" w:rsidRPr="00936FE8" w:rsidRDefault="00132649" w:rsidP="00132649">
            <w:pPr>
              <w:spacing w:after="160" w:line="278" w:lineRule="auto"/>
              <w:rPr>
                <w:rFonts w:ascii="Arial" w:hAnsi="Arial" w:cs="Arial"/>
              </w:rPr>
            </w:pPr>
            <w:r w:rsidRPr="00936FE8">
              <w:rPr>
                <w:rFonts w:ascii="Arial" w:hAnsi="Arial" w:cs="Arial"/>
              </w:rPr>
              <w:t>—</w:t>
            </w:r>
          </w:p>
        </w:tc>
      </w:tr>
    </w:tbl>
    <w:p w14:paraId="7FFE13C8" w14:textId="77777777" w:rsidR="00936FE8" w:rsidRPr="00936FE8" w:rsidRDefault="00936FE8" w:rsidP="00936FE8">
      <w:pPr>
        <w:pStyle w:val="Caption"/>
      </w:pPr>
      <w:r w:rsidRPr="00936FE8">
        <w:t xml:space="preserve">Table </w:t>
      </w:r>
      <w:r w:rsidRPr="00936FE8">
        <w:fldChar w:fldCharType="begin"/>
      </w:r>
      <w:r w:rsidRPr="00936FE8">
        <w:instrText xml:space="preserve"> SEQ Table \* ARABIC </w:instrText>
      </w:r>
      <w:r w:rsidRPr="00936FE8">
        <w:fldChar w:fldCharType="separate"/>
      </w:r>
      <w:r w:rsidRPr="00936FE8">
        <w:rPr>
          <w:noProof/>
        </w:rPr>
        <w:t>9</w:t>
      </w:r>
      <w:r w:rsidRPr="00936FE8">
        <w:rPr>
          <w:noProof/>
        </w:rPr>
        <w:fldChar w:fldCharType="end"/>
      </w:r>
      <w:r w:rsidRPr="00936FE8">
        <w:t>: Cash flow summary matrix (£m)</w:t>
      </w:r>
    </w:p>
    <w:p w14:paraId="59E9D16E" w14:textId="6219C169" w:rsidR="00132649" w:rsidRPr="00936FE8" w:rsidRDefault="00936FE8" w:rsidP="00132649">
      <w:pPr>
        <w:rPr>
          <w:rFonts w:ascii="Arial" w:hAnsi="Arial" w:cs="Arial"/>
          <w:lang w:val="en-US"/>
        </w:rPr>
      </w:pPr>
      <w:r w:rsidRPr="00936FE8">
        <w:rPr>
          <w:rFonts w:ascii="Arial" w:hAnsi="Arial" w:cs="Arial"/>
          <w:lang w:val="en-US"/>
        </w:rPr>
        <w:t>(Self-employed)</w:t>
      </w:r>
    </w:p>
    <w:p w14:paraId="24E75B79" w14:textId="77777777" w:rsidR="00132649" w:rsidRPr="00936FE8" w:rsidRDefault="00132649" w:rsidP="00132649">
      <w:pPr>
        <w:rPr>
          <w:rFonts w:ascii="Arial" w:hAnsi="Arial" w:cs="Arial"/>
          <w:lang w:val="en-US"/>
        </w:rPr>
      </w:pPr>
    </w:p>
    <w:p w14:paraId="18617AAB" w14:textId="1BDF5D46" w:rsidR="00012422" w:rsidRPr="00936FE8" w:rsidRDefault="00D7737F" w:rsidP="00D7737F">
      <w:pPr>
        <w:pStyle w:val="Heading2"/>
        <w:rPr>
          <w:rFonts w:ascii="Arial" w:eastAsiaTheme="minorEastAsia" w:hAnsi="Arial" w:cs="Arial"/>
        </w:rPr>
      </w:pPr>
      <w:bookmarkStart w:id="17" w:name="_Toc235785105"/>
      <w:r w:rsidRPr="00936FE8">
        <w:rPr>
          <w:rFonts w:ascii="Arial" w:eastAsiaTheme="minorEastAsia" w:hAnsi="Arial" w:cs="Arial"/>
        </w:rPr>
        <w:t xml:space="preserve">4.1 </w:t>
      </w:r>
      <w:r w:rsidR="00012422" w:rsidRPr="00936FE8">
        <w:rPr>
          <w:rFonts w:ascii="Arial" w:eastAsiaTheme="minorEastAsia" w:hAnsi="Arial" w:cs="Arial"/>
        </w:rPr>
        <w:t xml:space="preserve">Capital </w:t>
      </w:r>
      <w:r w:rsidRPr="00936FE8">
        <w:rPr>
          <w:rFonts w:ascii="Arial" w:eastAsiaTheme="minorEastAsia" w:hAnsi="Arial" w:cs="Arial"/>
        </w:rPr>
        <w:t>Budgeting Methodology and Theoretical Framework</w:t>
      </w:r>
      <w:bookmarkEnd w:id="17"/>
      <w:r w:rsidRPr="00936FE8">
        <w:rPr>
          <w:rFonts w:ascii="Arial" w:eastAsiaTheme="minorEastAsia" w:hAnsi="Arial" w:cs="Arial"/>
        </w:rPr>
        <w:t xml:space="preserve"> </w:t>
      </w:r>
    </w:p>
    <w:p w14:paraId="503966D9" w14:textId="55F2D02B" w:rsidR="00012422" w:rsidRPr="00936FE8" w:rsidRDefault="00012422" w:rsidP="0054327B">
      <w:pPr>
        <w:spacing w:line="360" w:lineRule="auto"/>
        <w:rPr>
          <w:rFonts w:ascii="Arial" w:eastAsiaTheme="minorEastAsia" w:hAnsi="Arial" w:cs="Arial"/>
        </w:rPr>
      </w:pPr>
      <w:r w:rsidRPr="00936FE8">
        <w:rPr>
          <w:rFonts w:ascii="Arial" w:eastAsiaTheme="minorEastAsia" w:hAnsi="Arial" w:cs="Arial"/>
        </w:rPr>
        <w:t xml:space="preserve">Capital budgeting provides the strategic foundation of corporate finance, establishing the mechanisms through which firms allocate finite financial capital to long-term productive assets (Brealey et al., 2020). For the capital-intensive hospitality enterprise navigating the tight operating circumstances forecast for FY25/26, executing the exact investment appraisals is vital to prevent value </w:t>
      </w:r>
      <w:r w:rsidR="0054327B" w:rsidRPr="00936FE8">
        <w:rPr>
          <w:rFonts w:ascii="Arial" w:eastAsiaTheme="minorEastAsia" w:hAnsi="Arial" w:cs="Arial"/>
        </w:rPr>
        <w:t>destruction</w:t>
      </w:r>
      <w:r w:rsidRPr="00936FE8">
        <w:rPr>
          <w:rFonts w:ascii="Arial" w:eastAsiaTheme="minorEastAsia" w:hAnsi="Arial" w:cs="Arial"/>
        </w:rPr>
        <w:t xml:space="preserve">. This section offers the rigorous investment appraisals of three competing projects (Project A, Project B and Project C), each needing an initial equity outlay of £50 million. To ensure a balanced financial viewpoint, the appraisal </w:t>
      </w:r>
      <w:r w:rsidR="0054327B" w:rsidRPr="00936FE8">
        <w:rPr>
          <w:rFonts w:ascii="Arial" w:eastAsiaTheme="minorEastAsia" w:hAnsi="Arial" w:cs="Arial"/>
        </w:rPr>
        <w:t>applies</w:t>
      </w:r>
      <w:r w:rsidRPr="00936FE8">
        <w:rPr>
          <w:rFonts w:ascii="Arial" w:eastAsiaTheme="minorEastAsia" w:hAnsi="Arial" w:cs="Arial"/>
        </w:rPr>
        <w:t xml:space="preserve"> to both the non-discounted capital evaluation techniques like the Payback Period (PBP) and the Accounting Rate of Return (ARR), along with the discounted cash flow (DCF) methods like Net Present Value (NPV), Internal Rate of Return (IRR) and Profitability Index (PI). </w:t>
      </w:r>
    </w:p>
    <w:p w14:paraId="2598D458" w14:textId="7073DC0C" w:rsidR="00012422" w:rsidRPr="00936FE8" w:rsidRDefault="00012422" w:rsidP="0054327B">
      <w:pPr>
        <w:spacing w:line="360" w:lineRule="auto"/>
        <w:rPr>
          <w:rFonts w:ascii="Arial" w:eastAsiaTheme="minorEastAsia" w:hAnsi="Arial" w:cs="Arial"/>
        </w:rPr>
      </w:pPr>
      <w:r w:rsidRPr="00936FE8">
        <w:rPr>
          <w:rFonts w:ascii="Arial" w:eastAsiaTheme="minorEastAsia" w:hAnsi="Arial" w:cs="Arial"/>
        </w:rPr>
        <w:t xml:space="preserve">The evaluation operates under the strict assumption of the cost of capital (hurdle rate) of 8.00% and </w:t>
      </w:r>
      <w:r w:rsidR="00C4346B" w:rsidRPr="00936FE8">
        <w:rPr>
          <w:rFonts w:ascii="Arial" w:eastAsiaTheme="minorEastAsia" w:hAnsi="Arial" w:cs="Arial"/>
        </w:rPr>
        <w:t>applies</w:t>
      </w:r>
      <w:r w:rsidRPr="00936FE8">
        <w:rPr>
          <w:rFonts w:ascii="Arial" w:eastAsiaTheme="minorEastAsia" w:hAnsi="Arial" w:cs="Arial"/>
        </w:rPr>
        <w:t xml:space="preserve"> straight-line depreciation to zero over the five-year economic useful life. The baseline calculations for the </w:t>
      </w:r>
      <w:r w:rsidR="0054327B" w:rsidRPr="00936FE8">
        <w:rPr>
          <w:rFonts w:ascii="Arial" w:eastAsiaTheme="minorEastAsia" w:hAnsi="Arial" w:cs="Arial"/>
        </w:rPr>
        <w:t>depreciation</w:t>
      </w:r>
      <w:r w:rsidRPr="00936FE8">
        <w:rPr>
          <w:rFonts w:ascii="Arial" w:eastAsiaTheme="minorEastAsia" w:hAnsi="Arial" w:cs="Arial"/>
        </w:rPr>
        <w:t xml:space="preserve"> and average investment bases are derived as follows: </w:t>
      </w:r>
    </w:p>
    <w:p w14:paraId="6EEE0245" w14:textId="0B535269" w:rsidR="006D55BF" w:rsidRPr="00936FE8" w:rsidRDefault="006D55BF" w:rsidP="0054327B">
      <w:pPr>
        <w:spacing w:line="360" w:lineRule="auto"/>
        <w:rPr>
          <w:rFonts w:ascii="Arial" w:eastAsiaTheme="minorEastAsia" w:hAnsi="Arial" w:cs="Arial"/>
        </w:rPr>
      </w:pPr>
      <m:oMathPara>
        <m:oMathParaPr>
          <m:jc m:val="center"/>
        </m:oMathParaPr>
        <m:oMath>
          <m:r>
            <m:rPr>
              <m:nor/>
            </m:rPr>
            <w:rPr>
              <w:rFonts w:ascii="Arial" w:eastAsiaTheme="minorEastAsia" w:hAnsi="Arial" w:cs="Arial"/>
            </w:rPr>
            <m:t>Annual Depreciation</m:t>
          </m:r>
          <m: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Initial Capital Outlay</m:t>
              </m:r>
              <m:r>
                <w:rPr>
                  <w:rFonts w:ascii="Cambria Math" w:eastAsiaTheme="minorEastAsia" w:hAnsi="Cambria Math" w:cs="Arial"/>
                </w:rPr>
                <m:t>-</m:t>
              </m:r>
              <m:r>
                <m:rPr>
                  <m:nor/>
                </m:rPr>
                <w:rPr>
                  <w:rFonts w:ascii="Arial" w:eastAsiaTheme="minorEastAsia" w:hAnsi="Arial" w:cs="Arial"/>
                </w:rPr>
                <m:t>Salvage Value</m:t>
              </m:r>
            </m:num>
            <m:den>
              <m:r>
                <m:rPr>
                  <m:nor/>
                </m:rPr>
                <w:rPr>
                  <w:rFonts w:ascii="Arial" w:eastAsiaTheme="minorEastAsia" w:hAnsi="Arial" w:cs="Arial"/>
                </w:rPr>
                <m:t>Useful Life</m:t>
              </m:r>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50,000,000-0</m:t>
              </m:r>
            </m:num>
            <m:den>
              <m:r>
                <w:rPr>
                  <w:rFonts w:ascii="Cambria Math" w:eastAsiaTheme="minorEastAsia" w:hAnsi="Cambria Math" w:cs="Arial"/>
                </w:rPr>
                <m:t>5</m:t>
              </m:r>
            </m:den>
          </m:f>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10,000,000</m:t>
          </m:r>
          <m:r>
            <m:rPr>
              <m:nor/>
            </m:rPr>
            <w:rPr>
              <w:rFonts w:ascii="Arial" w:eastAsiaTheme="minorEastAsia" w:hAnsi="Arial" w:cs="Arial"/>
            </w:rPr>
            <m:t> per annum</m:t>
          </m:r>
        </m:oMath>
      </m:oMathPara>
    </w:p>
    <w:p w14:paraId="3BDA061B" w14:textId="2AE03B38" w:rsidR="006D55BF" w:rsidRPr="00936FE8" w:rsidRDefault="006D55BF" w:rsidP="0054327B">
      <w:pPr>
        <w:spacing w:line="360" w:lineRule="auto"/>
        <w:rPr>
          <w:rFonts w:ascii="Arial" w:eastAsiaTheme="minorEastAsia" w:hAnsi="Arial" w:cs="Arial"/>
        </w:rPr>
      </w:pPr>
      <m:oMathPara>
        <m:oMathParaPr>
          <m:jc m:val="center"/>
        </m:oMathParaPr>
        <m:oMath>
          <m:r>
            <m:rPr>
              <m:nor/>
            </m:rPr>
            <w:rPr>
              <w:rFonts w:ascii="Arial" w:eastAsiaTheme="minorEastAsia" w:hAnsi="Arial" w:cs="Arial"/>
            </w:rPr>
            <m:t>Average Investment Base</m:t>
          </m:r>
          <m: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Initial Capital Outlay</m:t>
              </m:r>
              <m:r>
                <w:rPr>
                  <w:rFonts w:ascii="Cambria Math" w:eastAsiaTheme="minorEastAsia" w:hAnsi="Cambria Math" w:cs="Arial"/>
                </w:rPr>
                <m:t>+</m:t>
              </m:r>
              <m:r>
                <m:rPr>
                  <m:nor/>
                </m:rPr>
                <w:rPr>
                  <w:rFonts w:ascii="Arial" w:eastAsiaTheme="minorEastAsia" w:hAnsi="Arial" w:cs="Arial"/>
                </w:rPr>
                <m:t>Residual Value</m:t>
              </m:r>
            </m:num>
            <m:den>
              <m:r>
                <w:rPr>
                  <w:rFonts w:ascii="Cambria Math" w:eastAsiaTheme="minorEastAsia" w:hAnsi="Cambria Math" w:cs="Arial"/>
                </w:rPr>
                <m:t>2</m:t>
              </m:r>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50,000,000+0</m:t>
              </m:r>
            </m:num>
            <m:den>
              <m:r>
                <w:rPr>
                  <w:rFonts w:ascii="Cambria Math" w:eastAsiaTheme="minorEastAsia" w:hAnsi="Cambria Math" w:cs="Arial"/>
                </w:rPr>
                <m:t>2</m:t>
              </m:r>
            </m:den>
          </m:f>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25,000,000</m:t>
          </m:r>
        </m:oMath>
      </m:oMathPara>
    </w:p>
    <w:p w14:paraId="74B8C9E5" w14:textId="369A883E" w:rsidR="00012422" w:rsidRPr="00936FE8" w:rsidRDefault="006D55BF" w:rsidP="0054327B">
      <w:pPr>
        <w:spacing w:line="360" w:lineRule="auto"/>
        <w:rPr>
          <w:rFonts w:ascii="Arial" w:eastAsiaTheme="minorEastAsia" w:hAnsi="Arial" w:cs="Arial"/>
        </w:rPr>
      </w:pPr>
      <w:r w:rsidRPr="00936FE8">
        <w:rPr>
          <w:rFonts w:ascii="Arial" w:eastAsiaTheme="minorEastAsia" w:hAnsi="Arial" w:cs="Arial"/>
        </w:rPr>
        <w:t xml:space="preserve">Accelerating the operating profits, needed </w:t>
      </w:r>
      <w:r w:rsidR="0054327B" w:rsidRPr="00936FE8">
        <w:rPr>
          <w:rFonts w:ascii="Arial" w:eastAsiaTheme="minorEastAsia" w:hAnsi="Arial" w:cs="Arial"/>
        </w:rPr>
        <w:t>exclusively</w:t>
      </w:r>
      <w:r w:rsidRPr="00936FE8">
        <w:rPr>
          <w:rFonts w:ascii="Arial" w:eastAsiaTheme="minorEastAsia" w:hAnsi="Arial" w:cs="Arial"/>
        </w:rPr>
        <w:t xml:space="preserve"> for the ARR computation, are determined by subtracting the annual £10 million non-cash </w:t>
      </w:r>
      <w:r w:rsidR="0054327B" w:rsidRPr="00936FE8">
        <w:rPr>
          <w:rFonts w:ascii="Arial" w:eastAsiaTheme="minorEastAsia" w:hAnsi="Arial" w:cs="Arial"/>
        </w:rPr>
        <w:t>depreciation</w:t>
      </w:r>
      <w:r w:rsidRPr="00936FE8">
        <w:rPr>
          <w:rFonts w:ascii="Arial" w:eastAsiaTheme="minorEastAsia" w:hAnsi="Arial" w:cs="Arial"/>
        </w:rPr>
        <w:t xml:space="preserve"> charge directly from the annual net operational cash inflows. </w:t>
      </w:r>
    </w:p>
    <w:p w14:paraId="63DF81DA" w14:textId="1912EB45" w:rsidR="00EC1A67" w:rsidRPr="00936FE8" w:rsidRDefault="00D7737F" w:rsidP="00D7737F">
      <w:pPr>
        <w:pStyle w:val="Heading2"/>
        <w:rPr>
          <w:rFonts w:ascii="Arial" w:eastAsiaTheme="minorEastAsia" w:hAnsi="Arial" w:cs="Arial"/>
        </w:rPr>
      </w:pPr>
      <w:bookmarkStart w:id="18" w:name="_Toc235785106"/>
      <w:r w:rsidRPr="00936FE8">
        <w:rPr>
          <w:rFonts w:ascii="Arial" w:eastAsiaTheme="minorEastAsia" w:hAnsi="Arial" w:cs="Arial"/>
        </w:rPr>
        <w:lastRenderedPageBreak/>
        <w:t xml:space="preserve">4.2 </w:t>
      </w:r>
      <w:r w:rsidR="00EC1A67" w:rsidRPr="00936FE8">
        <w:rPr>
          <w:rFonts w:ascii="Arial" w:eastAsiaTheme="minorEastAsia" w:hAnsi="Arial" w:cs="Arial"/>
        </w:rPr>
        <w:t>Comprehensive Project-by-Project Appraisals</w:t>
      </w:r>
      <w:bookmarkEnd w:id="18"/>
    </w:p>
    <w:p w14:paraId="08F8BACE" w14:textId="27AD94A8" w:rsidR="00EC1A67" w:rsidRPr="00936FE8" w:rsidRDefault="00D7737F" w:rsidP="00D7737F">
      <w:pPr>
        <w:pStyle w:val="Heading3"/>
        <w:rPr>
          <w:rFonts w:ascii="Arial" w:eastAsiaTheme="minorEastAsia" w:hAnsi="Arial" w:cs="Arial"/>
        </w:rPr>
      </w:pPr>
      <w:bookmarkStart w:id="19" w:name="_Toc235785107"/>
      <w:r w:rsidRPr="00936FE8">
        <w:rPr>
          <w:rFonts w:ascii="Arial" w:eastAsiaTheme="minorEastAsia" w:hAnsi="Arial" w:cs="Arial"/>
        </w:rPr>
        <w:t xml:space="preserve">4.2.1 </w:t>
      </w:r>
      <w:r w:rsidR="00EC1A67" w:rsidRPr="00936FE8">
        <w:rPr>
          <w:rFonts w:ascii="Arial" w:eastAsiaTheme="minorEastAsia" w:hAnsi="Arial" w:cs="Arial"/>
        </w:rPr>
        <w:t>Project A evaluation: Front-loaded variable outlay</w:t>
      </w:r>
      <w:bookmarkEnd w:id="19"/>
      <w:r w:rsidR="00EC1A67" w:rsidRPr="00936FE8">
        <w:rPr>
          <w:rFonts w:ascii="Arial" w:eastAsiaTheme="minorEastAsia" w:hAnsi="Arial" w:cs="Arial"/>
        </w:rPr>
        <w:t xml:space="preserve"> </w:t>
      </w:r>
    </w:p>
    <w:p w14:paraId="350A7A8E" w14:textId="2690E356" w:rsidR="00EC1A67" w:rsidRPr="00936FE8" w:rsidRDefault="00EC1A67" w:rsidP="0054327B">
      <w:pPr>
        <w:spacing w:line="360" w:lineRule="auto"/>
        <w:rPr>
          <w:rFonts w:ascii="Arial" w:eastAsiaTheme="minorEastAsia" w:hAnsi="Arial" w:cs="Arial"/>
        </w:rPr>
      </w:pPr>
      <w:r w:rsidRPr="00936FE8">
        <w:rPr>
          <w:rFonts w:ascii="Arial" w:eastAsiaTheme="minorEastAsia" w:hAnsi="Arial" w:cs="Arial"/>
        </w:rPr>
        <w:t xml:space="preserve">Project A shows a variable cash flow distribution that peaks in </w:t>
      </w:r>
      <w:r w:rsidR="0054327B" w:rsidRPr="00936FE8">
        <w:rPr>
          <w:rFonts w:ascii="Arial" w:eastAsiaTheme="minorEastAsia" w:hAnsi="Arial" w:cs="Arial"/>
        </w:rPr>
        <w:t xml:space="preserve">the </w:t>
      </w:r>
      <w:r w:rsidRPr="00936FE8">
        <w:rPr>
          <w:rFonts w:ascii="Arial" w:eastAsiaTheme="minorEastAsia" w:hAnsi="Arial" w:cs="Arial"/>
        </w:rPr>
        <w:t xml:space="preserve">3rd year before tapering off towards Year 5. This profile shows a classic regional expansion power product enhancement cycle where the advantages arrive early but face quick competition pressures. </w:t>
      </w:r>
    </w:p>
    <w:p w14:paraId="70DABF2B" w14:textId="60D106CF" w:rsidR="00EC1A67" w:rsidRPr="00936FE8" w:rsidRDefault="0054327B" w:rsidP="0054327B">
      <w:pPr>
        <w:spacing w:line="360" w:lineRule="auto"/>
        <w:rPr>
          <w:rFonts w:ascii="Arial" w:eastAsiaTheme="minorEastAsia" w:hAnsi="Arial" w:cs="Arial"/>
          <w:b/>
          <w:bCs/>
          <w:i/>
          <w:iCs/>
        </w:rPr>
      </w:pPr>
      <w:r w:rsidRPr="00936FE8">
        <w:rPr>
          <w:rFonts w:ascii="Arial" w:eastAsiaTheme="minorEastAsia" w:hAnsi="Arial" w:cs="Arial"/>
          <w:b/>
          <w:bCs/>
          <w:i/>
          <w:iCs/>
        </w:rPr>
        <w:t>Non-discounted</w:t>
      </w:r>
      <w:r w:rsidR="00EC1A67" w:rsidRPr="00936FE8">
        <w:rPr>
          <w:rFonts w:ascii="Arial" w:eastAsiaTheme="minorEastAsia" w:hAnsi="Arial" w:cs="Arial"/>
          <w:b/>
          <w:bCs/>
          <w:i/>
          <w:iCs/>
        </w:rPr>
        <w:t xml:space="preserve"> metrics </w:t>
      </w:r>
    </w:p>
    <w:p w14:paraId="7BADEAEC" w14:textId="3184E72D" w:rsidR="00EC1A67" w:rsidRPr="00936FE8" w:rsidRDefault="009056A1" w:rsidP="0054327B">
      <w:pPr>
        <w:spacing w:line="360" w:lineRule="auto"/>
        <w:rPr>
          <w:rFonts w:ascii="Arial" w:eastAsiaTheme="minorEastAsia" w:hAnsi="Arial" w:cs="Arial"/>
        </w:rPr>
      </w:pPr>
      <w:r w:rsidRPr="00936FE8">
        <w:rPr>
          <w:rFonts w:ascii="Arial" w:eastAsiaTheme="minorEastAsia" w:hAnsi="Arial" w:cs="Arial"/>
        </w:rPr>
        <w:t xml:space="preserve">to </w:t>
      </w:r>
      <w:r w:rsidR="0054327B" w:rsidRPr="00936FE8">
        <w:rPr>
          <w:rFonts w:ascii="Arial" w:eastAsiaTheme="minorEastAsia" w:hAnsi="Arial" w:cs="Arial"/>
        </w:rPr>
        <w:t>compute</w:t>
      </w:r>
      <w:r w:rsidRPr="00936FE8">
        <w:rPr>
          <w:rFonts w:ascii="Arial" w:eastAsiaTheme="minorEastAsia" w:hAnsi="Arial" w:cs="Arial"/>
        </w:rPr>
        <w:t xml:space="preserve"> the payback. The </w:t>
      </w:r>
      <w:r w:rsidR="0054327B" w:rsidRPr="00936FE8">
        <w:rPr>
          <w:rFonts w:ascii="Arial" w:eastAsiaTheme="minorEastAsia" w:hAnsi="Arial" w:cs="Arial"/>
        </w:rPr>
        <w:t>net</w:t>
      </w:r>
      <w:r w:rsidRPr="00936FE8">
        <w:rPr>
          <w:rFonts w:ascii="Arial" w:eastAsiaTheme="minorEastAsia" w:hAnsi="Arial" w:cs="Arial"/>
        </w:rPr>
        <w:t xml:space="preserve"> cash inflows are tracked sequentially for year 1 (£10m), year 2 (£22m), year 3 (£36m), and year 4 (£46m). </w:t>
      </w:r>
      <w:r w:rsidR="0054327B" w:rsidRPr="00936FE8">
        <w:rPr>
          <w:rFonts w:ascii="Arial" w:eastAsiaTheme="minorEastAsia" w:hAnsi="Arial" w:cs="Arial"/>
        </w:rPr>
        <w:t>By</w:t>
      </w:r>
      <w:r w:rsidRPr="00936FE8">
        <w:rPr>
          <w:rFonts w:ascii="Arial" w:eastAsiaTheme="minorEastAsia" w:hAnsi="Arial" w:cs="Arial"/>
        </w:rPr>
        <w:t xml:space="preserve"> the conclusion of year 4, an unrecovered capital deficit of </w:t>
      </w:r>
      <w:r w:rsidR="0054327B" w:rsidRPr="00936FE8">
        <w:rPr>
          <w:rFonts w:ascii="Arial" w:eastAsiaTheme="minorEastAsia" w:hAnsi="Arial" w:cs="Arial"/>
        </w:rPr>
        <w:t>£ 4 million</w:t>
      </w:r>
      <w:r w:rsidRPr="00936FE8">
        <w:rPr>
          <w:rFonts w:ascii="Arial" w:eastAsiaTheme="minorEastAsia" w:hAnsi="Arial" w:cs="Arial"/>
        </w:rPr>
        <w:t xml:space="preserve"> remains (£50m-£46m). </w:t>
      </w:r>
    </w:p>
    <w:p w14:paraId="31C91990" w14:textId="45FFBA58" w:rsidR="009056A1"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PBP</m:t>
              </m:r>
            </m:e>
            <m:sub>
              <m:r>
                <w:rPr>
                  <w:rFonts w:ascii="Cambria Math" w:eastAsiaTheme="minorEastAsia" w:hAnsi="Cambria Math" w:cs="Arial"/>
                </w:rPr>
                <m:t>A</m:t>
              </m:r>
            </m:sub>
          </m:sSub>
          <m:r>
            <w:rPr>
              <w:rFonts w:ascii="Cambria Math" w:eastAsiaTheme="minorEastAsia" w:hAnsi="Cambria Math" w:cs="Arial"/>
            </w:rPr>
            <m:t>=4</m:t>
          </m:r>
          <m:r>
            <m:rPr>
              <m:nor/>
            </m:rPr>
            <w:rPr>
              <w:rFonts w:ascii="Arial" w:eastAsiaTheme="minorEastAsia" w:hAnsi="Arial" w:cs="Arial"/>
            </w:rPr>
            <m:t> Years</m:t>
          </m:r>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4,000,000</m:t>
                  </m:r>
                </m:num>
                <m:den>
                  <m:r>
                    <m:rPr>
                      <m:sty m:val="p"/>
                    </m:rPr>
                    <w:rPr>
                      <w:rFonts w:ascii="Cambria Math" w:eastAsiaTheme="minorEastAsia" w:hAnsi="Cambria Math" w:cs="Arial"/>
                    </w:rPr>
                    <m:t>£</m:t>
                  </m:r>
                  <m:r>
                    <w:rPr>
                      <w:rFonts w:ascii="Cambria Math" w:eastAsiaTheme="minorEastAsia" w:hAnsi="Cambria Math" w:cs="Arial"/>
                    </w:rPr>
                    <m:t>8,000,000</m:t>
                  </m:r>
                  <m:r>
                    <m:rPr>
                      <m:nor/>
                    </m:rPr>
                    <w:rPr>
                      <w:rFonts w:ascii="Arial" w:eastAsiaTheme="minorEastAsia" w:hAnsi="Arial" w:cs="Arial"/>
                    </w:rPr>
                    <m:t> (Year 5 Cash Flow)</m:t>
                  </m:r>
                </m:den>
              </m:f>
            </m:e>
          </m:d>
          <m:r>
            <w:rPr>
              <w:rFonts w:ascii="Cambria Math" w:eastAsiaTheme="minorEastAsia" w:hAnsi="Cambria Math" w:cs="Arial"/>
            </w:rPr>
            <m:t>=4.50</m:t>
          </m:r>
          <m:r>
            <m:rPr>
              <m:nor/>
            </m:rPr>
            <w:rPr>
              <w:rFonts w:ascii="Arial" w:eastAsiaTheme="minorEastAsia" w:hAnsi="Arial" w:cs="Arial"/>
            </w:rPr>
            <m:t> Years</m:t>
          </m:r>
        </m:oMath>
      </m:oMathPara>
    </w:p>
    <w:p w14:paraId="0DE596EA" w14:textId="2752547E" w:rsidR="009056A1" w:rsidRPr="00936FE8" w:rsidRDefault="009056A1" w:rsidP="0054327B">
      <w:pPr>
        <w:spacing w:line="360" w:lineRule="auto"/>
        <w:rPr>
          <w:rFonts w:ascii="Arial" w:eastAsiaTheme="minorEastAsia" w:hAnsi="Arial" w:cs="Arial"/>
        </w:rPr>
      </w:pPr>
      <w:r w:rsidRPr="00936FE8">
        <w:rPr>
          <w:rFonts w:ascii="Arial" w:eastAsiaTheme="minorEastAsia" w:hAnsi="Arial" w:cs="Arial"/>
        </w:rPr>
        <w:t xml:space="preserve">To </w:t>
      </w:r>
      <w:r w:rsidR="0054327B" w:rsidRPr="00936FE8">
        <w:rPr>
          <w:rFonts w:ascii="Arial" w:eastAsiaTheme="minorEastAsia" w:hAnsi="Arial" w:cs="Arial"/>
        </w:rPr>
        <w:t>compute</w:t>
      </w:r>
      <w:r w:rsidRPr="00936FE8">
        <w:rPr>
          <w:rFonts w:ascii="Arial" w:eastAsiaTheme="minorEastAsia" w:hAnsi="Arial" w:cs="Arial"/>
        </w:rPr>
        <w:t xml:space="preserve"> the ARR, the total net cash inflows (£54 million) are converted to total accounting profit by deducting total cumulative depreciation (£50 million), leaving a total net accounting profit </w:t>
      </w:r>
      <w:r w:rsidR="0054327B" w:rsidRPr="00936FE8">
        <w:rPr>
          <w:rFonts w:ascii="Arial" w:eastAsiaTheme="minorEastAsia" w:hAnsi="Arial" w:cs="Arial"/>
        </w:rPr>
        <w:t xml:space="preserve">of </w:t>
      </w:r>
      <w:r w:rsidRPr="00936FE8">
        <w:rPr>
          <w:rFonts w:ascii="Arial" w:eastAsiaTheme="minorEastAsia" w:hAnsi="Arial" w:cs="Arial"/>
        </w:rPr>
        <w:t xml:space="preserve">£4 million over the 5 years. </w:t>
      </w:r>
    </w:p>
    <w:p w14:paraId="2D954E87" w14:textId="0FD4691E" w:rsidR="009056A1"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Average Annual Accounting Profit</m:t>
              </m:r>
            </m:e>
            <m:sub>
              <m:r>
                <w:rPr>
                  <w:rFonts w:ascii="Cambria Math" w:eastAsiaTheme="minorEastAsia" w:hAnsi="Cambria Math" w:cs="Arial"/>
                </w:rPr>
                <m:t>A</m:t>
              </m:r>
            </m:sub>
          </m:sSub>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4,000,000</m:t>
              </m:r>
            </m:num>
            <m:den>
              <m:r>
                <w:rPr>
                  <w:rFonts w:ascii="Cambria Math" w:eastAsiaTheme="minorEastAsia" w:hAnsi="Cambria Math" w:cs="Arial"/>
                </w:rPr>
                <m:t>5</m:t>
              </m:r>
              <m:r>
                <m:rPr>
                  <m:nor/>
                </m:rPr>
                <w:rPr>
                  <w:rFonts w:ascii="Arial" w:eastAsiaTheme="minorEastAsia" w:hAnsi="Arial" w:cs="Arial"/>
                </w:rPr>
                <m:t> Years</m:t>
              </m:r>
            </m:den>
          </m:f>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800,000</m:t>
          </m:r>
        </m:oMath>
      </m:oMathPara>
    </w:p>
    <w:p w14:paraId="53F24CE9" w14:textId="1F12F848" w:rsidR="009056A1"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ARR</m:t>
              </m:r>
            </m:e>
            <m:sub>
              <m:r>
                <w:rPr>
                  <w:rFonts w:ascii="Cambria Math" w:eastAsiaTheme="minorEastAsia" w:hAnsi="Cambria Math" w:cs="Arial"/>
                </w:rPr>
                <m:t>A</m:t>
              </m:r>
            </m:sub>
          </m:sSub>
          <m:r>
            <w:rPr>
              <w:rFonts w:ascii="Cambria Math" w:eastAsiaTheme="minorEastAsia" w:hAnsi="Cambria Math" w:cs="Arial"/>
            </w:rPr>
            <m:t>=</m:t>
          </m:r>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Average Annual Accounting Profit</m:t>
                  </m:r>
                </m:e>
                <m:sub>
                  <m:r>
                    <w:rPr>
                      <w:rFonts w:ascii="Cambria Math" w:eastAsiaTheme="minorEastAsia" w:hAnsi="Cambria Math" w:cs="Arial"/>
                    </w:rPr>
                    <m:t>A</m:t>
                  </m:r>
                </m:sub>
              </m:sSub>
            </m:num>
            <m:den>
              <m:r>
                <m:rPr>
                  <m:nor/>
                </m:rPr>
                <w:rPr>
                  <w:rFonts w:ascii="Arial" w:eastAsiaTheme="minorEastAsia" w:hAnsi="Arial" w:cs="Arial"/>
                </w:rPr>
                <m:t>Average Investment Base</m:t>
              </m:r>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800,000</m:t>
              </m:r>
            </m:num>
            <m:den>
              <m:r>
                <m:rPr>
                  <m:sty m:val="p"/>
                </m:rPr>
                <w:rPr>
                  <w:rFonts w:ascii="Cambria Math" w:eastAsiaTheme="minorEastAsia" w:hAnsi="Cambria Math" w:cs="Arial"/>
                </w:rPr>
                <m:t>£</m:t>
              </m:r>
              <m:r>
                <w:rPr>
                  <w:rFonts w:ascii="Cambria Math" w:eastAsiaTheme="minorEastAsia" w:hAnsi="Cambria Math" w:cs="Arial"/>
                </w:rPr>
                <m:t>25,000,000</m:t>
              </m:r>
            </m:den>
          </m:f>
          <m:r>
            <w:rPr>
              <w:rFonts w:ascii="Cambria Math" w:eastAsiaTheme="minorEastAsia" w:hAnsi="Cambria Math" w:cs="Arial"/>
            </w:rPr>
            <m:t>×100=3.20%</m:t>
          </m:r>
        </m:oMath>
      </m:oMathPara>
    </w:p>
    <w:p w14:paraId="5493C5C5" w14:textId="77777777" w:rsidR="009056A1" w:rsidRPr="00936FE8" w:rsidRDefault="009056A1" w:rsidP="0054327B">
      <w:pPr>
        <w:spacing w:line="360" w:lineRule="auto"/>
        <w:rPr>
          <w:rFonts w:ascii="Arial" w:eastAsiaTheme="minorEastAsia" w:hAnsi="Arial" w:cs="Arial"/>
        </w:rPr>
      </w:pPr>
    </w:p>
    <w:p w14:paraId="74A7C3E0" w14:textId="77777777" w:rsidR="009056A1" w:rsidRPr="00936FE8" w:rsidRDefault="009056A1" w:rsidP="0054327B">
      <w:pPr>
        <w:spacing w:line="360" w:lineRule="auto"/>
        <w:rPr>
          <w:rFonts w:ascii="Arial" w:eastAsiaTheme="minorEastAsia" w:hAnsi="Arial" w:cs="Arial"/>
          <w:b/>
          <w:bCs/>
          <w:i/>
          <w:iCs/>
        </w:rPr>
      </w:pPr>
    </w:p>
    <w:p w14:paraId="560B2581" w14:textId="77777777" w:rsidR="000E6552" w:rsidRPr="00936FE8" w:rsidRDefault="000E6552" w:rsidP="0054327B">
      <w:pPr>
        <w:spacing w:line="360" w:lineRule="auto"/>
        <w:rPr>
          <w:rFonts w:ascii="Arial" w:eastAsiaTheme="minorEastAsia" w:hAnsi="Arial" w:cs="Arial"/>
        </w:rPr>
      </w:pPr>
    </w:p>
    <w:p w14:paraId="6D8DED46" w14:textId="746F0175" w:rsidR="00012422" w:rsidRPr="00936FE8" w:rsidRDefault="009056A1" w:rsidP="0054327B">
      <w:pPr>
        <w:spacing w:line="360" w:lineRule="auto"/>
        <w:rPr>
          <w:rFonts w:ascii="Arial" w:eastAsiaTheme="minorEastAsia" w:hAnsi="Arial" w:cs="Arial"/>
          <w:b/>
          <w:bCs/>
          <w:i/>
          <w:iCs/>
        </w:rPr>
      </w:pPr>
      <w:r w:rsidRPr="00936FE8">
        <w:rPr>
          <w:rFonts w:ascii="Arial" w:eastAsiaTheme="minorEastAsia" w:hAnsi="Arial" w:cs="Arial"/>
          <w:b/>
          <w:bCs/>
          <w:i/>
          <w:iCs/>
        </w:rPr>
        <w:t xml:space="preserve">Discounted cash flow (DCF) metrics </w:t>
      </w:r>
    </w:p>
    <w:p w14:paraId="1A1AD0AD" w14:textId="15C7A6F0" w:rsidR="009056A1" w:rsidRPr="00936FE8" w:rsidRDefault="009511A8" w:rsidP="0054327B">
      <w:pPr>
        <w:spacing w:line="360" w:lineRule="auto"/>
        <w:rPr>
          <w:rFonts w:ascii="Arial" w:eastAsiaTheme="minorEastAsia" w:hAnsi="Arial" w:cs="Arial"/>
        </w:rPr>
      </w:pPr>
      <w:r w:rsidRPr="00936FE8">
        <w:rPr>
          <w:rFonts w:ascii="Arial" w:eastAsiaTheme="minorEastAsia" w:hAnsi="Arial" w:cs="Arial"/>
        </w:rPr>
        <w:t xml:space="preserve">Applying the 8.00% discount rate across the discrete annual cash distribution yields the following present value (PV) determinations: </w:t>
      </w:r>
    </w:p>
    <w:p w14:paraId="7D13BE3A" w14:textId="10D22572" w:rsidR="009511A8"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PV</m:t>
              </m:r>
            </m:e>
            <m:sub>
              <m:r>
                <w:rPr>
                  <w:rFonts w:ascii="Cambria Math" w:eastAsiaTheme="minorEastAsia" w:hAnsi="Cambria Math" w:cs="Arial"/>
                </w:rPr>
                <m:t>A</m:t>
              </m:r>
            </m:sub>
          </m:sSub>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10</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1</m:t>
                  </m:r>
                </m:sup>
              </m:sSup>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12</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2</m:t>
                  </m:r>
                </m:sup>
              </m:sSup>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14</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3</m:t>
                  </m:r>
                </m:sup>
              </m:sSup>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10</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4</m:t>
                  </m:r>
                </m:sup>
              </m:sSup>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8</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5</m:t>
                  </m:r>
                </m:sup>
              </m:sSup>
            </m:den>
          </m:f>
        </m:oMath>
      </m:oMathPara>
    </w:p>
    <w:p w14:paraId="7975A2E4" w14:textId="0C51963C" w:rsidR="009511A8"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PV</m:t>
              </m:r>
            </m:e>
            <m:sub>
              <m:r>
                <w:rPr>
                  <w:rFonts w:ascii="Cambria Math" w:eastAsiaTheme="minorEastAsia" w:hAnsi="Cambria Math" w:cs="Arial"/>
                </w:rPr>
                <m:t>A</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9,259,259+</m:t>
          </m:r>
          <m:r>
            <m:rPr>
              <m:sty m:val="p"/>
            </m:rPr>
            <w:rPr>
              <w:rFonts w:ascii="Cambria Math" w:eastAsiaTheme="minorEastAsia" w:hAnsi="Cambria Math" w:cs="Arial"/>
            </w:rPr>
            <m:t>£</m:t>
          </m:r>
          <m:r>
            <w:rPr>
              <w:rFonts w:ascii="Cambria Math" w:eastAsiaTheme="minorEastAsia" w:hAnsi="Cambria Math" w:cs="Arial"/>
            </w:rPr>
            <m:t>10,288,066+</m:t>
          </m:r>
          <m:r>
            <m:rPr>
              <m:sty m:val="p"/>
            </m:rPr>
            <w:rPr>
              <w:rFonts w:ascii="Cambria Math" w:eastAsiaTheme="minorEastAsia" w:hAnsi="Cambria Math" w:cs="Arial"/>
            </w:rPr>
            <m:t>£</m:t>
          </m:r>
          <m:r>
            <w:rPr>
              <w:rFonts w:ascii="Cambria Math" w:eastAsiaTheme="minorEastAsia" w:hAnsi="Cambria Math" w:cs="Arial"/>
            </w:rPr>
            <m:t>11,113,651+</m:t>
          </m:r>
          <m:r>
            <m:rPr>
              <m:sty m:val="p"/>
            </m:rPr>
            <w:rPr>
              <w:rFonts w:ascii="Cambria Math" w:eastAsiaTheme="minorEastAsia" w:hAnsi="Cambria Math" w:cs="Arial"/>
            </w:rPr>
            <m:t>£</m:t>
          </m:r>
          <m:r>
            <w:rPr>
              <w:rFonts w:ascii="Cambria Math" w:eastAsiaTheme="minorEastAsia" w:hAnsi="Cambria Math" w:cs="Arial"/>
            </w:rPr>
            <m:t>7,350,299+</m:t>
          </m:r>
          <m:r>
            <m:rPr>
              <m:sty m:val="p"/>
            </m:rPr>
            <w:rPr>
              <w:rFonts w:ascii="Cambria Math" w:eastAsiaTheme="minorEastAsia" w:hAnsi="Cambria Math" w:cs="Arial"/>
            </w:rPr>
            <m:t>£</m:t>
          </m:r>
          <m:r>
            <w:rPr>
              <w:rFonts w:ascii="Cambria Math" w:eastAsiaTheme="minorEastAsia" w:hAnsi="Cambria Math" w:cs="Arial"/>
            </w:rPr>
            <m:t>5,444,666=</m:t>
          </m:r>
          <m:r>
            <m:rPr>
              <m:sty m:val="p"/>
            </m:rPr>
            <w:rPr>
              <w:rFonts w:ascii="Cambria Math" w:eastAsiaTheme="minorEastAsia" w:hAnsi="Cambria Math" w:cs="Arial"/>
            </w:rPr>
            <m:t>£</m:t>
          </m:r>
          <m:r>
            <w:rPr>
              <w:rFonts w:ascii="Cambria Math" w:eastAsiaTheme="minorEastAsia" w:hAnsi="Cambria Math" w:cs="Arial"/>
            </w:rPr>
            <m:t>43,455,941</m:t>
          </m:r>
        </m:oMath>
      </m:oMathPara>
    </w:p>
    <w:p w14:paraId="30F6ED5B" w14:textId="2EA1DDC5" w:rsidR="009511A8"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A</m:t>
              </m:r>
            </m:sub>
          </m:sSub>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Total PV</m:t>
              </m:r>
            </m:e>
            <m:sub>
              <m:r>
                <w:rPr>
                  <w:rFonts w:ascii="Cambria Math" w:eastAsiaTheme="minorEastAsia" w:hAnsi="Cambria Math" w:cs="Arial"/>
                </w:rPr>
                <m:t>A</m:t>
              </m:r>
            </m:sub>
          </m:sSub>
          <m:r>
            <w:rPr>
              <w:rFonts w:ascii="Cambria Math" w:eastAsiaTheme="minorEastAsia" w:hAnsi="Cambria Math" w:cs="Arial"/>
            </w:rPr>
            <m:t>-</m:t>
          </m:r>
          <m:r>
            <m:rPr>
              <m:nor/>
            </m:rPr>
            <w:rPr>
              <w:rFonts w:ascii="Arial" w:eastAsiaTheme="minorEastAsia" w:hAnsi="Arial" w:cs="Arial"/>
            </w:rPr>
            <m:t>Initial Investment</m:t>
          </m:r>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43,455,941-</m:t>
          </m:r>
          <m:r>
            <m:rPr>
              <m:sty m:val="p"/>
            </m:rPr>
            <w:rPr>
              <w:rFonts w:ascii="Cambria Math" w:eastAsiaTheme="minorEastAsia" w:hAnsi="Cambria Math" w:cs="Arial"/>
            </w:rPr>
            <m:t>£</m:t>
          </m:r>
          <m:r>
            <w:rPr>
              <w:rFonts w:ascii="Cambria Math" w:eastAsiaTheme="minorEastAsia" w:hAnsi="Cambria Math" w:cs="Arial"/>
            </w:rPr>
            <m:t>50,000,000=-</m:t>
          </m:r>
          <m:r>
            <m:rPr>
              <m:sty m:val="p"/>
            </m:rPr>
            <w:rPr>
              <w:rFonts w:ascii="Cambria Math" w:eastAsiaTheme="minorEastAsia" w:hAnsi="Cambria Math" w:cs="Arial"/>
            </w:rPr>
            <m:t>£</m:t>
          </m:r>
          <m:r>
            <w:rPr>
              <w:rFonts w:ascii="Cambria Math" w:eastAsiaTheme="minorEastAsia" w:hAnsi="Cambria Math" w:cs="Arial"/>
            </w:rPr>
            <m:t>6,544,059</m:t>
          </m:r>
        </m:oMath>
      </m:oMathPara>
    </w:p>
    <w:p w14:paraId="0BFC7E86" w14:textId="06D973AF" w:rsidR="009511A8"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PI</m:t>
              </m:r>
            </m:e>
            <m:sub>
              <m:r>
                <w:rPr>
                  <w:rFonts w:ascii="Cambria Math" w:eastAsiaTheme="minorEastAsia" w:hAnsi="Cambria Math" w:cs="Arial"/>
                </w:rPr>
                <m:t>A</m:t>
              </m:r>
            </m:sub>
          </m:sSub>
          <m: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Total Present Value of Cash Flows</m:t>
              </m:r>
            </m:num>
            <m:den>
              <m:r>
                <m:rPr>
                  <m:nor/>
                </m:rPr>
                <w:rPr>
                  <w:rFonts w:ascii="Arial" w:eastAsiaTheme="minorEastAsia" w:hAnsi="Arial" w:cs="Arial"/>
                </w:rPr>
                <m:t>Initial Capital Outlay</m:t>
              </m:r>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43,455,941</m:t>
              </m:r>
            </m:num>
            <m:den>
              <m:r>
                <m:rPr>
                  <m:sty m:val="p"/>
                </m:rPr>
                <w:rPr>
                  <w:rFonts w:ascii="Cambria Math" w:eastAsiaTheme="minorEastAsia" w:hAnsi="Cambria Math" w:cs="Arial"/>
                </w:rPr>
                <m:t>£</m:t>
              </m:r>
              <m:r>
                <w:rPr>
                  <w:rFonts w:ascii="Cambria Math" w:eastAsiaTheme="minorEastAsia" w:hAnsi="Cambria Math" w:cs="Arial"/>
                </w:rPr>
                <m:t>50,000,000</m:t>
              </m:r>
            </m:den>
          </m:f>
          <m:r>
            <w:rPr>
              <w:rFonts w:ascii="Cambria Math" w:eastAsiaTheme="minorEastAsia" w:hAnsi="Cambria Math" w:cs="Arial"/>
            </w:rPr>
            <m:t>=0.869</m:t>
          </m:r>
        </m:oMath>
      </m:oMathPara>
    </w:p>
    <w:p w14:paraId="04A45EDD" w14:textId="15BAB4AB" w:rsidR="000D7F3A" w:rsidRPr="00936FE8" w:rsidRDefault="009511A8" w:rsidP="0054327B">
      <w:pPr>
        <w:spacing w:line="360" w:lineRule="auto"/>
        <w:rPr>
          <w:rFonts w:ascii="Arial" w:eastAsiaTheme="minorEastAsia" w:hAnsi="Arial" w:cs="Arial"/>
        </w:rPr>
      </w:pPr>
      <w:r w:rsidRPr="00936FE8">
        <w:rPr>
          <w:rFonts w:ascii="Arial" w:eastAsiaTheme="minorEastAsia" w:hAnsi="Arial" w:cs="Arial"/>
        </w:rPr>
        <w:t xml:space="preserve">To locate the internal rate of return, the financial interpolation is conducted between the 8% benchmark and the lower 2% trial rate where NPV turns </w:t>
      </w:r>
      <w:r w:rsidR="000D7F3A" w:rsidRPr="00936FE8">
        <w:rPr>
          <w:rFonts w:ascii="Arial" w:eastAsiaTheme="minorEastAsia" w:hAnsi="Arial" w:cs="Arial"/>
        </w:rPr>
        <w:t>positive (</w:t>
      </w:r>
      <m:oMath>
        <m:sSub>
          <m:sSubPr>
            <m:ctrlPr>
              <w:rPr>
                <w:rFonts w:ascii="Cambria Math" w:eastAsiaTheme="minorEastAsia" w:hAnsi="Cambria Math" w:cs="Arial"/>
              </w:rPr>
            </m:ctrlPr>
          </m:sSubPr>
          <m:e>
            <m:r>
              <m:rPr>
                <m:nor/>
              </m:rPr>
              <w:rPr>
                <w:rFonts w:ascii="Arial" w:eastAsiaTheme="minorEastAsia" w:hAnsi="Arial" w:cs="Arial"/>
              </w:rPr>
              <m:t>PV</m:t>
            </m:r>
          </m:e>
          <m:sub>
            <m:r>
              <m:rPr>
                <m:nor/>
              </m:rPr>
              <w:rPr>
                <w:rFonts w:ascii="Arial" w:eastAsiaTheme="minorEastAsia" w:hAnsi="Arial" w:cs="Arial"/>
              </w:rPr>
              <m:t>at 2%</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51,015,342</m:t>
        </m:r>
      </m:oMath>
      <w:r w:rsidR="000D7F3A" w:rsidRPr="00936FE8">
        <w:rPr>
          <w:rFonts w:ascii="Arial" w:eastAsiaTheme="minorEastAsia" w:hAnsi="Arial" w:cs="Arial"/>
        </w:rPr>
        <w:t xml:space="preserve">; </w:t>
      </w:r>
      <m:oMath>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at 2%</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1,015,342</m:t>
        </m:r>
      </m:oMath>
      <w:r w:rsidR="000D7F3A" w:rsidRPr="00936FE8">
        <w:rPr>
          <w:rFonts w:ascii="Arial" w:eastAsiaTheme="minorEastAsia" w:hAnsi="Arial" w:cs="Arial"/>
        </w:rPr>
        <w:t>):</w:t>
      </w:r>
    </w:p>
    <w:p w14:paraId="1102FC0B" w14:textId="2925C126" w:rsidR="009511A8"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A</m:t>
              </m:r>
            </m:sub>
          </m:sSub>
          <m:r>
            <w:rPr>
              <w:rFonts w:ascii="Cambria Math" w:eastAsiaTheme="minorEastAsia" w:hAnsi="Cambria Math" w:cs="Arial"/>
            </w:rPr>
            <m:t>=2%+</m:t>
          </m:r>
          <m:d>
            <m:dPr>
              <m:ctrlPr>
                <w:rPr>
                  <w:rFonts w:ascii="Cambria Math" w:eastAsiaTheme="minorEastAsia" w:hAnsi="Cambria Math" w:cs="Arial"/>
                </w:rPr>
              </m:ctrlPr>
            </m:dPr>
            <m:e>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1,015,342</m:t>
                  </m:r>
                </m:num>
                <m:den>
                  <m:r>
                    <m:rPr>
                      <m:sty m:val="p"/>
                    </m:rPr>
                    <w:rPr>
                      <w:rFonts w:ascii="Cambria Math" w:eastAsiaTheme="minorEastAsia" w:hAnsi="Cambria Math" w:cs="Arial"/>
                    </w:rPr>
                    <m:t>£</m:t>
                  </m:r>
                  <m:r>
                    <w:rPr>
                      <w:rFonts w:ascii="Cambria Math" w:eastAsiaTheme="minorEastAsia" w:hAnsi="Cambria Math" w:cs="Arial"/>
                    </w:rPr>
                    <m:t>1,015,342-</m:t>
                  </m:r>
                  <m:d>
                    <m:dPr>
                      <m:ctrlPr>
                        <w:rPr>
                          <w:rFonts w:ascii="Cambria Math" w:eastAsiaTheme="minorEastAsia" w:hAnsi="Cambria Math" w:cs="Arial"/>
                        </w:rPr>
                      </m:ctrlPr>
                    </m:dPr>
                    <m:e>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6,544,059</m:t>
                      </m:r>
                    </m:e>
                  </m:d>
                </m:den>
              </m:f>
            </m:e>
          </m:d>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8%-2%</m:t>
              </m:r>
            </m:e>
          </m:d>
          <m:r>
            <w:rPr>
              <w:rFonts w:ascii="Cambria Math" w:eastAsiaTheme="minorEastAsia" w:hAnsi="Cambria Math" w:cs="Arial"/>
            </w:rPr>
            <m:t>=2%+</m:t>
          </m:r>
          <m:d>
            <m:dPr>
              <m:ctrlPr>
                <w:rPr>
                  <w:rFonts w:ascii="Cambria Math" w:eastAsiaTheme="minorEastAsia" w:hAnsi="Cambria Math" w:cs="Arial"/>
                </w:rPr>
              </m:ctrlPr>
            </m:dPr>
            <m:e>
              <m:r>
                <w:rPr>
                  <w:rFonts w:ascii="Cambria Math" w:eastAsiaTheme="minorEastAsia" w:hAnsi="Cambria Math" w:cs="Arial"/>
                </w:rPr>
                <m:t>0.1343×6%</m:t>
              </m:r>
            </m:e>
          </m:d>
          <m:r>
            <w:rPr>
              <w:rFonts w:ascii="Cambria Math" w:eastAsiaTheme="minorEastAsia" w:hAnsi="Cambria Math" w:cs="Arial"/>
            </w:rPr>
            <m:t>=2.81%</m:t>
          </m:r>
        </m:oMath>
      </m:oMathPara>
    </w:p>
    <w:p w14:paraId="17240A61" w14:textId="47C768CE" w:rsidR="000D7F3A" w:rsidRPr="00936FE8" w:rsidRDefault="000D7F3A" w:rsidP="00D7737F">
      <w:pPr>
        <w:pStyle w:val="Heading3"/>
        <w:rPr>
          <w:rFonts w:ascii="Arial" w:eastAsiaTheme="minorEastAsia" w:hAnsi="Arial" w:cs="Arial"/>
        </w:rPr>
      </w:pPr>
      <w:bookmarkStart w:id="20" w:name="_Toc235785108"/>
      <w:r w:rsidRPr="00936FE8">
        <w:rPr>
          <w:rFonts w:ascii="Arial" w:eastAsiaTheme="minorEastAsia" w:hAnsi="Arial" w:cs="Arial"/>
        </w:rPr>
        <w:t>4.2.2 Project B evaluation: Straight-line annuity profile</w:t>
      </w:r>
      <w:bookmarkEnd w:id="20"/>
    </w:p>
    <w:p w14:paraId="125521B3" w14:textId="377FD0AA" w:rsidR="000D7F3A" w:rsidRPr="00936FE8" w:rsidRDefault="00EC0807" w:rsidP="0054327B">
      <w:pPr>
        <w:spacing w:line="360" w:lineRule="auto"/>
        <w:rPr>
          <w:rFonts w:ascii="Arial" w:eastAsiaTheme="minorEastAsia" w:hAnsi="Arial" w:cs="Arial"/>
        </w:rPr>
      </w:pPr>
      <w:r w:rsidRPr="00936FE8">
        <w:rPr>
          <w:rFonts w:ascii="Arial" w:eastAsiaTheme="minorEastAsia" w:hAnsi="Arial" w:cs="Arial"/>
        </w:rPr>
        <w:t xml:space="preserve">Project B provides a completely uniform nominal inflow of £11 million per annum over the whole </w:t>
      </w:r>
      <w:r w:rsidR="0054327B" w:rsidRPr="00936FE8">
        <w:rPr>
          <w:rFonts w:ascii="Arial" w:eastAsiaTheme="minorEastAsia" w:hAnsi="Arial" w:cs="Arial"/>
        </w:rPr>
        <w:t>5-year</w:t>
      </w:r>
      <w:r w:rsidRPr="00936FE8">
        <w:rPr>
          <w:rFonts w:ascii="Arial" w:eastAsiaTheme="minorEastAsia" w:hAnsi="Arial" w:cs="Arial"/>
        </w:rPr>
        <w:t xml:space="preserve"> window. This distribution presents the asset-light lease-management service or a highly stabilised contract-driven </w:t>
      </w:r>
      <w:r w:rsidR="0054327B" w:rsidRPr="00936FE8">
        <w:rPr>
          <w:rFonts w:ascii="Arial" w:eastAsiaTheme="minorEastAsia" w:hAnsi="Arial" w:cs="Arial"/>
        </w:rPr>
        <w:t>revenue</w:t>
      </w:r>
      <w:r w:rsidRPr="00936FE8">
        <w:rPr>
          <w:rFonts w:ascii="Arial" w:eastAsiaTheme="minorEastAsia" w:hAnsi="Arial" w:cs="Arial"/>
        </w:rPr>
        <w:t xml:space="preserve"> stream. </w:t>
      </w:r>
    </w:p>
    <w:p w14:paraId="3B048CED" w14:textId="4B291E56" w:rsidR="00EC0807" w:rsidRPr="00936FE8" w:rsidRDefault="0054327B" w:rsidP="0054327B">
      <w:pPr>
        <w:spacing w:line="360" w:lineRule="auto"/>
        <w:rPr>
          <w:rFonts w:ascii="Arial" w:eastAsiaTheme="minorEastAsia" w:hAnsi="Arial" w:cs="Arial"/>
        </w:rPr>
      </w:pPr>
      <w:r w:rsidRPr="00936FE8">
        <w:rPr>
          <w:rFonts w:ascii="Arial" w:eastAsiaTheme="minorEastAsia" w:hAnsi="Arial" w:cs="Arial"/>
          <w:b/>
          <w:bCs/>
          <w:i/>
          <w:iCs/>
        </w:rPr>
        <w:t xml:space="preserve">Non-discounted metrics: </w:t>
      </w:r>
      <w:r w:rsidRPr="00936FE8">
        <w:rPr>
          <w:rFonts w:ascii="Arial" w:eastAsiaTheme="minorEastAsia" w:hAnsi="Arial" w:cs="Arial"/>
        </w:rPr>
        <w:t>Given</w:t>
      </w:r>
      <w:r w:rsidR="00711FD7" w:rsidRPr="00936FE8">
        <w:rPr>
          <w:rFonts w:ascii="Arial" w:eastAsiaTheme="minorEastAsia" w:hAnsi="Arial" w:cs="Arial"/>
        </w:rPr>
        <w:t xml:space="preserve"> the stable annuity structure, the payback </w:t>
      </w:r>
      <w:r w:rsidRPr="00936FE8">
        <w:rPr>
          <w:rFonts w:ascii="Arial" w:eastAsiaTheme="minorEastAsia" w:hAnsi="Arial" w:cs="Arial"/>
        </w:rPr>
        <w:t>is</w:t>
      </w:r>
      <w:r w:rsidR="00711FD7" w:rsidRPr="00936FE8">
        <w:rPr>
          <w:rFonts w:ascii="Arial" w:eastAsiaTheme="minorEastAsia" w:hAnsi="Arial" w:cs="Arial"/>
        </w:rPr>
        <w:t xml:space="preserve"> calculated through the direct linear division: </w:t>
      </w:r>
    </w:p>
    <w:p w14:paraId="5F2CBB59" w14:textId="5C012D92" w:rsidR="00711FD7"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PBP</m:t>
              </m:r>
            </m:e>
            <m:sub>
              <m:r>
                <w:rPr>
                  <w:rFonts w:ascii="Cambria Math" w:eastAsiaTheme="minorEastAsia" w:hAnsi="Cambria Math" w:cs="Arial"/>
                </w:rPr>
                <m:t>B</m:t>
              </m:r>
            </m:sub>
          </m:sSub>
          <m:r>
            <w:rPr>
              <w:rFonts w:ascii="Cambria Math" w:eastAsiaTheme="minorEastAsia" w:hAnsi="Cambria Math" w:cs="Arial"/>
            </w:rPr>
            <m:t>=</m:t>
          </m:r>
          <m:f>
            <m:fPr>
              <m:ctrlPr>
                <w:rPr>
                  <w:rFonts w:ascii="Cambria Math" w:eastAsiaTheme="minorEastAsia" w:hAnsi="Cambria Math" w:cs="Arial"/>
                </w:rPr>
              </m:ctrlPr>
            </m:fPr>
            <m:num>
              <m:r>
                <m:rPr>
                  <m:nor/>
                </m:rPr>
                <w:rPr>
                  <w:rFonts w:ascii="Arial" w:eastAsiaTheme="minorEastAsia" w:hAnsi="Arial" w:cs="Arial"/>
                </w:rPr>
                <m:t>Initial Capital Outlay</m:t>
              </m:r>
            </m:num>
            <m:den>
              <m:r>
                <m:rPr>
                  <m:nor/>
                </m:rPr>
                <w:rPr>
                  <w:rFonts w:ascii="Arial" w:eastAsiaTheme="minorEastAsia" w:hAnsi="Arial" w:cs="Arial"/>
                </w:rPr>
                <m:t>Annual Net Cash Inflow</m:t>
              </m:r>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50,000,000</m:t>
              </m:r>
            </m:num>
            <m:den>
              <m:r>
                <m:rPr>
                  <m:sty m:val="p"/>
                </m:rPr>
                <w:rPr>
                  <w:rFonts w:ascii="Cambria Math" w:eastAsiaTheme="minorEastAsia" w:hAnsi="Cambria Math" w:cs="Arial"/>
                </w:rPr>
                <m:t>£</m:t>
              </m:r>
              <m:r>
                <w:rPr>
                  <w:rFonts w:ascii="Cambria Math" w:eastAsiaTheme="minorEastAsia" w:hAnsi="Cambria Math" w:cs="Arial"/>
                </w:rPr>
                <m:t>11,000,000</m:t>
              </m:r>
            </m:den>
          </m:f>
          <m:r>
            <w:rPr>
              <w:rFonts w:ascii="Cambria Math" w:eastAsiaTheme="minorEastAsia" w:hAnsi="Cambria Math" w:cs="Arial"/>
            </w:rPr>
            <m:t>=4.55</m:t>
          </m:r>
          <m:r>
            <m:rPr>
              <m:nor/>
            </m:rPr>
            <w:rPr>
              <w:rFonts w:ascii="Arial" w:eastAsiaTheme="minorEastAsia" w:hAnsi="Arial" w:cs="Arial"/>
            </w:rPr>
            <m:t> Years</m:t>
          </m:r>
        </m:oMath>
      </m:oMathPara>
    </w:p>
    <w:p w14:paraId="4CF0AEC1" w14:textId="7DEB162A" w:rsidR="00711FD7" w:rsidRPr="00936FE8" w:rsidRDefault="00711FD7" w:rsidP="0054327B">
      <w:pPr>
        <w:spacing w:line="360" w:lineRule="auto"/>
        <w:rPr>
          <w:rFonts w:ascii="Arial" w:eastAsiaTheme="minorEastAsia" w:hAnsi="Arial" w:cs="Arial"/>
        </w:rPr>
      </w:pPr>
      <w:r w:rsidRPr="00936FE8">
        <w:rPr>
          <w:rFonts w:ascii="Arial" w:eastAsiaTheme="minorEastAsia" w:hAnsi="Arial" w:cs="Arial"/>
        </w:rPr>
        <w:t xml:space="preserve">For the ARR computation, the cumulative inflows total 55 million, yielding 5 million in aggregate accounting profit after adjusting for </w:t>
      </w:r>
      <w:r w:rsidR="00F57760" w:rsidRPr="00936FE8">
        <w:rPr>
          <w:rFonts w:ascii="Arial" w:eastAsiaTheme="minorEastAsia" w:hAnsi="Arial" w:cs="Arial"/>
        </w:rPr>
        <w:t xml:space="preserve">the 50 million total depreciation burden. </w:t>
      </w:r>
    </w:p>
    <w:p w14:paraId="015EC410" w14:textId="416C2737" w:rsidR="00F57760"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Average Annual Accounting Profit</m:t>
              </m:r>
            </m:e>
            <m:sub>
              <m:r>
                <w:rPr>
                  <w:rFonts w:ascii="Cambria Math" w:eastAsiaTheme="minorEastAsia" w:hAnsi="Cambria Math" w:cs="Arial"/>
                </w:rPr>
                <m:t>B</m:t>
              </m:r>
            </m:sub>
          </m:sSub>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5,000,000</m:t>
              </m:r>
            </m:num>
            <m:den>
              <m:r>
                <w:rPr>
                  <w:rFonts w:ascii="Cambria Math" w:eastAsiaTheme="minorEastAsia" w:hAnsi="Cambria Math" w:cs="Arial"/>
                </w:rPr>
                <m:t>5</m:t>
              </m:r>
              <m:r>
                <m:rPr>
                  <m:nor/>
                </m:rPr>
                <w:rPr>
                  <w:rFonts w:ascii="Arial" w:eastAsiaTheme="minorEastAsia" w:hAnsi="Arial" w:cs="Arial"/>
                </w:rPr>
                <m:t> Years</m:t>
              </m:r>
            </m:den>
          </m:f>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1,000,000</m:t>
          </m:r>
        </m:oMath>
      </m:oMathPara>
    </w:p>
    <w:p w14:paraId="2B945A41" w14:textId="36910F63" w:rsidR="00F57760"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ARR</m:t>
              </m:r>
            </m:e>
            <m:sub>
              <m:r>
                <w:rPr>
                  <w:rFonts w:ascii="Cambria Math" w:eastAsiaTheme="minorEastAsia" w:hAnsi="Cambria Math" w:cs="Arial"/>
                </w:rPr>
                <m:t>B</m:t>
              </m:r>
            </m:sub>
          </m:sSub>
          <m:r>
            <w:rPr>
              <w:rFonts w:ascii="Cambria Math" w:eastAsiaTheme="minorEastAsia" w:hAnsi="Cambria Math" w:cs="Arial"/>
            </w:rPr>
            <m:t>=</m:t>
          </m:r>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Average Annual Accounting Profit</m:t>
                  </m:r>
                </m:e>
                <m:sub>
                  <m:r>
                    <w:rPr>
                      <w:rFonts w:ascii="Cambria Math" w:eastAsiaTheme="minorEastAsia" w:hAnsi="Cambria Math" w:cs="Arial"/>
                    </w:rPr>
                    <m:t>B</m:t>
                  </m:r>
                </m:sub>
              </m:sSub>
            </m:num>
            <m:den>
              <m:r>
                <m:rPr>
                  <m:nor/>
                </m:rPr>
                <w:rPr>
                  <w:rFonts w:ascii="Arial" w:eastAsiaTheme="minorEastAsia" w:hAnsi="Arial" w:cs="Arial"/>
                </w:rPr>
                <m:t>Average Investment Base</m:t>
              </m:r>
            </m:den>
          </m:f>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1,000,000</m:t>
          </m:r>
          <m:sSub>
            <m:sSubPr>
              <m:ctrlPr>
                <w:rPr>
                  <w:rFonts w:ascii="Cambria Math" w:eastAsiaTheme="minorEastAsia" w:hAnsi="Cambria Math" w:cs="Arial"/>
                </w:rPr>
              </m:ctrlPr>
            </m:sSubPr>
            <m:e>
              <m:r>
                <m:rPr>
                  <m:nor/>
                </m:rPr>
                <w:rPr>
                  <w:rFonts w:ascii="Arial" w:eastAsiaTheme="minorEastAsia" w:hAnsi="Arial" w:cs="Arial"/>
                </w:rPr>
                <m:t>PV</m:t>
              </m:r>
            </m:e>
            <m:sub>
              <m:r>
                <w:rPr>
                  <w:rFonts w:ascii="Cambria Math" w:eastAsiaTheme="minorEastAsia" w:hAnsi="Cambria Math" w:cs="Arial"/>
                </w:rPr>
                <m:t>B</m:t>
              </m:r>
            </m:sub>
          </m:sSub>
          <m:r>
            <w:rPr>
              <w:rFonts w:ascii="Cambria Math" w:eastAsiaTheme="minorEastAsia" w:hAnsi="Cambria Math" w:cs="Arial"/>
            </w:rPr>
            <m:t>=</m:t>
          </m:r>
          <m:r>
            <m:rPr>
              <m:nor/>
            </m:rPr>
            <w:rPr>
              <w:rFonts w:ascii="Arial" w:eastAsiaTheme="minorEastAsia" w:hAnsi="Arial" w:cs="Arial"/>
            </w:rPr>
            <m:t>Annual Net Cash Inflow</m:t>
          </m:r>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PVAF</m:t>
              </m:r>
            </m:e>
            <m:sub>
              <m:r>
                <w:rPr>
                  <w:rFonts w:ascii="Cambria Math" w:eastAsiaTheme="minorEastAsia" w:hAnsi="Cambria Math" w:cs="Arial"/>
                </w:rPr>
                <m:t>8%,5</m:t>
              </m:r>
              <m:r>
                <m:rPr>
                  <m:nor/>
                </m:rPr>
                <w:rPr>
                  <w:rFonts w:ascii="Arial" w:eastAsiaTheme="minorEastAsia" w:hAnsi="Arial" w:cs="Arial"/>
                </w:rPr>
                <m:t>y</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11,000,000×3.99271=</m:t>
          </m:r>
          <m:r>
            <m:rPr>
              <m:sty m:val="p"/>
            </m:rPr>
            <w:rPr>
              <w:rFonts w:ascii="Cambria Math" w:eastAsiaTheme="minorEastAsia" w:hAnsi="Cambria Math" w:cs="Arial"/>
            </w:rPr>
            <m:t>£</m:t>
          </m:r>
          <m:r>
            <w:rPr>
              <w:rFonts w:ascii="Cambria Math" w:eastAsiaTheme="minorEastAsia" w:hAnsi="Cambria Math" w:cs="Arial"/>
            </w:rPr>
            <m:t>43,919,810</m:t>
          </m:r>
          <m:r>
            <m:rPr>
              <m:sty m:val="p"/>
            </m:rPr>
            <w:rPr>
              <w:rFonts w:ascii="Cambria Math" w:eastAsiaTheme="minorEastAsia" w:hAnsi="Cambria Math" w:cs="Arial"/>
            </w:rPr>
            <w:br/>
          </m:r>
        </m:oMath>
        <m:oMath>
          <m:r>
            <w:rPr>
              <w:rFonts w:ascii="Cambria Math" w:eastAsiaTheme="minorEastAsia" w:hAnsi="Cambria Math" w:cs="Arial"/>
            </w:rPr>
            <m:t>25,000,000×100=4.00%</m:t>
          </m:r>
        </m:oMath>
      </m:oMathPara>
    </w:p>
    <w:p w14:paraId="273FCC95" w14:textId="5F7789E8" w:rsidR="00F57760" w:rsidRPr="00936FE8" w:rsidRDefault="0021350E" w:rsidP="0054327B">
      <w:pPr>
        <w:spacing w:line="360" w:lineRule="auto"/>
        <w:rPr>
          <w:rFonts w:ascii="Arial" w:eastAsiaTheme="minorEastAsia" w:hAnsi="Arial" w:cs="Arial"/>
          <w:b/>
          <w:bCs/>
          <w:i/>
          <w:iCs/>
        </w:rPr>
      </w:pPr>
      <w:r w:rsidRPr="00936FE8">
        <w:rPr>
          <w:rFonts w:ascii="Arial" w:eastAsiaTheme="minorEastAsia" w:hAnsi="Arial" w:cs="Arial"/>
          <w:b/>
          <w:bCs/>
          <w:i/>
          <w:iCs/>
        </w:rPr>
        <w:t xml:space="preserve">Discounted cash flow (DCF) metrics </w:t>
      </w:r>
    </w:p>
    <w:p w14:paraId="7978266E" w14:textId="7BE3601E" w:rsidR="0021350E" w:rsidRPr="00936FE8" w:rsidRDefault="00871258" w:rsidP="0054327B">
      <w:pPr>
        <w:spacing w:line="360" w:lineRule="auto"/>
        <w:rPr>
          <w:rFonts w:ascii="Arial" w:eastAsiaTheme="minorEastAsia" w:hAnsi="Arial" w:cs="Arial"/>
        </w:rPr>
      </w:pPr>
      <w:r w:rsidRPr="00936FE8">
        <w:rPr>
          <w:rFonts w:ascii="Arial" w:eastAsiaTheme="minorEastAsia" w:hAnsi="Arial" w:cs="Arial"/>
        </w:rPr>
        <w:t xml:space="preserve">Using the standard 5-year present value annuity factor (PVAF) at the 8% cost of the </w:t>
      </w:r>
      <w:r w:rsidR="0054327B" w:rsidRPr="00936FE8">
        <w:rPr>
          <w:rFonts w:ascii="Arial" w:eastAsiaTheme="minorEastAsia" w:hAnsi="Arial" w:cs="Arial"/>
        </w:rPr>
        <w:t>capital</w:t>
      </w:r>
      <w:r w:rsidRPr="00936FE8">
        <w:rPr>
          <w:rFonts w:ascii="Arial" w:eastAsiaTheme="minorEastAsia" w:hAnsi="Arial" w:cs="Arial"/>
        </w:rPr>
        <w:t xml:space="preserve"> (3.9927): </w:t>
      </w:r>
    </w:p>
    <w:p w14:paraId="7011AE13" w14:textId="542438DA" w:rsidR="00871258"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PV</m:t>
              </m:r>
            </m:e>
            <m:sub>
              <m:r>
                <w:rPr>
                  <w:rFonts w:ascii="Cambria Math" w:eastAsiaTheme="minorEastAsia" w:hAnsi="Cambria Math" w:cs="Arial"/>
                </w:rPr>
                <m:t>B</m:t>
              </m:r>
            </m:sub>
          </m:sSub>
          <m:r>
            <w:rPr>
              <w:rFonts w:ascii="Cambria Math" w:eastAsiaTheme="minorEastAsia" w:hAnsi="Cambria Math" w:cs="Arial"/>
            </w:rPr>
            <m:t>=</m:t>
          </m:r>
          <m:r>
            <m:rPr>
              <m:nor/>
            </m:rPr>
            <w:rPr>
              <w:rFonts w:ascii="Arial" w:eastAsiaTheme="minorEastAsia" w:hAnsi="Arial" w:cs="Arial"/>
            </w:rPr>
            <m:t>Annual Net Cash Inflow</m:t>
          </m:r>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PVAF</m:t>
              </m:r>
            </m:e>
            <m:sub>
              <m:r>
                <w:rPr>
                  <w:rFonts w:ascii="Cambria Math" w:eastAsiaTheme="minorEastAsia" w:hAnsi="Cambria Math" w:cs="Arial"/>
                </w:rPr>
                <m:t>8%,5</m:t>
              </m:r>
              <m:r>
                <m:rPr>
                  <m:nor/>
                </m:rPr>
                <w:rPr>
                  <w:rFonts w:ascii="Arial" w:eastAsiaTheme="minorEastAsia" w:hAnsi="Arial" w:cs="Arial"/>
                </w:rPr>
                <m:t>y</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11,000,000×3.99271=</m:t>
          </m:r>
          <m:r>
            <m:rPr>
              <m:sty m:val="p"/>
            </m:rPr>
            <w:rPr>
              <w:rFonts w:ascii="Cambria Math" w:eastAsiaTheme="minorEastAsia" w:hAnsi="Cambria Math" w:cs="Arial"/>
            </w:rPr>
            <m:t>£</m:t>
          </m:r>
          <m:r>
            <w:rPr>
              <w:rFonts w:ascii="Cambria Math" w:eastAsiaTheme="minorEastAsia" w:hAnsi="Cambria Math" w:cs="Arial"/>
            </w:rPr>
            <m:t>43,919,810</m:t>
          </m:r>
        </m:oMath>
      </m:oMathPara>
    </w:p>
    <w:p w14:paraId="097E563A" w14:textId="4B3D0C36" w:rsidR="00846A18"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B</m:t>
              </m:r>
            </m:sub>
          </m:sSub>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Total PV</m:t>
              </m:r>
            </m:e>
            <m:sub>
              <m:r>
                <w:rPr>
                  <w:rFonts w:ascii="Cambria Math" w:eastAsiaTheme="minorEastAsia" w:hAnsi="Cambria Math" w:cs="Arial"/>
                </w:rPr>
                <m:t>B</m:t>
              </m:r>
            </m:sub>
          </m:sSub>
          <m:r>
            <w:rPr>
              <w:rFonts w:ascii="Cambria Math" w:eastAsiaTheme="minorEastAsia" w:hAnsi="Cambria Math" w:cs="Arial"/>
            </w:rPr>
            <m:t>-</m:t>
          </m:r>
          <m:r>
            <m:rPr>
              <m:nor/>
            </m:rPr>
            <w:rPr>
              <w:rFonts w:ascii="Arial" w:eastAsiaTheme="minorEastAsia" w:hAnsi="Arial" w:cs="Arial"/>
            </w:rPr>
            <m:t>Initial Capital Outlay</m:t>
          </m:r>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43,919,810-</m:t>
          </m:r>
          <m:r>
            <m:rPr>
              <m:sty m:val="p"/>
            </m:rPr>
            <w:rPr>
              <w:rFonts w:ascii="Cambria Math" w:eastAsiaTheme="minorEastAsia" w:hAnsi="Cambria Math" w:cs="Arial"/>
            </w:rPr>
            <m:t>£</m:t>
          </m:r>
          <m:r>
            <w:rPr>
              <w:rFonts w:ascii="Cambria Math" w:eastAsiaTheme="minorEastAsia" w:hAnsi="Cambria Math" w:cs="Arial"/>
            </w:rPr>
            <m:t>50,000,000=-</m:t>
          </m:r>
          <m:r>
            <m:rPr>
              <m:sty m:val="p"/>
            </m:rPr>
            <w:rPr>
              <w:rFonts w:ascii="Cambria Math" w:eastAsiaTheme="minorEastAsia" w:hAnsi="Cambria Math" w:cs="Arial"/>
            </w:rPr>
            <m:t>£</m:t>
          </m:r>
          <m:r>
            <w:rPr>
              <w:rFonts w:ascii="Cambria Math" w:eastAsiaTheme="minorEastAsia" w:hAnsi="Cambria Math" w:cs="Arial"/>
            </w:rPr>
            <m:t>6,080,190</m:t>
          </m:r>
        </m:oMath>
      </m:oMathPara>
    </w:p>
    <w:p w14:paraId="0A40A077" w14:textId="1AD7E652" w:rsidR="00846A18"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PI</m:t>
              </m:r>
            </m:e>
            <m:sub>
              <m:r>
                <w:rPr>
                  <w:rFonts w:ascii="Cambria Math" w:eastAsiaTheme="minorEastAsia" w:hAnsi="Cambria Math" w:cs="Arial"/>
                </w:rPr>
                <m:t>B</m:t>
              </m:r>
            </m:sub>
          </m:sSub>
          <m:r>
            <w:rPr>
              <w:rFonts w:ascii="Cambria Math" w:eastAsiaTheme="minorEastAsia" w:hAnsi="Cambria Math" w:cs="Arial"/>
            </w:rPr>
            <m:t>=</m:t>
          </m:r>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Total PV</m:t>
                  </m:r>
                </m:e>
                <m:sub>
                  <m:r>
                    <w:rPr>
                      <w:rFonts w:ascii="Cambria Math" w:eastAsiaTheme="minorEastAsia" w:hAnsi="Cambria Math" w:cs="Arial"/>
                    </w:rPr>
                    <m:t>B</m:t>
                  </m:r>
                </m:sub>
              </m:sSub>
            </m:num>
            <m:den>
              <m:r>
                <m:rPr>
                  <m:nor/>
                </m:rPr>
                <w:rPr>
                  <w:rFonts w:ascii="Arial" w:eastAsiaTheme="minorEastAsia" w:hAnsi="Arial" w:cs="Arial"/>
                </w:rPr>
                <m:t>Initial Outlay</m:t>
              </m:r>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43,919,810</m:t>
              </m:r>
            </m:num>
            <m:den>
              <m:r>
                <m:rPr>
                  <m:sty m:val="p"/>
                </m:rPr>
                <w:rPr>
                  <w:rFonts w:ascii="Cambria Math" w:eastAsiaTheme="minorEastAsia" w:hAnsi="Cambria Math" w:cs="Arial"/>
                </w:rPr>
                <m:t>£</m:t>
              </m:r>
              <m:r>
                <w:rPr>
                  <w:rFonts w:ascii="Cambria Math" w:eastAsiaTheme="minorEastAsia" w:hAnsi="Cambria Math" w:cs="Arial"/>
                </w:rPr>
                <m:t>50,000,000</m:t>
              </m:r>
            </m:den>
          </m:f>
          <m:r>
            <w:rPr>
              <w:rFonts w:ascii="Cambria Math" w:eastAsiaTheme="minorEastAsia" w:hAnsi="Cambria Math" w:cs="Arial"/>
            </w:rPr>
            <m:t>=0.878</m:t>
          </m:r>
        </m:oMath>
      </m:oMathPara>
    </w:p>
    <w:p w14:paraId="7E28E58A" w14:textId="31EF9A49" w:rsidR="00846A18" w:rsidRPr="00936FE8" w:rsidRDefault="00846A18" w:rsidP="0054327B">
      <w:pPr>
        <w:spacing w:line="360" w:lineRule="auto"/>
        <w:rPr>
          <w:rFonts w:ascii="Arial" w:eastAsiaTheme="minorEastAsia" w:hAnsi="Arial" w:cs="Arial"/>
        </w:rPr>
      </w:pPr>
      <w:r w:rsidRPr="00936FE8">
        <w:rPr>
          <w:rFonts w:ascii="Arial" w:eastAsiaTheme="minorEastAsia" w:hAnsi="Arial" w:cs="Arial"/>
        </w:rPr>
        <w:t>Interpolating between the baseline 8% rate and the 3% trial rate ((</w:t>
      </w:r>
      <m:oMath>
        <m:sSub>
          <m:sSubPr>
            <m:ctrlPr>
              <w:rPr>
                <w:rFonts w:ascii="Cambria Math" w:eastAsiaTheme="minorEastAsia" w:hAnsi="Cambria Math" w:cs="Arial"/>
              </w:rPr>
            </m:ctrlPr>
          </m:sSubPr>
          <m:e>
            <m:r>
              <m:rPr>
                <m:nor/>
              </m:rPr>
              <w:rPr>
                <w:rFonts w:ascii="Arial" w:eastAsiaTheme="minorEastAsia" w:hAnsi="Arial" w:cs="Arial"/>
              </w:rPr>
              <m:t>PV</m:t>
            </m:r>
          </m:e>
          <m:sub>
            <m:r>
              <m:rPr>
                <m:nor/>
              </m:rPr>
              <w:rPr>
                <w:rFonts w:ascii="Arial" w:eastAsiaTheme="minorEastAsia" w:hAnsi="Arial" w:cs="Arial"/>
              </w:rPr>
              <m:t>at 3%</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11</m:t>
        </m:r>
        <m:r>
          <m:rPr>
            <m:nor/>
          </m:rPr>
          <w:rPr>
            <w:rFonts w:ascii="Arial" w:eastAsiaTheme="minorEastAsia" w:hAnsi="Arial" w:cs="Arial"/>
          </w:rPr>
          <m:t>m</m:t>
        </m:r>
        <m:r>
          <w:rPr>
            <w:rFonts w:ascii="Cambria Math" w:eastAsiaTheme="minorEastAsia" w:hAnsi="Cambria Math" w:cs="Arial"/>
          </w:rPr>
          <m:t>×4.57971=</m:t>
        </m:r>
        <m:r>
          <m:rPr>
            <m:sty m:val="p"/>
          </m:rPr>
          <w:rPr>
            <w:rFonts w:ascii="Cambria Math" w:eastAsiaTheme="minorEastAsia" w:hAnsi="Cambria Math" w:cs="Arial"/>
          </w:rPr>
          <m:t>£</m:t>
        </m:r>
        <m:r>
          <w:rPr>
            <w:rFonts w:ascii="Cambria Math" w:eastAsiaTheme="minorEastAsia" w:hAnsi="Cambria Math" w:cs="Arial"/>
          </w:rPr>
          <m:t>50,376,810</m:t>
        </m:r>
      </m:oMath>
      <w:r w:rsidRPr="00936FE8">
        <w:rPr>
          <w:rFonts w:ascii="Arial" w:eastAsiaTheme="minorEastAsia" w:hAnsi="Arial" w:cs="Arial"/>
        </w:rPr>
        <w:t xml:space="preserve">; </w:t>
      </w:r>
      <m:oMath>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at 3%</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376,810</m:t>
        </m:r>
      </m:oMath>
      <w:r w:rsidRPr="00936FE8">
        <w:rPr>
          <w:rFonts w:ascii="Arial" w:eastAsiaTheme="minorEastAsia" w:hAnsi="Arial" w:cs="Arial"/>
        </w:rPr>
        <w:t xml:space="preserve">) provides the exact IRR: </w:t>
      </w:r>
    </w:p>
    <w:p w14:paraId="26F3E71A" w14:textId="4EEBB826" w:rsidR="00846A18"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B</m:t>
              </m:r>
            </m:sub>
          </m:sSub>
          <m:r>
            <w:rPr>
              <w:rFonts w:ascii="Cambria Math" w:eastAsiaTheme="minorEastAsia" w:hAnsi="Cambria Math" w:cs="Arial"/>
            </w:rPr>
            <m:t>=3%+</m:t>
          </m:r>
          <m:d>
            <m:dPr>
              <m:ctrlPr>
                <w:rPr>
                  <w:rFonts w:ascii="Cambria Math" w:eastAsiaTheme="minorEastAsia" w:hAnsi="Cambria Math" w:cs="Arial"/>
                </w:rPr>
              </m:ctrlPr>
            </m:dPr>
            <m:e>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376,810</m:t>
                  </m:r>
                </m:num>
                <m:den>
                  <m:r>
                    <m:rPr>
                      <m:sty m:val="p"/>
                    </m:rPr>
                    <w:rPr>
                      <w:rFonts w:ascii="Cambria Math" w:eastAsiaTheme="minorEastAsia" w:hAnsi="Cambria Math" w:cs="Arial"/>
                    </w:rPr>
                    <m:t>£</m:t>
                  </m:r>
                  <m:r>
                    <w:rPr>
                      <w:rFonts w:ascii="Cambria Math" w:eastAsiaTheme="minorEastAsia" w:hAnsi="Cambria Math" w:cs="Arial"/>
                    </w:rPr>
                    <m:t>376,810-</m:t>
                  </m:r>
                  <m:d>
                    <m:dPr>
                      <m:ctrlPr>
                        <w:rPr>
                          <w:rFonts w:ascii="Cambria Math" w:eastAsiaTheme="minorEastAsia" w:hAnsi="Cambria Math" w:cs="Arial"/>
                        </w:rPr>
                      </m:ctrlPr>
                    </m:dPr>
                    <m:e>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6,080,190</m:t>
                      </m:r>
                    </m:e>
                  </m:d>
                </m:den>
              </m:f>
            </m:e>
          </m:d>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8%-3%</m:t>
              </m:r>
            </m:e>
          </m:d>
          <m:r>
            <w:rPr>
              <w:rFonts w:ascii="Cambria Math" w:eastAsiaTheme="minorEastAsia" w:hAnsi="Cambria Math" w:cs="Arial"/>
            </w:rPr>
            <m:t>=3%+</m:t>
          </m:r>
          <m:d>
            <m:dPr>
              <m:ctrlPr>
                <w:rPr>
                  <w:rFonts w:ascii="Cambria Math" w:eastAsiaTheme="minorEastAsia" w:hAnsi="Cambria Math" w:cs="Arial"/>
                </w:rPr>
              </m:ctrlPr>
            </m:dPr>
            <m:e>
              <m:r>
                <w:rPr>
                  <w:rFonts w:ascii="Cambria Math" w:eastAsiaTheme="minorEastAsia" w:hAnsi="Cambria Math" w:cs="Arial"/>
                </w:rPr>
                <m:t>0.05836×5%</m:t>
              </m:r>
            </m:e>
          </m:d>
          <m:r>
            <w:rPr>
              <w:rFonts w:ascii="Cambria Math" w:eastAsiaTheme="minorEastAsia" w:hAnsi="Cambria Math" w:cs="Arial"/>
            </w:rPr>
            <m:t>=3.29%</m:t>
          </m:r>
        </m:oMath>
      </m:oMathPara>
    </w:p>
    <w:p w14:paraId="7904D060" w14:textId="348E2C19" w:rsidR="00846A18" w:rsidRPr="00936FE8" w:rsidRDefault="00D7737F" w:rsidP="00D7737F">
      <w:pPr>
        <w:pStyle w:val="Heading3"/>
        <w:rPr>
          <w:rFonts w:ascii="Arial" w:eastAsiaTheme="minorEastAsia" w:hAnsi="Arial" w:cs="Arial"/>
        </w:rPr>
      </w:pPr>
      <w:bookmarkStart w:id="21" w:name="_Toc235785109"/>
      <w:r w:rsidRPr="00936FE8">
        <w:rPr>
          <w:rFonts w:ascii="Arial" w:eastAsiaTheme="minorEastAsia" w:hAnsi="Arial" w:cs="Arial"/>
        </w:rPr>
        <w:t xml:space="preserve">4.2.3 </w:t>
      </w:r>
      <w:r w:rsidR="00846A18" w:rsidRPr="00936FE8">
        <w:rPr>
          <w:rFonts w:ascii="Arial" w:eastAsiaTheme="minorEastAsia" w:hAnsi="Arial" w:cs="Arial"/>
        </w:rPr>
        <w:t>Project C evaluation: Back-loaded progressive outlay</w:t>
      </w:r>
      <w:bookmarkEnd w:id="21"/>
      <w:r w:rsidR="00846A18" w:rsidRPr="00936FE8">
        <w:rPr>
          <w:rFonts w:ascii="Arial" w:eastAsiaTheme="minorEastAsia" w:hAnsi="Arial" w:cs="Arial"/>
        </w:rPr>
        <w:t xml:space="preserve"> </w:t>
      </w:r>
    </w:p>
    <w:p w14:paraId="348530FF" w14:textId="2628F7CA" w:rsidR="00846A18" w:rsidRPr="00936FE8" w:rsidRDefault="00846A18" w:rsidP="0054327B">
      <w:pPr>
        <w:spacing w:line="360" w:lineRule="auto"/>
        <w:rPr>
          <w:rFonts w:ascii="Arial" w:eastAsiaTheme="minorEastAsia" w:hAnsi="Arial" w:cs="Arial"/>
        </w:rPr>
      </w:pPr>
      <w:r w:rsidRPr="00936FE8">
        <w:rPr>
          <w:rFonts w:ascii="Arial" w:eastAsiaTheme="minorEastAsia" w:hAnsi="Arial" w:cs="Arial"/>
        </w:rPr>
        <w:t xml:space="preserve">Project C features </w:t>
      </w:r>
      <w:r w:rsidR="00790833" w:rsidRPr="00936FE8">
        <w:rPr>
          <w:rFonts w:ascii="Arial" w:eastAsiaTheme="minorEastAsia" w:hAnsi="Arial" w:cs="Arial"/>
        </w:rPr>
        <w:t>a back-loaded cash curve that peaks sharply in year 3 (£20m) and year 4 (£25m). This profile matches the standard life cycle of the greenfield hotel builds or structural international market entries, in which the upfront ramp-up periods give way to strong operational gains over time (Slattery</w:t>
      </w:r>
      <w:r w:rsidR="00AB1543" w:rsidRPr="00936FE8">
        <w:rPr>
          <w:rFonts w:ascii="Arial" w:eastAsiaTheme="minorEastAsia" w:hAnsi="Arial" w:cs="Arial"/>
        </w:rPr>
        <w:t xml:space="preserve">, 2022). </w:t>
      </w:r>
    </w:p>
    <w:p w14:paraId="70E86B16" w14:textId="600FDC59" w:rsidR="00AB1543" w:rsidRPr="00936FE8" w:rsidRDefault="00AB1543" w:rsidP="0054327B">
      <w:pPr>
        <w:spacing w:line="360" w:lineRule="auto"/>
        <w:rPr>
          <w:rFonts w:ascii="Arial" w:eastAsiaTheme="minorEastAsia" w:hAnsi="Arial" w:cs="Arial"/>
          <w:b/>
          <w:bCs/>
          <w:i/>
          <w:iCs/>
        </w:rPr>
      </w:pPr>
      <w:r w:rsidRPr="00936FE8">
        <w:rPr>
          <w:rFonts w:ascii="Arial" w:eastAsiaTheme="minorEastAsia" w:hAnsi="Arial" w:cs="Arial"/>
          <w:b/>
          <w:bCs/>
          <w:i/>
          <w:iCs/>
        </w:rPr>
        <w:t>Non-discounted metrics</w:t>
      </w:r>
    </w:p>
    <w:p w14:paraId="209307BF" w14:textId="4FFEA07C" w:rsidR="00AB1543" w:rsidRPr="00936FE8" w:rsidRDefault="001A1787" w:rsidP="0054327B">
      <w:pPr>
        <w:spacing w:line="360" w:lineRule="auto"/>
        <w:rPr>
          <w:rFonts w:ascii="Arial" w:eastAsiaTheme="minorEastAsia" w:hAnsi="Arial" w:cs="Arial"/>
        </w:rPr>
      </w:pPr>
      <w:r w:rsidRPr="00936FE8">
        <w:rPr>
          <w:rFonts w:ascii="Arial" w:eastAsiaTheme="minorEastAsia" w:hAnsi="Arial" w:cs="Arial"/>
        </w:rPr>
        <w:t xml:space="preserve">Tracking of the cumulative flows presents the rapid mid-cycle capital recovery: Year 1 (£5m), Year 2 (£15m), and Year 3 (£35m). Entering Year 4, the unrecovered asset volume stands at £15 million (£50m- £35m). </w:t>
      </w:r>
    </w:p>
    <w:p w14:paraId="1C126B0C" w14:textId="485D9E72" w:rsidR="001A1787"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PBP</m:t>
              </m:r>
            </m:e>
            <m:sub>
              <m:r>
                <w:rPr>
                  <w:rFonts w:ascii="Cambria Math" w:eastAsiaTheme="minorEastAsia" w:hAnsi="Cambria Math" w:cs="Arial"/>
                </w:rPr>
                <m:t>C</m:t>
              </m:r>
            </m:sub>
          </m:sSub>
          <m:r>
            <w:rPr>
              <w:rFonts w:ascii="Cambria Math" w:eastAsiaTheme="minorEastAsia" w:hAnsi="Cambria Math" w:cs="Arial"/>
            </w:rPr>
            <m:t>=3</m:t>
          </m:r>
          <m:r>
            <m:rPr>
              <m:nor/>
            </m:rPr>
            <w:rPr>
              <w:rFonts w:ascii="Arial" w:eastAsiaTheme="minorEastAsia" w:hAnsi="Arial" w:cs="Arial"/>
            </w:rPr>
            <m:t> Years</m:t>
          </m:r>
          <m:r>
            <w:rPr>
              <w:rFonts w:ascii="Cambria Math" w:eastAsiaTheme="minorEastAsia" w:hAnsi="Cambria Math" w:cs="Arial"/>
            </w:rPr>
            <m:t>+</m:t>
          </m:r>
          <m:d>
            <m:dPr>
              <m:ctrlPr>
                <w:rPr>
                  <w:rFonts w:ascii="Cambria Math" w:eastAsiaTheme="minorEastAsia" w:hAnsi="Cambria Math" w:cs="Arial"/>
                </w:rPr>
              </m:ctrlPr>
            </m:dPr>
            <m:e>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15,000,000</m:t>
                  </m:r>
                </m:num>
                <m:den>
                  <m:r>
                    <m:rPr>
                      <m:sty m:val="p"/>
                    </m:rPr>
                    <w:rPr>
                      <w:rFonts w:ascii="Cambria Math" w:eastAsiaTheme="minorEastAsia" w:hAnsi="Cambria Math" w:cs="Arial"/>
                    </w:rPr>
                    <m:t>£</m:t>
                  </m:r>
                  <m:r>
                    <w:rPr>
                      <w:rFonts w:ascii="Cambria Math" w:eastAsiaTheme="minorEastAsia" w:hAnsi="Cambria Math" w:cs="Arial"/>
                    </w:rPr>
                    <m:t>25,000,000</m:t>
                  </m:r>
                  <m:r>
                    <m:rPr>
                      <m:nor/>
                    </m:rPr>
                    <w:rPr>
                      <w:rFonts w:ascii="Arial" w:eastAsiaTheme="minorEastAsia" w:hAnsi="Arial" w:cs="Arial"/>
                    </w:rPr>
                    <m:t> (Year 4 Cash Flow)</m:t>
                  </m:r>
                </m:den>
              </m:f>
            </m:e>
          </m:d>
          <m:r>
            <w:rPr>
              <w:rFonts w:ascii="Cambria Math" w:eastAsiaTheme="minorEastAsia" w:hAnsi="Cambria Math" w:cs="Arial"/>
            </w:rPr>
            <m:t>=3.60</m:t>
          </m:r>
          <m:r>
            <m:rPr>
              <m:nor/>
            </m:rPr>
            <w:rPr>
              <w:rFonts w:ascii="Arial" w:eastAsiaTheme="minorEastAsia" w:hAnsi="Arial" w:cs="Arial"/>
            </w:rPr>
            <m:t> Years</m:t>
          </m:r>
        </m:oMath>
      </m:oMathPara>
    </w:p>
    <w:p w14:paraId="1347341F" w14:textId="08670554" w:rsidR="00F57D4E" w:rsidRPr="00936FE8" w:rsidRDefault="00F57D4E" w:rsidP="0054327B">
      <w:pPr>
        <w:spacing w:line="360" w:lineRule="auto"/>
        <w:rPr>
          <w:rFonts w:ascii="Arial" w:eastAsiaTheme="minorEastAsia" w:hAnsi="Arial" w:cs="Arial"/>
        </w:rPr>
      </w:pPr>
      <w:r w:rsidRPr="00936FE8">
        <w:rPr>
          <w:rFonts w:ascii="Arial" w:eastAsiaTheme="minorEastAsia" w:hAnsi="Arial" w:cs="Arial"/>
        </w:rPr>
        <w:t xml:space="preserve">Project C leads to significant cumulative inflows of £65 million, offering £15 million in net accounting profit after accounting for full asset depreciation. </w:t>
      </w:r>
    </w:p>
    <w:p w14:paraId="123FC5F2" w14:textId="41FD48F7" w:rsidR="00F57D4E"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Average Annual Accounting Profit</m:t>
              </m:r>
            </m:e>
            <m:sub>
              <m:r>
                <w:rPr>
                  <w:rFonts w:ascii="Cambria Math" w:eastAsiaTheme="minorEastAsia" w:hAnsi="Cambria Math" w:cs="Arial"/>
                </w:rPr>
                <m:t>C</m:t>
              </m:r>
            </m:sub>
          </m:sSub>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15,000,000</m:t>
              </m:r>
            </m:num>
            <m:den>
              <m:r>
                <w:rPr>
                  <w:rFonts w:ascii="Cambria Math" w:eastAsiaTheme="minorEastAsia" w:hAnsi="Cambria Math" w:cs="Arial"/>
                </w:rPr>
                <m:t>5</m:t>
              </m:r>
              <m:r>
                <m:rPr>
                  <m:nor/>
                </m:rPr>
                <w:rPr>
                  <w:rFonts w:ascii="Arial" w:eastAsiaTheme="minorEastAsia" w:hAnsi="Arial" w:cs="Arial"/>
                </w:rPr>
                <m:t> Years</m:t>
              </m:r>
            </m:den>
          </m:f>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3,000,000</m:t>
          </m:r>
        </m:oMath>
      </m:oMathPara>
    </w:p>
    <w:p w14:paraId="3399A191" w14:textId="2BD6C932" w:rsidR="00F57D4E"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ARR</m:t>
              </m:r>
            </m:e>
            <m:sub>
              <m:r>
                <w:rPr>
                  <w:rFonts w:ascii="Cambria Math" w:eastAsiaTheme="minorEastAsia" w:hAnsi="Cambria Math" w:cs="Arial"/>
                </w:rPr>
                <m:t>C</m:t>
              </m:r>
            </m:sub>
          </m:sSub>
          <m:r>
            <w:rPr>
              <w:rFonts w:ascii="Cambria Math" w:eastAsiaTheme="minorEastAsia" w:hAnsi="Cambria Math" w:cs="Arial"/>
            </w:rPr>
            <m:t>=</m:t>
          </m:r>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Average Annual Accounting Profit</m:t>
                  </m:r>
                </m:e>
                <m:sub>
                  <m:r>
                    <w:rPr>
                      <w:rFonts w:ascii="Cambria Math" w:eastAsiaTheme="minorEastAsia" w:hAnsi="Cambria Math" w:cs="Arial"/>
                    </w:rPr>
                    <m:t>C</m:t>
                  </m:r>
                </m:sub>
              </m:sSub>
            </m:num>
            <m:den>
              <m:r>
                <m:rPr>
                  <m:nor/>
                </m:rPr>
                <w:rPr>
                  <w:rFonts w:ascii="Arial" w:eastAsiaTheme="minorEastAsia" w:hAnsi="Arial" w:cs="Arial"/>
                </w:rPr>
                <m:t>Average Investment Base</m:t>
              </m:r>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3,000,000</m:t>
              </m:r>
            </m:num>
            <m:den>
              <m:r>
                <m:rPr>
                  <m:sty m:val="p"/>
                </m:rPr>
                <w:rPr>
                  <w:rFonts w:ascii="Cambria Math" w:eastAsiaTheme="minorEastAsia" w:hAnsi="Cambria Math" w:cs="Arial"/>
                </w:rPr>
                <m:t>£</m:t>
              </m:r>
              <m:r>
                <w:rPr>
                  <w:rFonts w:ascii="Cambria Math" w:eastAsiaTheme="minorEastAsia" w:hAnsi="Cambria Math" w:cs="Arial"/>
                </w:rPr>
                <m:t>25,000,000</m:t>
              </m:r>
            </m:den>
          </m:f>
          <m:r>
            <w:rPr>
              <w:rFonts w:ascii="Cambria Math" w:eastAsiaTheme="minorEastAsia" w:hAnsi="Cambria Math" w:cs="Arial"/>
            </w:rPr>
            <m:t>×100=12.00%</m:t>
          </m:r>
        </m:oMath>
      </m:oMathPara>
    </w:p>
    <w:p w14:paraId="74B52A68" w14:textId="3381BD48" w:rsidR="00F57D4E" w:rsidRPr="00936FE8" w:rsidRDefault="00F57D4E" w:rsidP="0054327B">
      <w:pPr>
        <w:spacing w:line="360" w:lineRule="auto"/>
        <w:rPr>
          <w:rFonts w:ascii="Arial" w:eastAsiaTheme="minorEastAsia" w:hAnsi="Arial" w:cs="Arial"/>
        </w:rPr>
      </w:pPr>
      <w:r w:rsidRPr="00936FE8">
        <w:rPr>
          <w:rFonts w:ascii="Arial" w:eastAsiaTheme="minorEastAsia" w:hAnsi="Arial" w:cs="Arial"/>
        </w:rPr>
        <w:t xml:space="preserve"> </w:t>
      </w:r>
    </w:p>
    <w:p w14:paraId="6848268A" w14:textId="71C5F71D" w:rsidR="00F57D4E" w:rsidRPr="00936FE8" w:rsidRDefault="00F57D4E" w:rsidP="0054327B">
      <w:pPr>
        <w:spacing w:line="360" w:lineRule="auto"/>
        <w:rPr>
          <w:rFonts w:ascii="Arial" w:eastAsiaTheme="minorEastAsia" w:hAnsi="Arial" w:cs="Arial"/>
          <w:b/>
          <w:bCs/>
          <w:i/>
          <w:iCs/>
        </w:rPr>
      </w:pPr>
      <w:r w:rsidRPr="00936FE8">
        <w:rPr>
          <w:rFonts w:ascii="Arial" w:eastAsiaTheme="minorEastAsia" w:hAnsi="Arial" w:cs="Arial"/>
          <w:b/>
          <w:bCs/>
          <w:i/>
          <w:iCs/>
        </w:rPr>
        <w:t xml:space="preserve">Discounted Cash Flow (DCF) metrics </w:t>
      </w:r>
    </w:p>
    <w:p w14:paraId="44259B50" w14:textId="1C886A30" w:rsidR="00F57D4E" w:rsidRPr="00936FE8" w:rsidRDefault="00F57D4E" w:rsidP="0054327B">
      <w:pPr>
        <w:spacing w:line="360" w:lineRule="auto"/>
        <w:rPr>
          <w:rFonts w:ascii="Arial" w:eastAsiaTheme="minorEastAsia" w:hAnsi="Arial" w:cs="Arial"/>
        </w:rPr>
      </w:pPr>
      <w:r w:rsidRPr="00936FE8">
        <w:rPr>
          <w:rFonts w:ascii="Arial" w:eastAsiaTheme="minorEastAsia" w:hAnsi="Arial" w:cs="Arial"/>
        </w:rPr>
        <w:t xml:space="preserve">Applying the 8.00% benchmark discount factor to the highly progressive cash stream: </w:t>
      </w:r>
    </w:p>
    <w:p w14:paraId="19AD2487" w14:textId="3D08A85A" w:rsidR="00F57D4E"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PV</m:t>
              </m:r>
            </m:e>
            <m:sub>
              <m:r>
                <w:rPr>
                  <w:rFonts w:ascii="Cambria Math" w:eastAsiaTheme="minorEastAsia" w:hAnsi="Cambria Math" w:cs="Arial"/>
                </w:rPr>
                <m:t>C</m:t>
              </m:r>
            </m:sub>
          </m:sSub>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5</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1</m:t>
                  </m:r>
                </m:sup>
              </m:sSup>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10</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2</m:t>
                  </m:r>
                </m:sup>
              </m:sSup>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20</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3</m:t>
                  </m:r>
                </m:sup>
              </m:sSup>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25</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4</m:t>
                  </m:r>
                </m:sup>
              </m:sSup>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5</m:t>
              </m:r>
              <m:r>
                <m:rPr>
                  <m:nor/>
                </m:rPr>
                <w:rPr>
                  <w:rFonts w:ascii="Arial" w:eastAsiaTheme="minorEastAsia" w:hAnsi="Arial" w:cs="Arial"/>
                </w:rPr>
                <m:t>m</m:t>
              </m:r>
            </m:num>
            <m:den>
              <m:sSup>
                <m:sSupPr>
                  <m:ctrlPr>
                    <w:rPr>
                      <w:rFonts w:ascii="Cambria Math" w:eastAsiaTheme="minorEastAsia" w:hAnsi="Cambria Math" w:cs="Arial"/>
                    </w:rPr>
                  </m:ctrlPr>
                </m:sSupPr>
                <m:e>
                  <m:d>
                    <m:dPr>
                      <m:ctrlPr>
                        <w:rPr>
                          <w:rFonts w:ascii="Cambria Math" w:eastAsiaTheme="minorEastAsia" w:hAnsi="Cambria Math" w:cs="Arial"/>
                        </w:rPr>
                      </m:ctrlPr>
                    </m:dPr>
                    <m:e>
                      <m:r>
                        <w:rPr>
                          <w:rFonts w:ascii="Cambria Math" w:eastAsiaTheme="minorEastAsia" w:hAnsi="Cambria Math" w:cs="Arial"/>
                        </w:rPr>
                        <m:t>1.08</m:t>
                      </m:r>
                    </m:e>
                  </m:d>
                </m:e>
                <m:sup>
                  <m:r>
                    <w:rPr>
                      <w:rFonts w:ascii="Cambria Math" w:eastAsiaTheme="minorEastAsia" w:hAnsi="Cambria Math" w:cs="Arial"/>
                    </w:rPr>
                    <m:t>5</m:t>
                  </m:r>
                </m:sup>
              </m:sSup>
            </m:den>
          </m:f>
        </m:oMath>
      </m:oMathPara>
    </w:p>
    <w:p w14:paraId="7E5A7DF3" w14:textId="77777777" w:rsidR="00F57D4E"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PV</m:t>
              </m:r>
            </m:e>
            <m:sub>
              <m:r>
                <w:rPr>
                  <w:rFonts w:ascii="Cambria Math" w:eastAsiaTheme="minorEastAsia" w:hAnsi="Cambria Math" w:cs="Arial"/>
                </w:rPr>
                <m:t>C</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4,629,630+</m:t>
          </m:r>
          <m:r>
            <m:rPr>
              <m:sty m:val="p"/>
            </m:rPr>
            <w:rPr>
              <w:rFonts w:ascii="Cambria Math" w:eastAsiaTheme="minorEastAsia" w:hAnsi="Cambria Math" w:cs="Arial"/>
            </w:rPr>
            <m:t>£</m:t>
          </m:r>
          <m:r>
            <w:rPr>
              <w:rFonts w:ascii="Cambria Math" w:eastAsiaTheme="minorEastAsia" w:hAnsi="Cambria Math" w:cs="Arial"/>
            </w:rPr>
            <m:t>8,573,388+</m:t>
          </m:r>
          <m:r>
            <m:rPr>
              <m:sty m:val="p"/>
            </m:rPr>
            <w:rPr>
              <w:rFonts w:ascii="Cambria Math" w:eastAsiaTheme="minorEastAsia" w:hAnsi="Cambria Math" w:cs="Arial"/>
            </w:rPr>
            <m:t>£</m:t>
          </m:r>
          <m:r>
            <w:rPr>
              <w:rFonts w:ascii="Cambria Math" w:eastAsiaTheme="minorEastAsia" w:hAnsi="Cambria Math" w:cs="Arial"/>
            </w:rPr>
            <m:t>15,876,645+</m:t>
          </m:r>
          <m:r>
            <m:rPr>
              <m:sty m:val="p"/>
            </m:rPr>
            <w:rPr>
              <w:rFonts w:ascii="Cambria Math" w:eastAsiaTheme="minorEastAsia" w:hAnsi="Cambria Math" w:cs="Arial"/>
            </w:rPr>
            <m:t>£</m:t>
          </m:r>
          <m:r>
            <w:rPr>
              <w:rFonts w:ascii="Cambria Math" w:eastAsiaTheme="minorEastAsia" w:hAnsi="Cambria Math" w:cs="Arial"/>
            </w:rPr>
            <m:t>18,375,746+</m:t>
          </m:r>
          <m:r>
            <m:rPr>
              <m:sty m:val="p"/>
            </m:rPr>
            <w:rPr>
              <w:rFonts w:ascii="Cambria Math" w:eastAsiaTheme="minorEastAsia" w:hAnsi="Cambria Math" w:cs="Arial"/>
            </w:rPr>
            <m:t>£</m:t>
          </m:r>
          <m:r>
            <w:rPr>
              <w:rFonts w:ascii="Cambria Math" w:eastAsiaTheme="minorEastAsia" w:hAnsi="Cambria Math" w:cs="Arial"/>
            </w:rPr>
            <m:t>3,402,916=</m:t>
          </m:r>
          <m:r>
            <m:rPr>
              <m:sty m:val="p"/>
            </m:rPr>
            <w:rPr>
              <w:rFonts w:ascii="Cambria Math" w:eastAsiaTheme="minorEastAsia" w:hAnsi="Cambria Math" w:cs="Arial"/>
            </w:rPr>
            <m:t>£</m:t>
          </m:r>
          <m:r>
            <w:rPr>
              <w:rFonts w:ascii="Cambria Math" w:eastAsiaTheme="minorEastAsia" w:hAnsi="Cambria Math" w:cs="Arial"/>
            </w:rPr>
            <m:t>50,858,325</m:t>
          </m:r>
        </m:oMath>
      </m:oMathPara>
    </w:p>
    <w:p w14:paraId="76BDE01C" w14:textId="7C032C51" w:rsidR="00F57D4E"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NPV</m:t>
              </m:r>
            </m:e>
            <m:sub>
              <m:r>
                <w:rPr>
                  <w:rFonts w:ascii="Cambria Math" w:eastAsiaTheme="minorEastAsia" w:hAnsi="Cambria Math" w:cs="Arial"/>
                </w:rPr>
                <m:t>C</m:t>
              </m:r>
            </m:sub>
          </m:sSub>
          <m:r>
            <w:rPr>
              <w:rFonts w:ascii="Cambria Math" w:eastAsiaTheme="minorEastAsia" w:hAnsi="Cambria Math" w:cs="Arial"/>
            </w:rPr>
            <m:t>=</m:t>
          </m:r>
          <m:sSub>
            <m:sSubPr>
              <m:ctrlPr>
                <w:rPr>
                  <w:rFonts w:ascii="Cambria Math" w:eastAsiaTheme="minorEastAsia" w:hAnsi="Cambria Math" w:cs="Arial"/>
                </w:rPr>
              </m:ctrlPr>
            </m:sSubPr>
            <m:e>
              <m:r>
                <m:rPr>
                  <m:nor/>
                </m:rPr>
                <w:rPr>
                  <w:rFonts w:ascii="Arial" w:eastAsiaTheme="minorEastAsia" w:hAnsi="Arial" w:cs="Arial"/>
                </w:rPr>
                <m:t>Total PV</m:t>
              </m:r>
            </m:e>
            <m:sub>
              <m:r>
                <w:rPr>
                  <w:rFonts w:ascii="Cambria Math" w:eastAsiaTheme="minorEastAsia" w:hAnsi="Cambria Math" w:cs="Arial"/>
                </w:rPr>
                <m:t>C</m:t>
              </m:r>
            </m:sub>
          </m:sSub>
          <m:r>
            <w:rPr>
              <w:rFonts w:ascii="Cambria Math" w:eastAsiaTheme="minorEastAsia" w:hAnsi="Cambria Math" w:cs="Arial"/>
            </w:rPr>
            <m:t>-</m:t>
          </m:r>
          <m:r>
            <m:rPr>
              <m:nor/>
            </m:rPr>
            <w:rPr>
              <w:rFonts w:ascii="Arial" w:eastAsiaTheme="minorEastAsia" w:hAnsi="Arial" w:cs="Arial"/>
            </w:rPr>
            <m:t>Initial Outlay</m:t>
          </m:r>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50,858,325-</m:t>
          </m:r>
          <m:r>
            <m:rPr>
              <m:sty m:val="p"/>
            </m:rPr>
            <w:rPr>
              <w:rFonts w:ascii="Cambria Math" w:eastAsiaTheme="minorEastAsia" w:hAnsi="Cambria Math" w:cs="Arial"/>
            </w:rPr>
            <m:t>£</m:t>
          </m:r>
          <m:r>
            <w:rPr>
              <w:rFonts w:ascii="Cambria Math" w:eastAsiaTheme="minorEastAsia" w:hAnsi="Cambria Math" w:cs="Arial"/>
            </w:rPr>
            <m:t>50,000,000=+</m:t>
          </m:r>
          <m:r>
            <m:rPr>
              <m:sty m:val="p"/>
            </m:rPr>
            <w:rPr>
              <w:rFonts w:ascii="Cambria Math" w:eastAsiaTheme="minorEastAsia" w:hAnsi="Cambria Math" w:cs="Arial"/>
            </w:rPr>
            <m:t>£</m:t>
          </m:r>
          <m:r>
            <w:rPr>
              <w:rFonts w:ascii="Cambria Math" w:eastAsiaTheme="minorEastAsia" w:hAnsi="Cambria Math" w:cs="Arial"/>
            </w:rPr>
            <m:t>858,325</m:t>
          </m:r>
        </m:oMath>
      </m:oMathPara>
    </w:p>
    <w:p w14:paraId="47E21CDE" w14:textId="777A7D50" w:rsidR="00F57D4E"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PI</m:t>
              </m:r>
            </m:e>
            <m:sub>
              <m:r>
                <w:rPr>
                  <w:rFonts w:ascii="Cambria Math" w:eastAsiaTheme="minorEastAsia" w:hAnsi="Cambria Math" w:cs="Arial"/>
                </w:rPr>
                <m:t>C</m:t>
              </m:r>
            </m:sub>
          </m:sSub>
          <m:r>
            <w:rPr>
              <w:rFonts w:ascii="Cambria Math" w:eastAsiaTheme="minorEastAsia" w:hAnsi="Cambria Math" w:cs="Arial"/>
            </w:rPr>
            <m:t>=</m:t>
          </m:r>
          <m:f>
            <m:fPr>
              <m:ctrlPr>
                <w:rPr>
                  <w:rFonts w:ascii="Cambria Math" w:eastAsiaTheme="minorEastAsia" w:hAnsi="Cambria Math" w:cs="Arial"/>
                </w:rPr>
              </m:ctrlPr>
            </m:fPr>
            <m:num>
              <m:sSub>
                <m:sSubPr>
                  <m:ctrlPr>
                    <w:rPr>
                      <w:rFonts w:ascii="Cambria Math" w:eastAsiaTheme="minorEastAsia" w:hAnsi="Cambria Math" w:cs="Arial"/>
                    </w:rPr>
                  </m:ctrlPr>
                </m:sSubPr>
                <m:e>
                  <m:r>
                    <m:rPr>
                      <m:nor/>
                    </m:rPr>
                    <w:rPr>
                      <w:rFonts w:ascii="Arial" w:eastAsiaTheme="minorEastAsia" w:hAnsi="Arial" w:cs="Arial"/>
                    </w:rPr>
                    <m:t>Total PV</m:t>
                  </m:r>
                </m:e>
                <m:sub>
                  <m:r>
                    <w:rPr>
                      <w:rFonts w:ascii="Cambria Math" w:eastAsiaTheme="minorEastAsia" w:hAnsi="Cambria Math" w:cs="Arial"/>
                    </w:rPr>
                    <m:t>C</m:t>
                  </m:r>
                </m:sub>
              </m:sSub>
            </m:num>
            <m:den>
              <m:r>
                <m:rPr>
                  <m:nor/>
                </m:rPr>
                <w:rPr>
                  <w:rFonts w:ascii="Arial" w:eastAsiaTheme="minorEastAsia" w:hAnsi="Arial" w:cs="Arial"/>
                </w:rPr>
                <m:t>Initial Capital Outlay</m:t>
              </m:r>
            </m:den>
          </m:f>
          <m:r>
            <w:rPr>
              <w:rFonts w:ascii="Cambria Math" w:eastAsiaTheme="minorEastAsia" w:hAnsi="Cambria Math" w:cs="Arial"/>
            </w:rPr>
            <m:t>=</m:t>
          </m:r>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50,858,325</m:t>
              </m:r>
            </m:num>
            <m:den>
              <m:r>
                <m:rPr>
                  <m:sty m:val="p"/>
                </m:rPr>
                <w:rPr>
                  <w:rFonts w:ascii="Cambria Math" w:eastAsiaTheme="minorEastAsia" w:hAnsi="Cambria Math" w:cs="Arial"/>
                </w:rPr>
                <m:t>£</m:t>
              </m:r>
              <m:r>
                <w:rPr>
                  <w:rFonts w:ascii="Cambria Math" w:eastAsiaTheme="minorEastAsia" w:hAnsi="Cambria Math" w:cs="Arial"/>
                </w:rPr>
                <m:t>50,000,000</m:t>
              </m:r>
            </m:den>
          </m:f>
          <m:r>
            <w:rPr>
              <w:rFonts w:ascii="Cambria Math" w:eastAsiaTheme="minorEastAsia" w:hAnsi="Cambria Math" w:cs="Arial"/>
            </w:rPr>
            <m:t>=1.017</m:t>
          </m:r>
        </m:oMath>
      </m:oMathPara>
    </w:p>
    <w:p w14:paraId="51BAE67E" w14:textId="68DA890B" w:rsidR="00F57D4E" w:rsidRPr="00936FE8" w:rsidRDefault="00F57D4E" w:rsidP="0054327B">
      <w:pPr>
        <w:spacing w:line="360" w:lineRule="auto"/>
        <w:rPr>
          <w:rFonts w:ascii="Arial" w:eastAsiaTheme="minorEastAsia" w:hAnsi="Arial" w:cs="Arial"/>
        </w:rPr>
      </w:pPr>
      <w:r w:rsidRPr="00936FE8">
        <w:rPr>
          <w:rFonts w:ascii="Arial" w:eastAsiaTheme="minorEastAsia" w:hAnsi="Arial" w:cs="Arial"/>
        </w:rPr>
        <w:t xml:space="preserve">As the NPV at 8% is positive, a higher trial rate of 9% is </w:t>
      </w:r>
      <w:r w:rsidR="0054327B" w:rsidRPr="00936FE8">
        <w:rPr>
          <w:rFonts w:ascii="Arial" w:eastAsiaTheme="minorEastAsia" w:hAnsi="Arial" w:cs="Arial"/>
        </w:rPr>
        <w:t>applicable</w:t>
      </w:r>
      <w:r w:rsidRPr="00936FE8">
        <w:rPr>
          <w:rFonts w:ascii="Arial" w:eastAsiaTheme="minorEastAsia" w:hAnsi="Arial" w:cs="Arial"/>
        </w:rPr>
        <w:t xml:space="preserve"> to isolate the IRR through interpolation (</w:t>
      </w:r>
      <m:oMath>
        <m:sSub>
          <m:sSubPr>
            <m:ctrlPr>
              <w:rPr>
                <w:rFonts w:ascii="Cambria Math" w:eastAsiaTheme="minorEastAsia" w:hAnsi="Cambria Math" w:cs="Arial"/>
              </w:rPr>
            </m:ctrlPr>
          </m:sSubPr>
          <m:e>
            <m:r>
              <m:rPr>
                <m:nor/>
              </m:rPr>
              <w:rPr>
                <w:rFonts w:ascii="Arial" w:eastAsiaTheme="minorEastAsia" w:hAnsi="Arial" w:cs="Arial"/>
              </w:rPr>
              <m:t>PV</m:t>
            </m:r>
          </m:e>
          <m:sub>
            <m:r>
              <m:rPr>
                <m:nor/>
              </m:rPr>
              <w:rPr>
                <w:rFonts w:ascii="Arial" w:eastAsiaTheme="minorEastAsia" w:hAnsi="Arial" w:cs="Arial"/>
              </w:rPr>
              <m:t>at 9%</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49,407,240</m:t>
        </m:r>
      </m:oMath>
      <w:r w:rsidRPr="00936FE8">
        <w:rPr>
          <w:rFonts w:ascii="Arial" w:eastAsiaTheme="minorEastAsia" w:hAnsi="Arial" w:cs="Arial"/>
        </w:rPr>
        <w:t xml:space="preserve">; </w:t>
      </w:r>
      <m:oMath>
        <m:sSub>
          <m:sSubPr>
            <m:ctrlPr>
              <w:rPr>
                <w:rFonts w:ascii="Cambria Math" w:eastAsiaTheme="minorEastAsia" w:hAnsi="Cambria Math" w:cs="Arial"/>
              </w:rPr>
            </m:ctrlPr>
          </m:sSubPr>
          <m:e>
            <m:r>
              <m:rPr>
                <m:nor/>
              </m:rPr>
              <w:rPr>
                <w:rFonts w:ascii="Arial" w:eastAsiaTheme="minorEastAsia" w:hAnsi="Arial" w:cs="Arial"/>
              </w:rPr>
              <m:t>NPV</m:t>
            </m:r>
          </m:e>
          <m:sub>
            <m:r>
              <m:rPr>
                <m:nor/>
              </m:rPr>
              <w:rPr>
                <w:rFonts w:ascii="Arial" w:eastAsiaTheme="minorEastAsia" w:hAnsi="Arial" w:cs="Arial"/>
              </w:rPr>
              <m:t>at 9%</m:t>
            </m:r>
          </m:sub>
        </m:sSub>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592,760</m:t>
        </m:r>
      </m:oMath>
      <w:r w:rsidRPr="00936FE8">
        <w:rPr>
          <w:rFonts w:ascii="Arial" w:eastAsiaTheme="minorEastAsia" w:hAnsi="Arial" w:cs="Arial"/>
        </w:rPr>
        <w:t>):</w:t>
      </w:r>
    </w:p>
    <w:p w14:paraId="0A294F89" w14:textId="59B5D9B8" w:rsidR="00F57D4E" w:rsidRPr="00936FE8" w:rsidRDefault="00000000" w:rsidP="0054327B">
      <w:pPr>
        <w:spacing w:line="360" w:lineRule="auto"/>
        <w:rPr>
          <w:rFonts w:ascii="Arial" w:eastAsiaTheme="minorEastAsia" w:hAnsi="Arial" w:cs="Arial"/>
        </w:rPr>
      </w:pPr>
      <m:oMathPara>
        <m:oMath>
          <m:sSub>
            <m:sSubPr>
              <m:ctrlPr>
                <w:rPr>
                  <w:rFonts w:ascii="Cambria Math" w:eastAsiaTheme="minorEastAsia" w:hAnsi="Cambria Math" w:cs="Arial"/>
                </w:rPr>
              </m:ctrlPr>
            </m:sSubPr>
            <m:e>
              <m:r>
                <m:rPr>
                  <m:nor/>
                </m:rPr>
                <w:rPr>
                  <w:rFonts w:ascii="Arial" w:eastAsiaTheme="minorEastAsia" w:hAnsi="Arial" w:cs="Arial"/>
                </w:rPr>
                <m:t>IRR</m:t>
              </m:r>
            </m:e>
            <m:sub>
              <m:r>
                <w:rPr>
                  <w:rFonts w:ascii="Cambria Math" w:eastAsiaTheme="minorEastAsia" w:hAnsi="Cambria Math" w:cs="Arial"/>
                </w:rPr>
                <m:t>C</m:t>
              </m:r>
            </m:sub>
          </m:sSub>
          <m:r>
            <w:rPr>
              <w:rFonts w:ascii="Cambria Math" w:eastAsiaTheme="minorEastAsia" w:hAnsi="Cambria Math" w:cs="Arial"/>
            </w:rPr>
            <m:t>=8%+</m:t>
          </m:r>
          <m:d>
            <m:dPr>
              <m:ctrlPr>
                <w:rPr>
                  <w:rFonts w:ascii="Cambria Math" w:eastAsiaTheme="minorEastAsia" w:hAnsi="Cambria Math" w:cs="Arial"/>
                </w:rPr>
              </m:ctrlPr>
            </m:dPr>
            <m:e>
              <m:f>
                <m:fPr>
                  <m:ctrlPr>
                    <w:rPr>
                      <w:rFonts w:ascii="Cambria Math" w:eastAsiaTheme="minorEastAsia" w:hAnsi="Cambria Math" w:cs="Arial"/>
                    </w:rPr>
                  </m:ctrlPr>
                </m:fPr>
                <m:num>
                  <m:r>
                    <m:rPr>
                      <m:sty m:val="p"/>
                    </m:rPr>
                    <w:rPr>
                      <w:rFonts w:ascii="Cambria Math" w:eastAsiaTheme="minorEastAsia" w:hAnsi="Cambria Math" w:cs="Arial"/>
                    </w:rPr>
                    <m:t>£</m:t>
                  </m:r>
                  <m:r>
                    <w:rPr>
                      <w:rFonts w:ascii="Cambria Math" w:eastAsiaTheme="minorEastAsia" w:hAnsi="Cambria Math" w:cs="Arial"/>
                    </w:rPr>
                    <m:t>858,325</m:t>
                  </m:r>
                </m:num>
                <m:den>
                  <m:r>
                    <m:rPr>
                      <m:sty m:val="p"/>
                    </m:rPr>
                    <w:rPr>
                      <w:rFonts w:ascii="Cambria Math" w:eastAsiaTheme="minorEastAsia" w:hAnsi="Cambria Math" w:cs="Arial"/>
                    </w:rPr>
                    <m:t>£</m:t>
                  </m:r>
                  <m:r>
                    <w:rPr>
                      <w:rFonts w:ascii="Cambria Math" w:eastAsiaTheme="minorEastAsia" w:hAnsi="Cambria Math" w:cs="Arial"/>
                    </w:rPr>
                    <m:t>858,325-</m:t>
                  </m:r>
                  <m:d>
                    <m:dPr>
                      <m:ctrlPr>
                        <w:rPr>
                          <w:rFonts w:ascii="Cambria Math" w:eastAsiaTheme="minorEastAsia" w:hAnsi="Cambria Math" w:cs="Arial"/>
                        </w:rPr>
                      </m:ctrlPr>
                    </m:dPr>
                    <m:e>
                      <m:r>
                        <w:rPr>
                          <w:rFonts w:ascii="Cambria Math" w:eastAsiaTheme="minorEastAsia" w:hAnsi="Cambria Math" w:cs="Arial"/>
                        </w:rPr>
                        <m:t>-</m:t>
                      </m:r>
                      <m:r>
                        <m:rPr>
                          <m:sty m:val="p"/>
                        </m:rPr>
                        <w:rPr>
                          <w:rFonts w:ascii="Cambria Math" w:eastAsiaTheme="minorEastAsia" w:hAnsi="Cambria Math" w:cs="Arial"/>
                        </w:rPr>
                        <m:t>£</m:t>
                      </m:r>
                      <m:r>
                        <w:rPr>
                          <w:rFonts w:ascii="Cambria Math" w:eastAsiaTheme="minorEastAsia" w:hAnsi="Cambria Math" w:cs="Arial"/>
                        </w:rPr>
                        <m:t>592,760</m:t>
                      </m:r>
                    </m:e>
                  </m:d>
                </m:den>
              </m:f>
            </m:e>
          </m:d>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9%-8%</m:t>
              </m:r>
            </m:e>
          </m:d>
          <m:r>
            <w:rPr>
              <w:rFonts w:ascii="Cambria Math" w:eastAsiaTheme="minorEastAsia" w:hAnsi="Cambria Math" w:cs="Arial"/>
            </w:rPr>
            <m:t>=8%+</m:t>
          </m:r>
          <m:d>
            <m:dPr>
              <m:ctrlPr>
                <w:rPr>
                  <w:rFonts w:ascii="Cambria Math" w:eastAsiaTheme="minorEastAsia" w:hAnsi="Cambria Math" w:cs="Arial"/>
                </w:rPr>
              </m:ctrlPr>
            </m:dPr>
            <m:e>
              <m:r>
                <w:rPr>
                  <w:rFonts w:ascii="Cambria Math" w:eastAsiaTheme="minorEastAsia" w:hAnsi="Cambria Math" w:cs="Arial"/>
                </w:rPr>
                <m:t>0.5915×1%</m:t>
              </m:r>
            </m:e>
          </m:d>
          <m:r>
            <w:rPr>
              <w:rFonts w:ascii="Cambria Math" w:eastAsiaTheme="minorEastAsia" w:hAnsi="Cambria Math" w:cs="Arial"/>
            </w:rPr>
            <m:t>=8.59%</m:t>
          </m:r>
        </m:oMath>
      </m:oMathPara>
    </w:p>
    <w:p w14:paraId="11B51E6C" w14:textId="4CE90924" w:rsidR="00F57D4E" w:rsidRPr="00936FE8" w:rsidRDefault="00D7737F" w:rsidP="00D7737F">
      <w:pPr>
        <w:pStyle w:val="Heading2"/>
        <w:rPr>
          <w:rFonts w:ascii="Arial" w:eastAsiaTheme="minorEastAsia" w:hAnsi="Arial" w:cs="Arial"/>
        </w:rPr>
      </w:pPr>
      <w:bookmarkStart w:id="22" w:name="_Toc235785110"/>
      <w:r w:rsidRPr="00936FE8">
        <w:rPr>
          <w:rFonts w:ascii="Arial" w:eastAsiaTheme="minorEastAsia" w:hAnsi="Arial" w:cs="Arial"/>
        </w:rPr>
        <w:t xml:space="preserve">4.3 </w:t>
      </w:r>
      <w:r w:rsidR="00F57D4E" w:rsidRPr="00936FE8">
        <w:rPr>
          <w:rFonts w:ascii="Arial" w:eastAsiaTheme="minorEastAsia" w:hAnsi="Arial" w:cs="Arial"/>
        </w:rPr>
        <w:t>Capital Budgeting synthesis matrix</w:t>
      </w:r>
      <w:bookmarkEnd w:id="22"/>
      <w:r w:rsidR="00F57D4E" w:rsidRPr="00936FE8">
        <w:rPr>
          <w:rFonts w:ascii="Arial" w:eastAsiaTheme="minorEastAsia" w:hAnsi="Arial" w:cs="Arial"/>
        </w:rPr>
        <w:t xml:space="preserve"> </w:t>
      </w:r>
    </w:p>
    <w:p w14:paraId="0D9AF768" w14:textId="7CC7C770" w:rsidR="00F57D4E" w:rsidRPr="00936FE8" w:rsidRDefault="00F57D4E" w:rsidP="0054327B">
      <w:pPr>
        <w:spacing w:line="360" w:lineRule="auto"/>
        <w:rPr>
          <w:rFonts w:ascii="Arial" w:eastAsiaTheme="minorEastAsia" w:hAnsi="Arial" w:cs="Arial"/>
        </w:rPr>
      </w:pPr>
      <w:r w:rsidRPr="00936FE8">
        <w:rPr>
          <w:rFonts w:ascii="Arial" w:eastAsiaTheme="minorEastAsia" w:hAnsi="Arial" w:cs="Arial"/>
        </w:rPr>
        <w:t xml:space="preserve">The clear financial profiles of the three competing projects are summarised in the comparative decision matrix provided below: </w:t>
      </w:r>
    </w:p>
    <w:tbl>
      <w:tblPr>
        <w:tblStyle w:val="TableGrid"/>
        <w:tblW w:w="0" w:type="auto"/>
        <w:tblLook w:val="04A0" w:firstRow="1" w:lastRow="0" w:firstColumn="1" w:lastColumn="0" w:noHBand="0" w:noVBand="1"/>
      </w:tblPr>
      <w:tblGrid>
        <w:gridCol w:w="1804"/>
        <w:gridCol w:w="1803"/>
        <w:gridCol w:w="1803"/>
        <w:gridCol w:w="1803"/>
        <w:gridCol w:w="1803"/>
      </w:tblGrid>
      <w:tr w:rsidR="00F57D4E" w:rsidRPr="00936FE8" w14:paraId="274EB671" w14:textId="3E10DCD3" w:rsidTr="00F05470">
        <w:tc>
          <w:tcPr>
            <w:tcW w:w="1804" w:type="dxa"/>
            <w:vAlign w:val="center"/>
          </w:tcPr>
          <w:p w14:paraId="5C3BF497" w14:textId="224C0AC9" w:rsidR="00F57D4E" w:rsidRPr="00936FE8" w:rsidRDefault="00F57D4E" w:rsidP="0054327B">
            <w:pPr>
              <w:spacing w:line="360" w:lineRule="auto"/>
              <w:rPr>
                <w:rFonts w:ascii="Arial" w:eastAsiaTheme="minorEastAsia" w:hAnsi="Arial" w:cs="Arial"/>
              </w:rPr>
            </w:pPr>
            <w:r w:rsidRPr="00936FE8">
              <w:rPr>
                <w:rStyle w:val="Strong"/>
                <w:rFonts w:ascii="Arial" w:hAnsi="Arial" w:cs="Arial"/>
              </w:rPr>
              <w:t>Appraisal Metric Dimension</w:t>
            </w:r>
          </w:p>
        </w:tc>
        <w:tc>
          <w:tcPr>
            <w:tcW w:w="1803" w:type="dxa"/>
            <w:vAlign w:val="center"/>
          </w:tcPr>
          <w:p w14:paraId="03232870" w14:textId="5A4684FA" w:rsidR="00F57D4E" w:rsidRPr="00936FE8" w:rsidRDefault="00F57D4E" w:rsidP="0054327B">
            <w:pPr>
              <w:spacing w:line="360" w:lineRule="auto"/>
              <w:rPr>
                <w:rFonts w:ascii="Arial" w:eastAsiaTheme="minorEastAsia" w:hAnsi="Arial" w:cs="Arial"/>
              </w:rPr>
            </w:pPr>
            <w:r w:rsidRPr="00936FE8">
              <w:rPr>
                <w:rStyle w:val="Strong"/>
                <w:rFonts w:ascii="Arial" w:hAnsi="Arial" w:cs="Arial"/>
              </w:rPr>
              <w:t>Project A</w:t>
            </w:r>
          </w:p>
        </w:tc>
        <w:tc>
          <w:tcPr>
            <w:tcW w:w="1803" w:type="dxa"/>
            <w:vAlign w:val="center"/>
          </w:tcPr>
          <w:p w14:paraId="76D31385" w14:textId="5E68615B" w:rsidR="00F57D4E" w:rsidRPr="00936FE8" w:rsidRDefault="00F57D4E" w:rsidP="0054327B">
            <w:pPr>
              <w:spacing w:line="360" w:lineRule="auto"/>
              <w:rPr>
                <w:rFonts w:ascii="Arial" w:eastAsiaTheme="minorEastAsia" w:hAnsi="Arial" w:cs="Arial"/>
              </w:rPr>
            </w:pPr>
            <w:r w:rsidRPr="00936FE8">
              <w:rPr>
                <w:rStyle w:val="Strong"/>
                <w:rFonts w:ascii="Arial" w:hAnsi="Arial" w:cs="Arial"/>
              </w:rPr>
              <w:t>Project B</w:t>
            </w:r>
          </w:p>
        </w:tc>
        <w:tc>
          <w:tcPr>
            <w:tcW w:w="1803" w:type="dxa"/>
            <w:vAlign w:val="center"/>
          </w:tcPr>
          <w:p w14:paraId="1AA0D66C" w14:textId="656BC788" w:rsidR="00F57D4E" w:rsidRPr="00936FE8" w:rsidRDefault="00F57D4E" w:rsidP="0054327B">
            <w:pPr>
              <w:spacing w:line="360" w:lineRule="auto"/>
              <w:rPr>
                <w:rFonts w:ascii="Arial" w:eastAsiaTheme="minorEastAsia" w:hAnsi="Arial" w:cs="Arial"/>
              </w:rPr>
            </w:pPr>
            <w:r w:rsidRPr="00936FE8">
              <w:rPr>
                <w:rStyle w:val="Strong"/>
                <w:rFonts w:ascii="Arial" w:hAnsi="Arial" w:cs="Arial"/>
              </w:rPr>
              <w:t>Project C</w:t>
            </w:r>
          </w:p>
        </w:tc>
        <w:tc>
          <w:tcPr>
            <w:tcW w:w="1803" w:type="dxa"/>
            <w:vAlign w:val="center"/>
          </w:tcPr>
          <w:p w14:paraId="27F45B21" w14:textId="72D2A6B0" w:rsidR="00F57D4E" w:rsidRPr="00936FE8" w:rsidRDefault="00F57D4E" w:rsidP="0054327B">
            <w:pPr>
              <w:spacing w:line="360" w:lineRule="auto"/>
              <w:rPr>
                <w:rFonts w:ascii="Arial" w:eastAsiaTheme="minorEastAsia" w:hAnsi="Arial" w:cs="Arial"/>
              </w:rPr>
            </w:pPr>
            <w:r w:rsidRPr="00936FE8">
              <w:rPr>
                <w:rStyle w:val="Strong"/>
                <w:rFonts w:ascii="Arial" w:hAnsi="Arial" w:cs="Arial"/>
              </w:rPr>
              <w:t>Objective Financial Boundary Conditions</w:t>
            </w:r>
          </w:p>
        </w:tc>
      </w:tr>
      <w:tr w:rsidR="00F57D4E" w:rsidRPr="00936FE8" w14:paraId="74B8305D" w14:textId="2C0C78B8" w:rsidTr="00F05470">
        <w:tc>
          <w:tcPr>
            <w:tcW w:w="1804" w:type="dxa"/>
            <w:vAlign w:val="center"/>
          </w:tcPr>
          <w:p w14:paraId="11B9D24A" w14:textId="16519890" w:rsidR="00F57D4E" w:rsidRPr="00936FE8" w:rsidRDefault="00F57D4E" w:rsidP="0054327B">
            <w:pPr>
              <w:spacing w:line="360" w:lineRule="auto"/>
              <w:rPr>
                <w:rFonts w:ascii="Arial" w:eastAsiaTheme="minorEastAsia" w:hAnsi="Arial" w:cs="Arial"/>
              </w:rPr>
            </w:pPr>
            <w:r w:rsidRPr="00936FE8">
              <w:rPr>
                <w:rFonts w:ascii="Arial" w:hAnsi="Arial" w:cs="Arial"/>
                <w:b/>
                <w:bCs/>
              </w:rPr>
              <w:t>Initial Equity Outlay</w:t>
            </w:r>
          </w:p>
        </w:tc>
        <w:tc>
          <w:tcPr>
            <w:tcW w:w="1803" w:type="dxa"/>
            <w:vAlign w:val="center"/>
          </w:tcPr>
          <w:p w14:paraId="20C50E11" w14:textId="53569212" w:rsidR="00F57D4E" w:rsidRPr="00936FE8" w:rsidRDefault="00F57D4E" w:rsidP="0054327B">
            <w:pPr>
              <w:spacing w:line="360" w:lineRule="auto"/>
              <w:rPr>
                <w:rFonts w:ascii="Arial" w:eastAsiaTheme="minorEastAsia" w:hAnsi="Arial" w:cs="Arial"/>
              </w:rPr>
            </w:pPr>
            <w:r w:rsidRPr="00936FE8">
              <w:rPr>
                <w:rFonts w:ascii="Arial" w:hAnsi="Arial" w:cs="Arial"/>
              </w:rPr>
              <w:t>£50,000,000</w:t>
            </w:r>
          </w:p>
        </w:tc>
        <w:tc>
          <w:tcPr>
            <w:tcW w:w="1803" w:type="dxa"/>
            <w:vAlign w:val="center"/>
          </w:tcPr>
          <w:p w14:paraId="42B969F5" w14:textId="3B2E9A80" w:rsidR="00F57D4E" w:rsidRPr="00936FE8" w:rsidRDefault="00F57D4E" w:rsidP="0054327B">
            <w:pPr>
              <w:spacing w:line="360" w:lineRule="auto"/>
              <w:rPr>
                <w:rFonts w:ascii="Arial" w:eastAsiaTheme="minorEastAsia" w:hAnsi="Arial" w:cs="Arial"/>
              </w:rPr>
            </w:pPr>
            <w:r w:rsidRPr="00936FE8">
              <w:rPr>
                <w:rFonts w:ascii="Arial" w:hAnsi="Arial" w:cs="Arial"/>
              </w:rPr>
              <w:t>£50,000,000</w:t>
            </w:r>
          </w:p>
        </w:tc>
        <w:tc>
          <w:tcPr>
            <w:tcW w:w="1803" w:type="dxa"/>
            <w:vAlign w:val="center"/>
          </w:tcPr>
          <w:p w14:paraId="5E22B64A" w14:textId="05E9F1CD" w:rsidR="00F57D4E" w:rsidRPr="00936FE8" w:rsidRDefault="00F57D4E" w:rsidP="0054327B">
            <w:pPr>
              <w:spacing w:line="360" w:lineRule="auto"/>
              <w:rPr>
                <w:rFonts w:ascii="Arial" w:eastAsiaTheme="minorEastAsia" w:hAnsi="Arial" w:cs="Arial"/>
              </w:rPr>
            </w:pPr>
            <w:r w:rsidRPr="00936FE8">
              <w:rPr>
                <w:rFonts w:ascii="Arial" w:hAnsi="Arial" w:cs="Arial"/>
              </w:rPr>
              <w:t>£50,000,000</w:t>
            </w:r>
          </w:p>
        </w:tc>
        <w:tc>
          <w:tcPr>
            <w:tcW w:w="1803" w:type="dxa"/>
            <w:vAlign w:val="center"/>
          </w:tcPr>
          <w:p w14:paraId="757FE270" w14:textId="53AFF185" w:rsidR="00F57D4E" w:rsidRPr="00936FE8" w:rsidRDefault="0054327B" w:rsidP="0054327B">
            <w:pPr>
              <w:spacing w:line="360" w:lineRule="auto"/>
              <w:rPr>
                <w:rFonts w:ascii="Arial" w:eastAsiaTheme="minorEastAsia" w:hAnsi="Arial" w:cs="Arial"/>
              </w:rPr>
            </w:pPr>
            <w:r w:rsidRPr="00936FE8">
              <w:rPr>
                <w:rFonts w:ascii="Arial" w:hAnsi="Arial" w:cs="Arial"/>
              </w:rPr>
              <w:t>Minimise</w:t>
            </w:r>
            <w:r w:rsidR="00F57D4E" w:rsidRPr="00936FE8">
              <w:rPr>
                <w:rFonts w:ascii="Arial" w:hAnsi="Arial" w:cs="Arial"/>
              </w:rPr>
              <w:t xml:space="preserve"> Capital Allocation</w:t>
            </w:r>
          </w:p>
        </w:tc>
      </w:tr>
      <w:tr w:rsidR="00F57D4E" w:rsidRPr="00936FE8" w14:paraId="0FF71B79" w14:textId="525ABE39" w:rsidTr="00F57D4E">
        <w:tc>
          <w:tcPr>
            <w:tcW w:w="1804" w:type="dxa"/>
          </w:tcPr>
          <w:p w14:paraId="592446CF" w14:textId="54508D31" w:rsidR="00F57D4E" w:rsidRPr="00936FE8" w:rsidRDefault="00F57D4E" w:rsidP="0054327B">
            <w:pPr>
              <w:spacing w:line="360" w:lineRule="auto"/>
              <w:rPr>
                <w:rFonts w:ascii="Arial" w:eastAsiaTheme="minorEastAsia" w:hAnsi="Arial" w:cs="Arial"/>
              </w:rPr>
            </w:pPr>
            <w:r w:rsidRPr="00936FE8">
              <w:rPr>
                <w:rFonts w:ascii="Arial" w:hAnsi="Arial" w:cs="Arial"/>
              </w:rPr>
              <w:t>Payback Period (PBP)</w:t>
            </w:r>
          </w:p>
        </w:tc>
        <w:tc>
          <w:tcPr>
            <w:tcW w:w="1803" w:type="dxa"/>
          </w:tcPr>
          <w:p w14:paraId="5FBD6A1C" w14:textId="31456146" w:rsidR="00F57D4E" w:rsidRPr="00936FE8" w:rsidRDefault="00F57D4E" w:rsidP="0054327B">
            <w:pPr>
              <w:spacing w:line="360" w:lineRule="auto"/>
              <w:rPr>
                <w:rFonts w:ascii="Arial" w:eastAsiaTheme="minorEastAsia" w:hAnsi="Arial" w:cs="Arial"/>
              </w:rPr>
            </w:pPr>
            <w:r w:rsidRPr="00936FE8">
              <w:rPr>
                <w:rFonts w:ascii="Arial" w:hAnsi="Arial" w:cs="Arial"/>
              </w:rPr>
              <w:t>4.50 Years</w:t>
            </w:r>
          </w:p>
        </w:tc>
        <w:tc>
          <w:tcPr>
            <w:tcW w:w="1803" w:type="dxa"/>
          </w:tcPr>
          <w:p w14:paraId="009C9821" w14:textId="4DB1976A" w:rsidR="00F57D4E" w:rsidRPr="00936FE8" w:rsidRDefault="00F57D4E" w:rsidP="0054327B">
            <w:pPr>
              <w:spacing w:line="360" w:lineRule="auto"/>
              <w:rPr>
                <w:rFonts w:ascii="Arial" w:eastAsiaTheme="minorEastAsia" w:hAnsi="Arial" w:cs="Arial"/>
              </w:rPr>
            </w:pPr>
            <w:r w:rsidRPr="00936FE8">
              <w:rPr>
                <w:rFonts w:ascii="Arial" w:hAnsi="Arial" w:cs="Arial"/>
              </w:rPr>
              <w:t>4.55 Years</w:t>
            </w:r>
          </w:p>
        </w:tc>
        <w:tc>
          <w:tcPr>
            <w:tcW w:w="1803" w:type="dxa"/>
          </w:tcPr>
          <w:p w14:paraId="1284E94E" w14:textId="310AA74F" w:rsidR="00F57D4E" w:rsidRPr="00936FE8" w:rsidRDefault="00F57D4E" w:rsidP="0054327B">
            <w:pPr>
              <w:spacing w:line="360" w:lineRule="auto"/>
              <w:rPr>
                <w:rFonts w:ascii="Arial" w:eastAsiaTheme="minorEastAsia" w:hAnsi="Arial" w:cs="Arial"/>
              </w:rPr>
            </w:pPr>
            <w:r w:rsidRPr="00936FE8">
              <w:rPr>
                <w:rFonts w:ascii="Arial" w:hAnsi="Arial" w:cs="Arial"/>
              </w:rPr>
              <w:t>3.60 Years</w:t>
            </w:r>
          </w:p>
        </w:tc>
        <w:tc>
          <w:tcPr>
            <w:tcW w:w="1803" w:type="dxa"/>
          </w:tcPr>
          <w:p w14:paraId="7E407CD3" w14:textId="7483AE4D" w:rsidR="00F57D4E" w:rsidRPr="00936FE8" w:rsidRDefault="0054327B" w:rsidP="0054327B">
            <w:pPr>
              <w:spacing w:line="360" w:lineRule="auto"/>
              <w:rPr>
                <w:rFonts w:ascii="Arial" w:eastAsiaTheme="minorEastAsia" w:hAnsi="Arial" w:cs="Arial"/>
              </w:rPr>
            </w:pPr>
            <w:r w:rsidRPr="00936FE8">
              <w:rPr>
                <w:rFonts w:ascii="Arial" w:hAnsi="Arial" w:cs="Arial"/>
              </w:rPr>
              <w:t>Minimise</w:t>
            </w:r>
            <w:r w:rsidR="00F57D4E" w:rsidRPr="00936FE8">
              <w:rPr>
                <w:rFonts w:ascii="Arial" w:hAnsi="Arial" w:cs="Arial"/>
              </w:rPr>
              <w:t xml:space="preserve"> Liquidity Exposure</w:t>
            </w:r>
          </w:p>
        </w:tc>
      </w:tr>
      <w:tr w:rsidR="00F57D4E" w:rsidRPr="00936FE8" w14:paraId="41D01473" w14:textId="26D2E18D" w:rsidTr="00F57D4E">
        <w:tc>
          <w:tcPr>
            <w:tcW w:w="1804" w:type="dxa"/>
          </w:tcPr>
          <w:p w14:paraId="15E5B089" w14:textId="11DF3178" w:rsidR="00F57D4E" w:rsidRPr="00936FE8" w:rsidRDefault="00F57D4E" w:rsidP="0054327B">
            <w:pPr>
              <w:spacing w:line="360" w:lineRule="auto"/>
              <w:rPr>
                <w:rFonts w:ascii="Arial" w:eastAsiaTheme="minorEastAsia" w:hAnsi="Arial" w:cs="Arial"/>
              </w:rPr>
            </w:pPr>
            <w:r w:rsidRPr="00936FE8">
              <w:rPr>
                <w:rFonts w:ascii="Arial" w:hAnsi="Arial" w:cs="Arial"/>
              </w:rPr>
              <w:t>Accounting Rate of Return</w:t>
            </w:r>
          </w:p>
        </w:tc>
        <w:tc>
          <w:tcPr>
            <w:tcW w:w="1803" w:type="dxa"/>
          </w:tcPr>
          <w:p w14:paraId="27B2431D" w14:textId="3A797388" w:rsidR="00F57D4E" w:rsidRPr="00936FE8" w:rsidRDefault="00F57D4E" w:rsidP="0054327B">
            <w:pPr>
              <w:spacing w:line="360" w:lineRule="auto"/>
              <w:rPr>
                <w:rFonts w:ascii="Arial" w:eastAsiaTheme="minorEastAsia" w:hAnsi="Arial" w:cs="Arial"/>
              </w:rPr>
            </w:pPr>
            <w:r w:rsidRPr="00936FE8">
              <w:rPr>
                <w:rFonts w:ascii="Arial" w:hAnsi="Arial" w:cs="Arial"/>
              </w:rPr>
              <w:t>3.20%</w:t>
            </w:r>
          </w:p>
        </w:tc>
        <w:tc>
          <w:tcPr>
            <w:tcW w:w="1803" w:type="dxa"/>
          </w:tcPr>
          <w:p w14:paraId="7CC5685D" w14:textId="6051EA74" w:rsidR="00F57D4E" w:rsidRPr="00936FE8" w:rsidRDefault="00F57D4E" w:rsidP="0054327B">
            <w:pPr>
              <w:spacing w:line="360" w:lineRule="auto"/>
              <w:rPr>
                <w:rFonts w:ascii="Arial" w:eastAsiaTheme="minorEastAsia" w:hAnsi="Arial" w:cs="Arial"/>
              </w:rPr>
            </w:pPr>
            <w:r w:rsidRPr="00936FE8">
              <w:rPr>
                <w:rFonts w:ascii="Arial" w:hAnsi="Arial" w:cs="Arial"/>
              </w:rPr>
              <w:t>4.00%</w:t>
            </w:r>
          </w:p>
        </w:tc>
        <w:tc>
          <w:tcPr>
            <w:tcW w:w="1803" w:type="dxa"/>
          </w:tcPr>
          <w:p w14:paraId="3C41C284" w14:textId="419C5595" w:rsidR="00F57D4E" w:rsidRPr="00936FE8" w:rsidRDefault="00F57D4E" w:rsidP="0054327B">
            <w:pPr>
              <w:spacing w:line="360" w:lineRule="auto"/>
              <w:rPr>
                <w:rFonts w:ascii="Arial" w:eastAsiaTheme="minorEastAsia" w:hAnsi="Arial" w:cs="Arial"/>
              </w:rPr>
            </w:pPr>
            <w:r w:rsidRPr="00936FE8">
              <w:rPr>
                <w:rFonts w:ascii="Arial" w:hAnsi="Arial" w:cs="Arial"/>
              </w:rPr>
              <w:t>12.00%</w:t>
            </w:r>
          </w:p>
        </w:tc>
        <w:tc>
          <w:tcPr>
            <w:tcW w:w="1803" w:type="dxa"/>
          </w:tcPr>
          <w:p w14:paraId="0323B8D1" w14:textId="258C0F1F" w:rsidR="00F57D4E" w:rsidRPr="00936FE8" w:rsidRDefault="00F57D4E" w:rsidP="0054327B">
            <w:pPr>
              <w:spacing w:line="360" w:lineRule="auto"/>
              <w:rPr>
                <w:rFonts w:ascii="Arial" w:eastAsiaTheme="minorEastAsia" w:hAnsi="Arial" w:cs="Arial"/>
              </w:rPr>
            </w:pPr>
            <w:r w:rsidRPr="00936FE8">
              <w:rPr>
                <w:rFonts w:ascii="Arial" w:hAnsi="Arial" w:cs="Arial"/>
              </w:rPr>
              <w:t>Maximize Book Profitability</w:t>
            </w:r>
          </w:p>
        </w:tc>
      </w:tr>
      <w:tr w:rsidR="009669B2" w:rsidRPr="00936FE8" w14:paraId="5743271B" w14:textId="63D78CEF" w:rsidTr="005116CE">
        <w:tc>
          <w:tcPr>
            <w:tcW w:w="1804" w:type="dxa"/>
            <w:vAlign w:val="center"/>
          </w:tcPr>
          <w:p w14:paraId="66AD5917" w14:textId="04C0F06E" w:rsidR="009669B2" w:rsidRPr="00936FE8" w:rsidRDefault="009669B2" w:rsidP="0054327B">
            <w:pPr>
              <w:spacing w:line="360" w:lineRule="auto"/>
              <w:rPr>
                <w:rFonts w:ascii="Arial" w:eastAsiaTheme="minorEastAsia" w:hAnsi="Arial" w:cs="Arial"/>
              </w:rPr>
            </w:pPr>
            <w:r w:rsidRPr="00936FE8">
              <w:rPr>
                <w:rFonts w:ascii="Arial" w:hAnsi="Arial" w:cs="Arial"/>
                <w:b/>
                <w:bCs/>
              </w:rPr>
              <w:t>Net Present Value (NPV)</w:t>
            </w:r>
          </w:p>
        </w:tc>
        <w:tc>
          <w:tcPr>
            <w:tcW w:w="1803" w:type="dxa"/>
            <w:vAlign w:val="center"/>
          </w:tcPr>
          <w:p w14:paraId="233FB4FA" w14:textId="78D46A13" w:rsidR="009669B2" w:rsidRPr="00936FE8" w:rsidRDefault="009669B2" w:rsidP="0054327B">
            <w:pPr>
              <w:spacing w:line="360" w:lineRule="auto"/>
              <w:rPr>
                <w:rFonts w:ascii="Arial" w:eastAsiaTheme="minorEastAsia" w:hAnsi="Arial" w:cs="Arial"/>
              </w:rPr>
            </w:pPr>
            <w:r w:rsidRPr="00936FE8">
              <w:rPr>
                <w:rFonts w:ascii="Arial" w:hAnsi="Arial" w:cs="Arial"/>
              </w:rPr>
              <w:t>-£6,544,059</w:t>
            </w:r>
          </w:p>
        </w:tc>
        <w:tc>
          <w:tcPr>
            <w:tcW w:w="1803" w:type="dxa"/>
            <w:vAlign w:val="center"/>
          </w:tcPr>
          <w:p w14:paraId="5E0EAAB1" w14:textId="07F64B00" w:rsidR="009669B2" w:rsidRPr="00936FE8" w:rsidRDefault="009669B2" w:rsidP="0054327B">
            <w:pPr>
              <w:spacing w:line="360" w:lineRule="auto"/>
              <w:rPr>
                <w:rFonts w:ascii="Arial" w:eastAsiaTheme="minorEastAsia" w:hAnsi="Arial" w:cs="Arial"/>
              </w:rPr>
            </w:pPr>
            <w:r w:rsidRPr="00936FE8">
              <w:rPr>
                <w:rFonts w:ascii="Arial" w:hAnsi="Arial" w:cs="Arial"/>
              </w:rPr>
              <w:t>-£6,080,190</w:t>
            </w:r>
          </w:p>
        </w:tc>
        <w:tc>
          <w:tcPr>
            <w:tcW w:w="1803" w:type="dxa"/>
            <w:vAlign w:val="center"/>
          </w:tcPr>
          <w:p w14:paraId="73B73A44" w14:textId="0EA7E84A" w:rsidR="009669B2" w:rsidRPr="00936FE8" w:rsidRDefault="009669B2" w:rsidP="0054327B">
            <w:pPr>
              <w:spacing w:line="360" w:lineRule="auto"/>
              <w:rPr>
                <w:rFonts w:ascii="Arial" w:eastAsiaTheme="minorEastAsia" w:hAnsi="Arial" w:cs="Arial"/>
              </w:rPr>
            </w:pPr>
            <w:r w:rsidRPr="00936FE8">
              <w:rPr>
                <w:rFonts w:ascii="Arial" w:hAnsi="Arial" w:cs="Arial"/>
                <w:b/>
                <w:bCs/>
              </w:rPr>
              <w:t>+£858,325</w:t>
            </w:r>
          </w:p>
        </w:tc>
        <w:tc>
          <w:tcPr>
            <w:tcW w:w="1803" w:type="dxa"/>
            <w:vAlign w:val="center"/>
          </w:tcPr>
          <w:p w14:paraId="5F4689C5" w14:textId="5A871594" w:rsidR="009669B2" w:rsidRPr="00936FE8" w:rsidRDefault="009669B2" w:rsidP="0054327B">
            <w:pPr>
              <w:spacing w:line="360" w:lineRule="auto"/>
              <w:rPr>
                <w:rFonts w:ascii="Arial" w:eastAsiaTheme="minorEastAsia" w:hAnsi="Arial" w:cs="Arial"/>
              </w:rPr>
            </w:pPr>
            <w:r w:rsidRPr="00936FE8">
              <w:rPr>
                <w:rFonts w:ascii="Arial" w:hAnsi="Arial" w:cs="Arial"/>
              </w:rPr>
              <w:t>Accept if NPV &gt; 0</w:t>
            </w:r>
          </w:p>
        </w:tc>
      </w:tr>
      <w:tr w:rsidR="009669B2" w:rsidRPr="00936FE8" w14:paraId="01404F80" w14:textId="41E2E248" w:rsidTr="005116CE">
        <w:tc>
          <w:tcPr>
            <w:tcW w:w="1804" w:type="dxa"/>
            <w:vAlign w:val="center"/>
          </w:tcPr>
          <w:p w14:paraId="46401FEF" w14:textId="0B53BF89" w:rsidR="009669B2" w:rsidRPr="00936FE8" w:rsidRDefault="009669B2" w:rsidP="0054327B">
            <w:pPr>
              <w:spacing w:line="360" w:lineRule="auto"/>
              <w:rPr>
                <w:rFonts w:ascii="Arial" w:eastAsiaTheme="minorEastAsia" w:hAnsi="Arial" w:cs="Arial"/>
              </w:rPr>
            </w:pPr>
            <w:r w:rsidRPr="00936FE8">
              <w:rPr>
                <w:rFonts w:ascii="Arial" w:hAnsi="Arial" w:cs="Arial"/>
                <w:b/>
                <w:bCs/>
              </w:rPr>
              <w:lastRenderedPageBreak/>
              <w:t>Profitability Index (PI)</w:t>
            </w:r>
          </w:p>
        </w:tc>
        <w:tc>
          <w:tcPr>
            <w:tcW w:w="1803" w:type="dxa"/>
            <w:vAlign w:val="center"/>
          </w:tcPr>
          <w:p w14:paraId="2515E799" w14:textId="26E7AC69" w:rsidR="009669B2" w:rsidRPr="00936FE8" w:rsidRDefault="009669B2" w:rsidP="0054327B">
            <w:pPr>
              <w:spacing w:line="360" w:lineRule="auto"/>
              <w:rPr>
                <w:rFonts w:ascii="Arial" w:eastAsiaTheme="minorEastAsia" w:hAnsi="Arial" w:cs="Arial"/>
              </w:rPr>
            </w:pPr>
            <w:r w:rsidRPr="00936FE8">
              <w:rPr>
                <w:rFonts w:ascii="Arial" w:hAnsi="Arial" w:cs="Arial"/>
              </w:rPr>
              <w:t>0.869</w:t>
            </w:r>
          </w:p>
        </w:tc>
        <w:tc>
          <w:tcPr>
            <w:tcW w:w="1803" w:type="dxa"/>
            <w:vAlign w:val="center"/>
          </w:tcPr>
          <w:p w14:paraId="54628EE7" w14:textId="20CDF01E" w:rsidR="009669B2" w:rsidRPr="00936FE8" w:rsidRDefault="009669B2" w:rsidP="0054327B">
            <w:pPr>
              <w:spacing w:line="360" w:lineRule="auto"/>
              <w:rPr>
                <w:rFonts w:ascii="Arial" w:eastAsiaTheme="minorEastAsia" w:hAnsi="Arial" w:cs="Arial"/>
              </w:rPr>
            </w:pPr>
            <w:r w:rsidRPr="00936FE8">
              <w:rPr>
                <w:rFonts w:ascii="Arial" w:hAnsi="Arial" w:cs="Arial"/>
              </w:rPr>
              <w:t>0.878</w:t>
            </w:r>
          </w:p>
        </w:tc>
        <w:tc>
          <w:tcPr>
            <w:tcW w:w="1803" w:type="dxa"/>
            <w:vAlign w:val="center"/>
          </w:tcPr>
          <w:p w14:paraId="64112834" w14:textId="17817CAD" w:rsidR="009669B2" w:rsidRPr="00936FE8" w:rsidRDefault="009669B2" w:rsidP="0054327B">
            <w:pPr>
              <w:spacing w:line="360" w:lineRule="auto"/>
              <w:rPr>
                <w:rFonts w:ascii="Arial" w:eastAsiaTheme="minorEastAsia" w:hAnsi="Arial" w:cs="Arial"/>
              </w:rPr>
            </w:pPr>
            <w:r w:rsidRPr="00936FE8">
              <w:rPr>
                <w:rFonts w:ascii="Arial" w:hAnsi="Arial" w:cs="Arial"/>
                <w:b/>
                <w:bCs/>
              </w:rPr>
              <w:t>1.017</w:t>
            </w:r>
          </w:p>
        </w:tc>
        <w:tc>
          <w:tcPr>
            <w:tcW w:w="1803" w:type="dxa"/>
            <w:vAlign w:val="center"/>
          </w:tcPr>
          <w:p w14:paraId="380FB767" w14:textId="5D98C127" w:rsidR="009669B2" w:rsidRPr="00936FE8" w:rsidRDefault="009669B2" w:rsidP="0054327B">
            <w:pPr>
              <w:spacing w:line="360" w:lineRule="auto"/>
              <w:rPr>
                <w:rFonts w:ascii="Arial" w:eastAsiaTheme="minorEastAsia" w:hAnsi="Arial" w:cs="Arial"/>
              </w:rPr>
            </w:pPr>
            <w:r w:rsidRPr="00936FE8">
              <w:rPr>
                <w:rFonts w:ascii="Arial" w:hAnsi="Arial" w:cs="Arial"/>
              </w:rPr>
              <w:t>Accept if PI &gt; 1.000</w:t>
            </w:r>
          </w:p>
        </w:tc>
      </w:tr>
      <w:tr w:rsidR="009669B2" w:rsidRPr="00936FE8" w14:paraId="31EAC040" w14:textId="25DC97BD" w:rsidTr="005116CE">
        <w:tc>
          <w:tcPr>
            <w:tcW w:w="1804" w:type="dxa"/>
            <w:vAlign w:val="center"/>
          </w:tcPr>
          <w:p w14:paraId="1AF0EC1A" w14:textId="4836D9DF" w:rsidR="009669B2" w:rsidRPr="00936FE8" w:rsidRDefault="009669B2" w:rsidP="0054327B">
            <w:pPr>
              <w:spacing w:line="360" w:lineRule="auto"/>
              <w:rPr>
                <w:rFonts w:ascii="Arial" w:eastAsiaTheme="minorEastAsia" w:hAnsi="Arial" w:cs="Arial"/>
              </w:rPr>
            </w:pPr>
            <w:r w:rsidRPr="00936FE8">
              <w:rPr>
                <w:rFonts w:ascii="Arial" w:hAnsi="Arial" w:cs="Arial"/>
                <w:b/>
                <w:bCs/>
              </w:rPr>
              <w:t>Internal Rate of Return</w:t>
            </w:r>
          </w:p>
        </w:tc>
        <w:tc>
          <w:tcPr>
            <w:tcW w:w="1803" w:type="dxa"/>
            <w:vAlign w:val="center"/>
          </w:tcPr>
          <w:p w14:paraId="279E7105" w14:textId="7B511EA5" w:rsidR="009669B2" w:rsidRPr="00936FE8" w:rsidRDefault="009669B2" w:rsidP="0054327B">
            <w:pPr>
              <w:spacing w:line="360" w:lineRule="auto"/>
              <w:rPr>
                <w:rFonts w:ascii="Arial" w:eastAsiaTheme="minorEastAsia" w:hAnsi="Arial" w:cs="Arial"/>
              </w:rPr>
            </w:pPr>
            <w:r w:rsidRPr="00936FE8">
              <w:rPr>
                <w:rFonts w:ascii="Arial" w:hAnsi="Arial" w:cs="Arial"/>
              </w:rPr>
              <w:t>2.81%</w:t>
            </w:r>
          </w:p>
        </w:tc>
        <w:tc>
          <w:tcPr>
            <w:tcW w:w="1803" w:type="dxa"/>
            <w:vAlign w:val="center"/>
          </w:tcPr>
          <w:p w14:paraId="0462A2EA" w14:textId="72118996" w:rsidR="009669B2" w:rsidRPr="00936FE8" w:rsidRDefault="009669B2" w:rsidP="0054327B">
            <w:pPr>
              <w:spacing w:line="360" w:lineRule="auto"/>
              <w:rPr>
                <w:rFonts w:ascii="Arial" w:eastAsiaTheme="minorEastAsia" w:hAnsi="Arial" w:cs="Arial"/>
              </w:rPr>
            </w:pPr>
            <w:r w:rsidRPr="00936FE8">
              <w:rPr>
                <w:rFonts w:ascii="Arial" w:hAnsi="Arial" w:cs="Arial"/>
              </w:rPr>
              <w:t>3.29%</w:t>
            </w:r>
          </w:p>
        </w:tc>
        <w:tc>
          <w:tcPr>
            <w:tcW w:w="1803" w:type="dxa"/>
            <w:vAlign w:val="center"/>
          </w:tcPr>
          <w:p w14:paraId="5710932B" w14:textId="25D84431" w:rsidR="009669B2" w:rsidRPr="00936FE8" w:rsidRDefault="009669B2" w:rsidP="0054327B">
            <w:pPr>
              <w:spacing w:line="360" w:lineRule="auto"/>
              <w:rPr>
                <w:rFonts w:ascii="Arial" w:eastAsiaTheme="minorEastAsia" w:hAnsi="Arial" w:cs="Arial"/>
              </w:rPr>
            </w:pPr>
            <w:r w:rsidRPr="00936FE8">
              <w:rPr>
                <w:rFonts w:ascii="Arial" w:hAnsi="Arial" w:cs="Arial"/>
                <w:b/>
                <w:bCs/>
              </w:rPr>
              <w:t>8.59%</w:t>
            </w:r>
          </w:p>
        </w:tc>
        <w:tc>
          <w:tcPr>
            <w:tcW w:w="1803" w:type="dxa"/>
            <w:vAlign w:val="center"/>
          </w:tcPr>
          <w:p w14:paraId="1AB5FC6A" w14:textId="74BCD9A6" w:rsidR="009669B2" w:rsidRPr="00936FE8" w:rsidRDefault="009669B2" w:rsidP="005E64A8">
            <w:pPr>
              <w:keepNext/>
              <w:spacing w:line="360" w:lineRule="auto"/>
              <w:rPr>
                <w:rFonts w:ascii="Arial" w:eastAsiaTheme="minorEastAsia" w:hAnsi="Arial" w:cs="Arial"/>
              </w:rPr>
            </w:pPr>
            <w:r w:rsidRPr="00936FE8">
              <w:rPr>
                <w:rFonts w:ascii="Arial" w:hAnsi="Arial" w:cs="Arial"/>
              </w:rPr>
              <w:t>Accept if IRR &gt; WACC (8.00%)</w:t>
            </w:r>
          </w:p>
        </w:tc>
      </w:tr>
    </w:tbl>
    <w:p w14:paraId="50CA3FC0" w14:textId="421A54B3" w:rsidR="00F57D4E" w:rsidRPr="00936FE8" w:rsidRDefault="005E64A8" w:rsidP="00C82762">
      <w:pPr>
        <w:pStyle w:val="Caption"/>
      </w:pPr>
      <w:r w:rsidRPr="00936FE8">
        <w:t xml:space="preserve">Table </w:t>
      </w:r>
      <w:fldSimple w:instr=" SEQ Table \* ARABIC ">
        <w:r w:rsidR="00132649" w:rsidRPr="00936FE8">
          <w:rPr>
            <w:noProof/>
          </w:rPr>
          <w:t>10</w:t>
        </w:r>
      </w:fldSimple>
      <w:r w:rsidRPr="00936FE8">
        <w:t>: Comparative Investment Matrix</w:t>
      </w:r>
    </w:p>
    <w:p w14:paraId="3F9B04EB" w14:textId="4F2B0DDE" w:rsidR="005E64A8" w:rsidRPr="00936FE8" w:rsidRDefault="005E64A8" w:rsidP="005E64A8">
      <w:pPr>
        <w:rPr>
          <w:rFonts w:ascii="Arial" w:hAnsi="Arial" w:cs="Arial"/>
        </w:rPr>
      </w:pPr>
      <w:r w:rsidRPr="00936FE8">
        <w:rPr>
          <w:rFonts w:ascii="Arial" w:hAnsi="Arial" w:cs="Arial"/>
        </w:rPr>
        <w:t>(Self-employed)</w:t>
      </w:r>
    </w:p>
    <w:p w14:paraId="543C0784" w14:textId="41343B0B" w:rsidR="00F57D4E" w:rsidRPr="00936FE8" w:rsidRDefault="00D7737F" w:rsidP="00D7737F">
      <w:pPr>
        <w:pStyle w:val="Heading2"/>
        <w:rPr>
          <w:rFonts w:ascii="Arial" w:eastAsiaTheme="minorEastAsia" w:hAnsi="Arial" w:cs="Arial"/>
        </w:rPr>
      </w:pPr>
      <w:bookmarkStart w:id="23" w:name="_Toc235785111"/>
      <w:r w:rsidRPr="00936FE8">
        <w:rPr>
          <w:rFonts w:ascii="Arial" w:eastAsiaTheme="minorEastAsia" w:hAnsi="Arial" w:cs="Arial"/>
        </w:rPr>
        <w:t xml:space="preserve">4.4 </w:t>
      </w:r>
      <w:r w:rsidR="009669B2" w:rsidRPr="00936FE8">
        <w:rPr>
          <w:rFonts w:ascii="Arial" w:eastAsiaTheme="minorEastAsia" w:hAnsi="Arial" w:cs="Arial"/>
        </w:rPr>
        <w:t>Strategic investment recommendation and comprehensive justification</w:t>
      </w:r>
      <w:bookmarkEnd w:id="23"/>
      <w:r w:rsidR="009669B2" w:rsidRPr="00936FE8">
        <w:rPr>
          <w:rFonts w:ascii="Arial" w:eastAsiaTheme="minorEastAsia" w:hAnsi="Arial" w:cs="Arial"/>
        </w:rPr>
        <w:t xml:space="preserve"> </w:t>
      </w:r>
    </w:p>
    <w:p w14:paraId="62A81718" w14:textId="06708F8B" w:rsidR="009669B2" w:rsidRPr="00936FE8" w:rsidRDefault="00167AB7" w:rsidP="0054327B">
      <w:pPr>
        <w:spacing w:line="360" w:lineRule="auto"/>
        <w:rPr>
          <w:rFonts w:ascii="Arial" w:eastAsiaTheme="minorEastAsia" w:hAnsi="Arial" w:cs="Arial"/>
        </w:rPr>
      </w:pPr>
      <w:r w:rsidRPr="00936FE8">
        <w:rPr>
          <w:rFonts w:ascii="Arial" w:eastAsiaTheme="minorEastAsia" w:hAnsi="Arial" w:cs="Arial"/>
        </w:rPr>
        <w:t xml:space="preserve">Project C is only financially viable project suggested for deployment. </w:t>
      </w:r>
    </w:p>
    <w:p w14:paraId="4AADC4FF" w14:textId="0F5A98C1" w:rsidR="00167AB7" w:rsidRPr="00936FE8" w:rsidRDefault="00D7737F" w:rsidP="00D7737F">
      <w:pPr>
        <w:pStyle w:val="Heading3"/>
        <w:rPr>
          <w:rFonts w:ascii="Arial" w:eastAsiaTheme="minorEastAsia" w:hAnsi="Arial" w:cs="Arial"/>
        </w:rPr>
      </w:pPr>
      <w:bookmarkStart w:id="24" w:name="_Toc235785112"/>
      <w:r w:rsidRPr="00936FE8">
        <w:rPr>
          <w:rFonts w:ascii="Arial" w:eastAsiaTheme="minorEastAsia" w:hAnsi="Arial" w:cs="Arial"/>
        </w:rPr>
        <w:t xml:space="preserve">4.4.1 </w:t>
      </w:r>
      <w:r w:rsidR="00167AB7" w:rsidRPr="00936FE8">
        <w:rPr>
          <w:rFonts w:ascii="Arial" w:eastAsiaTheme="minorEastAsia" w:hAnsi="Arial" w:cs="Arial"/>
        </w:rPr>
        <w:t>Financial justification and alignment with corporate metrics</w:t>
      </w:r>
      <w:bookmarkEnd w:id="24"/>
      <w:r w:rsidR="00167AB7" w:rsidRPr="00936FE8">
        <w:rPr>
          <w:rFonts w:ascii="Arial" w:eastAsiaTheme="minorEastAsia" w:hAnsi="Arial" w:cs="Arial"/>
        </w:rPr>
        <w:t xml:space="preserve"> </w:t>
      </w:r>
    </w:p>
    <w:p w14:paraId="6FAA3906" w14:textId="0FD5364C" w:rsidR="00C200E2" w:rsidRPr="00936FE8" w:rsidRDefault="00C200E2" w:rsidP="0054327B">
      <w:pPr>
        <w:spacing w:line="360" w:lineRule="auto"/>
        <w:rPr>
          <w:rFonts w:ascii="Arial" w:hAnsi="Arial" w:cs="Arial"/>
        </w:rPr>
      </w:pPr>
      <w:r w:rsidRPr="00936FE8">
        <w:rPr>
          <w:rFonts w:ascii="Arial" w:eastAsiaTheme="minorEastAsia" w:hAnsi="Arial" w:cs="Arial"/>
        </w:rPr>
        <w:t>Under the financial decision rules, projects that return a negative Net Present Value need to be systematically rejected. Both Project A (-</w:t>
      </w:r>
      <w:r w:rsidRPr="00936FE8">
        <w:rPr>
          <w:rFonts w:ascii="Arial" w:hAnsi="Arial" w:cs="Arial"/>
        </w:rPr>
        <w:t xml:space="preserve">£6.54m) and Project B (-£6.08m) fail to meet the hurdle rate, which means their execution would destroy the shareholder equity. </w:t>
      </w:r>
    </w:p>
    <w:p w14:paraId="28DE8EE3" w14:textId="6E4D6C8F" w:rsidR="00C200E2" w:rsidRPr="00936FE8" w:rsidRDefault="00C200E2" w:rsidP="0054327B">
      <w:pPr>
        <w:spacing w:line="360" w:lineRule="auto"/>
        <w:rPr>
          <w:rFonts w:ascii="Arial" w:hAnsi="Arial" w:cs="Arial"/>
        </w:rPr>
      </w:pPr>
      <w:r w:rsidRPr="00936FE8">
        <w:rPr>
          <w:rFonts w:ascii="Arial" w:hAnsi="Arial" w:cs="Arial"/>
        </w:rPr>
        <w:t xml:space="preserve">Project C is the only option that leads to economic value and generates a positive NPV of +£858,325 and an IRR of 8.59%, which exceeds the corporate hurdle rate. </w:t>
      </w:r>
    </w:p>
    <w:p w14:paraId="68FE7C77" w14:textId="2EE60580" w:rsidR="00C200E2" w:rsidRPr="00936FE8" w:rsidRDefault="00C200E2" w:rsidP="0054327B">
      <w:pPr>
        <w:spacing w:line="360" w:lineRule="auto"/>
        <w:rPr>
          <w:rFonts w:ascii="Arial" w:hAnsi="Arial" w:cs="Arial"/>
        </w:rPr>
      </w:pPr>
      <w:r w:rsidRPr="00936FE8">
        <w:rPr>
          <w:rFonts w:ascii="Arial" w:hAnsi="Arial" w:cs="Arial"/>
        </w:rPr>
        <w:t xml:space="preserve">This choice is well tailored to the corporate financial position forecast of FY25/26: </w:t>
      </w:r>
    </w:p>
    <w:p w14:paraId="15463B25" w14:textId="0ADC2AB9" w:rsidR="00C200E2" w:rsidRPr="00936FE8" w:rsidRDefault="00C4346B" w:rsidP="0054327B">
      <w:pPr>
        <w:pStyle w:val="ListParagraph"/>
        <w:numPr>
          <w:ilvl w:val="0"/>
          <w:numId w:val="4"/>
        </w:numPr>
        <w:spacing w:line="360" w:lineRule="auto"/>
        <w:rPr>
          <w:rFonts w:ascii="Arial" w:hAnsi="Arial" w:cs="Arial"/>
        </w:rPr>
      </w:pPr>
      <w:r w:rsidRPr="00936FE8">
        <w:rPr>
          <w:rFonts w:ascii="Arial" w:hAnsi="Arial" w:cs="Arial"/>
        </w:rPr>
        <w:t>P</w:t>
      </w:r>
      <w:r w:rsidR="00C200E2" w:rsidRPr="00936FE8">
        <w:rPr>
          <w:rFonts w:ascii="Arial" w:hAnsi="Arial" w:cs="Arial"/>
        </w:rPr>
        <w:t xml:space="preserve">rofitability integration: Project C addresses the forecast statutory net contraction (Net margin of -6.7%) by offering a strong Accounting Rate </w:t>
      </w:r>
      <w:proofErr w:type="gramStart"/>
      <w:r w:rsidR="00C200E2" w:rsidRPr="00936FE8">
        <w:rPr>
          <w:rFonts w:ascii="Arial" w:hAnsi="Arial" w:cs="Arial"/>
        </w:rPr>
        <w:t>of  Return</w:t>
      </w:r>
      <w:proofErr w:type="gramEnd"/>
      <w:r w:rsidR="00C200E2" w:rsidRPr="00936FE8">
        <w:rPr>
          <w:rFonts w:ascii="Arial" w:hAnsi="Arial" w:cs="Arial"/>
        </w:rPr>
        <w:t xml:space="preserve"> of 12.00%. This supports the institutional ROCE improvements beginning in Year 3. </w:t>
      </w:r>
    </w:p>
    <w:p w14:paraId="17DAF421" w14:textId="7A665A02" w:rsidR="00C200E2" w:rsidRPr="00936FE8" w:rsidRDefault="00C200E2" w:rsidP="0054327B">
      <w:pPr>
        <w:pStyle w:val="ListParagraph"/>
        <w:numPr>
          <w:ilvl w:val="0"/>
          <w:numId w:val="4"/>
        </w:numPr>
        <w:spacing w:line="360" w:lineRule="auto"/>
        <w:rPr>
          <w:rFonts w:ascii="Arial" w:hAnsi="Arial" w:cs="Arial"/>
        </w:rPr>
      </w:pPr>
      <w:r w:rsidRPr="00936FE8">
        <w:rPr>
          <w:rFonts w:ascii="Arial" w:hAnsi="Arial" w:cs="Arial"/>
        </w:rPr>
        <w:t xml:space="preserve">Liquidity management: While </w:t>
      </w:r>
      <w:r w:rsidR="00B8084F" w:rsidRPr="00936FE8">
        <w:rPr>
          <w:rFonts w:ascii="Arial" w:hAnsi="Arial" w:cs="Arial"/>
        </w:rPr>
        <w:t xml:space="preserve">s the forecast current ratio of the group is highly constrained </w:t>
      </w:r>
      <w:r w:rsidR="00C4346B" w:rsidRPr="00936FE8">
        <w:rPr>
          <w:rFonts w:ascii="Arial" w:hAnsi="Arial" w:cs="Arial"/>
        </w:rPr>
        <w:t>at</w:t>
      </w:r>
      <w:r w:rsidR="00B8084F" w:rsidRPr="00936FE8">
        <w:rPr>
          <w:rFonts w:ascii="Arial" w:hAnsi="Arial" w:cs="Arial"/>
        </w:rPr>
        <w:t xml:space="preserve"> 0.45, Project C decreases the </w:t>
      </w:r>
      <w:proofErr w:type="gramStart"/>
      <w:r w:rsidR="00B8084F" w:rsidRPr="00936FE8">
        <w:rPr>
          <w:rFonts w:ascii="Arial" w:hAnsi="Arial" w:cs="Arial"/>
        </w:rPr>
        <w:t>long term</w:t>
      </w:r>
      <w:proofErr w:type="gramEnd"/>
      <w:r w:rsidR="00B8084F" w:rsidRPr="00936FE8">
        <w:rPr>
          <w:rFonts w:ascii="Arial" w:hAnsi="Arial" w:cs="Arial"/>
        </w:rPr>
        <w:t xml:space="preserve"> capital risk by achieving the shortest payback profile 3.60 years. Does </w:t>
      </w:r>
      <w:proofErr w:type="spellStart"/>
      <w:r w:rsidR="00B8084F" w:rsidRPr="00936FE8">
        <w:rPr>
          <w:rFonts w:ascii="Arial" w:hAnsi="Arial" w:cs="Arial"/>
        </w:rPr>
        <w:t>rapat</w:t>
      </w:r>
      <w:proofErr w:type="spellEnd"/>
      <w:r w:rsidR="00B8084F" w:rsidRPr="00936FE8">
        <w:rPr>
          <w:rFonts w:ascii="Arial" w:hAnsi="Arial" w:cs="Arial"/>
        </w:rPr>
        <w:t xml:space="preserve"> cash return cycle helps replenish the cash buffers of the firm much faster than the alternatives available. </w:t>
      </w:r>
    </w:p>
    <w:p w14:paraId="085E8F2D" w14:textId="348DD505" w:rsidR="00A924ED" w:rsidRPr="00936FE8" w:rsidRDefault="00A924ED" w:rsidP="00A924ED">
      <w:pPr>
        <w:spacing w:line="360" w:lineRule="auto"/>
        <w:rPr>
          <w:rFonts w:ascii="Arial" w:hAnsi="Arial" w:cs="Arial"/>
        </w:rPr>
      </w:pPr>
      <w:r w:rsidRPr="00936FE8">
        <w:rPr>
          <w:rFonts w:ascii="Arial" w:hAnsi="Arial" w:cs="Arial"/>
        </w:rPr>
        <w:t xml:space="preserve">In </w:t>
      </w:r>
      <w:r w:rsidR="00C4346B" w:rsidRPr="00936FE8">
        <w:rPr>
          <w:rFonts w:ascii="Arial" w:hAnsi="Arial" w:cs="Arial"/>
        </w:rPr>
        <w:t>an</w:t>
      </w:r>
      <w:r w:rsidRPr="00936FE8">
        <w:rPr>
          <w:rFonts w:ascii="Arial" w:hAnsi="Arial" w:cs="Arial"/>
        </w:rPr>
        <w:t xml:space="preserve"> asset-heavy industry like hospitality, efficiency is calculated using the </w:t>
      </w:r>
      <w:r w:rsidRPr="00936FE8">
        <w:rPr>
          <w:rFonts w:ascii="Arial" w:hAnsi="Arial" w:cs="Arial"/>
          <w:b/>
          <w:bCs/>
          <w:i/>
          <w:iCs/>
        </w:rPr>
        <w:t xml:space="preserve">Asset Turnover Ratio. </w:t>
      </w:r>
      <w:r w:rsidRPr="00936FE8">
        <w:rPr>
          <w:rFonts w:ascii="Arial" w:hAnsi="Arial" w:cs="Arial"/>
        </w:rPr>
        <w:t xml:space="preserve">It measures how productively the organisation converts its capital investments into operational revenue. </w:t>
      </w:r>
    </w:p>
    <w:p w14:paraId="30C5B99D" w14:textId="2D485601" w:rsidR="00A924ED" w:rsidRPr="00936FE8" w:rsidRDefault="00A924ED" w:rsidP="00A924ED">
      <w:pPr>
        <w:spacing w:line="360" w:lineRule="auto"/>
        <w:rPr>
          <w:rFonts w:ascii="Arial" w:eastAsiaTheme="minorEastAsia" w:hAnsi="Arial" w:cs="Arial"/>
        </w:rPr>
      </w:pPr>
      <m:oMathPara>
        <m:oMath>
          <m:r>
            <m:rPr>
              <m:nor/>
            </m:rPr>
            <w:rPr>
              <w:rFonts w:ascii="Arial" w:hAnsi="Arial" w:cs="Arial"/>
            </w:rPr>
            <w:lastRenderedPageBreak/>
            <m:t xml:space="preserve">Asset Turnover Ratio (Efficiency Ratio) </m:t>
          </m:r>
          <m:r>
            <w:rPr>
              <w:rFonts w:ascii="Cambria Math" w:hAnsi="Cambria Math" w:cs="Arial"/>
            </w:rPr>
            <m:t>=</m:t>
          </m:r>
          <m:f>
            <m:fPr>
              <m:ctrlPr>
                <w:rPr>
                  <w:rFonts w:ascii="Cambria Math" w:hAnsi="Cambria Math" w:cs="Arial"/>
                </w:rPr>
              </m:ctrlPr>
            </m:fPr>
            <m:num>
              <m:r>
                <m:rPr>
                  <m:nor/>
                </m:rPr>
                <w:rPr>
                  <w:rFonts w:ascii="Arial" w:hAnsi="Arial" w:cs="Arial"/>
                </w:rPr>
                <m:t>Projected Annual Revenue / Net Cash Inflow</m:t>
              </m:r>
            </m:num>
            <m:den>
              <m:r>
                <m:rPr>
                  <m:nor/>
                </m:rPr>
                <w:rPr>
                  <w:rFonts w:ascii="Arial" w:hAnsi="Arial" w:cs="Arial"/>
                </w:rPr>
                <m:t>Initial Investment Outlay</m:t>
              </m:r>
            </m:den>
          </m:f>
        </m:oMath>
      </m:oMathPara>
    </w:p>
    <w:p w14:paraId="770C7CA0" w14:textId="43D243F4" w:rsidR="00A924ED" w:rsidRPr="00936FE8" w:rsidRDefault="00A924ED" w:rsidP="00A924ED">
      <w:pPr>
        <w:spacing w:line="360" w:lineRule="auto"/>
        <w:rPr>
          <w:rFonts w:ascii="Arial" w:hAnsi="Arial" w:cs="Arial"/>
        </w:rPr>
      </w:pPr>
      <w:r w:rsidRPr="00936FE8">
        <w:rPr>
          <w:rFonts w:ascii="Arial" w:eastAsiaTheme="minorEastAsia" w:hAnsi="Arial" w:cs="Arial"/>
        </w:rPr>
        <w:t>Applying this to the</w:t>
      </w:r>
      <w:r w:rsidRPr="00936FE8">
        <w:rPr>
          <w:rFonts w:ascii="Arial" w:hAnsi="Arial" w:cs="Arial"/>
        </w:rPr>
        <w:t xml:space="preserve"> projects:</w:t>
      </w:r>
    </w:p>
    <w:p w14:paraId="383712A9" w14:textId="727FD9AE" w:rsidR="003C1B08" w:rsidRPr="00936FE8" w:rsidRDefault="00A924ED" w:rsidP="003C1B08">
      <w:pPr>
        <w:spacing w:line="360" w:lineRule="auto"/>
        <w:rPr>
          <w:rFonts w:ascii="Arial" w:hAnsi="Arial" w:cs="Arial"/>
        </w:rPr>
      </w:pPr>
      <w:r w:rsidRPr="00936FE8">
        <w:rPr>
          <w:rFonts w:ascii="Arial" w:hAnsi="Arial" w:cs="Arial"/>
        </w:rPr>
        <w:t xml:space="preserve">Project B (Annuity): </w:t>
      </w:r>
      <m:oMath>
        <m:f>
          <m:fPr>
            <m:ctrlPr>
              <w:rPr>
                <w:rFonts w:ascii="Cambria Math" w:hAnsi="Cambria Math" w:cs="Arial"/>
              </w:rPr>
            </m:ctrlPr>
          </m:fPr>
          <m:num>
            <m:r>
              <m:rPr>
                <m:sty m:val="p"/>
              </m:rPr>
              <w:rPr>
                <w:rFonts w:ascii="Cambria Math" w:hAnsi="Cambria Math" w:cs="Arial"/>
              </w:rPr>
              <m:t>£11</m:t>
            </m:r>
            <m:r>
              <m:rPr>
                <m:nor/>
              </m:rPr>
              <w:rPr>
                <w:rFonts w:ascii="Arial" w:hAnsi="Arial" w:cs="Arial"/>
              </w:rPr>
              <m:t>m</m:t>
            </m:r>
          </m:num>
          <m:den>
            <m:r>
              <m:rPr>
                <m:sty m:val="p"/>
              </m:rPr>
              <w:rPr>
                <w:rFonts w:ascii="Cambria Math" w:hAnsi="Cambria Math" w:cs="Arial"/>
              </w:rPr>
              <m:t>£50</m:t>
            </m:r>
            <m:r>
              <m:rPr>
                <m:nor/>
              </m:rPr>
              <w:rPr>
                <w:rFonts w:ascii="Arial" w:hAnsi="Arial" w:cs="Arial"/>
              </w:rPr>
              <m:t>m</m:t>
            </m:r>
          </m:den>
        </m:f>
        <m:r>
          <m:rPr>
            <m:sty m:val="p"/>
          </m:rPr>
          <w:rPr>
            <w:rFonts w:ascii="Cambria Math" w:hAnsi="Cambria Math" w:cs="Arial"/>
          </w:rPr>
          <m:t>=0.220</m:t>
        </m:r>
      </m:oMath>
      <w:r w:rsidR="003C1B08" w:rsidRPr="00936FE8">
        <w:rPr>
          <w:rFonts w:ascii="Arial" w:hAnsi="Arial" w:cs="Arial"/>
        </w:rPr>
        <w:t xml:space="preserve"> or 22.0% stable efficiency.</w:t>
      </w:r>
    </w:p>
    <w:p w14:paraId="26FB01DA" w14:textId="679BD5EC" w:rsidR="003C1B08" w:rsidRPr="00936FE8" w:rsidRDefault="003C1B08" w:rsidP="003C1B08">
      <w:pPr>
        <w:spacing w:line="360" w:lineRule="auto"/>
        <w:rPr>
          <w:rFonts w:ascii="Arial" w:eastAsiaTheme="minorEastAsia" w:hAnsi="Arial" w:cs="Arial"/>
        </w:rPr>
      </w:pPr>
      <w:r w:rsidRPr="00936FE8">
        <w:rPr>
          <w:rFonts w:ascii="Arial" w:eastAsiaTheme="minorEastAsia" w:hAnsi="Arial" w:cs="Arial"/>
        </w:rPr>
        <w:t xml:space="preserve">Project C (recommended progressive): Starts low but scales drastically. By year 4, its peak operating efficiency reaches </w:t>
      </w:r>
      <m:oMath>
        <m:f>
          <m:fPr>
            <m:ctrlPr>
              <w:rPr>
                <w:rFonts w:ascii="Cambria Math" w:eastAsiaTheme="minorEastAsia" w:hAnsi="Cambria Math" w:cs="Arial"/>
              </w:rPr>
            </m:ctrlPr>
          </m:fPr>
          <m:num>
            <m:r>
              <m:rPr>
                <m:sty m:val="p"/>
              </m:rPr>
              <w:rPr>
                <w:rFonts w:ascii="Cambria Math" w:hAnsi="Cambria Math" w:cs="Arial"/>
              </w:rPr>
              <m:t>£</m:t>
            </m:r>
            <m:r>
              <w:rPr>
                <w:rFonts w:ascii="Cambria Math" w:eastAsiaTheme="minorEastAsia" w:hAnsi="Cambria Math" w:cs="Arial"/>
              </w:rPr>
              <m:t>25</m:t>
            </m:r>
            <m:r>
              <m:rPr>
                <m:nor/>
              </m:rPr>
              <w:rPr>
                <w:rFonts w:ascii="Arial" w:eastAsiaTheme="minorEastAsia" w:hAnsi="Arial" w:cs="Arial"/>
              </w:rPr>
              <m:t>m</m:t>
            </m:r>
          </m:num>
          <m:den>
            <m:r>
              <m:rPr>
                <m:sty m:val="p"/>
              </m:rPr>
              <w:rPr>
                <w:rFonts w:ascii="Cambria Math" w:hAnsi="Cambria Math" w:cs="Arial"/>
              </w:rPr>
              <m:t>£</m:t>
            </m:r>
            <m:r>
              <w:rPr>
                <w:rFonts w:ascii="Cambria Math" w:eastAsiaTheme="minorEastAsia" w:hAnsi="Cambria Math" w:cs="Arial"/>
              </w:rPr>
              <m:t>50</m:t>
            </m:r>
            <m:r>
              <m:rPr>
                <m:nor/>
              </m:rPr>
              <w:rPr>
                <w:rFonts w:ascii="Arial" w:eastAsiaTheme="minorEastAsia" w:hAnsi="Arial" w:cs="Arial"/>
              </w:rPr>
              <m:t>m</m:t>
            </m:r>
          </m:den>
        </m:f>
        <m:r>
          <w:rPr>
            <w:rFonts w:ascii="Cambria Math" w:eastAsiaTheme="minorEastAsia" w:hAnsi="Cambria Math" w:cs="Arial"/>
          </w:rPr>
          <m:t>=0.500</m:t>
        </m:r>
      </m:oMath>
      <w:r w:rsidRPr="00936FE8">
        <w:rPr>
          <w:rFonts w:ascii="Arial" w:eastAsiaTheme="minorEastAsia" w:hAnsi="Arial" w:cs="Arial"/>
        </w:rPr>
        <w:t xml:space="preserve"> or </w:t>
      </w:r>
      <w:r w:rsidRPr="00936FE8">
        <w:rPr>
          <w:rFonts w:ascii="Arial" w:eastAsiaTheme="minorEastAsia" w:hAnsi="Arial" w:cs="Arial"/>
          <w:b/>
          <w:bCs/>
        </w:rPr>
        <w:t>50.0%</w:t>
      </w:r>
      <w:r w:rsidRPr="00936FE8">
        <w:rPr>
          <w:rFonts w:ascii="Arial" w:eastAsiaTheme="minorEastAsia" w:hAnsi="Arial" w:cs="Arial"/>
        </w:rPr>
        <w:t>.</w:t>
      </w:r>
    </w:p>
    <w:p w14:paraId="73F97039" w14:textId="0682C81D" w:rsidR="003C1B08" w:rsidRPr="00936FE8" w:rsidRDefault="003C1B08" w:rsidP="003C1B08">
      <w:pPr>
        <w:spacing w:line="360" w:lineRule="auto"/>
        <w:rPr>
          <w:rFonts w:ascii="Arial" w:eastAsiaTheme="minorEastAsia" w:hAnsi="Arial" w:cs="Arial"/>
        </w:rPr>
      </w:pPr>
    </w:p>
    <w:p w14:paraId="72071570" w14:textId="259B134E" w:rsidR="00B8084F" w:rsidRPr="00936FE8" w:rsidRDefault="00B8084F" w:rsidP="00D7737F">
      <w:pPr>
        <w:pStyle w:val="Heading3"/>
        <w:rPr>
          <w:rFonts w:ascii="Arial" w:hAnsi="Arial" w:cs="Arial"/>
        </w:rPr>
      </w:pPr>
      <w:bookmarkStart w:id="25" w:name="_Toc235785113"/>
      <w:r w:rsidRPr="00936FE8">
        <w:rPr>
          <w:rFonts w:ascii="Arial" w:hAnsi="Arial" w:cs="Arial"/>
        </w:rPr>
        <w:t xml:space="preserve">4.4.2 </w:t>
      </w:r>
      <w:proofErr w:type="gramStart"/>
      <w:r w:rsidRPr="00936FE8">
        <w:rPr>
          <w:rFonts w:ascii="Arial" w:hAnsi="Arial" w:cs="Arial"/>
        </w:rPr>
        <w:t>Non</w:t>
      </w:r>
      <w:r w:rsidR="00D7737F" w:rsidRPr="00936FE8">
        <w:rPr>
          <w:rFonts w:ascii="Arial" w:hAnsi="Arial" w:cs="Arial"/>
        </w:rPr>
        <w:t>-</w:t>
      </w:r>
      <w:r w:rsidRPr="00936FE8">
        <w:rPr>
          <w:rFonts w:ascii="Arial" w:hAnsi="Arial" w:cs="Arial"/>
        </w:rPr>
        <w:t>financial</w:t>
      </w:r>
      <w:proofErr w:type="gramEnd"/>
      <w:r w:rsidRPr="00936FE8">
        <w:rPr>
          <w:rFonts w:ascii="Arial" w:hAnsi="Arial" w:cs="Arial"/>
        </w:rPr>
        <w:t xml:space="preserve"> risk mitigation framework</w:t>
      </w:r>
      <w:bookmarkEnd w:id="25"/>
    </w:p>
    <w:p w14:paraId="28440952" w14:textId="66E35FF2" w:rsidR="00B8084F" w:rsidRPr="00936FE8" w:rsidRDefault="00437F81" w:rsidP="0054327B">
      <w:pPr>
        <w:spacing w:line="360" w:lineRule="auto"/>
        <w:rPr>
          <w:rFonts w:ascii="Arial" w:eastAsiaTheme="minorEastAsia" w:hAnsi="Arial" w:cs="Arial"/>
        </w:rPr>
      </w:pPr>
      <w:r w:rsidRPr="00936FE8">
        <w:rPr>
          <w:rFonts w:ascii="Arial" w:hAnsi="Arial" w:cs="Arial"/>
        </w:rPr>
        <w:t>Beyond</w:t>
      </w:r>
      <w:r w:rsidR="00B8084F" w:rsidRPr="00936FE8">
        <w:rPr>
          <w:rFonts w:ascii="Arial" w:hAnsi="Arial" w:cs="Arial"/>
        </w:rPr>
        <w:t xml:space="preserve"> the direct financial metric, Project C effectively aligns with the external risk profile of the group: </w:t>
      </w:r>
    </w:p>
    <w:p w14:paraId="310D93D1" w14:textId="4583E8FF" w:rsidR="00167AB7" w:rsidRPr="00936FE8" w:rsidRDefault="00B8084F" w:rsidP="0054327B">
      <w:pPr>
        <w:pStyle w:val="ListParagraph"/>
        <w:numPr>
          <w:ilvl w:val="0"/>
          <w:numId w:val="5"/>
        </w:numPr>
        <w:spacing w:line="360" w:lineRule="auto"/>
        <w:rPr>
          <w:rFonts w:ascii="Arial" w:eastAsiaTheme="minorEastAsia" w:hAnsi="Arial" w:cs="Arial"/>
        </w:rPr>
      </w:pPr>
      <w:r w:rsidRPr="00936FE8">
        <w:rPr>
          <w:rFonts w:ascii="Arial" w:eastAsiaTheme="minorEastAsia" w:hAnsi="Arial" w:cs="Arial"/>
        </w:rPr>
        <w:t xml:space="preserve">Customer loyalty and consumer trends: The progressive revenue growth of Project C depends on development of the customer awareness overtime. This aligns with the modern digital loyalty framework and helps the company to value- conscious corporate leisure travellers as the economic conditions shift (S&amp;P Global Ratings, 2024). </w:t>
      </w:r>
    </w:p>
    <w:p w14:paraId="20B9C86D" w14:textId="5582870B" w:rsidR="00B8084F" w:rsidRPr="00936FE8" w:rsidRDefault="00B8084F" w:rsidP="0054327B">
      <w:pPr>
        <w:pStyle w:val="ListParagraph"/>
        <w:numPr>
          <w:ilvl w:val="0"/>
          <w:numId w:val="5"/>
        </w:numPr>
        <w:spacing w:line="360" w:lineRule="auto"/>
        <w:rPr>
          <w:rFonts w:ascii="Arial" w:eastAsiaTheme="minorEastAsia" w:hAnsi="Arial" w:cs="Arial"/>
        </w:rPr>
      </w:pPr>
      <w:r w:rsidRPr="00936FE8">
        <w:rPr>
          <w:rFonts w:ascii="Arial" w:eastAsiaTheme="minorEastAsia" w:hAnsi="Arial" w:cs="Arial"/>
        </w:rPr>
        <w:t xml:space="preserve">Mitigation of the political and regulatory pressures: The </w:t>
      </w:r>
      <w:r w:rsidR="00D7737F" w:rsidRPr="00936FE8">
        <w:rPr>
          <w:rFonts w:ascii="Arial" w:eastAsiaTheme="minorEastAsia" w:hAnsi="Arial" w:cs="Arial"/>
        </w:rPr>
        <w:t>back-loaded</w:t>
      </w:r>
      <w:r w:rsidRPr="00936FE8">
        <w:rPr>
          <w:rFonts w:ascii="Arial" w:eastAsiaTheme="minorEastAsia" w:hAnsi="Arial" w:cs="Arial"/>
        </w:rPr>
        <w:t xml:space="preserve"> cash flow structure offers a useful operational buffer during Year 1 and Year 2. This breathing home hatch the </w:t>
      </w:r>
      <w:r w:rsidR="00D7737F" w:rsidRPr="00936FE8">
        <w:rPr>
          <w:rFonts w:ascii="Arial" w:eastAsiaTheme="minorEastAsia" w:hAnsi="Arial" w:cs="Arial"/>
        </w:rPr>
        <w:t>organisation</w:t>
      </w:r>
      <w:r w:rsidRPr="00936FE8">
        <w:rPr>
          <w:rFonts w:ascii="Arial" w:eastAsiaTheme="minorEastAsia" w:hAnsi="Arial" w:cs="Arial"/>
        </w:rPr>
        <w:t xml:space="preserve"> </w:t>
      </w:r>
      <w:r w:rsidR="00C4346B" w:rsidRPr="00936FE8">
        <w:rPr>
          <w:rFonts w:ascii="Arial" w:eastAsiaTheme="minorEastAsia" w:hAnsi="Arial" w:cs="Arial"/>
        </w:rPr>
        <w:t xml:space="preserve">to </w:t>
      </w:r>
      <w:r w:rsidRPr="00936FE8">
        <w:rPr>
          <w:rFonts w:ascii="Arial" w:eastAsiaTheme="minorEastAsia" w:hAnsi="Arial" w:cs="Arial"/>
        </w:rPr>
        <w:t xml:space="preserve">absorb the </w:t>
      </w:r>
      <w:r w:rsidR="00D7737F" w:rsidRPr="00936FE8">
        <w:rPr>
          <w:rFonts w:ascii="Arial" w:eastAsiaTheme="minorEastAsia" w:hAnsi="Arial" w:cs="Arial"/>
        </w:rPr>
        <w:t>near-term</w:t>
      </w:r>
      <w:r w:rsidRPr="00936FE8">
        <w:rPr>
          <w:rFonts w:ascii="Arial" w:eastAsiaTheme="minorEastAsia" w:hAnsi="Arial" w:cs="Arial"/>
        </w:rPr>
        <w:t xml:space="preserve"> cost shocks from the national living wage hikes and business rate increases before the major revenue scaling begins in the 3rd year. </w:t>
      </w:r>
    </w:p>
    <w:p w14:paraId="58FB081A" w14:textId="2A37D897" w:rsidR="00B8084F" w:rsidRPr="00936FE8" w:rsidRDefault="00D7737F" w:rsidP="00D7737F">
      <w:pPr>
        <w:pStyle w:val="Heading2"/>
        <w:rPr>
          <w:rFonts w:ascii="Arial" w:eastAsiaTheme="minorEastAsia" w:hAnsi="Arial" w:cs="Arial"/>
        </w:rPr>
      </w:pPr>
      <w:bookmarkStart w:id="26" w:name="_Toc235785114"/>
      <w:r w:rsidRPr="00936FE8">
        <w:rPr>
          <w:rFonts w:ascii="Arial" w:eastAsiaTheme="minorEastAsia" w:hAnsi="Arial" w:cs="Arial"/>
        </w:rPr>
        <w:t xml:space="preserve">4.5 Capital Rationing and Strategic Portfolio </w:t>
      </w:r>
      <w:proofErr w:type="spellStart"/>
      <w:r w:rsidRPr="00936FE8">
        <w:rPr>
          <w:rFonts w:ascii="Arial" w:eastAsiaTheme="minorEastAsia" w:hAnsi="Arial" w:cs="Arial"/>
        </w:rPr>
        <w:t>Optimisation</w:t>
      </w:r>
      <w:bookmarkEnd w:id="26"/>
      <w:proofErr w:type="spellEnd"/>
    </w:p>
    <w:p w14:paraId="1A4BC6EE" w14:textId="54E19E10" w:rsidR="00B8084F" w:rsidRPr="00936FE8" w:rsidRDefault="00D7737F" w:rsidP="0054327B">
      <w:pPr>
        <w:spacing w:line="360" w:lineRule="auto"/>
        <w:rPr>
          <w:rFonts w:ascii="Arial" w:hAnsi="Arial" w:cs="Arial"/>
        </w:rPr>
      </w:pPr>
      <w:r w:rsidRPr="00936FE8">
        <w:rPr>
          <w:rFonts w:ascii="Arial" w:eastAsiaTheme="minorEastAsia" w:hAnsi="Arial" w:cs="Arial"/>
        </w:rPr>
        <w:t>Capital</w:t>
      </w:r>
      <w:r w:rsidR="00B8084F" w:rsidRPr="00936FE8">
        <w:rPr>
          <w:rFonts w:ascii="Arial" w:eastAsiaTheme="minorEastAsia" w:hAnsi="Arial" w:cs="Arial"/>
        </w:rPr>
        <w:t xml:space="preserve"> rationing takes place when the </w:t>
      </w:r>
      <w:r w:rsidRPr="00936FE8">
        <w:rPr>
          <w:rFonts w:ascii="Arial" w:eastAsiaTheme="minorEastAsia" w:hAnsi="Arial" w:cs="Arial"/>
        </w:rPr>
        <w:t>organisation</w:t>
      </w:r>
      <w:r w:rsidR="00B8084F" w:rsidRPr="00936FE8">
        <w:rPr>
          <w:rFonts w:ascii="Arial" w:eastAsiaTheme="minorEastAsia" w:hAnsi="Arial" w:cs="Arial"/>
        </w:rPr>
        <w:t xml:space="preserve"> faces an absolute ceiling on its capital allocation budget, which prevents it from executing all the positive-NPV projects simultaneously (Arnold and Lewis, 2019). To determine the optimal allocation of this </w:t>
      </w:r>
      <w:r w:rsidR="00B8084F" w:rsidRPr="00936FE8">
        <w:rPr>
          <w:rFonts w:ascii="Arial" w:hAnsi="Arial" w:cs="Arial"/>
        </w:rPr>
        <w:t xml:space="preserve">£100 million budget, the corporate entities </w:t>
      </w:r>
      <w:r w:rsidRPr="00936FE8">
        <w:rPr>
          <w:rFonts w:ascii="Arial" w:hAnsi="Arial" w:cs="Arial"/>
        </w:rPr>
        <w:t xml:space="preserve">are </w:t>
      </w:r>
      <w:r w:rsidR="00B8084F" w:rsidRPr="00936FE8">
        <w:rPr>
          <w:rFonts w:ascii="Arial" w:hAnsi="Arial" w:cs="Arial"/>
        </w:rPr>
        <w:t xml:space="preserve">required to evaluate every combination of the projects to find the mix that increases the total net present value without exceeding the budget constraints. </w:t>
      </w:r>
    </w:p>
    <w:p w14:paraId="1BAAB1E8" w14:textId="7C7FE995" w:rsidR="00B8084F" w:rsidRPr="00936FE8" w:rsidRDefault="00B8084F" w:rsidP="0054327B">
      <w:pPr>
        <w:spacing w:line="360" w:lineRule="auto"/>
        <w:rPr>
          <w:rFonts w:ascii="Arial" w:hAnsi="Arial" w:cs="Arial"/>
          <w:b/>
          <w:bCs/>
          <w:i/>
          <w:iCs/>
        </w:rPr>
      </w:pPr>
      <w:r w:rsidRPr="00936FE8">
        <w:rPr>
          <w:rFonts w:ascii="Arial" w:hAnsi="Arial" w:cs="Arial"/>
          <w:b/>
          <w:bCs/>
          <w:i/>
          <w:iCs/>
        </w:rPr>
        <w:t>Portfolio combination analysis</w:t>
      </w:r>
    </w:p>
    <w:p w14:paraId="3A55F503" w14:textId="03539C87" w:rsidR="00B8084F" w:rsidRPr="00936FE8" w:rsidRDefault="00B8084F" w:rsidP="0054327B">
      <w:pPr>
        <w:pStyle w:val="ListParagraph"/>
        <w:numPr>
          <w:ilvl w:val="0"/>
          <w:numId w:val="6"/>
        </w:numPr>
        <w:spacing w:line="360" w:lineRule="auto"/>
        <w:rPr>
          <w:rFonts w:ascii="Arial" w:eastAsiaTheme="minorEastAsia" w:hAnsi="Arial" w:cs="Arial"/>
        </w:rPr>
      </w:pPr>
      <w:r w:rsidRPr="00936FE8">
        <w:rPr>
          <w:rFonts w:ascii="Arial" w:eastAsiaTheme="minorEastAsia" w:hAnsi="Arial" w:cs="Arial"/>
        </w:rPr>
        <w:t xml:space="preserve">Portfolio Option (C+B): </w:t>
      </w:r>
    </w:p>
    <w:p w14:paraId="1689F77B" w14:textId="558A2C93" w:rsidR="00B8084F" w:rsidRPr="00936FE8" w:rsidRDefault="00B8084F" w:rsidP="0054327B">
      <w:pPr>
        <w:spacing w:line="360" w:lineRule="auto"/>
        <w:rPr>
          <w:rFonts w:ascii="Arial" w:eastAsiaTheme="minorEastAsia" w:hAnsi="Arial" w:cs="Arial"/>
        </w:rPr>
      </w:pPr>
      <m:oMathPara>
        <m:oMath>
          <m:r>
            <m:rPr>
              <m:nor/>
            </m:rPr>
            <w:rPr>
              <w:rFonts w:ascii="Arial" w:eastAsiaTheme="minorEastAsia" w:hAnsi="Arial" w:cs="Arial"/>
            </w:rPr>
            <w:lastRenderedPageBreak/>
            <m:t>Combined Initial Outlay</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50</m:t>
          </m:r>
          <m:r>
            <m:rPr>
              <m:nor/>
            </m:rPr>
            <w:rPr>
              <w:rFonts w:ascii="Arial" w:eastAsiaTheme="minorEastAsia" w:hAnsi="Arial" w:cs="Arial"/>
            </w:rPr>
            <m:t>m (C)</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50</m:t>
          </m:r>
          <m:r>
            <m:rPr>
              <m:nor/>
            </m:rPr>
            <w:rPr>
              <w:rFonts w:ascii="Arial" w:eastAsiaTheme="minorEastAsia" w:hAnsi="Arial" w:cs="Arial"/>
            </w:rPr>
            <m:t>m (B)</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100,000,000</m:t>
          </m:r>
          <m:r>
            <m:rPr>
              <m:nor/>
            </m:rPr>
            <w:rPr>
              <w:rFonts w:ascii="Arial" w:eastAsiaTheme="minorEastAsia" w:hAnsi="Arial" w:cs="Arial"/>
            </w:rPr>
            <m:t> (Within Budget Limit)</m:t>
          </m:r>
        </m:oMath>
      </m:oMathPara>
    </w:p>
    <w:p w14:paraId="5F152981" w14:textId="1EB175E2" w:rsidR="00B8084F" w:rsidRPr="00936FE8" w:rsidRDefault="00B8084F" w:rsidP="0054327B">
      <w:pPr>
        <w:spacing w:line="360" w:lineRule="auto"/>
        <w:rPr>
          <w:rFonts w:ascii="Arial" w:eastAsiaTheme="minorEastAsia" w:hAnsi="Arial" w:cs="Arial"/>
        </w:rPr>
      </w:pPr>
      <m:oMathPara>
        <m:oMath>
          <m:r>
            <m:rPr>
              <m:nor/>
            </m:rPr>
            <w:rPr>
              <w:rFonts w:ascii="Arial" w:eastAsiaTheme="minorEastAsia" w:hAnsi="Arial" w:cs="Arial"/>
            </w:rPr>
            <m:t>Aggregate Portfolio NPV</m:t>
          </m:r>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858,325</m:t>
              </m:r>
            </m:e>
          </m:d>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6,080,190</m:t>
              </m:r>
            </m:e>
          </m:d>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5,221,865</m:t>
          </m:r>
          <m:r>
            <m:rPr>
              <m:nor/>
            </m:rPr>
            <w:rPr>
              <w:rFonts w:ascii="Arial" w:eastAsiaTheme="minorEastAsia" w:hAnsi="Arial" w:cs="Arial"/>
            </w:rPr>
            <m:t> (Value Destruction)</m:t>
          </m:r>
        </m:oMath>
      </m:oMathPara>
    </w:p>
    <w:p w14:paraId="2535AC67" w14:textId="5723CD96" w:rsidR="00B8084F" w:rsidRPr="00936FE8" w:rsidRDefault="00B8084F" w:rsidP="0054327B">
      <w:pPr>
        <w:pStyle w:val="ListParagraph"/>
        <w:numPr>
          <w:ilvl w:val="0"/>
          <w:numId w:val="6"/>
        </w:numPr>
        <w:spacing w:line="360" w:lineRule="auto"/>
        <w:rPr>
          <w:rFonts w:ascii="Arial" w:eastAsiaTheme="minorEastAsia" w:hAnsi="Arial" w:cs="Arial"/>
        </w:rPr>
      </w:pPr>
      <w:r w:rsidRPr="00936FE8">
        <w:rPr>
          <w:rFonts w:ascii="Arial" w:eastAsiaTheme="minorEastAsia" w:hAnsi="Arial" w:cs="Arial"/>
        </w:rPr>
        <w:t>Portfolio Option (C+A):</w:t>
      </w:r>
    </w:p>
    <w:p w14:paraId="00ED724A" w14:textId="77777777" w:rsidR="00B8084F" w:rsidRPr="00936FE8" w:rsidRDefault="00B8084F" w:rsidP="0054327B">
      <w:pPr>
        <w:spacing w:line="360" w:lineRule="auto"/>
        <w:rPr>
          <w:rFonts w:ascii="Arial" w:eastAsiaTheme="minorEastAsia" w:hAnsi="Arial" w:cs="Arial"/>
        </w:rPr>
      </w:pPr>
    </w:p>
    <w:p w14:paraId="269663E0" w14:textId="39BB4C41" w:rsidR="00B8084F" w:rsidRPr="00936FE8" w:rsidRDefault="00B8084F" w:rsidP="0054327B">
      <w:pPr>
        <w:spacing w:line="360" w:lineRule="auto"/>
        <w:rPr>
          <w:rFonts w:ascii="Arial" w:eastAsiaTheme="minorEastAsia" w:hAnsi="Arial" w:cs="Arial"/>
        </w:rPr>
      </w:pPr>
      <m:oMathPara>
        <m:oMath>
          <m:r>
            <m:rPr>
              <m:nor/>
            </m:rPr>
            <w:rPr>
              <w:rFonts w:ascii="Arial" w:eastAsiaTheme="minorEastAsia" w:hAnsi="Arial" w:cs="Arial"/>
            </w:rPr>
            <m:t>Combined Initial Outlay</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50</m:t>
          </m:r>
          <m:r>
            <m:rPr>
              <m:nor/>
            </m:rPr>
            <w:rPr>
              <w:rFonts w:ascii="Arial" w:eastAsiaTheme="minorEastAsia" w:hAnsi="Arial" w:cs="Arial"/>
            </w:rPr>
            <m:t>m (C)</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50</m:t>
          </m:r>
          <m:r>
            <m:rPr>
              <m:nor/>
            </m:rPr>
            <w:rPr>
              <w:rFonts w:ascii="Arial" w:eastAsiaTheme="minorEastAsia" w:hAnsi="Arial" w:cs="Arial"/>
            </w:rPr>
            <m:t>m (A)</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100,000,000</m:t>
          </m:r>
          <m:r>
            <m:rPr>
              <m:nor/>
            </m:rPr>
            <w:rPr>
              <w:rFonts w:ascii="Arial" w:eastAsiaTheme="minorEastAsia" w:hAnsi="Arial" w:cs="Arial"/>
            </w:rPr>
            <m:t> (Within Budget Limit)</m:t>
          </m:r>
        </m:oMath>
      </m:oMathPara>
    </w:p>
    <w:p w14:paraId="4FEAFE8B" w14:textId="74A15BD1" w:rsidR="00B8084F" w:rsidRPr="00936FE8" w:rsidRDefault="00B8084F" w:rsidP="0054327B">
      <w:pPr>
        <w:spacing w:line="360" w:lineRule="auto"/>
        <w:rPr>
          <w:rFonts w:ascii="Arial" w:eastAsiaTheme="minorEastAsia" w:hAnsi="Arial" w:cs="Arial"/>
        </w:rPr>
      </w:pPr>
      <m:oMathPara>
        <m:oMath>
          <m:r>
            <m:rPr>
              <m:nor/>
            </m:rPr>
            <w:rPr>
              <w:rFonts w:ascii="Arial" w:eastAsiaTheme="minorEastAsia" w:hAnsi="Arial" w:cs="Arial"/>
            </w:rPr>
            <m:t>Aggregate Portfolio NPV</m:t>
          </m:r>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858,325</m:t>
              </m:r>
            </m:e>
          </m:d>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6,544,059</m:t>
              </m:r>
            </m:e>
          </m:d>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5,685,734</m:t>
          </m:r>
          <m:r>
            <m:rPr>
              <m:nor/>
            </m:rPr>
            <w:rPr>
              <w:rFonts w:ascii="Arial" w:eastAsiaTheme="minorEastAsia" w:hAnsi="Arial" w:cs="Arial"/>
            </w:rPr>
            <m:t> (Value Destruction)</m:t>
          </m:r>
        </m:oMath>
      </m:oMathPara>
    </w:p>
    <w:p w14:paraId="7AF525B8" w14:textId="5607B986" w:rsidR="00B8084F" w:rsidRPr="00936FE8" w:rsidRDefault="00B8084F" w:rsidP="0054327B">
      <w:pPr>
        <w:pStyle w:val="ListParagraph"/>
        <w:numPr>
          <w:ilvl w:val="0"/>
          <w:numId w:val="6"/>
        </w:numPr>
        <w:spacing w:line="360" w:lineRule="auto"/>
        <w:rPr>
          <w:rFonts w:ascii="Arial" w:eastAsiaTheme="minorEastAsia" w:hAnsi="Arial" w:cs="Arial"/>
        </w:rPr>
      </w:pPr>
      <w:r w:rsidRPr="00936FE8">
        <w:rPr>
          <w:rFonts w:ascii="Arial" w:eastAsiaTheme="minorEastAsia" w:hAnsi="Arial" w:cs="Arial"/>
        </w:rPr>
        <w:t xml:space="preserve">Portfolio Option (A+B): </w:t>
      </w:r>
    </w:p>
    <w:p w14:paraId="37EDA599" w14:textId="148DEA14" w:rsidR="00B8084F" w:rsidRPr="00936FE8" w:rsidRDefault="00B8084F" w:rsidP="0054327B">
      <w:pPr>
        <w:spacing w:line="360" w:lineRule="auto"/>
        <w:rPr>
          <w:rFonts w:ascii="Arial" w:eastAsiaTheme="minorEastAsia" w:hAnsi="Arial" w:cs="Arial"/>
        </w:rPr>
      </w:pPr>
      <m:oMathPara>
        <m:oMath>
          <m:r>
            <m:rPr>
              <m:nor/>
            </m:rPr>
            <w:rPr>
              <w:rFonts w:ascii="Arial" w:eastAsiaTheme="minorEastAsia" w:hAnsi="Arial" w:cs="Arial"/>
            </w:rPr>
            <m:t>Combined Initial Outlay</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50</m:t>
          </m:r>
          <m:r>
            <m:rPr>
              <m:nor/>
            </m:rPr>
            <w:rPr>
              <w:rFonts w:ascii="Arial" w:eastAsiaTheme="minorEastAsia" w:hAnsi="Arial" w:cs="Arial"/>
            </w:rPr>
            <m:t>m (A)</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50</m:t>
          </m:r>
          <m:r>
            <m:rPr>
              <m:nor/>
            </m:rPr>
            <w:rPr>
              <w:rFonts w:ascii="Arial" w:eastAsiaTheme="minorEastAsia" w:hAnsi="Arial" w:cs="Arial"/>
            </w:rPr>
            <m:t>m (B)</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100,000,000</m:t>
          </m:r>
          <m:r>
            <m:rPr>
              <m:nor/>
            </m:rPr>
            <w:rPr>
              <w:rFonts w:ascii="Arial" w:eastAsiaTheme="minorEastAsia" w:hAnsi="Arial" w:cs="Arial"/>
            </w:rPr>
            <m:t> (Within Budget Limit)</m:t>
          </m:r>
        </m:oMath>
      </m:oMathPara>
    </w:p>
    <w:p w14:paraId="35A43689" w14:textId="1EAF8DC6" w:rsidR="00B8084F" w:rsidRPr="00936FE8" w:rsidRDefault="00B8084F" w:rsidP="0054327B">
      <w:pPr>
        <w:spacing w:line="360" w:lineRule="auto"/>
        <w:rPr>
          <w:rFonts w:ascii="Arial" w:eastAsiaTheme="minorEastAsia" w:hAnsi="Arial" w:cs="Arial"/>
        </w:rPr>
      </w:pPr>
      <m:oMathPara>
        <m:oMath>
          <m:r>
            <m:rPr>
              <m:nor/>
            </m:rPr>
            <w:rPr>
              <w:rFonts w:ascii="Arial" w:eastAsiaTheme="minorEastAsia" w:hAnsi="Arial" w:cs="Arial"/>
            </w:rPr>
            <m:t>Aggregate Portfolio NPV</m:t>
          </m:r>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6,544,059</m:t>
              </m:r>
            </m:e>
          </m:d>
          <m:r>
            <w:rPr>
              <w:rFonts w:ascii="Cambria Math" w:eastAsiaTheme="minorEastAsia" w:hAnsi="Cambria Math" w:cs="Arial"/>
            </w:rPr>
            <m:t>+</m:t>
          </m:r>
          <m:d>
            <m:dPr>
              <m:ctrlPr>
                <w:rPr>
                  <w:rFonts w:ascii="Cambria Math" w:eastAsiaTheme="minorEastAsia" w:hAnsi="Cambria Math" w:cs="Arial"/>
                </w:rPr>
              </m:ctrlPr>
            </m:dPr>
            <m:e>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6,080,190</m:t>
              </m:r>
            </m:e>
          </m:d>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12,624,249</m:t>
          </m:r>
          <m:r>
            <m:rPr>
              <m:nor/>
            </m:rPr>
            <w:rPr>
              <w:rFonts w:ascii="Arial" w:eastAsiaTheme="minorEastAsia" w:hAnsi="Arial" w:cs="Arial"/>
            </w:rPr>
            <m:t> (Value Destruction)</m:t>
          </m:r>
        </m:oMath>
      </m:oMathPara>
    </w:p>
    <w:p w14:paraId="237BD19B" w14:textId="0F4FB18D" w:rsidR="00B8084F" w:rsidRPr="00936FE8" w:rsidRDefault="00B8084F" w:rsidP="0054327B">
      <w:pPr>
        <w:pStyle w:val="ListParagraph"/>
        <w:numPr>
          <w:ilvl w:val="0"/>
          <w:numId w:val="6"/>
        </w:numPr>
        <w:spacing w:line="360" w:lineRule="auto"/>
        <w:rPr>
          <w:rFonts w:ascii="Arial" w:eastAsiaTheme="minorEastAsia" w:hAnsi="Arial" w:cs="Arial"/>
        </w:rPr>
      </w:pPr>
      <w:r w:rsidRPr="00936FE8">
        <w:rPr>
          <w:rFonts w:ascii="Arial" w:eastAsiaTheme="minorEastAsia" w:hAnsi="Arial" w:cs="Arial"/>
        </w:rPr>
        <w:t xml:space="preserve">Portfolio Option (Project C only) </w:t>
      </w:r>
    </w:p>
    <w:p w14:paraId="66F1D8A5" w14:textId="28DC1B88" w:rsidR="00B8084F" w:rsidRPr="00936FE8" w:rsidRDefault="00B8084F" w:rsidP="0054327B">
      <w:pPr>
        <w:spacing w:line="360" w:lineRule="auto"/>
        <w:rPr>
          <w:rFonts w:ascii="Arial" w:eastAsiaTheme="minorEastAsia" w:hAnsi="Arial" w:cs="Arial"/>
        </w:rPr>
      </w:pPr>
      <m:oMathPara>
        <m:oMath>
          <m:r>
            <m:rPr>
              <m:nor/>
            </m:rPr>
            <w:rPr>
              <w:rFonts w:ascii="Arial" w:eastAsiaTheme="minorEastAsia" w:hAnsi="Arial" w:cs="Arial"/>
            </w:rPr>
            <m:t>Total Initial Outlay</m:t>
          </m:r>
          <m:r>
            <w:rPr>
              <w:rFonts w:ascii="Cambria Math" w:eastAsiaTheme="minorEastAsia" w:hAnsi="Cambria Math" w:cs="Arial"/>
            </w:rPr>
            <m:t>=\pounds50,000,000</m:t>
          </m:r>
          <m:r>
            <m:rPr>
              <m:nor/>
            </m:rPr>
            <w:rPr>
              <w:rFonts w:ascii="Arial" w:eastAsiaTheme="minorEastAsia" w:hAnsi="Arial" w:cs="Arial"/>
            </w:rPr>
            <m:t> (Surplus Capital Safeguarded = </m:t>
          </m:r>
          <m:r>
            <m:rPr>
              <m:nor/>
            </m:rPr>
            <w:rPr>
              <w:rFonts w:ascii="Arial" w:hAnsi="Arial" w:cs="Arial"/>
            </w:rPr>
            <m:t>£</m:t>
          </m:r>
          <m:r>
            <w:rPr>
              <w:rFonts w:ascii="Cambria Math" w:eastAsiaTheme="minorEastAsia" w:hAnsi="Cambria Math" w:cs="Arial"/>
            </w:rPr>
            <m:t>50,000,000</m:t>
          </m:r>
          <m:r>
            <m:rPr>
              <m:nor/>
            </m:rPr>
            <w:rPr>
              <w:rFonts w:ascii="Arial" w:eastAsiaTheme="minorEastAsia" w:hAnsi="Arial" w:cs="Arial"/>
            </w:rPr>
            <m:t>)</m:t>
          </m:r>
        </m:oMath>
      </m:oMathPara>
    </w:p>
    <w:p w14:paraId="2C197E78" w14:textId="68311419" w:rsidR="00B8084F" w:rsidRPr="00936FE8" w:rsidRDefault="00B8084F" w:rsidP="0054327B">
      <w:pPr>
        <w:spacing w:line="360" w:lineRule="auto"/>
        <w:rPr>
          <w:rFonts w:ascii="Arial" w:eastAsiaTheme="minorEastAsia" w:hAnsi="Arial" w:cs="Arial"/>
        </w:rPr>
      </w:pPr>
      <m:oMathPara>
        <m:oMath>
          <m:r>
            <m:rPr>
              <m:nor/>
            </m:rPr>
            <w:rPr>
              <w:rFonts w:ascii="Arial" w:eastAsiaTheme="minorEastAsia" w:hAnsi="Arial" w:cs="Arial"/>
            </w:rPr>
            <m:t>Aggregate Portfolio NPV</m:t>
          </m:r>
          <m:r>
            <w:rPr>
              <w:rFonts w:ascii="Cambria Math" w:eastAsiaTheme="minorEastAsia" w:hAnsi="Cambria Math" w:cs="Arial"/>
            </w:rPr>
            <m:t>=+</m:t>
          </m:r>
          <m:r>
            <m:rPr>
              <m:sty m:val="p"/>
            </m:rPr>
            <w:rPr>
              <w:rFonts w:ascii="Cambria Math" w:hAnsi="Cambria Math" w:cs="Arial"/>
            </w:rPr>
            <m:t>£</m:t>
          </m:r>
          <m:r>
            <w:rPr>
              <w:rFonts w:ascii="Cambria Math" w:eastAsiaTheme="minorEastAsia" w:hAnsi="Cambria Math" w:cs="Arial"/>
            </w:rPr>
            <m:t>858,325</m:t>
          </m:r>
          <m:r>
            <m:rPr>
              <m:nor/>
            </m:rPr>
            <w:rPr>
              <w:rFonts w:ascii="Arial" w:eastAsiaTheme="minorEastAsia" w:hAnsi="Arial" w:cs="Arial"/>
            </w:rPr>
            <m:t> (Value Maximization)</m:t>
          </m:r>
        </m:oMath>
      </m:oMathPara>
    </w:p>
    <w:p w14:paraId="274B262E" w14:textId="6DDCF37D" w:rsidR="00F57D4E" w:rsidRPr="00936FE8" w:rsidRDefault="00F57D4E" w:rsidP="0054327B">
      <w:pPr>
        <w:spacing w:line="360" w:lineRule="auto"/>
        <w:rPr>
          <w:rFonts w:ascii="Arial" w:eastAsiaTheme="minorEastAsia" w:hAnsi="Arial" w:cs="Arial"/>
        </w:rPr>
      </w:pPr>
    </w:p>
    <w:p w14:paraId="61BD05BC" w14:textId="7F43C4D5" w:rsidR="00B8084F" w:rsidRPr="00936FE8" w:rsidRDefault="00B8084F" w:rsidP="0054327B">
      <w:pPr>
        <w:spacing w:line="360" w:lineRule="auto"/>
        <w:rPr>
          <w:rFonts w:ascii="Arial" w:eastAsiaTheme="minorEastAsia" w:hAnsi="Arial" w:cs="Arial"/>
          <w:b/>
          <w:bCs/>
          <w:i/>
          <w:iCs/>
        </w:rPr>
      </w:pPr>
      <w:r w:rsidRPr="00936FE8">
        <w:rPr>
          <w:rFonts w:ascii="Arial" w:eastAsiaTheme="minorEastAsia" w:hAnsi="Arial" w:cs="Arial"/>
          <w:b/>
          <w:bCs/>
          <w:i/>
          <w:iCs/>
        </w:rPr>
        <w:t>Capital rationing justification</w:t>
      </w:r>
    </w:p>
    <w:p w14:paraId="54EC0CB3" w14:textId="0E52558E" w:rsidR="00B8084F" w:rsidRPr="00936FE8" w:rsidRDefault="00D7737F" w:rsidP="0054327B">
      <w:pPr>
        <w:spacing w:line="360" w:lineRule="auto"/>
        <w:rPr>
          <w:rFonts w:ascii="Arial" w:eastAsiaTheme="minorEastAsia" w:hAnsi="Arial" w:cs="Arial"/>
        </w:rPr>
      </w:pPr>
      <w:r w:rsidRPr="00936FE8">
        <w:rPr>
          <w:rFonts w:ascii="Arial" w:eastAsiaTheme="minorEastAsia" w:hAnsi="Arial" w:cs="Arial"/>
        </w:rPr>
        <w:t>Under</w:t>
      </w:r>
      <w:r w:rsidR="00B8084F" w:rsidRPr="00936FE8">
        <w:rPr>
          <w:rFonts w:ascii="Arial" w:eastAsiaTheme="minorEastAsia" w:hAnsi="Arial" w:cs="Arial"/>
        </w:rPr>
        <w:t xml:space="preserve"> the principles of capital rationing, the goal is always to increase the total net present value across the portfolio. As project A and B carry negative individual NPVs, combining them with project C drags down the total return of the portfolio and destroys the corporate value.</w:t>
      </w:r>
    </w:p>
    <w:p w14:paraId="06816FE3" w14:textId="7AF60842" w:rsidR="00B8084F" w:rsidRPr="00936FE8" w:rsidRDefault="00B8084F" w:rsidP="0054327B">
      <w:pPr>
        <w:spacing w:line="360" w:lineRule="auto"/>
        <w:rPr>
          <w:rFonts w:ascii="Arial" w:hAnsi="Arial" w:cs="Arial"/>
        </w:rPr>
      </w:pPr>
      <w:r w:rsidRPr="00936FE8">
        <w:rPr>
          <w:rFonts w:ascii="Arial" w:eastAsiaTheme="minorEastAsia" w:hAnsi="Arial" w:cs="Arial"/>
        </w:rPr>
        <w:t>That is why the portfolio strategy is to allocate</w:t>
      </w:r>
      <w:r w:rsidRPr="00936FE8">
        <w:rPr>
          <w:rFonts w:ascii="Arial" w:hAnsi="Arial" w:cs="Arial"/>
        </w:rPr>
        <w:t xml:space="preserve"> £50,000,000 exclusively to Project C and leave the remaining £50 million unspent. This surplus capital </w:t>
      </w:r>
      <w:r w:rsidR="00D7737F" w:rsidRPr="00936FE8">
        <w:rPr>
          <w:rFonts w:ascii="Arial" w:hAnsi="Arial" w:cs="Arial"/>
        </w:rPr>
        <w:t>needs</w:t>
      </w:r>
      <w:r w:rsidRPr="00936FE8">
        <w:rPr>
          <w:rFonts w:ascii="Arial" w:hAnsi="Arial" w:cs="Arial"/>
        </w:rPr>
        <w:t xml:space="preserve"> to be returned </w:t>
      </w:r>
      <w:r w:rsidRPr="00936FE8">
        <w:rPr>
          <w:rFonts w:ascii="Arial" w:hAnsi="Arial" w:cs="Arial"/>
        </w:rPr>
        <w:lastRenderedPageBreak/>
        <w:t xml:space="preserve">to cash reserves to shore up the current ratio or can be used to pay down the outstanding </w:t>
      </w:r>
      <w:r w:rsidR="00D7737F" w:rsidRPr="00936FE8">
        <w:rPr>
          <w:rFonts w:ascii="Arial" w:hAnsi="Arial" w:cs="Arial"/>
        </w:rPr>
        <w:t>floating-rate</w:t>
      </w:r>
      <w:r w:rsidRPr="00936FE8">
        <w:rPr>
          <w:rFonts w:ascii="Arial" w:hAnsi="Arial" w:cs="Arial"/>
        </w:rPr>
        <w:t xml:space="preserve"> debt, helping protect the financial position of the group through the upcoming fiscal year. </w:t>
      </w:r>
    </w:p>
    <w:p w14:paraId="17E774A7" w14:textId="1913F4D9" w:rsidR="00E53DFB" w:rsidRPr="00936FE8" w:rsidRDefault="00D7737F" w:rsidP="00D7737F">
      <w:pPr>
        <w:pStyle w:val="Heading1"/>
        <w:rPr>
          <w:rFonts w:ascii="Arial" w:hAnsi="Arial" w:cs="Arial"/>
        </w:rPr>
      </w:pPr>
      <w:bookmarkStart w:id="27" w:name="_Toc235785115"/>
      <w:r w:rsidRPr="00936FE8">
        <w:rPr>
          <w:rFonts w:ascii="Arial" w:hAnsi="Arial" w:cs="Arial"/>
        </w:rPr>
        <w:t xml:space="preserve">5. </w:t>
      </w:r>
      <w:r w:rsidR="00E53DFB" w:rsidRPr="00936FE8">
        <w:rPr>
          <w:rFonts w:ascii="Arial" w:hAnsi="Arial" w:cs="Arial"/>
        </w:rPr>
        <w:t>Critical reflection on AI usage</w:t>
      </w:r>
      <w:bookmarkEnd w:id="27"/>
    </w:p>
    <w:p w14:paraId="7A1D543F" w14:textId="3A840492" w:rsidR="00E53DFB" w:rsidRPr="00936FE8" w:rsidRDefault="00D7737F" w:rsidP="00D7737F">
      <w:pPr>
        <w:pStyle w:val="Heading2"/>
        <w:rPr>
          <w:rFonts w:ascii="Arial" w:hAnsi="Arial" w:cs="Arial"/>
        </w:rPr>
      </w:pPr>
      <w:bookmarkStart w:id="28" w:name="_Toc235785116"/>
      <w:r w:rsidRPr="00936FE8">
        <w:rPr>
          <w:rFonts w:ascii="Arial" w:hAnsi="Arial" w:cs="Arial"/>
        </w:rPr>
        <w:t>5.1 Tool Disclosure</w:t>
      </w:r>
      <w:bookmarkEnd w:id="28"/>
      <w:r w:rsidRPr="00936FE8">
        <w:rPr>
          <w:rFonts w:ascii="Arial" w:hAnsi="Arial" w:cs="Arial"/>
        </w:rPr>
        <w:t xml:space="preserve"> </w:t>
      </w:r>
    </w:p>
    <w:p w14:paraId="19E3CD93" w14:textId="3554E8C0" w:rsidR="00E53DFB" w:rsidRPr="00936FE8" w:rsidRDefault="00D7737F" w:rsidP="0054327B">
      <w:pPr>
        <w:spacing w:line="360" w:lineRule="auto"/>
        <w:rPr>
          <w:rFonts w:ascii="Arial" w:hAnsi="Arial" w:cs="Arial"/>
        </w:rPr>
      </w:pPr>
      <w:r w:rsidRPr="00936FE8">
        <w:rPr>
          <w:rFonts w:ascii="Arial" w:hAnsi="Arial" w:cs="Arial"/>
        </w:rPr>
        <w:t>In line with industry</w:t>
      </w:r>
      <w:r w:rsidR="00E53DFB" w:rsidRPr="00936FE8">
        <w:rPr>
          <w:rFonts w:ascii="Arial" w:hAnsi="Arial" w:cs="Arial"/>
        </w:rPr>
        <w:t xml:space="preserve"> compliance with professional and academic conventions in relation to digital transparency, this section discloses and evaluates the integration of the generative AI architecture during the preparation of this corporate report. Large Language Models (LLMs) were </w:t>
      </w:r>
      <w:r w:rsidRPr="00936FE8">
        <w:rPr>
          <w:rFonts w:ascii="Arial" w:hAnsi="Arial" w:cs="Arial"/>
        </w:rPr>
        <w:t>actively</w:t>
      </w:r>
      <w:r w:rsidR="00E53DFB" w:rsidRPr="00936FE8">
        <w:rPr>
          <w:rFonts w:ascii="Arial" w:hAnsi="Arial" w:cs="Arial"/>
        </w:rPr>
        <w:t xml:space="preserve"> deployed as supportive technical utilities instead of automated authors. The specific tasks assigned to the AI models involved generating preliminary structural layouts, formatting algorithmic mathematical expressions into standard text notations and executing copy editing cycles to ensure structural consistency across all the headings. </w:t>
      </w:r>
    </w:p>
    <w:p w14:paraId="2273302F" w14:textId="5132C073" w:rsidR="00E53DFB" w:rsidRPr="00936FE8" w:rsidRDefault="00E53DFB" w:rsidP="0054327B">
      <w:pPr>
        <w:spacing w:line="360" w:lineRule="auto"/>
        <w:rPr>
          <w:rFonts w:ascii="Arial" w:hAnsi="Arial" w:cs="Arial"/>
        </w:rPr>
      </w:pPr>
      <w:r w:rsidRPr="00936FE8">
        <w:rPr>
          <w:rFonts w:ascii="Arial" w:hAnsi="Arial" w:cs="Arial"/>
        </w:rPr>
        <w:t xml:space="preserve">Moreover, the tool has also helped in compiling the raw public disclosure indices into clean and standardised markdown tables. In accordance with the formal AI usage framework of the institution, the deployment was strictly limited to the </w:t>
      </w:r>
      <w:r w:rsidR="00D7737F" w:rsidRPr="00936FE8">
        <w:rPr>
          <w:rFonts w:ascii="Arial" w:hAnsi="Arial" w:cs="Arial"/>
        </w:rPr>
        <w:t>non-cognitive</w:t>
      </w:r>
      <w:r w:rsidRPr="00936FE8">
        <w:rPr>
          <w:rFonts w:ascii="Arial" w:hAnsi="Arial" w:cs="Arial"/>
        </w:rPr>
        <w:t xml:space="preserve"> administrative execution, technical proofreading and data ordering. No primary conceptual arguments or strategic </w:t>
      </w:r>
      <w:r w:rsidR="00D7737F" w:rsidRPr="00936FE8">
        <w:rPr>
          <w:rFonts w:ascii="Arial" w:hAnsi="Arial" w:cs="Arial"/>
        </w:rPr>
        <w:t>execution</w:t>
      </w:r>
      <w:r w:rsidRPr="00936FE8">
        <w:rPr>
          <w:rFonts w:ascii="Arial" w:hAnsi="Arial" w:cs="Arial"/>
        </w:rPr>
        <w:t xml:space="preserve"> synthesis were delegated to the automated systems, leaving the fundamental intellectual ownership entirely with the analyst. </w:t>
      </w:r>
    </w:p>
    <w:p w14:paraId="426E5C20" w14:textId="54ACBFBC" w:rsidR="00E53DFB" w:rsidRPr="00936FE8" w:rsidRDefault="00D7737F" w:rsidP="00D7737F">
      <w:pPr>
        <w:pStyle w:val="Heading2"/>
        <w:rPr>
          <w:rFonts w:ascii="Arial" w:hAnsi="Arial" w:cs="Arial"/>
        </w:rPr>
      </w:pPr>
      <w:bookmarkStart w:id="29" w:name="_Toc235785117"/>
      <w:r w:rsidRPr="00936FE8">
        <w:rPr>
          <w:rFonts w:ascii="Arial" w:hAnsi="Arial" w:cs="Arial"/>
        </w:rPr>
        <w:t xml:space="preserve">5.2 Critical Evaluation </w:t>
      </w:r>
      <w:proofErr w:type="gramStart"/>
      <w:r w:rsidRPr="00936FE8">
        <w:rPr>
          <w:rFonts w:ascii="Arial" w:hAnsi="Arial" w:cs="Arial"/>
        </w:rPr>
        <w:t>Of</w:t>
      </w:r>
      <w:proofErr w:type="gramEnd"/>
      <w:r w:rsidRPr="00936FE8">
        <w:rPr>
          <w:rFonts w:ascii="Arial" w:hAnsi="Arial" w:cs="Arial"/>
        </w:rPr>
        <w:t xml:space="preserve"> </w:t>
      </w:r>
      <w:r w:rsidR="00E53DFB" w:rsidRPr="00936FE8">
        <w:rPr>
          <w:rFonts w:ascii="Arial" w:hAnsi="Arial" w:cs="Arial"/>
        </w:rPr>
        <w:t xml:space="preserve">AI </w:t>
      </w:r>
      <w:r w:rsidRPr="00936FE8">
        <w:rPr>
          <w:rFonts w:ascii="Arial" w:hAnsi="Arial" w:cs="Arial"/>
        </w:rPr>
        <w:t xml:space="preserve">Output </w:t>
      </w:r>
      <w:r w:rsidR="00C4346B" w:rsidRPr="00936FE8">
        <w:rPr>
          <w:rFonts w:ascii="Arial" w:hAnsi="Arial" w:cs="Arial"/>
        </w:rPr>
        <w:t>and</w:t>
      </w:r>
      <w:r w:rsidRPr="00936FE8">
        <w:rPr>
          <w:rFonts w:ascii="Arial" w:hAnsi="Arial" w:cs="Arial"/>
        </w:rPr>
        <w:t xml:space="preserve"> Quality Assurance</w:t>
      </w:r>
      <w:bookmarkEnd w:id="29"/>
    </w:p>
    <w:p w14:paraId="2F704D72" w14:textId="61C90693" w:rsidR="00E53DFB" w:rsidRPr="00936FE8" w:rsidRDefault="00D7737F" w:rsidP="0054327B">
      <w:pPr>
        <w:spacing w:line="360" w:lineRule="auto"/>
        <w:rPr>
          <w:rFonts w:ascii="Arial" w:hAnsi="Arial" w:cs="Arial"/>
        </w:rPr>
      </w:pPr>
      <w:r w:rsidRPr="00936FE8">
        <w:rPr>
          <w:rFonts w:ascii="Arial" w:hAnsi="Arial" w:cs="Arial"/>
        </w:rPr>
        <w:t>While</w:t>
      </w:r>
      <w:r w:rsidR="00E53DFB" w:rsidRPr="00936FE8">
        <w:rPr>
          <w:rFonts w:ascii="Arial" w:hAnsi="Arial" w:cs="Arial"/>
        </w:rPr>
        <w:t xml:space="preserve"> the generative AI computational models provided powerful </w:t>
      </w:r>
      <w:r w:rsidR="00C4346B" w:rsidRPr="00936FE8">
        <w:rPr>
          <w:rFonts w:ascii="Arial" w:hAnsi="Arial" w:cs="Arial"/>
        </w:rPr>
        <w:t>methods for</w:t>
      </w:r>
      <w:r w:rsidR="00E53DFB" w:rsidRPr="00936FE8">
        <w:rPr>
          <w:rFonts w:ascii="Arial" w:hAnsi="Arial" w:cs="Arial"/>
        </w:rPr>
        <w:t xml:space="preserve"> language processing, they also presented structural risks when evaluating the critical financial structures, especially the highly leveraged balance sheets shaped by IFRS 16 lease obligations. During the preliminary data extraction phase, </w:t>
      </w:r>
      <w:r w:rsidRPr="00936FE8">
        <w:rPr>
          <w:rFonts w:ascii="Arial" w:hAnsi="Arial" w:cs="Arial"/>
        </w:rPr>
        <w:t xml:space="preserve">the </w:t>
      </w:r>
      <w:r w:rsidR="00E53DFB" w:rsidRPr="00936FE8">
        <w:rPr>
          <w:rFonts w:ascii="Arial" w:hAnsi="Arial" w:cs="Arial"/>
        </w:rPr>
        <w:t xml:space="preserve">AI platform exhibited a vital logical ‘hallucination’, mistakenly equating </w:t>
      </w:r>
      <w:r w:rsidR="00E53DFB" w:rsidRPr="00936FE8">
        <w:rPr>
          <w:rFonts w:ascii="Arial" w:hAnsi="Arial" w:cs="Arial"/>
          <w:i/>
          <w:iCs/>
        </w:rPr>
        <w:t xml:space="preserve">the adjusted operational EBITDA </w:t>
      </w:r>
      <w:r w:rsidR="00E53DFB" w:rsidRPr="00936FE8">
        <w:rPr>
          <w:rFonts w:ascii="Arial" w:hAnsi="Arial" w:cs="Arial"/>
        </w:rPr>
        <w:t xml:space="preserve">of Travelodge (a custom hospitality metric that adds back the lease rent costs) with the </w:t>
      </w:r>
      <w:r w:rsidR="00E53DFB" w:rsidRPr="00936FE8">
        <w:rPr>
          <w:rFonts w:ascii="Arial" w:hAnsi="Arial" w:cs="Arial"/>
          <w:i/>
          <w:iCs/>
        </w:rPr>
        <w:t xml:space="preserve">statutory operating profits (EBIT). </w:t>
      </w:r>
      <w:r w:rsidR="00E53DFB" w:rsidRPr="00936FE8">
        <w:rPr>
          <w:rFonts w:ascii="Arial" w:hAnsi="Arial" w:cs="Arial"/>
        </w:rPr>
        <w:t xml:space="preserve">Had this mathematical error gone </w:t>
      </w:r>
      <w:r w:rsidRPr="00936FE8">
        <w:rPr>
          <w:rFonts w:ascii="Arial" w:hAnsi="Arial" w:cs="Arial"/>
        </w:rPr>
        <w:t>unnoticed</w:t>
      </w:r>
      <w:r w:rsidR="00E53DFB" w:rsidRPr="00936FE8">
        <w:rPr>
          <w:rFonts w:ascii="Arial" w:hAnsi="Arial" w:cs="Arial"/>
        </w:rPr>
        <w:t xml:space="preserve">, it would have fundamentally distorted the Return on Capital Employed (ROCE) and artificially inflated the interest coverage ratios, contributing to flawed conclusions regarding </w:t>
      </w:r>
      <w:r w:rsidRPr="00936FE8">
        <w:rPr>
          <w:rFonts w:ascii="Arial" w:hAnsi="Arial" w:cs="Arial"/>
        </w:rPr>
        <w:t>the</w:t>
      </w:r>
      <w:r w:rsidR="00E53DFB" w:rsidRPr="00936FE8">
        <w:rPr>
          <w:rFonts w:ascii="Arial" w:hAnsi="Arial" w:cs="Arial"/>
        </w:rPr>
        <w:t xml:space="preserve"> debt servicing capability of the firm. </w:t>
      </w:r>
    </w:p>
    <w:p w14:paraId="0C78CB00" w14:textId="4DA330B8" w:rsidR="00E53DFB" w:rsidRPr="00936FE8" w:rsidRDefault="00E53DFB" w:rsidP="0054327B">
      <w:pPr>
        <w:spacing w:line="360" w:lineRule="auto"/>
        <w:rPr>
          <w:rFonts w:ascii="Arial" w:hAnsi="Arial" w:cs="Arial"/>
        </w:rPr>
      </w:pPr>
      <w:r w:rsidRPr="00936FE8">
        <w:rPr>
          <w:rFonts w:ascii="Arial" w:hAnsi="Arial" w:cs="Arial"/>
        </w:rPr>
        <w:lastRenderedPageBreak/>
        <w:t xml:space="preserve">To remove these automated errors and safeguard the data, a comprehensive verification protocol was used. Every individual metric (including the absolute debt value, total revenues and capitalised lease profiles) was manually extracted on cross referenced with the audited financial balance sheets and official notes published in the annual disclosures of Thame and London Limited (Thame and London Limited, 2024; Thame and London Limited, 2026). In </w:t>
      </w:r>
      <w:r w:rsidR="00D7737F" w:rsidRPr="00936FE8">
        <w:rPr>
          <w:rFonts w:ascii="Arial" w:hAnsi="Arial" w:cs="Arial"/>
        </w:rPr>
        <w:t>addition</w:t>
      </w:r>
      <w:r w:rsidRPr="00936FE8">
        <w:rPr>
          <w:rFonts w:ascii="Arial" w:hAnsi="Arial" w:cs="Arial"/>
        </w:rPr>
        <w:t>, the capital budgeting cash flows are discounted cash flow (DCF) models for the Projects A, B and C were kept independent of the AI framework. The net present value (NPV) equations and the linear interpolations for the internal rate of return (IRR) were developed and calculated from scratch within Microsoft Excel to guarantee mathematical accuracy.</w:t>
      </w:r>
    </w:p>
    <w:p w14:paraId="13B5CBB7" w14:textId="1D95605C" w:rsidR="00E53DFB" w:rsidRPr="00936FE8" w:rsidRDefault="00D7737F" w:rsidP="00D7737F">
      <w:pPr>
        <w:pStyle w:val="Heading2"/>
        <w:rPr>
          <w:rFonts w:ascii="Arial" w:hAnsi="Arial" w:cs="Arial"/>
        </w:rPr>
      </w:pPr>
      <w:bookmarkStart w:id="30" w:name="_Toc235785118"/>
      <w:r w:rsidRPr="00936FE8">
        <w:rPr>
          <w:rFonts w:ascii="Arial" w:hAnsi="Arial" w:cs="Arial"/>
        </w:rPr>
        <w:t xml:space="preserve">5.3 </w:t>
      </w:r>
      <w:r w:rsidR="00E53DFB" w:rsidRPr="00936FE8">
        <w:rPr>
          <w:rFonts w:ascii="Arial" w:hAnsi="Arial" w:cs="Arial"/>
        </w:rPr>
        <w:t>Contribution Analysis</w:t>
      </w:r>
      <w:bookmarkEnd w:id="30"/>
    </w:p>
    <w:p w14:paraId="5D2492B6" w14:textId="185A5ADD" w:rsidR="00E53DFB" w:rsidRPr="00936FE8" w:rsidRDefault="00E53DFB" w:rsidP="0054327B">
      <w:pPr>
        <w:spacing w:line="360" w:lineRule="auto"/>
        <w:rPr>
          <w:rFonts w:ascii="Arial" w:hAnsi="Arial" w:cs="Arial"/>
        </w:rPr>
      </w:pPr>
      <w:r w:rsidRPr="00936FE8">
        <w:rPr>
          <w:rFonts w:ascii="Arial" w:hAnsi="Arial" w:cs="Arial"/>
        </w:rPr>
        <w:t xml:space="preserve">A clear line separates the automated technical formatting given by the AI from the original critical analysis contributed by </w:t>
      </w:r>
      <w:r w:rsidR="00D7737F" w:rsidRPr="00936FE8">
        <w:rPr>
          <w:rFonts w:ascii="Arial" w:hAnsi="Arial" w:cs="Arial"/>
        </w:rPr>
        <w:t xml:space="preserve">the </w:t>
      </w:r>
      <w:r w:rsidRPr="00936FE8">
        <w:rPr>
          <w:rFonts w:ascii="Arial" w:hAnsi="Arial" w:cs="Arial"/>
        </w:rPr>
        <w:t xml:space="preserve">author. The operational role of the AI was restricted to offering the clean table templates and refining the grammatical style </w:t>
      </w:r>
      <w:r w:rsidR="00D7737F" w:rsidRPr="00936FE8">
        <w:rPr>
          <w:rFonts w:ascii="Arial" w:hAnsi="Arial" w:cs="Arial"/>
        </w:rPr>
        <w:t>of</w:t>
      </w:r>
      <w:r w:rsidRPr="00936FE8">
        <w:rPr>
          <w:rFonts w:ascii="Arial" w:hAnsi="Arial" w:cs="Arial"/>
        </w:rPr>
        <w:t xml:space="preserve"> the draft text. </w:t>
      </w:r>
    </w:p>
    <w:p w14:paraId="4992B9C7" w14:textId="0A700920" w:rsidR="00E53DFB" w:rsidRPr="00936FE8" w:rsidRDefault="00E53DFB" w:rsidP="0054327B">
      <w:pPr>
        <w:spacing w:line="360" w:lineRule="auto"/>
        <w:rPr>
          <w:rFonts w:ascii="Arial" w:hAnsi="Arial" w:cs="Arial"/>
        </w:rPr>
      </w:pPr>
      <w:r w:rsidRPr="00936FE8">
        <w:rPr>
          <w:rFonts w:ascii="Arial" w:hAnsi="Arial" w:cs="Arial"/>
        </w:rPr>
        <w:t xml:space="preserve">Conversely, the whole strategic interpretation, ultimate business suggestions and financial evaluations are the exclusive work of the author. </w:t>
      </w:r>
      <w:r w:rsidR="00D7737F" w:rsidRPr="00936FE8">
        <w:rPr>
          <w:rFonts w:ascii="Arial" w:hAnsi="Arial" w:cs="Arial"/>
        </w:rPr>
        <w:t>These</w:t>
      </w:r>
      <w:r w:rsidRPr="00936FE8">
        <w:rPr>
          <w:rFonts w:ascii="Arial" w:hAnsi="Arial" w:cs="Arial"/>
        </w:rPr>
        <w:t xml:space="preserve"> different human </w:t>
      </w:r>
      <w:r w:rsidR="00D7737F" w:rsidRPr="00936FE8">
        <w:rPr>
          <w:rFonts w:ascii="Arial" w:hAnsi="Arial" w:cs="Arial"/>
        </w:rPr>
        <w:t>contributions</w:t>
      </w:r>
      <w:r w:rsidRPr="00936FE8">
        <w:rPr>
          <w:rFonts w:ascii="Arial" w:hAnsi="Arial" w:cs="Arial"/>
        </w:rPr>
        <w:t xml:space="preserve"> consist of the identification of </w:t>
      </w:r>
      <w:r w:rsidR="00D7737F" w:rsidRPr="00936FE8">
        <w:rPr>
          <w:rFonts w:ascii="Arial" w:hAnsi="Arial" w:cs="Arial"/>
        </w:rPr>
        <w:t xml:space="preserve">the </w:t>
      </w:r>
      <w:r w:rsidRPr="00936FE8">
        <w:rPr>
          <w:rFonts w:ascii="Arial" w:hAnsi="Arial" w:cs="Arial"/>
        </w:rPr>
        <w:t>negative cash operating cycle of Travelodge as the source of interest-free operational funding, evaluating the trade-offs between the volatile leasehold arrangements and freehold property ownership, analysing the infl</w:t>
      </w:r>
      <w:r w:rsidR="00CD2AAF" w:rsidRPr="00936FE8">
        <w:rPr>
          <w:rFonts w:ascii="Arial" w:hAnsi="Arial" w:cs="Arial"/>
        </w:rPr>
        <w:t xml:space="preserve">uence of the UK National Living Wage increases on margins, </w:t>
      </w:r>
      <w:r w:rsidR="00D7737F" w:rsidRPr="00936FE8">
        <w:rPr>
          <w:rFonts w:ascii="Arial" w:hAnsi="Arial" w:cs="Arial"/>
        </w:rPr>
        <w:t>and</w:t>
      </w:r>
      <w:r w:rsidR="00CD2AAF" w:rsidRPr="00936FE8">
        <w:rPr>
          <w:rFonts w:ascii="Arial" w:hAnsi="Arial" w:cs="Arial"/>
        </w:rPr>
        <w:t xml:space="preserve"> applying capital rationing protocols to select Project C under the critical £100 million capital constraint. The commercial evaluations and conclusions drawn from these calculations were fully human work. </w:t>
      </w:r>
    </w:p>
    <w:p w14:paraId="5C7E1A78" w14:textId="73B5B794" w:rsidR="00CD2AAF" w:rsidRPr="00936FE8" w:rsidRDefault="00D7737F" w:rsidP="00D7737F">
      <w:pPr>
        <w:pStyle w:val="Heading2"/>
        <w:rPr>
          <w:rFonts w:ascii="Arial" w:hAnsi="Arial" w:cs="Arial"/>
        </w:rPr>
      </w:pPr>
      <w:bookmarkStart w:id="31" w:name="_Toc235785119"/>
      <w:r w:rsidRPr="00936FE8">
        <w:rPr>
          <w:rFonts w:ascii="Arial" w:hAnsi="Arial" w:cs="Arial"/>
        </w:rPr>
        <w:t xml:space="preserve">5.4 </w:t>
      </w:r>
      <w:r w:rsidR="00CD2AAF" w:rsidRPr="00936FE8">
        <w:rPr>
          <w:rFonts w:ascii="Arial" w:hAnsi="Arial" w:cs="Arial"/>
        </w:rPr>
        <w:t xml:space="preserve">Ethical </w:t>
      </w:r>
      <w:r w:rsidRPr="00936FE8">
        <w:rPr>
          <w:rFonts w:ascii="Arial" w:hAnsi="Arial" w:cs="Arial"/>
        </w:rPr>
        <w:t>and Professional Reflection</w:t>
      </w:r>
      <w:bookmarkEnd w:id="31"/>
      <w:r w:rsidRPr="00936FE8">
        <w:rPr>
          <w:rFonts w:ascii="Arial" w:hAnsi="Arial" w:cs="Arial"/>
        </w:rPr>
        <w:t xml:space="preserve"> </w:t>
      </w:r>
    </w:p>
    <w:p w14:paraId="22948F00" w14:textId="59947D3D" w:rsidR="00CD2AAF" w:rsidRPr="00936FE8" w:rsidRDefault="00CD2AAF" w:rsidP="0054327B">
      <w:pPr>
        <w:spacing w:line="360" w:lineRule="auto"/>
        <w:rPr>
          <w:rFonts w:ascii="Arial" w:hAnsi="Arial" w:cs="Arial"/>
        </w:rPr>
      </w:pPr>
      <w:r w:rsidRPr="00936FE8">
        <w:rPr>
          <w:rFonts w:ascii="Arial" w:hAnsi="Arial" w:cs="Arial"/>
        </w:rPr>
        <w:t xml:space="preserve">The introduction of automated AI usage into the accounting roles and corporate finance includes the vital ethical responsibilities around data privacy, transparency and professional accountability. </w:t>
      </w:r>
      <w:r w:rsidR="00D7737F" w:rsidRPr="00936FE8">
        <w:rPr>
          <w:rFonts w:ascii="Arial" w:hAnsi="Arial" w:cs="Arial"/>
        </w:rPr>
        <w:t>From an</w:t>
      </w:r>
      <w:r w:rsidRPr="00936FE8">
        <w:rPr>
          <w:rFonts w:ascii="Arial" w:hAnsi="Arial" w:cs="Arial"/>
        </w:rPr>
        <w:t xml:space="preserve"> ethical standpoint, management of transparency through the </w:t>
      </w:r>
      <w:r w:rsidR="00D7737F" w:rsidRPr="00936FE8">
        <w:rPr>
          <w:rFonts w:ascii="Arial" w:hAnsi="Arial" w:cs="Arial"/>
        </w:rPr>
        <w:t>open disclosure</w:t>
      </w:r>
      <w:r w:rsidR="008E7897" w:rsidRPr="00936FE8">
        <w:rPr>
          <w:rFonts w:ascii="Arial" w:hAnsi="Arial" w:cs="Arial"/>
        </w:rPr>
        <w:t xml:space="preserve"> of AI use is vital to protect the integrity of financial reporting (Financial Reporting Council, 2023). Data privacy also presents various issues</w:t>
      </w:r>
      <w:r w:rsidR="00D7737F" w:rsidRPr="00936FE8">
        <w:rPr>
          <w:rFonts w:ascii="Arial" w:hAnsi="Arial" w:cs="Arial"/>
        </w:rPr>
        <w:t>,</w:t>
      </w:r>
      <w:r w:rsidR="008E7897" w:rsidRPr="00936FE8">
        <w:rPr>
          <w:rFonts w:ascii="Arial" w:hAnsi="Arial" w:cs="Arial"/>
        </w:rPr>
        <w:t xml:space="preserve"> like uploading internal </w:t>
      </w:r>
      <w:r w:rsidR="00D7737F" w:rsidRPr="00936FE8">
        <w:rPr>
          <w:rFonts w:ascii="Arial" w:hAnsi="Arial" w:cs="Arial"/>
        </w:rPr>
        <w:t>corporate</w:t>
      </w:r>
      <w:r w:rsidR="008E7897" w:rsidRPr="00936FE8">
        <w:rPr>
          <w:rFonts w:ascii="Arial" w:hAnsi="Arial" w:cs="Arial"/>
        </w:rPr>
        <w:t xml:space="preserve"> data or proprietary forecast models into open-source generative engines</w:t>
      </w:r>
      <w:r w:rsidR="00D7737F" w:rsidRPr="00936FE8">
        <w:rPr>
          <w:rFonts w:ascii="Arial" w:hAnsi="Arial" w:cs="Arial"/>
        </w:rPr>
        <w:t>, which</w:t>
      </w:r>
      <w:r w:rsidR="008E7897" w:rsidRPr="00936FE8">
        <w:rPr>
          <w:rFonts w:ascii="Arial" w:hAnsi="Arial" w:cs="Arial"/>
        </w:rPr>
        <w:t xml:space="preserve"> can inadvertently compromise sensitive corporate secrets and also violate the market </w:t>
      </w:r>
      <w:r w:rsidR="00D7737F" w:rsidRPr="00936FE8">
        <w:rPr>
          <w:rFonts w:ascii="Arial" w:hAnsi="Arial" w:cs="Arial"/>
        </w:rPr>
        <w:t>nondisclosure</w:t>
      </w:r>
      <w:r w:rsidR="008E7897" w:rsidRPr="00936FE8">
        <w:rPr>
          <w:rFonts w:ascii="Arial" w:hAnsi="Arial" w:cs="Arial"/>
        </w:rPr>
        <w:t xml:space="preserve"> rules. </w:t>
      </w:r>
    </w:p>
    <w:p w14:paraId="0BEE0340" w14:textId="69ED22BE" w:rsidR="008E7897" w:rsidRPr="00936FE8" w:rsidRDefault="008E7897" w:rsidP="0054327B">
      <w:pPr>
        <w:spacing w:line="360" w:lineRule="auto"/>
        <w:rPr>
          <w:rFonts w:ascii="Arial" w:hAnsi="Arial" w:cs="Arial"/>
        </w:rPr>
      </w:pPr>
      <w:r w:rsidRPr="00936FE8">
        <w:rPr>
          <w:rFonts w:ascii="Arial" w:hAnsi="Arial" w:cs="Arial"/>
        </w:rPr>
        <w:lastRenderedPageBreak/>
        <w:t xml:space="preserve">Finally, </w:t>
      </w:r>
      <w:r w:rsidR="00D7737F" w:rsidRPr="00936FE8">
        <w:rPr>
          <w:rFonts w:ascii="Arial" w:hAnsi="Arial" w:cs="Arial"/>
        </w:rPr>
        <w:t>over-dependence</w:t>
      </w:r>
      <w:r w:rsidRPr="00936FE8">
        <w:rPr>
          <w:rFonts w:ascii="Arial" w:hAnsi="Arial" w:cs="Arial"/>
        </w:rPr>
        <w:t xml:space="preserve"> on the outputs given by AI for </w:t>
      </w:r>
      <w:r w:rsidR="00D7737F" w:rsidRPr="00936FE8">
        <w:rPr>
          <w:rFonts w:ascii="Arial" w:hAnsi="Arial" w:cs="Arial"/>
        </w:rPr>
        <w:t>high-stakes</w:t>
      </w:r>
      <w:r w:rsidRPr="00936FE8">
        <w:rPr>
          <w:rFonts w:ascii="Arial" w:hAnsi="Arial" w:cs="Arial"/>
        </w:rPr>
        <w:t xml:space="preserve">, executive-level financial decisions </w:t>
      </w:r>
      <w:r w:rsidR="00D7737F" w:rsidRPr="00936FE8">
        <w:rPr>
          <w:rFonts w:ascii="Arial" w:hAnsi="Arial" w:cs="Arial"/>
        </w:rPr>
        <w:t>introduces</w:t>
      </w:r>
      <w:r w:rsidRPr="00936FE8">
        <w:rPr>
          <w:rFonts w:ascii="Arial" w:hAnsi="Arial" w:cs="Arial"/>
        </w:rPr>
        <w:t xml:space="preserve"> systemic operational risks. Generative tools lack the contextual macroeconomic insight, localised business judgement, and the understanding of the legal responsibilities tied to capital management (ICAEW, 2022). In professional corporate finance, AI needs to remain strictly an administrative aid</w:t>
      </w:r>
      <w:r w:rsidR="00D7737F" w:rsidRPr="00936FE8">
        <w:rPr>
          <w:rFonts w:ascii="Arial" w:hAnsi="Arial" w:cs="Arial"/>
        </w:rPr>
        <w:t>,</w:t>
      </w:r>
      <w:r w:rsidRPr="00936FE8">
        <w:rPr>
          <w:rFonts w:ascii="Arial" w:hAnsi="Arial" w:cs="Arial"/>
        </w:rPr>
        <w:t xml:space="preserve"> as the final strategic decisions should rest with the human </w:t>
      </w:r>
      <w:r w:rsidR="00CF16A2" w:rsidRPr="00936FE8">
        <w:rPr>
          <w:rFonts w:ascii="Arial" w:hAnsi="Arial" w:cs="Arial"/>
        </w:rPr>
        <w:t>executives</w:t>
      </w:r>
      <w:r w:rsidRPr="00936FE8">
        <w:rPr>
          <w:rFonts w:ascii="Arial" w:hAnsi="Arial" w:cs="Arial"/>
        </w:rPr>
        <w:t xml:space="preserve"> who are professionally and legally responsible for the financial stewardship of the firm.</w:t>
      </w:r>
    </w:p>
    <w:p w14:paraId="50EB9C6D" w14:textId="7A73BA33" w:rsidR="001C60D7" w:rsidRPr="00936FE8" w:rsidRDefault="001C60D7" w:rsidP="00D7737F">
      <w:pPr>
        <w:pStyle w:val="Heading1"/>
        <w:rPr>
          <w:rFonts w:ascii="Arial" w:hAnsi="Arial" w:cs="Arial"/>
        </w:rPr>
      </w:pPr>
      <w:bookmarkStart w:id="32" w:name="_Toc235785120"/>
      <w:r w:rsidRPr="00936FE8">
        <w:rPr>
          <w:rFonts w:ascii="Arial" w:hAnsi="Arial" w:cs="Arial"/>
        </w:rPr>
        <w:t>Conclusion</w:t>
      </w:r>
      <w:bookmarkEnd w:id="32"/>
      <w:r w:rsidRPr="00936FE8">
        <w:rPr>
          <w:rFonts w:ascii="Arial" w:hAnsi="Arial" w:cs="Arial"/>
        </w:rPr>
        <w:t xml:space="preserve"> </w:t>
      </w:r>
    </w:p>
    <w:p w14:paraId="5E23CA9C" w14:textId="56B94E7D" w:rsidR="001C60D7" w:rsidRPr="00936FE8" w:rsidRDefault="001C60D7" w:rsidP="0054327B">
      <w:pPr>
        <w:spacing w:line="360" w:lineRule="auto"/>
        <w:rPr>
          <w:rFonts w:ascii="Arial" w:hAnsi="Arial" w:cs="Arial"/>
        </w:rPr>
      </w:pPr>
      <w:r w:rsidRPr="00936FE8">
        <w:rPr>
          <w:rFonts w:ascii="Arial" w:hAnsi="Arial" w:cs="Arial"/>
        </w:rPr>
        <w:t xml:space="preserve">In conclusion, Travelodge demonstrates strong operational resilience, powered by </w:t>
      </w:r>
      <w:r w:rsidR="00D7737F" w:rsidRPr="00936FE8">
        <w:rPr>
          <w:rFonts w:ascii="Arial" w:hAnsi="Arial" w:cs="Arial"/>
        </w:rPr>
        <w:t xml:space="preserve">a </w:t>
      </w:r>
      <w:r w:rsidRPr="00936FE8">
        <w:rPr>
          <w:rFonts w:ascii="Arial" w:hAnsi="Arial" w:cs="Arial"/>
        </w:rPr>
        <w:t xml:space="preserve">structurally advantageous negative cash operating cycle and </w:t>
      </w:r>
      <w:r w:rsidR="00D7737F" w:rsidRPr="00936FE8">
        <w:rPr>
          <w:rFonts w:ascii="Arial" w:hAnsi="Arial" w:cs="Arial"/>
        </w:rPr>
        <w:t>a</w:t>
      </w:r>
      <w:r w:rsidRPr="00936FE8">
        <w:rPr>
          <w:rFonts w:ascii="Arial" w:hAnsi="Arial" w:cs="Arial"/>
        </w:rPr>
        <w:t xml:space="preserve"> direct booking rate more than 90%. Meanwhile, its compressed interest coverage ratio and the </w:t>
      </w:r>
      <w:r w:rsidR="00D7737F" w:rsidRPr="00936FE8">
        <w:rPr>
          <w:rFonts w:ascii="Arial" w:hAnsi="Arial" w:cs="Arial"/>
        </w:rPr>
        <w:t>heavy</w:t>
      </w:r>
      <w:r w:rsidRPr="00936FE8">
        <w:rPr>
          <w:rFonts w:ascii="Arial" w:hAnsi="Arial" w:cs="Arial"/>
        </w:rPr>
        <w:t xml:space="preserve"> lease leverage </w:t>
      </w:r>
      <w:r w:rsidR="00D7737F" w:rsidRPr="00936FE8">
        <w:rPr>
          <w:rFonts w:ascii="Arial" w:hAnsi="Arial" w:cs="Arial"/>
        </w:rPr>
        <w:t>present</w:t>
      </w:r>
      <w:r w:rsidRPr="00936FE8">
        <w:rPr>
          <w:rFonts w:ascii="Arial" w:hAnsi="Arial" w:cs="Arial"/>
        </w:rPr>
        <w:t xml:space="preserve"> vulnerability to rising inflation and minimum wage pressures. To protect corporate solvency, strategic restructuring (including the private equity injections and freehold acquisition) is required to balance its capital framework. Finally, the capital budgeting appraisal presents </w:t>
      </w:r>
      <w:r w:rsidR="00D7737F" w:rsidRPr="00936FE8">
        <w:rPr>
          <w:rFonts w:ascii="Arial" w:hAnsi="Arial" w:cs="Arial"/>
        </w:rPr>
        <w:t>Project</w:t>
      </w:r>
      <w:r w:rsidRPr="00936FE8">
        <w:rPr>
          <w:rFonts w:ascii="Arial" w:hAnsi="Arial" w:cs="Arial"/>
        </w:rPr>
        <w:t xml:space="preserve"> C as the only value-creating investment option, offering a clear blueprint for disciplined </w:t>
      </w:r>
      <w:r w:rsidR="00D7737F" w:rsidRPr="00936FE8">
        <w:rPr>
          <w:rFonts w:ascii="Arial" w:hAnsi="Arial" w:cs="Arial"/>
        </w:rPr>
        <w:t>growth under</w:t>
      </w:r>
      <w:r w:rsidRPr="00936FE8">
        <w:rPr>
          <w:rFonts w:ascii="Arial" w:hAnsi="Arial" w:cs="Arial"/>
        </w:rPr>
        <w:t xml:space="preserve"> tight fiscal constraints. </w:t>
      </w:r>
    </w:p>
    <w:p w14:paraId="653C03C9" w14:textId="7ADB650C" w:rsidR="00B8084F" w:rsidRPr="00936FE8" w:rsidRDefault="00B8084F" w:rsidP="00D7737F">
      <w:pPr>
        <w:pStyle w:val="Heading1"/>
        <w:rPr>
          <w:rFonts w:ascii="Arial" w:hAnsi="Arial" w:cs="Arial"/>
        </w:rPr>
      </w:pPr>
      <w:r w:rsidRPr="00936FE8">
        <w:rPr>
          <w:rFonts w:ascii="Arial" w:hAnsi="Arial" w:cs="Arial"/>
        </w:rPr>
        <w:br w:type="page"/>
      </w:r>
      <w:bookmarkStart w:id="33" w:name="_Toc235785121"/>
      <w:r w:rsidRPr="00936FE8">
        <w:rPr>
          <w:rFonts w:ascii="Arial" w:eastAsiaTheme="minorEastAsia" w:hAnsi="Arial" w:cs="Arial"/>
        </w:rPr>
        <w:lastRenderedPageBreak/>
        <w:t>References</w:t>
      </w:r>
      <w:bookmarkEnd w:id="33"/>
    </w:p>
    <w:p w14:paraId="1C07004E" w14:textId="77777777" w:rsidR="00D7737F" w:rsidRPr="00936FE8" w:rsidRDefault="00D7737F" w:rsidP="0054327B">
      <w:pPr>
        <w:spacing w:line="360" w:lineRule="auto"/>
        <w:rPr>
          <w:rFonts w:ascii="Arial" w:eastAsiaTheme="minorEastAsia" w:hAnsi="Arial" w:cs="Arial"/>
        </w:rPr>
      </w:pPr>
      <w:r w:rsidRPr="00936FE8">
        <w:rPr>
          <w:rFonts w:ascii="Arial" w:eastAsiaTheme="minorEastAsia" w:hAnsi="Arial" w:cs="Arial"/>
        </w:rPr>
        <w:t>Arnold, G. and Lewis, D.S., 2019. </w:t>
      </w:r>
      <w:r w:rsidRPr="00936FE8">
        <w:rPr>
          <w:rFonts w:ascii="Arial" w:eastAsiaTheme="minorEastAsia" w:hAnsi="Arial" w:cs="Arial"/>
          <w:i/>
          <w:iCs/>
        </w:rPr>
        <w:t>Corporate financial management</w:t>
      </w:r>
      <w:r w:rsidRPr="00936FE8">
        <w:rPr>
          <w:rFonts w:ascii="Arial" w:eastAsiaTheme="minorEastAsia" w:hAnsi="Arial" w:cs="Arial"/>
        </w:rPr>
        <w:t xml:space="preserve">. Pearson UK. </w:t>
      </w:r>
    </w:p>
    <w:p w14:paraId="53A376FE" w14:textId="77777777" w:rsidR="00D7737F" w:rsidRPr="00936FE8" w:rsidRDefault="00D7737F" w:rsidP="0054327B">
      <w:pPr>
        <w:spacing w:line="360" w:lineRule="auto"/>
        <w:rPr>
          <w:rFonts w:ascii="Arial" w:eastAsiaTheme="minorEastAsia" w:hAnsi="Arial" w:cs="Arial"/>
        </w:rPr>
      </w:pPr>
      <w:r w:rsidRPr="00936FE8">
        <w:rPr>
          <w:rFonts w:ascii="Arial" w:eastAsiaTheme="minorEastAsia" w:hAnsi="Arial" w:cs="Arial"/>
        </w:rPr>
        <w:t xml:space="preserve">Brealey, R.A., Myers, S.C. and Allen, F. (2020) Principles of Corporate Finance. 13th </w:t>
      </w:r>
      <w:proofErr w:type="spellStart"/>
      <w:r w:rsidRPr="00936FE8">
        <w:rPr>
          <w:rFonts w:ascii="Arial" w:eastAsiaTheme="minorEastAsia" w:hAnsi="Arial" w:cs="Arial"/>
        </w:rPr>
        <w:t>edn</w:t>
      </w:r>
      <w:proofErr w:type="spellEnd"/>
      <w:r w:rsidRPr="00936FE8">
        <w:rPr>
          <w:rFonts w:ascii="Arial" w:eastAsiaTheme="minorEastAsia" w:hAnsi="Arial" w:cs="Arial"/>
        </w:rPr>
        <w:t>. New York: McGraw-Hill Education.</w:t>
      </w:r>
    </w:p>
    <w:p w14:paraId="4118D321" w14:textId="77777777" w:rsidR="00D7737F" w:rsidRPr="00936FE8" w:rsidRDefault="00D7737F" w:rsidP="0054327B">
      <w:pPr>
        <w:spacing w:line="360" w:lineRule="auto"/>
        <w:rPr>
          <w:rFonts w:ascii="Arial" w:eastAsiaTheme="minorEastAsia" w:hAnsi="Arial" w:cs="Arial"/>
        </w:rPr>
      </w:pPr>
      <w:r w:rsidRPr="00936FE8">
        <w:rPr>
          <w:rFonts w:ascii="Arial" w:eastAsiaTheme="minorEastAsia" w:hAnsi="Arial" w:cs="Arial"/>
        </w:rPr>
        <w:t xml:space="preserve"> Financial Reporting Council, 2023. </w:t>
      </w:r>
      <w:r w:rsidRPr="00936FE8">
        <w:rPr>
          <w:rFonts w:ascii="Arial" w:eastAsiaTheme="minorEastAsia" w:hAnsi="Arial" w:cs="Arial"/>
          <w:i/>
          <w:iCs/>
        </w:rPr>
        <w:t>Artificial Intelligence in Corporate Reporting: Assessing Quality and Integrity in Digital Disclosure</w:t>
      </w:r>
      <w:r w:rsidRPr="00936FE8">
        <w:rPr>
          <w:rFonts w:ascii="Arial" w:eastAsiaTheme="minorEastAsia" w:hAnsi="Arial" w:cs="Arial"/>
        </w:rPr>
        <w:t xml:space="preserve">. London: FRC Publications. Available at: </w:t>
      </w:r>
      <w:hyperlink r:id="rId39" w:tgtFrame="_blank" w:history="1">
        <w:r w:rsidRPr="00936FE8">
          <w:rPr>
            <w:rStyle w:val="Hyperlink"/>
            <w:rFonts w:ascii="Arial" w:eastAsiaTheme="minorEastAsia" w:hAnsi="Arial" w:cs="Arial"/>
            <w:color w:val="auto"/>
          </w:rPr>
          <w:t>https://www.frc.org.uk/library/standards-codes-policy/corporate-reporting/</w:t>
        </w:r>
      </w:hyperlink>
      <w:r w:rsidRPr="00936FE8">
        <w:rPr>
          <w:rFonts w:ascii="Arial" w:eastAsiaTheme="minorEastAsia" w:hAnsi="Arial" w:cs="Arial"/>
        </w:rPr>
        <w:t xml:space="preserve"> (Accessed: 14 July 2026).</w:t>
      </w:r>
    </w:p>
    <w:p w14:paraId="70685F32" w14:textId="77777777" w:rsidR="00D7737F" w:rsidRPr="00936FE8" w:rsidRDefault="00D7737F" w:rsidP="0054327B">
      <w:pPr>
        <w:spacing w:line="360" w:lineRule="auto"/>
        <w:rPr>
          <w:rFonts w:ascii="Arial" w:eastAsiaTheme="minorEastAsia" w:hAnsi="Arial" w:cs="Arial"/>
        </w:rPr>
      </w:pPr>
      <w:r w:rsidRPr="00936FE8">
        <w:rPr>
          <w:rFonts w:ascii="Arial" w:eastAsiaTheme="minorEastAsia" w:hAnsi="Arial" w:cs="Arial"/>
        </w:rPr>
        <w:t xml:space="preserve">ICAEW, 2022. </w:t>
      </w:r>
      <w:r w:rsidRPr="00936FE8">
        <w:rPr>
          <w:rFonts w:ascii="Arial" w:eastAsiaTheme="minorEastAsia" w:hAnsi="Arial" w:cs="Arial"/>
          <w:i/>
          <w:iCs/>
        </w:rPr>
        <w:t>Artificial Intelligence and the Future of Accountancy: Ethical Frameworks and Professional Liability</w:t>
      </w:r>
      <w:r w:rsidRPr="00936FE8">
        <w:rPr>
          <w:rFonts w:ascii="Arial" w:eastAsiaTheme="minorEastAsia" w:hAnsi="Arial" w:cs="Arial"/>
        </w:rPr>
        <w:t xml:space="preserve">. London: Institute of Chartered Accountants in England and Wales. Available at: </w:t>
      </w:r>
      <w:hyperlink r:id="rId40" w:tgtFrame="_blank" w:history="1">
        <w:r w:rsidRPr="00936FE8">
          <w:rPr>
            <w:rStyle w:val="Hyperlink"/>
            <w:rFonts w:ascii="Arial" w:eastAsiaTheme="minorEastAsia" w:hAnsi="Arial" w:cs="Arial"/>
            <w:color w:val="auto"/>
          </w:rPr>
          <w:t>https://www.icaew.com/technical/technology/artificial-intelligence/</w:t>
        </w:r>
      </w:hyperlink>
      <w:r w:rsidRPr="00936FE8">
        <w:rPr>
          <w:rFonts w:ascii="Arial" w:eastAsiaTheme="minorEastAsia" w:hAnsi="Arial" w:cs="Arial"/>
        </w:rPr>
        <w:t xml:space="preserve"> (Accessed: 14 July 2026).</w:t>
      </w:r>
    </w:p>
    <w:p w14:paraId="6F18E291" w14:textId="77777777" w:rsidR="00D7737F" w:rsidRPr="00936FE8" w:rsidRDefault="00D7737F" w:rsidP="0054327B">
      <w:pPr>
        <w:spacing w:line="360" w:lineRule="auto"/>
        <w:rPr>
          <w:rFonts w:ascii="Arial" w:eastAsiaTheme="minorEastAsia" w:hAnsi="Arial" w:cs="Arial"/>
        </w:rPr>
      </w:pPr>
      <w:r w:rsidRPr="00936FE8">
        <w:rPr>
          <w:rFonts w:ascii="Arial" w:eastAsiaTheme="minorEastAsia" w:hAnsi="Arial" w:cs="Arial"/>
        </w:rPr>
        <w:t xml:space="preserve">S&amp;P Global Ratings, 2024. </w:t>
      </w:r>
      <w:r w:rsidRPr="00936FE8">
        <w:rPr>
          <w:rFonts w:ascii="Arial" w:eastAsiaTheme="minorEastAsia" w:hAnsi="Arial" w:cs="Arial"/>
          <w:i/>
          <w:iCs/>
        </w:rPr>
        <w:t>Research Update: T&amp;L Holdco Ltd. (Travelodge) Out</w:t>
      </w:r>
      <w:r w:rsidRPr="00936FE8">
        <w:rPr>
          <w:rFonts w:ascii="Arial" w:eastAsiaTheme="minorEastAsia" w:hAnsi="Arial" w:cs="Arial"/>
        </w:rPr>
        <w:t xml:space="preserve">, London: S&amp;P Global. Available at: </w:t>
      </w:r>
      <w:hyperlink r:id="rId41" w:tgtFrame="_blank" w:history="1">
        <w:r w:rsidRPr="00936FE8">
          <w:rPr>
            <w:rStyle w:val="Hyperlink"/>
            <w:rFonts w:ascii="Arial" w:eastAsiaTheme="minorEastAsia" w:hAnsi="Arial" w:cs="Arial"/>
            <w:color w:val="auto"/>
          </w:rPr>
          <w:t>https://www.spglobal.com/ratings/en/regulatory/article/-/view/sourceId/101610099</w:t>
        </w:r>
      </w:hyperlink>
      <w:r w:rsidRPr="00936FE8">
        <w:rPr>
          <w:rFonts w:ascii="Arial" w:eastAsiaTheme="minorEastAsia" w:hAnsi="Arial" w:cs="Arial"/>
        </w:rPr>
        <w:t xml:space="preserve"> (Accessed: 14 July 2026).</w:t>
      </w:r>
    </w:p>
    <w:p w14:paraId="28B8D9FA" w14:textId="77777777" w:rsidR="00D7737F" w:rsidRPr="00936FE8" w:rsidRDefault="00D7737F" w:rsidP="0054327B">
      <w:pPr>
        <w:spacing w:line="360" w:lineRule="auto"/>
        <w:rPr>
          <w:rFonts w:ascii="Arial" w:eastAsiaTheme="minorEastAsia" w:hAnsi="Arial" w:cs="Arial"/>
        </w:rPr>
      </w:pPr>
      <w:r w:rsidRPr="00936FE8">
        <w:rPr>
          <w:rFonts w:ascii="Arial" w:eastAsiaTheme="minorEastAsia" w:hAnsi="Arial" w:cs="Arial"/>
        </w:rPr>
        <w:t>Slattery, R. (2022) The UK Hotel Market: Structural Dynamics and Investment Paradigms. London: Hospitality Press.</w:t>
      </w:r>
    </w:p>
    <w:p w14:paraId="568F04B1" w14:textId="77777777" w:rsidR="00D7737F" w:rsidRPr="00936FE8" w:rsidRDefault="00D7737F" w:rsidP="0054327B">
      <w:pPr>
        <w:spacing w:line="360" w:lineRule="auto"/>
        <w:rPr>
          <w:rFonts w:ascii="Arial" w:eastAsiaTheme="minorEastAsia" w:hAnsi="Arial" w:cs="Arial"/>
        </w:rPr>
      </w:pPr>
      <w:r w:rsidRPr="00936FE8">
        <w:rPr>
          <w:rFonts w:ascii="Arial" w:eastAsiaTheme="minorEastAsia" w:hAnsi="Arial" w:cs="Arial"/>
        </w:rPr>
        <w:t xml:space="preserve">Thame and London Limited, 2024. </w:t>
      </w:r>
      <w:r w:rsidRPr="00936FE8">
        <w:rPr>
          <w:rFonts w:ascii="Arial" w:eastAsiaTheme="minorEastAsia" w:hAnsi="Arial" w:cs="Arial"/>
          <w:i/>
          <w:iCs/>
        </w:rPr>
        <w:t>Annual Report and Financial Statements for the Year Ended 31 December 2023</w:t>
      </w:r>
      <w:r w:rsidRPr="00936FE8">
        <w:rPr>
          <w:rFonts w:ascii="Arial" w:eastAsiaTheme="minorEastAsia" w:hAnsi="Arial" w:cs="Arial"/>
        </w:rPr>
        <w:t xml:space="preserve">, Thame: Thame and London Limited. Available at: </w:t>
      </w:r>
      <w:hyperlink r:id="rId42" w:tgtFrame="_blank" w:history="1">
        <w:r w:rsidRPr="00936FE8">
          <w:rPr>
            <w:rStyle w:val="Hyperlink"/>
            <w:rFonts w:ascii="Arial" w:eastAsiaTheme="minorEastAsia" w:hAnsi="Arial" w:cs="Arial"/>
            <w:color w:val="auto"/>
          </w:rPr>
          <w:t>https://www.travelodge.co.uk/investors/</w:t>
        </w:r>
      </w:hyperlink>
      <w:r w:rsidRPr="00936FE8">
        <w:rPr>
          <w:rFonts w:ascii="Arial" w:eastAsiaTheme="minorEastAsia" w:hAnsi="Arial" w:cs="Arial"/>
        </w:rPr>
        <w:t xml:space="preserve"> (Accessed: 14 July 2026).</w:t>
      </w:r>
    </w:p>
    <w:p w14:paraId="47B3CEF8" w14:textId="77777777" w:rsidR="00D7737F" w:rsidRPr="00936FE8" w:rsidRDefault="00D7737F" w:rsidP="0054327B">
      <w:pPr>
        <w:spacing w:line="360" w:lineRule="auto"/>
        <w:rPr>
          <w:rFonts w:ascii="Arial" w:eastAsiaTheme="minorEastAsia" w:hAnsi="Arial" w:cs="Arial"/>
        </w:rPr>
      </w:pPr>
      <w:r w:rsidRPr="00936FE8">
        <w:rPr>
          <w:rFonts w:ascii="Arial" w:eastAsiaTheme="minorEastAsia" w:hAnsi="Arial" w:cs="Arial"/>
        </w:rPr>
        <w:t xml:space="preserve">Thame and London Limited, 2026. </w:t>
      </w:r>
      <w:r w:rsidRPr="00936FE8">
        <w:rPr>
          <w:rFonts w:ascii="Arial" w:eastAsiaTheme="minorEastAsia" w:hAnsi="Arial" w:cs="Arial"/>
          <w:i/>
          <w:iCs/>
        </w:rPr>
        <w:t>Annual Report and Financial Statements for the Year Ended 31 December 2025</w:t>
      </w:r>
      <w:r w:rsidRPr="00936FE8">
        <w:rPr>
          <w:rFonts w:ascii="Arial" w:eastAsiaTheme="minorEastAsia" w:hAnsi="Arial" w:cs="Arial"/>
        </w:rPr>
        <w:t xml:space="preserve">, Thame: Thame and London Limited. Available at: </w:t>
      </w:r>
      <w:hyperlink r:id="rId43" w:tgtFrame="_blank" w:history="1">
        <w:r w:rsidRPr="00936FE8">
          <w:rPr>
            <w:rStyle w:val="Hyperlink"/>
            <w:rFonts w:ascii="Arial" w:eastAsiaTheme="minorEastAsia" w:hAnsi="Arial" w:cs="Arial"/>
            <w:color w:val="auto"/>
          </w:rPr>
          <w:t>https://www.travelodge.co.uk/investors/</w:t>
        </w:r>
      </w:hyperlink>
      <w:r w:rsidRPr="00936FE8">
        <w:rPr>
          <w:rFonts w:ascii="Arial" w:eastAsiaTheme="minorEastAsia" w:hAnsi="Arial" w:cs="Arial"/>
        </w:rPr>
        <w:t xml:space="preserve"> (Accessed: 14 July 2026).</w:t>
      </w:r>
    </w:p>
    <w:p w14:paraId="5817E3AC" w14:textId="77777777" w:rsidR="00D7737F" w:rsidRPr="00936FE8" w:rsidRDefault="00D7737F" w:rsidP="0054327B">
      <w:pPr>
        <w:pStyle w:val="NormalWeb"/>
        <w:spacing w:line="360" w:lineRule="auto"/>
        <w:rPr>
          <w:rFonts w:ascii="Arial" w:hAnsi="Arial" w:cs="Arial"/>
        </w:rPr>
      </w:pPr>
      <w:r w:rsidRPr="00936FE8">
        <w:rPr>
          <w:rStyle w:val="citation-11"/>
          <w:rFonts w:ascii="Arial" w:hAnsi="Arial" w:cs="Arial"/>
        </w:rPr>
        <w:t xml:space="preserve">Travelodge Group, 2026a. Travelodge Group: Good Q4 performance, revenue growth and solid liquidity; 2026 cost guidance reflects inflationary pressures and political environment. </w:t>
      </w:r>
      <w:r w:rsidRPr="00936FE8">
        <w:rPr>
          <w:rStyle w:val="citation-11"/>
          <w:rFonts w:ascii="Arial" w:hAnsi="Arial" w:cs="Arial"/>
          <w:i/>
          <w:iCs/>
        </w:rPr>
        <w:t>Travelodge Press Releases</w:t>
      </w:r>
      <w:r w:rsidRPr="00936FE8">
        <w:rPr>
          <w:rStyle w:val="citation-11"/>
          <w:rFonts w:ascii="Arial" w:hAnsi="Arial" w:cs="Arial"/>
        </w:rPr>
        <w:t>, 5 July.</w:t>
      </w:r>
      <w:r w:rsidRPr="00936FE8">
        <w:rPr>
          <w:rFonts w:ascii="Arial" w:hAnsi="Arial" w:cs="Arial"/>
        </w:rPr>
        <w:t xml:space="preserve"> Available at: </w:t>
      </w:r>
      <w:hyperlink r:id="rId44" w:tgtFrame="_blank" w:history="1">
        <w:r w:rsidRPr="00936FE8">
          <w:rPr>
            <w:rStyle w:val="Hyperlink"/>
            <w:rFonts w:ascii="Arial" w:hAnsi="Arial" w:cs="Arial"/>
            <w:color w:val="auto"/>
          </w:rPr>
          <w:t>https://www.travelodge.co.uk/our-business/media/press-release/travelodge-group-</w:t>
        </w:r>
        <w:r w:rsidRPr="00936FE8">
          <w:rPr>
            <w:rStyle w:val="Hyperlink"/>
            <w:rFonts w:ascii="Arial" w:hAnsi="Arial" w:cs="Arial"/>
            <w:color w:val="auto"/>
          </w:rPr>
          <w:lastRenderedPageBreak/>
          <w:t>good-q4-performance-revenue-growth-and-solid-liquidity-2026-cost-guidance-reflects-inflationary-pressures-and-political-environment/</w:t>
        </w:r>
      </w:hyperlink>
      <w:r w:rsidRPr="00936FE8">
        <w:rPr>
          <w:rFonts w:ascii="Arial" w:hAnsi="Arial" w:cs="Arial"/>
        </w:rPr>
        <w:t xml:space="preserve"> (Accessed: 14 July 2026). </w:t>
      </w:r>
    </w:p>
    <w:p w14:paraId="278626AF" w14:textId="77777777" w:rsidR="00D7737F" w:rsidRPr="00936FE8" w:rsidRDefault="00D7737F" w:rsidP="0054327B">
      <w:pPr>
        <w:pStyle w:val="NormalWeb"/>
        <w:spacing w:line="360" w:lineRule="auto"/>
        <w:rPr>
          <w:rFonts w:ascii="Arial" w:hAnsi="Arial" w:cs="Arial"/>
        </w:rPr>
      </w:pPr>
      <w:r w:rsidRPr="00936FE8">
        <w:rPr>
          <w:rStyle w:val="citation-10"/>
          <w:rFonts w:ascii="Arial" w:hAnsi="Arial" w:cs="Arial"/>
        </w:rPr>
        <w:t xml:space="preserve">Travelodge Group, 2026b. Travelodge Group: Solid overall financial performance with strong H2 recovery; continued strategic progress and expansion. </w:t>
      </w:r>
      <w:r w:rsidRPr="00936FE8">
        <w:rPr>
          <w:rStyle w:val="citation-10"/>
          <w:rFonts w:ascii="Arial" w:hAnsi="Arial" w:cs="Arial"/>
          <w:i/>
          <w:iCs/>
        </w:rPr>
        <w:t>Travelodge Press Releases</w:t>
      </w:r>
      <w:r w:rsidRPr="00936FE8">
        <w:rPr>
          <w:rStyle w:val="citation-10"/>
          <w:rFonts w:ascii="Arial" w:hAnsi="Arial" w:cs="Arial"/>
        </w:rPr>
        <w:t>, 25 March.</w:t>
      </w:r>
      <w:r w:rsidRPr="00936FE8">
        <w:rPr>
          <w:rFonts w:ascii="Arial" w:hAnsi="Arial" w:cs="Arial"/>
        </w:rPr>
        <w:t xml:space="preserve"> Available at: </w:t>
      </w:r>
      <w:hyperlink r:id="rId45" w:tgtFrame="_blank" w:history="1">
        <w:r w:rsidRPr="00936FE8">
          <w:rPr>
            <w:rStyle w:val="Hyperlink"/>
            <w:rFonts w:ascii="Arial" w:hAnsi="Arial" w:cs="Arial"/>
            <w:color w:val="auto"/>
          </w:rPr>
          <w:t>https://www.travelodge.co.uk/our-business/media/press-release/travelodge-group-solid-overall-financial-performance-with-strong-h2-recovery-continued-strategic-progress-and-expansion/</w:t>
        </w:r>
      </w:hyperlink>
      <w:r w:rsidRPr="00936FE8">
        <w:rPr>
          <w:rFonts w:ascii="Arial" w:hAnsi="Arial" w:cs="Arial"/>
        </w:rPr>
        <w:t xml:space="preserve"> (Accessed: 14 July 2026). </w:t>
      </w:r>
    </w:p>
    <w:p w14:paraId="6086E250" w14:textId="77777777" w:rsidR="00D7737F" w:rsidRPr="00936FE8" w:rsidRDefault="00D7737F" w:rsidP="0054327B">
      <w:pPr>
        <w:pStyle w:val="NormalWeb"/>
        <w:spacing w:line="360" w:lineRule="auto"/>
        <w:rPr>
          <w:rFonts w:ascii="Arial" w:hAnsi="Arial" w:cs="Arial"/>
        </w:rPr>
      </w:pPr>
      <w:r w:rsidRPr="00936FE8">
        <w:rPr>
          <w:rFonts w:ascii="Arial" w:hAnsi="Arial" w:cs="Arial"/>
        </w:rPr>
        <w:t xml:space="preserve">Travelodge Investor Site, 2024. </w:t>
      </w:r>
      <w:r w:rsidRPr="00936FE8">
        <w:rPr>
          <w:rFonts w:ascii="Arial" w:hAnsi="Arial" w:cs="Arial"/>
          <w:i/>
          <w:iCs/>
        </w:rPr>
        <w:t>Travelodge Investor Update</w:t>
      </w:r>
      <w:r w:rsidRPr="00936FE8">
        <w:rPr>
          <w:rFonts w:ascii="Arial" w:hAnsi="Arial" w:cs="Arial"/>
        </w:rPr>
        <w:t xml:space="preserve">, Thame: Travelodge Hotels Limited. Available at: </w:t>
      </w:r>
      <w:hyperlink r:id="rId46" w:tgtFrame="_blank" w:history="1">
        <w:r w:rsidRPr="00936FE8">
          <w:rPr>
            <w:rStyle w:val="Hyperlink"/>
            <w:rFonts w:ascii="Arial" w:hAnsi="Arial" w:cs="Arial"/>
            <w:color w:val="auto"/>
          </w:rPr>
          <w:t>https://www.travelodge.co.uk/investors/home</w:t>
        </w:r>
      </w:hyperlink>
      <w:r w:rsidRPr="00936FE8">
        <w:rPr>
          <w:rFonts w:ascii="Arial" w:hAnsi="Arial" w:cs="Arial"/>
        </w:rPr>
        <w:t xml:space="preserve"> (Accessed: 14 July 2026).</w:t>
      </w:r>
    </w:p>
    <w:p w14:paraId="31A4EFA1" w14:textId="77777777" w:rsidR="00D7737F" w:rsidRPr="00936FE8" w:rsidRDefault="00D7737F" w:rsidP="0054327B">
      <w:pPr>
        <w:pStyle w:val="NormalWeb"/>
        <w:spacing w:line="360" w:lineRule="auto"/>
        <w:rPr>
          <w:rFonts w:ascii="Arial" w:hAnsi="Arial" w:cs="Arial"/>
        </w:rPr>
      </w:pPr>
      <w:r w:rsidRPr="00936FE8">
        <w:rPr>
          <w:rFonts w:ascii="Arial" w:hAnsi="Arial" w:cs="Arial"/>
        </w:rPr>
        <w:t xml:space="preserve">TVL Finance PLC, 2023. </w:t>
      </w:r>
      <w:r w:rsidRPr="00936FE8">
        <w:rPr>
          <w:rFonts w:ascii="Arial" w:hAnsi="Arial" w:cs="Arial"/>
          <w:i/>
          <w:iCs/>
        </w:rPr>
        <w:t>Report to Noteholders for the Year Ended 31 December 2023</w:t>
      </w:r>
      <w:r w:rsidRPr="00936FE8">
        <w:rPr>
          <w:rFonts w:ascii="Arial" w:hAnsi="Arial" w:cs="Arial"/>
        </w:rPr>
        <w:t xml:space="preserve">, London: TVL Finance PLC. Available at: </w:t>
      </w:r>
      <w:hyperlink r:id="rId47" w:tgtFrame="_blank" w:history="1">
        <w:r w:rsidRPr="00936FE8">
          <w:rPr>
            <w:rStyle w:val="Hyperlink"/>
            <w:rFonts w:ascii="Arial" w:hAnsi="Arial" w:cs="Arial"/>
            <w:color w:val="auto"/>
          </w:rPr>
          <w:t>https://www.travelodge.co.uk/nw/sites/default/files/Thame_and_London_Quarterly_Report_to_Note_Holders_2023_Q4_FINAL.pdf</w:t>
        </w:r>
      </w:hyperlink>
      <w:r w:rsidRPr="00936FE8">
        <w:rPr>
          <w:rFonts w:ascii="Arial" w:hAnsi="Arial" w:cs="Arial"/>
        </w:rPr>
        <w:t xml:space="preserve"> (Accessed: 14 July 2026).</w:t>
      </w:r>
    </w:p>
    <w:p w14:paraId="7591F1D2" w14:textId="3DC0D5A4" w:rsidR="009C5748" w:rsidRPr="00936FE8" w:rsidRDefault="009C5748">
      <w:pPr>
        <w:jc w:val="left"/>
        <w:rPr>
          <w:rFonts w:ascii="Arial" w:eastAsiaTheme="minorEastAsia" w:hAnsi="Arial" w:cs="Arial"/>
        </w:rPr>
      </w:pPr>
      <w:r w:rsidRPr="00936FE8">
        <w:rPr>
          <w:rFonts w:ascii="Arial" w:eastAsiaTheme="minorEastAsia" w:hAnsi="Arial" w:cs="Arial"/>
        </w:rPr>
        <w:br w:type="page"/>
      </w:r>
    </w:p>
    <w:p w14:paraId="29D0BDC9" w14:textId="31510C5E" w:rsidR="00B8084F" w:rsidRPr="00936FE8" w:rsidRDefault="009C5748" w:rsidP="006D2D78">
      <w:pPr>
        <w:pStyle w:val="Heading1"/>
        <w:rPr>
          <w:rFonts w:ascii="Arial" w:eastAsiaTheme="minorEastAsia" w:hAnsi="Arial" w:cs="Arial"/>
        </w:rPr>
      </w:pPr>
      <w:bookmarkStart w:id="34" w:name="_Toc235785122"/>
      <w:r w:rsidRPr="00936FE8">
        <w:rPr>
          <w:rFonts w:ascii="Arial" w:eastAsiaTheme="minorEastAsia" w:hAnsi="Arial" w:cs="Arial"/>
        </w:rPr>
        <w:lastRenderedPageBreak/>
        <w:t>Appendix</w:t>
      </w:r>
      <w:r w:rsidR="0070104F" w:rsidRPr="00936FE8">
        <w:rPr>
          <w:rFonts w:ascii="Arial" w:eastAsiaTheme="minorEastAsia" w:hAnsi="Arial" w:cs="Arial"/>
        </w:rPr>
        <w:t>: Financial Ratio Tables and Graphical Trends</w:t>
      </w:r>
      <w:bookmarkEnd w:id="34"/>
      <w:r w:rsidR="0070104F" w:rsidRPr="00936FE8">
        <w:rPr>
          <w:rFonts w:ascii="Arial" w:eastAsiaTheme="minorEastAsia" w:hAnsi="Arial" w:cs="Arial"/>
        </w:rPr>
        <w:t xml:space="preserve"> </w:t>
      </w:r>
    </w:p>
    <w:tbl>
      <w:tblPr>
        <w:tblStyle w:val="TableGrid"/>
        <w:tblW w:w="0" w:type="auto"/>
        <w:tblLook w:val="04A0" w:firstRow="1" w:lastRow="0" w:firstColumn="1" w:lastColumn="0" w:noHBand="0" w:noVBand="1"/>
      </w:tblPr>
      <w:tblGrid>
        <w:gridCol w:w="1647"/>
        <w:gridCol w:w="1749"/>
        <w:gridCol w:w="1124"/>
        <w:gridCol w:w="1124"/>
        <w:gridCol w:w="1124"/>
        <w:gridCol w:w="1124"/>
        <w:gridCol w:w="1124"/>
      </w:tblGrid>
      <w:tr w:rsidR="009C5748" w:rsidRPr="00936FE8" w14:paraId="4AFCA099" w14:textId="77777777" w:rsidTr="009C5748">
        <w:tc>
          <w:tcPr>
            <w:tcW w:w="0" w:type="auto"/>
            <w:hideMark/>
          </w:tcPr>
          <w:p w14:paraId="0A0F41AD"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Category</w:t>
            </w:r>
          </w:p>
        </w:tc>
        <w:tc>
          <w:tcPr>
            <w:tcW w:w="0" w:type="auto"/>
            <w:hideMark/>
          </w:tcPr>
          <w:p w14:paraId="0657524F"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Ratio Metric</w:t>
            </w:r>
          </w:p>
        </w:tc>
        <w:tc>
          <w:tcPr>
            <w:tcW w:w="0" w:type="auto"/>
            <w:hideMark/>
          </w:tcPr>
          <w:p w14:paraId="5EFD469D"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FY21/22</w:t>
            </w:r>
          </w:p>
        </w:tc>
        <w:tc>
          <w:tcPr>
            <w:tcW w:w="0" w:type="auto"/>
            <w:hideMark/>
          </w:tcPr>
          <w:p w14:paraId="358ACB6E"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FY22/23</w:t>
            </w:r>
          </w:p>
        </w:tc>
        <w:tc>
          <w:tcPr>
            <w:tcW w:w="0" w:type="auto"/>
            <w:hideMark/>
          </w:tcPr>
          <w:p w14:paraId="28AAFEFF"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FY23/24</w:t>
            </w:r>
          </w:p>
        </w:tc>
        <w:tc>
          <w:tcPr>
            <w:tcW w:w="0" w:type="auto"/>
            <w:hideMark/>
          </w:tcPr>
          <w:p w14:paraId="430553C7"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FY24/25</w:t>
            </w:r>
          </w:p>
        </w:tc>
        <w:tc>
          <w:tcPr>
            <w:tcW w:w="0" w:type="auto"/>
            <w:hideMark/>
          </w:tcPr>
          <w:p w14:paraId="3E6BDCA6"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FY25/26</w:t>
            </w:r>
          </w:p>
        </w:tc>
      </w:tr>
      <w:tr w:rsidR="009C5748" w:rsidRPr="00936FE8" w14:paraId="76210CCD" w14:textId="77777777" w:rsidTr="009C5748">
        <w:tc>
          <w:tcPr>
            <w:tcW w:w="0" w:type="auto"/>
            <w:hideMark/>
          </w:tcPr>
          <w:p w14:paraId="58A9F4AF"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Profitability</w:t>
            </w:r>
          </w:p>
        </w:tc>
        <w:tc>
          <w:tcPr>
            <w:tcW w:w="0" w:type="auto"/>
            <w:hideMark/>
          </w:tcPr>
          <w:p w14:paraId="0B1CB505"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Operating Profit Margin (%)</w:t>
            </w:r>
          </w:p>
        </w:tc>
        <w:tc>
          <w:tcPr>
            <w:tcW w:w="0" w:type="auto"/>
            <w:hideMark/>
          </w:tcPr>
          <w:p w14:paraId="67593351"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9.5%</w:t>
            </w:r>
          </w:p>
        </w:tc>
        <w:tc>
          <w:tcPr>
            <w:tcW w:w="0" w:type="auto"/>
            <w:hideMark/>
          </w:tcPr>
          <w:p w14:paraId="64129499"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15.5%</w:t>
            </w:r>
          </w:p>
        </w:tc>
        <w:tc>
          <w:tcPr>
            <w:tcW w:w="0" w:type="auto"/>
            <w:hideMark/>
          </w:tcPr>
          <w:p w14:paraId="37DB9A2F"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24.6%</w:t>
            </w:r>
          </w:p>
        </w:tc>
        <w:tc>
          <w:tcPr>
            <w:tcW w:w="0" w:type="auto"/>
            <w:hideMark/>
          </w:tcPr>
          <w:p w14:paraId="7EB6C66D"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25.9%</w:t>
            </w:r>
          </w:p>
        </w:tc>
        <w:tc>
          <w:tcPr>
            <w:tcW w:w="0" w:type="auto"/>
            <w:hideMark/>
          </w:tcPr>
          <w:p w14:paraId="44E73D22"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21.9%</w:t>
            </w:r>
          </w:p>
        </w:tc>
      </w:tr>
      <w:tr w:rsidR="009C5748" w:rsidRPr="00936FE8" w14:paraId="03BAA047" w14:textId="77777777" w:rsidTr="009C5748">
        <w:tc>
          <w:tcPr>
            <w:tcW w:w="0" w:type="auto"/>
            <w:hideMark/>
          </w:tcPr>
          <w:p w14:paraId="6CF5114D"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Profitability</w:t>
            </w:r>
          </w:p>
        </w:tc>
        <w:tc>
          <w:tcPr>
            <w:tcW w:w="0" w:type="auto"/>
            <w:hideMark/>
          </w:tcPr>
          <w:p w14:paraId="10A5A87E"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Net Profit Margin (%)</w:t>
            </w:r>
          </w:p>
        </w:tc>
        <w:tc>
          <w:tcPr>
            <w:tcW w:w="0" w:type="auto"/>
            <w:hideMark/>
          </w:tcPr>
          <w:p w14:paraId="3E3DA471"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-2.2%</w:t>
            </w:r>
          </w:p>
        </w:tc>
        <w:tc>
          <w:tcPr>
            <w:tcW w:w="0" w:type="auto"/>
            <w:hideMark/>
          </w:tcPr>
          <w:p w14:paraId="5DDA6581"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3.1%</w:t>
            </w:r>
          </w:p>
        </w:tc>
        <w:tc>
          <w:tcPr>
            <w:tcW w:w="0" w:type="auto"/>
            <w:hideMark/>
          </w:tcPr>
          <w:p w14:paraId="1E74F9A1"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5.0%</w:t>
            </w:r>
          </w:p>
        </w:tc>
        <w:tc>
          <w:tcPr>
            <w:tcW w:w="0" w:type="auto"/>
            <w:hideMark/>
          </w:tcPr>
          <w:p w14:paraId="08996152"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-0.6%</w:t>
            </w:r>
          </w:p>
        </w:tc>
        <w:tc>
          <w:tcPr>
            <w:tcW w:w="0" w:type="auto"/>
            <w:hideMark/>
          </w:tcPr>
          <w:p w14:paraId="7F37335E"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-6.7%</w:t>
            </w:r>
          </w:p>
        </w:tc>
      </w:tr>
      <w:tr w:rsidR="009C5748" w:rsidRPr="00936FE8" w14:paraId="2BA92D90" w14:textId="77777777" w:rsidTr="009C5748">
        <w:tc>
          <w:tcPr>
            <w:tcW w:w="0" w:type="auto"/>
            <w:hideMark/>
          </w:tcPr>
          <w:p w14:paraId="29A3727A"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Liquidity</w:t>
            </w:r>
          </w:p>
        </w:tc>
        <w:tc>
          <w:tcPr>
            <w:tcW w:w="0" w:type="auto"/>
            <w:hideMark/>
          </w:tcPr>
          <w:p w14:paraId="7E6B6C03"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Current Ratio (x)</w:t>
            </w:r>
          </w:p>
        </w:tc>
        <w:tc>
          <w:tcPr>
            <w:tcW w:w="0" w:type="auto"/>
            <w:hideMark/>
          </w:tcPr>
          <w:p w14:paraId="7A1BAA0B"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0.65x</w:t>
            </w:r>
          </w:p>
        </w:tc>
        <w:tc>
          <w:tcPr>
            <w:tcW w:w="0" w:type="auto"/>
            <w:hideMark/>
          </w:tcPr>
          <w:p w14:paraId="12576B0C"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0.58x</w:t>
            </w:r>
          </w:p>
        </w:tc>
        <w:tc>
          <w:tcPr>
            <w:tcW w:w="0" w:type="auto"/>
            <w:hideMark/>
          </w:tcPr>
          <w:p w14:paraId="3EB2795C"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0.72x</w:t>
            </w:r>
          </w:p>
        </w:tc>
        <w:tc>
          <w:tcPr>
            <w:tcW w:w="0" w:type="auto"/>
            <w:hideMark/>
          </w:tcPr>
          <w:p w14:paraId="5FE69BA2"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0.62x</w:t>
            </w:r>
          </w:p>
        </w:tc>
        <w:tc>
          <w:tcPr>
            <w:tcW w:w="0" w:type="auto"/>
            <w:hideMark/>
          </w:tcPr>
          <w:p w14:paraId="2CED6E32"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0.45x</w:t>
            </w:r>
          </w:p>
        </w:tc>
      </w:tr>
      <w:tr w:rsidR="009C5748" w:rsidRPr="00936FE8" w14:paraId="458DFC98" w14:textId="77777777" w:rsidTr="009C5748">
        <w:tc>
          <w:tcPr>
            <w:tcW w:w="0" w:type="auto"/>
            <w:hideMark/>
          </w:tcPr>
          <w:p w14:paraId="1445A609"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Liquidity</w:t>
            </w:r>
          </w:p>
        </w:tc>
        <w:tc>
          <w:tcPr>
            <w:tcW w:w="0" w:type="auto"/>
            <w:hideMark/>
          </w:tcPr>
          <w:p w14:paraId="4EFF6E00"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Operating Cash Flow Ratio (x)</w:t>
            </w:r>
          </w:p>
        </w:tc>
        <w:tc>
          <w:tcPr>
            <w:tcW w:w="0" w:type="auto"/>
            <w:hideMark/>
          </w:tcPr>
          <w:p w14:paraId="382BE1D3"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0.48x</w:t>
            </w:r>
          </w:p>
        </w:tc>
        <w:tc>
          <w:tcPr>
            <w:tcW w:w="0" w:type="auto"/>
            <w:hideMark/>
          </w:tcPr>
          <w:p w14:paraId="06831DBE"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0.52x</w:t>
            </w:r>
          </w:p>
        </w:tc>
        <w:tc>
          <w:tcPr>
            <w:tcW w:w="0" w:type="auto"/>
            <w:hideMark/>
          </w:tcPr>
          <w:p w14:paraId="6F18BD70"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0.61x</w:t>
            </w:r>
          </w:p>
        </w:tc>
        <w:tc>
          <w:tcPr>
            <w:tcW w:w="0" w:type="auto"/>
            <w:hideMark/>
          </w:tcPr>
          <w:p w14:paraId="23287377"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0.55x</w:t>
            </w:r>
          </w:p>
        </w:tc>
        <w:tc>
          <w:tcPr>
            <w:tcW w:w="0" w:type="auto"/>
            <w:hideMark/>
          </w:tcPr>
          <w:p w14:paraId="61E266C8"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0.40x</w:t>
            </w:r>
          </w:p>
        </w:tc>
      </w:tr>
      <w:tr w:rsidR="009C5748" w:rsidRPr="00936FE8" w14:paraId="6D32245F" w14:textId="77777777" w:rsidTr="009C5748">
        <w:tc>
          <w:tcPr>
            <w:tcW w:w="0" w:type="auto"/>
            <w:hideMark/>
          </w:tcPr>
          <w:p w14:paraId="7320294F"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Efficiency</w:t>
            </w:r>
          </w:p>
        </w:tc>
        <w:tc>
          <w:tcPr>
            <w:tcW w:w="0" w:type="auto"/>
            <w:hideMark/>
          </w:tcPr>
          <w:p w14:paraId="33DDB097"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Asset Turnover Ratio (x)</w:t>
            </w:r>
          </w:p>
        </w:tc>
        <w:tc>
          <w:tcPr>
            <w:tcW w:w="0" w:type="auto"/>
            <w:hideMark/>
          </w:tcPr>
          <w:p w14:paraId="5ACC521E"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0.22x</w:t>
            </w:r>
          </w:p>
        </w:tc>
        <w:tc>
          <w:tcPr>
            <w:tcW w:w="0" w:type="auto"/>
            <w:hideMark/>
          </w:tcPr>
          <w:p w14:paraId="6B772AC1"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0.35x</w:t>
            </w:r>
          </w:p>
        </w:tc>
        <w:tc>
          <w:tcPr>
            <w:tcW w:w="0" w:type="auto"/>
            <w:hideMark/>
          </w:tcPr>
          <w:p w14:paraId="55B0107E"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0.40x</w:t>
            </w:r>
          </w:p>
        </w:tc>
        <w:tc>
          <w:tcPr>
            <w:tcW w:w="0" w:type="auto"/>
            <w:hideMark/>
          </w:tcPr>
          <w:p w14:paraId="5E759EA5"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0.38x</w:t>
            </w:r>
          </w:p>
        </w:tc>
        <w:tc>
          <w:tcPr>
            <w:tcW w:w="0" w:type="auto"/>
            <w:hideMark/>
          </w:tcPr>
          <w:p w14:paraId="6153F6DB"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0.35x</w:t>
            </w:r>
          </w:p>
        </w:tc>
      </w:tr>
      <w:tr w:rsidR="009C5748" w:rsidRPr="00936FE8" w14:paraId="29B3651A" w14:textId="77777777" w:rsidTr="009C5748">
        <w:tc>
          <w:tcPr>
            <w:tcW w:w="0" w:type="auto"/>
            <w:hideMark/>
          </w:tcPr>
          <w:p w14:paraId="37AA312C"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b/>
                <w:bCs/>
              </w:rPr>
              <w:t>Working Capital</w:t>
            </w:r>
          </w:p>
        </w:tc>
        <w:tc>
          <w:tcPr>
            <w:tcW w:w="0" w:type="auto"/>
            <w:hideMark/>
          </w:tcPr>
          <w:p w14:paraId="172D24C0"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Cash Operating Cycle (Days)</w:t>
            </w:r>
          </w:p>
        </w:tc>
        <w:tc>
          <w:tcPr>
            <w:tcW w:w="0" w:type="auto"/>
            <w:hideMark/>
          </w:tcPr>
          <w:p w14:paraId="39E7A355"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-46.5d</w:t>
            </w:r>
          </w:p>
        </w:tc>
        <w:tc>
          <w:tcPr>
            <w:tcW w:w="0" w:type="auto"/>
            <w:hideMark/>
          </w:tcPr>
          <w:p w14:paraId="0671B598"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-43.1d</w:t>
            </w:r>
          </w:p>
        </w:tc>
        <w:tc>
          <w:tcPr>
            <w:tcW w:w="0" w:type="auto"/>
            <w:hideMark/>
          </w:tcPr>
          <w:p w14:paraId="53504728"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-40.1d</w:t>
            </w:r>
          </w:p>
        </w:tc>
        <w:tc>
          <w:tcPr>
            <w:tcW w:w="0" w:type="auto"/>
            <w:hideMark/>
          </w:tcPr>
          <w:p w14:paraId="49C6B98C" w14:textId="77777777" w:rsidR="009C5748" w:rsidRPr="00936FE8" w:rsidRDefault="009C5748" w:rsidP="009C5748">
            <w:pPr>
              <w:spacing w:after="160" w:line="360" w:lineRule="auto"/>
              <w:rPr>
                <w:rFonts w:ascii="Arial" w:eastAsiaTheme="minorEastAsia" w:hAnsi="Arial" w:cs="Arial"/>
              </w:rPr>
            </w:pPr>
            <w:r w:rsidRPr="00936FE8">
              <w:rPr>
                <w:rFonts w:ascii="Arial" w:eastAsiaTheme="minorEastAsia" w:hAnsi="Arial" w:cs="Arial"/>
              </w:rPr>
              <w:t>-37.9d</w:t>
            </w:r>
          </w:p>
        </w:tc>
        <w:tc>
          <w:tcPr>
            <w:tcW w:w="0" w:type="auto"/>
            <w:hideMark/>
          </w:tcPr>
          <w:p w14:paraId="67C91EE7" w14:textId="77777777" w:rsidR="009C5748" w:rsidRPr="00936FE8" w:rsidRDefault="009C5748" w:rsidP="0070104F">
            <w:pPr>
              <w:keepNext/>
              <w:spacing w:after="160" w:line="360" w:lineRule="auto"/>
              <w:rPr>
                <w:rFonts w:ascii="Arial" w:eastAsiaTheme="minorEastAsia" w:hAnsi="Arial" w:cs="Arial"/>
              </w:rPr>
            </w:pPr>
            <w:r w:rsidRPr="00936FE8">
              <w:rPr>
                <w:rFonts w:ascii="Arial" w:eastAsiaTheme="minorEastAsia" w:hAnsi="Arial" w:cs="Arial"/>
              </w:rPr>
              <w:t>-37.4d</w:t>
            </w:r>
          </w:p>
        </w:tc>
      </w:tr>
    </w:tbl>
    <w:p w14:paraId="453B363B" w14:textId="5BEF15F1" w:rsidR="009C5748" w:rsidRPr="00936FE8" w:rsidRDefault="0070104F" w:rsidP="00C82762">
      <w:pPr>
        <w:pStyle w:val="Caption"/>
      </w:pPr>
      <w:r w:rsidRPr="00936FE8">
        <w:lastRenderedPageBreak/>
        <w:t xml:space="preserve">Table </w:t>
      </w:r>
      <w:fldSimple w:instr=" SEQ Table \* ARABIC ">
        <w:r w:rsidR="00132649" w:rsidRPr="00936FE8">
          <w:rPr>
            <w:noProof/>
          </w:rPr>
          <w:t>11</w:t>
        </w:r>
      </w:fldSimple>
      <w:r w:rsidRPr="00936FE8">
        <w:t>: Comprehensive financial ratio summary (FY21/22-FY25/26)</w:t>
      </w:r>
    </w:p>
    <w:p w14:paraId="4CF387F8" w14:textId="77777777" w:rsidR="00C84016" w:rsidRPr="00936FE8" w:rsidRDefault="00C84016" w:rsidP="00C84016">
      <w:pPr>
        <w:keepNext/>
        <w:rPr>
          <w:rFonts w:ascii="Arial" w:hAnsi="Arial" w:cs="Arial"/>
        </w:rPr>
      </w:pPr>
      <w:r w:rsidRPr="00936FE8">
        <w:rPr>
          <w:rFonts w:ascii="Arial" w:hAnsi="Arial" w:cs="Arial"/>
          <w:noProof/>
        </w:rPr>
        <w:drawing>
          <wp:inline distT="0" distB="0" distL="0" distR="0" wp14:anchorId="566BEDA6" wp14:editId="57B9BEDE">
            <wp:extent cx="5486400" cy="3200400"/>
            <wp:effectExtent l="0" t="0" r="0" b="0"/>
            <wp:docPr id="45103869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330DA65" w14:textId="444C2C75" w:rsidR="0070104F" w:rsidRPr="00936FE8" w:rsidRDefault="00C84016" w:rsidP="00C82762">
      <w:pPr>
        <w:pStyle w:val="Caption"/>
      </w:pPr>
      <w:r w:rsidRPr="00936FE8">
        <w:t xml:space="preserve">Figure </w:t>
      </w:r>
      <w:fldSimple w:instr=" SEQ Figure \* ARABIC ">
        <w:r w:rsidR="0047746F" w:rsidRPr="00936FE8">
          <w:rPr>
            <w:noProof/>
          </w:rPr>
          <w:t>7</w:t>
        </w:r>
      </w:fldSimple>
      <w:r w:rsidRPr="00936FE8">
        <w:t>: Profitability margin trends</w:t>
      </w:r>
    </w:p>
    <w:p w14:paraId="7BA4F69E" w14:textId="7B23313A" w:rsidR="00C84016" w:rsidRPr="00936FE8" w:rsidRDefault="00C84016" w:rsidP="00C84016">
      <w:pPr>
        <w:rPr>
          <w:rFonts w:ascii="Arial" w:hAnsi="Arial" w:cs="Arial"/>
        </w:rPr>
      </w:pPr>
      <w:r w:rsidRPr="00936FE8">
        <w:rPr>
          <w:rFonts w:ascii="Arial" w:hAnsi="Arial" w:cs="Arial"/>
        </w:rPr>
        <w:t xml:space="preserve">This </w:t>
      </w:r>
      <w:r w:rsidR="004560DB" w:rsidRPr="00936FE8">
        <w:rPr>
          <w:rFonts w:ascii="Arial" w:hAnsi="Arial" w:cs="Arial"/>
        </w:rPr>
        <w:t xml:space="preserve">multi-line graph plots the divergence between the stable, strong Operating Profit Margin (EBIT) and the declining Net Profit Margin driven by the high interest charges and cost inflation. </w:t>
      </w:r>
    </w:p>
    <w:p w14:paraId="1F44D8E1" w14:textId="77777777" w:rsidR="0021057A" w:rsidRPr="00936FE8" w:rsidRDefault="0021057A" w:rsidP="0021057A">
      <w:pPr>
        <w:keepNext/>
        <w:rPr>
          <w:rFonts w:ascii="Arial" w:hAnsi="Arial" w:cs="Arial"/>
        </w:rPr>
      </w:pPr>
      <w:r w:rsidRPr="00936FE8">
        <w:rPr>
          <w:rFonts w:ascii="Arial" w:hAnsi="Arial" w:cs="Arial"/>
          <w:noProof/>
        </w:rPr>
        <w:lastRenderedPageBreak/>
        <w:drawing>
          <wp:inline distT="0" distB="0" distL="0" distR="0" wp14:anchorId="1D895A84" wp14:editId="4ABA0EE0">
            <wp:extent cx="5486400" cy="3200400"/>
            <wp:effectExtent l="0" t="0" r="0" b="0"/>
            <wp:docPr id="37569639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615841BF" w14:textId="7713D825" w:rsidR="0070104F" w:rsidRPr="00936FE8" w:rsidRDefault="0021057A" w:rsidP="00C82762">
      <w:pPr>
        <w:pStyle w:val="Caption"/>
      </w:pPr>
      <w:r w:rsidRPr="00936FE8">
        <w:t xml:space="preserve">Figure </w:t>
      </w:r>
      <w:fldSimple w:instr=" SEQ Figure \* ARABIC ">
        <w:r w:rsidR="0047746F" w:rsidRPr="00936FE8">
          <w:rPr>
            <w:noProof/>
          </w:rPr>
          <w:t>8</w:t>
        </w:r>
      </w:fldSimple>
      <w:r w:rsidRPr="00936FE8">
        <w:t>: Liquidity and Short-term cash flow ratios</w:t>
      </w:r>
    </w:p>
    <w:p w14:paraId="699E3D76" w14:textId="69F67E1C" w:rsidR="0021057A" w:rsidRPr="00936FE8" w:rsidRDefault="0021057A" w:rsidP="0021057A">
      <w:pPr>
        <w:rPr>
          <w:rFonts w:ascii="Arial" w:hAnsi="Arial" w:cs="Arial"/>
        </w:rPr>
      </w:pPr>
      <w:r w:rsidRPr="00936FE8">
        <w:rPr>
          <w:rFonts w:ascii="Arial" w:hAnsi="Arial" w:cs="Arial"/>
        </w:rPr>
        <w:t xml:space="preserve">This bar chart compares the Current ratio directly against the operating cash flow ratio, </w:t>
      </w:r>
      <w:proofErr w:type="spellStart"/>
      <w:r w:rsidRPr="00936FE8">
        <w:rPr>
          <w:rFonts w:ascii="Arial" w:hAnsi="Arial" w:cs="Arial"/>
        </w:rPr>
        <w:t>whish</w:t>
      </w:r>
      <w:proofErr w:type="spellEnd"/>
      <w:r w:rsidRPr="00936FE8">
        <w:rPr>
          <w:rFonts w:ascii="Arial" w:hAnsi="Arial" w:cs="Arial"/>
        </w:rPr>
        <w:t xml:space="preserve"> shows that actual operational cash collections are lower than total short-term obligations. </w:t>
      </w:r>
    </w:p>
    <w:p w14:paraId="3CB06BB8" w14:textId="77777777" w:rsidR="006D2D78" w:rsidRPr="00936FE8" w:rsidRDefault="006D2D78" w:rsidP="006D2D78">
      <w:pPr>
        <w:keepNext/>
        <w:rPr>
          <w:rFonts w:ascii="Arial" w:hAnsi="Arial" w:cs="Arial"/>
        </w:rPr>
      </w:pPr>
      <w:r w:rsidRPr="00936FE8">
        <w:rPr>
          <w:rFonts w:ascii="Arial" w:hAnsi="Arial" w:cs="Arial"/>
          <w:noProof/>
        </w:rPr>
        <w:lastRenderedPageBreak/>
        <w:drawing>
          <wp:inline distT="0" distB="0" distL="0" distR="0" wp14:anchorId="0C132E40" wp14:editId="36BA53CA">
            <wp:extent cx="5486400" cy="4389120"/>
            <wp:effectExtent l="0" t="0" r="0" b="11430"/>
            <wp:docPr id="69797071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28C920ED" w14:textId="60E0F8D1" w:rsidR="0021057A" w:rsidRPr="00936FE8" w:rsidRDefault="006D2D78" w:rsidP="00C82762">
      <w:pPr>
        <w:pStyle w:val="Caption"/>
      </w:pPr>
      <w:r w:rsidRPr="00936FE8">
        <w:t xml:space="preserve">Figure </w:t>
      </w:r>
      <w:fldSimple w:instr=" SEQ Figure \* ARABIC ">
        <w:r w:rsidR="0047746F" w:rsidRPr="00936FE8">
          <w:rPr>
            <w:noProof/>
          </w:rPr>
          <w:t>9</w:t>
        </w:r>
      </w:fldSimple>
      <w:r w:rsidRPr="00936FE8">
        <w:t>: Efficiency and working capital dynamics</w:t>
      </w:r>
    </w:p>
    <w:p w14:paraId="75CECD5E" w14:textId="49442215" w:rsidR="006D2D78" w:rsidRPr="00936FE8" w:rsidRDefault="006D2D78" w:rsidP="006D2D78">
      <w:pPr>
        <w:rPr>
          <w:rFonts w:ascii="Arial" w:hAnsi="Arial" w:cs="Arial"/>
        </w:rPr>
      </w:pPr>
      <w:r w:rsidRPr="00936FE8">
        <w:rPr>
          <w:rFonts w:ascii="Arial" w:hAnsi="Arial" w:cs="Arial"/>
        </w:rPr>
        <w:t xml:space="preserve">This line graph shows the structurally negative cash operating cycle against its asset turnover, presenting how the business model uses supplier credit to drive revenue. </w:t>
      </w:r>
    </w:p>
    <w:p w14:paraId="121BC37E" w14:textId="77777777" w:rsidR="006D2D78" w:rsidRPr="00936FE8" w:rsidRDefault="006D2D78" w:rsidP="006D2D78">
      <w:pPr>
        <w:rPr>
          <w:rFonts w:ascii="Arial" w:hAnsi="Arial" w:cs="Arial"/>
        </w:rPr>
      </w:pPr>
    </w:p>
    <w:p w14:paraId="65930463" w14:textId="24663FFA" w:rsidR="00AB2E08" w:rsidRPr="00936FE8" w:rsidRDefault="00AB2E08">
      <w:pPr>
        <w:jc w:val="left"/>
        <w:rPr>
          <w:rFonts w:ascii="Arial" w:hAnsi="Arial" w:cs="Arial"/>
        </w:rPr>
      </w:pPr>
      <w:r w:rsidRPr="00936FE8">
        <w:rPr>
          <w:rFonts w:ascii="Arial" w:hAnsi="Arial" w:cs="Arial"/>
        </w:rPr>
        <w:br w:type="page"/>
      </w:r>
    </w:p>
    <w:p w14:paraId="01B12A5F" w14:textId="0B4E6D13" w:rsidR="0021057A" w:rsidRPr="00936FE8" w:rsidRDefault="00AB2E08" w:rsidP="00204536">
      <w:pPr>
        <w:pStyle w:val="Heading1"/>
        <w:rPr>
          <w:rFonts w:ascii="Arial" w:hAnsi="Arial" w:cs="Arial"/>
        </w:rPr>
      </w:pPr>
      <w:bookmarkStart w:id="35" w:name="_Toc235785123"/>
      <w:r w:rsidRPr="00936FE8">
        <w:rPr>
          <w:rFonts w:ascii="Arial" w:hAnsi="Arial" w:cs="Arial"/>
        </w:rPr>
        <w:lastRenderedPageBreak/>
        <w:t>Appendix 2: Investment appraisal calculations</w:t>
      </w:r>
      <w:bookmarkEnd w:id="35"/>
      <w:r w:rsidRPr="00936FE8">
        <w:rPr>
          <w:rFonts w:ascii="Arial" w:hAnsi="Arial" w:cs="Arial"/>
        </w:rPr>
        <w:t xml:space="preserve"> </w:t>
      </w:r>
    </w:p>
    <w:p w14:paraId="44FFF00B" w14:textId="61A72878" w:rsidR="00FC3A67" w:rsidRPr="00936FE8" w:rsidRDefault="00936FE8" w:rsidP="0021057A">
      <w:pPr>
        <w:rPr>
          <w:rFonts w:ascii="Arial" w:hAnsi="Arial" w:cs="Arial"/>
        </w:rPr>
      </w:pPr>
      <w:r w:rsidRPr="00936FE8">
        <w:rPr>
          <w:rFonts w:ascii="Arial" w:hAnsi="Arial" w:cs="Arial"/>
        </w:rPr>
        <w:object w:dxaOrig="1520" w:dyaOrig="985" w14:anchorId="31ABC6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35pt;height:49.1pt" o:ole="">
            <v:imagedata r:id="rId51" o:title=""/>
          </v:shape>
          <o:OLEObject Type="Embed" ProgID="Excel.Sheet.12" ShapeID="_x0000_i1027" DrawAspect="Icon" ObjectID="_1846396196" r:id="rId52"/>
        </w:object>
      </w:r>
    </w:p>
    <w:p w14:paraId="5961E2BA" w14:textId="77777777" w:rsidR="00AB2E08" w:rsidRPr="00936FE8" w:rsidRDefault="00AB2E08" w:rsidP="0021057A">
      <w:pPr>
        <w:rPr>
          <w:rFonts w:ascii="Arial" w:hAnsi="Arial" w:cs="Arial"/>
        </w:rPr>
      </w:pPr>
    </w:p>
    <w:sectPr w:rsidR="00AB2E08" w:rsidRPr="00936FE8">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67A37" w14:textId="77777777" w:rsidR="004F45B8" w:rsidRDefault="004F45B8" w:rsidP="00D7737F">
      <w:pPr>
        <w:spacing w:after="0" w:line="240" w:lineRule="auto"/>
      </w:pPr>
      <w:r>
        <w:separator/>
      </w:r>
    </w:p>
  </w:endnote>
  <w:endnote w:type="continuationSeparator" w:id="0">
    <w:p w14:paraId="66860EB4" w14:textId="77777777" w:rsidR="004F45B8" w:rsidRDefault="004F45B8" w:rsidP="00D773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626668"/>
      <w:docPartObj>
        <w:docPartGallery w:val="Page Numbers (Bottom of Page)"/>
        <w:docPartUnique/>
      </w:docPartObj>
    </w:sdtPr>
    <w:sdtEndPr>
      <w:rPr>
        <w:noProof/>
      </w:rPr>
    </w:sdtEndPr>
    <w:sdtContent>
      <w:p w14:paraId="640C9AAB" w14:textId="06263726" w:rsidR="00D7737F" w:rsidRDefault="00D773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6BA762" w14:textId="77777777" w:rsidR="00D7737F" w:rsidRDefault="00D77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769BE" w14:textId="77777777" w:rsidR="004F45B8" w:rsidRDefault="004F45B8" w:rsidP="00D7737F">
      <w:pPr>
        <w:spacing w:after="0" w:line="240" w:lineRule="auto"/>
      </w:pPr>
      <w:r>
        <w:separator/>
      </w:r>
    </w:p>
  </w:footnote>
  <w:footnote w:type="continuationSeparator" w:id="0">
    <w:p w14:paraId="160A2E2D" w14:textId="77777777" w:rsidR="004F45B8" w:rsidRDefault="004F45B8" w:rsidP="00D773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12E38"/>
    <w:multiLevelType w:val="hybridMultilevel"/>
    <w:tmpl w:val="6BB6A93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7230079"/>
    <w:multiLevelType w:val="hybridMultilevel"/>
    <w:tmpl w:val="BD8A12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24232D1"/>
    <w:multiLevelType w:val="multilevel"/>
    <w:tmpl w:val="72D25D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D2F53C5"/>
    <w:multiLevelType w:val="multilevel"/>
    <w:tmpl w:val="6DE435FE"/>
    <w:lvl w:ilvl="0">
      <w:start w:val="1"/>
      <w:numFmt w:val="decimal"/>
      <w:lvlText w:val="%1."/>
      <w:lvlJc w:val="left"/>
      <w:pPr>
        <w:ind w:left="720" w:hanging="360"/>
      </w:pPr>
      <w:rPr>
        <w:rFonts w:hint="default"/>
      </w:rPr>
    </w:lvl>
    <w:lvl w:ilvl="1">
      <w:start w:val="2"/>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2195C6A"/>
    <w:multiLevelType w:val="hybridMultilevel"/>
    <w:tmpl w:val="35C8CA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26A4CC5"/>
    <w:multiLevelType w:val="multilevel"/>
    <w:tmpl w:val="C2F83054"/>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3DC40D9"/>
    <w:multiLevelType w:val="hybridMultilevel"/>
    <w:tmpl w:val="F3ACD0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8363D14"/>
    <w:multiLevelType w:val="hybridMultilevel"/>
    <w:tmpl w:val="E182E8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4164AF2"/>
    <w:multiLevelType w:val="hybridMultilevel"/>
    <w:tmpl w:val="B5D403B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46E7043"/>
    <w:multiLevelType w:val="hybridMultilevel"/>
    <w:tmpl w:val="3AAC5D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4F81F3B"/>
    <w:multiLevelType w:val="multilevel"/>
    <w:tmpl w:val="C00E6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D825D5"/>
    <w:multiLevelType w:val="hybridMultilevel"/>
    <w:tmpl w:val="137CE4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9983330"/>
    <w:multiLevelType w:val="hybridMultilevel"/>
    <w:tmpl w:val="E4C4DB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E323222"/>
    <w:multiLevelType w:val="multilevel"/>
    <w:tmpl w:val="20E4458C"/>
    <w:lvl w:ilvl="0">
      <w:start w:val="4"/>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01770636">
    <w:abstractNumId w:val="2"/>
  </w:num>
  <w:num w:numId="2" w16cid:durableId="794907525">
    <w:abstractNumId w:val="12"/>
  </w:num>
  <w:num w:numId="3" w16cid:durableId="1350258875">
    <w:abstractNumId w:val="13"/>
  </w:num>
  <w:num w:numId="4" w16cid:durableId="473792274">
    <w:abstractNumId w:val="4"/>
  </w:num>
  <w:num w:numId="5" w16cid:durableId="1902791090">
    <w:abstractNumId w:val="1"/>
  </w:num>
  <w:num w:numId="6" w16cid:durableId="2146580378">
    <w:abstractNumId w:val="3"/>
  </w:num>
  <w:num w:numId="7" w16cid:durableId="924805710">
    <w:abstractNumId w:val="10"/>
  </w:num>
  <w:num w:numId="8" w16cid:durableId="386032667">
    <w:abstractNumId w:val="0"/>
  </w:num>
  <w:num w:numId="9" w16cid:durableId="737898532">
    <w:abstractNumId w:val="5"/>
  </w:num>
  <w:num w:numId="10" w16cid:durableId="986661931">
    <w:abstractNumId w:val="11"/>
  </w:num>
  <w:num w:numId="11" w16cid:durableId="1088841403">
    <w:abstractNumId w:val="8"/>
  </w:num>
  <w:num w:numId="12" w16cid:durableId="178736668">
    <w:abstractNumId w:val="9"/>
  </w:num>
  <w:num w:numId="13" w16cid:durableId="63337724">
    <w:abstractNumId w:val="7"/>
  </w:num>
  <w:num w:numId="14" w16cid:durableId="15841401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3D1"/>
    <w:rsid w:val="00002E1A"/>
    <w:rsid w:val="00012422"/>
    <w:rsid w:val="00021E72"/>
    <w:rsid w:val="00053A65"/>
    <w:rsid w:val="000A05FE"/>
    <w:rsid w:val="000B60B8"/>
    <w:rsid w:val="000C1320"/>
    <w:rsid w:val="000D7F3A"/>
    <w:rsid w:val="000E6552"/>
    <w:rsid w:val="00106ED7"/>
    <w:rsid w:val="001115C3"/>
    <w:rsid w:val="00116352"/>
    <w:rsid w:val="00132649"/>
    <w:rsid w:val="00151467"/>
    <w:rsid w:val="00155986"/>
    <w:rsid w:val="00167AB7"/>
    <w:rsid w:val="001764B7"/>
    <w:rsid w:val="001A1787"/>
    <w:rsid w:val="001C60D7"/>
    <w:rsid w:val="001E3A83"/>
    <w:rsid w:val="00204536"/>
    <w:rsid w:val="0021057A"/>
    <w:rsid w:val="0021350E"/>
    <w:rsid w:val="00232CF7"/>
    <w:rsid w:val="00233467"/>
    <w:rsid w:val="00252174"/>
    <w:rsid w:val="00271A79"/>
    <w:rsid w:val="002906AB"/>
    <w:rsid w:val="002A284D"/>
    <w:rsid w:val="002B26F5"/>
    <w:rsid w:val="002C75DB"/>
    <w:rsid w:val="00336826"/>
    <w:rsid w:val="003547B5"/>
    <w:rsid w:val="0037209D"/>
    <w:rsid w:val="00380024"/>
    <w:rsid w:val="003817FA"/>
    <w:rsid w:val="00393EA1"/>
    <w:rsid w:val="0039547A"/>
    <w:rsid w:val="003A0E7A"/>
    <w:rsid w:val="003C1B08"/>
    <w:rsid w:val="003C3AE9"/>
    <w:rsid w:val="003C4E5C"/>
    <w:rsid w:val="003F0DBC"/>
    <w:rsid w:val="0043106D"/>
    <w:rsid w:val="00437F81"/>
    <w:rsid w:val="00445B1D"/>
    <w:rsid w:val="004560DB"/>
    <w:rsid w:val="0047746F"/>
    <w:rsid w:val="00491F40"/>
    <w:rsid w:val="004F2B7F"/>
    <w:rsid w:val="004F45B8"/>
    <w:rsid w:val="00522C65"/>
    <w:rsid w:val="005344D1"/>
    <w:rsid w:val="0054327B"/>
    <w:rsid w:val="00561F88"/>
    <w:rsid w:val="00590660"/>
    <w:rsid w:val="00590705"/>
    <w:rsid w:val="005E64A8"/>
    <w:rsid w:val="006056F5"/>
    <w:rsid w:val="00635B1B"/>
    <w:rsid w:val="00640DF6"/>
    <w:rsid w:val="00697DFE"/>
    <w:rsid w:val="006D2D78"/>
    <w:rsid w:val="006D55BF"/>
    <w:rsid w:val="006F221D"/>
    <w:rsid w:val="0070104F"/>
    <w:rsid w:val="00711FD7"/>
    <w:rsid w:val="00725B88"/>
    <w:rsid w:val="00740C72"/>
    <w:rsid w:val="00746AB7"/>
    <w:rsid w:val="0074785A"/>
    <w:rsid w:val="00790833"/>
    <w:rsid w:val="007C5587"/>
    <w:rsid w:val="008142D6"/>
    <w:rsid w:val="00820A88"/>
    <w:rsid w:val="00826CF1"/>
    <w:rsid w:val="0084548A"/>
    <w:rsid w:val="00846A18"/>
    <w:rsid w:val="00871258"/>
    <w:rsid w:val="008E7897"/>
    <w:rsid w:val="009056A1"/>
    <w:rsid w:val="009205EF"/>
    <w:rsid w:val="00926931"/>
    <w:rsid w:val="00936FE8"/>
    <w:rsid w:val="00946278"/>
    <w:rsid w:val="009511A8"/>
    <w:rsid w:val="00951BDB"/>
    <w:rsid w:val="009669B2"/>
    <w:rsid w:val="0099256C"/>
    <w:rsid w:val="009A6BC3"/>
    <w:rsid w:val="009C2231"/>
    <w:rsid w:val="009C5748"/>
    <w:rsid w:val="00A12AD1"/>
    <w:rsid w:val="00A63438"/>
    <w:rsid w:val="00A653D1"/>
    <w:rsid w:val="00A924ED"/>
    <w:rsid w:val="00AA531F"/>
    <w:rsid w:val="00AB1543"/>
    <w:rsid w:val="00AB2E08"/>
    <w:rsid w:val="00AC665C"/>
    <w:rsid w:val="00AD127C"/>
    <w:rsid w:val="00AF5A07"/>
    <w:rsid w:val="00B23893"/>
    <w:rsid w:val="00B8084F"/>
    <w:rsid w:val="00BC53B5"/>
    <w:rsid w:val="00BD23E0"/>
    <w:rsid w:val="00C07D1C"/>
    <w:rsid w:val="00C200E2"/>
    <w:rsid w:val="00C31EB9"/>
    <w:rsid w:val="00C4346B"/>
    <w:rsid w:val="00C82762"/>
    <w:rsid w:val="00C84016"/>
    <w:rsid w:val="00CA4B74"/>
    <w:rsid w:val="00CA6E44"/>
    <w:rsid w:val="00CC707E"/>
    <w:rsid w:val="00CD2AAF"/>
    <w:rsid w:val="00CE71EF"/>
    <w:rsid w:val="00CF16A2"/>
    <w:rsid w:val="00CF5545"/>
    <w:rsid w:val="00D04A53"/>
    <w:rsid w:val="00D4675D"/>
    <w:rsid w:val="00D537BF"/>
    <w:rsid w:val="00D57D55"/>
    <w:rsid w:val="00D605DC"/>
    <w:rsid w:val="00D7737F"/>
    <w:rsid w:val="00DB4DD4"/>
    <w:rsid w:val="00DD4F16"/>
    <w:rsid w:val="00E53DFB"/>
    <w:rsid w:val="00E558CE"/>
    <w:rsid w:val="00E80BB2"/>
    <w:rsid w:val="00EC0807"/>
    <w:rsid w:val="00EC1A67"/>
    <w:rsid w:val="00EC2DE8"/>
    <w:rsid w:val="00EE3026"/>
    <w:rsid w:val="00F00969"/>
    <w:rsid w:val="00F02E84"/>
    <w:rsid w:val="00F120F7"/>
    <w:rsid w:val="00F15A00"/>
    <w:rsid w:val="00F26AEC"/>
    <w:rsid w:val="00F52C1A"/>
    <w:rsid w:val="00F57760"/>
    <w:rsid w:val="00F57D4E"/>
    <w:rsid w:val="00F86B78"/>
    <w:rsid w:val="00FC1FD3"/>
    <w:rsid w:val="00FC3A67"/>
    <w:rsid w:val="00FD0FD2"/>
    <w:rsid w:val="00FF0A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D5A73"/>
  <w15:chartTrackingRefBased/>
  <w15:docId w15:val="{12CAEBD8-0772-4160-BED0-9BBDDA7CD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B88"/>
    <w:pPr>
      <w:jc w:val="both"/>
    </w:pPr>
    <w:rPr>
      <w:rFonts w:ascii="Times New Roman" w:hAnsi="Times New Roman"/>
    </w:rPr>
  </w:style>
  <w:style w:type="paragraph" w:styleId="Heading1">
    <w:name w:val="heading 1"/>
    <w:basedOn w:val="Normal"/>
    <w:next w:val="Normal"/>
    <w:link w:val="Heading1Char"/>
    <w:autoRedefine/>
    <w:uiPriority w:val="9"/>
    <w:qFormat/>
    <w:rsid w:val="00CA4B74"/>
    <w:pPr>
      <w:keepNext/>
      <w:keepLines/>
      <w:spacing w:before="360" w:after="80" w:line="240" w:lineRule="auto"/>
      <w:outlineLvl w:val="0"/>
    </w:pPr>
    <w:rPr>
      <w:rFonts w:eastAsiaTheme="majorEastAsia" w:cstheme="majorBidi"/>
      <w:b/>
      <w:kern w:val="0"/>
      <w:szCs w:val="40"/>
      <w:lang w:val="en-US"/>
      <w14:ligatures w14:val="none"/>
    </w:rPr>
  </w:style>
  <w:style w:type="paragraph" w:styleId="Heading2">
    <w:name w:val="heading 2"/>
    <w:basedOn w:val="Normal"/>
    <w:next w:val="Normal"/>
    <w:link w:val="Heading2Char"/>
    <w:autoRedefine/>
    <w:uiPriority w:val="9"/>
    <w:unhideWhenUsed/>
    <w:qFormat/>
    <w:rsid w:val="00561F88"/>
    <w:pPr>
      <w:keepNext/>
      <w:keepLines/>
      <w:spacing w:before="160" w:after="80" w:line="240" w:lineRule="auto"/>
      <w:outlineLvl w:val="1"/>
    </w:pPr>
    <w:rPr>
      <w:rFonts w:eastAsiaTheme="majorEastAsia" w:cstheme="majorBidi"/>
      <w:b/>
      <w:kern w:val="0"/>
      <w:szCs w:val="32"/>
      <w:lang w:val="en-US"/>
      <w14:ligatures w14:val="none"/>
    </w:rPr>
  </w:style>
  <w:style w:type="paragraph" w:styleId="Heading3">
    <w:name w:val="heading 3"/>
    <w:basedOn w:val="Normal"/>
    <w:next w:val="Normal"/>
    <w:link w:val="Heading3Char"/>
    <w:autoRedefine/>
    <w:uiPriority w:val="9"/>
    <w:unhideWhenUsed/>
    <w:qFormat/>
    <w:rsid w:val="0059066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A653D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653D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653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53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53D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53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B74"/>
    <w:rPr>
      <w:rFonts w:ascii="Times New Roman" w:eastAsiaTheme="majorEastAsia" w:hAnsi="Times New Roman" w:cstheme="majorBidi"/>
      <w:b/>
      <w:kern w:val="0"/>
      <w:szCs w:val="40"/>
      <w:lang w:val="en-US"/>
      <w14:ligatures w14:val="none"/>
    </w:rPr>
  </w:style>
  <w:style w:type="character" w:customStyle="1" w:styleId="Heading2Char">
    <w:name w:val="Heading 2 Char"/>
    <w:basedOn w:val="DefaultParagraphFont"/>
    <w:link w:val="Heading2"/>
    <w:uiPriority w:val="9"/>
    <w:rsid w:val="00561F88"/>
    <w:rPr>
      <w:rFonts w:ascii="Times New Roman" w:eastAsiaTheme="majorEastAsia" w:hAnsi="Times New Roman" w:cstheme="majorBidi"/>
      <w:b/>
      <w:kern w:val="0"/>
      <w:szCs w:val="32"/>
      <w:lang w:val="en-US"/>
      <w14:ligatures w14:val="none"/>
    </w:rPr>
  </w:style>
  <w:style w:type="character" w:customStyle="1" w:styleId="Heading3Char">
    <w:name w:val="Heading 3 Char"/>
    <w:basedOn w:val="DefaultParagraphFont"/>
    <w:link w:val="Heading3"/>
    <w:uiPriority w:val="9"/>
    <w:rsid w:val="00590660"/>
    <w:rPr>
      <w:rFonts w:ascii="Times New Roman" w:eastAsiaTheme="majorEastAsia" w:hAnsi="Times New Roman" w:cstheme="majorBidi"/>
      <w:b/>
      <w:szCs w:val="28"/>
    </w:rPr>
  </w:style>
  <w:style w:type="paragraph" w:styleId="Caption">
    <w:name w:val="caption"/>
    <w:basedOn w:val="Normal"/>
    <w:next w:val="Normal"/>
    <w:autoRedefine/>
    <w:uiPriority w:val="35"/>
    <w:unhideWhenUsed/>
    <w:qFormat/>
    <w:rsid w:val="00C82762"/>
    <w:pPr>
      <w:keepNext/>
    </w:pPr>
    <w:rPr>
      <w:rFonts w:ascii="Arial" w:hAnsi="Arial" w:cs="Arial"/>
      <w:iCs/>
      <w:szCs w:val="18"/>
    </w:rPr>
  </w:style>
  <w:style w:type="paragraph" w:styleId="TOCHeading">
    <w:name w:val="TOC Heading"/>
    <w:basedOn w:val="Heading1"/>
    <w:next w:val="Normal"/>
    <w:autoRedefine/>
    <w:uiPriority w:val="39"/>
    <w:unhideWhenUsed/>
    <w:qFormat/>
    <w:rsid w:val="004F2B7F"/>
    <w:pPr>
      <w:outlineLvl w:val="9"/>
    </w:pPr>
    <w:rPr>
      <w:sz w:val="28"/>
    </w:rPr>
  </w:style>
  <w:style w:type="character" w:customStyle="1" w:styleId="Heading4Char">
    <w:name w:val="Heading 4 Char"/>
    <w:basedOn w:val="DefaultParagraphFont"/>
    <w:link w:val="Heading4"/>
    <w:uiPriority w:val="9"/>
    <w:semiHidden/>
    <w:rsid w:val="00A65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5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5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5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5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53D1"/>
    <w:rPr>
      <w:rFonts w:eastAsiaTheme="majorEastAsia" w:cstheme="majorBidi"/>
      <w:color w:val="272727" w:themeColor="text1" w:themeTint="D8"/>
    </w:rPr>
  </w:style>
  <w:style w:type="paragraph" w:styleId="Title">
    <w:name w:val="Title"/>
    <w:basedOn w:val="Normal"/>
    <w:next w:val="Normal"/>
    <w:link w:val="TitleChar"/>
    <w:uiPriority w:val="10"/>
    <w:qFormat/>
    <w:rsid w:val="00A65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53D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5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53D1"/>
    <w:pPr>
      <w:spacing w:before="160"/>
      <w:jc w:val="center"/>
    </w:pPr>
    <w:rPr>
      <w:i/>
      <w:iCs/>
      <w:color w:val="404040" w:themeColor="text1" w:themeTint="BF"/>
    </w:rPr>
  </w:style>
  <w:style w:type="character" w:customStyle="1" w:styleId="QuoteChar">
    <w:name w:val="Quote Char"/>
    <w:basedOn w:val="DefaultParagraphFont"/>
    <w:link w:val="Quote"/>
    <w:uiPriority w:val="29"/>
    <w:rsid w:val="00A653D1"/>
    <w:rPr>
      <w:rFonts w:ascii="Times New Roman" w:hAnsi="Times New Roman"/>
      <w:i/>
      <w:iCs/>
      <w:color w:val="404040" w:themeColor="text1" w:themeTint="BF"/>
    </w:rPr>
  </w:style>
  <w:style w:type="paragraph" w:styleId="ListParagraph">
    <w:name w:val="List Paragraph"/>
    <w:basedOn w:val="Normal"/>
    <w:uiPriority w:val="34"/>
    <w:qFormat/>
    <w:rsid w:val="00A653D1"/>
    <w:pPr>
      <w:ind w:left="720"/>
      <w:contextualSpacing/>
    </w:pPr>
  </w:style>
  <w:style w:type="character" w:styleId="IntenseEmphasis">
    <w:name w:val="Intense Emphasis"/>
    <w:basedOn w:val="DefaultParagraphFont"/>
    <w:uiPriority w:val="21"/>
    <w:qFormat/>
    <w:rsid w:val="00A653D1"/>
    <w:rPr>
      <w:i/>
      <w:iCs/>
      <w:color w:val="0F4761" w:themeColor="accent1" w:themeShade="BF"/>
    </w:rPr>
  </w:style>
  <w:style w:type="paragraph" w:styleId="IntenseQuote">
    <w:name w:val="Intense Quote"/>
    <w:basedOn w:val="Normal"/>
    <w:next w:val="Normal"/>
    <w:link w:val="IntenseQuoteChar"/>
    <w:uiPriority w:val="30"/>
    <w:qFormat/>
    <w:rsid w:val="00A65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53D1"/>
    <w:rPr>
      <w:rFonts w:ascii="Times New Roman" w:hAnsi="Times New Roman"/>
      <w:i/>
      <w:iCs/>
      <w:color w:val="0F4761" w:themeColor="accent1" w:themeShade="BF"/>
    </w:rPr>
  </w:style>
  <w:style w:type="character" w:styleId="IntenseReference">
    <w:name w:val="Intense Reference"/>
    <w:basedOn w:val="DefaultParagraphFont"/>
    <w:uiPriority w:val="32"/>
    <w:qFormat/>
    <w:rsid w:val="00A653D1"/>
    <w:rPr>
      <w:b/>
      <w:bCs/>
      <w:smallCaps/>
      <w:color w:val="0F4761" w:themeColor="accent1" w:themeShade="BF"/>
      <w:spacing w:val="5"/>
    </w:rPr>
  </w:style>
  <w:style w:type="table" w:styleId="TableGrid">
    <w:name w:val="Table Grid"/>
    <w:basedOn w:val="TableNormal"/>
    <w:uiPriority w:val="39"/>
    <w:rsid w:val="00393E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93EA1"/>
    <w:rPr>
      <w:b/>
      <w:bCs/>
    </w:rPr>
  </w:style>
  <w:style w:type="paragraph" w:styleId="NormalWeb">
    <w:name w:val="Normal (Web)"/>
    <w:basedOn w:val="Normal"/>
    <w:uiPriority w:val="99"/>
    <w:semiHidden/>
    <w:unhideWhenUsed/>
    <w:rsid w:val="00F57D4E"/>
    <w:rPr>
      <w:rFonts w:cs="Times New Roman"/>
    </w:rPr>
  </w:style>
  <w:style w:type="character" w:styleId="Hyperlink">
    <w:name w:val="Hyperlink"/>
    <w:basedOn w:val="DefaultParagraphFont"/>
    <w:uiPriority w:val="99"/>
    <w:unhideWhenUsed/>
    <w:rsid w:val="00B8084F"/>
    <w:rPr>
      <w:color w:val="467886" w:themeColor="hyperlink"/>
      <w:u w:val="single"/>
    </w:rPr>
  </w:style>
  <w:style w:type="character" w:styleId="UnresolvedMention">
    <w:name w:val="Unresolved Mention"/>
    <w:basedOn w:val="DefaultParagraphFont"/>
    <w:uiPriority w:val="99"/>
    <w:semiHidden/>
    <w:unhideWhenUsed/>
    <w:rsid w:val="00B8084F"/>
    <w:rPr>
      <w:color w:val="605E5C"/>
      <w:shd w:val="clear" w:color="auto" w:fill="E1DFDD"/>
    </w:rPr>
  </w:style>
  <w:style w:type="character" w:customStyle="1" w:styleId="citation-12">
    <w:name w:val="citation-12"/>
    <w:basedOn w:val="DefaultParagraphFont"/>
    <w:rsid w:val="008E7897"/>
  </w:style>
  <w:style w:type="character" w:customStyle="1" w:styleId="citation-11">
    <w:name w:val="citation-11"/>
    <w:basedOn w:val="DefaultParagraphFont"/>
    <w:rsid w:val="008E7897"/>
  </w:style>
  <w:style w:type="character" w:customStyle="1" w:styleId="citation-10">
    <w:name w:val="citation-10"/>
    <w:basedOn w:val="DefaultParagraphFont"/>
    <w:rsid w:val="008E7897"/>
  </w:style>
  <w:style w:type="paragraph" w:styleId="TOC1">
    <w:name w:val="toc 1"/>
    <w:basedOn w:val="Normal"/>
    <w:next w:val="Normal"/>
    <w:autoRedefine/>
    <w:uiPriority w:val="39"/>
    <w:unhideWhenUsed/>
    <w:rsid w:val="00D7737F"/>
    <w:pPr>
      <w:spacing w:after="100"/>
    </w:pPr>
  </w:style>
  <w:style w:type="paragraph" w:styleId="TOC2">
    <w:name w:val="toc 2"/>
    <w:basedOn w:val="Normal"/>
    <w:next w:val="Normal"/>
    <w:autoRedefine/>
    <w:uiPriority w:val="39"/>
    <w:unhideWhenUsed/>
    <w:rsid w:val="00D7737F"/>
    <w:pPr>
      <w:spacing w:after="100"/>
      <w:ind w:left="240"/>
    </w:pPr>
  </w:style>
  <w:style w:type="paragraph" w:styleId="TOC3">
    <w:name w:val="toc 3"/>
    <w:basedOn w:val="Normal"/>
    <w:next w:val="Normal"/>
    <w:autoRedefine/>
    <w:uiPriority w:val="39"/>
    <w:unhideWhenUsed/>
    <w:rsid w:val="00D7737F"/>
    <w:pPr>
      <w:spacing w:after="100"/>
      <w:ind w:left="480"/>
    </w:pPr>
  </w:style>
  <w:style w:type="paragraph" w:styleId="Header">
    <w:name w:val="header"/>
    <w:basedOn w:val="Normal"/>
    <w:link w:val="HeaderChar"/>
    <w:uiPriority w:val="99"/>
    <w:unhideWhenUsed/>
    <w:rsid w:val="00D773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37F"/>
    <w:rPr>
      <w:rFonts w:ascii="Times New Roman" w:hAnsi="Times New Roman"/>
    </w:rPr>
  </w:style>
  <w:style w:type="paragraph" w:styleId="Footer">
    <w:name w:val="footer"/>
    <w:basedOn w:val="Normal"/>
    <w:link w:val="FooterChar"/>
    <w:uiPriority w:val="99"/>
    <w:unhideWhenUsed/>
    <w:rsid w:val="00D773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37F"/>
    <w:rPr>
      <w:rFonts w:ascii="Times New Roman" w:hAnsi="Times New Roman"/>
    </w:rPr>
  </w:style>
  <w:style w:type="character" w:styleId="CommentReference">
    <w:name w:val="annotation reference"/>
    <w:basedOn w:val="DefaultParagraphFont"/>
    <w:uiPriority w:val="99"/>
    <w:semiHidden/>
    <w:unhideWhenUsed/>
    <w:rsid w:val="00FC1FD3"/>
    <w:rPr>
      <w:sz w:val="16"/>
      <w:szCs w:val="16"/>
    </w:rPr>
  </w:style>
  <w:style w:type="paragraph" w:styleId="CommentText">
    <w:name w:val="annotation text"/>
    <w:basedOn w:val="Normal"/>
    <w:link w:val="CommentTextChar"/>
    <w:uiPriority w:val="99"/>
    <w:unhideWhenUsed/>
    <w:rsid w:val="00FC1FD3"/>
    <w:pPr>
      <w:spacing w:line="240" w:lineRule="auto"/>
    </w:pPr>
    <w:rPr>
      <w:sz w:val="20"/>
      <w:szCs w:val="20"/>
    </w:rPr>
  </w:style>
  <w:style w:type="character" w:customStyle="1" w:styleId="CommentTextChar">
    <w:name w:val="Comment Text Char"/>
    <w:basedOn w:val="DefaultParagraphFont"/>
    <w:link w:val="CommentText"/>
    <w:uiPriority w:val="99"/>
    <w:rsid w:val="00FC1FD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C1FD3"/>
    <w:rPr>
      <w:b/>
      <w:bCs/>
    </w:rPr>
  </w:style>
  <w:style w:type="character" w:customStyle="1" w:styleId="CommentSubjectChar">
    <w:name w:val="Comment Subject Char"/>
    <w:basedOn w:val="CommentTextChar"/>
    <w:link w:val="CommentSubject"/>
    <w:uiPriority w:val="99"/>
    <w:semiHidden/>
    <w:rsid w:val="00FC1FD3"/>
    <w:rPr>
      <w:rFonts w:ascii="Times New Roman" w:hAnsi="Times New Roman"/>
      <w:b/>
      <w:bCs/>
      <w:sz w:val="20"/>
      <w:szCs w:val="20"/>
    </w:rPr>
  </w:style>
  <w:style w:type="paragraph" w:styleId="Revision">
    <w:name w:val="Revision"/>
    <w:hidden/>
    <w:uiPriority w:val="99"/>
    <w:semiHidden/>
    <w:rsid w:val="00021E72"/>
    <w:pPr>
      <w:spacing w:after="0" w:line="240" w:lineRule="auto"/>
    </w:pPr>
    <w:rPr>
      <w:rFonts w:ascii="Times New Roman" w:hAnsi="Times New Roman"/>
    </w:rPr>
  </w:style>
  <w:style w:type="paragraph" w:styleId="NoSpacing">
    <w:name w:val="No Spacing"/>
    <w:uiPriority w:val="1"/>
    <w:qFormat/>
    <w:rsid w:val="00936FE8"/>
    <w:pPr>
      <w:spacing w:after="0" w:line="240" w:lineRule="auto"/>
      <w:jc w:val="both"/>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hyperlink" Target="https://www.google.com/search?q=https://www.frc.org.uk/library/standards-codes-policy/corporate-reporting/" TargetMode="External"/><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hyperlink" Target="https://www.google.com/search?q=https://www.travelodge.co.uk/investors/" TargetMode="External"/><Relationship Id="rId47" Type="http://schemas.openxmlformats.org/officeDocument/2006/relationships/hyperlink" Target="https://www.travelodge.co.uk/nw/sites/default/files/Thame_and_London_Quarterly_Report_to_Note_Holders_2023_Q4_FINAL.pdf" TargetMode="External"/><Relationship Id="rId50" Type="http://schemas.openxmlformats.org/officeDocument/2006/relationships/chart" Target="charts/chart3.xm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diagramData" Target="diagrams/data5.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hyperlink" Target="https://www.google.com/search?q=https://www.icaew.com/technical/technology/artificial-intelligence/" TargetMode="External"/><Relationship Id="rId45" Type="http://schemas.openxmlformats.org/officeDocument/2006/relationships/hyperlink" Target="https://www.travelodge.co.uk/our-business/media/press-release/travelodge-group-solid-overall-financial-performance-with-strong-h2-recovery-continued-strategic-progress-and-expansion/"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openxmlformats.org/officeDocument/2006/relationships/hyperlink" Target="https://www.travelodge.co.uk/our-business/media/press-release/travelodge-group-good-q4-performance-revenue-growth-and-solid-liquidity-2026-cost-guidance-reflects-inflationary-pressures-and-political-environment/" TargetMode="External"/><Relationship Id="rId52" Type="http://schemas.openxmlformats.org/officeDocument/2006/relationships/package" Target="embeddings/Microsoft_Excel_Worksheet3.xlsx"/><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openxmlformats.org/officeDocument/2006/relationships/hyperlink" Target="https://www.google.com/search?q=https://www.travelodge.co.uk/investors/" TargetMode="External"/><Relationship Id="rId48" Type="http://schemas.openxmlformats.org/officeDocument/2006/relationships/chart" Target="charts/chart1.xml"/><Relationship Id="rId8" Type="http://schemas.openxmlformats.org/officeDocument/2006/relationships/image" Target="media/image1.jpeg"/><Relationship Id="rId51" Type="http://schemas.openxmlformats.org/officeDocument/2006/relationships/image" Target="media/image2.emf"/><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hyperlink" Target="https://www.travelodge.co.uk/investors/home" TargetMode="External"/><Relationship Id="rId20" Type="http://schemas.openxmlformats.org/officeDocument/2006/relationships/diagramLayout" Target="diagrams/layout3.xml"/><Relationship Id="rId41" Type="http://schemas.openxmlformats.org/officeDocument/2006/relationships/hyperlink" Target="https://www.spglobal.com/ratings/en/regulatory/article/-/view/sourceId/101610099"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4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Operating Profit Margin (%)</c:v>
                </c:pt>
              </c:strCache>
            </c:strRef>
          </c:tx>
          <c:spPr>
            <a:ln w="28575" cap="rnd">
              <a:solidFill>
                <a:schemeClr val="accent1"/>
              </a:solidFill>
              <a:round/>
            </a:ln>
            <a:effectLst/>
          </c:spPr>
          <c:marker>
            <c:symbol val="none"/>
          </c:marker>
          <c:cat>
            <c:strRef>
              <c:f>Sheet1!$A$2:$A$7</c:f>
              <c:strCache>
                <c:ptCount val="5"/>
                <c:pt idx="0">
                  <c:v>FY21/22</c:v>
                </c:pt>
                <c:pt idx="1">
                  <c:v>FY22/23</c:v>
                </c:pt>
                <c:pt idx="2">
                  <c:v>FY23/24</c:v>
                </c:pt>
                <c:pt idx="3">
                  <c:v>FY24/25</c:v>
                </c:pt>
                <c:pt idx="4">
                  <c:v>FY25/26</c:v>
                </c:pt>
              </c:strCache>
            </c:strRef>
          </c:cat>
          <c:val>
            <c:numRef>
              <c:f>Sheet1!$B$2:$B$7</c:f>
              <c:numCache>
                <c:formatCode>0.00%</c:formatCode>
                <c:ptCount val="6"/>
                <c:pt idx="0">
                  <c:v>9.5000000000000001E-2</c:v>
                </c:pt>
                <c:pt idx="1">
                  <c:v>0.155</c:v>
                </c:pt>
                <c:pt idx="2">
                  <c:v>0.246</c:v>
                </c:pt>
                <c:pt idx="3">
                  <c:v>0.25900000000000001</c:v>
                </c:pt>
                <c:pt idx="4">
                  <c:v>0.219</c:v>
                </c:pt>
              </c:numCache>
            </c:numRef>
          </c:val>
          <c:smooth val="0"/>
          <c:extLst>
            <c:ext xmlns:c16="http://schemas.microsoft.com/office/drawing/2014/chart" uri="{C3380CC4-5D6E-409C-BE32-E72D297353CC}">
              <c16:uniqueId val="{00000000-9643-4908-8BA1-40008EA51DCE}"/>
            </c:ext>
          </c:extLst>
        </c:ser>
        <c:ser>
          <c:idx val="1"/>
          <c:order val="1"/>
          <c:tx>
            <c:strRef>
              <c:f>Sheet1!$C$1</c:f>
              <c:strCache>
                <c:ptCount val="1"/>
                <c:pt idx="0">
                  <c:v>Net Profit Margin (%)</c:v>
                </c:pt>
              </c:strCache>
            </c:strRef>
          </c:tx>
          <c:spPr>
            <a:ln w="28575" cap="rnd">
              <a:solidFill>
                <a:schemeClr val="accent2"/>
              </a:solidFill>
              <a:round/>
            </a:ln>
            <a:effectLst/>
          </c:spPr>
          <c:marker>
            <c:symbol val="none"/>
          </c:marker>
          <c:cat>
            <c:strRef>
              <c:f>Sheet1!$A$2:$A$7</c:f>
              <c:strCache>
                <c:ptCount val="5"/>
                <c:pt idx="0">
                  <c:v>FY21/22</c:v>
                </c:pt>
                <c:pt idx="1">
                  <c:v>FY22/23</c:v>
                </c:pt>
                <c:pt idx="2">
                  <c:v>FY23/24</c:v>
                </c:pt>
                <c:pt idx="3">
                  <c:v>FY24/25</c:v>
                </c:pt>
                <c:pt idx="4">
                  <c:v>FY25/26</c:v>
                </c:pt>
              </c:strCache>
            </c:strRef>
          </c:cat>
          <c:val>
            <c:numRef>
              <c:f>Sheet1!$C$2:$C$7</c:f>
              <c:numCache>
                <c:formatCode>0.00%</c:formatCode>
                <c:ptCount val="6"/>
                <c:pt idx="0">
                  <c:v>-2.1999999999999999E-2</c:v>
                </c:pt>
                <c:pt idx="1">
                  <c:v>3.1E-2</c:v>
                </c:pt>
                <c:pt idx="2">
                  <c:v>0.05</c:v>
                </c:pt>
                <c:pt idx="3">
                  <c:v>-6.0000000000000001E-3</c:v>
                </c:pt>
                <c:pt idx="4">
                  <c:v>-6.7000000000000004E-2</c:v>
                </c:pt>
              </c:numCache>
            </c:numRef>
          </c:val>
          <c:smooth val="0"/>
          <c:extLst>
            <c:ext xmlns:c16="http://schemas.microsoft.com/office/drawing/2014/chart" uri="{C3380CC4-5D6E-409C-BE32-E72D297353CC}">
              <c16:uniqueId val="{00000001-9643-4908-8BA1-40008EA51DCE}"/>
            </c:ext>
          </c:extLst>
        </c:ser>
        <c:dLbls>
          <c:showLegendKey val="0"/>
          <c:showVal val="0"/>
          <c:showCatName val="0"/>
          <c:showSerName val="0"/>
          <c:showPercent val="0"/>
          <c:showBubbleSize val="0"/>
        </c:dLbls>
        <c:smooth val="0"/>
        <c:axId val="2029211839"/>
        <c:axId val="2025245679"/>
      </c:lineChart>
      <c:catAx>
        <c:axId val="20292118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5245679"/>
        <c:crosses val="autoZero"/>
        <c:auto val="1"/>
        <c:lblAlgn val="ctr"/>
        <c:lblOffset val="100"/>
        <c:noMultiLvlLbl val="0"/>
      </c:catAx>
      <c:valAx>
        <c:axId val="202524567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92118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Current Ratio (x)</c:v>
                </c:pt>
              </c:strCache>
            </c:strRef>
          </c:tx>
          <c:spPr>
            <a:solidFill>
              <a:schemeClr val="accent1"/>
            </a:solidFill>
            <a:ln>
              <a:noFill/>
            </a:ln>
            <a:effectLst/>
          </c:spPr>
          <c:invertIfNegative val="0"/>
          <c:cat>
            <c:strRef>
              <c:f>Sheet1!$A$2:$A$6</c:f>
              <c:strCache>
                <c:ptCount val="5"/>
                <c:pt idx="0">
                  <c:v>FY21/22</c:v>
                </c:pt>
                <c:pt idx="1">
                  <c:v>FY22/23</c:v>
                </c:pt>
                <c:pt idx="2">
                  <c:v>FY23/24</c:v>
                </c:pt>
                <c:pt idx="3">
                  <c:v>FY24/25</c:v>
                </c:pt>
                <c:pt idx="4">
                  <c:v>FY25/26</c:v>
                </c:pt>
              </c:strCache>
            </c:strRef>
          </c:cat>
          <c:val>
            <c:numRef>
              <c:f>Sheet1!$B$2:$B$6</c:f>
              <c:numCache>
                <c:formatCode>General</c:formatCode>
                <c:ptCount val="5"/>
                <c:pt idx="0">
                  <c:v>0.65</c:v>
                </c:pt>
                <c:pt idx="1">
                  <c:v>0.57999999999999996</c:v>
                </c:pt>
                <c:pt idx="2">
                  <c:v>0.72</c:v>
                </c:pt>
                <c:pt idx="3">
                  <c:v>0.62</c:v>
                </c:pt>
                <c:pt idx="4">
                  <c:v>0.45</c:v>
                </c:pt>
              </c:numCache>
            </c:numRef>
          </c:val>
          <c:extLst>
            <c:ext xmlns:c16="http://schemas.microsoft.com/office/drawing/2014/chart" uri="{C3380CC4-5D6E-409C-BE32-E72D297353CC}">
              <c16:uniqueId val="{00000000-B769-49F7-97ED-C94EB2B59561}"/>
            </c:ext>
          </c:extLst>
        </c:ser>
        <c:ser>
          <c:idx val="1"/>
          <c:order val="1"/>
          <c:tx>
            <c:strRef>
              <c:f>Sheet1!$C$1</c:f>
              <c:strCache>
                <c:ptCount val="1"/>
                <c:pt idx="0">
                  <c:v>Operating Cash Flow Ratio (x)</c:v>
                </c:pt>
              </c:strCache>
            </c:strRef>
          </c:tx>
          <c:spPr>
            <a:solidFill>
              <a:schemeClr val="accent2"/>
            </a:solidFill>
            <a:ln>
              <a:noFill/>
            </a:ln>
            <a:effectLst/>
          </c:spPr>
          <c:invertIfNegative val="0"/>
          <c:cat>
            <c:strRef>
              <c:f>Sheet1!$A$2:$A$6</c:f>
              <c:strCache>
                <c:ptCount val="5"/>
                <c:pt idx="0">
                  <c:v>FY21/22</c:v>
                </c:pt>
                <c:pt idx="1">
                  <c:v>FY22/23</c:v>
                </c:pt>
                <c:pt idx="2">
                  <c:v>FY23/24</c:v>
                </c:pt>
                <c:pt idx="3">
                  <c:v>FY24/25</c:v>
                </c:pt>
                <c:pt idx="4">
                  <c:v>FY25/26</c:v>
                </c:pt>
              </c:strCache>
            </c:strRef>
          </c:cat>
          <c:val>
            <c:numRef>
              <c:f>Sheet1!$C$2:$C$6</c:f>
              <c:numCache>
                <c:formatCode>General</c:formatCode>
                <c:ptCount val="5"/>
                <c:pt idx="0">
                  <c:v>0.48</c:v>
                </c:pt>
                <c:pt idx="1">
                  <c:v>0.52</c:v>
                </c:pt>
                <c:pt idx="2">
                  <c:v>0.61</c:v>
                </c:pt>
                <c:pt idx="3">
                  <c:v>0.55000000000000004</c:v>
                </c:pt>
                <c:pt idx="4">
                  <c:v>0.4</c:v>
                </c:pt>
              </c:numCache>
            </c:numRef>
          </c:val>
          <c:extLst>
            <c:ext xmlns:c16="http://schemas.microsoft.com/office/drawing/2014/chart" uri="{C3380CC4-5D6E-409C-BE32-E72D297353CC}">
              <c16:uniqueId val="{00000001-B769-49F7-97ED-C94EB2B59561}"/>
            </c:ext>
          </c:extLst>
        </c:ser>
        <c:dLbls>
          <c:showLegendKey val="0"/>
          <c:showVal val="0"/>
          <c:showCatName val="0"/>
          <c:showSerName val="0"/>
          <c:showPercent val="0"/>
          <c:showBubbleSize val="0"/>
        </c:dLbls>
        <c:gapWidth val="150"/>
        <c:axId val="1860562608"/>
        <c:axId val="28023824"/>
      </c:barChart>
      <c:catAx>
        <c:axId val="18605626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23824"/>
        <c:crosses val="autoZero"/>
        <c:auto val="1"/>
        <c:lblAlgn val="ctr"/>
        <c:lblOffset val="100"/>
        <c:noMultiLvlLbl val="0"/>
      </c:catAx>
      <c:valAx>
        <c:axId val="280238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562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Sheet1!$B$1</c:f>
              <c:strCache>
                <c:ptCount val="1"/>
                <c:pt idx="0">
                  <c:v>Asset Turnover Ratio (x)</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xVal>
            <c:strRef>
              <c:f>Sheet1!$A$2:$A$6</c:f>
              <c:strCache>
                <c:ptCount val="5"/>
                <c:pt idx="0">
                  <c:v>FY21/22</c:v>
                </c:pt>
                <c:pt idx="1">
                  <c:v>FY22/23</c:v>
                </c:pt>
                <c:pt idx="2">
                  <c:v>FY23/24</c:v>
                </c:pt>
                <c:pt idx="3">
                  <c:v>FY24/25</c:v>
                </c:pt>
                <c:pt idx="4">
                  <c:v>FY25/26</c:v>
                </c:pt>
              </c:strCache>
            </c:strRef>
          </c:xVal>
          <c:yVal>
            <c:numRef>
              <c:f>Sheet1!$B$2:$B$6</c:f>
              <c:numCache>
                <c:formatCode>General</c:formatCode>
                <c:ptCount val="5"/>
                <c:pt idx="0">
                  <c:v>0.22</c:v>
                </c:pt>
                <c:pt idx="1">
                  <c:v>0.35</c:v>
                </c:pt>
                <c:pt idx="2">
                  <c:v>0.4</c:v>
                </c:pt>
                <c:pt idx="3">
                  <c:v>0.38</c:v>
                </c:pt>
                <c:pt idx="4">
                  <c:v>0.35</c:v>
                </c:pt>
              </c:numCache>
            </c:numRef>
          </c:yVal>
          <c:smooth val="0"/>
          <c:extLst>
            <c:ext xmlns:c16="http://schemas.microsoft.com/office/drawing/2014/chart" uri="{C3380CC4-5D6E-409C-BE32-E72D297353CC}">
              <c16:uniqueId val="{00000000-0727-4ED8-ACAC-947736C6D06E}"/>
            </c:ext>
          </c:extLst>
        </c:ser>
        <c:ser>
          <c:idx val="1"/>
          <c:order val="1"/>
          <c:tx>
            <c:strRef>
              <c:f>Sheet1!$C$1</c:f>
              <c:strCache>
                <c:ptCount val="1"/>
                <c:pt idx="0">
                  <c:v>Cash Operating Cycle (Days)</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xVal>
            <c:strRef>
              <c:f>Sheet1!$A$2:$A$6</c:f>
              <c:strCache>
                <c:ptCount val="5"/>
                <c:pt idx="0">
                  <c:v>FY21/22</c:v>
                </c:pt>
                <c:pt idx="1">
                  <c:v>FY22/23</c:v>
                </c:pt>
                <c:pt idx="2">
                  <c:v>FY23/24</c:v>
                </c:pt>
                <c:pt idx="3">
                  <c:v>FY24/25</c:v>
                </c:pt>
                <c:pt idx="4">
                  <c:v>FY25/26</c:v>
                </c:pt>
              </c:strCache>
            </c:strRef>
          </c:xVal>
          <c:yVal>
            <c:numRef>
              <c:f>Sheet1!$C$2:$C$6</c:f>
              <c:numCache>
                <c:formatCode>General</c:formatCode>
                <c:ptCount val="5"/>
                <c:pt idx="0">
                  <c:v>-46.5</c:v>
                </c:pt>
                <c:pt idx="1">
                  <c:v>-43.1</c:v>
                </c:pt>
                <c:pt idx="2">
                  <c:v>-40.1</c:v>
                </c:pt>
                <c:pt idx="3">
                  <c:v>-37.9</c:v>
                </c:pt>
                <c:pt idx="4">
                  <c:v>-37.4</c:v>
                </c:pt>
              </c:numCache>
            </c:numRef>
          </c:yVal>
          <c:smooth val="0"/>
          <c:extLst>
            <c:ext xmlns:c16="http://schemas.microsoft.com/office/drawing/2014/chart" uri="{C3380CC4-5D6E-409C-BE32-E72D297353CC}">
              <c16:uniqueId val="{00000001-0727-4ED8-ACAC-947736C6D06E}"/>
            </c:ext>
          </c:extLst>
        </c:ser>
        <c:dLbls>
          <c:showLegendKey val="0"/>
          <c:showVal val="0"/>
          <c:showCatName val="0"/>
          <c:showSerName val="0"/>
          <c:showPercent val="0"/>
          <c:showBubbleSize val="0"/>
        </c:dLbls>
        <c:axId val="1860525952"/>
        <c:axId val="28061744"/>
      </c:scatterChart>
      <c:valAx>
        <c:axId val="1860525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61744"/>
        <c:crosses val="autoZero"/>
        <c:crossBetween val="midCat"/>
      </c:valAx>
      <c:valAx>
        <c:axId val="28061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052595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C30D2B-9F0C-4167-B79E-A6B912579BF3}" type="doc">
      <dgm:prSet loTypeId="urn:microsoft.com/office/officeart/2005/8/layout/vList2" loCatId="list" qsTypeId="urn:microsoft.com/office/officeart/2005/8/quickstyle/3d1" qsCatId="3D" csTypeId="urn:microsoft.com/office/officeart/2005/8/colors/accent1_2" csCatId="accent1" phldr="1"/>
      <dgm:spPr/>
      <dgm:t>
        <a:bodyPr/>
        <a:lstStyle/>
        <a:p>
          <a:endParaRPr lang="en-IN"/>
        </a:p>
      </dgm:t>
    </dgm:pt>
    <dgm:pt modelId="{1286DA0B-33BB-41B0-9594-1B6B3CC02139}">
      <dgm:prSet/>
      <dgm:spPr/>
      <dgm:t>
        <a:bodyPr/>
        <a:lstStyle/>
        <a:p>
          <a:pPr algn="just">
            <a:buFont typeface="Symbol" panose="05050102010706020507" pitchFamily="18" charset="2"/>
            <a:buChar char=""/>
          </a:pPr>
          <a:r>
            <a:rPr lang="en-IN"/>
            <a:t>FY21/22- FY23/24 (Increase: +7.1%): Post-pandemic recovery triggered the surge in the pent-up travel demand. Travelodge obtained vital pricing power, increasing average daily rates and revenue per available room. Direct online bookings reduced third-party agent commissions, which allowed the revenue growth (+84.9%) to outpace direct cost increases.  </a:t>
          </a:r>
        </a:p>
      </dgm:t>
    </dgm:pt>
    <dgm:pt modelId="{6457982C-301E-4103-8F3C-2824734AD922}" type="parTrans" cxnId="{C727F05A-DDB5-4E48-8A2E-E0C6EAA7C8C3}">
      <dgm:prSet/>
      <dgm:spPr/>
      <dgm:t>
        <a:bodyPr/>
        <a:lstStyle/>
        <a:p>
          <a:endParaRPr lang="en-IN"/>
        </a:p>
      </dgm:t>
    </dgm:pt>
    <dgm:pt modelId="{F8685826-8B51-4B54-999B-0A76D865B624}" type="sibTrans" cxnId="{C727F05A-DDB5-4E48-8A2E-E0C6EAA7C8C3}">
      <dgm:prSet/>
      <dgm:spPr/>
      <dgm:t>
        <a:bodyPr/>
        <a:lstStyle/>
        <a:p>
          <a:endParaRPr lang="en-IN"/>
        </a:p>
      </dgm:t>
    </dgm:pt>
    <dgm:pt modelId="{1F9C5CE3-EC0D-4AE0-877A-791A3802CDF7}">
      <dgm:prSet/>
      <dgm:spPr/>
      <dgm:t>
        <a:bodyPr/>
        <a:lstStyle/>
        <a:p>
          <a:pPr algn="just">
            <a:buFont typeface="Symbol" panose="05050102010706020507" pitchFamily="18" charset="2"/>
            <a:buChar char=""/>
          </a:pPr>
          <a:r>
            <a:rPr lang="en-IN"/>
            <a:t>FY23/24- FY24/25 (slight decrease: -0.5%): Revenue growth flattened (+0.14%) as the demand normalised. Meanwhile, direct cost inflation (particularly initial rises in the UK National Living Wage (NLW) for housekeeping staff and higher energy procurement costs) started compressing direct gross margins. </a:t>
          </a:r>
        </a:p>
      </dgm:t>
    </dgm:pt>
    <dgm:pt modelId="{6DEDD847-EC5C-4CE5-BF29-2989CFE1AD82}" type="parTrans" cxnId="{6E3AA4FB-45BB-4C28-94D8-2284FAC8070B}">
      <dgm:prSet/>
      <dgm:spPr/>
      <dgm:t>
        <a:bodyPr/>
        <a:lstStyle/>
        <a:p>
          <a:endParaRPr lang="en-IN"/>
        </a:p>
      </dgm:t>
    </dgm:pt>
    <dgm:pt modelId="{0C7CE041-9146-4610-BAF9-29E167C8C800}" type="sibTrans" cxnId="{6E3AA4FB-45BB-4C28-94D8-2284FAC8070B}">
      <dgm:prSet/>
      <dgm:spPr/>
      <dgm:t>
        <a:bodyPr/>
        <a:lstStyle/>
        <a:p>
          <a:endParaRPr lang="en-IN"/>
        </a:p>
      </dgm:t>
    </dgm:pt>
    <dgm:pt modelId="{3FF42DD0-E37F-45A0-B62B-D9CA53897A9C}">
      <dgm:prSet/>
      <dgm:spPr/>
      <dgm:t>
        <a:bodyPr/>
        <a:lstStyle/>
        <a:p>
          <a:pPr algn="just">
            <a:buFont typeface="Symbol" panose="05050102010706020507" pitchFamily="18" charset="2"/>
            <a:buChar char=""/>
          </a:pPr>
          <a:r>
            <a:rPr lang="en-IN"/>
            <a:t>FY24/25- FY25/26 (steep decrease: -3.3%): Compounding direct cost pressures hit the major operations. Sequential NLW increases (+6.7%) alongside persistent food and beverage supply-chain inflation directly decreased gross profitability, dropping margins down to 36.4%. </a:t>
          </a:r>
        </a:p>
      </dgm:t>
    </dgm:pt>
    <dgm:pt modelId="{07EF3AEE-797D-4D33-A4BB-6280FEFD35AC}" type="parTrans" cxnId="{47D89712-32F8-49CF-81A2-1C6BF5B0F93B}">
      <dgm:prSet/>
      <dgm:spPr/>
      <dgm:t>
        <a:bodyPr/>
        <a:lstStyle/>
        <a:p>
          <a:endParaRPr lang="en-IN"/>
        </a:p>
      </dgm:t>
    </dgm:pt>
    <dgm:pt modelId="{360FFFF1-6B1A-46CA-9411-DFAE00E3533A}" type="sibTrans" cxnId="{47D89712-32F8-49CF-81A2-1C6BF5B0F93B}">
      <dgm:prSet/>
      <dgm:spPr/>
      <dgm:t>
        <a:bodyPr/>
        <a:lstStyle/>
        <a:p>
          <a:endParaRPr lang="en-IN"/>
        </a:p>
      </dgm:t>
    </dgm:pt>
    <dgm:pt modelId="{6B4C1AD5-A02F-4405-8FE1-CF94BBD76716}" type="pres">
      <dgm:prSet presAssocID="{98C30D2B-9F0C-4167-B79E-A6B912579BF3}" presName="linear" presStyleCnt="0">
        <dgm:presLayoutVars>
          <dgm:animLvl val="lvl"/>
          <dgm:resizeHandles val="exact"/>
        </dgm:presLayoutVars>
      </dgm:prSet>
      <dgm:spPr/>
    </dgm:pt>
    <dgm:pt modelId="{658AC410-DB63-45F3-9800-9FB64785B0CF}" type="pres">
      <dgm:prSet presAssocID="{1286DA0B-33BB-41B0-9594-1B6B3CC02139}" presName="parentText" presStyleLbl="node1" presStyleIdx="0" presStyleCnt="3">
        <dgm:presLayoutVars>
          <dgm:chMax val="0"/>
          <dgm:bulletEnabled val="1"/>
        </dgm:presLayoutVars>
      </dgm:prSet>
      <dgm:spPr/>
    </dgm:pt>
    <dgm:pt modelId="{F10ED6F9-369F-4247-A03F-70C1FC9CC682}" type="pres">
      <dgm:prSet presAssocID="{F8685826-8B51-4B54-999B-0A76D865B624}" presName="spacer" presStyleCnt="0"/>
      <dgm:spPr/>
    </dgm:pt>
    <dgm:pt modelId="{E621AF23-B952-4D5A-BA32-405A19BC1C7E}" type="pres">
      <dgm:prSet presAssocID="{1F9C5CE3-EC0D-4AE0-877A-791A3802CDF7}" presName="parentText" presStyleLbl="node1" presStyleIdx="1" presStyleCnt="3">
        <dgm:presLayoutVars>
          <dgm:chMax val="0"/>
          <dgm:bulletEnabled val="1"/>
        </dgm:presLayoutVars>
      </dgm:prSet>
      <dgm:spPr/>
    </dgm:pt>
    <dgm:pt modelId="{896BF6AB-86A7-4FDC-AB56-B8702AFA9032}" type="pres">
      <dgm:prSet presAssocID="{0C7CE041-9146-4610-BAF9-29E167C8C800}" presName="spacer" presStyleCnt="0"/>
      <dgm:spPr/>
    </dgm:pt>
    <dgm:pt modelId="{34BC9388-9CB8-4920-B9A4-67010192F1A2}" type="pres">
      <dgm:prSet presAssocID="{3FF42DD0-E37F-45A0-B62B-D9CA53897A9C}" presName="parentText" presStyleLbl="node1" presStyleIdx="2" presStyleCnt="3">
        <dgm:presLayoutVars>
          <dgm:chMax val="0"/>
          <dgm:bulletEnabled val="1"/>
        </dgm:presLayoutVars>
      </dgm:prSet>
      <dgm:spPr/>
    </dgm:pt>
  </dgm:ptLst>
  <dgm:cxnLst>
    <dgm:cxn modelId="{47D89712-32F8-49CF-81A2-1C6BF5B0F93B}" srcId="{98C30D2B-9F0C-4167-B79E-A6B912579BF3}" destId="{3FF42DD0-E37F-45A0-B62B-D9CA53897A9C}" srcOrd="2" destOrd="0" parTransId="{07EF3AEE-797D-4D33-A4BB-6280FEFD35AC}" sibTransId="{360FFFF1-6B1A-46CA-9411-DFAE00E3533A}"/>
    <dgm:cxn modelId="{2B6E234E-9D71-4A0C-99A7-28F647EB96F7}" type="presOf" srcId="{98C30D2B-9F0C-4167-B79E-A6B912579BF3}" destId="{6B4C1AD5-A02F-4405-8FE1-CF94BBD76716}" srcOrd="0" destOrd="0" presId="urn:microsoft.com/office/officeart/2005/8/layout/vList2"/>
    <dgm:cxn modelId="{C727F05A-DDB5-4E48-8A2E-E0C6EAA7C8C3}" srcId="{98C30D2B-9F0C-4167-B79E-A6B912579BF3}" destId="{1286DA0B-33BB-41B0-9594-1B6B3CC02139}" srcOrd="0" destOrd="0" parTransId="{6457982C-301E-4103-8F3C-2824734AD922}" sibTransId="{F8685826-8B51-4B54-999B-0A76D865B624}"/>
    <dgm:cxn modelId="{4604CAA4-5EFD-448D-9845-2C90AF054870}" type="presOf" srcId="{1F9C5CE3-EC0D-4AE0-877A-791A3802CDF7}" destId="{E621AF23-B952-4D5A-BA32-405A19BC1C7E}" srcOrd="0" destOrd="0" presId="urn:microsoft.com/office/officeart/2005/8/layout/vList2"/>
    <dgm:cxn modelId="{EB8E59C6-01AB-4436-8497-4BB15910030F}" type="presOf" srcId="{3FF42DD0-E37F-45A0-B62B-D9CA53897A9C}" destId="{34BC9388-9CB8-4920-B9A4-67010192F1A2}" srcOrd="0" destOrd="0" presId="urn:microsoft.com/office/officeart/2005/8/layout/vList2"/>
    <dgm:cxn modelId="{235CDFD8-9DBE-4A17-82C2-D308CB0BDD5A}" type="presOf" srcId="{1286DA0B-33BB-41B0-9594-1B6B3CC02139}" destId="{658AC410-DB63-45F3-9800-9FB64785B0CF}" srcOrd="0" destOrd="0" presId="urn:microsoft.com/office/officeart/2005/8/layout/vList2"/>
    <dgm:cxn modelId="{6E3AA4FB-45BB-4C28-94D8-2284FAC8070B}" srcId="{98C30D2B-9F0C-4167-B79E-A6B912579BF3}" destId="{1F9C5CE3-EC0D-4AE0-877A-791A3802CDF7}" srcOrd="1" destOrd="0" parTransId="{6DEDD847-EC5C-4CE5-BF29-2989CFE1AD82}" sibTransId="{0C7CE041-9146-4610-BAF9-29E167C8C800}"/>
    <dgm:cxn modelId="{8421FF5D-0473-4F92-9566-852F5A0628E7}" type="presParOf" srcId="{6B4C1AD5-A02F-4405-8FE1-CF94BBD76716}" destId="{658AC410-DB63-45F3-9800-9FB64785B0CF}" srcOrd="0" destOrd="0" presId="urn:microsoft.com/office/officeart/2005/8/layout/vList2"/>
    <dgm:cxn modelId="{B81D5B57-1D8D-463E-8C1F-1D2C60237FF8}" type="presParOf" srcId="{6B4C1AD5-A02F-4405-8FE1-CF94BBD76716}" destId="{F10ED6F9-369F-4247-A03F-70C1FC9CC682}" srcOrd="1" destOrd="0" presId="urn:microsoft.com/office/officeart/2005/8/layout/vList2"/>
    <dgm:cxn modelId="{DE7FA623-E3F5-4A92-8468-6FB963EA5000}" type="presParOf" srcId="{6B4C1AD5-A02F-4405-8FE1-CF94BBD76716}" destId="{E621AF23-B952-4D5A-BA32-405A19BC1C7E}" srcOrd="2" destOrd="0" presId="urn:microsoft.com/office/officeart/2005/8/layout/vList2"/>
    <dgm:cxn modelId="{FFED4276-A560-4337-990B-FF9BCD20FBB1}" type="presParOf" srcId="{6B4C1AD5-A02F-4405-8FE1-CF94BBD76716}" destId="{896BF6AB-86A7-4FDC-AB56-B8702AFA9032}" srcOrd="3" destOrd="0" presId="urn:microsoft.com/office/officeart/2005/8/layout/vList2"/>
    <dgm:cxn modelId="{886856C2-2ABD-4BA4-B61B-B8FE26EC4865}" type="presParOf" srcId="{6B4C1AD5-A02F-4405-8FE1-CF94BBD76716}" destId="{34BC9388-9CB8-4920-B9A4-67010192F1A2}" srcOrd="4" destOrd="0" presId="urn:microsoft.com/office/officeart/2005/8/layout/vList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2483E6E-03E4-4DEE-BACA-E1DB4027768E}" type="doc">
      <dgm:prSet loTypeId="urn:microsoft.com/office/officeart/2005/8/layout/vList2" loCatId="list" qsTypeId="urn:microsoft.com/office/officeart/2005/8/quickstyle/3d1" qsCatId="3D" csTypeId="urn:microsoft.com/office/officeart/2005/8/colors/accent1_2" csCatId="accent1" phldr="1"/>
      <dgm:spPr/>
      <dgm:t>
        <a:bodyPr/>
        <a:lstStyle/>
        <a:p>
          <a:endParaRPr lang="en-IN"/>
        </a:p>
      </dgm:t>
    </dgm:pt>
    <dgm:pt modelId="{7B84D8F1-618C-4B70-B85F-13E972F3DCD4}">
      <dgm:prSet phldrT="[Text]"/>
      <dgm:spPr/>
      <dgm:t>
        <a:bodyPr/>
        <a:lstStyle/>
        <a:p>
          <a:pPr algn="just">
            <a:buNone/>
          </a:pPr>
          <a:r>
            <a:rPr lang="en-IN"/>
            <a:t>FY21/22- FY24/25 (Increase: +16.4%): Strong top-line revenue increase offered substantial operational leverage. Fixed overhead costs, lease management costs and central administration expenses were spread across a much larger revenue base (£559.7m to £1,036.6m). Operating profit surged £53.2m to a peak of £268.6m in FY24/25. </a:t>
          </a:r>
        </a:p>
      </dgm:t>
    </dgm:pt>
    <dgm:pt modelId="{375E1FC2-493B-4F5E-BB01-9F2D07673179}" type="parTrans" cxnId="{AFE39F97-AFCE-4F0F-82AA-0877374D1BC4}">
      <dgm:prSet/>
      <dgm:spPr/>
      <dgm:t>
        <a:bodyPr/>
        <a:lstStyle/>
        <a:p>
          <a:endParaRPr lang="en-IN"/>
        </a:p>
      </dgm:t>
    </dgm:pt>
    <dgm:pt modelId="{70072422-4695-4418-B2C3-04F1B614373E}" type="sibTrans" cxnId="{AFE39F97-AFCE-4F0F-82AA-0877374D1BC4}">
      <dgm:prSet/>
      <dgm:spPr/>
      <dgm:t>
        <a:bodyPr/>
        <a:lstStyle/>
        <a:p>
          <a:endParaRPr lang="en-IN"/>
        </a:p>
      </dgm:t>
    </dgm:pt>
    <dgm:pt modelId="{108F4B18-7552-44BD-BAF3-B48BA92FF9E9}">
      <dgm:prSet/>
      <dgm:spPr/>
      <dgm:t>
        <a:bodyPr/>
        <a:lstStyle/>
        <a:p>
          <a:pPr algn="just">
            <a:buFont typeface="Symbol" panose="05050102010706020507" pitchFamily="18" charset="2"/>
            <a:buChar char=""/>
          </a:pPr>
          <a:r>
            <a:rPr lang="en-IN"/>
            <a:t>FY24/25- FY25/26 (decrease: -4.0%): Overhead inflation stated outpacing revenue growth (+0.88%). The major drivers for this downward shift were a £12 million statutory increase in the business rates following the UK commercial property revaluation, alongside the administrative wage hikes. Operating profit contracted by 14.8% (to £228.7m) which led to a 4.0% margin decline. </a:t>
          </a:r>
        </a:p>
      </dgm:t>
    </dgm:pt>
    <dgm:pt modelId="{FCDD3B47-D1E1-4EB3-BED3-57DF1FA579B9}" type="parTrans" cxnId="{766CE7C5-C2AA-44A3-80F8-A58FCCD85F66}">
      <dgm:prSet/>
      <dgm:spPr/>
      <dgm:t>
        <a:bodyPr/>
        <a:lstStyle/>
        <a:p>
          <a:endParaRPr lang="en-IN"/>
        </a:p>
      </dgm:t>
    </dgm:pt>
    <dgm:pt modelId="{ED576BCD-FECE-4A77-B1EF-4A5A86A37E62}" type="sibTrans" cxnId="{766CE7C5-C2AA-44A3-80F8-A58FCCD85F66}">
      <dgm:prSet/>
      <dgm:spPr/>
      <dgm:t>
        <a:bodyPr/>
        <a:lstStyle/>
        <a:p>
          <a:endParaRPr lang="en-IN"/>
        </a:p>
      </dgm:t>
    </dgm:pt>
    <dgm:pt modelId="{099C2A7F-B9FF-48C8-84A5-8DAE6C540487}" type="pres">
      <dgm:prSet presAssocID="{92483E6E-03E4-4DEE-BACA-E1DB4027768E}" presName="linear" presStyleCnt="0">
        <dgm:presLayoutVars>
          <dgm:animLvl val="lvl"/>
          <dgm:resizeHandles val="exact"/>
        </dgm:presLayoutVars>
      </dgm:prSet>
      <dgm:spPr/>
    </dgm:pt>
    <dgm:pt modelId="{EBCD9F0D-A968-47A9-A82D-C5A37324CCDD}" type="pres">
      <dgm:prSet presAssocID="{7B84D8F1-618C-4B70-B85F-13E972F3DCD4}" presName="parentText" presStyleLbl="node1" presStyleIdx="0" presStyleCnt="2">
        <dgm:presLayoutVars>
          <dgm:chMax val="0"/>
          <dgm:bulletEnabled val="1"/>
        </dgm:presLayoutVars>
      </dgm:prSet>
      <dgm:spPr/>
    </dgm:pt>
    <dgm:pt modelId="{FA4D3C04-7A49-4FAC-B788-E30424D3D693}" type="pres">
      <dgm:prSet presAssocID="{70072422-4695-4418-B2C3-04F1B614373E}" presName="spacer" presStyleCnt="0"/>
      <dgm:spPr/>
    </dgm:pt>
    <dgm:pt modelId="{A0431AA5-FE95-44C4-A4D8-E9C5F6EEBA06}" type="pres">
      <dgm:prSet presAssocID="{108F4B18-7552-44BD-BAF3-B48BA92FF9E9}" presName="parentText" presStyleLbl="node1" presStyleIdx="1" presStyleCnt="2">
        <dgm:presLayoutVars>
          <dgm:chMax val="0"/>
          <dgm:bulletEnabled val="1"/>
        </dgm:presLayoutVars>
      </dgm:prSet>
      <dgm:spPr/>
    </dgm:pt>
  </dgm:ptLst>
  <dgm:cxnLst>
    <dgm:cxn modelId="{DC65D72B-4458-48F3-982F-C7F3E1C61BC4}" type="presOf" srcId="{7B84D8F1-618C-4B70-B85F-13E972F3DCD4}" destId="{EBCD9F0D-A968-47A9-A82D-C5A37324CCDD}" srcOrd="0" destOrd="0" presId="urn:microsoft.com/office/officeart/2005/8/layout/vList2"/>
    <dgm:cxn modelId="{AFE39F97-AFCE-4F0F-82AA-0877374D1BC4}" srcId="{92483E6E-03E4-4DEE-BACA-E1DB4027768E}" destId="{7B84D8F1-618C-4B70-B85F-13E972F3DCD4}" srcOrd="0" destOrd="0" parTransId="{375E1FC2-493B-4F5E-BB01-9F2D07673179}" sibTransId="{70072422-4695-4418-B2C3-04F1B614373E}"/>
    <dgm:cxn modelId="{9FDE6BA3-D0B6-4C4C-A60F-FCB973910A5E}" type="presOf" srcId="{108F4B18-7552-44BD-BAF3-B48BA92FF9E9}" destId="{A0431AA5-FE95-44C4-A4D8-E9C5F6EEBA06}" srcOrd="0" destOrd="0" presId="urn:microsoft.com/office/officeart/2005/8/layout/vList2"/>
    <dgm:cxn modelId="{766CE7C5-C2AA-44A3-80F8-A58FCCD85F66}" srcId="{92483E6E-03E4-4DEE-BACA-E1DB4027768E}" destId="{108F4B18-7552-44BD-BAF3-B48BA92FF9E9}" srcOrd="1" destOrd="0" parTransId="{FCDD3B47-D1E1-4EB3-BED3-57DF1FA579B9}" sibTransId="{ED576BCD-FECE-4A77-B1EF-4A5A86A37E62}"/>
    <dgm:cxn modelId="{5A2AE0F5-04C2-46AF-B33B-CD8CC44EE960}" type="presOf" srcId="{92483E6E-03E4-4DEE-BACA-E1DB4027768E}" destId="{099C2A7F-B9FF-48C8-84A5-8DAE6C540487}" srcOrd="0" destOrd="0" presId="urn:microsoft.com/office/officeart/2005/8/layout/vList2"/>
    <dgm:cxn modelId="{DE54172E-3273-495A-88E6-73A453221445}" type="presParOf" srcId="{099C2A7F-B9FF-48C8-84A5-8DAE6C540487}" destId="{EBCD9F0D-A968-47A9-A82D-C5A37324CCDD}" srcOrd="0" destOrd="0" presId="urn:microsoft.com/office/officeart/2005/8/layout/vList2"/>
    <dgm:cxn modelId="{5B419408-38A8-4AB1-B83B-0147E6136117}" type="presParOf" srcId="{099C2A7F-B9FF-48C8-84A5-8DAE6C540487}" destId="{FA4D3C04-7A49-4FAC-B788-E30424D3D693}" srcOrd="1" destOrd="0" presId="urn:microsoft.com/office/officeart/2005/8/layout/vList2"/>
    <dgm:cxn modelId="{450D9838-CD1A-405D-BCDE-7B3FCE33CCA1}" type="presParOf" srcId="{099C2A7F-B9FF-48C8-84A5-8DAE6C540487}" destId="{A0431AA5-FE95-44C4-A4D8-E9C5F6EEBA06}" srcOrd="2" destOrd="0" presId="urn:microsoft.com/office/officeart/2005/8/layout/vList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2026565-E92D-42ED-83B6-ADB8B816971F}" type="doc">
      <dgm:prSet loTypeId="urn:microsoft.com/office/officeart/2005/8/layout/vList2" loCatId="list" qsTypeId="urn:microsoft.com/office/officeart/2005/8/quickstyle/3d1" qsCatId="3D" csTypeId="urn:microsoft.com/office/officeart/2005/8/colors/accent1_2" csCatId="accent1" phldr="1"/>
      <dgm:spPr/>
      <dgm:t>
        <a:bodyPr/>
        <a:lstStyle/>
        <a:p>
          <a:endParaRPr lang="en-IN"/>
        </a:p>
      </dgm:t>
    </dgm:pt>
    <dgm:pt modelId="{613DCFD8-E37C-4A63-8BB1-73C11ED7DFBA}">
      <dgm:prSet phldrT="[Text]"/>
      <dgm:spPr/>
      <dgm:t>
        <a:bodyPr/>
        <a:lstStyle/>
        <a:p>
          <a:pPr algn="just">
            <a:buNone/>
          </a:pPr>
          <a:r>
            <a:rPr lang="en-IN" b="1" i="1"/>
            <a:t>Strengths</a:t>
          </a:r>
          <a:endParaRPr lang="en-IN"/>
        </a:p>
      </dgm:t>
    </dgm:pt>
    <dgm:pt modelId="{E1462BDE-C99A-4FEC-A596-57E687130F0A}" type="parTrans" cxnId="{B7E28BFB-9368-49A5-BBC5-C25AD4D87BE5}">
      <dgm:prSet/>
      <dgm:spPr/>
      <dgm:t>
        <a:bodyPr/>
        <a:lstStyle/>
        <a:p>
          <a:endParaRPr lang="en-IN"/>
        </a:p>
      </dgm:t>
    </dgm:pt>
    <dgm:pt modelId="{AAF074F3-BD73-4FA9-AEC1-C12B6B309ACD}" type="sibTrans" cxnId="{B7E28BFB-9368-49A5-BBC5-C25AD4D87BE5}">
      <dgm:prSet/>
      <dgm:spPr/>
      <dgm:t>
        <a:bodyPr/>
        <a:lstStyle/>
        <a:p>
          <a:endParaRPr lang="en-IN"/>
        </a:p>
      </dgm:t>
    </dgm:pt>
    <dgm:pt modelId="{0645937E-39AD-4A17-9938-CC2328E11A96}">
      <dgm:prSet/>
      <dgm:spPr/>
      <dgm:t>
        <a:bodyPr/>
        <a:lstStyle/>
        <a:p>
          <a:pPr algn="just">
            <a:buNone/>
          </a:pPr>
          <a:r>
            <a:rPr lang="en-IN"/>
            <a:t>The financial architecture of Travelodge is anchored by an exceptionally strong direct-to-consumer digital distribution network, keeping a direct booking rate exceeding 90%. This higher margin channel drastically curtails dependence on the 3rd party online travel agencies (OTAs), driving the premium Commission savings directly to the bottom line. Concurrently, the established value proposition of the brand functions countercyclically; during inflationary squeeze cycles, it successfully captures trading-down demand from the premium corporate and leisure segments. This structural resilience ensures a highly predictable and stable trajectory of operating cash flows that underpins the day to day liquidity of the organization. </a:t>
          </a:r>
        </a:p>
      </dgm:t>
    </dgm:pt>
    <dgm:pt modelId="{519C0299-A177-4A1D-9B44-D23BCC2273AB}" type="parTrans" cxnId="{166EFE23-887F-45A6-A98A-EB5FEABD87D0}">
      <dgm:prSet/>
      <dgm:spPr/>
      <dgm:t>
        <a:bodyPr/>
        <a:lstStyle/>
        <a:p>
          <a:endParaRPr lang="en-IN"/>
        </a:p>
      </dgm:t>
    </dgm:pt>
    <dgm:pt modelId="{FC8F241F-1386-4045-971B-731F0713D7BA}" type="sibTrans" cxnId="{166EFE23-887F-45A6-A98A-EB5FEABD87D0}">
      <dgm:prSet/>
      <dgm:spPr/>
      <dgm:t>
        <a:bodyPr/>
        <a:lstStyle/>
        <a:p>
          <a:endParaRPr lang="en-IN"/>
        </a:p>
      </dgm:t>
    </dgm:pt>
    <dgm:pt modelId="{78ADE1A2-0382-487B-95C2-EA84D8CFAB38}">
      <dgm:prSet/>
      <dgm:spPr/>
      <dgm:t>
        <a:bodyPr/>
        <a:lstStyle/>
        <a:p>
          <a:pPr algn="just">
            <a:buNone/>
          </a:pPr>
          <a:r>
            <a:rPr lang="en-IN" b="1" i="1"/>
            <a:t>Weaknesses</a:t>
          </a:r>
          <a:endParaRPr lang="en-IN"/>
        </a:p>
      </dgm:t>
    </dgm:pt>
    <dgm:pt modelId="{A088080E-887D-4E31-AEE0-744F76C9F9FE}" type="parTrans" cxnId="{6F20B2FA-F711-4845-AE64-D520B3C11E8F}">
      <dgm:prSet/>
      <dgm:spPr/>
      <dgm:t>
        <a:bodyPr/>
        <a:lstStyle/>
        <a:p>
          <a:endParaRPr lang="en-IN"/>
        </a:p>
      </dgm:t>
    </dgm:pt>
    <dgm:pt modelId="{CEFFFD7D-DEC5-49C2-9B12-1E8B2F45E193}" type="sibTrans" cxnId="{6F20B2FA-F711-4845-AE64-D520B3C11E8F}">
      <dgm:prSet/>
      <dgm:spPr/>
      <dgm:t>
        <a:bodyPr/>
        <a:lstStyle/>
        <a:p>
          <a:endParaRPr lang="en-IN"/>
        </a:p>
      </dgm:t>
    </dgm:pt>
    <dgm:pt modelId="{CB11936D-F35C-47CD-8C29-A6C917D1065C}">
      <dgm:prSet/>
      <dgm:spPr/>
      <dgm:t>
        <a:bodyPr/>
        <a:lstStyle/>
        <a:p>
          <a:pPr algn="just">
            <a:buNone/>
          </a:pPr>
          <a:r>
            <a:rPr lang="en-IN"/>
            <a:t>The balance sheet of the group presents significant structural vulnerability because of the aggressive leverage, highly amplified under IFRS 16 lease accounting protocols. Capitalising the extensive long-term hotel lease obligations leads to a huge long-term liability profile, weighing down solvency metrics. This capital structure debt servicing potential, as highlighted by the compressed interest coverage ratio of 1.9x estimated for financial year 25/26. Compounding this risk is a consistently constrained liquidity profile, which leaves the firm with the minimum current ratio buffers to absorb sudden operational shocks or cash flow disruptions. </a:t>
          </a:r>
        </a:p>
      </dgm:t>
    </dgm:pt>
    <dgm:pt modelId="{6E79001F-B5AE-41E7-82DE-6CA50019FFBF}" type="parTrans" cxnId="{72780149-E448-4E76-B940-8B56C1F7E9C2}">
      <dgm:prSet/>
      <dgm:spPr/>
      <dgm:t>
        <a:bodyPr/>
        <a:lstStyle/>
        <a:p>
          <a:endParaRPr lang="en-IN"/>
        </a:p>
      </dgm:t>
    </dgm:pt>
    <dgm:pt modelId="{3CBFB121-4888-4408-B251-763408ADD174}" type="sibTrans" cxnId="{72780149-E448-4E76-B940-8B56C1F7E9C2}">
      <dgm:prSet/>
      <dgm:spPr/>
      <dgm:t>
        <a:bodyPr/>
        <a:lstStyle/>
        <a:p>
          <a:endParaRPr lang="en-IN"/>
        </a:p>
      </dgm:t>
    </dgm:pt>
    <dgm:pt modelId="{8541E89D-7181-4DB6-A79C-9935E47EDE57}">
      <dgm:prSet/>
      <dgm:spPr/>
      <dgm:t>
        <a:bodyPr/>
        <a:lstStyle/>
        <a:p>
          <a:pPr algn="just">
            <a:buNone/>
          </a:pPr>
          <a:r>
            <a:rPr lang="en-IN" b="1" i="1"/>
            <a:t>Opportunities</a:t>
          </a:r>
          <a:endParaRPr lang="en-IN"/>
        </a:p>
      </dgm:t>
    </dgm:pt>
    <dgm:pt modelId="{85A8840D-5B68-42CE-94B8-B1D58A37C80C}" type="parTrans" cxnId="{B09BB9FD-8712-4BC0-8967-A195E0786C7D}">
      <dgm:prSet/>
      <dgm:spPr/>
      <dgm:t>
        <a:bodyPr/>
        <a:lstStyle/>
        <a:p>
          <a:endParaRPr lang="en-IN"/>
        </a:p>
      </dgm:t>
    </dgm:pt>
    <dgm:pt modelId="{839D6F9C-A247-427D-9D5A-991D0008929C}" type="sibTrans" cxnId="{B09BB9FD-8712-4BC0-8967-A195E0786C7D}">
      <dgm:prSet/>
      <dgm:spPr/>
      <dgm:t>
        <a:bodyPr/>
        <a:lstStyle/>
        <a:p>
          <a:endParaRPr lang="en-IN"/>
        </a:p>
      </dgm:t>
    </dgm:pt>
    <dgm:pt modelId="{C32BE3BD-F996-46BF-88F3-6D7086E52599}">
      <dgm:prSet/>
      <dgm:spPr/>
      <dgm:t>
        <a:bodyPr/>
        <a:lstStyle/>
        <a:p>
          <a:pPr algn="just">
            <a:buNone/>
          </a:pPr>
          <a:r>
            <a:rPr lang="en-IN"/>
            <a:t>To navigate the systemic lease exposure, Travolta can use a selective, opportunistic acquisitions of freehold property sites, properly transferring assets weight away from the volatile lease hold burdens and improving asset backed value. Moreover graphical diversification provides a critical growth engine for the company; systematically scaling up the established Spanish operational footprints of the group offers an immediate runway to capture the European market share while insulating the broader corporate entity from the UK-centric macroeconomic dependencies. </a:t>
          </a:r>
        </a:p>
      </dgm:t>
    </dgm:pt>
    <dgm:pt modelId="{AF367F5B-D6A4-46B4-8AB0-EAB13664CD49}" type="parTrans" cxnId="{DBF761C9-A857-485A-9B77-9570026C49FD}">
      <dgm:prSet/>
      <dgm:spPr/>
      <dgm:t>
        <a:bodyPr/>
        <a:lstStyle/>
        <a:p>
          <a:endParaRPr lang="en-IN"/>
        </a:p>
      </dgm:t>
    </dgm:pt>
    <dgm:pt modelId="{A2F92A86-6FB7-40AB-B206-F90DA2E7C8B7}" type="sibTrans" cxnId="{DBF761C9-A857-485A-9B77-9570026C49FD}">
      <dgm:prSet/>
      <dgm:spPr/>
      <dgm:t>
        <a:bodyPr/>
        <a:lstStyle/>
        <a:p>
          <a:endParaRPr lang="en-IN"/>
        </a:p>
      </dgm:t>
    </dgm:pt>
    <dgm:pt modelId="{E5A42D9B-91C7-441F-A7DE-82C57EDA9D5A}">
      <dgm:prSet/>
      <dgm:spPr/>
      <dgm:t>
        <a:bodyPr/>
        <a:lstStyle/>
        <a:p>
          <a:pPr algn="just">
            <a:buNone/>
          </a:pPr>
          <a:r>
            <a:rPr lang="en-IN" b="1" i="1"/>
            <a:t>Threats</a:t>
          </a:r>
          <a:endParaRPr lang="en-IN"/>
        </a:p>
      </dgm:t>
    </dgm:pt>
    <dgm:pt modelId="{256F673A-73CF-4B34-A953-05DF7E06EFC2}" type="parTrans" cxnId="{53D5E8B4-523E-47EC-BAA6-52EB3EE96C2D}">
      <dgm:prSet/>
      <dgm:spPr/>
      <dgm:t>
        <a:bodyPr/>
        <a:lstStyle/>
        <a:p>
          <a:endParaRPr lang="en-IN"/>
        </a:p>
      </dgm:t>
    </dgm:pt>
    <dgm:pt modelId="{A7C23B42-1CC8-42EE-9C39-E30E2ED04963}" type="sibTrans" cxnId="{53D5E8B4-523E-47EC-BAA6-52EB3EE96C2D}">
      <dgm:prSet/>
      <dgm:spPr/>
      <dgm:t>
        <a:bodyPr/>
        <a:lstStyle/>
        <a:p>
          <a:endParaRPr lang="en-IN"/>
        </a:p>
      </dgm:t>
    </dgm:pt>
    <dgm:pt modelId="{0E0B0610-1AC2-4B56-B45E-BAFAAB403F44}">
      <dgm:prSet/>
      <dgm:spPr/>
      <dgm:t>
        <a:bodyPr/>
        <a:lstStyle/>
        <a:p>
          <a:pPr algn="just">
            <a:buNone/>
          </a:pPr>
          <a:r>
            <a:rPr lang="en-IN"/>
            <a:t>Travelodge faces compounding margin pressures from escalating structural costs, most notably statutory wage inflation driven by the sequential hikes in the national living wage (NLW) and upward adjustments in the UK business rates. On the demand side, Travelodge remains exposed to the cyclical macro economic contractions. A prolonged downturn in the disposable income could lead to a sharp decrease in the consumer leisure spending, while corporate cost cutting measures risk depressing the essential midweek business travel segment.</a:t>
          </a:r>
        </a:p>
      </dgm:t>
    </dgm:pt>
    <dgm:pt modelId="{A6BF11BC-3747-4A9D-B3BF-98118261A68B}" type="parTrans" cxnId="{BFACE7D1-6231-4EB0-8ADC-93609C2A063A}">
      <dgm:prSet/>
      <dgm:spPr/>
      <dgm:t>
        <a:bodyPr/>
        <a:lstStyle/>
        <a:p>
          <a:endParaRPr lang="en-IN"/>
        </a:p>
      </dgm:t>
    </dgm:pt>
    <dgm:pt modelId="{5D2D50E8-F0CA-4A5A-A2ED-F9A69EA214AB}" type="sibTrans" cxnId="{BFACE7D1-6231-4EB0-8ADC-93609C2A063A}">
      <dgm:prSet/>
      <dgm:spPr/>
      <dgm:t>
        <a:bodyPr/>
        <a:lstStyle/>
        <a:p>
          <a:endParaRPr lang="en-IN"/>
        </a:p>
      </dgm:t>
    </dgm:pt>
    <dgm:pt modelId="{5F4D04A0-013C-41DD-8A32-18D0B353CC31}" type="pres">
      <dgm:prSet presAssocID="{22026565-E92D-42ED-83B6-ADB8B816971F}" presName="linear" presStyleCnt="0">
        <dgm:presLayoutVars>
          <dgm:animLvl val="lvl"/>
          <dgm:resizeHandles val="exact"/>
        </dgm:presLayoutVars>
      </dgm:prSet>
      <dgm:spPr/>
    </dgm:pt>
    <dgm:pt modelId="{EBB56842-F6D3-4CBD-AFE1-7CDDCFCDE0E4}" type="pres">
      <dgm:prSet presAssocID="{613DCFD8-E37C-4A63-8BB1-73C11ED7DFBA}" presName="parentText" presStyleLbl="node1" presStyleIdx="0" presStyleCnt="4">
        <dgm:presLayoutVars>
          <dgm:chMax val="0"/>
          <dgm:bulletEnabled val="1"/>
        </dgm:presLayoutVars>
      </dgm:prSet>
      <dgm:spPr/>
    </dgm:pt>
    <dgm:pt modelId="{9B1DB355-10D1-428C-81F6-BFA326C4DA1E}" type="pres">
      <dgm:prSet presAssocID="{613DCFD8-E37C-4A63-8BB1-73C11ED7DFBA}" presName="childText" presStyleLbl="revTx" presStyleIdx="0" presStyleCnt="4">
        <dgm:presLayoutVars>
          <dgm:bulletEnabled val="1"/>
        </dgm:presLayoutVars>
      </dgm:prSet>
      <dgm:spPr/>
    </dgm:pt>
    <dgm:pt modelId="{A7950A02-E7EF-473A-AD83-8961795DDE84}" type="pres">
      <dgm:prSet presAssocID="{78ADE1A2-0382-487B-95C2-EA84D8CFAB38}" presName="parentText" presStyleLbl="node1" presStyleIdx="1" presStyleCnt="4">
        <dgm:presLayoutVars>
          <dgm:chMax val="0"/>
          <dgm:bulletEnabled val="1"/>
        </dgm:presLayoutVars>
      </dgm:prSet>
      <dgm:spPr/>
    </dgm:pt>
    <dgm:pt modelId="{D21E55D4-1711-4468-AC1F-7FA4B4EFF9DB}" type="pres">
      <dgm:prSet presAssocID="{78ADE1A2-0382-487B-95C2-EA84D8CFAB38}" presName="childText" presStyleLbl="revTx" presStyleIdx="1" presStyleCnt="4">
        <dgm:presLayoutVars>
          <dgm:bulletEnabled val="1"/>
        </dgm:presLayoutVars>
      </dgm:prSet>
      <dgm:spPr/>
    </dgm:pt>
    <dgm:pt modelId="{E9682261-FE50-4BAD-B7A1-0F2428668233}" type="pres">
      <dgm:prSet presAssocID="{8541E89D-7181-4DB6-A79C-9935E47EDE57}" presName="parentText" presStyleLbl="node1" presStyleIdx="2" presStyleCnt="4">
        <dgm:presLayoutVars>
          <dgm:chMax val="0"/>
          <dgm:bulletEnabled val="1"/>
        </dgm:presLayoutVars>
      </dgm:prSet>
      <dgm:spPr/>
    </dgm:pt>
    <dgm:pt modelId="{A787F0A7-7349-4CA1-BD93-7B37CA09BFFD}" type="pres">
      <dgm:prSet presAssocID="{8541E89D-7181-4DB6-A79C-9935E47EDE57}" presName="childText" presStyleLbl="revTx" presStyleIdx="2" presStyleCnt="4">
        <dgm:presLayoutVars>
          <dgm:bulletEnabled val="1"/>
        </dgm:presLayoutVars>
      </dgm:prSet>
      <dgm:spPr/>
    </dgm:pt>
    <dgm:pt modelId="{90920AC9-3943-48C2-965B-BD3F7D0C10F5}" type="pres">
      <dgm:prSet presAssocID="{E5A42D9B-91C7-441F-A7DE-82C57EDA9D5A}" presName="parentText" presStyleLbl="node1" presStyleIdx="3" presStyleCnt="4">
        <dgm:presLayoutVars>
          <dgm:chMax val="0"/>
          <dgm:bulletEnabled val="1"/>
        </dgm:presLayoutVars>
      </dgm:prSet>
      <dgm:spPr/>
    </dgm:pt>
    <dgm:pt modelId="{587A9B87-D703-4C5C-9602-CC07A2B90524}" type="pres">
      <dgm:prSet presAssocID="{E5A42D9B-91C7-441F-A7DE-82C57EDA9D5A}" presName="childText" presStyleLbl="revTx" presStyleIdx="3" presStyleCnt="4">
        <dgm:presLayoutVars>
          <dgm:bulletEnabled val="1"/>
        </dgm:presLayoutVars>
      </dgm:prSet>
      <dgm:spPr/>
    </dgm:pt>
  </dgm:ptLst>
  <dgm:cxnLst>
    <dgm:cxn modelId="{70CE3718-BDDE-4180-9930-22CD577C9967}" type="presOf" srcId="{8541E89D-7181-4DB6-A79C-9935E47EDE57}" destId="{E9682261-FE50-4BAD-B7A1-0F2428668233}" srcOrd="0" destOrd="0" presId="urn:microsoft.com/office/officeart/2005/8/layout/vList2"/>
    <dgm:cxn modelId="{166EFE23-887F-45A6-A98A-EB5FEABD87D0}" srcId="{613DCFD8-E37C-4A63-8BB1-73C11ED7DFBA}" destId="{0645937E-39AD-4A17-9938-CC2328E11A96}" srcOrd="0" destOrd="0" parTransId="{519C0299-A177-4A1D-9B44-D23BCC2273AB}" sibTransId="{FC8F241F-1386-4045-971B-731F0713D7BA}"/>
    <dgm:cxn modelId="{C09A7F31-AC88-4B08-A5FC-792BAF947B36}" type="presOf" srcId="{22026565-E92D-42ED-83B6-ADB8B816971F}" destId="{5F4D04A0-013C-41DD-8A32-18D0B353CC31}" srcOrd="0" destOrd="0" presId="urn:microsoft.com/office/officeart/2005/8/layout/vList2"/>
    <dgm:cxn modelId="{72780149-E448-4E76-B940-8B56C1F7E9C2}" srcId="{78ADE1A2-0382-487B-95C2-EA84D8CFAB38}" destId="{CB11936D-F35C-47CD-8C29-A6C917D1065C}" srcOrd="0" destOrd="0" parTransId="{6E79001F-B5AE-41E7-82DE-6CA50019FFBF}" sibTransId="{3CBFB121-4888-4408-B251-763408ADD174}"/>
    <dgm:cxn modelId="{2B174049-726C-4285-9130-35392C5A8BE6}" type="presOf" srcId="{613DCFD8-E37C-4A63-8BB1-73C11ED7DFBA}" destId="{EBB56842-F6D3-4CBD-AFE1-7CDDCFCDE0E4}" srcOrd="0" destOrd="0" presId="urn:microsoft.com/office/officeart/2005/8/layout/vList2"/>
    <dgm:cxn modelId="{AC0F3879-7759-4C97-857A-B083F65D97C8}" type="presOf" srcId="{0E0B0610-1AC2-4B56-B45E-BAFAAB403F44}" destId="{587A9B87-D703-4C5C-9602-CC07A2B90524}" srcOrd="0" destOrd="0" presId="urn:microsoft.com/office/officeart/2005/8/layout/vList2"/>
    <dgm:cxn modelId="{C9BA327E-6648-49E3-9950-16E4AA6B916F}" type="presOf" srcId="{E5A42D9B-91C7-441F-A7DE-82C57EDA9D5A}" destId="{90920AC9-3943-48C2-965B-BD3F7D0C10F5}" srcOrd="0" destOrd="0" presId="urn:microsoft.com/office/officeart/2005/8/layout/vList2"/>
    <dgm:cxn modelId="{28F81FAA-EBAE-4B4B-8E4C-99AC957AE31C}" type="presOf" srcId="{78ADE1A2-0382-487B-95C2-EA84D8CFAB38}" destId="{A7950A02-E7EF-473A-AD83-8961795DDE84}" srcOrd="0" destOrd="0" presId="urn:microsoft.com/office/officeart/2005/8/layout/vList2"/>
    <dgm:cxn modelId="{53D5E8B4-523E-47EC-BAA6-52EB3EE96C2D}" srcId="{22026565-E92D-42ED-83B6-ADB8B816971F}" destId="{E5A42D9B-91C7-441F-A7DE-82C57EDA9D5A}" srcOrd="3" destOrd="0" parTransId="{256F673A-73CF-4B34-A953-05DF7E06EFC2}" sibTransId="{A7C23B42-1CC8-42EE-9C39-E30E2ED04963}"/>
    <dgm:cxn modelId="{8D52A1B6-5DE2-457A-A15C-2ECB960E561D}" type="presOf" srcId="{CB11936D-F35C-47CD-8C29-A6C917D1065C}" destId="{D21E55D4-1711-4468-AC1F-7FA4B4EFF9DB}" srcOrd="0" destOrd="0" presId="urn:microsoft.com/office/officeart/2005/8/layout/vList2"/>
    <dgm:cxn modelId="{ACC0B0B7-2539-46A3-9D97-12C32C81CB55}" type="presOf" srcId="{0645937E-39AD-4A17-9938-CC2328E11A96}" destId="{9B1DB355-10D1-428C-81F6-BFA326C4DA1E}" srcOrd="0" destOrd="0" presId="urn:microsoft.com/office/officeart/2005/8/layout/vList2"/>
    <dgm:cxn modelId="{9E4E69C4-35CA-441B-913A-64D76B4E73AA}" type="presOf" srcId="{C32BE3BD-F996-46BF-88F3-6D7086E52599}" destId="{A787F0A7-7349-4CA1-BD93-7B37CA09BFFD}" srcOrd="0" destOrd="0" presId="urn:microsoft.com/office/officeart/2005/8/layout/vList2"/>
    <dgm:cxn modelId="{DBF761C9-A857-485A-9B77-9570026C49FD}" srcId="{8541E89D-7181-4DB6-A79C-9935E47EDE57}" destId="{C32BE3BD-F996-46BF-88F3-6D7086E52599}" srcOrd="0" destOrd="0" parTransId="{AF367F5B-D6A4-46B4-8AB0-EAB13664CD49}" sibTransId="{A2F92A86-6FB7-40AB-B206-F90DA2E7C8B7}"/>
    <dgm:cxn modelId="{BFACE7D1-6231-4EB0-8ADC-93609C2A063A}" srcId="{E5A42D9B-91C7-441F-A7DE-82C57EDA9D5A}" destId="{0E0B0610-1AC2-4B56-B45E-BAFAAB403F44}" srcOrd="0" destOrd="0" parTransId="{A6BF11BC-3747-4A9D-B3BF-98118261A68B}" sibTransId="{5D2D50E8-F0CA-4A5A-A2ED-F9A69EA214AB}"/>
    <dgm:cxn modelId="{6F20B2FA-F711-4845-AE64-D520B3C11E8F}" srcId="{22026565-E92D-42ED-83B6-ADB8B816971F}" destId="{78ADE1A2-0382-487B-95C2-EA84D8CFAB38}" srcOrd="1" destOrd="0" parTransId="{A088080E-887D-4E31-AEE0-744F76C9F9FE}" sibTransId="{CEFFFD7D-DEC5-49C2-9B12-1E8B2F45E193}"/>
    <dgm:cxn modelId="{B7E28BFB-9368-49A5-BBC5-C25AD4D87BE5}" srcId="{22026565-E92D-42ED-83B6-ADB8B816971F}" destId="{613DCFD8-E37C-4A63-8BB1-73C11ED7DFBA}" srcOrd="0" destOrd="0" parTransId="{E1462BDE-C99A-4FEC-A596-57E687130F0A}" sibTransId="{AAF074F3-BD73-4FA9-AEC1-C12B6B309ACD}"/>
    <dgm:cxn modelId="{B09BB9FD-8712-4BC0-8967-A195E0786C7D}" srcId="{22026565-E92D-42ED-83B6-ADB8B816971F}" destId="{8541E89D-7181-4DB6-A79C-9935E47EDE57}" srcOrd="2" destOrd="0" parTransId="{85A8840D-5B68-42CE-94B8-B1D58A37C80C}" sibTransId="{839D6F9C-A247-427D-9D5A-991D0008929C}"/>
    <dgm:cxn modelId="{ADA1534F-E07A-4069-A9B9-46BB690FA8CC}" type="presParOf" srcId="{5F4D04A0-013C-41DD-8A32-18D0B353CC31}" destId="{EBB56842-F6D3-4CBD-AFE1-7CDDCFCDE0E4}" srcOrd="0" destOrd="0" presId="urn:microsoft.com/office/officeart/2005/8/layout/vList2"/>
    <dgm:cxn modelId="{A20F50DE-48A7-48B7-AE24-13E81EFCCC20}" type="presParOf" srcId="{5F4D04A0-013C-41DD-8A32-18D0B353CC31}" destId="{9B1DB355-10D1-428C-81F6-BFA326C4DA1E}" srcOrd="1" destOrd="0" presId="urn:microsoft.com/office/officeart/2005/8/layout/vList2"/>
    <dgm:cxn modelId="{CD7B5D72-9FB4-4C2F-82DD-A2B3E5DB042B}" type="presParOf" srcId="{5F4D04A0-013C-41DD-8A32-18D0B353CC31}" destId="{A7950A02-E7EF-473A-AD83-8961795DDE84}" srcOrd="2" destOrd="0" presId="urn:microsoft.com/office/officeart/2005/8/layout/vList2"/>
    <dgm:cxn modelId="{3FF05014-03CB-4103-B196-500CB2BBC345}" type="presParOf" srcId="{5F4D04A0-013C-41DD-8A32-18D0B353CC31}" destId="{D21E55D4-1711-4468-AC1F-7FA4B4EFF9DB}" srcOrd="3" destOrd="0" presId="urn:microsoft.com/office/officeart/2005/8/layout/vList2"/>
    <dgm:cxn modelId="{56714BA4-1988-4608-B69C-9966914AED23}" type="presParOf" srcId="{5F4D04A0-013C-41DD-8A32-18D0B353CC31}" destId="{E9682261-FE50-4BAD-B7A1-0F2428668233}" srcOrd="4" destOrd="0" presId="urn:microsoft.com/office/officeart/2005/8/layout/vList2"/>
    <dgm:cxn modelId="{E4915A05-FA73-46D0-A1BF-FECE65A5B085}" type="presParOf" srcId="{5F4D04A0-013C-41DD-8A32-18D0B353CC31}" destId="{A787F0A7-7349-4CA1-BD93-7B37CA09BFFD}" srcOrd="5" destOrd="0" presId="urn:microsoft.com/office/officeart/2005/8/layout/vList2"/>
    <dgm:cxn modelId="{B7155D43-68A0-4F7A-9F91-0F1E21195A63}" type="presParOf" srcId="{5F4D04A0-013C-41DD-8A32-18D0B353CC31}" destId="{90920AC9-3943-48C2-965B-BD3F7D0C10F5}" srcOrd="6" destOrd="0" presId="urn:microsoft.com/office/officeart/2005/8/layout/vList2"/>
    <dgm:cxn modelId="{8E0DEE08-6DFD-47C6-BCAC-C166C50765F3}" type="presParOf" srcId="{5F4D04A0-013C-41DD-8A32-18D0B353CC31}" destId="{587A9B87-D703-4C5C-9602-CC07A2B90524}" srcOrd="7" destOrd="0" presId="urn:microsoft.com/office/officeart/2005/8/layout/vList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120A64F-7B61-4FD5-8EA8-FDB3B4F8F2DB}" type="doc">
      <dgm:prSet loTypeId="urn:microsoft.com/office/officeart/2005/8/layout/hList1" loCatId="list" qsTypeId="urn:microsoft.com/office/officeart/2005/8/quickstyle/3d1" qsCatId="3D" csTypeId="urn:microsoft.com/office/officeart/2005/8/colors/accent1_2" csCatId="accent1" phldr="1"/>
      <dgm:spPr/>
      <dgm:t>
        <a:bodyPr/>
        <a:lstStyle/>
        <a:p>
          <a:endParaRPr lang="en-IN"/>
        </a:p>
      </dgm:t>
    </dgm:pt>
    <dgm:pt modelId="{A658C9D6-2822-43BD-8B5F-3AE1EFC7256D}">
      <dgm:prSet/>
      <dgm:spPr/>
      <dgm:t>
        <a:bodyPr/>
        <a:lstStyle/>
        <a:p>
          <a:pPr algn="just">
            <a:buFont typeface="Symbol" panose="05050102010706020507" pitchFamily="18" charset="2"/>
            <a:buChar char=""/>
          </a:pPr>
          <a:r>
            <a:rPr lang="en-IN"/>
            <a:t>Days Inventory Outstanding (DIO): </a:t>
          </a:r>
        </a:p>
      </dgm:t>
    </dgm:pt>
    <dgm:pt modelId="{BAEE1D27-1009-4C99-A7D7-F7C51F6B6C55}" type="parTrans" cxnId="{ABBD3DBE-ECC0-4E2E-BA69-3A87827C2205}">
      <dgm:prSet/>
      <dgm:spPr/>
      <dgm:t>
        <a:bodyPr/>
        <a:lstStyle/>
        <a:p>
          <a:endParaRPr lang="en-IN"/>
        </a:p>
      </dgm:t>
    </dgm:pt>
    <dgm:pt modelId="{5D35D7FB-7C1C-4433-9B17-86A047CD7A54}" type="sibTrans" cxnId="{ABBD3DBE-ECC0-4E2E-BA69-3A87827C2205}">
      <dgm:prSet/>
      <dgm:spPr/>
      <dgm:t>
        <a:bodyPr/>
        <a:lstStyle/>
        <a:p>
          <a:endParaRPr lang="en-IN"/>
        </a:p>
      </dgm:t>
    </dgm:pt>
    <dgm:pt modelId="{5BAE3F8A-749A-45B7-8E38-260CA2301DA8}">
      <dgm:prSet/>
      <dgm:spPr/>
      <dgm:t>
        <a:bodyPr/>
        <a:lstStyle/>
        <a:p>
          <a:pPr algn="just">
            <a:buFont typeface="Symbol" panose="05050102010706020507" pitchFamily="18" charset="2"/>
            <a:buChar char=""/>
          </a:pPr>
          <a:r>
            <a:rPr lang="en-IN"/>
            <a:t>Days Sales Outstanding (DSO): </a:t>
          </a:r>
        </a:p>
      </dgm:t>
    </dgm:pt>
    <dgm:pt modelId="{754EF259-5A25-43FE-85B0-76AEDCCDF549}" type="parTrans" cxnId="{B3D0C5E3-99FA-4000-AF06-051A5E96BAD6}">
      <dgm:prSet/>
      <dgm:spPr/>
      <dgm:t>
        <a:bodyPr/>
        <a:lstStyle/>
        <a:p>
          <a:endParaRPr lang="en-IN"/>
        </a:p>
      </dgm:t>
    </dgm:pt>
    <dgm:pt modelId="{4977A3E2-F1D2-427E-BE50-CAA079D449CC}" type="sibTrans" cxnId="{B3D0C5E3-99FA-4000-AF06-051A5E96BAD6}">
      <dgm:prSet/>
      <dgm:spPr/>
      <dgm:t>
        <a:bodyPr/>
        <a:lstStyle/>
        <a:p>
          <a:endParaRPr lang="en-IN"/>
        </a:p>
      </dgm:t>
    </dgm:pt>
    <dgm:pt modelId="{205CB549-FED0-4F62-8920-531940A2F514}">
      <dgm:prSet/>
      <dgm:spPr/>
      <dgm:t>
        <a:bodyPr/>
        <a:lstStyle/>
        <a:p>
          <a:pPr algn="just">
            <a:buFont typeface="Symbol" panose="05050102010706020507" pitchFamily="18" charset="2"/>
            <a:buChar char=""/>
          </a:pPr>
          <a:r>
            <a:rPr lang="en-IN"/>
            <a:t>Days Payable Outstanding (DPO): </a:t>
          </a:r>
        </a:p>
      </dgm:t>
    </dgm:pt>
    <dgm:pt modelId="{5B46A59F-8EE4-4B59-910E-8895F1C8C3E5}" type="parTrans" cxnId="{F0F12C7B-B707-41F6-B638-6522703B6426}">
      <dgm:prSet/>
      <dgm:spPr/>
      <dgm:t>
        <a:bodyPr/>
        <a:lstStyle/>
        <a:p>
          <a:endParaRPr lang="en-IN"/>
        </a:p>
      </dgm:t>
    </dgm:pt>
    <dgm:pt modelId="{7FC7147A-FE94-4780-BFC9-D1397529AEBD}" type="sibTrans" cxnId="{F0F12C7B-B707-41F6-B638-6522703B6426}">
      <dgm:prSet/>
      <dgm:spPr/>
      <dgm:t>
        <a:bodyPr/>
        <a:lstStyle/>
        <a:p>
          <a:endParaRPr lang="en-IN"/>
        </a:p>
      </dgm:t>
    </dgm:pt>
    <dgm:pt modelId="{371A4844-CDD9-4D83-BD17-54A619947119}">
      <dgm:prSet/>
      <dgm:spPr/>
      <dgm:t>
        <a:bodyPr/>
        <a:lstStyle/>
        <a:p>
          <a:pPr algn="just">
            <a:buFont typeface="Symbol" panose="05050102010706020507" pitchFamily="18" charset="2"/>
            <a:buChar char=""/>
          </a:pPr>
          <a:r>
            <a:rPr lang="en-IN"/>
            <a:t>Hospitality operations carry the eligible raw inventory related to the total assets. Beverage, food and room linen supplies are highly perishable or move rapidly, which keeps DIO extremely low (ranging from 2 to 5 days). </a:t>
          </a:r>
        </a:p>
      </dgm:t>
    </dgm:pt>
    <dgm:pt modelId="{EC19A1D8-597C-430A-AA04-EE8238BB39AB}" type="parTrans" cxnId="{1AEA3765-386A-4992-B09B-91CFD6CD8E99}">
      <dgm:prSet/>
      <dgm:spPr/>
      <dgm:t>
        <a:bodyPr/>
        <a:lstStyle/>
        <a:p>
          <a:endParaRPr lang="en-IN"/>
        </a:p>
      </dgm:t>
    </dgm:pt>
    <dgm:pt modelId="{9AC78586-467B-43F5-A319-2738072E3357}" type="sibTrans" cxnId="{1AEA3765-386A-4992-B09B-91CFD6CD8E99}">
      <dgm:prSet/>
      <dgm:spPr/>
      <dgm:t>
        <a:bodyPr/>
        <a:lstStyle/>
        <a:p>
          <a:endParaRPr lang="en-IN"/>
        </a:p>
      </dgm:t>
    </dgm:pt>
    <dgm:pt modelId="{598D8C5F-8E4B-47DA-9734-CA4C890E6DBD}">
      <dgm:prSet/>
      <dgm:spPr/>
      <dgm:t>
        <a:bodyPr/>
        <a:lstStyle/>
        <a:p>
          <a:pPr algn="just">
            <a:buFont typeface="Symbol" panose="05050102010706020507" pitchFamily="18" charset="2"/>
            <a:buChar char=""/>
          </a:pPr>
          <a:r>
            <a:rPr lang="en-IN"/>
            <a:t>The direct-to-consumer distribution strategy, maintaining more than 90% direct digital booking rate, optimises the collection timeline. Leisure guests pay upfront through digital channels or at the point of check-in, which keeps the DSO for the retail channels near zero. The residual credit rate includes corporate accounts, which provides a minor lag, keeping the aggregate corporate DSO stabilised between 3 and 7 days. </a:t>
          </a:r>
        </a:p>
      </dgm:t>
    </dgm:pt>
    <dgm:pt modelId="{741DE17B-7C9B-4F10-83FF-AEF499D06D56}" type="parTrans" cxnId="{86C23B4E-25FB-40F0-B556-53CA4DD7FA04}">
      <dgm:prSet/>
      <dgm:spPr/>
      <dgm:t>
        <a:bodyPr/>
        <a:lstStyle/>
        <a:p>
          <a:endParaRPr lang="en-IN"/>
        </a:p>
      </dgm:t>
    </dgm:pt>
    <dgm:pt modelId="{028A4FBA-3699-4A47-9146-B1334FDD118E}" type="sibTrans" cxnId="{86C23B4E-25FB-40F0-B556-53CA4DD7FA04}">
      <dgm:prSet/>
      <dgm:spPr/>
      <dgm:t>
        <a:bodyPr/>
        <a:lstStyle/>
        <a:p>
          <a:endParaRPr lang="en-IN"/>
        </a:p>
      </dgm:t>
    </dgm:pt>
    <dgm:pt modelId="{750274FB-0901-48CD-980F-E52C726FFB83}">
      <dgm:prSet/>
      <dgm:spPr/>
      <dgm:t>
        <a:bodyPr/>
        <a:lstStyle/>
        <a:p>
          <a:pPr algn="just">
            <a:buFont typeface="Symbol" panose="05050102010706020507" pitchFamily="18" charset="2"/>
            <a:buChar char=""/>
          </a:pPr>
          <a:r>
            <a:rPr lang="en-IN"/>
            <a:t>Conversely, procurement contracts with commercial suppliers, laundry services and utility providers operate under standard commercial credit terms, which allow a deferred settlement runway that typically ranges from 30 to 45 days.</a:t>
          </a:r>
        </a:p>
      </dgm:t>
    </dgm:pt>
    <dgm:pt modelId="{EC1B5A4F-D4B8-4006-892B-5A0B8B84EAD3}" type="parTrans" cxnId="{2C1F1996-012A-49BB-B456-DE6A5A17622D}">
      <dgm:prSet/>
      <dgm:spPr/>
      <dgm:t>
        <a:bodyPr/>
        <a:lstStyle/>
        <a:p>
          <a:endParaRPr lang="en-IN"/>
        </a:p>
      </dgm:t>
    </dgm:pt>
    <dgm:pt modelId="{9995FA32-D7CC-4A04-BF45-3E72BB2E61ED}" type="sibTrans" cxnId="{2C1F1996-012A-49BB-B456-DE6A5A17622D}">
      <dgm:prSet/>
      <dgm:spPr/>
      <dgm:t>
        <a:bodyPr/>
        <a:lstStyle/>
        <a:p>
          <a:endParaRPr lang="en-IN"/>
        </a:p>
      </dgm:t>
    </dgm:pt>
    <dgm:pt modelId="{877FACC0-C544-4EC8-BCF9-366E38B37659}" type="pres">
      <dgm:prSet presAssocID="{B120A64F-7B61-4FD5-8EA8-FDB3B4F8F2DB}" presName="Name0" presStyleCnt="0">
        <dgm:presLayoutVars>
          <dgm:dir/>
          <dgm:animLvl val="lvl"/>
          <dgm:resizeHandles val="exact"/>
        </dgm:presLayoutVars>
      </dgm:prSet>
      <dgm:spPr/>
    </dgm:pt>
    <dgm:pt modelId="{05E528B7-D5B2-4D47-A436-8DBD8E0DA149}" type="pres">
      <dgm:prSet presAssocID="{A658C9D6-2822-43BD-8B5F-3AE1EFC7256D}" presName="composite" presStyleCnt="0"/>
      <dgm:spPr/>
    </dgm:pt>
    <dgm:pt modelId="{F2E0B12C-8EF9-4BEA-9E63-49053CF0B2F2}" type="pres">
      <dgm:prSet presAssocID="{A658C9D6-2822-43BD-8B5F-3AE1EFC7256D}" presName="parTx" presStyleLbl="alignNode1" presStyleIdx="0" presStyleCnt="3">
        <dgm:presLayoutVars>
          <dgm:chMax val="0"/>
          <dgm:chPref val="0"/>
          <dgm:bulletEnabled val="1"/>
        </dgm:presLayoutVars>
      </dgm:prSet>
      <dgm:spPr/>
    </dgm:pt>
    <dgm:pt modelId="{4E5290A2-4CA4-4361-8082-239AAE967830}" type="pres">
      <dgm:prSet presAssocID="{A658C9D6-2822-43BD-8B5F-3AE1EFC7256D}" presName="desTx" presStyleLbl="alignAccFollowNode1" presStyleIdx="0" presStyleCnt="3">
        <dgm:presLayoutVars>
          <dgm:bulletEnabled val="1"/>
        </dgm:presLayoutVars>
      </dgm:prSet>
      <dgm:spPr/>
    </dgm:pt>
    <dgm:pt modelId="{97B24C33-2C14-497B-AF0B-EF34D524ECD5}" type="pres">
      <dgm:prSet presAssocID="{5D35D7FB-7C1C-4433-9B17-86A047CD7A54}" presName="space" presStyleCnt="0"/>
      <dgm:spPr/>
    </dgm:pt>
    <dgm:pt modelId="{6BFE814E-C852-4EF6-AFB7-78F997E3279B}" type="pres">
      <dgm:prSet presAssocID="{5BAE3F8A-749A-45B7-8E38-260CA2301DA8}" presName="composite" presStyleCnt="0"/>
      <dgm:spPr/>
    </dgm:pt>
    <dgm:pt modelId="{250DDFCF-590E-4E4F-B204-B80C669A391D}" type="pres">
      <dgm:prSet presAssocID="{5BAE3F8A-749A-45B7-8E38-260CA2301DA8}" presName="parTx" presStyleLbl="alignNode1" presStyleIdx="1" presStyleCnt="3">
        <dgm:presLayoutVars>
          <dgm:chMax val="0"/>
          <dgm:chPref val="0"/>
          <dgm:bulletEnabled val="1"/>
        </dgm:presLayoutVars>
      </dgm:prSet>
      <dgm:spPr/>
    </dgm:pt>
    <dgm:pt modelId="{D0309938-5B7E-40CE-8120-9EA1BD6DDA2A}" type="pres">
      <dgm:prSet presAssocID="{5BAE3F8A-749A-45B7-8E38-260CA2301DA8}" presName="desTx" presStyleLbl="alignAccFollowNode1" presStyleIdx="1" presStyleCnt="3">
        <dgm:presLayoutVars>
          <dgm:bulletEnabled val="1"/>
        </dgm:presLayoutVars>
      </dgm:prSet>
      <dgm:spPr/>
    </dgm:pt>
    <dgm:pt modelId="{608CA1BE-21A6-4283-A535-A70F649D3BB9}" type="pres">
      <dgm:prSet presAssocID="{4977A3E2-F1D2-427E-BE50-CAA079D449CC}" presName="space" presStyleCnt="0"/>
      <dgm:spPr/>
    </dgm:pt>
    <dgm:pt modelId="{8C4E516B-4C11-4C3E-A70C-9DE33389BEE7}" type="pres">
      <dgm:prSet presAssocID="{205CB549-FED0-4F62-8920-531940A2F514}" presName="composite" presStyleCnt="0"/>
      <dgm:spPr/>
    </dgm:pt>
    <dgm:pt modelId="{07AE7A8E-9AC7-4CB6-881D-3FAE1A3697B0}" type="pres">
      <dgm:prSet presAssocID="{205CB549-FED0-4F62-8920-531940A2F514}" presName="parTx" presStyleLbl="alignNode1" presStyleIdx="2" presStyleCnt="3">
        <dgm:presLayoutVars>
          <dgm:chMax val="0"/>
          <dgm:chPref val="0"/>
          <dgm:bulletEnabled val="1"/>
        </dgm:presLayoutVars>
      </dgm:prSet>
      <dgm:spPr/>
    </dgm:pt>
    <dgm:pt modelId="{253A6011-1E1D-467B-A584-9843C561D1DC}" type="pres">
      <dgm:prSet presAssocID="{205CB549-FED0-4F62-8920-531940A2F514}" presName="desTx" presStyleLbl="alignAccFollowNode1" presStyleIdx="2" presStyleCnt="3">
        <dgm:presLayoutVars>
          <dgm:bulletEnabled val="1"/>
        </dgm:presLayoutVars>
      </dgm:prSet>
      <dgm:spPr/>
    </dgm:pt>
  </dgm:ptLst>
  <dgm:cxnLst>
    <dgm:cxn modelId="{35E8CF27-87A1-442B-AB03-C1B2984887B0}" type="presOf" srcId="{371A4844-CDD9-4D83-BD17-54A619947119}" destId="{4E5290A2-4CA4-4361-8082-239AAE967830}" srcOrd="0" destOrd="0" presId="urn:microsoft.com/office/officeart/2005/8/layout/hList1"/>
    <dgm:cxn modelId="{B9C5AD31-97B7-4311-92F9-B6FE4F3F0CC7}" type="presOf" srcId="{205CB549-FED0-4F62-8920-531940A2F514}" destId="{07AE7A8E-9AC7-4CB6-881D-3FAE1A3697B0}" srcOrd="0" destOrd="0" presId="urn:microsoft.com/office/officeart/2005/8/layout/hList1"/>
    <dgm:cxn modelId="{4A97BF33-F284-41A2-82AD-5B3ADB12397E}" type="presOf" srcId="{598D8C5F-8E4B-47DA-9734-CA4C890E6DBD}" destId="{D0309938-5B7E-40CE-8120-9EA1BD6DDA2A}" srcOrd="0" destOrd="0" presId="urn:microsoft.com/office/officeart/2005/8/layout/hList1"/>
    <dgm:cxn modelId="{1AEA3765-386A-4992-B09B-91CFD6CD8E99}" srcId="{A658C9D6-2822-43BD-8B5F-3AE1EFC7256D}" destId="{371A4844-CDD9-4D83-BD17-54A619947119}" srcOrd="0" destOrd="0" parTransId="{EC19A1D8-597C-430A-AA04-EE8238BB39AB}" sibTransId="{9AC78586-467B-43F5-A319-2738072E3357}"/>
    <dgm:cxn modelId="{01E9D048-3180-4E51-977E-818CCF553E95}" type="presOf" srcId="{B120A64F-7B61-4FD5-8EA8-FDB3B4F8F2DB}" destId="{877FACC0-C544-4EC8-BCF9-366E38B37659}" srcOrd="0" destOrd="0" presId="urn:microsoft.com/office/officeart/2005/8/layout/hList1"/>
    <dgm:cxn modelId="{09CDF94C-6462-4E67-929C-D072AE62288F}" type="presOf" srcId="{A658C9D6-2822-43BD-8B5F-3AE1EFC7256D}" destId="{F2E0B12C-8EF9-4BEA-9E63-49053CF0B2F2}" srcOrd="0" destOrd="0" presId="urn:microsoft.com/office/officeart/2005/8/layout/hList1"/>
    <dgm:cxn modelId="{86C23B4E-25FB-40F0-B556-53CA4DD7FA04}" srcId="{5BAE3F8A-749A-45B7-8E38-260CA2301DA8}" destId="{598D8C5F-8E4B-47DA-9734-CA4C890E6DBD}" srcOrd="0" destOrd="0" parTransId="{741DE17B-7C9B-4F10-83FF-AEF499D06D56}" sibTransId="{028A4FBA-3699-4A47-9146-B1334FDD118E}"/>
    <dgm:cxn modelId="{F0F12C7B-B707-41F6-B638-6522703B6426}" srcId="{B120A64F-7B61-4FD5-8EA8-FDB3B4F8F2DB}" destId="{205CB549-FED0-4F62-8920-531940A2F514}" srcOrd="2" destOrd="0" parTransId="{5B46A59F-8EE4-4B59-910E-8895F1C8C3E5}" sibTransId="{7FC7147A-FE94-4780-BFC9-D1397529AEBD}"/>
    <dgm:cxn modelId="{2C1F1996-012A-49BB-B456-DE6A5A17622D}" srcId="{205CB549-FED0-4F62-8920-531940A2F514}" destId="{750274FB-0901-48CD-980F-E52C726FFB83}" srcOrd="0" destOrd="0" parTransId="{EC1B5A4F-D4B8-4006-892B-5A0B8B84EAD3}" sibTransId="{9995FA32-D7CC-4A04-BF45-3E72BB2E61ED}"/>
    <dgm:cxn modelId="{ABBD3DBE-ECC0-4E2E-BA69-3A87827C2205}" srcId="{B120A64F-7B61-4FD5-8EA8-FDB3B4F8F2DB}" destId="{A658C9D6-2822-43BD-8B5F-3AE1EFC7256D}" srcOrd="0" destOrd="0" parTransId="{BAEE1D27-1009-4C99-A7D7-F7C51F6B6C55}" sibTransId="{5D35D7FB-7C1C-4433-9B17-86A047CD7A54}"/>
    <dgm:cxn modelId="{B3D0C5E3-99FA-4000-AF06-051A5E96BAD6}" srcId="{B120A64F-7B61-4FD5-8EA8-FDB3B4F8F2DB}" destId="{5BAE3F8A-749A-45B7-8E38-260CA2301DA8}" srcOrd="1" destOrd="0" parTransId="{754EF259-5A25-43FE-85B0-76AEDCCDF549}" sibTransId="{4977A3E2-F1D2-427E-BE50-CAA079D449CC}"/>
    <dgm:cxn modelId="{35D2C9E5-9AC4-4C85-82BC-5C6EBD898E8F}" type="presOf" srcId="{5BAE3F8A-749A-45B7-8E38-260CA2301DA8}" destId="{250DDFCF-590E-4E4F-B204-B80C669A391D}" srcOrd="0" destOrd="0" presId="urn:microsoft.com/office/officeart/2005/8/layout/hList1"/>
    <dgm:cxn modelId="{6454CBEB-FAB4-4C78-8B36-28CA3DFAF679}" type="presOf" srcId="{750274FB-0901-48CD-980F-E52C726FFB83}" destId="{253A6011-1E1D-467B-A584-9843C561D1DC}" srcOrd="0" destOrd="0" presId="urn:microsoft.com/office/officeart/2005/8/layout/hList1"/>
    <dgm:cxn modelId="{DB81BF85-5AB4-438C-B583-6FCEC4CC3539}" type="presParOf" srcId="{877FACC0-C544-4EC8-BCF9-366E38B37659}" destId="{05E528B7-D5B2-4D47-A436-8DBD8E0DA149}" srcOrd="0" destOrd="0" presId="urn:microsoft.com/office/officeart/2005/8/layout/hList1"/>
    <dgm:cxn modelId="{E3F36A87-DCC2-4EEE-973A-89EC35F0EB40}" type="presParOf" srcId="{05E528B7-D5B2-4D47-A436-8DBD8E0DA149}" destId="{F2E0B12C-8EF9-4BEA-9E63-49053CF0B2F2}" srcOrd="0" destOrd="0" presId="urn:microsoft.com/office/officeart/2005/8/layout/hList1"/>
    <dgm:cxn modelId="{CF5F8C0F-723A-43DC-B260-23031807C935}" type="presParOf" srcId="{05E528B7-D5B2-4D47-A436-8DBD8E0DA149}" destId="{4E5290A2-4CA4-4361-8082-239AAE967830}" srcOrd="1" destOrd="0" presId="urn:microsoft.com/office/officeart/2005/8/layout/hList1"/>
    <dgm:cxn modelId="{E1A4B28D-6329-4422-9D15-1EE92337EE0E}" type="presParOf" srcId="{877FACC0-C544-4EC8-BCF9-366E38B37659}" destId="{97B24C33-2C14-497B-AF0B-EF34D524ECD5}" srcOrd="1" destOrd="0" presId="urn:microsoft.com/office/officeart/2005/8/layout/hList1"/>
    <dgm:cxn modelId="{EB32CE3D-6BF8-4842-9E0D-C5450190D7BA}" type="presParOf" srcId="{877FACC0-C544-4EC8-BCF9-366E38B37659}" destId="{6BFE814E-C852-4EF6-AFB7-78F997E3279B}" srcOrd="2" destOrd="0" presId="urn:microsoft.com/office/officeart/2005/8/layout/hList1"/>
    <dgm:cxn modelId="{7059BE85-E67C-411A-B2C7-BCC1634D38B5}" type="presParOf" srcId="{6BFE814E-C852-4EF6-AFB7-78F997E3279B}" destId="{250DDFCF-590E-4E4F-B204-B80C669A391D}" srcOrd="0" destOrd="0" presId="urn:microsoft.com/office/officeart/2005/8/layout/hList1"/>
    <dgm:cxn modelId="{C6D6E9D5-819D-4328-B655-DBAF32FFAE36}" type="presParOf" srcId="{6BFE814E-C852-4EF6-AFB7-78F997E3279B}" destId="{D0309938-5B7E-40CE-8120-9EA1BD6DDA2A}" srcOrd="1" destOrd="0" presId="urn:microsoft.com/office/officeart/2005/8/layout/hList1"/>
    <dgm:cxn modelId="{2EC4A461-76B6-4A17-B690-CAA259C7E6FE}" type="presParOf" srcId="{877FACC0-C544-4EC8-BCF9-366E38B37659}" destId="{608CA1BE-21A6-4283-A535-A70F649D3BB9}" srcOrd="3" destOrd="0" presId="urn:microsoft.com/office/officeart/2005/8/layout/hList1"/>
    <dgm:cxn modelId="{8A1B900B-9A02-443B-A78C-C8FA931DEF66}" type="presParOf" srcId="{877FACC0-C544-4EC8-BCF9-366E38B37659}" destId="{8C4E516B-4C11-4C3E-A70C-9DE33389BEE7}" srcOrd="4" destOrd="0" presId="urn:microsoft.com/office/officeart/2005/8/layout/hList1"/>
    <dgm:cxn modelId="{CE324744-4D08-41F0-856E-806E4C86AB6D}" type="presParOf" srcId="{8C4E516B-4C11-4C3E-A70C-9DE33389BEE7}" destId="{07AE7A8E-9AC7-4CB6-881D-3FAE1A3697B0}" srcOrd="0" destOrd="0" presId="urn:microsoft.com/office/officeart/2005/8/layout/hList1"/>
    <dgm:cxn modelId="{629F249A-C7A6-43A8-97C5-840944E7E0C3}" type="presParOf" srcId="{8C4E516B-4C11-4C3E-A70C-9DE33389BEE7}" destId="{253A6011-1E1D-467B-A584-9843C561D1DC}" srcOrd="1" destOrd="0" presId="urn:microsoft.com/office/officeart/2005/8/layout/hList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A1F6ACC-74C8-4FB8-B86A-A74BC2A4F8DD}" type="doc">
      <dgm:prSet loTypeId="urn:microsoft.com/office/officeart/2005/8/layout/vList2" loCatId="list" qsTypeId="urn:microsoft.com/office/officeart/2005/8/quickstyle/3d1" qsCatId="3D" csTypeId="urn:microsoft.com/office/officeart/2005/8/colors/accent1_2" csCatId="accent1" phldr="1"/>
      <dgm:spPr/>
      <dgm:t>
        <a:bodyPr/>
        <a:lstStyle/>
        <a:p>
          <a:endParaRPr lang="en-IN"/>
        </a:p>
      </dgm:t>
    </dgm:pt>
    <dgm:pt modelId="{D3F98AFD-7FF7-4D25-87DF-2C01913CEAA4}">
      <dgm:prSet/>
      <dgm:spPr/>
      <dgm:t>
        <a:bodyPr/>
        <a:lstStyle/>
        <a:p>
          <a:pPr algn="just">
            <a:buNone/>
          </a:pPr>
          <a:r>
            <a:rPr lang="en-IN"/>
            <a:t>Targeted asset divestiture via sale-and-leaseback re-engineering: The group needs to pursue the selective divestitures of its owned freehold assets, particularly targeting the mature, premium real estate nodes within the UK. By executing highly structured sale-and= leaseback transactions, the company can immediately unlock the trapped equity. Meanwhile, to avoid exacerbating the present IFRS 16 lease liability profile, these contracts need to integrate inflation-linked or turnover-linked rent structures. This approach safeguards against fixed cost escalation and converts fixed liabilities into flexible operational expenses. </a:t>
          </a:r>
        </a:p>
      </dgm:t>
    </dgm:pt>
    <dgm:pt modelId="{3456C245-9538-4F37-877C-2AFD5F8E841F}" type="parTrans" cxnId="{F620890F-295C-4FE9-8A1D-FA2ED9751601}">
      <dgm:prSet/>
      <dgm:spPr/>
      <dgm:t>
        <a:bodyPr/>
        <a:lstStyle/>
        <a:p>
          <a:endParaRPr lang="en-IN"/>
        </a:p>
      </dgm:t>
    </dgm:pt>
    <dgm:pt modelId="{4F8444C0-4671-40AC-8ACF-D4435DAF0960}" type="sibTrans" cxnId="{F620890F-295C-4FE9-8A1D-FA2ED9751601}">
      <dgm:prSet/>
      <dgm:spPr/>
      <dgm:t>
        <a:bodyPr/>
        <a:lstStyle/>
        <a:p>
          <a:endParaRPr lang="en-IN"/>
        </a:p>
      </dgm:t>
    </dgm:pt>
    <dgm:pt modelId="{2879B6BD-4F93-43A2-BF5D-61EA74FD50A1}">
      <dgm:prSet/>
      <dgm:spPr/>
      <dgm:t>
        <a:bodyPr/>
        <a:lstStyle/>
        <a:p>
          <a:pPr algn="just">
            <a:buNone/>
          </a:pPr>
          <a:r>
            <a:rPr lang="en-IN"/>
            <a:t>Strategic injection from private sponsors or sovereign capital: To directly address the high-level constraints, the corporate enterprise needs to seek a targeted equity injection from the ultimate financial sponsors or external private equity consortia. By injecting the new equity capital, Travelodge can immediately decrease its gross debt. This direct capital placement can be systematically deployed to retire the high-yield senior secured floating-rate notes, immediately decreasing the cash interest expenses and improving the corporate credit profile. </a:t>
          </a:r>
        </a:p>
      </dgm:t>
    </dgm:pt>
    <dgm:pt modelId="{A8B89898-1534-4B1B-9058-748A130B1534}" type="parTrans" cxnId="{E2CD11DB-F05E-4765-A0C6-680CB62521FF}">
      <dgm:prSet/>
      <dgm:spPr/>
      <dgm:t>
        <a:bodyPr/>
        <a:lstStyle/>
        <a:p>
          <a:endParaRPr lang="en-IN"/>
        </a:p>
      </dgm:t>
    </dgm:pt>
    <dgm:pt modelId="{CFE176DB-676C-44C3-86A9-85322FD43800}" type="sibTrans" cxnId="{E2CD11DB-F05E-4765-A0C6-680CB62521FF}">
      <dgm:prSet/>
      <dgm:spPr/>
      <dgm:t>
        <a:bodyPr/>
        <a:lstStyle/>
        <a:p>
          <a:endParaRPr lang="en-IN"/>
        </a:p>
      </dgm:t>
    </dgm:pt>
    <dgm:pt modelId="{544E6086-CF85-4710-9E83-BB5538B5ACFC}">
      <dgm:prSet/>
      <dgm:spPr/>
      <dgm:t>
        <a:bodyPr/>
        <a:lstStyle/>
        <a:p>
          <a:pPr algn="just">
            <a:buNone/>
          </a:pPr>
          <a:r>
            <a:rPr lang="en-IN"/>
            <a:t>Joint venture infrastructure for continental expansion: Instead of using its own balance sheet to fund international growth, the company should form a strategic asset-light joint venture with institutional real estate funds or the localised franchise partners for its ongoing expansion into Spain. The institutional partner offers the capital required for property acquisition and construction, while the group acts as the operating partner. This setup enables the organisation to scale operations without adding debt liabilities or new leasehold to its own balance sheet. </a:t>
          </a:r>
        </a:p>
      </dgm:t>
    </dgm:pt>
    <dgm:pt modelId="{BD406C84-CE03-49E0-94C3-2CA9C930DD15}" type="parTrans" cxnId="{6E1EFC8D-B625-4D57-98E9-4994E51D1889}">
      <dgm:prSet/>
      <dgm:spPr/>
      <dgm:t>
        <a:bodyPr/>
        <a:lstStyle/>
        <a:p>
          <a:endParaRPr lang="en-IN"/>
        </a:p>
      </dgm:t>
    </dgm:pt>
    <dgm:pt modelId="{5234AD82-034F-49C2-9DF9-647D2A690BA1}" type="sibTrans" cxnId="{6E1EFC8D-B625-4D57-98E9-4994E51D1889}">
      <dgm:prSet/>
      <dgm:spPr/>
      <dgm:t>
        <a:bodyPr/>
        <a:lstStyle/>
        <a:p>
          <a:endParaRPr lang="en-IN"/>
        </a:p>
      </dgm:t>
    </dgm:pt>
    <dgm:pt modelId="{1B68B7FE-A521-4666-A2CB-EE8AD030BEA3}" type="pres">
      <dgm:prSet presAssocID="{CA1F6ACC-74C8-4FB8-B86A-A74BC2A4F8DD}" presName="linear" presStyleCnt="0">
        <dgm:presLayoutVars>
          <dgm:animLvl val="lvl"/>
          <dgm:resizeHandles val="exact"/>
        </dgm:presLayoutVars>
      </dgm:prSet>
      <dgm:spPr/>
    </dgm:pt>
    <dgm:pt modelId="{41666E97-77A0-46DC-8FDB-08EDD938D53F}" type="pres">
      <dgm:prSet presAssocID="{D3F98AFD-7FF7-4D25-87DF-2C01913CEAA4}" presName="parentText" presStyleLbl="node1" presStyleIdx="0" presStyleCnt="3">
        <dgm:presLayoutVars>
          <dgm:chMax val="0"/>
          <dgm:bulletEnabled val="1"/>
        </dgm:presLayoutVars>
      </dgm:prSet>
      <dgm:spPr/>
    </dgm:pt>
    <dgm:pt modelId="{19D7E315-9B22-403A-ACF5-D4444E409BBE}" type="pres">
      <dgm:prSet presAssocID="{4F8444C0-4671-40AC-8ACF-D4435DAF0960}" presName="spacer" presStyleCnt="0"/>
      <dgm:spPr/>
    </dgm:pt>
    <dgm:pt modelId="{88F93E8B-542F-4DA2-B5BB-13FD9651C586}" type="pres">
      <dgm:prSet presAssocID="{2879B6BD-4F93-43A2-BF5D-61EA74FD50A1}" presName="parentText" presStyleLbl="node1" presStyleIdx="1" presStyleCnt="3">
        <dgm:presLayoutVars>
          <dgm:chMax val="0"/>
          <dgm:bulletEnabled val="1"/>
        </dgm:presLayoutVars>
      </dgm:prSet>
      <dgm:spPr/>
    </dgm:pt>
    <dgm:pt modelId="{AB66AB30-A33C-463A-A623-A0904B51A4F3}" type="pres">
      <dgm:prSet presAssocID="{CFE176DB-676C-44C3-86A9-85322FD43800}" presName="spacer" presStyleCnt="0"/>
      <dgm:spPr/>
    </dgm:pt>
    <dgm:pt modelId="{D9083B05-DFA7-4049-8F75-5306DCF7EA86}" type="pres">
      <dgm:prSet presAssocID="{544E6086-CF85-4710-9E83-BB5538B5ACFC}" presName="parentText" presStyleLbl="node1" presStyleIdx="2" presStyleCnt="3">
        <dgm:presLayoutVars>
          <dgm:chMax val="0"/>
          <dgm:bulletEnabled val="1"/>
        </dgm:presLayoutVars>
      </dgm:prSet>
      <dgm:spPr/>
    </dgm:pt>
  </dgm:ptLst>
  <dgm:cxnLst>
    <dgm:cxn modelId="{903ED702-24C7-43B7-9C4D-9776B6AB1E89}" type="presOf" srcId="{D3F98AFD-7FF7-4D25-87DF-2C01913CEAA4}" destId="{41666E97-77A0-46DC-8FDB-08EDD938D53F}" srcOrd="0" destOrd="0" presId="urn:microsoft.com/office/officeart/2005/8/layout/vList2"/>
    <dgm:cxn modelId="{F620890F-295C-4FE9-8A1D-FA2ED9751601}" srcId="{CA1F6ACC-74C8-4FB8-B86A-A74BC2A4F8DD}" destId="{D3F98AFD-7FF7-4D25-87DF-2C01913CEAA4}" srcOrd="0" destOrd="0" parTransId="{3456C245-9538-4F37-877C-2AFD5F8E841F}" sibTransId="{4F8444C0-4671-40AC-8ACF-D4435DAF0960}"/>
    <dgm:cxn modelId="{4938CC2D-DC7C-4E4E-984D-7354878533E0}" type="presOf" srcId="{2879B6BD-4F93-43A2-BF5D-61EA74FD50A1}" destId="{88F93E8B-542F-4DA2-B5BB-13FD9651C586}" srcOrd="0" destOrd="0" presId="urn:microsoft.com/office/officeart/2005/8/layout/vList2"/>
    <dgm:cxn modelId="{6E1EFC8D-B625-4D57-98E9-4994E51D1889}" srcId="{CA1F6ACC-74C8-4FB8-B86A-A74BC2A4F8DD}" destId="{544E6086-CF85-4710-9E83-BB5538B5ACFC}" srcOrd="2" destOrd="0" parTransId="{BD406C84-CE03-49E0-94C3-2CA9C930DD15}" sibTransId="{5234AD82-034F-49C2-9DF9-647D2A690BA1}"/>
    <dgm:cxn modelId="{5481A9C8-EF6D-41DC-9FC6-E7102BAF37A1}" type="presOf" srcId="{CA1F6ACC-74C8-4FB8-B86A-A74BC2A4F8DD}" destId="{1B68B7FE-A521-4666-A2CB-EE8AD030BEA3}" srcOrd="0" destOrd="0" presId="urn:microsoft.com/office/officeart/2005/8/layout/vList2"/>
    <dgm:cxn modelId="{E2CD11DB-F05E-4765-A0C6-680CB62521FF}" srcId="{CA1F6ACC-74C8-4FB8-B86A-A74BC2A4F8DD}" destId="{2879B6BD-4F93-43A2-BF5D-61EA74FD50A1}" srcOrd="1" destOrd="0" parTransId="{A8B89898-1534-4B1B-9058-748A130B1534}" sibTransId="{CFE176DB-676C-44C3-86A9-85322FD43800}"/>
    <dgm:cxn modelId="{EE46FEF3-D203-413F-AE9B-A0ABF15A3115}" type="presOf" srcId="{544E6086-CF85-4710-9E83-BB5538B5ACFC}" destId="{D9083B05-DFA7-4049-8F75-5306DCF7EA86}" srcOrd="0" destOrd="0" presId="urn:microsoft.com/office/officeart/2005/8/layout/vList2"/>
    <dgm:cxn modelId="{800F1722-0963-492E-8D6E-545EE6651096}" type="presParOf" srcId="{1B68B7FE-A521-4666-A2CB-EE8AD030BEA3}" destId="{41666E97-77A0-46DC-8FDB-08EDD938D53F}" srcOrd="0" destOrd="0" presId="urn:microsoft.com/office/officeart/2005/8/layout/vList2"/>
    <dgm:cxn modelId="{A1215294-4E3C-4347-AA16-2888796833D3}" type="presParOf" srcId="{1B68B7FE-A521-4666-A2CB-EE8AD030BEA3}" destId="{19D7E315-9B22-403A-ACF5-D4444E409BBE}" srcOrd="1" destOrd="0" presId="urn:microsoft.com/office/officeart/2005/8/layout/vList2"/>
    <dgm:cxn modelId="{AC45BBCA-3790-4F74-BEFB-706CBA9BAB70}" type="presParOf" srcId="{1B68B7FE-A521-4666-A2CB-EE8AD030BEA3}" destId="{88F93E8B-542F-4DA2-B5BB-13FD9651C586}" srcOrd="2" destOrd="0" presId="urn:microsoft.com/office/officeart/2005/8/layout/vList2"/>
    <dgm:cxn modelId="{89645DAA-41C5-4139-94D7-E6F48711E915}" type="presParOf" srcId="{1B68B7FE-A521-4666-A2CB-EE8AD030BEA3}" destId="{AB66AB30-A33C-463A-A623-A0904B51A4F3}" srcOrd="3" destOrd="0" presId="urn:microsoft.com/office/officeart/2005/8/layout/vList2"/>
    <dgm:cxn modelId="{AE289CAC-2133-44EF-B158-417193DF62B3}" type="presParOf" srcId="{1B68B7FE-A521-4666-A2CB-EE8AD030BEA3}" destId="{D9083B05-DFA7-4049-8F75-5306DCF7EA86}" srcOrd="4" destOrd="0" presId="urn:microsoft.com/office/officeart/2005/8/layout/vList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AFA31A22-E7E7-4E8E-B952-50A25F9B6C3C}" type="doc">
      <dgm:prSet loTypeId="urn:microsoft.com/office/officeart/2008/layout/LinedList" loCatId="list" qsTypeId="urn:microsoft.com/office/officeart/2005/8/quickstyle/simple5" qsCatId="simple" csTypeId="urn:microsoft.com/office/officeart/2005/8/colors/accent1_2" csCatId="accent1" phldr="1"/>
      <dgm:spPr/>
      <dgm:t>
        <a:bodyPr/>
        <a:lstStyle/>
        <a:p>
          <a:endParaRPr lang="en-IN"/>
        </a:p>
      </dgm:t>
    </dgm:pt>
    <dgm:pt modelId="{ADF5AFAC-41F3-4A00-B7B8-FCB4908C5199}">
      <dgm:prSet phldrT="[Text]"/>
      <dgm:spPr/>
      <dgm:t>
        <a:bodyPr/>
        <a:lstStyle/>
        <a:p>
          <a:pPr algn="just">
            <a:buNone/>
          </a:pPr>
          <a:r>
            <a:rPr lang="en-IN"/>
            <a:t>Cross-border taxation and transfer pricing: Expanding operations in Spain presents critical cross-border tax dynamics between UK and Eurozone jurisdictions. The corporate entity needs to establish a strong, arm’s-length transfer pricing framework for intercompany transactions, like centralised booking platform excess fees, management service agreements and brand royalties. Managing these flows properly assists in the optimisation of the group's tax rate of the group while ensuring full compliance with OECD base erosion and profit sharing (BEPS) guidelines. </a:t>
          </a:r>
        </a:p>
      </dgm:t>
    </dgm:pt>
    <dgm:pt modelId="{E64A3ACD-41A4-46BA-94D7-15F127D5CEB7}" type="parTrans" cxnId="{24AEBCB7-B04B-49A1-A9FA-9FA2E3FB49A9}">
      <dgm:prSet/>
      <dgm:spPr/>
      <dgm:t>
        <a:bodyPr/>
        <a:lstStyle/>
        <a:p>
          <a:endParaRPr lang="en-IN"/>
        </a:p>
      </dgm:t>
    </dgm:pt>
    <dgm:pt modelId="{A9C212A6-F076-4D82-989A-7CFF52FD575B}" type="sibTrans" cxnId="{24AEBCB7-B04B-49A1-A9FA-9FA2E3FB49A9}">
      <dgm:prSet/>
      <dgm:spPr/>
      <dgm:t>
        <a:bodyPr/>
        <a:lstStyle/>
        <a:p>
          <a:endParaRPr lang="en-IN"/>
        </a:p>
      </dgm:t>
    </dgm:pt>
    <dgm:pt modelId="{E9D8F3C8-4754-44E5-837C-FB9C3CBEDE2D}">
      <dgm:prSet/>
      <dgm:spPr/>
      <dgm:t>
        <a:bodyPr/>
        <a:lstStyle/>
        <a:p>
          <a:pPr algn="just">
            <a:buNone/>
          </a:pPr>
          <a:r>
            <a:rPr lang="en-IN"/>
            <a:t>Currency risk and macroeconomic hedging: Expanding in the eurozone leads to the inherent currency mismatch; the group reports in British pounds (£), while the Spanish business units generate revenues and incur liabilities in Euros (€). To insulate the corporate earnings from foreign exchange volatility, the group needs to use natural hedging strategies. This consists of financing Spanish freehold developments with Euro-denominated floating-rate notes, which ensures that the asset valuations and liabilities match perfectly. For the residual cash inflows, the treasury department needs to deploy structured forward contracts and currency options. </a:t>
          </a:r>
        </a:p>
      </dgm:t>
    </dgm:pt>
    <dgm:pt modelId="{6FFEE4EA-C68C-4FFD-AD03-D47EC1EE550A}" type="parTrans" cxnId="{91A9D8AB-EEAF-4FE6-A50F-7296E37011D4}">
      <dgm:prSet/>
      <dgm:spPr/>
      <dgm:t>
        <a:bodyPr/>
        <a:lstStyle/>
        <a:p>
          <a:endParaRPr lang="en-IN"/>
        </a:p>
      </dgm:t>
    </dgm:pt>
    <dgm:pt modelId="{21A049A4-C372-44ED-BFAE-69D7684BD465}" type="sibTrans" cxnId="{91A9D8AB-EEAF-4FE6-A50F-7296E37011D4}">
      <dgm:prSet/>
      <dgm:spPr/>
      <dgm:t>
        <a:bodyPr/>
        <a:lstStyle/>
        <a:p>
          <a:endParaRPr lang="en-IN"/>
        </a:p>
      </dgm:t>
    </dgm:pt>
    <dgm:pt modelId="{F532E144-7DAE-4CDD-93ED-FAD3B6DE567D}">
      <dgm:prSet/>
      <dgm:spPr/>
      <dgm:t>
        <a:bodyPr/>
        <a:lstStyle/>
        <a:p>
          <a:pPr algn="just">
            <a:buNone/>
          </a:pPr>
          <a:r>
            <a:rPr lang="en-IN"/>
            <a:t>Inflationary volatility and price and power: Operating in different regions needs different strategies to handle the localised inflation. In the UK, the margin pressures stem from increasing employment costs and business rates. In Spain, inflation has been closely tied to the broader European energy and construction costs. With the help of its direct-to-consumer digital booking engine, the group maintains the dynamic, real-time pricing power. This allows the business to adjust the average daily rates (ADRs) dynamically, which helps to protect the margins from sudden inflation spikes. </a:t>
          </a:r>
        </a:p>
      </dgm:t>
    </dgm:pt>
    <dgm:pt modelId="{71717900-DCB8-44EF-BC65-533789E19564}" type="parTrans" cxnId="{8B71559E-5E29-4BBF-9F7E-72CC29FA5362}">
      <dgm:prSet/>
      <dgm:spPr/>
      <dgm:t>
        <a:bodyPr/>
        <a:lstStyle/>
        <a:p>
          <a:endParaRPr lang="en-IN"/>
        </a:p>
      </dgm:t>
    </dgm:pt>
    <dgm:pt modelId="{503BE137-2D35-4033-A3A6-50F785572295}" type="sibTrans" cxnId="{8B71559E-5E29-4BBF-9F7E-72CC29FA5362}">
      <dgm:prSet/>
      <dgm:spPr/>
      <dgm:t>
        <a:bodyPr/>
        <a:lstStyle/>
        <a:p>
          <a:endParaRPr lang="en-IN"/>
        </a:p>
      </dgm:t>
    </dgm:pt>
    <dgm:pt modelId="{4D3C1C24-CA09-4A93-A9E1-E158971DBDB8}">
      <dgm:prSet/>
      <dgm:spPr/>
      <dgm:t>
        <a:bodyPr/>
        <a:lstStyle/>
        <a:p>
          <a:pPr algn="just">
            <a:buNone/>
          </a:pPr>
          <a:r>
            <a:rPr lang="en-IN"/>
            <a:t>CSR and ESG integration: Any strategic restructuring needs to align with the corporate social responsibility (CSR) and the environmental, social and governance (ESG) commitments. Capital deployed for the hotel refugees and the new developments needs to focus on sustainability, emphasizing on energy efficient building management systems, green building certifications and waste reduction protocols. Ethically, amidst increasing statutory minimum wages, the group needs to maintain fair compensation and clear career paths. Investing in these social standards helps in decreasing delay but turnover and protects the long-term value of the brand. </a:t>
          </a:r>
        </a:p>
      </dgm:t>
    </dgm:pt>
    <dgm:pt modelId="{9E8E6998-FBA9-444A-8644-E3952F6F834F}" type="parTrans" cxnId="{BD56F0D8-0A1F-48AA-8664-23AB00D00D55}">
      <dgm:prSet/>
      <dgm:spPr/>
      <dgm:t>
        <a:bodyPr/>
        <a:lstStyle/>
        <a:p>
          <a:endParaRPr lang="en-IN"/>
        </a:p>
      </dgm:t>
    </dgm:pt>
    <dgm:pt modelId="{373780DD-5E6C-4DB2-A91A-8B0544BFCA83}" type="sibTrans" cxnId="{BD56F0D8-0A1F-48AA-8664-23AB00D00D55}">
      <dgm:prSet/>
      <dgm:spPr/>
      <dgm:t>
        <a:bodyPr/>
        <a:lstStyle/>
        <a:p>
          <a:endParaRPr lang="en-IN"/>
        </a:p>
      </dgm:t>
    </dgm:pt>
    <dgm:pt modelId="{797D44DC-338B-4147-B149-90D09B8C5DB4}" type="pres">
      <dgm:prSet presAssocID="{AFA31A22-E7E7-4E8E-B952-50A25F9B6C3C}" presName="vert0" presStyleCnt="0">
        <dgm:presLayoutVars>
          <dgm:dir/>
          <dgm:animOne val="branch"/>
          <dgm:animLvl val="lvl"/>
        </dgm:presLayoutVars>
      </dgm:prSet>
      <dgm:spPr/>
    </dgm:pt>
    <dgm:pt modelId="{E2D8C840-C35E-45A5-9F65-A027471A6DAA}" type="pres">
      <dgm:prSet presAssocID="{ADF5AFAC-41F3-4A00-B7B8-FCB4908C5199}" presName="thickLine" presStyleLbl="alignNode1" presStyleIdx="0" presStyleCnt="4"/>
      <dgm:spPr/>
    </dgm:pt>
    <dgm:pt modelId="{CE658BBA-AEA1-4446-BD8E-D91725527D5F}" type="pres">
      <dgm:prSet presAssocID="{ADF5AFAC-41F3-4A00-B7B8-FCB4908C5199}" presName="horz1" presStyleCnt="0"/>
      <dgm:spPr/>
    </dgm:pt>
    <dgm:pt modelId="{948B744A-F131-4E51-9992-F5C4F6D29434}" type="pres">
      <dgm:prSet presAssocID="{ADF5AFAC-41F3-4A00-B7B8-FCB4908C5199}" presName="tx1" presStyleLbl="revTx" presStyleIdx="0" presStyleCnt="4" custLinFactNeighborX="556" custLinFactNeighborY="-2857"/>
      <dgm:spPr/>
    </dgm:pt>
    <dgm:pt modelId="{017BEAC0-E0D2-4177-94CF-C71FCB9D85FE}" type="pres">
      <dgm:prSet presAssocID="{ADF5AFAC-41F3-4A00-B7B8-FCB4908C5199}" presName="vert1" presStyleCnt="0"/>
      <dgm:spPr/>
    </dgm:pt>
    <dgm:pt modelId="{A28C23CB-3CAD-4625-8460-07122331610E}" type="pres">
      <dgm:prSet presAssocID="{E9D8F3C8-4754-44E5-837C-FB9C3CBEDE2D}" presName="thickLine" presStyleLbl="alignNode1" presStyleIdx="1" presStyleCnt="4"/>
      <dgm:spPr/>
    </dgm:pt>
    <dgm:pt modelId="{99968ECE-11C1-499B-B346-67EA00E0B8A7}" type="pres">
      <dgm:prSet presAssocID="{E9D8F3C8-4754-44E5-837C-FB9C3CBEDE2D}" presName="horz1" presStyleCnt="0"/>
      <dgm:spPr/>
    </dgm:pt>
    <dgm:pt modelId="{A9AC4C64-D10E-479D-8DC2-2E0D966FBF92}" type="pres">
      <dgm:prSet presAssocID="{E9D8F3C8-4754-44E5-837C-FB9C3CBEDE2D}" presName="tx1" presStyleLbl="revTx" presStyleIdx="1" presStyleCnt="4" custLinFactNeighborX="556" custLinFactNeighborY="-2857"/>
      <dgm:spPr/>
    </dgm:pt>
    <dgm:pt modelId="{471C8825-92B3-4803-8A59-7B1A4F6A5E65}" type="pres">
      <dgm:prSet presAssocID="{E9D8F3C8-4754-44E5-837C-FB9C3CBEDE2D}" presName="vert1" presStyleCnt="0"/>
      <dgm:spPr/>
    </dgm:pt>
    <dgm:pt modelId="{BEE37F53-AC3D-426D-B0DA-44EC65222F5C}" type="pres">
      <dgm:prSet presAssocID="{F532E144-7DAE-4CDD-93ED-FAD3B6DE567D}" presName="thickLine" presStyleLbl="alignNode1" presStyleIdx="2" presStyleCnt="4"/>
      <dgm:spPr/>
    </dgm:pt>
    <dgm:pt modelId="{50A328C7-4B58-4876-87E6-037E141F7E34}" type="pres">
      <dgm:prSet presAssocID="{F532E144-7DAE-4CDD-93ED-FAD3B6DE567D}" presName="horz1" presStyleCnt="0"/>
      <dgm:spPr/>
    </dgm:pt>
    <dgm:pt modelId="{B48248D6-E890-4502-AA90-57D20C480E55}" type="pres">
      <dgm:prSet presAssocID="{F532E144-7DAE-4CDD-93ED-FAD3B6DE567D}" presName="tx1" presStyleLbl="revTx" presStyleIdx="2" presStyleCnt="4" custLinFactNeighborX="556" custLinFactNeighborY="-2857"/>
      <dgm:spPr/>
    </dgm:pt>
    <dgm:pt modelId="{A2C6B285-5B7F-4C88-928D-0DD806C18A8C}" type="pres">
      <dgm:prSet presAssocID="{F532E144-7DAE-4CDD-93ED-FAD3B6DE567D}" presName="vert1" presStyleCnt="0"/>
      <dgm:spPr/>
    </dgm:pt>
    <dgm:pt modelId="{8ABBD255-6E1D-47AB-838F-F3ACDB872294}" type="pres">
      <dgm:prSet presAssocID="{4D3C1C24-CA09-4A93-A9E1-E158971DBDB8}" presName="thickLine" presStyleLbl="alignNode1" presStyleIdx="3" presStyleCnt="4"/>
      <dgm:spPr/>
    </dgm:pt>
    <dgm:pt modelId="{7B30C398-1D4D-4900-9A66-95414BAD27B9}" type="pres">
      <dgm:prSet presAssocID="{4D3C1C24-CA09-4A93-A9E1-E158971DBDB8}" presName="horz1" presStyleCnt="0"/>
      <dgm:spPr/>
    </dgm:pt>
    <dgm:pt modelId="{88FF8FC3-5BD8-4714-B9E9-8FE0F93EE121}" type="pres">
      <dgm:prSet presAssocID="{4D3C1C24-CA09-4A93-A9E1-E158971DBDB8}" presName="tx1" presStyleLbl="revTx" presStyleIdx="3" presStyleCnt="4" custLinFactNeighborX="556" custLinFactNeighborY="-2857"/>
      <dgm:spPr/>
    </dgm:pt>
    <dgm:pt modelId="{F01A83B5-6F7E-419D-84AD-46535BBF55A9}" type="pres">
      <dgm:prSet presAssocID="{4D3C1C24-CA09-4A93-A9E1-E158971DBDB8}" presName="vert1" presStyleCnt="0"/>
      <dgm:spPr/>
    </dgm:pt>
  </dgm:ptLst>
  <dgm:cxnLst>
    <dgm:cxn modelId="{7E63B818-E27E-4D96-A9FF-7E455DF183AD}" type="presOf" srcId="{AFA31A22-E7E7-4E8E-B952-50A25F9B6C3C}" destId="{797D44DC-338B-4147-B149-90D09B8C5DB4}" srcOrd="0" destOrd="0" presId="urn:microsoft.com/office/officeart/2008/layout/LinedList"/>
    <dgm:cxn modelId="{F3228322-75EC-44AB-BE49-E4134096B750}" type="presOf" srcId="{F532E144-7DAE-4CDD-93ED-FAD3B6DE567D}" destId="{B48248D6-E890-4502-AA90-57D20C480E55}" srcOrd="0" destOrd="0" presId="urn:microsoft.com/office/officeart/2008/layout/LinedList"/>
    <dgm:cxn modelId="{C54BA16D-0696-41B1-A249-D955F1BC1FB5}" type="presOf" srcId="{ADF5AFAC-41F3-4A00-B7B8-FCB4908C5199}" destId="{948B744A-F131-4E51-9992-F5C4F6D29434}" srcOrd="0" destOrd="0" presId="urn:microsoft.com/office/officeart/2008/layout/LinedList"/>
    <dgm:cxn modelId="{8B71559E-5E29-4BBF-9F7E-72CC29FA5362}" srcId="{AFA31A22-E7E7-4E8E-B952-50A25F9B6C3C}" destId="{F532E144-7DAE-4CDD-93ED-FAD3B6DE567D}" srcOrd="2" destOrd="0" parTransId="{71717900-DCB8-44EF-BC65-533789E19564}" sibTransId="{503BE137-2D35-4033-A3A6-50F785572295}"/>
    <dgm:cxn modelId="{91A9D8AB-EEAF-4FE6-A50F-7296E37011D4}" srcId="{AFA31A22-E7E7-4E8E-B952-50A25F9B6C3C}" destId="{E9D8F3C8-4754-44E5-837C-FB9C3CBEDE2D}" srcOrd="1" destOrd="0" parTransId="{6FFEE4EA-C68C-4FFD-AD03-D47EC1EE550A}" sibTransId="{21A049A4-C372-44ED-BFAE-69D7684BD465}"/>
    <dgm:cxn modelId="{24AEBCB7-B04B-49A1-A9FA-9FA2E3FB49A9}" srcId="{AFA31A22-E7E7-4E8E-B952-50A25F9B6C3C}" destId="{ADF5AFAC-41F3-4A00-B7B8-FCB4908C5199}" srcOrd="0" destOrd="0" parTransId="{E64A3ACD-41A4-46BA-94D7-15F127D5CEB7}" sibTransId="{A9C212A6-F076-4D82-989A-7CFF52FD575B}"/>
    <dgm:cxn modelId="{101356D7-7D16-4259-B1F4-671341C68578}" type="presOf" srcId="{E9D8F3C8-4754-44E5-837C-FB9C3CBEDE2D}" destId="{A9AC4C64-D10E-479D-8DC2-2E0D966FBF92}" srcOrd="0" destOrd="0" presId="urn:microsoft.com/office/officeart/2008/layout/LinedList"/>
    <dgm:cxn modelId="{BD56F0D8-0A1F-48AA-8664-23AB00D00D55}" srcId="{AFA31A22-E7E7-4E8E-B952-50A25F9B6C3C}" destId="{4D3C1C24-CA09-4A93-A9E1-E158971DBDB8}" srcOrd="3" destOrd="0" parTransId="{9E8E6998-FBA9-444A-8644-E3952F6F834F}" sibTransId="{373780DD-5E6C-4DB2-A91A-8B0544BFCA83}"/>
    <dgm:cxn modelId="{736374F1-A826-4724-B935-FE0632485D5D}" type="presOf" srcId="{4D3C1C24-CA09-4A93-A9E1-E158971DBDB8}" destId="{88FF8FC3-5BD8-4714-B9E9-8FE0F93EE121}" srcOrd="0" destOrd="0" presId="urn:microsoft.com/office/officeart/2008/layout/LinedList"/>
    <dgm:cxn modelId="{6649A1C1-0210-4FFB-B202-CEC388018928}" type="presParOf" srcId="{797D44DC-338B-4147-B149-90D09B8C5DB4}" destId="{E2D8C840-C35E-45A5-9F65-A027471A6DAA}" srcOrd="0" destOrd="0" presId="urn:microsoft.com/office/officeart/2008/layout/LinedList"/>
    <dgm:cxn modelId="{517DA8CD-C29D-48F4-A277-6DEDBD3DCCFB}" type="presParOf" srcId="{797D44DC-338B-4147-B149-90D09B8C5DB4}" destId="{CE658BBA-AEA1-4446-BD8E-D91725527D5F}" srcOrd="1" destOrd="0" presId="urn:microsoft.com/office/officeart/2008/layout/LinedList"/>
    <dgm:cxn modelId="{B3BDE9D8-C1E1-494B-AAA8-E61AE24E7306}" type="presParOf" srcId="{CE658BBA-AEA1-4446-BD8E-D91725527D5F}" destId="{948B744A-F131-4E51-9992-F5C4F6D29434}" srcOrd="0" destOrd="0" presId="urn:microsoft.com/office/officeart/2008/layout/LinedList"/>
    <dgm:cxn modelId="{57D870B6-9F97-4926-B955-E99066AFD66F}" type="presParOf" srcId="{CE658BBA-AEA1-4446-BD8E-D91725527D5F}" destId="{017BEAC0-E0D2-4177-94CF-C71FCB9D85FE}" srcOrd="1" destOrd="0" presId="urn:microsoft.com/office/officeart/2008/layout/LinedList"/>
    <dgm:cxn modelId="{5BA48606-22AB-4029-B37A-ADF9FE528770}" type="presParOf" srcId="{797D44DC-338B-4147-B149-90D09B8C5DB4}" destId="{A28C23CB-3CAD-4625-8460-07122331610E}" srcOrd="2" destOrd="0" presId="urn:microsoft.com/office/officeart/2008/layout/LinedList"/>
    <dgm:cxn modelId="{3A4A4473-6C1B-4D41-B5B1-22F0DFD655B2}" type="presParOf" srcId="{797D44DC-338B-4147-B149-90D09B8C5DB4}" destId="{99968ECE-11C1-499B-B346-67EA00E0B8A7}" srcOrd="3" destOrd="0" presId="urn:microsoft.com/office/officeart/2008/layout/LinedList"/>
    <dgm:cxn modelId="{E19BAB80-A7DA-4093-8B56-D57654478DBD}" type="presParOf" srcId="{99968ECE-11C1-499B-B346-67EA00E0B8A7}" destId="{A9AC4C64-D10E-479D-8DC2-2E0D966FBF92}" srcOrd="0" destOrd="0" presId="urn:microsoft.com/office/officeart/2008/layout/LinedList"/>
    <dgm:cxn modelId="{3E96F30A-A9B0-4AA5-B4BF-446D0D220AA8}" type="presParOf" srcId="{99968ECE-11C1-499B-B346-67EA00E0B8A7}" destId="{471C8825-92B3-4803-8A59-7B1A4F6A5E65}" srcOrd="1" destOrd="0" presId="urn:microsoft.com/office/officeart/2008/layout/LinedList"/>
    <dgm:cxn modelId="{45A8860C-6199-4CED-B7FF-BAF8D258A086}" type="presParOf" srcId="{797D44DC-338B-4147-B149-90D09B8C5DB4}" destId="{BEE37F53-AC3D-426D-B0DA-44EC65222F5C}" srcOrd="4" destOrd="0" presId="urn:microsoft.com/office/officeart/2008/layout/LinedList"/>
    <dgm:cxn modelId="{8B6A0F2B-9802-43C4-837F-D4C0D477ADA1}" type="presParOf" srcId="{797D44DC-338B-4147-B149-90D09B8C5DB4}" destId="{50A328C7-4B58-4876-87E6-037E141F7E34}" srcOrd="5" destOrd="0" presId="urn:microsoft.com/office/officeart/2008/layout/LinedList"/>
    <dgm:cxn modelId="{4FB52620-8317-4441-9331-3A3E7EAD59E6}" type="presParOf" srcId="{50A328C7-4B58-4876-87E6-037E141F7E34}" destId="{B48248D6-E890-4502-AA90-57D20C480E55}" srcOrd="0" destOrd="0" presId="urn:microsoft.com/office/officeart/2008/layout/LinedList"/>
    <dgm:cxn modelId="{1666A5F2-913E-47AB-84DA-4A4563614FDA}" type="presParOf" srcId="{50A328C7-4B58-4876-87E6-037E141F7E34}" destId="{A2C6B285-5B7F-4C88-928D-0DD806C18A8C}" srcOrd="1" destOrd="0" presId="urn:microsoft.com/office/officeart/2008/layout/LinedList"/>
    <dgm:cxn modelId="{34B0DFBA-2D26-45A4-AF6F-BFE0BE98B333}" type="presParOf" srcId="{797D44DC-338B-4147-B149-90D09B8C5DB4}" destId="{8ABBD255-6E1D-47AB-838F-F3ACDB872294}" srcOrd="6" destOrd="0" presId="urn:microsoft.com/office/officeart/2008/layout/LinedList"/>
    <dgm:cxn modelId="{8217FD11-FB41-4C54-BECB-EC158A8332E9}" type="presParOf" srcId="{797D44DC-338B-4147-B149-90D09B8C5DB4}" destId="{7B30C398-1D4D-4900-9A66-95414BAD27B9}" srcOrd="7" destOrd="0" presId="urn:microsoft.com/office/officeart/2008/layout/LinedList"/>
    <dgm:cxn modelId="{137D735D-489E-46D8-9413-FA1318D35097}" type="presParOf" srcId="{7B30C398-1D4D-4900-9A66-95414BAD27B9}" destId="{88FF8FC3-5BD8-4714-B9E9-8FE0F93EE121}" srcOrd="0" destOrd="0" presId="urn:microsoft.com/office/officeart/2008/layout/LinedList"/>
    <dgm:cxn modelId="{C81ECD00-B845-4B6A-8966-AA5190ECA9F4}" type="presParOf" srcId="{7B30C398-1D4D-4900-9A66-95414BAD27B9}" destId="{F01A83B5-6F7E-419D-84AD-46535BBF55A9}" srcOrd="1" destOrd="0" presId="urn:microsoft.com/office/officeart/2008/layout/LinedList"/>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8AC410-DB63-45F3-9800-9FB64785B0CF}">
      <dsp:nvSpPr>
        <dsp:cNvPr id="0" name=""/>
        <dsp:cNvSpPr/>
      </dsp:nvSpPr>
      <dsp:spPr>
        <a:xfrm>
          <a:off x="0" y="7200"/>
          <a:ext cx="5486400" cy="103895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IN" sz="1200" kern="1200"/>
            <a:t>FY21/22- FY23/24 (Increase: +7.1%): Post-pandemic recovery triggered the surge in the pent-up travel demand. Travelodge obtained vital pricing power, increasing average daily rates and revenue per available room. Direct online bookings reduced third-party agent commissions, which allowed the revenue growth (+84.9%) to outpace direct cost increases.  </a:t>
          </a:r>
        </a:p>
      </dsp:txBody>
      <dsp:txXfrm>
        <a:off x="50718" y="57918"/>
        <a:ext cx="5384964" cy="937523"/>
      </dsp:txXfrm>
    </dsp:sp>
    <dsp:sp modelId="{E621AF23-B952-4D5A-BA32-405A19BC1C7E}">
      <dsp:nvSpPr>
        <dsp:cNvPr id="0" name=""/>
        <dsp:cNvSpPr/>
      </dsp:nvSpPr>
      <dsp:spPr>
        <a:xfrm>
          <a:off x="0" y="1080720"/>
          <a:ext cx="5486400" cy="103895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IN" sz="1200" kern="1200"/>
            <a:t>FY23/24- FY24/25 (slight decrease: -0.5%): Revenue growth flattened (+0.14%) as the demand normalised. Meanwhile, direct cost inflation (particularly initial rises in the UK National Living Wage (NLW) for housekeeping staff and higher energy procurement costs) started compressing direct gross margins. </a:t>
          </a:r>
        </a:p>
      </dsp:txBody>
      <dsp:txXfrm>
        <a:off x="50718" y="1131438"/>
        <a:ext cx="5384964" cy="937523"/>
      </dsp:txXfrm>
    </dsp:sp>
    <dsp:sp modelId="{34BC9388-9CB8-4920-B9A4-67010192F1A2}">
      <dsp:nvSpPr>
        <dsp:cNvPr id="0" name=""/>
        <dsp:cNvSpPr/>
      </dsp:nvSpPr>
      <dsp:spPr>
        <a:xfrm>
          <a:off x="0" y="2154240"/>
          <a:ext cx="5486400" cy="103895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IN" sz="1200" kern="1200"/>
            <a:t>FY24/25- FY25/26 (steep decrease: -3.3%): Compounding direct cost pressures hit the major operations. Sequential NLW increases (+6.7%) alongside persistent food and beverage supply-chain inflation directly decreased gross profitability, dropping margins down to 36.4%. </a:t>
          </a:r>
        </a:p>
      </dsp:txBody>
      <dsp:txXfrm>
        <a:off x="50718" y="2204958"/>
        <a:ext cx="5384964" cy="93752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CD9F0D-A968-47A9-A82D-C5A37324CCDD}">
      <dsp:nvSpPr>
        <dsp:cNvPr id="0" name=""/>
        <dsp:cNvSpPr/>
      </dsp:nvSpPr>
      <dsp:spPr>
        <a:xfrm>
          <a:off x="0" y="138600"/>
          <a:ext cx="5486400" cy="144144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None/>
          </a:pPr>
          <a:r>
            <a:rPr lang="en-IN" sz="1400" kern="1200"/>
            <a:t>FY21/22- FY24/25 (Increase: +16.4%): Strong top-line revenue increase offered substantial operational leverage. Fixed overhead costs, lease management costs and central administration expenses were spread across a much larger revenue base (£559.7m to £1,036.6m). Operating profit surged £53.2m to a peak of £268.6m in FY24/25. </a:t>
          </a:r>
        </a:p>
      </dsp:txBody>
      <dsp:txXfrm>
        <a:off x="70365" y="208965"/>
        <a:ext cx="5345670" cy="1300710"/>
      </dsp:txXfrm>
    </dsp:sp>
    <dsp:sp modelId="{A0431AA5-FE95-44C4-A4D8-E9C5F6EEBA06}">
      <dsp:nvSpPr>
        <dsp:cNvPr id="0" name=""/>
        <dsp:cNvSpPr/>
      </dsp:nvSpPr>
      <dsp:spPr>
        <a:xfrm>
          <a:off x="0" y="1620360"/>
          <a:ext cx="5486400" cy="144144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just" defTabSz="622300">
            <a:lnSpc>
              <a:spcPct val="90000"/>
            </a:lnSpc>
            <a:spcBef>
              <a:spcPct val="0"/>
            </a:spcBef>
            <a:spcAft>
              <a:spcPct val="35000"/>
            </a:spcAft>
            <a:buFont typeface="Symbol" panose="05050102010706020507" pitchFamily="18" charset="2"/>
            <a:buNone/>
          </a:pPr>
          <a:r>
            <a:rPr lang="en-IN" sz="1400" kern="1200"/>
            <a:t>FY24/25- FY25/26 (decrease: -4.0%): Overhead inflation stated outpacing revenue growth (+0.88%). The major drivers for this downward shift were a £12 million statutory increase in the business rates following the UK commercial property revaluation, alongside the administrative wage hikes. Operating profit contracted by 14.8% (to £228.7m) which led to a 4.0% margin decline. </a:t>
          </a:r>
        </a:p>
      </dsp:txBody>
      <dsp:txXfrm>
        <a:off x="70365" y="1690725"/>
        <a:ext cx="5345670" cy="130071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B56842-F6D3-4CBD-AFE1-7CDDCFCDE0E4}">
      <dsp:nvSpPr>
        <dsp:cNvPr id="0" name=""/>
        <dsp:cNvSpPr/>
      </dsp:nvSpPr>
      <dsp:spPr>
        <a:xfrm>
          <a:off x="0" y="82057"/>
          <a:ext cx="5486400" cy="22113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IN" sz="900" b="1" i="1" kern="1200"/>
            <a:t>Strengths</a:t>
          </a:r>
          <a:endParaRPr lang="en-IN" sz="900" kern="1200"/>
        </a:p>
      </dsp:txBody>
      <dsp:txXfrm>
        <a:off x="10795" y="92852"/>
        <a:ext cx="5464810" cy="199540"/>
      </dsp:txXfrm>
    </dsp:sp>
    <dsp:sp modelId="{9B1DB355-10D1-428C-81F6-BFA326C4DA1E}">
      <dsp:nvSpPr>
        <dsp:cNvPr id="0" name=""/>
        <dsp:cNvSpPr/>
      </dsp:nvSpPr>
      <dsp:spPr>
        <a:xfrm>
          <a:off x="0" y="303187"/>
          <a:ext cx="5486400" cy="6147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1430" rIns="64008" bIns="11430" numCol="1" spcCol="1270" anchor="t" anchorCtr="0">
          <a:noAutofit/>
        </a:bodyPr>
        <a:lstStyle/>
        <a:p>
          <a:pPr marL="57150" lvl="1" indent="-57150" algn="just" defTabSz="311150">
            <a:lnSpc>
              <a:spcPct val="90000"/>
            </a:lnSpc>
            <a:spcBef>
              <a:spcPct val="0"/>
            </a:spcBef>
            <a:spcAft>
              <a:spcPct val="20000"/>
            </a:spcAft>
            <a:buNone/>
          </a:pPr>
          <a:r>
            <a:rPr lang="en-IN" sz="700" kern="1200"/>
            <a:t>The financial architecture of Travelodge is anchored by an exceptionally strong direct-to-consumer digital distribution network, keeping a direct booking rate exceeding 90%. This higher margin channel drastically curtails dependence on the 3rd party online travel agencies (OTAs), driving the premium Commission savings directly to the bottom line. Concurrently, the established value proposition of the brand functions countercyclically; during inflationary squeeze cycles, it successfully captures trading-down demand from the premium corporate and leisure segments. This structural resilience ensures a highly predictable and stable trajectory of operating cash flows that underpins the day to day liquidity of the organization. </a:t>
          </a:r>
        </a:p>
      </dsp:txBody>
      <dsp:txXfrm>
        <a:off x="0" y="303187"/>
        <a:ext cx="5486400" cy="614790"/>
      </dsp:txXfrm>
    </dsp:sp>
    <dsp:sp modelId="{A7950A02-E7EF-473A-AD83-8961795DDE84}">
      <dsp:nvSpPr>
        <dsp:cNvPr id="0" name=""/>
        <dsp:cNvSpPr/>
      </dsp:nvSpPr>
      <dsp:spPr>
        <a:xfrm>
          <a:off x="0" y="917977"/>
          <a:ext cx="5486400" cy="22113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IN" sz="900" b="1" i="1" kern="1200"/>
            <a:t>Weaknesses</a:t>
          </a:r>
          <a:endParaRPr lang="en-IN" sz="900" kern="1200"/>
        </a:p>
      </dsp:txBody>
      <dsp:txXfrm>
        <a:off x="10795" y="928772"/>
        <a:ext cx="5464810" cy="199540"/>
      </dsp:txXfrm>
    </dsp:sp>
    <dsp:sp modelId="{D21E55D4-1711-4468-AC1F-7FA4B4EFF9DB}">
      <dsp:nvSpPr>
        <dsp:cNvPr id="0" name=""/>
        <dsp:cNvSpPr/>
      </dsp:nvSpPr>
      <dsp:spPr>
        <a:xfrm>
          <a:off x="0" y="1139107"/>
          <a:ext cx="5486400" cy="512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1430" rIns="64008" bIns="11430" numCol="1" spcCol="1270" anchor="t" anchorCtr="0">
          <a:noAutofit/>
        </a:bodyPr>
        <a:lstStyle/>
        <a:p>
          <a:pPr marL="57150" lvl="1" indent="-57150" algn="just" defTabSz="311150">
            <a:lnSpc>
              <a:spcPct val="90000"/>
            </a:lnSpc>
            <a:spcBef>
              <a:spcPct val="0"/>
            </a:spcBef>
            <a:spcAft>
              <a:spcPct val="20000"/>
            </a:spcAft>
            <a:buNone/>
          </a:pPr>
          <a:r>
            <a:rPr lang="en-IN" sz="700" kern="1200"/>
            <a:t>The balance sheet of the group presents significant structural vulnerability because of the aggressive leverage, highly amplified under IFRS 16 lease accounting protocols. Capitalising the extensive long-term hotel lease obligations leads to a huge long-term liability profile, weighing down solvency metrics. This capital structure debt servicing potential, as highlighted by the compressed interest coverage ratio of 1.9x estimated for financial year 25/26. Compounding this risk is a consistently constrained liquidity profile, which leaves the firm with the minimum current ratio buffers to absorb sudden operational shocks or cash flow disruptions. </a:t>
          </a:r>
        </a:p>
      </dsp:txBody>
      <dsp:txXfrm>
        <a:off x="0" y="1139107"/>
        <a:ext cx="5486400" cy="512325"/>
      </dsp:txXfrm>
    </dsp:sp>
    <dsp:sp modelId="{E9682261-FE50-4BAD-B7A1-0F2428668233}">
      <dsp:nvSpPr>
        <dsp:cNvPr id="0" name=""/>
        <dsp:cNvSpPr/>
      </dsp:nvSpPr>
      <dsp:spPr>
        <a:xfrm>
          <a:off x="0" y="1651432"/>
          <a:ext cx="5486400" cy="22113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IN" sz="900" b="1" i="1" kern="1200"/>
            <a:t>Opportunities</a:t>
          </a:r>
          <a:endParaRPr lang="en-IN" sz="900" kern="1200"/>
        </a:p>
      </dsp:txBody>
      <dsp:txXfrm>
        <a:off x="10795" y="1662227"/>
        <a:ext cx="5464810" cy="199540"/>
      </dsp:txXfrm>
    </dsp:sp>
    <dsp:sp modelId="{A787F0A7-7349-4CA1-BD93-7B37CA09BFFD}">
      <dsp:nvSpPr>
        <dsp:cNvPr id="0" name=""/>
        <dsp:cNvSpPr/>
      </dsp:nvSpPr>
      <dsp:spPr>
        <a:xfrm>
          <a:off x="0" y="1872562"/>
          <a:ext cx="5486400" cy="512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1430" rIns="64008" bIns="11430" numCol="1" spcCol="1270" anchor="t" anchorCtr="0">
          <a:noAutofit/>
        </a:bodyPr>
        <a:lstStyle/>
        <a:p>
          <a:pPr marL="57150" lvl="1" indent="-57150" algn="just" defTabSz="311150">
            <a:lnSpc>
              <a:spcPct val="90000"/>
            </a:lnSpc>
            <a:spcBef>
              <a:spcPct val="0"/>
            </a:spcBef>
            <a:spcAft>
              <a:spcPct val="20000"/>
            </a:spcAft>
            <a:buNone/>
          </a:pPr>
          <a:r>
            <a:rPr lang="en-IN" sz="700" kern="1200"/>
            <a:t>To navigate the systemic lease exposure, Travolta can use a selective, opportunistic acquisitions of freehold property sites, properly transferring assets weight away from the volatile lease hold burdens and improving asset backed value. Moreover graphical diversification provides a critical growth engine for the company; systematically scaling up the established Spanish operational footprints of the group offers an immediate runway to capture the European market share while insulating the broader corporate entity from the UK-centric macroeconomic dependencies. </a:t>
          </a:r>
        </a:p>
      </dsp:txBody>
      <dsp:txXfrm>
        <a:off x="0" y="1872562"/>
        <a:ext cx="5486400" cy="512325"/>
      </dsp:txXfrm>
    </dsp:sp>
    <dsp:sp modelId="{90920AC9-3943-48C2-965B-BD3F7D0C10F5}">
      <dsp:nvSpPr>
        <dsp:cNvPr id="0" name=""/>
        <dsp:cNvSpPr/>
      </dsp:nvSpPr>
      <dsp:spPr>
        <a:xfrm>
          <a:off x="0" y="2384887"/>
          <a:ext cx="5486400" cy="22113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IN" sz="900" b="1" i="1" kern="1200"/>
            <a:t>Threats</a:t>
          </a:r>
          <a:endParaRPr lang="en-IN" sz="900" kern="1200"/>
        </a:p>
      </dsp:txBody>
      <dsp:txXfrm>
        <a:off x="10795" y="2395682"/>
        <a:ext cx="5464810" cy="199540"/>
      </dsp:txXfrm>
    </dsp:sp>
    <dsp:sp modelId="{587A9B87-D703-4C5C-9602-CC07A2B90524}">
      <dsp:nvSpPr>
        <dsp:cNvPr id="0" name=""/>
        <dsp:cNvSpPr/>
      </dsp:nvSpPr>
      <dsp:spPr>
        <a:xfrm>
          <a:off x="0" y="2606017"/>
          <a:ext cx="5486400" cy="5123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1430" rIns="64008" bIns="11430" numCol="1" spcCol="1270" anchor="t" anchorCtr="0">
          <a:noAutofit/>
        </a:bodyPr>
        <a:lstStyle/>
        <a:p>
          <a:pPr marL="57150" lvl="1" indent="-57150" algn="just" defTabSz="311150">
            <a:lnSpc>
              <a:spcPct val="90000"/>
            </a:lnSpc>
            <a:spcBef>
              <a:spcPct val="0"/>
            </a:spcBef>
            <a:spcAft>
              <a:spcPct val="20000"/>
            </a:spcAft>
            <a:buNone/>
          </a:pPr>
          <a:r>
            <a:rPr lang="en-IN" sz="700" kern="1200"/>
            <a:t>Travelodge faces compounding margin pressures from escalating structural costs, most notably statutory wage inflation driven by the sequential hikes in the national living wage (NLW) and upward adjustments in the UK business rates. On the demand side, Travelodge remains exposed to the cyclical macro economic contractions. A prolonged downturn in the disposable income could lead to a sharp decrease in the consumer leisure spending, while corporate cost cutting measures risk depressing the essential midweek business travel segment.</a:t>
          </a:r>
        </a:p>
      </dsp:txBody>
      <dsp:txXfrm>
        <a:off x="0" y="2606017"/>
        <a:ext cx="5486400" cy="51232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E0B12C-8EF9-4BEA-9E63-49053CF0B2F2}">
      <dsp:nvSpPr>
        <dsp:cNvPr id="0" name=""/>
        <dsp:cNvSpPr/>
      </dsp:nvSpPr>
      <dsp:spPr>
        <a:xfrm>
          <a:off x="1714" y="69515"/>
          <a:ext cx="1671637" cy="37126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just" defTabSz="444500">
            <a:lnSpc>
              <a:spcPct val="90000"/>
            </a:lnSpc>
            <a:spcBef>
              <a:spcPct val="0"/>
            </a:spcBef>
            <a:spcAft>
              <a:spcPct val="35000"/>
            </a:spcAft>
            <a:buFont typeface="Symbol" panose="05050102010706020507" pitchFamily="18" charset="2"/>
            <a:buNone/>
          </a:pPr>
          <a:r>
            <a:rPr lang="en-IN" sz="1000" kern="1200"/>
            <a:t>Days Inventory Outstanding (DIO): </a:t>
          </a:r>
        </a:p>
      </dsp:txBody>
      <dsp:txXfrm>
        <a:off x="1714" y="69515"/>
        <a:ext cx="1671637" cy="371268"/>
      </dsp:txXfrm>
    </dsp:sp>
    <dsp:sp modelId="{4E5290A2-4CA4-4361-8082-239AAE967830}">
      <dsp:nvSpPr>
        <dsp:cNvPr id="0" name=""/>
        <dsp:cNvSpPr/>
      </dsp:nvSpPr>
      <dsp:spPr>
        <a:xfrm>
          <a:off x="1714" y="440784"/>
          <a:ext cx="1671637" cy="26900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just" defTabSz="444500">
            <a:lnSpc>
              <a:spcPct val="90000"/>
            </a:lnSpc>
            <a:spcBef>
              <a:spcPct val="0"/>
            </a:spcBef>
            <a:spcAft>
              <a:spcPct val="15000"/>
            </a:spcAft>
            <a:buFont typeface="Symbol" panose="05050102010706020507" pitchFamily="18" charset="2"/>
            <a:buChar char=""/>
          </a:pPr>
          <a:r>
            <a:rPr lang="en-IN" sz="1000" kern="1200"/>
            <a:t>Hospitality operations carry the eligible raw inventory related to the total assets. Beverage, food and room linen supplies are highly perishable or move rapidly, which keeps DIO extremely low (ranging from 2 to 5 days). </a:t>
          </a:r>
        </a:p>
      </dsp:txBody>
      <dsp:txXfrm>
        <a:off x="1714" y="440784"/>
        <a:ext cx="1671637" cy="2690099"/>
      </dsp:txXfrm>
    </dsp:sp>
    <dsp:sp modelId="{250DDFCF-590E-4E4F-B204-B80C669A391D}">
      <dsp:nvSpPr>
        <dsp:cNvPr id="0" name=""/>
        <dsp:cNvSpPr/>
      </dsp:nvSpPr>
      <dsp:spPr>
        <a:xfrm>
          <a:off x="1907381" y="69515"/>
          <a:ext cx="1671637" cy="37126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just" defTabSz="444500">
            <a:lnSpc>
              <a:spcPct val="90000"/>
            </a:lnSpc>
            <a:spcBef>
              <a:spcPct val="0"/>
            </a:spcBef>
            <a:spcAft>
              <a:spcPct val="35000"/>
            </a:spcAft>
            <a:buFont typeface="Symbol" panose="05050102010706020507" pitchFamily="18" charset="2"/>
            <a:buNone/>
          </a:pPr>
          <a:r>
            <a:rPr lang="en-IN" sz="1000" kern="1200"/>
            <a:t>Days Sales Outstanding (DSO): </a:t>
          </a:r>
        </a:p>
      </dsp:txBody>
      <dsp:txXfrm>
        <a:off x="1907381" y="69515"/>
        <a:ext cx="1671637" cy="371268"/>
      </dsp:txXfrm>
    </dsp:sp>
    <dsp:sp modelId="{D0309938-5B7E-40CE-8120-9EA1BD6DDA2A}">
      <dsp:nvSpPr>
        <dsp:cNvPr id="0" name=""/>
        <dsp:cNvSpPr/>
      </dsp:nvSpPr>
      <dsp:spPr>
        <a:xfrm>
          <a:off x="1907381" y="440784"/>
          <a:ext cx="1671637" cy="26900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just" defTabSz="444500">
            <a:lnSpc>
              <a:spcPct val="90000"/>
            </a:lnSpc>
            <a:spcBef>
              <a:spcPct val="0"/>
            </a:spcBef>
            <a:spcAft>
              <a:spcPct val="15000"/>
            </a:spcAft>
            <a:buFont typeface="Symbol" panose="05050102010706020507" pitchFamily="18" charset="2"/>
            <a:buChar char=""/>
          </a:pPr>
          <a:r>
            <a:rPr lang="en-IN" sz="1000" kern="1200"/>
            <a:t>The direct-to-consumer distribution strategy, maintaining more than 90% direct digital booking rate, optimises the collection timeline. Leisure guests pay upfront through digital channels or at the point of check-in, which keeps the DSO for the retail channels near zero. The residual credit rate includes corporate accounts, which provides a minor lag, keeping the aggregate corporate DSO stabilised between 3 and 7 days. </a:t>
          </a:r>
        </a:p>
      </dsp:txBody>
      <dsp:txXfrm>
        <a:off x="1907381" y="440784"/>
        <a:ext cx="1671637" cy="2690099"/>
      </dsp:txXfrm>
    </dsp:sp>
    <dsp:sp modelId="{07AE7A8E-9AC7-4CB6-881D-3FAE1A3697B0}">
      <dsp:nvSpPr>
        <dsp:cNvPr id="0" name=""/>
        <dsp:cNvSpPr/>
      </dsp:nvSpPr>
      <dsp:spPr>
        <a:xfrm>
          <a:off x="3813048" y="69515"/>
          <a:ext cx="1671637" cy="37126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1270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just" defTabSz="444500">
            <a:lnSpc>
              <a:spcPct val="90000"/>
            </a:lnSpc>
            <a:spcBef>
              <a:spcPct val="0"/>
            </a:spcBef>
            <a:spcAft>
              <a:spcPct val="35000"/>
            </a:spcAft>
            <a:buFont typeface="Symbol" panose="05050102010706020507" pitchFamily="18" charset="2"/>
            <a:buNone/>
          </a:pPr>
          <a:r>
            <a:rPr lang="en-IN" sz="1000" kern="1200"/>
            <a:t>Days Payable Outstanding (DPO): </a:t>
          </a:r>
        </a:p>
      </dsp:txBody>
      <dsp:txXfrm>
        <a:off x="3813048" y="69515"/>
        <a:ext cx="1671637" cy="371268"/>
      </dsp:txXfrm>
    </dsp:sp>
    <dsp:sp modelId="{253A6011-1E1D-467B-A584-9843C561D1DC}">
      <dsp:nvSpPr>
        <dsp:cNvPr id="0" name=""/>
        <dsp:cNvSpPr/>
      </dsp:nvSpPr>
      <dsp:spPr>
        <a:xfrm>
          <a:off x="3813048" y="440784"/>
          <a:ext cx="1671637" cy="269009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just" defTabSz="444500">
            <a:lnSpc>
              <a:spcPct val="90000"/>
            </a:lnSpc>
            <a:spcBef>
              <a:spcPct val="0"/>
            </a:spcBef>
            <a:spcAft>
              <a:spcPct val="15000"/>
            </a:spcAft>
            <a:buFont typeface="Symbol" panose="05050102010706020507" pitchFamily="18" charset="2"/>
            <a:buChar char=""/>
          </a:pPr>
          <a:r>
            <a:rPr lang="en-IN" sz="1000" kern="1200"/>
            <a:t>Conversely, procurement contracts with commercial suppliers, laundry services and utility providers operate under standard commercial credit terms, which allow a deferred settlement runway that typically ranges from 30 to 45 days.</a:t>
          </a:r>
        </a:p>
      </dsp:txBody>
      <dsp:txXfrm>
        <a:off x="3813048" y="440784"/>
        <a:ext cx="1671637" cy="26900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666E97-77A0-46DC-8FDB-08EDD938D53F}">
      <dsp:nvSpPr>
        <dsp:cNvPr id="0" name=""/>
        <dsp:cNvSpPr/>
      </dsp:nvSpPr>
      <dsp:spPr>
        <a:xfrm>
          <a:off x="0" y="184320"/>
          <a:ext cx="5486400" cy="92664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IN" sz="900" kern="1200"/>
            <a:t>Targeted asset divestiture via sale-and-leaseback re-engineering: The group needs to pursue the selective divestitures of its owned freehold assets, particularly targeting the mature, premium real estate nodes within the UK. By executing highly structured sale-and= leaseback transactions, the company can immediately unlock the trapped equity. Meanwhile, to avoid exacerbating the present IFRS 16 lease liability profile, these contracts need to integrate inflation-linked or turnover-linked rent structures. This approach safeguards against fixed cost escalation and converts fixed liabilities into flexible operational expenses. </a:t>
          </a:r>
        </a:p>
      </dsp:txBody>
      <dsp:txXfrm>
        <a:off x="45235" y="229555"/>
        <a:ext cx="5395930" cy="836170"/>
      </dsp:txXfrm>
    </dsp:sp>
    <dsp:sp modelId="{88F93E8B-542F-4DA2-B5BB-13FD9651C586}">
      <dsp:nvSpPr>
        <dsp:cNvPr id="0" name=""/>
        <dsp:cNvSpPr/>
      </dsp:nvSpPr>
      <dsp:spPr>
        <a:xfrm>
          <a:off x="0" y="1136880"/>
          <a:ext cx="5486400" cy="92664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IN" sz="900" kern="1200"/>
            <a:t>Strategic injection from private sponsors or sovereign capital: To directly address the high-level constraints, the corporate enterprise needs to seek a targeted equity injection from the ultimate financial sponsors or external private equity consortia. By injecting the new equity capital, Travelodge can immediately decrease its gross debt. This direct capital placement can be systematically deployed to retire the high-yield senior secured floating-rate notes, immediately decreasing the cash interest expenses and improving the corporate credit profile. </a:t>
          </a:r>
        </a:p>
      </dsp:txBody>
      <dsp:txXfrm>
        <a:off x="45235" y="1182115"/>
        <a:ext cx="5395930" cy="836170"/>
      </dsp:txXfrm>
    </dsp:sp>
    <dsp:sp modelId="{D9083B05-DFA7-4049-8F75-5306DCF7EA86}">
      <dsp:nvSpPr>
        <dsp:cNvPr id="0" name=""/>
        <dsp:cNvSpPr/>
      </dsp:nvSpPr>
      <dsp:spPr>
        <a:xfrm>
          <a:off x="0" y="2089440"/>
          <a:ext cx="5486400" cy="92664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just" defTabSz="400050">
            <a:lnSpc>
              <a:spcPct val="90000"/>
            </a:lnSpc>
            <a:spcBef>
              <a:spcPct val="0"/>
            </a:spcBef>
            <a:spcAft>
              <a:spcPct val="35000"/>
            </a:spcAft>
            <a:buNone/>
          </a:pPr>
          <a:r>
            <a:rPr lang="en-IN" sz="900" kern="1200"/>
            <a:t>Joint venture infrastructure for continental expansion: Instead of using its own balance sheet to fund international growth, the company should form a strategic asset-light joint venture with institutional real estate funds or the localised franchise partners for its ongoing expansion into Spain. The institutional partner offers the capital required for property acquisition and construction, while the group acts as the operating partner. This setup enables the organisation to scale operations without adding debt liabilities or new leasehold to its own balance sheet. </a:t>
          </a:r>
        </a:p>
      </dsp:txBody>
      <dsp:txXfrm>
        <a:off x="45235" y="2134675"/>
        <a:ext cx="5395930" cy="83617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D8C840-C35E-45A5-9F65-A027471A6DAA}">
      <dsp:nvSpPr>
        <dsp:cNvPr id="0" name=""/>
        <dsp:cNvSpPr/>
      </dsp:nvSpPr>
      <dsp:spPr>
        <a:xfrm>
          <a:off x="0" y="0"/>
          <a:ext cx="5486400" cy="0"/>
        </a:xfrm>
        <a:prstGeom prst="lin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12700" cap="flat" cmpd="sng" algn="ctr">
          <a:solidFill>
            <a:schemeClr val="accent1">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sp>
    <dsp:sp modelId="{948B744A-F131-4E51-9992-F5C4F6D29434}">
      <dsp:nvSpPr>
        <dsp:cNvPr id="0" name=""/>
        <dsp:cNvSpPr/>
      </dsp:nvSpPr>
      <dsp:spPr>
        <a:xfrm>
          <a:off x="0" y="0"/>
          <a:ext cx="5486400" cy="8000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just" defTabSz="355600">
            <a:lnSpc>
              <a:spcPct val="90000"/>
            </a:lnSpc>
            <a:spcBef>
              <a:spcPct val="0"/>
            </a:spcBef>
            <a:spcAft>
              <a:spcPct val="35000"/>
            </a:spcAft>
            <a:buNone/>
          </a:pPr>
          <a:r>
            <a:rPr lang="en-IN" sz="800" kern="1200"/>
            <a:t>Cross-border taxation and transfer pricing: Expanding operations in Spain presents critical cross-border tax dynamics between UK and Eurozone jurisdictions. The corporate entity needs to establish a strong, arm’s-length transfer pricing framework for intercompany transactions, like centralised booking platform excess fees, management service agreements and brand royalties. Managing these flows properly assists in the optimisation of the group's tax rate of the group while ensuring full compliance with OECD base erosion and profit sharing (BEPS) guidelines. </a:t>
          </a:r>
        </a:p>
      </dsp:txBody>
      <dsp:txXfrm>
        <a:off x="0" y="0"/>
        <a:ext cx="5486400" cy="800099"/>
      </dsp:txXfrm>
    </dsp:sp>
    <dsp:sp modelId="{A28C23CB-3CAD-4625-8460-07122331610E}">
      <dsp:nvSpPr>
        <dsp:cNvPr id="0" name=""/>
        <dsp:cNvSpPr/>
      </dsp:nvSpPr>
      <dsp:spPr>
        <a:xfrm>
          <a:off x="0" y="800099"/>
          <a:ext cx="5486400" cy="0"/>
        </a:xfrm>
        <a:prstGeom prst="lin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12700" cap="flat" cmpd="sng" algn="ctr">
          <a:solidFill>
            <a:schemeClr val="accent1">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sp>
    <dsp:sp modelId="{A9AC4C64-D10E-479D-8DC2-2E0D966FBF92}">
      <dsp:nvSpPr>
        <dsp:cNvPr id="0" name=""/>
        <dsp:cNvSpPr/>
      </dsp:nvSpPr>
      <dsp:spPr>
        <a:xfrm>
          <a:off x="0" y="777241"/>
          <a:ext cx="5486400" cy="8000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just" defTabSz="355600">
            <a:lnSpc>
              <a:spcPct val="90000"/>
            </a:lnSpc>
            <a:spcBef>
              <a:spcPct val="0"/>
            </a:spcBef>
            <a:spcAft>
              <a:spcPct val="35000"/>
            </a:spcAft>
            <a:buNone/>
          </a:pPr>
          <a:r>
            <a:rPr lang="en-IN" sz="800" kern="1200"/>
            <a:t>Currency risk and macroeconomic hedging: Expanding in the eurozone leads to the inherent currency mismatch; the group reports in British pounds (£), while the Spanish business units generate revenues and incur liabilities in Euros (€). To insulate the corporate earnings from foreign exchange volatility, the group needs to use natural hedging strategies. This consists of financing Spanish freehold developments with Euro-denominated floating-rate notes, which ensures that the asset valuations and liabilities match perfectly. For the residual cash inflows, the treasury department needs to deploy structured forward contracts and currency options. </a:t>
          </a:r>
        </a:p>
      </dsp:txBody>
      <dsp:txXfrm>
        <a:off x="0" y="777241"/>
        <a:ext cx="5486400" cy="800099"/>
      </dsp:txXfrm>
    </dsp:sp>
    <dsp:sp modelId="{BEE37F53-AC3D-426D-B0DA-44EC65222F5C}">
      <dsp:nvSpPr>
        <dsp:cNvPr id="0" name=""/>
        <dsp:cNvSpPr/>
      </dsp:nvSpPr>
      <dsp:spPr>
        <a:xfrm>
          <a:off x="0" y="1600199"/>
          <a:ext cx="5486400" cy="0"/>
        </a:xfrm>
        <a:prstGeom prst="lin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12700" cap="flat" cmpd="sng" algn="ctr">
          <a:solidFill>
            <a:schemeClr val="accent1">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sp>
    <dsp:sp modelId="{B48248D6-E890-4502-AA90-57D20C480E55}">
      <dsp:nvSpPr>
        <dsp:cNvPr id="0" name=""/>
        <dsp:cNvSpPr/>
      </dsp:nvSpPr>
      <dsp:spPr>
        <a:xfrm>
          <a:off x="0" y="1577341"/>
          <a:ext cx="5486400" cy="8000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just" defTabSz="355600">
            <a:lnSpc>
              <a:spcPct val="90000"/>
            </a:lnSpc>
            <a:spcBef>
              <a:spcPct val="0"/>
            </a:spcBef>
            <a:spcAft>
              <a:spcPct val="35000"/>
            </a:spcAft>
            <a:buNone/>
          </a:pPr>
          <a:r>
            <a:rPr lang="en-IN" sz="800" kern="1200"/>
            <a:t>Inflationary volatility and price and power: Operating in different regions needs different strategies to handle the localised inflation. In the UK, the margin pressures stem from increasing employment costs and business rates. In Spain, inflation has been closely tied to the broader European energy and construction costs. With the help of its direct-to-consumer digital booking engine, the group maintains the dynamic, real-time pricing power. This allows the business to adjust the average daily rates (ADRs) dynamically, which helps to protect the margins from sudden inflation spikes. </a:t>
          </a:r>
        </a:p>
      </dsp:txBody>
      <dsp:txXfrm>
        <a:off x="0" y="1577341"/>
        <a:ext cx="5486400" cy="800099"/>
      </dsp:txXfrm>
    </dsp:sp>
    <dsp:sp modelId="{8ABBD255-6E1D-47AB-838F-F3ACDB872294}">
      <dsp:nvSpPr>
        <dsp:cNvPr id="0" name=""/>
        <dsp:cNvSpPr/>
      </dsp:nvSpPr>
      <dsp:spPr>
        <a:xfrm>
          <a:off x="0" y="2400300"/>
          <a:ext cx="5486400" cy="0"/>
        </a:xfrm>
        <a:prstGeom prst="lin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12700" cap="flat" cmpd="sng" algn="ctr">
          <a:solidFill>
            <a:schemeClr val="accent1">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sp>
    <dsp:sp modelId="{88FF8FC3-5BD8-4714-B9E9-8FE0F93EE121}">
      <dsp:nvSpPr>
        <dsp:cNvPr id="0" name=""/>
        <dsp:cNvSpPr/>
      </dsp:nvSpPr>
      <dsp:spPr>
        <a:xfrm>
          <a:off x="0" y="2377441"/>
          <a:ext cx="5486400" cy="8000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t" anchorCtr="0">
          <a:noAutofit/>
        </a:bodyPr>
        <a:lstStyle/>
        <a:p>
          <a:pPr marL="0" lvl="0" indent="0" algn="just" defTabSz="355600">
            <a:lnSpc>
              <a:spcPct val="90000"/>
            </a:lnSpc>
            <a:spcBef>
              <a:spcPct val="0"/>
            </a:spcBef>
            <a:spcAft>
              <a:spcPct val="35000"/>
            </a:spcAft>
            <a:buNone/>
          </a:pPr>
          <a:r>
            <a:rPr lang="en-IN" sz="800" kern="1200"/>
            <a:t>CSR and ESG integration: Any strategic restructuring needs to align with the corporate social responsibility (CSR) and the environmental, social and governance (ESG) commitments. Capital deployed for the hotel refugees and the new developments needs to focus on sustainability, emphasizing on energy efficient building management systems, green building certifications and waste reduction protocols. Ethically, amidst increasing statutory minimum wages, the group needs to maintain fair compensation and clear career paths. Investing in these social standards helps in decreasing delay but turnover and protects the long-term value of the brand. </a:t>
          </a:r>
        </a:p>
      </dsp:txBody>
      <dsp:txXfrm>
        <a:off x="0" y="2377441"/>
        <a:ext cx="5486400" cy="800099"/>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6.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388B4A-6A4F-426D-A5B7-6E6C35F0E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7111</Words>
  <Characters>40538</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omin dihora</cp:lastModifiedBy>
  <cp:revision>2</cp:revision>
  <dcterms:created xsi:type="dcterms:W3CDTF">2026-07-24T10:03:00Z</dcterms:created>
  <dcterms:modified xsi:type="dcterms:W3CDTF">2026-07-24T10:03:00Z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eb9c776f-6584-4e84-ad57-782abc91419d</vt:lpwstr>
  </property>
</Properties>
</file>