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4115665"/>
        <w:docPartObj>
          <w:docPartGallery w:val="Cover Pages"/>
          <w:docPartUnique/>
        </w:docPartObj>
      </w:sdtPr>
      <w:sdtEndPr>
        <w:rPr>
          <w:color w:val="000000"/>
          <w:sz w:val="22"/>
          <w:szCs w:val="22"/>
        </w:rPr>
      </w:sdtEndPr>
      <w:sdtContent>
        <w:p w14:paraId="1DF466A9" w14:textId="3E2F8524" w:rsidR="00FF2902" w:rsidRDefault="00FF2902">
          <w:pPr>
            <w:pStyle w:val="NoSpacing"/>
          </w:pPr>
          <w:r>
            <w:rPr>
              <w:noProof/>
            </w:rPr>
            <mc:AlternateContent>
              <mc:Choice Requires="wpg">
                <w:drawing>
                  <wp:anchor distT="0" distB="0" distL="114300" distR="114300" simplePos="0" relativeHeight="251659264" behindDoc="1" locked="0" layoutInCell="1" allowOverlap="1" wp14:anchorId="44132039" wp14:editId="0A58C29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647501701"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067385" name="Rectangle 1606738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3363777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9T00:00:00Z">
                                      <w:dateFormat w:val="dd/MM/yyyy"/>
                                      <w:lid w:val="en-GB"/>
                                      <w:storeMappedDataAs w:val="dateTime"/>
                                      <w:calendar w:val="gregorian"/>
                                    </w:date>
                                  </w:sdtPr>
                                  <w:sdtEndPr/>
                                  <w:sdtContent>
                                    <w:p w14:paraId="7D129303" w14:textId="45D6D90F" w:rsidR="00FF2902" w:rsidRDefault="00FF2902">
                                      <w:pPr>
                                        <w:pStyle w:val="NoSpacing"/>
                                        <w:jc w:val="right"/>
                                        <w:rPr>
                                          <w:color w:val="FFFFFF" w:themeColor="background1"/>
                                          <w:sz w:val="28"/>
                                          <w:szCs w:val="28"/>
                                        </w:rPr>
                                      </w:pPr>
                                      <w:r>
                                        <w:rPr>
                                          <w:color w:val="FFFFFF" w:themeColor="background1"/>
                                          <w:sz w:val="28"/>
                                          <w:szCs w:val="28"/>
                                        </w:rPr>
                                        <w:t>09/08/2026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36980629" name="Group 836980629"/>
                            <wpg:cNvGrpSpPr/>
                            <wpg:grpSpPr>
                              <a:xfrm>
                                <a:off x="76200" y="4210050"/>
                                <a:ext cx="2057400" cy="4910328"/>
                                <a:chOff x="80645" y="4211812"/>
                                <a:chExt cx="1306273" cy="3121026"/>
                              </a:xfrm>
                            </wpg:grpSpPr>
                            <wpg:grpSp>
                              <wpg:cNvPr id="210567046" name="Group 210567046"/>
                              <wpg:cNvGrpSpPr>
                                <a:grpSpLocks noChangeAspect="1"/>
                              </wpg:cNvGrpSpPr>
                              <wpg:grpSpPr>
                                <a:xfrm>
                                  <a:off x="141062" y="4211812"/>
                                  <a:ext cx="1047750" cy="3121026"/>
                                  <a:chOff x="141062" y="4211812"/>
                                  <a:chExt cx="1047750" cy="3121026"/>
                                </a:xfrm>
                              </wpg:grpSpPr>
                              <wps:wsp>
                                <wps:cNvPr id="111686258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565086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2540785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3108308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40663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391223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7919417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7240174"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821788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521806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4368083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738569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99223971" name="Group 1399223971"/>
                              <wpg:cNvGrpSpPr>
                                <a:grpSpLocks noChangeAspect="1"/>
                              </wpg:cNvGrpSpPr>
                              <wpg:grpSpPr>
                                <a:xfrm>
                                  <a:off x="80645" y="4826972"/>
                                  <a:ext cx="1306273" cy="2505863"/>
                                  <a:chOff x="80645" y="4649964"/>
                                  <a:chExt cx="874712" cy="1677988"/>
                                </a:xfrm>
                              </wpg:grpSpPr>
                              <wps:wsp>
                                <wps:cNvPr id="55786717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164619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079675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14009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0527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486857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4998132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12098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846512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245219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8732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13203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">
                    <v:rect id="Rectangle 1606738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9T00:00:00Z">
                                <w:dateFormat w:val="dd/MM/yyyy"/>
                                <w:lid w:val="en-GB"/>
                                <w:storeMappedDataAs w:val="dateTime"/>
                                <w:calendar w:val="gregorian"/>
                              </w:date>
                            </w:sdtPr>
                            <w:sdtEndPr/>
                            <w:sdtContent>
                              <w:p w14:paraId="7D129303" w14:textId="45D6D90F" w:rsidR="00FF2902" w:rsidRDefault="00FF2902">
                                <w:pPr>
                                  <w:pStyle w:val="NoSpacing"/>
                                  <w:jc w:val="right"/>
                                  <w:rPr>
                                    <w:color w:val="FFFFFF" w:themeColor="background1"/>
                                    <w:sz w:val="28"/>
                                    <w:szCs w:val="28"/>
                                  </w:rPr>
                                </w:pPr>
                                <w:r>
                                  <w:rPr>
                                    <w:color w:val="FFFFFF" w:themeColor="background1"/>
                                    <w:sz w:val="28"/>
                                    <w:szCs w:val="28"/>
                                  </w:rPr>
                                  <w:t>09/08/2026</w:t>
                                </w:r>
                              </w:p>
                            </w:sdtContent>
                          </w:sdt>
                        </w:txbxContent>
                      </v:textbox>
                    </v:shape>
                    <v:group id="Group 83698062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">
                      <v:group id="Group 21056704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&#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9922397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090C641" w14:textId="4B730797" w:rsidR="00FF2902" w:rsidRDefault="00DA3CFE">
          <w:pPr>
            <w:rPr>
              <w:color w:val="000000"/>
              <w:sz w:val="22"/>
              <w:szCs w:val="22"/>
            </w:rPr>
          </w:pPr>
          <w:r w:rsidRPr="00DA3CFE">
            <w:rPr>
              <w:noProof/>
              <w:color w:val="000000"/>
              <w:sz w:val="22"/>
              <w:szCs w:val="22"/>
            </w:rPr>
            <mc:AlternateContent>
              <mc:Choice Requires="wps">
                <w:drawing>
                  <wp:anchor distT="45720" distB="45720" distL="114300" distR="114300" simplePos="0" relativeHeight="251664384" behindDoc="0" locked="0" layoutInCell="1" allowOverlap="1" wp14:anchorId="40BB151D" wp14:editId="42DD692B">
                    <wp:simplePos x="0" y="0"/>
                    <wp:positionH relativeFrom="margin">
                      <wp:posOffset>1738630</wp:posOffset>
                    </wp:positionH>
                    <wp:positionV relativeFrom="paragraph">
                      <wp:posOffset>7367270</wp:posOffset>
                    </wp:positionV>
                    <wp:extent cx="3274695" cy="1760220"/>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4695" cy="1760220"/>
                            </a:xfrm>
                            <a:prstGeom prst="rect">
                              <a:avLst/>
                            </a:prstGeom>
                            <a:solidFill>
                              <a:srgbClr val="FFFFFF"/>
                            </a:solidFill>
                            <a:ln w="9525">
                              <a:noFill/>
                              <a:miter lim="800000"/>
                              <a:headEnd/>
                              <a:tailEnd/>
                            </a:ln>
                          </wps:spPr>
                          <wps:txbx>
                            <w:txbxContent>
                              <w:p w14:paraId="3B634143"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Federico Mossa</w:t>
                                </w:r>
                                <w:r w:rsidRPr="00B4476C">
                                  <w:rPr>
                                    <w:rFonts w:ascii="Calibri" w:hAnsi="Calibri" w:cs="Calibri"/>
                                    <w:color w:val="000000"/>
                                    <w:sz w:val="28"/>
                                    <w:szCs w:val="28"/>
                                  </w:rPr>
                                  <w:br/>
                                  <w:t>BSc (Hons) Applied Computing</w:t>
                                </w:r>
                                <w:r w:rsidRPr="00B4476C">
                                  <w:rPr>
                                    <w:rFonts w:ascii="Calibri" w:hAnsi="Calibri" w:cs="Calibri"/>
                                    <w:color w:val="000000"/>
                                    <w:sz w:val="28"/>
                                    <w:szCs w:val="28"/>
                                  </w:rPr>
                                  <w:br/>
                                  <w:t>University of Wales Trinity Saint David</w:t>
                                </w:r>
                              </w:p>
                              <w:p w14:paraId="69CB7317"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Supervisor:</w:t>
                                </w:r>
                                <w:r w:rsidRPr="00B4476C">
                                  <w:rPr>
                                    <w:rFonts w:ascii="Calibri" w:hAnsi="Calibri" w:cs="Calibri"/>
                                    <w:color w:val="000000"/>
                                    <w:sz w:val="28"/>
                                    <w:szCs w:val="28"/>
                                  </w:rPr>
                                  <w:t xml:space="preserve"> Dr Alireza Esfahani</w:t>
                                </w:r>
                                <w:r w:rsidRPr="00B4476C">
                                  <w:rPr>
                                    <w:rFonts w:ascii="Calibri" w:hAnsi="Calibri" w:cs="Calibri"/>
                                    <w:color w:val="000000"/>
                                    <w:sz w:val="28"/>
                                    <w:szCs w:val="28"/>
                                  </w:rPr>
                                  <w:br/>
                                </w:r>
                                <w:r w:rsidRPr="00B4476C">
                                  <w:rPr>
                                    <w:rFonts w:ascii="Calibri" w:hAnsi="Calibri" w:cs="Calibri"/>
                                    <w:b/>
                                    <w:bCs/>
                                    <w:color w:val="000000"/>
                                    <w:sz w:val="28"/>
                                    <w:szCs w:val="28"/>
                                  </w:rPr>
                                  <w:t>Module:</w:t>
                                </w:r>
                                <w:r w:rsidRPr="00B4476C">
                                  <w:rPr>
                                    <w:rFonts w:ascii="Calibri" w:hAnsi="Calibri" w:cs="Calibri"/>
                                    <w:color w:val="000000"/>
                                    <w:sz w:val="28"/>
                                    <w:szCs w:val="28"/>
                                  </w:rPr>
                                  <w:t xml:space="preserve"> ACCA6020 Independent Project</w:t>
                                </w:r>
                                <w:r w:rsidRPr="00B4476C">
                                  <w:rPr>
                                    <w:rFonts w:ascii="Calibri" w:hAnsi="Calibri" w:cs="Calibri"/>
                                    <w:color w:val="000000"/>
                                    <w:sz w:val="28"/>
                                    <w:szCs w:val="28"/>
                                  </w:rPr>
                                  <w:br/>
                                </w:r>
                                <w:r w:rsidRPr="00B4476C">
                                  <w:rPr>
                                    <w:rFonts w:ascii="Calibri" w:hAnsi="Calibri" w:cs="Calibri"/>
                                    <w:b/>
                                    <w:bCs/>
                                    <w:color w:val="000000"/>
                                    <w:sz w:val="28"/>
                                    <w:szCs w:val="28"/>
                                  </w:rPr>
                                  <w:t>Academic Year:</w:t>
                                </w:r>
                                <w:r w:rsidRPr="00B4476C">
                                  <w:rPr>
                                    <w:rFonts w:ascii="Calibri" w:hAnsi="Calibri" w:cs="Calibri"/>
                                    <w:color w:val="000000"/>
                                    <w:sz w:val="28"/>
                                    <w:szCs w:val="28"/>
                                  </w:rPr>
                                  <w:t xml:space="preserve"> 2025/26</w:t>
                                </w:r>
                              </w:p>
                              <w:p w14:paraId="6E7430BB" w14:textId="77777777" w:rsidR="00344F44" w:rsidRDefault="00344F44" w:rsidP="00DA3CFE">
                                <w:pPr>
                                  <w:spacing w:before="100"/>
                                  <w:jc w:val="center"/>
                                  <w:rPr>
                                    <w:color w:val="000000"/>
                                  </w:rPr>
                                </w:pPr>
                              </w:p>
                              <w:p w14:paraId="4AB80D54" w14:textId="0D5F501E" w:rsidR="00707041" w:rsidRDefault="00707041" w:rsidP="00DA3CFE">
                                <w:pPr>
                                  <w:spacing w:before="100"/>
                                  <w:jc w:val="center"/>
                                </w:pPr>
                              </w:p>
                              <w:p w14:paraId="0D4DE053" w14:textId="0AF85F8A" w:rsidR="00DA3CFE" w:rsidRDefault="00DA3C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BB151D" id="_x0000_t202" coordsize="21600,21600" o:spt="202" path="m,l,21600r21600,l21600,xe">
                    <v:stroke joinstyle="miter"/>
                    <v:path gradientshapeok="t" o:connecttype="rect"/>
                  </v:shapetype>
                  <v:shape id="Text Box 2" o:spid="_x0000_s1055" type="#_x0000_t202" style="position:absolute;margin-left:136.9pt;margin-top:580.1pt;width:257.85pt;height:138.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" stroked="f">
                    <v:textbox>
                      <w:txbxContent>
                        <w:p w14:paraId="3B634143"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Federico Mossa</w:t>
                          </w:r>
                          <w:r w:rsidRPr="00B4476C">
                            <w:rPr>
                              <w:rFonts w:ascii="Calibri" w:hAnsi="Calibri" w:cs="Calibri"/>
                              <w:color w:val="000000"/>
                              <w:sz w:val="28"/>
                              <w:szCs w:val="28"/>
                            </w:rPr>
                            <w:br/>
                            <w:t>BSc (Hons) Applied Computing</w:t>
                          </w:r>
                          <w:r w:rsidRPr="00B4476C">
                            <w:rPr>
                              <w:rFonts w:ascii="Calibri" w:hAnsi="Calibri" w:cs="Calibri"/>
                              <w:color w:val="000000"/>
                              <w:sz w:val="28"/>
                              <w:szCs w:val="28"/>
                            </w:rPr>
                            <w:br/>
                            <w:t>University of Wales Trinity Saint David</w:t>
                          </w:r>
                        </w:p>
                        <w:p w14:paraId="69CB7317" w14:textId="77777777" w:rsidR="005B0F3E" w:rsidRPr="00B4476C" w:rsidRDefault="005B0F3E" w:rsidP="005B0F3E">
                          <w:pPr>
                            <w:spacing w:before="100" w:after="0"/>
                            <w:jc w:val="center"/>
                            <w:rPr>
                              <w:rFonts w:ascii="Calibri" w:hAnsi="Calibri" w:cs="Calibri"/>
                              <w:color w:val="000000"/>
                              <w:sz w:val="28"/>
                              <w:szCs w:val="28"/>
                            </w:rPr>
                          </w:pPr>
                          <w:r w:rsidRPr="00B4476C">
                            <w:rPr>
                              <w:rFonts w:ascii="Calibri" w:hAnsi="Calibri" w:cs="Calibri"/>
                              <w:b/>
                              <w:bCs/>
                              <w:color w:val="000000"/>
                              <w:sz w:val="28"/>
                              <w:szCs w:val="28"/>
                            </w:rPr>
                            <w:t>Supervisor:</w:t>
                          </w:r>
                          <w:r w:rsidRPr="00B4476C">
                            <w:rPr>
                              <w:rFonts w:ascii="Calibri" w:hAnsi="Calibri" w:cs="Calibri"/>
                              <w:color w:val="000000"/>
                              <w:sz w:val="28"/>
                              <w:szCs w:val="28"/>
                            </w:rPr>
                            <w:t xml:space="preserve"> Dr Alireza Esfahani</w:t>
                          </w:r>
                          <w:r w:rsidRPr="00B4476C">
                            <w:rPr>
                              <w:rFonts w:ascii="Calibri" w:hAnsi="Calibri" w:cs="Calibri"/>
                              <w:color w:val="000000"/>
                              <w:sz w:val="28"/>
                              <w:szCs w:val="28"/>
                            </w:rPr>
                            <w:br/>
                          </w:r>
                          <w:r w:rsidRPr="00B4476C">
                            <w:rPr>
                              <w:rFonts w:ascii="Calibri" w:hAnsi="Calibri" w:cs="Calibri"/>
                              <w:b/>
                              <w:bCs/>
                              <w:color w:val="000000"/>
                              <w:sz w:val="28"/>
                              <w:szCs w:val="28"/>
                            </w:rPr>
                            <w:t>Module:</w:t>
                          </w:r>
                          <w:r w:rsidRPr="00B4476C">
                            <w:rPr>
                              <w:rFonts w:ascii="Calibri" w:hAnsi="Calibri" w:cs="Calibri"/>
                              <w:color w:val="000000"/>
                              <w:sz w:val="28"/>
                              <w:szCs w:val="28"/>
                            </w:rPr>
                            <w:t xml:space="preserve"> ACCA6020 Independent Project</w:t>
                          </w:r>
                          <w:r w:rsidRPr="00B4476C">
                            <w:rPr>
                              <w:rFonts w:ascii="Calibri" w:hAnsi="Calibri" w:cs="Calibri"/>
                              <w:color w:val="000000"/>
                              <w:sz w:val="28"/>
                              <w:szCs w:val="28"/>
                            </w:rPr>
                            <w:br/>
                          </w:r>
                          <w:r w:rsidRPr="00B4476C">
                            <w:rPr>
                              <w:rFonts w:ascii="Calibri" w:hAnsi="Calibri" w:cs="Calibri"/>
                              <w:b/>
                              <w:bCs/>
                              <w:color w:val="000000"/>
                              <w:sz w:val="28"/>
                              <w:szCs w:val="28"/>
                            </w:rPr>
                            <w:t>Academic Year:</w:t>
                          </w:r>
                          <w:r w:rsidRPr="00B4476C">
                            <w:rPr>
                              <w:rFonts w:ascii="Calibri" w:hAnsi="Calibri" w:cs="Calibri"/>
                              <w:color w:val="000000"/>
                              <w:sz w:val="28"/>
                              <w:szCs w:val="28"/>
                            </w:rPr>
                            <w:t xml:space="preserve"> 2025/26</w:t>
                          </w:r>
                        </w:p>
                        <w:p w14:paraId="6E7430BB" w14:textId="77777777" w:rsidR="00344F44" w:rsidRDefault="00344F44" w:rsidP="00DA3CFE">
                          <w:pPr>
                            <w:spacing w:before="100"/>
                            <w:jc w:val="center"/>
                            <w:rPr>
                              <w:color w:val="000000"/>
                            </w:rPr>
                          </w:pPr>
                        </w:p>
                        <w:p w14:paraId="4AB80D54" w14:textId="0D5F501E" w:rsidR="00707041" w:rsidRDefault="00707041" w:rsidP="00DA3CFE">
                          <w:pPr>
                            <w:spacing w:before="100"/>
                            <w:jc w:val="center"/>
                          </w:pPr>
                        </w:p>
                        <w:p w14:paraId="0D4DE053" w14:textId="0AF85F8A" w:rsidR="00DA3CFE" w:rsidRDefault="00DA3CFE"/>
                      </w:txbxContent>
                    </v:textbox>
                    <w10:wrap type="square" anchorx="margin"/>
                  </v:shape>
                </w:pict>
              </mc:Fallback>
            </mc:AlternateContent>
          </w:r>
          <w:r>
            <w:rPr>
              <w:noProof/>
            </w:rPr>
            <w:drawing>
              <wp:anchor distT="0" distB="0" distL="114300" distR="114300" simplePos="0" relativeHeight="251662336" behindDoc="1" locked="0" layoutInCell="1" allowOverlap="1" wp14:anchorId="11A2CA76" wp14:editId="2946384A">
                <wp:simplePos x="0" y="0"/>
                <wp:positionH relativeFrom="page">
                  <wp:posOffset>4898390</wp:posOffset>
                </wp:positionH>
                <wp:positionV relativeFrom="page">
                  <wp:posOffset>1003935</wp:posOffset>
                </wp:positionV>
                <wp:extent cx="2273935" cy="1466850"/>
                <wp:effectExtent l="0" t="0" r="0" b="0"/>
                <wp:wrapTight wrapText="bothSides">
                  <wp:wrapPolygon edited="0">
                    <wp:start x="0" y="0"/>
                    <wp:lineTo x="0" y="21319"/>
                    <wp:lineTo x="21353" y="21319"/>
                    <wp:lineTo x="21353" y="0"/>
                    <wp:lineTo x="0" y="0"/>
                  </wp:wrapPolygon>
                </wp:wrapTight>
                <wp:docPr id="410760501"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3935"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902">
            <w:rPr>
              <w:noProof/>
            </w:rPr>
            <mc:AlternateContent>
              <mc:Choice Requires="wps">
                <w:drawing>
                  <wp:anchor distT="0" distB="0" distL="114300" distR="114300" simplePos="0" relativeHeight="251660288" behindDoc="0" locked="0" layoutInCell="1" allowOverlap="1" wp14:anchorId="09BA5138" wp14:editId="60206D53">
                    <wp:simplePos x="0" y="0"/>
                    <wp:positionH relativeFrom="margin">
                      <wp:align>left</wp:align>
                    </wp:positionH>
                    <wp:positionV relativeFrom="page">
                      <wp:posOffset>2679405</wp:posOffset>
                    </wp:positionV>
                    <wp:extent cx="6729818" cy="1935125"/>
                    <wp:effectExtent l="0" t="0" r="13970" b="8255"/>
                    <wp:wrapNone/>
                    <wp:docPr id="1118462527" name="Text Box 30"/>
                    <wp:cNvGraphicFramePr/>
                    <a:graphic xmlns:a="http://schemas.openxmlformats.org/drawingml/2006/main">
                      <a:graphicData uri="http://schemas.microsoft.com/office/word/2010/wordprocessingShape">
                        <wps:wsp>
                          <wps:cNvSpPr txBox="1"/>
                          <wps:spPr>
                            <a:xfrm>
                              <a:off x="0" y="0"/>
                              <a:ext cx="6729818" cy="1935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600B71" w14:textId="0C2122C6" w:rsidR="00FF2902" w:rsidRPr="00F114E2" w:rsidRDefault="00423855">
                                <w:pPr>
                                  <w:pStyle w:val="NoSpacing"/>
                                  <w:rPr>
                                    <w:rFonts w:ascii="Bookman Old Style" w:eastAsiaTheme="majorEastAsia" w:hAnsi="Bookman Old Style" w:cstheme="majorBidi"/>
                                    <w:b/>
                                    <w:bCs/>
                                    <w:color w:val="262626" w:themeColor="text1" w:themeTint="D9"/>
                                    <w:sz w:val="40"/>
                                    <w:szCs w:val="40"/>
                                  </w:rPr>
                                </w:pPr>
                                <w:sdt>
                                  <w:sdtPr>
                                    <w:rPr>
                                      <w:rFonts w:ascii="Bookman Old Style" w:eastAsiaTheme="majorEastAsia" w:hAnsi="Bookman Old Style"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2902" w:rsidRPr="00F114E2">
                                      <w:rPr>
                                        <w:rFonts w:ascii="Bookman Old Style" w:eastAsiaTheme="majorEastAsia" w:hAnsi="Bookman Old Style" w:cstheme="majorBidi"/>
                                        <w:b/>
                                        <w:bCs/>
                                        <w:color w:val="262626" w:themeColor="text1" w:themeTint="D9"/>
                                        <w:sz w:val="40"/>
                                        <w:szCs w:val="40"/>
                                      </w:rPr>
                                      <w:t>Merchandising Decision Support System (MDSS)</w:t>
                                    </w:r>
                                  </w:sdtContent>
                                </w:sdt>
                              </w:p>
                              <w:p w14:paraId="16A39E16" w14:textId="31267154" w:rsidR="00FF2902" w:rsidRPr="00010E5B" w:rsidRDefault="00423855">
                                <w:pPr>
                                  <w:spacing w:before="120"/>
                                  <w:rPr>
                                    <w:rFonts w:ascii="Calibri" w:hAnsi="Calibri" w:cs="Calibri"/>
                                    <w:color w:val="404040" w:themeColor="text1" w:themeTint="BF"/>
                                    <w:sz w:val="28"/>
                                    <w:szCs w:val="28"/>
                                  </w:rPr>
                                </w:pPr>
                                <w:sdt>
                                  <w:sdtPr>
                                    <w:rPr>
                                      <w:rFonts w:ascii="Calibri" w:hAnsi="Calibri" w:cs="Calibr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67688" w:rsidRPr="00010E5B">
                                      <w:rPr>
                                        <w:rFonts w:ascii="Calibri" w:hAnsi="Calibri" w:cs="Calibri"/>
                                        <w:color w:val="404040" w:themeColor="text1" w:themeTint="BF"/>
                                        <w:sz w:val="28"/>
                                        <w:szCs w:val="28"/>
                                      </w:rPr>
                                      <w:t>An Explainable Local</w:t>
                                    </w:r>
                                    <w:r w:rsidR="00115156" w:rsidRPr="00010E5B">
                                      <w:rPr>
                                        <w:rFonts w:ascii="Calibri" w:hAnsi="Calibri" w:cs="Calibri"/>
                                        <w:color w:val="404040" w:themeColor="text1" w:themeTint="BF"/>
                                        <w:sz w:val="28"/>
                                        <w:szCs w:val="28"/>
                                      </w:rPr>
                                      <w:t xml:space="preserve"> Decision-Support Prototype Integrating Business Intelligence and Google Analytics 4 Data for Online Merchandising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9BA5138" id="Text Box 30" o:spid="_x0000_s1056" type="#_x0000_t202" style="position:absolute;margin-left:0;margin-top:211pt;width:529.9pt;height:152.3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" filled="f" stroked="f" strokeweight=".5pt">
                    <v:textbox inset="0,0,0,0">
                      <w:txbxContent>
                        <w:p w14:paraId="03600B71" w14:textId="0C2122C6" w:rsidR="00FF2902" w:rsidRPr="00F114E2" w:rsidRDefault="00423855">
                          <w:pPr>
                            <w:pStyle w:val="NoSpacing"/>
                            <w:rPr>
                              <w:rFonts w:ascii="Bookman Old Style" w:eastAsiaTheme="majorEastAsia" w:hAnsi="Bookman Old Style" w:cstheme="majorBidi"/>
                              <w:b/>
                              <w:bCs/>
                              <w:color w:val="262626" w:themeColor="text1" w:themeTint="D9"/>
                              <w:sz w:val="40"/>
                              <w:szCs w:val="40"/>
                            </w:rPr>
                          </w:pPr>
                          <w:sdt>
                            <w:sdtPr>
                              <w:rPr>
                                <w:rFonts w:ascii="Bookman Old Style" w:eastAsiaTheme="majorEastAsia" w:hAnsi="Bookman Old Style" w:cstheme="majorBidi"/>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2902" w:rsidRPr="00F114E2">
                                <w:rPr>
                                  <w:rFonts w:ascii="Bookman Old Style" w:eastAsiaTheme="majorEastAsia" w:hAnsi="Bookman Old Style" w:cstheme="majorBidi"/>
                                  <w:b/>
                                  <w:bCs/>
                                  <w:color w:val="262626" w:themeColor="text1" w:themeTint="D9"/>
                                  <w:sz w:val="40"/>
                                  <w:szCs w:val="40"/>
                                </w:rPr>
                                <w:t>Merchandising Decision Support System (MDSS)</w:t>
                              </w:r>
                            </w:sdtContent>
                          </w:sdt>
                        </w:p>
                        <w:p w14:paraId="16A39E16" w14:textId="31267154" w:rsidR="00FF2902" w:rsidRPr="00010E5B" w:rsidRDefault="00423855">
                          <w:pPr>
                            <w:spacing w:before="120"/>
                            <w:rPr>
                              <w:rFonts w:ascii="Calibri" w:hAnsi="Calibri" w:cs="Calibri"/>
                              <w:color w:val="404040" w:themeColor="text1" w:themeTint="BF"/>
                              <w:sz w:val="28"/>
                              <w:szCs w:val="28"/>
                            </w:rPr>
                          </w:pPr>
                          <w:sdt>
                            <w:sdtPr>
                              <w:rPr>
                                <w:rFonts w:ascii="Calibri" w:hAnsi="Calibri" w:cs="Calibri"/>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67688" w:rsidRPr="00010E5B">
                                <w:rPr>
                                  <w:rFonts w:ascii="Calibri" w:hAnsi="Calibri" w:cs="Calibri"/>
                                  <w:color w:val="404040" w:themeColor="text1" w:themeTint="BF"/>
                                  <w:sz w:val="28"/>
                                  <w:szCs w:val="28"/>
                                </w:rPr>
                                <w:t>An Explainable Local</w:t>
                              </w:r>
                              <w:r w:rsidR="00115156" w:rsidRPr="00010E5B">
                                <w:rPr>
                                  <w:rFonts w:ascii="Calibri" w:hAnsi="Calibri" w:cs="Calibri"/>
                                  <w:color w:val="404040" w:themeColor="text1" w:themeTint="BF"/>
                                  <w:sz w:val="28"/>
                                  <w:szCs w:val="28"/>
                                </w:rPr>
                                <w:t xml:space="preserve"> Decision-Support Prototype Integrating Business Intelligence and Google Analytics 4 Data for Online Merchandising</w:t>
                              </w:r>
                            </w:sdtContent>
                          </w:sdt>
                        </w:p>
                      </w:txbxContent>
                    </v:textbox>
                    <w10:wrap anchorx="margin" anchory="page"/>
                  </v:shape>
                </w:pict>
              </mc:Fallback>
            </mc:AlternateContent>
          </w:r>
          <w:r w:rsidR="00FF2902">
            <w:rPr>
              <w:color w:val="000000"/>
              <w:sz w:val="22"/>
              <w:szCs w:val="22"/>
            </w:rPr>
            <w:br w:type="page"/>
          </w:r>
        </w:p>
      </w:sdtContent>
    </w:sdt>
    <w:p w14:paraId="5D1F536D" w14:textId="271E4E9E" w:rsidR="00D66BF6" w:rsidRDefault="00D66BF6">
      <w:pPr>
        <w:spacing w:before="100"/>
        <w:jc w:val="center"/>
        <w:rPr>
          <w:color w:val="000000"/>
          <w:sz w:val="22"/>
          <w:szCs w:val="22"/>
        </w:rPr>
      </w:pPr>
    </w:p>
    <w:p w14:paraId="749C57D7" w14:textId="77777777" w:rsidR="00D66BF6" w:rsidRDefault="00D66BF6">
      <w:pPr>
        <w:spacing w:before="100"/>
        <w:jc w:val="center"/>
        <w:rPr>
          <w:color w:val="000000"/>
          <w:sz w:val="22"/>
          <w:szCs w:val="22"/>
        </w:rPr>
      </w:pPr>
    </w:p>
    <w:p w14:paraId="1617452A" w14:textId="77777777" w:rsidR="00D66BF6" w:rsidRDefault="00D66BF6" w:rsidP="00F6736A">
      <w:pPr>
        <w:spacing w:before="100"/>
        <w:rPr>
          <w:color w:val="000000"/>
          <w:sz w:val="22"/>
          <w:szCs w:val="22"/>
        </w:rPr>
      </w:pPr>
    </w:p>
    <w:p w14:paraId="1A412234" w14:textId="62992368" w:rsidR="00AC2C46" w:rsidRPr="00FB401A" w:rsidRDefault="00D66BF6" w:rsidP="00AC2C46">
      <w:pPr>
        <w:pStyle w:val="Heading1"/>
        <w:rPr>
          <w:rFonts w:ascii="Bookman Old Style" w:hAnsi="Bookman Old Style"/>
          <w:sz w:val="28"/>
          <w:szCs w:val="28"/>
        </w:rPr>
      </w:pPr>
      <w:bookmarkStart w:id="0" w:name="_Toc237246536"/>
      <w:r w:rsidRPr="00FB401A">
        <w:rPr>
          <w:rFonts w:ascii="Bookman Old Style" w:hAnsi="Bookman Old Style"/>
          <w:b/>
          <w:bCs/>
          <w:sz w:val="28"/>
          <w:szCs w:val="28"/>
        </w:rPr>
        <w:t>DECLARATION OF ORIGINALITY</w:t>
      </w:r>
      <w:bookmarkEnd w:id="0"/>
    </w:p>
    <w:p w14:paraId="06153FD6" w14:textId="4FC9E21B" w:rsidR="00D66BF6" w:rsidRDefault="00D66BF6" w:rsidP="00A36E41">
      <w:pPr>
        <w:spacing w:before="100"/>
        <w:rPr>
          <w:b/>
          <w:bCs/>
        </w:rPr>
      </w:pPr>
    </w:p>
    <w:p w14:paraId="71C34B9B" w14:textId="77777777" w:rsidR="007325B6" w:rsidRPr="00D66BF6" w:rsidRDefault="007325B6" w:rsidP="00A36E41">
      <w:pPr>
        <w:spacing w:before="100" w:after="0"/>
      </w:pPr>
    </w:p>
    <w:p w14:paraId="783EA092" w14:textId="77777777" w:rsidR="00D66BF6" w:rsidRPr="00720BBD" w:rsidRDefault="00D66BF6" w:rsidP="00D66BF6">
      <w:pPr>
        <w:spacing w:before="100" w:after="0"/>
        <w:jc w:val="center"/>
        <w:rPr>
          <w:rFonts w:ascii="Calibri" w:hAnsi="Calibri" w:cs="Calibri"/>
          <w:sz w:val="24"/>
          <w:szCs w:val="24"/>
        </w:rPr>
      </w:pPr>
      <w:r w:rsidRPr="00720BBD">
        <w:rPr>
          <w:rFonts w:ascii="Calibri" w:hAnsi="Calibri" w:cs="Calibri"/>
          <w:sz w:val="24"/>
          <w:szCs w:val="24"/>
        </w:rPr>
        <w:t xml:space="preserve">I, </w:t>
      </w:r>
      <w:r w:rsidRPr="00720BBD">
        <w:rPr>
          <w:rFonts w:ascii="Calibri" w:hAnsi="Calibri" w:cs="Calibri"/>
          <w:b/>
          <w:bCs/>
          <w:sz w:val="24"/>
          <w:szCs w:val="24"/>
        </w:rPr>
        <w:t>Federico Mossa</w:t>
      </w:r>
      <w:r w:rsidRPr="00720BBD">
        <w:rPr>
          <w:rFonts w:ascii="Calibri" w:hAnsi="Calibri" w:cs="Calibri"/>
          <w:sz w:val="24"/>
          <w:szCs w:val="24"/>
        </w:rPr>
        <w:t>, declare that I am the sole author of this Project; that all references cited have been consulted; that I have conducted all work of which this is a record; and that the finished work lies within the prescribed word limits.</w:t>
      </w:r>
    </w:p>
    <w:p w14:paraId="15A30B36" w14:textId="77777777" w:rsidR="00D66BF6" w:rsidRPr="00720BBD" w:rsidRDefault="00D66BF6" w:rsidP="00D66BF6">
      <w:pPr>
        <w:spacing w:before="100" w:after="0"/>
        <w:jc w:val="center"/>
        <w:rPr>
          <w:rFonts w:ascii="Calibri" w:hAnsi="Calibri" w:cs="Calibri"/>
          <w:sz w:val="24"/>
          <w:szCs w:val="24"/>
        </w:rPr>
      </w:pPr>
      <w:r w:rsidRPr="00720BBD">
        <w:rPr>
          <w:rFonts w:ascii="Calibri" w:hAnsi="Calibri" w:cs="Calibri"/>
          <w:sz w:val="24"/>
          <w:szCs w:val="24"/>
        </w:rPr>
        <w:t>This work has not previously been accepted as part of any other degree submission.</w:t>
      </w:r>
    </w:p>
    <w:p w14:paraId="2AF1C7FF" w14:textId="35352D8E" w:rsidR="00D66BF6" w:rsidRPr="00720BBD" w:rsidRDefault="00D66BF6" w:rsidP="00D66BF6">
      <w:pPr>
        <w:spacing w:before="100" w:after="0"/>
        <w:jc w:val="center"/>
        <w:rPr>
          <w:rFonts w:ascii="Calibri" w:hAnsi="Calibri" w:cs="Calibri"/>
          <w:sz w:val="24"/>
          <w:szCs w:val="24"/>
        </w:rPr>
      </w:pPr>
      <w:r w:rsidRPr="00720BBD">
        <w:rPr>
          <w:rFonts w:ascii="Calibri" w:hAnsi="Calibri" w:cs="Calibri"/>
          <w:b/>
          <w:bCs/>
          <w:sz w:val="24"/>
          <w:szCs w:val="24"/>
        </w:rPr>
        <w:t>Signed:</w:t>
      </w:r>
      <w:r w:rsidRPr="00720BBD">
        <w:rPr>
          <w:rFonts w:ascii="Calibri" w:hAnsi="Calibri" w:cs="Calibri"/>
          <w:sz w:val="24"/>
          <w:szCs w:val="24"/>
        </w:rPr>
        <w:t xml:space="preserve"> </w:t>
      </w:r>
      <w:r w:rsidR="00287442" w:rsidRPr="00720BBD">
        <w:rPr>
          <w:rFonts w:ascii="Calibri" w:hAnsi="Calibri" w:cs="Calibri"/>
          <w:i/>
          <w:iCs/>
          <w:sz w:val="24"/>
          <w:szCs w:val="24"/>
        </w:rPr>
        <w:t>Federico Mossa</w:t>
      </w:r>
      <w:r w:rsidRPr="00720BBD">
        <w:rPr>
          <w:rFonts w:ascii="Calibri" w:hAnsi="Calibri" w:cs="Calibri"/>
          <w:sz w:val="24"/>
          <w:szCs w:val="24"/>
        </w:rPr>
        <w:br/>
      </w:r>
      <w:r w:rsidRPr="00720BBD">
        <w:rPr>
          <w:rFonts w:ascii="Calibri" w:hAnsi="Calibri" w:cs="Calibri"/>
          <w:b/>
          <w:bCs/>
          <w:sz w:val="24"/>
          <w:szCs w:val="24"/>
        </w:rPr>
        <w:t>Date:</w:t>
      </w:r>
      <w:r w:rsidR="00612942" w:rsidRPr="00720BBD">
        <w:rPr>
          <w:rFonts w:ascii="Calibri" w:hAnsi="Calibri" w:cs="Calibri"/>
          <w:sz w:val="24"/>
          <w:szCs w:val="24"/>
        </w:rPr>
        <w:t xml:space="preserve"> 09</w:t>
      </w:r>
      <w:r w:rsidR="00287442" w:rsidRPr="00720BBD">
        <w:rPr>
          <w:rFonts w:ascii="Calibri" w:hAnsi="Calibri" w:cs="Calibri"/>
          <w:sz w:val="24"/>
          <w:szCs w:val="24"/>
        </w:rPr>
        <w:t>/08/2026</w:t>
      </w:r>
    </w:p>
    <w:p w14:paraId="18925004" w14:textId="77777777" w:rsidR="00D66BF6" w:rsidRPr="00720BBD" w:rsidRDefault="00D66BF6" w:rsidP="00D66BF6">
      <w:pPr>
        <w:spacing w:before="100" w:after="0"/>
        <w:jc w:val="center"/>
        <w:rPr>
          <w:rFonts w:ascii="Calibri" w:hAnsi="Calibri" w:cs="Calibri"/>
          <w:sz w:val="24"/>
          <w:szCs w:val="24"/>
        </w:rPr>
      </w:pPr>
      <w:r w:rsidRPr="00720BBD">
        <w:rPr>
          <w:rFonts w:ascii="Calibri" w:hAnsi="Calibri" w:cs="Calibri"/>
          <w:b/>
          <w:bCs/>
          <w:sz w:val="24"/>
          <w:szCs w:val="24"/>
        </w:rPr>
        <w:t>FORM OF CONSENT</w:t>
      </w:r>
    </w:p>
    <w:p w14:paraId="40145CC8" w14:textId="77777777" w:rsidR="00D66BF6" w:rsidRPr="00720BBD" w:rsidRDefault="00D66BF6" w:rsidP="00D66BF6">
      <w:pPr>
        <w:spacing w:before="100" w:after="0"/>
        <w:jc w:val="center"/>
        <w:rPr>
          <w:rFonts w:ascii="Calibri" w:hAnsi="Calibri" w:cs="Calibri"/>
          <w:sz w:val="24"/>
          <w:szCs w:val="24"/>
        </w:rPr>
      </w:pPr>
      <w:r w:rsidRPr="00720BBD">
        <w:rPr>
          <w:rFonts w:ascii="Calibri" w:hAnsi="Calibri" w:cs="Calibri"/>
          <w:sz w:val="24"/>
          <w:szCs w:val="24"/>
        </w:rPr>
        <w:t xml:space="preserve">I, </w:t>
      </w:r>
      <w:r w:rsidRPr="00720BBD">
        <w:rPr>
          <w:rFonts w:ascii="Calibri" w:hAnsi="Calibri" w:cs="Calibri"/>
          <w:b/>
          <w:bCs/>
          <w:sz w:val="24"/>
          <w:szCs w:val="24"/>
        </w:rPr>
        <w:t>Federico Mossa</w:t>
      </w:r>
      <w:r w:rsidRPr="00720BBD">
        <w:rPr>
          <w:rFonts w:ascii="Calibri" w:hAnsi="Calibri" w:cs="Calibri"/>
          <w:sz w:val="24"/>
          <w:szCs w:val="24"/>
        </w:rPr>
        <w:t xml:space="preserve">, hereby consent that my Project, submitted in candidature for the </w:t>
      </w:r>
      <w:r w:rsidRPr="00720BBD">
        <w:rPr>
          <w:rFonts w:ascii="Calibri" w:hAnsi="Calibri" w:cs="Calibri"/>
          <w:b/>
          <w:bCs/>
          <w:sz w:val="24"/>
          <w:szCs w:val="24"/>
        </w:rPr>
        <w:t>BSc (Hons) Applied Computing degree</w:t>
      </w:r>
      <w:r w:rsidRPr="00720BBD">
        <w:rPr>
          <w:rFonts w:ascii="Calibri" w:hAnsi="Calibri" w:cs="Calibri"/>
          <w:sz w:val="24"/>
          <w:szCs w:val="24"/>
        </w:rPr>
        <w:t>, if successful, may be made available for inter-library loan or photocopying (subject to the law of copyright), and that the title and abstract may be made available to outside organisations.</w:t>
      </w:r>
    </w:p>
    <w:p w14:paraId="68382864" w14:textId="761CA2D3" w:rsidR="00D66BF6" w:rsidRPr="00720BBD" w:rsidRDefault="00D66BF6" w:rsidP="00D66BF6">
      <w:pPr>
        <w:spacing w:before="100" w:after="0"/>
        <w:jc w:val="center"/>
        <w:rPr>
          <w:rFonts w:ascii="Calibri" w:hAnsi="Calibri" w:cs="Calibri"/>
          <w:sz w:val="24"/>
          <w:szCs w:val="24"/>
        </w:rPr>
      </w:pPr>
      <w:r w:rsidRPr="00720BBD">
        <w:rPr>
          <w:rFonts w:ascii="Calibri" w:hAnsi="Calibri" w:cs="Calibri"/>
          <w:b/>
          <w:bCs/>
          <w:sz w:val="24"/>
          <w:szCs w:val="24"/>
        </w:rPr>
        <w:t>Signed:</w:t>
      </w:r>
      <w:r w:rsidRPr="00720BBD">
        <w:rPr>
          <w:rFonts w:ascii="Calibri" w:hAnsi="Calibri" w:cs="Calibri"/>
          <w:sz w:val="24"/>
          <w:szCs w:val="24"/>
        </w:rPr>
        <w:t xml:space="preserve"> </w:t>
      </w:r>
      <w:r w:rsidR="00287442" w:rsidRPr="00720BBD">
        <w:rPr>
          <w:rFonts w:ascii="Calibri" w:hAnsi="Calibri" w:cs="Calibri"/>
          <w:i/>
          <w:iCs/>
          <w:sz w:val="24"/>
          <w:szCs w:val="24"/>
        </w:rPr>
        <w:t>Federico Mossa</w:t>
      </w:r>
      <w:r w:rsidRPr="00720BBD">
        <w:rPr>
          <w:rFonts w:ascii="Calibri" w:hAnsi="Calibri" w:cs="Calibri"/>
          <w:sz w:val="24"/>
          <w:szCs w:val="24"/>
        </w:rPr>
        <w:br/>
      </w:r>
      <w:r w:rsidRPr="00720BBD">
        <w:rPr>
          <w:rFonts w:ascii="Calibri" w:hAnsi="Calibri" w:cs="Calibri"/>
          <w:b/>
          <w:bCs/>
          <w:sz w:val="24"/>
          <w:szCs w:val="24"/>
        </w:rPr>
        <w:t>Date:</w:t>
      </w:r>
      <w:r w:rsidRPr="00720BBD">
        <w:rPr>
          <w:rFonts w:ascii="Calibri" w:hAnsi="Calibri" w:cs="Calibri"/>
          <w:sz w:val="24"/>
          <w:szCs w:val="24"/>
        </w:rPr>
        <w:t xml:space="preserve"> </w:t>
      </w:r>
      <w:r w:rsidR="00287442" w:rsidRPr="00720BBD">
        <w:rPr>
          <w:rFonts w:ascii="Calibri" w:hAnsi="Calibri" w:cs="Calibri"/>
          <w:sz w:val="24"/>
          <w:szCs w:val="24"/>
        </w:rPr>
        <w:t>09/08/</w:t>
      </w:r>
      <w:r w:rsidR="009E7CAE" w:rsidRPr="00720BBD">
        <w:rPr>
          <w:rFonts w:ascii="Calibri" w:hAnsi="Calibri" w:cs="Calibri"/>
          <w:sz w:val="24"/>
          <w:szCs w:val="24"/>
        </w:rPr>
        <w:t>2026</w:t>
      </w:r>
    </w:p>
    <w:p w14:paraId="4D7265F6" w14:textId="77777777" w:rsidR="00D66BF6" w:rsidRPr="00720BBD" w:rsidRDefault="00D66BF6" w:rsidP="00D66BF6">
      <w:pPr>
        <w:spacing w:before="100" w:after="0"/>
        <w:jc w:val="center"/>
        <w:rPr>
          <w:rFonts w:ascii="Calibri" w:hAnsi="Calibri" w:cs="Calibri"/>
          <w:sz w:val="24"/>
          <w:szCs w:val="24"/>
        </w:rPr>
      </w:pPr>
      <w:r w:rsidRPr="00720BBD">
        <w:rPr>
          <w:rFonts w:ascii="Calibri" w:hAnsi="Calibri" w:cs="Calibri"/>
          <w:b/>
          <w:bCs/>
          <w:sz w:val="24"/>
          <w:szCs w:val="24"/>
        </w:rPr>
        <w:t>COPYRIGHT ACKNOWLEDGEMENT</w:t>
      </w:r>
    </w:p>
    <w:p w14:paraId="38BE5BD8" w14:textId="1FEFCF0E" w:rsidR="00D66BF6" w:rsidRPr="00720BBD" w:rsidRDefault="00D66BF6" w:rsidP="00D66BF6">
      <w:pPr>
        <w:spacing w:before="100" w:after="0"/>
        <w:jc w:val="center"/>
        <w:rPr>
          <w:rFonts w:ascii="Calibri" w:hAnsi="Calibri" w:cs="Calibri"/>
          <w:sz w:val="24"/>
          <w:szCs w:val="24"/>
        </w:rPr>
      </w:pPr>
      <w:r w:rsidRPr="00720BBD">
        <w:rPr>
          <w:rFonts w:ascii="Calibri" w:hAnsi="Calibri" w:cs="Calibri"/>
          <w:sz w:val="24"/>
          <w:szCs w:val="24"/>
        </w:rPr>
        <w:t xml:space="preserve">I acknowledge that the copyright of this project report, and any product developed as part of the project, belong to </w:t>
      </w:r>
      <w:r w:rsidRPr="00720BBD">
        <w:rPr>
          <w:rFonts w:ascii="Calibri" w:hAnsi="Calibri" w:cs="Calibri"/>
          <w:b/>
          <w:bCs/>
          <w:sz w:val="24"/>
          <w:szCs w:val="24"/>
        </w:rPr>
        <w:t xml:space="preserve">University of Wales Trinity Saint David, </w:t>
      </w:r>
      <w:r w:rsidR="008B4413">
        <w:rPr>
          <w:rFonts w:ascii="Calibri" w:hAnsi="Calibri" w:cs="Calibri"/>
          <w:b/>
          <w:bCs/>
          <w:sz w:val="24"/>
          <w:szCs w:val="24"/>
        </w:rPr>
        <w:t>London</w:t>
      </w:r>
      <w:r w:rsidRPr="00720BBD">
        <w:rPr>
          <w:rFonts w:ascii="Calibri" w:hAnsi="Calibri" w:cs="Calibri"/>
          <w:sz w:val="24"/>
          <w:szCs w:val="24"/>
        </w:rPr>
        <w:t>.</w:t>
      </w:r>
    </w:p>
    <w:p w14:paraId="1FFF0D25" w14:textId="77777777" w:rsidR="00D66BF6" w:rsidRDefault="00D66BF6">
      <w:pPr>
        <w:spacing w:before="100"/>
        <w:jc w:val="center"/>
      </w:pPr>
    </w:p>
    <w:p w14:paraId="47B52BE4" w14:textId="77777777" w:rsidR="00AC2C46" w:rsidRDefault="00AC2C46">
      <w:pPr>
        <w:spacing w:before="100"/>
        <w:jc w:val="center"/>
      </w:pPr>
    </w:p>
    <w:p w14:paraId="19354445" w14:textId="77777777" w:rsidR="00AC2C46" w:rsidRDefault="00AC2C46">
      <w:pPr>
        <w:spacing w:before="100"/>
        <w:jc w:val="center"/>
      </w:pPr>
    </w:p>
    <w:p w14:paraId="3952FD0A" w14:textId="77777777" w:rsidR="00AC2C46" w:rsidRDefault="00AC2C46">
      <w:pPr>
        <w:spacing w:before="100"/>
        <w:jc w:val="center"/>
      </w:pPr>
    </w:p>
    <w:p w14:paraId="1727340B" w14:textId="77777777" w:rsidR="00AC2C46" w:rsidRDefault="00AC2C46">
      <w:pPr>
        <w:spacing w:before="100"/>
        <w:jc w:val="center"/>
      </w:pPr>
    </w:p>
    <w:p w14:paraId="7B1903BD" w14:textId="77777777" w:rsidR="00AC2C46" w:rsidRDefault="00AC2C46">
      <w:pPr>
        <w:spacing w:before="100"/>
        <w:jc w:val="center"/>
      </w:pPr>
    </w:p>
    <w:p w14:paraId="759EBBF5" w14:textId="77777777" w:rsidR="00AC2C46" w:rsidRDefault="00AC2C46">
      <w:pPr>
        <w:spacing w:before="100"/>
        <w:jc w:val="center"/>
      </w:pPr>
    </w:p>
    <w:p w14:paraId="6C402E19" w14:textId="77777777" w:rsidR="00AC2C46" w:rsidRDefault="00AC2C46">
      <w:pPr>
        <w:spacing w:before="100"/>
        <w:jc w:val="center"/>
      </w:pPr>
    </w:p>
    <w:p w14:paraId="1E31EB3C" w14:textId="77777777" w:rsidR="00AC2C46" w:rsidRDefault="00AC2C46">
      <w:pPr>
        <w:spacing w:before="100"/>
        <w:jc w:val="center"/>
      </w:pPr>
    </w:p>
    <w:p w14:paraId="0E652550" w14:textId="77777777" w:rsidR="00AC2C46" w:rsidRDefault="00AC2C46">
      <w:pPr>
        <w:spacing w:before="100"/>
        <w:jc w:val="center"/>
      </w:pPr>
    </w:p>
    <w:p w14:paraId="32CEF2FA" w14:textId="77777777" w:rsidR="00AC2C46" w:rsidRDefault="00AC2C46">
      <w:pPr>
        <w:spacing w:before="100"/>
        <w:jc w:val="center"/>
      </w:pPr>
    </w:p>
    <w:p w14:paraId="2E7082B5" w14:textId="77777777" w:rsidR="00AC2C46" w:rsidRDefault="00AC2C46">
      <w:pPr>
        <w:spacing w:before="100"/>
        <w:jc w:val="center"/>
      </w:pPr>
    </w:p>
    <w:p w14:paraId="50485930" w14:textId="77777777" w:rsidR="00AC2C46" w:rsidRDefault="00AC2C46">
      <w:pPr>
        <w:spacing w:before="100"/>
        <w:jc w:val="center"/>
      </w:pPr>
    </w:p>
    <w:p w14:paraId="5BE924EA" w14:textId="77777777" w:rsidR="00AC2C46" w:rsidRDefault="00AC2C46">
      <w:pPr>
        <w:spacing w:before="100"/>
        <w:jc w:val="center"/>
      </w:pPr>
    </w:p>
    <w:p w14:paraId="223D1A7F" w14:textId="77777777" w:rsidR="00BA2B53" w:rsidRPr="00720BBD" w:rsidRDefault="00116450">
      <w:pPr>
        <w:pStyle w:val="Heading1"/>
        <w:rPr>
          <w:rFonts w:ascii="Bookman Old Style" w:hAnsi="Bookman Old Style"/>
        </w:rPr>
      </w:pPr>
      <w:bookmarkStart w:id="1" w:name="_Toc237246537"/>
      <w:r w:rsidRPr="00720BBD">
        <w:rPr>
          <w:rFonts w:ascii="Bookman Old Style" w:hAnsi="Bookman Old Style"/>
          <w:bCs/>
        </w:rPr>
        <w:lastRenderedPageBreak/>
        <w:t>Abstract</w:t>
      </w:r>
      <w:bookmarkEnd w:id="1"/>
    </w:p>
    <w:p w14:paraId="223D1A80" w14:textId="77777777" w:rsidR="00BA2B53" w:rsidRPr="00F23986" w:rsidRDefault="00116450">
      <w:pPr>
        <w:spacing w:after="200" w:line="360" w:lineRule="auto"/>
        <w:jc w:val="both"/>
        <w:rPr>
          <w:rFonts w:ascii="Calibri" w:hAnsi="Calibri" w:cs="Calibri"/>
          <w:color w:val="000000"/>
          <w:sz w:val="24"/>
          <w:szCs w:val="24"/>
        </w:rPr>
      </w:pPr>
      <w:r w:rsidRPr="00F23986">
        <w:rPr>
          <w:rFonts w:ascii="Calibri" w:hAnsi="Calibri" w:cs="Calibri"/>
          <w:color w:val="000000"/>
          <w:sz w:val="24"/>
          <w:szCs w:val="24"/>
        </w:rPr>
        <w:t>Merchandising teams in online fashion retail must decide, every trading week, which products deserve replenishment, markdown, additional visibility or investigation, using evidence that is scattered across separate commercial reporting and digital-analytics platforms. This project addresses that fragmentation by designing, building and evaluating the Merchandising Decision Support System (MDSS), a local, explainable Flask web application that integrates structured business-intelligence (BI) data with Google Analytics 4 (GA4) behavioural data into a single, auditable product-ranking and recommendation workflow. Following a Design Science Research approach, MDSS validates and imports a five-sheet Excel workbook into SQLite, calculates a transparent weighted score for every product from four min-max-normalised signals, conversion rate, popularity, stock level and price, and applies an ordered rule-based decision engine that converts each score into one explainable action with an accountable owner, a confidence level and an indicative exposure value. A Scenario Lab allows users to compare seven fixed merchandising strategies against the same dataset, and a Verification page runs twenty-five deterministic technical checks covering calculation accuracy, ranking sensitivity, rule execution, robustness and database integration. The system was exercised against four synthetic demonstration datasets representing baseline, peak-trading, end-of-season and post-returns trading conditions, and all twenty-five checks passed across all 48 controlled weekly evaluation states. The project demonstrates that a lightweight, single-user prototype built entirely from open-source components can convert fragmented retail data into prioritised, explainable actions without resorting to opaque machine-learning inference. It also identifies limitations that would need to be addressed before commercial deployment, including reliance on synthetic data, prototype thresholds and the absence of live system integration. The report concludes with recommendations for a Version 2 architecture and a critical reflection on the development process.</w:t>
      </w:r>
    </w:p>
    <w:p w14:paraId="473B9D02" w14:textId="77777777" w:rsidR="00DC2217" w:rsidRDefault="00DC2217">
      <w:pPr>
        <w:spacing w:after="200" w:line="360" w:lineRule="auto"/>
        <w:jc w:val="both"/>
        <w:rPr>
          <w:color w:val="000000"/>
        </w:rPr>
      </w:pPr>
    </w:p>
    <w:p w14:paraId="74E02F62" w14:textId="77777777" w:rsidR="00DC2217" w:rsidRDefault="00DC2217">
      <w:pPr>
        <w:spacing w:after="200" w:line="360" w:lineRule="auto"/>
        <w:jc w:val="both"/>
        <w:rPr>
          <w:color w:val="000000"/>
        </w:rPr>
      </w:pPr>
    </w:p>
    <w:p w14:paraId="40E00290" w14:textId="77777777" w:rsidR="00DC2217" w:rsidRDefault="00DC2217">
      <w:pPr>
        <w:spacing w:after="200" w:line="360" w:lineRule="auto"/>
        <w:jc w:val="both"/>
        <w:rPr>
          <w:color w:val="000000"/>
        </w:rPr>
      </w:pPr>
    </w:p>
    <w:p w14:paraId="0101F000" w14:textId="77777777" w:rsidR="00DC2217" w:rsidRDefault="00DC2217">
      <w:pPr>
        <w:spacing w:after="200" w:line="360" w:lineRule="auto"/>
        <w:jc w:val="both"/>
        <w:rPr>
          <w:color w:val="000000"/>
        </w:rPr>
      </w:pPr>
    </w:p>
    <w:p w14:paraId="17884D94" w14:textId="77777777" w:rsidR="00DC2217" w:rsidRDefault="00DC2217">
      <w:pPr>
        <w:spacing w:after="200" w:line="360" w:lineRule="auto"/>
        <w:jc w:val="both"/>
        <w:rPr>
          <w:color w:val="000000"/>
        </w:rPr>
      </w:pPr>
    </w:p>
    <w:p w14:paraId="1DE7E220" w14:textId="77777777" w:rsidR="00DC2217" w:rsidRDefault="00DC2217">
      <w:pPr>
        <w:spacing w:after="200" w:line="360" w:lineRule="auto"/>
        <w:jc w:val="both"/>
        <w:rPr>
          <w:color w:val="000000"/>
        </w:rPr>
      </w:pPr>
    </w:p>
    <w:sdt>
      <w:sdtPr>
        <w:rPr>
          <w:rFonts w:asciiTheme="minorHAnsi" w:eastAsiaTheme="minorEastAsia" w:hAnsiTheme="minorHAnsi" w:cstheme="minorBidi"/>
          <w:color w:val="auto"/>
          <w:sz w:val="21"/>
          <w:szCs w:val="21"/>
        </w:rPr>
        <w:id w:val="918298571"/>
        <w:docPartObj>
          <w:docPartGallery w:val="Table of Contents"/>
          <w:docPartUnique/>
        </w:docPartObj>
      </w:sdtPr>
      <w:sdtEndPr>
        <w:rPr>
          <w:b/>
          <w:bCs/>
        </w:rPr>
      </w:sdtEndPr>
      <w:sdtContent>
        <w:p w14:paraId="08F812B2" w14:textId="1C76F9EB" w:rsidR="00DC2217" w:rsidRPr="00F114E2" w:rsidRDefault="00DC2217">
          <w:pPr>
            <w:pStyle w:val="TOCHeading"/>
            <w:rPr>
              <w:rFonts w:ascii="Bookman Old Style" w:hAnsi="Bookman Old Style"/>
            </w:rPr>
          </w:pPr>
          <w:r w:rsidRPr="00F114E2">
            <w:rPr>
              <w:rFonts w:ascii="Bookman Old Style" w:hAnsi="Bookman Old Style"/>
            </w:rPr>
            <w:t>Contents</w:t>
          </w:r>
        </w:p>
        <w:p w14:paraId="6EC5C17A" w14:textId="6FCCDDD5" w:rsidR="00E8712B" w:rsidRPr="00E8712B" w:rsidRDefault="00DC2217">
          <w:pPr>
            <w:pStyle w:val="TOC1"/>
            <w:tabs>
              <w:tab w:val="right" w:leader="dot" w:pos="9595"/>
            </w:tabs>
            <w:rPr>
              <w:rFonts w:ascii="Bookman Old Style" w:hAnsi="Bookman Old Style"/>
              <w:noProof/>
              <w:kern w:val="2"/>
              <w:sz w:val="22"/>
              <w:szCs w:val="22"/>
              <w14:ligatures w14:val="standardContextual"/>
            </w:rPr>
          </w:pPr>
          <w:r w:rsidRPr="00E8712B">
            <w:rPr>
              <w:rFonts w:ascii="Bookman Old Style" w:hAnsi="Bookman Old Style" w:cs="Calibri"/>
              <w:sz w:val="22"/>
              <w:szCs w:val="22"/>
            </w:rPr>
            <w:fldChar w:fldCharType="begin"/>
          </w:r>
          <w:r w:rsidRPr="00E8712B">
            <w:rPr>
              <w:rFonts w:ascii="Bookman Old Style" w:hAnsi="Bookman Old Style" w:cs="Calibri"/>
              <w:sz w:val="22"/>
              <w:szCs w:val="22"/>
            </w:rPr>
            <w:instrText xml:space="preserve"> TOC \o "1-3" \h \z \u </w:instrText>
          </w:r>
          <w:r w:rsidRPr="00E8712B">
            <w:rPr>
              <w:rFonts w:ascii="Bookman Old Style" w:hAnsi="Bookman Old Style" w:cs="Calibri"/>
              <w:sz w:val="22"/>
              <w:szCs w:val="22"/>
            </w:rPr>
            <w:fldChar w:fldCharType="separate"/>
          </w:r>
          <w:hyperlink w:anchor="_Toc237246536" w:history="1">
            <w:r w:rsidR="00E8712B" w:rsidRPr="00E8712B">
              <w:rPr>
                <w:rStyle w:val="Hyperlink"/>
                <w:rFonts w:ascii="Bookman Old Style" w:hAnsi="Bookman Old Style"/>
                <w:b/>
                <w:bCs/>
                <w:noProof/>
                <w:sz w:val="22"/>
                <w:szCs w:val="22"/>
              </w:rPr>
              <w:t>DECLARATION OF ORIGINALITY</w:t>
            </w:r>
            <w:r w:rsidR="00E8712B" w:rsidRPr="00E8712B">
              <w:rPr>
                <w:rFonts w:ascii="Bookman Old Style" w:hAnsi="Bookman Old Style"/>
                <w:noProof/>
                <w:webHidden/>
                <w:sz w:val="22"/>
                <w:szCs w:val="22"/>
              </w:rPr>
              <w:tab/>
            </w:r>
            <w:r w:rsidR="00E8712B" w:rsidRPr="00E8712B">
              <w:rPr>
                <w:rFonts w:ascii="Bookman Old Style" w:hAnsi="Bookman Old Style"/>
                <w:noProof/>
                <w:webHidden/>
                <w:sz w:val="22"/>
                <w:szCs w:val="22"/>
              </w:rPr>
              <w:fldChar w:fldCharType="begin"/>
            </w:r>
            <w:r w:rsidR="00E8712B" w:rsidRPr="00E8712B">
              <w:rPr>
                <w:rFonts w:ascii="Bookman Old Style" w:hAnsi="Bookman Old Style"/>
                <w:noProof/>
                <w:webHidden/>
                <w:sz w:val="22"/>
                <w:szCs w:val="22"/>
              </w:rPr>
              <w:instrText xml:space="preserve"> PAGEREF _Toc237246536 \h </w:instrText>
            </w:r>
            <w:r w:rsidR="00E8712B" w:rsidRPr="00E8712B">
              <w:rPr>
                <w:rFonts w:ascii="Bookman Old Style" w:hAnsi="Bookman Old Style"/>
                <w:noProof/>
                <w:webHidden/>
                <w:sz w:val="22"/>
                <w:szCs w:val="22"/>
              </w:rPr>
            </w:r>
            <w:r w:rsidR="00E8712B" w:rsidRPr="00E8712B">
              <w:rPr>
                <w:rFonts w:ascii="Bookman Old Style" w:hAnsi="Bookman Old Style"/>
                <w:noProof/>
                <w:webHidden/>
                <w:sz w:val="22"/>
                <w:szCs w:val="22"/>
              </w:rPr>
              <w:fldChar w:fldCharType="separate"/>
            </w:r>
            <w:r w:rsidR="00E8712B" w:rsidRPr="00E8712B">
              <w:rPr>
                <w:rFonts w:ascii="Bookman Old Style" w:hAnsi="Bookman Old Style"/>
                <w:noProof/>
                <w:webHidden/>
                <w:sz w:val="22"/>
                <w:szCs w:val="22"/>
              </w:rPr>
              <w:t>1</w:t>
            </w:r>
            <w:r w:rsidR="00E8712B" w:rsidRPr="00E8712B">
              <w:rPr>
                <w:rFonts w:ascii="Bookman Old Style" w:hAnsi="Bookman Old Style"/>
                <w:noProof/>
                <w:webHidden/>
                <w:sz w:val="22"/>
                <w:szCs w:val="22"/>
              </w:rPr>
              <w:fldChar w:fldCharType="end"/>
            </w:r>
          </w:hyperlink>
        </w:p>
        <w:p w14:paraId="339C581D" w14:textId="0EC67066"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37" w:history="1">
            <w:r w:rsidRPr="00E8712B">
              <w:rPr>
                <w:rStyle w:val="Hyperlink"/>
                <w:rFonts w:ascii="Bookman Old Style" w:hAnsi="Bookman Old Style"/>
                <w:bCs/>
                <w:noProof/>
                <w:sz w:val="22"/>
                <w:szCs w:val="22"/>
              </w:rPr>
              <w:t>Abstract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_Toc237246537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w:t>
            </w:r>
            <w:r w:rsidRPr="00E8712B">
              <w:rPr>
                <w:rFonts w:ascii="Bookman Old Style" w:hAnsi="Bookman Old Style"/>
                <w:noProof/>
                <w:webHidden/>
                <w:sz w:val="22"/>
                <w:szCs w:val="22"/>
              </w:rPr>
              <w:fldChar w:fldCharType="end"/>
            </w:r>
          </w:hyperlink>
        </w:p>
        <w:p w14:paraId="0FED0E81" w14:textId="48E0B02B"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38" w:history="1">
            <w:r w:rsidRPr="00E8712B">
              <w:rPr>
                <w:rStyle w:val="Hyperlink"/>
                <w:rFonts w:ascii="Bookman Old Style" w:hAnsi="Bookman Old Style"/>
                <w:bCs/>
                <w:noProof/>
                <w:sz w:val="22"/>
                <w:szCs w:val="22"/>
              </w:rPr>
              <w:t>Chapter 1 - Introduction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_Toc237246538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4</w:t>
            </w:r>
            <w:r w:rsidRPr="00E8712B">
              <w:rPr>
                <w:rFonts w:ascii="Bookman Old Style" w:hAnsi="Bookman Old Style"/>
                <w:noProof/>
                <w:webHidden/>
                <w:sz w:val="22"/>
                <w:szCs w:val="22"/>
              </w:rPr>
              <w:fldChar w:fldCharType="end"/>
            </w:r>
          </w:hyperlink>
        </w:p>
        <w:p w14:paraId="145226A9" w14:textId="3A6E9A97"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39" w:history="1">
            <w:r w:rsidRPr="00E8712B">
              <w:rPr>
                <w:rStyle w:val="Hyperlink"/>
                <w:rFonts w:ascii="Bookman Old Style" w:hAnsi="Bookman Old Style" w:cs="Calibri"/>
                <w:bCs/>
                <w:noProof/>
                <w:sz w:val="22"/>
                <w:szCs w:val="22"/>
              </w:rPr>
              <w:t>1.1 Background and Context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_Toc237246539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4</w:t>
            </w:r>
            <w:r w:rsidRPr="00E8712B">
              <w:rPr>
                <w:rFonts w:ascii="Bookman Old Style" w:hAnsi="Bookman Old Style"/>
                <w:noProof/>
                <w:webHidden/>
                <w:sz w:val="22"/>
                <w:szCs w:val="22"/>
              </w:rPr>
              <w:fldChar w:fldCharType="end"/>
            </w:r>
          </w:hyperlink>
        </w:p>
        <w:p w14:paraId="2EA1D2EC" w14:textId="274E55C1"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0" w:history="1">
            <w:r w:rsidRPr="00E8712B">
              <w:rPr>
                <w:rStyle w:val="Hyperlink"/>
                <w:rFonts w:ascii="Bookman Old Style" w:hAnsi="Bookman Old Style" w:cs="Calibri"/>
                <w:bCs/>
                <w:noProof/>
                <w:sz w:val="22"/>
                <w:szCs w:val="22"/>
              </w:rPr>
              <w:t>1.2 Problem Statement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_Toc237246540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5</w:t>
            </w:r>
            <w:r w:rsidRPr="00E8712B">
              <w:rPr>
                <w:rFonts w:ascii="Bookman Old Style" w:hAnsi="Bookman Old Style"/>
                <w:noProof/>
                <w:webHidden/>
                <w:sz w:val="22"/>
                <w:szCs w:val="22"/>
              </w:rPr>
              <w:fldChar w:fldCharType="end"/>
            </w:r>
          </w:hyperlink>
        </w:p>
        <w:p w14:paraId="1125840D" w14:textId="477F0017"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1" w:history="1">
            <w:r w:rsidRPr="00E8712B">
              <w:rPr>
                <w:rStyle w:val="Hyperlink"/>
                <w:rFonts w:ascii="Bookman Old Style" w:hAnsi="Bookman Old Style" w:cs="Calibri"/>
                <w:bCs/>
                <w:noProof/>
                <w:sz w:val="22"/>
                <w:szCs w:val="22"/>
              </w:rPr>
              <w:t>1.3 Aim and Objectives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_Toc237246541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5</w:t>
            </w:r>
            <w:r w:rsidRPr="00E8712B">
              <w:rPr>
                <w:rFonts w:ascii="Bookman Old Style" w:hAnsi="Bookman Old Style"/>
                <w:noProof/>
                <w:webHidden/>
                <w:sz w:val="22"/>
                <w:szCs w:val="22"/>
              </w:rPr>
              <w:fldChar w:fldCharType="end"/>
            </w:r>
          </w:hyperlink>
        </w:p>
        <w:p w14:paraId="674791CE" w14:textId="4188FCA2"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2" w:history="1">
            <w:r w:rsidRPr="00E8712B">
              <w:rPr>
                <w:rStyle w:val="Hyperlink"/>
                <w:rFonts w:ascii="Bookman Old Style" w:hAnsi="Bookman Old Style" w:cs="Calibri"/>
                <w:bCs/>
                <w:noProof/>
                <w:sz w:val="22"/>
                <w:szCs w:val="22"/>
              </w:rPr>
              <w:t>1.4 Scope and Boundaries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_Toc237246542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6</w:t>
            </w:r>
            <w:r w:rsidRPr="00E8712B">
              <w:rPr>
                <w:rFonts w:ascii="Bookman Old Style" w:hAnsi="Bookman Old Style"/>
                <w:noProof/>
                <w:webHidden/>
                <w:sz w:val="22"/>
                <w:szCs w:val="22"/>
              </w:rPr>
              <w:fldChar w:fldCharType="end"/>
            </w:r>
          </w:hyperlink>
        </w:p>
        <w:p w14:paraId="3FB176AF" w14:textId="12ADAE9E"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3" w:history="1">
            <w:r w:rsidRPr="00E8712B">
              <w:rPr>
                <w:rStyle w:val="Hyperlink"/>
                <w:rFonts w:ascii="Bookman Old Style" w:hAnsi="Bookman Old Style" w:cs="Calibri"/>
                <w:bCs/>
                <w:noProof/>
                <w:sz w:val="22"/>
                <w:szCs w:val="22"/>
              </w:rPr>
              <w:t>1.5 Report Structure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_Toc237246543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6</w:t>
            </w:r>
            <w:r w:rsidRPr="00E8712B">
              <w:rPr>
                <w:rFonts w:ascii="Bookman Old Style" w:hAnsi="Bookman Old Style"/>
                <w:noProof/>
                <w:webHidden/>
                <w:sz w:val="22"/>
                <w:szCs w:val="22"/>
              </w:rPr>
              <w:fldChar w:fldCharType="end"/>
            </w:r>
          </w:hyperlink>
        </w:p>
        <w:p w14:paraId="1622F22A" w14:textId="1425594A"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44" w:history="1">
            <w:r w:rsidRPr="00E8712B">
              <w:rPr>
                <w:rStyle w:val="Hyperlink"/>
                <w:rFonts w:ascii="Bookman Old Style" w:hAnsi="Bookman Old Style" w:cs="Calibri"/>
                <w:bCs/>
                <w:noProof/>
                <w:sz w:val="22"/>
                <w:szCs w:val="22"/>
              </w:rPr>
              <w:t>Chapter 2 - Research and Review of Literature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_Toc237246544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7</w:t>
            </w:r>
            <w:r w:rsidRPr="00E8712B">
              <w:rPr>
                <w:rFonts w:ascii="Bookman Old Style" w:hAnsi="Bookman Old Style"/>
                <w:noProof/>
                <w:webHidden/>
                <w:sz w:val="22"/>
                <w:szCs w:val="22"/>
              </w:rPr>
              <w:fldChar w:fldCharType="end"/>
            </w:r>
          </w:hyperlink>
        </w:p>
        <w:p w14:paraId="55B0FFE3" w14:textId="48E1FA24"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5" w:history="1">
            <w:r w:rsidRPr="00E8712B">
              <w:rPr>
                <w:rStyle w:val="Hyperlink"/>
                <w:rFonts w:ascii="Bookman Old Style" w:hAnsi="Bookman Old Style" w:cs="Calibri"/>
                <w:bCs/>
                <w:noProof/>
                <w:sz w:val="22"/>
                <w:szCs w:val="22"/>
              </w:rPr>
              <w:t>2.1 From Dashboards to Decision Support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_Toc237246545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7</w:t>
            </w:r>
            <w:r w:rsidRPr="00E8712B">
              <w:rPr>
                <w:rFonts w:ascii="Bookman Old Style" w:hAnsi="Bookman Old Style"/>
                <w:noProof/>
                <w:webHidden/>
                <w:sz w:val="22"/>
                <w:szCs w:val="22"/>
              </w:rPr>
              <w:fldChar w:fldCharType="end"/>
            </w:r>
          </w:hyperlink>
        </w:p>
        <w:p w14:paraId="02557E03" w14:textId="3BBBD0C4"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6" w:history="1">
            <w:r w:rsidRPr="00E8712B">
              <w:rPr>
                <w:rStyle w:val="Hyperlink"/>
                <w:rFonts w:ascii="Bookman Old Style" w:hAnsi="Bookman Old Style" w:cs="Calibri"/>
                <w:bCs/>
                <w:noProof/>
                <w:sz w:val="22"/>
                <w:szCs w:val="22"/>
              </w:rPr>
              <w:t>2.2 Multi-Criteria Decision Making and Weighted Scoring</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_Toc237246546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7</w:t>
            </w:r>
            <w:r w:rsidRPr="00E8712B">
              <w:rPr>
                <w:rFonts w:ascii="Bookman Old Style" w:hAnsi="Bookman Old Style"/>
                <w:noProof/>
                <w:webHidden/>
                <w:sz w:val="22"/>
                <w:szCs w:val="22"/>
              </w:rPr>
              <w:fldChar w:fldCharType="end"/>
            </w:r>
          </w:hyperlink>
        </w:p>
        <w:p w14:paraId="24CFE4B3" w14:textId="7D88352A"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7" w:history="1">
            <w:r w:rsidRPr="00E8712B">
              <w:rPr>
                <w:rStyle w:val="Hyperlink"/>
                <w:rFonts w:ascii="Bookman Old Style" w:hAnsi="Bookman Old Style" w:cs="Calibri"/>
                <w:bCs/>
                <w:noProof/>
                <w:sz w:val="22"/>
                <w:szCs w:val="22"/>
              </w:rPr>
              <w:t>2.3 Explainability in Decision Support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8</w:t>
            </w:r>
            <w:r w:rsidRPr="00E8712B">
              <w:rPr>
                <w:rFonts w:ascii="Bookman Old Style" w:hAnsi="Bookman Old Style"/>
                <w:noProof/>
                <w:webHidden/>
                <w:sz w:val="22"/>
                <w:szCs w:val="22"/>
              </w:rPr>
              <w:fldChar w:fldCharType="end"/>
            </w:r>
          </w:hyperlink>
        </w:p>
        <w:p w14:paraId="568575EE" w14:textId="76F0ECA6"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8" w:history="1">
            <w:r w:rsidRPr="00E8712B">
              <w:rPr>
                <w:rStyle w:val="Hyperlink"/>
                <w:rFonts w:ascii="Bookman Old Style" w:hAnsi="Bookman Old Style" w:cs="Calibri"/>
                <w:bCs/>
                <w:noProof/>
                <w:sz w:val="22"/>
                <w:szCs w:val="22"/>
              </w:rPr>
              <w:t>2.4 Retail Merchandising Decision Problems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8</w:t>
            </w:r>
            <w:r w:rsidRPr="00E8712B">
              <w:rPr>
                <w:rFonts w:ascii="Bookman Old Style" w:hAnsi="Bookman Old Style"/>
                <w:noProof/>
                <w:webHidden/>
                <w:sz w:val="22"/>
                <w:szCs w:val="22"/>
              </w:rPr>
              <w:fldChar w:fldCharType="end"/>
            </w:r>
          </w:hyperlink>
        </w:p>
        <w:p w14:paraId="590A0034" w14:textId="699C9A99"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49" w:history="1">
            <w:r w:rsidRPr="00E8712B">
              <w:rPr>
                <w:rStyle w:val="Hyperlink"/>
                <w:rFonts w:ascii="Bookman Old Style" w:hAnsi="Bookman Old Style" w:cs="Calibri"/>
                <w:bCs/>
                <w:noProof/>
                <w:sz w:val="22"/>
                <w:szCs w:val="22"/>
              </w:rPr>
              <w:t>2.5 Digital Behavioural Analytics in Commerce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_Toc237246549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9</w:t>
            </w:r>
            <w:r w:rsidRPr="00E8712B">
              <w:rPr>
                <w:rFonts w:ascii="Bookman Old Style" w:hAnsi="Bookman Old Style"/>
                <w:noProof/>
                <w:webHidden/>
                <w:sz w:val="22"/>
                <w:szCs w:val="22"/>
              </w:rPr>
              <w:fldChar w:fldCharType="end"/>
            </w:r>
          </w:hyperlink>
        </w:p>
        <w:p w14:paraId="6FB6B570" w14:textId="36DFCF50"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0" w:history="1">
            <w:r w:rsidRPr="00E8712B">
              <w:rPr>
                <w:rStyle w:val="Hyperlink"/>
                <w:rFonts w:ascii="Bookman Old Style" w:hAnsi="Bookman Old Style" w:cs="Calibri"/>
                <w:bCs/>
                <w:noProof/>
                <w:sz w:val="22"/>
                <w:szCs w:val="22"/>
              </w:rPr>
              <w:t>2.6 Data-Processing and Persistence Technology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_Toc237246550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9</w:t>
            </w:r>
            <w:r w:rsidRPr="00E8712B">
              <w:rPr>
                <w:rFonts w:ascii="Bookman Old Style" w:hAnsi="Bookman Old Style"/>
                <w:noProof/>
                <w:webHidden/>
                <w:sz w:val="22"/>
                <w:szCs w:val="22"/>
              </w:rPr>
              <w:fldChar w:fldCharType="end"/>
            </w:r>
          </w:hyperlink>
        </w:p>
        <w:p w14:paraId="4F5B6EC4" w14:textId="62B4350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1" w:history="1">
            <w:r w:rsidRPr="00E8712B">
              <w:rPr>
                <w:rStyle w:val="Hyperlink"/>
                <w:rFonts w:ascii="Bookman Old Style" w:hAnsi="Bookman Old Style" w:cs="Calibri"/>
                <w:bCs/>
                <w:noProof/>
                <w:sz w:val="22"/>
                <w:szCs w:val="22"/>
              </w:rPr>
              <w:t>2.7 Positioning of MDSS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_Toc237246551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9</w:t>
            </w:r>
            <w:r w:rsidRPr="00E8712B">
              <w:rPr>
                <w:rFonts w:ascii="Bookman Old Style" w:hAnsi="Bookman Old Style"/>
                <w:noProof/>
                <w:webHidden/>
                <w:sz w:val="22"/>
                <w:szCs w:val="22"/>
              </w:rPr>
              <w:fldChar w:fldCharType="end"/>
            </w:r>
          </w:hyperlink>
        </w:p>
        <w:p w14:paraId="01B53065" w14:textId="37214238"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52" w:history="1">
            <w:r w:rsidRPr="00E8712B">
              <w:rPr>
                <w:rStyle w:val="Hyperlink"/>
                <w:rFonts w:ascii="Bookman Old Style" w:hAnsi="Bookman Old Style"/>
                <w:bCs/>
                <w:noProof/>
                <w:sz w:val="22"/>
                <w:szCs w:val="22"/>
              </w:rPr>
              <w:t>Chapter 3 - Research and Development Methodology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_Toc237246552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11</w:t>
            </w:r>
            <w:r w:rsidRPr="00E8712B">
              <w:rPr>
                <w:rFonts w:ascii="Bookman Old Style" w:hAnsi="Bookman Old Style"/>
                <w:noProof/>
                <w:webHidden/>
                <w:sz w:val="22"/>
                <w:szCs w:val="22"/>
              </w:rPr>
              <w:fldChar w:fldCharType="end"/>
            </w:r>
          </w:hyperlink>
        </w:p>
        <w:p w14:paraId="1F0E4858" w14:textId="2BF62A58"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3" w:history="1">
            <w:r w:rsidRPr="00E8712B">
              <w:rPr>
                <w:rStyle w:val="Hyperlink"/>
                <w:rFonts w:ascii="Bookman Old Style" w:hAnsi="Bookman Old Style" w:cs="Calibri"/>
                <w:bCs/>
                <w:noProof/>
                <w:sz w:val="22"/>
                <w:szCs w:val="22"/>
              </w:rPr>
              <w:t>3.1 Design Science Research Approach</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_Toc237246553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11</w:t>
            </w:r>
            <w:r w:rsidRPr="00E8712B">
              <w:rPr>
                <w:rFonts w:ascii="Bookman Old Style" w:hAnsi="Bookman Old Style"/>
                <w:noProof/>
                <w:webHidden/>
                <w:sz w:val="22"/>
                <w:szCs w:val="22"/>
              </w:rPr>
              <w:fldChar w:fldCharType="end"/>
            </w:r>
          </w:hyperlink>
        </w:p>
        <w:p w14:paraId="01FA0D8D" w14:textId="67D5BAA7"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4" w:history="1">
            <w:r w:rsidRPr="00E8712B">
              <w:rPr>
                <w:rStyle w:val="Hyperlink"/>
                <w:rFonts w:ascii="Bookman Old Style" w:hAnsi="Bookman Old Style" w:cs="Calibri"/>
                <w:bCs/>
                <w:noProof/>
                <w:sz w:val="22"/>
                <w:szCs w:val="22"/>
              </w:rPr>
              <w:t>3.2 Requirements Elicitation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_Toc237246554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12</w:t>
            </w:r>
            <w:r w:rsidRPr="00E8712B">
              <w:rPr>
                <w:rFonts w:ascii="Bookman Old Style" w:hAnsi="Bookman Old Style"/>
                <w:noProof/>
                <w:webHidden/>
                <w:sz w:val="22"/>
                <w:szCs w:val="22"/>
              </w:rPr>
              <w:fldChar w:fldCharType="end"/>
            </w:r>
          </w:hyperlink>
        </w:p>
        <w:p w14:paraId="70E67977" w14:textId="33CCD724"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5" w:history="1">
            <w:r w:rsidRPr="00E8712B">
              <w:rPr>
                <w:rStyle w:val="Hyperlink"/>
                <w:rFonts w:ascii="Bookman Old Style" w:hAnsi="Bookman Old Style" w:cs="Calibri"/>
                <w:bCs/>
                <w:noProof/>
                <w:sz w:val="22"/>
                <w:szCs w:val="22"/>
              </w:rPr>
              <w:t>3.3 Data Design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_Toc237246555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13</w:t>
            </w:r>
            <w:r w:rsidRPr="00E8712B">
              <w:rPr>
                <w:rFonts w:ascii="Bookman Old Style" w:hAnsi="Bookman Old Style"/>
                <w:noProof/>
                <w:webHidden/>
                <w:sz w:val="22"/>
                <w:szCs w:val="22"/>
              </w:rPr>
              <w:fldChar w:fldCharType="end"/>
            </w:r>
          </w:hyperlink>
        </w:p>
        <w:p w14:paraId="54CEC09E" w14:textId="75BF7C1A"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6" w:history="1">
            <w:r w:rsidRPr="00E8712B">
              <w:rPr>
                <w:rStyle w:val="Hyperlink"/>
                <w:rFonts w:ascii="Bookman Old Style" w:hAnsi="Bookman Old Style" w:cs="Calibri"/>
                <w:bCs/>
                <w:noProof/>
                <w:sz w:val="22"/>
                <w:szCs w:val="22"/>
              </w:rPr>
              <w:t>3.4 Technology Selection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_Toc237246556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14</w:t>
            </w:r>
            <w:r w:rsidRPr="00E8712B">
              <w:rPr>
                <w:rFonts w:ascii="Bookman Old Style" w:hAnsi="Bookman Old Style"/>
                <w:noProof/>
                <w:webHidden/>
                <w:sz w:val="22"/>
                <w:szCs w:val="22"/>
              </w:rPr>
              <w:fldChar w:fldCharType="end"/>
            </w:r>
          </w:hyperlink>
        </w:p>
        <w:p w14:paraId="1AC05E05" w14:textId="4496483B"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7" w:history="1">
            <w:r w:rsidRPr="00E8712B">
              <w:rPr>
                <w:rStyle w:val="Hyperlink"/>
                <w:rFonts w:ascii="Bookman Old Style" w:hAnsi="Bookman Old Style" w:cs="Calibri"/>
                <w:bCs/>
                <w:noProof/>
                <w:sz w:val="22"/>
                <w:szCs w:val="22"/>
              </w:rPr>
              <w:t>3.5 Development Method</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15</w:t>
            </w:r>
            <w:r w:rsidRPr="00E8712B">
              <w:rPr>
                <w:rFonts w:ascii="Bookman Old Style" w:hAnsi="Bookman Old Style"/>
                <w:noProof/>
                <w:webHidden/>
                <w:sz w:val="22"/>
                <w:szCs w:val="22"/>
              </w:rPr>
              <w:fldChar w:fldCharType="end"/>
            </w:r>
          </w:hyperlink>
        </w:p>
        <w:p w14:paraId="60E39984" w14:textId="30DDB329"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58" w:history="1">
            <w:r w:rsidRPr="00E8712B">
              <w:rPr>
                <w:rStyle w:val="Hyperlink"/>
                <w:rFonts w:ascii="Bookman Old Style" w:hAnsi="Bookman Old Style" w:cs="Calibri"/>
                <w:noProof/>
                <w:sz w:val="22"/>
                <w:szCs w:val="22"/>
              </w:rPr>
              <w:t>3.6 Ethical, Data and Sustainability Considerations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15</w:t>
            </w:r>
            <w:r w:rsidRPr="00E8712B">
              <w:rPr>
                <w:rFonts w:ascii="Bookman Old Style" w:hAnsi="Bookman Old Style"/>
                <w:noProof/>
                <w:webHidden/>
                <w:sz w:val="22"/>
                <w:szCs w:val="22"/>
              </w:rPr>
              <w:fldChar w:fldCharType="end"/>
            </w:r>
          </w:hyperlink>
        </w:p>
        <w:p w14:paraId="16854388" w14:textId="5A803487"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59" w:history="1">
            <w:r w:rsidRPr="00E8712B">
              <w:rPr>
                <w:rStyle w:val="Hyperlink"/>
                <w:rFonts w:ascii="Bookman Old Style" w:hAnsi="Bookman Old Style"/>
                <w:bCs/>
                <w:noProof/>
                <w:sz w:val="22"/>
                <w:szCs w:val="22"/>
              </w:rPr>
              <w:t>Chapter 4 - Design and Implementation / Testing</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_Toc237246559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15</w:t>
            </w:r>
            <w:r w:rsidRPr="00E8712B">
              <w:rPr>
                <w:rFonts w:ascii="Bookman Old Style" w:hAnsi="Bookman Old Style"/>
                <w:noProof/>
                <w:webHidden/>
                <w:sz w:val="22"/>
                <w:szCs w:val="22"/>
              </w:rPr>
              <w:fldChar w:fldCharType="end"/>
            </w:r>
          </w:hyperlink>
        </w:p>
        <w:p w14:paraId="117C8570" w14:textId="63B5BF8D"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0" w:history="1">
            <w:r w:rsidRPr="00E8712B">
              <w:rPr>
                <w:rStyle w:val="Hyperlink"/>
                <w:rFonts w:ascii="Bookman Old Style" w:hAnsi="Bookman Old Style" w:cs="Calibri"/>
                <w:bCs/>
                <w:noProof/>
                <w:sz w:val="22"/>
                <w:szCs w:val="22"/>
              </w:rPr>
              <w:t>4.1 System Architecture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_Toc237246560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15</w:t>
            </w:r>
            <w:r w:rsidRPr="00E8712B">
              <w:rPr>
                <w:rFonts w:ascii="Bookman Old Style" w:hAnsi="Bookman Old Style"/>
                <w:noProof/>
                <w:webHidden/>
                <w:sz w:val="22"/>
                <w:szCs w:val="22"/>
              </w:rPr>
              <w:fldChar w:fldCharType="end"/>
            </w:r>
          </w:hyperlink>
        </w:p>
        <w:p w14:paraId="7117C2AC" w14:textId="7DB51712"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1" w:history="1">
            <w:r w:rsidRPr="00E8712B">
              <w:rPr>
                <w:rStyle w:val="Hyperlink"/>
                <w:rFonts w:ascii="Bookman Old Style" w:hAnsi="Bookman Old Style" w:cs="Calibri"/>
                <w:bCs/>
                <w:noProof/>
                <w:sz w:val="22"/>
                <w:szCs w:val="22"/>
              </w:rPr>
              <w:t>4.2 Data Import and Validation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_Toc237246561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17</w:t>
            </w:r>
            <w:r w:rsidRPr="00E8712B">
              <w:rPr>
                <w:rFonts w:ascii="Bookman Old Style" w:hAnsi="Bookman Old Style"/>
                <w:noProof/>
                <w:webHidden/>
                <w:sz w:val="22"/>
                <w:szCs w:val="22"/>
              </w:rPr>
              <w:fldChar w:fldCharType="end"/>
            </w:r>
          </w:hyperlink>
        </w:p>
        <w:p w14:paraId="37942809" w14:textId="52EE9E49"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2" w:history="1">
            <w:r w:rsidRPr="00E8712B">
              <w:rPr>
                <w:rStyle w:val="Hyperlink"/>
                <w:rFonts w:ascii="Bookman Old Style" w:hAnsi="Bookman Old Style" w:cs="Calibri"/>
                <w:bCs/>
                <w:noProof/>
                <w:sz w:val="22"/>
                <w:szCs w:val="22"/>
              </w:rPr>
              <w:t>4.3 Persistence Layer</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_Toc237246562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17</w:t>
            </w:r>
            <w:r w:rsidRPr="00E8712B">
              <w:rPr>
                <w:rFonts w:ascii="Bookman Old Style" w:hAnsi="Bookman Old Style"/>
                <w:noProof/>
                <w:webHidden/>
                <w:sz w:val="22"/>
                <w:szCs w:val="22"/>
              </w:rPr>
              <w:fldChar w:fldCharType="end"/>
            </w:r>
          </w:hyperlink>
        </w:p>
        <w:p w14:paraId="49D0BC4F" w14:textId="23313CD0"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3" w:history="1">
            <w:r w:rsidRPr="00E8712B">
              <w:rPr>
                <w:rStyle w:val="Hyperlink"/>
                <w:rFonts w:ascii="Bookman Old Style" w:hAnsi="Bookman Old Style" w:cs="Calibri"/>
                <w:bCs/>
                <w:noProof/>
                <w:sz w:val="22"/>
                <w:szCs w:val="22"/>
              </w:rPr>
              <w:t>4.4 Scoring Engine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_Toc237246563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17</w:t>
            </w:r>
            <w:r w:rsidRPr="00E8712B">
              <w:rPr>
                <w:rFonts w:ascii="Bookman Old Style" w:hAnsi="Bookman Old Style"/>
                <w:noProof/>
                <w:webHidden/>
                <w:sz w:val="22"/>
                <w:szCs w:val="22"/>
              </w:rPr>
              <w:fldChar w:fldCharType="end"/>
            </w:r>
          </w:hyperlink>
        </w:p>
        <w:p w14:paraId="67D4F0C6" w14:textId="401A219E"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4" w:history="1">
            <w:r w:rsidRPr="00E8712B">
              <w:rPr>
                <w:rStyle w:val="Hyperlink"/>
                <w:rFonts w:ascii="Bookman Old Style" w:hAnsi="Bookman Old Style" w:cs="Calibri"/>
                <w:bCs/>
                <w:noProof/>
                <w:sz w:val="22"/>
                <w:szCs w:val="22"/>
              </w:rPr>
              <w:t>4.5 Decision Engine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_Toc237246564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18</w:t>
            </w:r>
            <w:r w:rsidRPr="00E8712B">
              <w:rPr>
                <w:rFonts w:ascii="Bookman Old Style" w:hAnsi="Bookman Old Style"/>
                <w:noProof/>
                <w:webHidden/>
                <w:sz w:val="22"/>
                <w:szCs w:val="22"/>
              </w:rPr>
              <w:fldChar w:fldCharType="end"/>
            </w:r>
          </w:hyperlink>
        </w:p>
        <w:p w14:paraId="6F25C01B" w14:textId="22797BFF"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5" w:history="1">
            <w:r w:rsidRPr="00E8712B">
              <w:rPr>
                <w:rStyle w:val="Hyperlink"/>
                <w:rFonts w:ascii="Bookman Old Style" w:hAnsi="Bookman Old Style" w:cs="Calibri"/>
                <w:bCs/>
                <w:noProof/>
                <w:sz w:val="22"/>
                <w:szCs w:val="22"/>
              </w:rPr>
              <w:t>4.6 Application Layer and Interface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_Toc237246565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19</w:t>
            </w:r>
            <w:r w:rsidRPr="00E8712B">
              <w:rPr>
                <w:rFonts w:ascii="Bookman Old Style" w:hAnsi="Bookman Old Style"/>
                <w:noProof/>
                <w:webHidden/>
                <w:sz w:val="22"/>
                <w:szCs w:val="22"/>
              </w:rPr>
              <w:fldChar w:fldCharType="end"/>
            </w:r>
          </w:hyperlink>
        </w:p>
        <w:p w14:paraId="1647C665" w14:textId="1453FE7E"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6" w:history="1">
            <w:r w:rsidRPr="00E8712B">
              <w:rPr>
                <w:rStyle w:val="Hyperlink"/>
                <w:rFonts w:ascii="Bookman Old Style" w:hAnsi="Bookman Old Style" w:cs="Calibri"/>
                <w:noProof/>
                <w:sz w:val="22"/>
                <w:szCs w:val="22"/>
              </w:rPr>
              <w:t>4.7 Reproducibility and Configuration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_Toc237246566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22</w:t>
            </w:r>
            <w:r w:rsidRPr="00E8712B">
              <w:rPr>
                <w:rFonts w:ascii="Bookman Old Style" w:hAnsi="Bookman Old Style"/>
                <w:noProof/>
                <w:webHidden/>
                <w:sz w:val="22"/>
                <w:szCs w:val="22"/>
              </w:rPr>
              <w:fldChar w:fldCharType="end"/>
            </w:r>
          </w:hyperlink>
        </w:p>
        <w:p w14:paraId="5A92CA76" w14:textId="1F0F2478"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7" w:history="1">
            <w:r w:rsidRPr="00E8712B">
              <w:rPr>
                <w:rStyle w:val="Hyperlink"/>
                <w:rFonts w:ascii="Bookman Old Style" w:hAnsi="Bookman Old Style" w:cs="Calibri"/>
                <w:noProof/>
                <w:sz w:val="22"/>
                <w:szCs w:val="22"/>
              </w:rPr>
              <w:t>4.8 Testing Strategy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23</w:t>
            </w:r>
            <w:r w:rsidRPr="00E8712B">
              <w:rPr>
                <w:rFonts w:ascii="Bookman Old Style" w:hAnsi="Bookman Old Style"/>
                <w:noProof/>
                <w:webHidden/>
                <w:sz w:val="22"/>
                <w:szCs w:val="22"/>
              </w:rPr>
              <w:fldChar w:fldCharType="end"/>
            </w:r>
          </w:hyperlink>
        </w:p>
        <w:p w14:paraId="4C6DEC6E" w14:textId="7202000D"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68" w:history="1">
            <w:r w:rsidRPr="00E8712B">
              <w:rPr>
                <w:rStyle w:val="Hyperlink"/>
                <w:rFonts w:ascii="Bookman Old Style" w:hAnsi="Bookman Old Style"/>
                <w:noProof/>
                <w:sz w:val="22"/>
                <w:szCs w:val="22"/>
              </w:rPr>
              <w:t>Chapter 5 - Results, Evaluation and Discussion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23</w:t>
            </w:r>
            <w:r w:rsidRPr="00E8712B">
              <w:rPr>
                <w:rFonts w:ascii="Bookman Old Style" w:hAnsi="Bookman Old Style"/>
                <w:noProof/>
                <w:webHidden/>
                <w:sz w:val="22"/>
                <w:szCs w:val="22"/>
              </w:rPr>
              <w:fldChar w:fldCharType="end"/>
            </w:r>
          </w:hyperlink>
        </w:p>
        <w:p w14:paraId="30141074" w14:textId="21D4E59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69" w:history="1">
            <w:r w:rsidRPr="00E8712B">
              <w:rPr>
                <w:rStyle w:val="Hyperlink"/>
                <w:rFonts w:ascii="Bookman Old Style" w:hAnsi="Bookman Old Style" w:cs="Calibri"/>
                <w:noProof/>
                <w:sz w:val="22"/>
                <w:szCs w:val="22"/>
              </w:rPr>
              <w:t>5.1 Evaluation Approach</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_Toc237246569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23</w:t>
            </w:r>
            <w:r w:rsidRPr="00E8712B">
              <w:rPr>
                <w:rFonts w:ascii="Bookman Old Style" w:hAnsi="Bookman Old Style"/>
                <w:noProof/>
                <w:webHidden/>
                <w:sz w:val="22"/>
                <w:szCs w:val="22"/>
              </w:rPr>
              <w:fldChar w:fldCharType="end"/>
            </w:r>
          </w:hyperlink>
        </w:p>
        <w:p w14:paraId="0CC7F97A" w14:textId="6D7510E9"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0" w:history="1">
            <w:r w:rsidRPr="00E8712B">
              <w:rPr>
                <w:rStyle w:val="Hyperlink"/>
                <w:rFonts w:ascii="Bookman Old Style" w:hAnsi="Bookman Old Style" w:cs="Calibri"/>
                <w:noProof/>
                <w:sz w:val="22"/>
                <w:szCs w:val="22"/>
              </w:rPr>
              <w:t>5.2 Quantitative Results Across Controlled Trading Conditions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_Toc237246570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24</w:t>
            </w:r>
            <w:r w:rsidRPr="00E8712B">
              <w:rPr>
                <w:rFonts w:ascii="Bookman Old Style" w:hAnsi="Bookman Old Style"/>
                <w:noProof/>
                <w:webHidden/>
                <w:sz w:val="22"/>
                <w:szCs w:val="22"/>
              </w:rPr>
              <w:fldChar w:fldCharType="end"/>
            </w:r>
          </w:hyperlink>
        </w:p>
        <w:p w14:paraId="6EBA6DCC" w14:textId="62E04D0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1" w:history="1">
            <w:r w:rsidRPr="00E8712B">
              <w:rPr>
                <w:rStyle w:val="Hyperlink"/>
                <w:rFonts w:ascii="Bookman Old Style" w:hAnsi="Bookman Old Style" w:cs="Calibri"/>
                <w:noProof/>
                <w:sz w:val="22"/>
                <w:szCs w:val="22"/>
              </w:rPr>
              <w:t>5.3 Scenario Sensitivity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_Toc237246571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27</w:t>
            </w:r>
            <w:r w:rsidRPr="00E8712B">
              <w:rPr>
                <w:rFonts w:ascii="Bookman Old Style" w:hAnsi="Bookman Old Style"/>
                <w:noProof/>
                <w:webHidden/>
                <w:sz w:val="22"/>
                <w:szCs w:val="22"/>
              </w:rPr>
              <w:fldChar w:fldCharType="end"/>
            </w:r>
          </w:hyperlink>
        </w:p>
        <w:p w14:paraId="011318F5" w14:textId="4CA97A8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2" w:history="1">
            <w:r w:rsidRPr="00E8712B">
              <w:rPr>
                <w:rStyle w:val="Hyperlink"/>
                <w:rFonts w:ascii="Bookman Old Style" w:hAnsi="Bookman Old Style" w:cs="Calibri"/>
                <w:noProof/>
                <w:sz w:val="22"/>
                <w:szCs w:val="22"/>
              </w:rPr>
              <w:t>5.4 Technical Verification Results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_Toc237246572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28</w:t>
            </w:r>
            <w:r w:rsidRPr="00E8712B">
              <w:rPr>
                <w:rFonts w:ascii="Bookman Old Style" w:hAnsi="Bookman Old Style"/>
                <w:noProof/>
                <w:webHidden/>
                <w:sz w:val="22"/>
                <w:szCs w:val="22"/>
              </w:rPr>
              <w:fldChar w:fldCharType="end"/>
            </w:r>
          </w:hyperlink>
        </w:p>
        <w:p w14:paraId="54B12D91" w14:textId="55176FA7"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3" w:history="1">
            <w:r w:rsidRPr="00E8712B">
              <w:rPr>
                <w:rStyle w:val="Hyperlink"/>
                <w:rFonts w:ascii="Bookman Old Style" w:hAnsi="Bookman Old Style" w:cs="Calibri"/>
                <w:noProof/>
                <w:sz w:val="22"/>
                <w:szCs w:val="22"/>
              </w:rPr>
              <w:t>5.5 Evaluation Against Objectives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_Toc237246573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29</w:t>
            </w:r>
            <w:r w:rsidRPr="00E8712B">
              <w:rPr>
                <w:rFonts w:ascii="Bookman Old Style" w:hAnsi="Bookman Old Style"/>
                <w:noProof/>
                <w:webHidden/>
                <w:sz w:val="22"/>
                <w:szCs w:val="22"/>
              </w:rPr>
              <w:fldChar w:fldCharType="end"/>
            </w:r>
          </w:hyperlink>
        </w:p>
        <w:p w14:paraId="2C2E0738" w14:textId="03C6BC0D"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4" w:history="1">
            <w:r w:rsidRPr="00E8712B">
              <w:rPr>
                <w:rStyle w:val="Hyperlink"/>
                <w:rFonts w:ascii="Bookman Old Style" w:hAnsi="Bookman Old Style" w:cs="Calibri"/>
                <w:noProof/>
                <w:sz w:val="22"/>
                <w:szCs w:val="22"/>
              </w:rPr>
              <w:t>5.6 Critical Evaluation of Analytical Assumptions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_Toc237246574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29</w:t>
            </w:r>
            <w:r w:rsidRPr="00E8712B">
              <w:rPr>
                <w:rFonts w:ascii="Bookman Old Style" w:hAnsi="Bookman Old Style"/>
                <w:noProof/>
                <w:webHidden/>
                <w:sz w:val="22"/>
                <w:szCs w:val="22"/>
              </w:rPr>
              <w:fldChar w:fldCharType="end"/>
            </w:r>
          </w:hyperlink>
        </w:p>
        <w:p w14:paraId="7CD7B1BA" w14:textId="0E7BF03D"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5" w:history="1">
            <w:r w:rsidRPr="00E8712B">
              <w:rPr>
                <w:rStyle w:val="Hyperlink"/>
                <w:rFonts w:ascii="Bookman Old Style" w:hAnsi="Bookman Old Style" w:cs="Calibri"/>
                <w:noProof/>
                <w:sz w:val="22"/>
                <w:szCs w:val="22"/>
              </w:rPr>
              <w:t>5.7 Technical and Deployment Limitations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_Toc237246575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30</w:t>
            </w:r>
            <w:r w:rsidRPr="00E8712B">
              <w:rPr>
                <w:rFonts w:ascii="Bookman Old Style" w:hAnsi="Bookman Old Style"/>
                <w:noProof/>
                <w:webHidden/>
                <w:sz w:val="22"/>
                <w:szCs w:val="22"/>
              </w:rPr>
              <w:fldChar w:fldCharType="end"/>
            </w:r>
          </w:hyperlink>
        </w:p>
        <w:p w14:paraId="79CA2A39" w14:textId="2149B532"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6" w:history="1">
            <w:r w:rsidRPr="00E8712B">
              <w:rPr>
                <w:rStyle w:val="Hyperlink"/>
                <w:rFonts w:ascii="Bookman Old Style" w:hAnsi="Bookman Old Style" w:cs="Calibri"/>
                <w:noProof/>
                <w:sz w:val="22"/>
                <w:szCs w:val="22"/>
              </w:rPr>
              <w:t>5.8 Business Value and Validity Limits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_Toc237246576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30</w:t>
            </w:r>
            <w:r w:rsidRPr="00E8712B">
              <w:rPr>
                <w:rFonts w:ascii="Bookman Old Style" w:hAnsi="Bookman Old Style"/>
                <w:noProof/>
                <w:webHidden/>
                <w:sz w:val="22"/>
                <w:szCs w:val="22"/>
              </w:rPr>
              <w:fldChar w:fldCharType="end"/>
            </w:r>
          </w:hyperlink>
        </w:p>
        <w:p w14:paraId="5BC2BE12" w14:textId="0DDBDA3B"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77" w:history="1">
            <w:r w:rsidRPr="00E8712B">
              <w:rPr>
                <w:rStyle w:val="Hyperlink"/>
                <w:rFonts w:ascii="Bookman Old Style" w:hAnsi="Bookman Old Style"/>
                <w:bCs/>
                <w:noProof/>
                <w:sz w:val="22"/>
                <w:szCs w:val="22"/>
              </w:rPr>
              <w:t>Chapter 6 - Conclusions and Recommendations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31</w:t>
            </w:r>
            <w:r w:rsidRPr="00E8712B">
              <w:rPr>
                <w:rFonts w:ascii="Bookman Old Style" w:hAnsi="Bookman Old Style"/>
                <w:noProof/>
                <w:webHidden/>
                <w:sz w:val="22"/>
                <w:szCs w:val="22"/>
              </w:rPr>
              <w:fldChar w:fldCharType="end"/>
            </w:r>
          </w:hyperlink>
        </w:p>
        <w:p w14:paraId="5902B1FF" w14:textId="7BBE8BEF"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8" w:history="1">
            <w:r w:rsidRPr="00E8712B">
              <w:rPr>
                <w:rStyle w:val="Hyperlink"/>
                <w:rFonts w:ascii="Bookman Old Style" w:hAnsi="Bookman Old Style" w:cs="Calibri"/>
                <w:noProof/>
                <w:sz w:val="22"/>
                <w:szCs w:val="22"/>
              </w:rPr>
              <w:t>6.1 Conclusions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31</w:t>
            </w:r>
            <w:r w:rsidRPr="00E8712B">
              <w:rPr>
                <w:rFonts w:ascii="Bookman Old Style" w:hAnsi="Bookman Old Style"/>
                <w:noProof/>
                <w:webHidden/>
                <w:sz w:val="22"/>
                <w:szCs w:val="22"/>
              </w:rPr>
              <w:fldChar w:fldCharType="end"/>
            </w:r>
          </w:hyperlink>
        </w:p>
        <w:p w14:paraId="57736E55" w14:textId="45042E8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79" w:history="1">
            <w:r w:rsidRPr="00E8712B">
              <w:rPr>
                <w:rStyle w:val="Hyperlink"/>
                <w:rFonts w:ascii="Bookman Old Style" w:hAnsi="Bookman Old Style" w:cs="Calibri"/>
                <w:noProof/>
                <w:sz w:val="22"/>
                <w:szCs w:val="22"/>
              </w:rPr>
              <w:t>6.2 Recommendations for a Commercial Successor</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_Toc237246579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31</w:t>
            </w:r>
            <w:r w:rsidRPr="00E8712B">
              <w:rPr>
                <w:rFonts w:ascii="Bookman Old Style" w:hAnsi="Bookman Old Style"/>
                <w:noProof/>
                <w:webHidden/>
                <w:sz w:val="22"/>
                <w:szCs w:val="22"/>
              </w:rPr>
              <w:fldChar w:fldCharType="end"/>
            </w:r>
          </w:hyperlink>
        </w:p>
        <w:p w14:paraId="025CA5E6" w14:textId="165E0D3A"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80" w:history="1">
            <w:r w:rsidRPr="00E8712B">
              <w:rPr>
                <w:rStyle w:val="Hyperlink"/>
                <w:rFonts w:ascii="Bookman Old Style" w:hAnsi="Bookman Old Style"/>
                <w:bCs/>
                <w:noProof/>
                <w:sz w:val="22"/>
                <w:szCs w:val="22"/>
              </w:rPr>
              <w:t>Chapter 7 - Reflection</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_Toc237246580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32</w:t>
            </w:r>
            <w:r w:rsidRPr="00E8712B">
              <w:rPr>
                <w:rFonts w:ascii="Bookman Old Style" w:hAnsi="Bookman Old Style"/>
                <w:noProof/>
                <w:webHidden/>
                <w:sz w:val="22"/>
                <w:szCs w:val="22"/>
              </w:rPr>
              <w:fldChar w:fldCharType="end"/>
            </w:r>
          </w:hyperlink>
        </w:p>
        <w:p w14:paraId="37551510" w14:textId="5030810A"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81" w:history="1">
            <w:r w:rsidRPr="00E8712B">
              <w:rPr>
                <w:rStyle w:val="Hyperlink"/>
                <w:rFonts w:ascii="Bookman Old Style" w:hAnsi="Bookman Old Style"/>
                <w:noProof/>
                <w:sz w:val="22"/>
                <w:szCs w:val="22"/>
              </w:rPr>
              <w:t>Chapter 8 - References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_Toc237246581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33</w:t>
            </w:r>
            <w:r w:rsidRPr="00E8712B">
              <w:rPr>
                <w:rFonts w:ascii="Bookman Old Style" w:hAnsi="Bookman Old Style"/>
                <w:noProof/>
                <w:webHidden/>
                <w:sz w:val="22"/>
                <w:szCs w:val="22"/>
              </w:rPr>
              <w:fldChar w:fldCharType="end"/>
            </w:r>
          </w:hyperlink>
        </w:p>
        <w:p w14:paraId="5615DC9B" w14:textId="18054D4B"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82" w:history="1">
            <w:r w:rsidRPr="00E8712B">
              <w:rPr>
                <w:rStyle w:val="Hyperlink"/>
                <w:rFonts w:ascii="Bookman Old Style" w:hAnsi="Bookman Old Style"/>
                <w:bCs/>
                <w:noProof/>
                <w:sz w:val="22"/>
                <w:szCs w:val="22"/>
              </w:rPr>
              <w:t>Chapter 9 - Bibliography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_Toc237246582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35</w:t>
            </w:r>
            <w:r w:rsidRPr="00E8712B">
              <w:rPr>
                <w:rFonts w:ascii="Bookman Old Style" w:hAnsi="Bookman Old Style"/>
                <w:noProof/>
                <w:webHidden/>
                <w:sz w:val="22"/>
                <w:szCs w:val="22"/>
              </w:rPr>
              <w:fldChar w:fldCharType="end"/>
            </w:r>
          </w:hyperlink>
        </w:p>
        <w:p w14:paraId="1FBD1654" w14:textId="385DBCD0" w:rsidR="00E8712B" w:rsidRPr="00E8712B" w:rsidRDefault="00E8712B">
          <w:pPr>
            <w:pStyle w:val="TOC1"/>
            <w:tabs>
              <w:tab w:val="right" w:leader="dot" w:pos="9595"/>
            </w:tabs>
            <w:rPr>
              <w:rFonts w:ascii="Bookman Old Style" w:hAnsi="Bookman Old Style"/>
              <w:noProof/>
              <w:kern w:val="2"/>
              <w:sz w:val="22"/>
              <w:szCs w:val="22"/>
              <w14:ligatures w14:val="standardContextual"/>
            </w:rPr>
          </w:pPr>
          <w:hyperlink w:anchor="_Toc237246583" w:history="1">
            <w:r w:rsidRPr="00E8712B">
              <w:rPr>
                <w:rStyle w:val="Hyperlink"/>
                <w:rFonts w:ascii="Bookman Old Style" w:hAnsi="Bookman Old Style"/>
                <w:bCs/>
                <w:noProof/>
                <w:sz w:val="22"/>
                <w:szCs w:val="22"/>
              </w:rPr>
              <w:t>Appendices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_Toc237246583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36</w:t>
            </w:r>
            <w:r w:rsidRPr="00E8712B">
              <w:rPr>
                <w:rFonts w:ascii="Bookman Old Style" w:hAnsi="Bookman Old Style"/>
                <w:noProof/>
                <w:webHidden/>
                <w:sz w:val="22"/>
                <w:szCs w:val="22"/>
              </w:rPr>
              <w:fldChar w:fldCharType="end"/>
            </w:r>
          </w:hyperlink>
        </w:p>
        <w:p w14:paraId="340E5D32" w14:textId="3AAFFFF0"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84" w:history="1">
            <w:r w:rsidRPr="00E8712B">
              <w:rPr>
                <w:rStyle w:val="Hyperlink"/>
                <w:rFonts w:ascii="Bookman Old Style" w:hAnsi="Bookman Old Style" w:cs="Calibri"/>
                <w:bCs/>
                <w:noProof/>
                <w:sz w:val="22"/>
                <w:szCs w:val="22"/>
              </w:rPr>
              <w:t>Appendix A - Repository Structure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_Toc237246584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36</w:t>
            </w:r>
            <w:r w:rsidRPr="00E8712B">
              <w:rPr>
                <w:rFonts w:ascii="Bookman Old Style" w:hAnsi="Bookman Old Style"/>
                <w:noProof/>
                <w:webHidden/>
                <w:sz w:val="22"/>
                <w:szCs w:val="22"/>
              </w:rPr>
              <w:fldChar w:fldCharType="end"/>
            </w:r>
          </w:hyperlink>
        </w:p>
        <w:p w14:paraId="261A2859" w14:textId="7E2E0EA0"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85" w:history="1">
            <w:r w:rsidRPr="00E8712B">
              <w:rPr>
                <w:rStyle w:val="Hyperlink"/>
                <w:rFonts w:ascii="Bookman Old Style" w:hAnsi="Bookman Old Style" w:cs="Calibri"/>
                <w:bCs/>
                <w:noProof/>
                <w:sz w:val="22"/>
                <w:szCs w:val="22"/>
              </w:rPr>
              <w:t>Appendix B - Workbook Schema Summary</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_Toc237246585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36</w:t>
            </w:r>
            <w:r w:rsidRPr="00E8712B">
              <w:rPr>
                <w:rFonts w:ascii="Bookman Old Style" w:hAnsi="Bookman Old Style"/>
                <w:noProof/>
                <w:webHidden/>
                <w:sz w:val="22"/>
                <w:szCs w:val="22"/>
              </w:rPr>
              <w:fldChar w:fldCharType="end"/>
            </w:r>
          </w:hyperlink>
        </w:p>
        <w:p w14:paraId="548AA85C" w14:textId="7ADDE458"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86" w:history="1">
            <w:r w:rsidRPr="00E8712B">
              <w:rPr>
                <w:rStyle w:val="Hyperlink"/>
                <w:rFonts w:ascii="Bookman Old Style" w:hAnsi="Bookman Old Style" w:cs="Calibri"/>
                <w:bCs/>
                <w:noProof/>
                <w:sz w:val="22"/>
                <w:szCs w:val="22"/>
              </w:rPr>
              <w:t>Appendix C - Priority Bands</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_Toc237246586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37</w:t>
            </w:r>
            <w:r w:rsidRPr="00E8712B">
              <w:rPr>
                <w:rFonts w:ascii="Bookman Old Style" w:hAnsi="Bookman Old Style"/>
                <w:noProof/>
                <w:webHidden/>
                <w:sz w:val="22"/>
                <w:szCs w:val="22"/>
              </w:rPr>
              <w:fldChar w:fldCharType="end"/>
            </w:r>
          </w:hyperlink>
        </w:p>
        <w:p w14:paraId="6669BCF1" w14:textId="3A1DD65C"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87" w:history="1">
            <w:r w:rsidRPr="00E8712B">
              <w:rPr>
                <w:rStyle w:val="Hyperlink"/>
                <w:rFonts w:ascii="Bookman Old Style" w:hAnsi="Bookman Old Style" w:cs="Calibri"/>
                <w:noProof/>
                <w:sz w:val="22"/>
                <w:szCs w:val="22"/>
              </w:rPr>
              <w:t>Appendix D - Verification Coverage</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_Toc237246587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37</w:t>
            </w:r>
            <w:r w:rsidRPr="00E8712B">
              <w:rPr>
                <w:rFonts w:ascii="Bookman Old Style" w:hAnsi="Bookman Old Style"/>
                <w:noProof/>
                <w:webHidden/>
                <w:sz w:val="22"/>
                <w:szCs w:val="22"/>
              </w:rPr>
              <w:fldChar w:fldCharType="end"/>
            </w:r>
          </w:hyperlink>
        </w:p>
        <w:p w14:paraId="01825C7F" w14:textId="3789D9BB" w:rsidR="00E8712B" w:rsidRPr="00E8712B" w:rsidRDefault="00E8712B">
          <w:pPr>
            <w:pStyle w:val="TOC2"/>
            <w:tabs>
              <w:tab w:val="right" w:leader="dot" w:pos="9595"/>
            </w:tabs>
            <w:rPr>
              <w:rFonts w:ascii="Bookman Old Style" w:hAnsi="Bookman Old Style"/>
              <w:noProof/>
              <w:kern w:val="2"/>
              <w:sz w:val="22"/>
              <w:szCs w:val="22"/>
              <w14:ligatures w14:val="standardContextual"/>
            </w:rPr>
          </w:pPr>
          <w:hyperlink w:anchor="_Toc237246588" w:history="1">
            <w:r w:rsidRPr="00E8712B">
              <w:rPr>
                <w:rStyle w:val="Hyperlink"/>
                <w:rFonts w:ascii="Bookman Old Style" w:hAnsi="Bookman Old Style" w:cs="Calibri"/>
                <w:noProof/>
                <w:sz w:val="22"/>
                <w:szCs w:val="22"/>
              </w:rPr>
              <w:t>Appendix E - Controlled Evaluation Set</w:t>
            </w:r>
            <w:r w:rsidRPr="00E8712B">
              <w:rPr>
                <w:rFonts w:ascii="Bookman Old Style" w:hAnsi="Bookman Old Style"/>
                <w:noProof/>
                <w:webHidden/>
                <w:sz w:val="22"/>
                <w:szCs w:val="22"/>
              </w:rPr>
              <w:tab/>
            </w:r>
            <w:r w:rsidRPr="00E8712B">
              <w:rPr>
                <w:rFonts w:ascii="Bookman Old Style" w:hAnsi="Bookman Old Style"/>
                <w:noProof/>
                <w:webHidden/>
                <w:sz w:val="22"/>
                <w:szCs w:val="22"/>
              </w:rPr>
              <w:fldChar w:fldCharType="begin"/>
            </w:r>
            <w:r w:rsidRPr="00E8712B">
              <w:rPr>
                <w:rFonts w:ascii="Bookman Old Style" w:hAnsi="Bookman Old Style"/>
                <w:noProof/>
                <w:webHidden/>
                <w:sz w:val="22"/>
                <w:szCs w:val="22"/>
              </w:rPr>
              <w:instrText xml:space="preserve"> PAGEREF _Toc237246588 \h </w:instrText>
            </w:r>
            <w:r w:rsidRPr="00E8712B">
              <w:rPr>
                <w:rFonts w:ascii="Bookman Old Style" w:hAnsi="Bookman Old Style"/>
                <w:noProof/>
                <w:webHidden/>
                <w:sz w:val="22"/>
                <w:szCs w:val="22"/>
              </w:rPr>
            </w:r>
            <w:r w:rsidRPr="00E8712B">
              <w:rPr>
                <w:rFonts w:ascii="Bookman Old Style" w:hAnsi="Bookman Old Style"/>
                <w:noProof/>
                <w:webHidden/>
                <w:sz w:val="22"/>
                <w:szCs w:val="22"/>
              </w:rPr>
              <w:fldChar w:fldCharType="separate"/>
            </w:r>
            <w:r w:rsidRPr="00E8712B">
              <w:rPr>
                <w:rFonts w:ascii="Bookman Old Style" w:hAnsi="Bookman Old Style"/>
                <w:noProof/>
                <w:webHidden/>
                <w:sz w:val="22"/>
                <w:szCs w:val="22"/>
              </w:rPr>
              <w:t>37</w:t>
            </w:r>
            <w:r w:rsidRPr="00E8712B">
              <w:rPr>
                <w:rFonts w:ascii="Bookman Old Style" w:hAnsi="Bookman Old Style"/>
                <w:noProof/>
                <w:webHidden/>
                <w:sz w:val="22"/>
                <w:szCs w:val="22"/>
              </w:rPr>
              <w:fldChar w:fldCharType="end"/>
            </w:r>
          </w:hyperlink>
        </w:p>
        <w:p w14:paraId="2FF1FE26" w14:textId="012319AE" w:rsidR="00DC2217" w:rsidRDefault="00DC2217">
          <w:r w:rsidRPr="00E8712B">
            <w:rPr>
              <w:rFonts w:ascii="Bookman Old Style" w:hAnsi="Bookman Old Style" w:cs="Calibri"/>
              <w:b/>
              <w:bCs/>
              <w:sz w:val="22"/>
              <w:szCs w:val="22"/>
            </w:rPr>
            <w:fldChar w:fldCharType="end"/>
          </w:r>
        </w:p>
      </w:sdtContent>
    </w:sdt>
    <w:p w14:paraId="32298B3F" w14:textId="77777777" w:rsidR="00DC2217" w:rsidRDefault="00DC2217">
      <w:pPr>
        <w:spacing w:after="200" w:line="360" w:lineRule="auto"/>
        <w:jc w:val="both"/>
      </w:pPr>
    </w:p>
    <w:p w14:paraId="223D1AB2" w14:textId="77777777" w:rsidR="00BA2B53" w:rsidRPr="00F114E2" w:rsidRDefault="00116450">
      <w:pPr>
        <w:pStyle w:val="Heading1"/>
        <w:spacing w:before="200" w:after="240"/>
        <w:rPr>
          <w:rFonts w:ascii="Bookman Old Style" w:hAnsi="Bookman Old Style"/>
        </w:rPr>
      </w:pPr>
      <w:bookmarkStart w:id="2" w:name="_Toc237246538"/>
      <w:r w:rsidRPr="00F114E2">
        <w:rPr>
          <w:rFonts w:ascii="Bookman Old Style" w:hAnsi="Bookman Old Style"/>
          <w:bCs/>
        </w:rPr>
        <w:t>Chapter 1 - Introduction</w:t>
      </w:r>
      <w:bookmarkEnd w:id="2"/>
    </w:p>
    <w:p w14:paraId="223D1AB3" w14:textId="77777777" w:rsidR="00BA2B53" w:rsidRPr="00F114E2" w:rsidRDefault="00116450">
      <w:pPr>
        <w:pStyle w:val="Heading2"/>
        <w:spacing w:before="300" w:after="160"/>
        <w:rPr>
          <w:rFonts w:ascii="Calibri" w:hAnsi="Calibri" w:cs="Calibri"/>
        </w:rPr>
      </w:pPr>
      <w:bookmarkStart w:id="3" w:name="_Toc237246539"/>
      <w:r w:rsidRPr="00F114E2">
        <w:rPr>
          <w:rFonts w:ascii="Calibri" w:hAnsi="Calibri" w:cs="Calibri"/>
          <w:bCs/>
          <w:sz w:val="27"/>
          <w:szCs w:val="27"/>
        </w:rPr>
        <w:t>1.1 Background and Context</w:t>
      </w:r>
      <w:bookmarkEnd w:id="3"/>
    </w:p>
    <w:p w14:paraId="223D1AB4" w14:textId="68BCED48"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Online retail remains a substantial part of UK retail activity. </w:t>
      </w:r>
      <w:r w:rsidR="003A4CD9" w:rsidRPr="003A4CD9">
        <w:rPr>
          <w:rFonts w:ascii="Calibri" w:hAnsi="Calibri" w:cs="Calibri"/>
          <w:color w:val="000000"/>
          <w:sz w:val="24"/>
          <w:szCs w:val="24"/>
        </w:rPr>
        <w:t>ONS data show that just over a quarter of total retail expenditure in Great Britain was made online in February 2026, with the share reaching 28.2%</w:t>
      </w:r>
      <w:r w:rsidR="006D6D2F">
        <w:rPr>
          <w:rFonts w:ascii="Calibri" w:hAnsi="Calibri" w:cs="Calibri"/>
          <w:color w:val="000000"/>
          <w:sz w:val="24"/>
          <w:szCs w:val="24"/>
        </w:rPr>
        <w:t xml:space="preserve"> </w:t>
      </w:r>
      <w:sdt>
        <w:sdtPr>
          <w:rPr>
            <w:rFonts w:ascii="Calibri" w:hAnsi="Calibri" w:cs="Calibri"/>
            <w:color w:val="000000"/>
            <w:sz w:val="24"/>
            <w:szCs w:val="24"/>
          </w:rPr>
          <w:id w:val="1074855368"/>
          <w:citation/>
        </w:sdtPr>
        <w:sdtEndPr/>
        <w:sdtContent>
          <w:r w:rsidR="002156CA">
            <w:rPr>
              <w:rFonts w:ascii="Calibri" w:hAnsi="Calibri" w:cs="Calibri"/>
              <w:color w:val="000000"/>
              <w:sz w:val="24"/>
              <w:szCs w:val="24"/>
            </w:rPr>
            <w:fldChar w:fldCharType="begin"/>
          </w:r>
          <w:r w:rsidR="002156CA">
            <w:rPr>
              <w:rFonts w:ascii="Calibri" w:hAnsi="Calibri" w:cs="Calibri"/>
              <w:color w:val="000000"/>
              <w:sz w:val="24"/>
              <w:szCs w:val="24"/>
            </w:rPr>
            <w:instrText xml:space="preserve"> CITATION Off26 \l 2057 </w:instrText>
          </w:r>
          <w:r w:rsidR="002156CA">
            <w:rPr>
              <w:rFonts w:ascii="Calibri" w:hAnsi="Calibri" w:cs="Calibri"/>
              <w:color w:val="000000"/>
              <w:sz w:val="24"/>
              <w:szCs w:val="24"/>
            </w:rPr>
            <w:fldChar w:fldCharType="separate"/>
          </w:r>
          <w:r w:rsidR="002156CA" w:rsidRPr="002156CA">
            <w:rPr>
              <w:rFonts w:ascii="Calibri" w:hAnsi="Calibri" w:cs="Calibri"/>
              <w:noProof/>
              <w:color w:val="000000"/>
              <w:sz w:val="24"/>
              <w:szCs w:val="24"/>
            </w:rPr>
            <w:t>[1]</w:t>
          </w:r>
          <w:r w:rsidR="002156CA">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while the long-run J4MC series shows that the online share has remained structurally above its pre-pandemic level </w:t>
      </w:r>
      <w:sdt>
        <w:sdtPr>
          <w:rPr>
            <w:rFonts w:ascii="Calibri" w:hAnsi="Calibri" w:cs="Calibri"/>
            <w:color w:val="000000"/>
            <w:sz w:val="24"/>
            <w:szCs w:val="24"/>
          </w:rPr>
          <w:id w:val="-970591605"/>
          <w:citation/>
        </w:sdtPr>
        <w:sdtEndPr/>
        <w:sdtContent>
          <w:r w:rsidR="00E4474A">
            <w:rPr>
              <w:rFonts w:ascii="Calibri" w:hAnsi="Calibri" w:cs="Calibri"/>
              <w:color w:val="000000"/>
              <w:sz w:val="24"/>
              <w:szCs w:val="24"/>
            </w:rPr>
            <w:fldChar w:fldCharType="begin"/>
          </w:r>
          <w:r w:rsidR="00E4474A">
            <w:rPr>
              <w:rFonts w:ascii="Calibri" w:hAnsi="Calibri" w:cs="Calibri"/>
              <w:color w:val="000000"/>
              <w:sz w:val="24"/>
              <w:szCs w:val="24"/>
            </w:rPr>
            <w:instrText xml:space="preserve"> CITATION Off261 \l 2057 </w:instrText>
          </w:r>
          <w:r w:rsidR="00E4474A">
            <w:rPr>
              <w:rFonts w:ascii="Calibri" w:hAnsi="Calibri" w:cs="Calibri"/>
              <w:color w:val="000000"/>
              <w:sz w:val="24"/>
              <w:szCs w:val="24"/>
            </w:rPr>
            <w:fldChar w:fldCharType="separate"/>
          </w:r>
          <w:r w:rsidR="00E4474A" w:rsidRPr="00E4474A">
            <w:rPr>
              <w:rFonts w:ascii="Calibri" w:hAnsi="Calibri" w:cs="Calibri"/>
              <w:noProof/>
              <w:color w:val="000000"/>
              <w:sz w:val="24"/>
              <w:szCs w:val="24"/>
            </w:rPr>
            <w:t>[2]</w:t>
          </w:r>
          <w:r w:rsidR="00E4474A">
            <w:rPr>
              <w:rFonts w:ascii="Calibri" w:hAnsi="Calibri" w:cs="Calibri"/>
              <w:color w:val="000000"/>
              <w:sz w:val="24"/>
              <w:szCs w:val="24"/>
            </w:rPr>
            <w:fldChar w:fldCharType="end"/>
          </w:r>
        </w:sdtContent>
      </w:sdt>
      <w:r w:rsidRPr="00E27B76">
        <w:rPr>
          <w:rFonts w:ascii="Calibri" w:hAnsi="Calibri" w:cs="Calibri"/>
          <w:color w:val="000000"/>
          <w:sz w:val="24"/>
          <w:szCs w:val="24"/>
        </w:rPr>
        <w:t>. Behind every storefront, merchandising teams must repeatedly decide which products to replenish, which to mark down, which merit additional visibility, and which require investigation because stock, conversion, returns or margin indicate a problem. The evidence for those decisions is commonly distributed across commercial reporting and web-analytics views: BI data can describe revenue, forecast, stock cover, sell-through and margin, while GA4 data describes sessions, product interaction, purchases and conversion behaviour. MDSS focuses on the practical difficulty of reconciling those evidence types at product level and turning them into a consistent weekly prioritisation process.</w:t>
      </w:r>
    </w:p>
    <w:p w14:paraId="223D1AB5" w14:textId="772C8A33"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Existing dashboarding tools are well suited to describing what happened, but description is not the same as decision support. </w:t>
      </w:r>
      <w:r w:rsidR="00F170D1" w:rsidRPr="00F170D1">
        <w:rPr>
          <w:rFonts w:ascii="Calibri" w:hAnsi="Calibri" w:cs="Calibri"/>
          <w:color w:val="000000"/>
          <w:sz w:val="24"/>
          <w:szCs w:val="24"/>
        </w:rPr>
        <w:t>Hjelle et al.</w:t>
      </w:r>
      <w:r w:rsidR="003A3B22">
        <w:rPr>
          <w:rFonts w:ascii="Calibri" w:hAnsi="Calibri" w:cs="Calibri"/>
          <w:color w:val="000000"/>
          <w:sz w:val="24"/>
          <w:szCs w:val="24"/>
        </w:rPr>
        <w:t xml:space="preserve"> </w:t>
      </w:r>
      <w:sdt>
        <w:sdtPr>
          <w:rPr>
            <w:rFonts w:ascii="Calibri" w:hAnsi="Calibri" w:cs="Calibri"/>
            <w:color w:val="000000"/>
            <w:sz w:val="24"/>
            <w:szCs w:val="24"/>
          </w:rPr>
          <w:id w:val="1310291615"/>
          <w:citation/>
        </w:sdtPr>
        <w:sdtEndPr/>
        <w:sdtContent>
          <w:r w:rsidR="003A3B22">
            <w:rPr>
              <w:rFonts w:ascii="Calibri" w:hAnsi="Calibri" w:cs="Calibri"/>
              <w:color w:val="000000"/>
              <w:sz w:val="24"/>
              <w:szCs w:val="24"/>
            </w:rPr>
            <w:fldChar w:fldCharType="begin"/>
          </w:r>
          <w:r w:rsidR="003A399F">
            <w:rPr>
              <w:rFonts w:ascii="Calibri" w:hAnsi="Calibri" w:cs="Calibri"/>
              <w:color w:val="000000"/>
              <w:sz w:val="24"/>
              <w:szCs w:val="24"/>
            </w:rPr>
            <w:instrText xml:space="preserve">CITATION Sar24 \l 2057 </w:instrText>
          </w:r>
          <w:r w:rsidR="003A3B22">
            <w:rPr>
              <w:rFonts w:ascii="Calibri" w:hAnsi="Calibri" w:cs="Calibri"/>
              <w:color w:val="000000"/>
              <w:sz w:val="24"/>
              <w:szCs w:val="24"/>
            </w:rPr>
            <w:fldChar w:fldCharType="separate"/>
          </w:r>
          <w:r w:rsidR="003A399F" w:rsidRPr="003A399F">
            <w:rPr>
              <w:rFonts w:ascii="Calibri" w:hAnsi="Calibri" w:cs="Calibri"/>
              <w:noProof/>
              <w:color w:val="000000"/>
              <w:sz w:val="24"/>
              <w:szCs w:val="24"/>
            </w:rPr>
            <w:t>[3]</w:t>
          </w:r>
          <w:r w:rsidR="003A3B22">
            <w:rPr>
              <w:rFonts w:ascii="Calibri" w:hAnsi="Calibri" w:cs="Calibri"/>
              <w:color w:val="000000"/>
              <w:sz w:val="24"/>
              <w:szCs w:val="24"/>
            </w:rPr>
            <w:fldChar w:fldCharType="end"/>
          </w:r>
        </w:sdtContent>
      </w:sdt>
      <w:r w:rsidR="00F170D1" w:rsidRPr="00F170D1">
        <w:rPr>
          <w:rFonts w:ascii="Calibri" w:hAnsi="Calibri" w:cs="Calibri"/>
          <w:color w:val="000000"/>
          <w:sz w:val="24"/>
          <w:szCs w:val="24"/>
        </w:rPr>
        <w:t xml:space="preserve"> show experimentally that dashboard design can </w:t>
      </w:r>
      <w:r w:rsidR="00600639">
        <w:rPr>
          <w:rFonts w:ascii="Calibri" w:hAnsi="Calibri" w:cs="Calibri"/>
          <w:color w:val="000000"/>
          <w:sz w:val="24"/>
          <w:szCs w:val="24"/>
        </w:rPr>
        <w:t>shape</w:t>
      </w:r>
      <w:r w:rsidR="00F170D1" w:rsidRPr="00F170D1">
        <w:rPr>
          <w:rFonts w:ascii="Calibri" w:hAnsi="Calibri" w:cs="Calibri"/>
          <w:color w:val="000000"/>
          <w:sz w:val="24"/>
          <w:szCs w:val="24"/>
        </w:rPr>
        <w:t xml:space="preserve"> decision </w:t>
      </w:r>
      <w:r w:rsidR="00600639">
        <w:rPr>
          <w:rFonts w:ascii="Calibri" w:hAnsi="Calibri" w:cs="Calibri"/>
          <w:color w:val="000000"/>
          <w:sz w:val="24"/>
          <w:szCs w:val="24"/>
        </w:rPr>
        <w:t>outcome</w:t>
      </w:r>
      <w:r w:rsidR="00F170D1" w:rsidRPr="00F170D1">
        <w:rPr>
          <w:rFonts w:ascii="Calibri" w:hAnsi="Calibri" w:cs="Calibri"/>
          <w:color w:val="000000"/>
          <w:sz w:val="24"/>
          <w:szCs w:val="24"/>
        </w:rPr>
        <w:t xml:space="preserve"> indirectly </w:t>
      </w:r>
      <w:r w:rsidR="00527355" w:rsidRPr="00527355">
        <w:rPr>
          <w:rFonts w:ascii="Calibri" w:hAnsi="Calibri" w:cs="Calibri"/>
          <w:color w:val="000000"/>
          <w:sz w:val="24"/>
          <w:szCs w:val="24"/>
        </w:rPr>
        <w:t xml:space="preserve">by influencing how difficult the task feels and how satisfied users are </w:t>
      </w:r>
      <w:r w:rsidR="00527355" w:rsidRPr="00527355">
        <w:rPr>
          <w:rFonts w:ascii="Calibri" w:hAnsi="Calibri" w:cs="Calibri"/>
          <w:color w:val="000000"/>
          <w:sz w:val="24"/>
          <w:szCs w:val="24"/>
        </w:rPr>
        <w:lastRenderedPageBreak/>
        <w:t>with the information provided</w:t>
      </w:r>
      <w:r w:rsidRPr="00E27B76">
        <w:rPr>
          <w:rFonts w:ascii="Calibri" w:hAnsi="Calibri" w:cs="Calibri"/>
          <w:color w:val="000000"/>
          <w:sz w:val="24"/>
          <w:szCs w:val="24"/>
        </w:rPr>
        <w:t xml:space="preserve">. Phillips-Wren et al. </w:t>
      </w:r>
      <w:sdt>
        <w:sdtPr>
          <w:rPr>
            <w:rFonts w:ascii="Calibri" w:hAnsi="Calibri" w:cs="Calibri"/>
            <w:color w:val="000000"/>
            <w:sz w:val="24"/>
            <w:szCs w:val="24"/>
          </w:rPr>
          <w:id w:val="-278328545"/>
          <w:citation/>
        </w:sdtPr>
        <w:sdtEndPr/>
        <w:sdtContent>
          <w:r w:rsidR="008230A8">
            <w:rPr>
              <w:rFonts w:ascii="Calibri" w:hAnsi="Calibri" w:cs="Calibri"/>
              <w:color w:val="000000"/>
              <w:sz w:val="24"/>
              <w:szCs w:val="24"/>
            </w:rPr>
            <w:fldChar w:fldCharType="begin"/>
          </w:r>
          <w:r w:rsidR="008E4215">
            <w:rPr>
              <w:rFonts w:ascii="Calibri" w:hAnsi="Calibri" w:cs="Calibri"/>
              <w:color w:val="000000"/>
              <w:sz w:val="24"/>
              <w:szCs w:val="24"/>
            </w:rPr>
            <w:instrText xml:space="preserve">CITATION Phi21 \l 2057 </w:instrText>
          </w:r>
          <w:r w:rsidR="008230A8">
            <w:rPr>
              <w:rFonts w:ascii="Calibri" w:hAnsi="Calibri" w:cs="Calibri"/>
              <w:color w:val="000000"/>
              <w:sz w:val="24"/>
              <w:szCs w:val="24"/>
            </w:rPr>
            <w:fldChar w:fldCharType="separate"/>
          </w:r>
          <w:r w:rsidR="008E4215" w:rsidRPr="008E4215">
            <w:rPr>
              <w:rFonts w:ascii="Calibri" w:hAnsi="Calibri" w:cs="Calibri"/>
              <w:noProof/>
              <w:color w:val="000000"/>
              <w:sz w:val="24"/>
              <w:szCs w:val="24"/>
            </w:rPr>
            <w:t>[4]</w:t>
          </w:r>
          <w:r w:rsidR="008230A8">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make a related point in </w:t>
      </w:r>
      <w:r w:rsidR="00E40BB9" w:rsidRPr="00E40BB9">
        <w:rPr>
          <w:rFonts w:ascii="Calibri" w:hAnsi="Calibri" w:cs="Calibri"/>
          <w:color w:val="000000"/>
          <w:sz w:val="24"/>
          <w:szCs w:val="24"/>
        </w:rPr>
        <w:t>bringing business intelligence, analytics and decision-support approaches together</w:t>
      </w:r>
      <w:r w:rsidRPr="00E27B76">
        <w:rPr>
          <w:rFonts w:ascii="Calibri" w:hAnsi="Calibri" w:cs="Calibri"/>
          <w:color w:val="000000"/>
          <w:sz w:val="24"/>
          <w:szCs w:val="24"/>
        </w:rPr>
        <w:t>: BI and analytics answer what is happening, whereas decision support is concerned with converting that evidence into a defensible course of action. This project is positioned directly in that gap, informed by four years of first-hand experience working across order processing, data analysis and digital trading roles in online fashion retail, where this exact gap between descriptive reporting and actionable, explainable recommendation was encountered repeatedly.</w:t>
      </w:r>
    </w:p>
    <w:p w14:paraId="223D1AB6" w14:textId="534297FC"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The problem is compounded by the sheer volume and variety of data that a modern online retailer now generates. Akter and Wamba's systematic review of big data analytics in e-commerce </w:t>
      </w:r>
      <w:sdt>
        <w:sdtPr>
          <w:rPr>
            <w:rFonts w:ascii="Calibri" w:hAnsi="Calibri" w:cs="Calibri"/>
            <w:color w:val="000000"/>
            <w:sz w:val="24"/>
            <w:szCs w:val="24"/>
          </w:rPr>
          <w:id w:val="-1573808587"/>
          <w:citation/>
        </w:sdtPr>
        <w:sdtEndPr/>
        <w:sdtContent>
          <w:r w:rsidR="00C03431">
            <w:rPr>
              <w:rFonts w:ascii="Calibri" w:hAnsi="Calibri" w:cs="Calibri"/>
              <w:color w:val="000000"/>
              <w:sz w:val="24"/>
              <w:szCs w:val="24"/>
            </w:rPr>
            <w:fldChar w:fldCharType="begin"/>
          </w:r>
          <w:r w:rsidR="00C03431">
            <w:rPr>
              <w:rFonts w:ascii="Calibri" w:hAnsi="Calibri" w:cs="Calibri"/>
              <w:color w:val="000000"/>
              <w:sz w:val="24"/>
              <w:szCs w:val="24"/>
            </w:rPr>
            <w:instrText xml:space="preserve"> CITATION htt16 \l 2057 </w:instrText>
          </w:r>
          <w:r w:rsidR="00C03431">
            <w:rPr>
              <w:rFonts w:ascii="Calibri" w:hAnsi="Calibri" w:cs="Calibri"/>
              <w:color w:val="000000"/>
              <w:sz w:val="24"/>
              <w:szCs w:val="24"/>
            </w:rPr>
            <w:fldChar w:fldCharType="separate"/>
          </w:r>
          <w:r w:rsidR="00C03431" w:rsidRPr="00C03431">
            <w:rPr>
              <w:rFonts w:ascii="Calibri" w:hAnsi="Calibri" w:cs="Calibri"/>
              <w:noProof/>
              <w:color w:val="000000"/>
              <w:sz w:val="24"/>
              <w:szCs w:val="24"/>
            </w:rPr>
            <w:t>[5]</w:t>
          </w:r>
          <w:r w:rsidR="00C03431">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observes that retailers increasingly hold rich, high-velocity behavioural data alongside their traditional transactional data, but that realising commercial value from combining the two remains an organisational and technical challenge rather than a solved problem. That observation matches the specific, narrower gap this project addresses: not a lack of data, but a lack of a lightweight, transparent mechanism for fusing two specific, commonly available sources, structured BI extracts and GA4 behavioural exports, into one weekly, product-level decision view that a merchandising team can act on and justify without specialist data-science support.</w:t>
      </w:r>
    </w:p>
    <w:p w14:paraId="223D1AB7" w14:textId="77777777" w:rsidR="00BA2B53" w:rsidRPr="00E27B76" w:rsidRDefault="00116450">
      <w:pPr>
        <w:pStyle w:val="Heading2"/>
        <w:spacing w:before="300" w:after="160"/>
        <w:rPr>
          <w:rFonts w:ascii="Calibri" w:hAnsi="Calibri" w:cs="Calibri"/>
        </w:rPr>
      </w:pPr>
      <w:bookmarkStart w:id="4" w:name="_Toc237246540"/>
      <w:r w:rsidRPr="00E27B76">
        <w:rPr>
          <w:rFonts w:ascii="Calibri" w:hAnsi="Calibri" w:cs="Calibri"/>
          <w:bCs/>
          <w:sz w:val="27"/>
          <w:szCs w:val="27"/>
        </w:rPr>
        <w:t>1.2 Problem Statement</w:t>
      </w:r>
      <w:bookmarkEnd w:id="4"/>
    </w:p>
    <w:p w14:paraId="223D1AB8" w14:textId="77777777"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Three related problems motivate this project. First, commercial and behavioural evidence for the same product typically live in different systems and different grains, so combining them into one ranked view requires manual, repeated effort. Second, even where a combined view exists, prioritisation is often informal or inconsistent: two people looking at the same data may reach different conclusions about which products matter most this week, and there is no shared, auditable record of why a particular product was flagged. Third, many analytical or predictive retail tools behave as "black boxes": a score or recommendation is produced, but the underlying reasoning is not visible to the merchandiser who must act on it, which undermines trust and makes recommendations difficult to challenge or defend at a trading meeting.</w:t>
      </w:r>
    </w:p>
    <w:p w14:paraId="223D1AB9" w14:textId="77777777" w:rsidR="00BA2B53" w:rsidRPr="00E27B76" w:rsidRDefault="00116450">
      <w:pPr>
        <w:pStyle w:val="Heading2"/>
        <w:spacing w:before="300" w:after="160"/>
        <w:rPr>
          <w:rFonts w:ascii="Calibri" w:hAnsi="Calibri" w:cs="Calibri"/>
        </w:rPr>
      </w:pPr>
      <w:bookmarkStart w:id="5" w:name="_Toc237246541"/>
      <w:r w:rsidRPr="00E27B76">
        <w:rPr>
          <w:rFonts w:ascii="Calibri" w:hAnsi="Calibri" w:cs="Calibri"/>
          <w:bCs/>
          <w:sz w:val="27"/>
          <w:szCs w:val="27"/>
        </w:rPr>
        <w:t>1.3 Aim and Objectives</w:t>
      </w:r>
      <w:bookmarkEnd w:id="5"/>
    </w:p>
    <w:p w14:paraId="223D1ABA" w14:textId="6604F672"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Underpinning these problems is a fourth, cross-cutting concern: trust. A merchandiser who cannot see why a system has flagged a product is unlikely to act on that recommendation with </w:t>
      </w:r>
      <w:r w:rsidR="00E27B76" w:rsidRPr="00E27B76">
        <w:rPr>
          <w:rFonts w:ascii="Calibri" w:hAnsi="Calibri" w:cs="Calibri"/>
          <w:color w:val="000000"/>
          <w:sz w:val="24"/>
          <w:szCs w:val="24"/>
        </w:rPr>
        <w:t>confidence and</w:t>
      </w:r>
      <w:r w:rsidRPr="00E27B76">
        <w:rPr>
          <w:rFonts w:ascii="Calibri" w:hAnsi="Calibri" w:cs="Calibri"/>
          <w:color w:val="000000"/>
          <w:sz w:val="24"/>
          <w:szCs w:val="24"/>
        </w:rPr>
        <w:t xml:space="preserve"> is more likely to fall back on the informal, inconsistent judgement the system was meant to replace. Any solution to the fragmentation and prioritisation problems above is therefore only </w:t>
      </w:r>
      <w:r w:rsidRPr="00E27B76">
        <w:rPr>
          <w:rFonts w:ascii="Calibri" w:hAnsi="Calibri" w:cs="Calibri"/>
          <w:color w:val="000000"/>
          <w:sz w:val="24"/>
          <w:szCs w:val="24"/>
        </w:rPr>
        <w:lastRenderedPageBreak/>
        <w:t>useful to the extent that it remains explainable, which is why explainability is treated in this project not as a desirable extra but as a binding design constraint, addressed directly in Chapter 2 and enforced throughout the decision-engine design in Chapter 4.</w:t>
      </w:r>
    </w:p>
    <w:p w14:paraId="223D1ABB" w14:textId="0AA7F8D6" w:rsidR="00BA2B53" w:rsidRPr="00E27B76" w:rsidRDefault="000F4B86">
      <w:pPr>
        <w:spacing w:after="200" w:line="360" w:lineRule="auto"/>
        <w:jc w:val="both"/>
        <w:rPr>
          <w:rFonts w:ascii="Calibri" w:hAnsi="Calibri" w:cs="Calibri"/>
          <w:sz w:val="24"/>
          <w:szCs w:val="24"/>
        </w:rPr>
      </w:pPr>
      <w:r w:rsidRPr="000F4B86">
        <w:rPr>
          <w:rFonts w:ascii="Calibri" w:hAnsi="Calibri" w:cs="Calibri"/>
          <w:color w:val="000000"/>
          <w:sz w:val="24"/>
          <w:szCs w:val="24"/>
        </w:rPr>
        <w:t xml:space="preserve">This project develops and evaluates a local prototype designed to support merchandising decisions </w:t>
      </w:r>
      <w:r w:rsidR="00116450" w:rsidRPr="00E27B76">
        <w:rPr>
          <w:rFonts w:ascii="Calibri" w:hAnsi="Calibri" w:cs="Calibri"/>
          <w:color w:val="000000"/>
          <w:sz w:val="24"/>
          <w:szCs w:val="24"/>
        </w:rPr>
        <w:t>that integrates structured BI data with GA4 behavioural data and converts the combined evidence into prioritised, auditable merchandising actions. The following objectives operationalise this aim:</w:t>
      </w:r>
    </w:p>
    <w:p w14:paraId="223D1ABC" w14:textId="77777777" w:rsidR="00BA2B53" w:rsidRPr="00272BAC" w:rsidRDefault="00116450" w:rsidP="00272BAC">
      <w:pPr>
        <w:pStyle w:val="ListParagraph"/>
        <w:numPr>
          <w:ilvl w:val="0"/>
          <w:numId w:val="2"/>
        </w:numPr>
        <w:spacing w:after="100" w:line="360" w:lineRule="auto"/>
        <w:rPr>
          <w:rFonts w:ascii="Calibri" w:hAnsi="Calibri" w:cs="Calibri"/>
          <w:sz w:val="24"/>
          <w:szCs w:val="24"/>
        </w:rPr>
      </w:pPr>
      <w:r w:rsidRPr="00272BAC">
        <w:rPr>
          <w:rFonts w:ascii="Calibri" w:hAnsi="Calibri" w:cs="Calibri"/>
          <w:color w:val="000000"/>
          <w:sz w:val="24"/>
          <w:szCs w:val="24"/>
        </w:rPr>
        <w:t>Integrate fragmented commercial and digital-behaviour data into one controlled analytical model.</w:t>
      </w:r>
    </w:p>
    <w:p w14:paraId="223D1ABD" w14:textId="77777777" w:rsidR="00BA2B53" w:rsidRPr="00272BAC" w:rsidRDefault="00116450" w:rsidP="00272BAC">
      <w:pPr>
        <w:pStyle w:val="ListParagraph"/>
        <w:numPr>
          <w:ilvl w:val="0"/>
          <w:numId w:val="2"/>
        </w:numPr>
        <w:spacing w:after="100" w:line="360" w:lineRule="auto"/>
        <w:rPr>
          <w:rFonts w:ascii="Calibri" w:hAnsi="Calibri" w:cs="Calibri"/>
          <w:sz w:val="24"/>
          <w:szCs w:val="24"/>
        </w:rPr>
      </w:pPr>
      <w:r w:rsidRPr="00272BAC">
        <w:rPr>
          <w:rFonts w:ascii="Calibri" w:hAnsi="Calibri" w:cs="Calibri"/>
          <w:color w:val="000000"/>
          <w:sz w:val="24"/>
          <w:szCs w:val="24"/>
        </w:rPr>
        <w:t>Rank products using a transparent and reproducible weighted score.</w:t>
      </w:r>
    </w:p>
    <w:p w14:paraId="223D1ABE" w14:textId="77777777" w:rsidR="00BA2B53" w:rsidRPr="00272BAC" w:rsidRDefault="00116450" w:rsidP="00272BAC">
      <w:pPr>
        <w:pStyle w:val="ListParagraph"/>
        <w:numPr>
          <w:ilvl w:val="0"/>
          <w:numId w:val="2"/>
        </w:numPr>
        <w:spacing w:after="100" w:line="360" w:lineRule="auto"/>
        <w:rPr>
          <w:rFonts w:ascii="Calibri" w:hAnsi="Calibri" w:cs="Calibri"/>
          <w:sz w:val="24"/>
          <w:szCs w:val="24"/>
        </w:rPr>
      </w:pPr>
      <w:r w:rsidRPr="00272BAC">
        <w:rPr>
          <w:rFonts w:ascii="Calibri" w:hAnsi="Calibri" w:cs="Calibri"/>
          <w:color w:val="000000"/>
          <w:sz w:val="24"/>
          <w:szCs w:val="24"/>
        </w:rPr>
        <w:t>Convert analytical evidence into explainable merchandising actions, each with a rule identifier, owner and confidence level.</w:t>
      </w:r>
    </w:p>
    <w:p w14:paraId="223D1ABF" w14:textId="77777777" w:rsidR="00BA2B53" w:rsidRPr="00272BAC" w:rsidRDefault="00116450" w:rsidP="00272BAC">
      <w:pPr>
        <w:pStyle w:val="ListParagraph"/>
        <w:numPr>
          <w:ilvl w:val="0"/>
          <w:numId w:val="2"/>
        </w:numPr>
        <w:spacing w:after="100" w:line="360" w:lineRule="auto"/>
        <w:rPr>
          <w:rFonts w:ascii="Calibri" w:hAnsi="Calibri" w:cs="Calibri"/>
          <w:sz w:val="24"/>
          <w:szCs w:val="24"/>
        </w:rPr>
      </w:pPr>
      <w:r w:rsidRPr="00272BAC">
        <w:rPr>
          <w:rFonts w:ascii="Calibri" w:hAnsi="Calibri" w:cs="Calibri"/>
          <w:color w:val="000000"/>
          <w:sz w:val="24"/>
          <w:szCs w:val="24"/>
        </w:rPr>
        <w:t>Enable comparison of stable, predefined business strategies against the same uploaded dataset.</w:t>
      </w:r>
    </w:p>
    <w:p w14:paraId="223D1AC0" w14:textId="77777777" w:rsidR="00BA2B53" w:rsidRPr="00272BAC" w:rsidRDefault="00116450" w:rsidP="00272BAC">
      <w:pPr>
        <w:pStyle w:val="ListParagraph"/>
        <w:numPr>
          <w:ilvl w:val="0"/>
          <w:numId w:val="2"/>
        </w:numPr>
        <w:spacing w:after="100" w:line="360" w:lineRule="auto"/>
        <w:rPr>
          <w:rFonts w:ascii="Calibri" w:hAnsi="Calibri" w:cs="Calibri"/>
          <w:sz w:val="24"/>
          <w:szCs w:val="24"/>
        </w:rPr>
      </w:pPr>
      <w:r w:rsidRPr="00272BAC">
        <w:rPr>
          <w:rFonts w:ascii="Calibri" w:hAnsi="Calibri" w:cs="Calibri"/>
          <w:color w:val="000000"/>
          <w:sz w:val="24"/>
          <w:szCs w:val="24"/>
        </w:rPr>
        <w:t>Verify the system's calculations, ranking behaviour, decision rules, database integrity and import safety through an automated, repeatable test suite.</w:t>
      </w:r>
    </w:p>
    <w:p w14:paraId="223D1AC1" w14:textId="77777777" w:rsidR="00BA2B53" w:rsidRPr="00E27B76" w:rsidRDefault="00116450">
      <w:pPr>
        <w:pStyle w:val="Heading2"/>
        <w:spacing w:before="300" w:after="160"/>
        <w:rPr>
          <w:rFonts w:ascii="Calibri" w:hAnsi="Calibri" w:cs="Calibri"/>
        </w:rPr>
      </w:pPr>
      <w:bookmarkStart w:id="6" w:name="_Toc237246542"/>
      <w:r w:rsidRPr="00E27B76">
        <w:rPr>
          <w:rFonts w:ascii="Calibri" w:hAnsi="Calibri" w:cs="Calibri"/>
          <w:bCs/>
          <w:sz w:val="27"/>
          <w:szCs w:val="27"/>
        </w:rPr>
        <w:t>1.4 Scope and Boundaries</w:t>
      </w:r>
      <w:bookmarkEnd w:id="6"/>
    </w:p>
    <w:p w14:paraId="223D1AC2" w14:textId="77777777"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MDSS is deliberately scoped as a single-user, local prototype rather than a production system. It operates on structured Excel workbooks and synthetic demonstration data rather than live ERP, PIM or GA4 API feeds; it runs on SQLite rather than a concurrent enterprise database; it applies fixed, transparent merchandising strategies rather than a learned or optimisation-based model; and it has no authentication, authorisation or audit trail beyond the transactional safety of the import process. These boundaries were chosen so that the project could concentrate its available time on the explainability and correctness of the decision layer itself, which is the primary academic contribution, rather than on infrastructure that a commercial successor would need but that a final-year prototype does not require to demonstrate its core argument.</w:t>
      </w:r>
    </w:p>
    <w:p w14:paraId="223D1AC3" w14:textId="77777777" w:rsidR="00BA2B53" w:rsidRPr="00E27B76" w:rsidRDefault="00116450">
      <w:pPr>
        <w:pStyle w:val="Heading2"/>
        <w:spacing w:before="300" w:after="160"/>
        <w:rPr>
          <w:rFonts w:ascii="Calibri" w:hAnsi="Calibri" w:cs="Calibri"/>
        </w:rPr>
      </w:pPr>
      <w:bookmarkStart w:id="7" w:name="_Toc237246543"/>
      <w:r w:rsidRPr="00E27B76">
        <w:rPr>
          <w:rFonts w:ascii="Calibri" w:hAnsi="Calibri" w:cs="Calibri"/>
          <w:bCs/>
          <w:sz w:val="27"/>
          <w:szCs w:val="27"/>
        </w:rPr>
        <w:t>1.5 Report Structure</w:t>
      </w:r>
      <w:bookmarkEnd w:id="7"/>
    </w:p>
    <w:p w14:paraId="223D1AC4" w14:textId="72511020"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Chapter 2 reviews literature on decision support systems, multi-criteria decision making, explainability and retail merchandising problems, and positions MDSS within that literature. </w:t>
      </w:r>
      <w:r w:rsidR="001F7904" w:rsidRPr="001F7904">
        <w:rPr>
          <w:rFonts w:ascii="Calibri" w:hAnsi="Calibri" w:cs="Calibri"/>
          <w:color w:val="000000"/>
          <w:sz w:val="24"/>
          <w:szCs w:val="24"/>
        </w:rPr>
        <w:t>Chapter 3 explains how the project applies a Design Science Research approach and identifies the requirements that guided development</w:t>
      </w:r>
      <w:r w:rsidRPr="00E27B76">
        <w:rPr>
          <w:rFonts w:ascii="Calibri" w:hAnsi="Calibri" w:cs="Calibri"/>
          <w:color w:val="000000"/>
          <w:sz w:val="24"/>
          <w:szCs w:val="24"/>
        </w:rPr>
        <w:t xml:space="preserve">, data design and technology choices that followed from it. Chapter 4 presents the system architecture, the design and implementation of each module, and </w:t>
      </w:r>
      <w:r w:rsidRPr="00E27B76">
        <w:rPr>
          <w:rFonts w:ascii="Calibri" w:hAnsi="Calibri" w:cs="Calibri"/>
          <w:color w:val="000000"/>
          <w:sz w:val="24"/>
          <w:szCs w:val="24"/>
        </w:rPr>
        <w:lastRenderedPageBreak/>
        <w:t xml:space="preserve">the testing strategy embedded in the application itself. </w:t>
      </w:r>
      <w:r w:rsidR="006A69D0" w:rsidRPr="006A69D0">
        <w:rPr>
          <w:rFonts w:ascii="Calibri" w:hAnsi="Calibri" w:cs="Calibri"/>
          <w:color w:val="000000"/>
          <w:sz w:val="24"/>
          <w:szCs w:val="24"/>
        </w:rPr>
        <w:t xml:space="preserve">Chapter 5 evaluates the system against its objectives using FEDS (Framework for Evaluation in Design Science) </w:t>
      </w:r>
      <w:sdt>
        <w:sdtPr>
          <w:rPr>
            <w:rFonts w:ascii="Calibri" w:hAnsi="Calibri" w:cs="Calibri"/>
            <w:color w:val="000000"/>
            <w:sz w:val="24"/>
            <w:szCs w:val="24"/>
          </w:rPr>
          <w:id w:val="-2045892332"/>
          <w:citation/>
        </w:sdtPr>
        <w:sdtEndPr/>
        <w:sdtContent>
          <w:r w:rsidR="00823E12">
            <w:rPr>
              <w:rFonts w:ascii="Calibri" w:hAnsi="Calibri" w:cs="Calibri"/>
              <w:color w:val="000000"/>
              <w:sz w:val="24"/>
              <w:szCs w:val="24"/>
            </w:rPr>
            <w:fldChar w:fldCharType="begin"/>
          </w:r>
          <w:r w:rsidR="00823E12">
            <w:rPr>
              <w:rFonts w:ascii="Calibri" w:hAnsi="Calibri" w:cs="Calibri"/>
              <w:color w:val="000000"/>
              <w:sz w:val="24"/>
              <w:szCs w:val="24"/>
            </w:rPr>
            <w:instrText xml:space="preserve"> CITATION Joh16 \l 2057 </w:instrText>
          </w:r>
          <w:r w:rsidR="00823E12">
            <w:rPr>
              <w:rFonts w:ascii="Calibri" w:hAnsi="Calibri" w:cs="Calibri"/>
              <w:color w:val="000000"/>
              <w:sz w:val="24"/>
              <w:szCs w:val="24"/>
            </w:rPr>
            <w:fldChar w:fldCharType="separate"/>
          </w:r>
          <w:r w:rsidR="00823E12" w:rsidRPr="00823E12">
            <w:rPr>
              <w:rFonts w:ascii="Calibri" w:hAnsi="Calibri" w:cs="Calibri"/>
              <w:noProof/>
              <w:color w:val="000000"/>
              <w:sz w:val="24"/>
              <w:szCs w:val="24"/>
            </w:rPr>
            <w:t>[6]</w:t>
          </w:r>
          <w:r w:rsidR="00823E12">
            <w:rPr>
              <w:rFonts w:ascii="Calibri" w:hAnsi="Calibri" w:cs="Calibri"/>
              <w:color w:val="000000"/>
              <w:sz w:val="24"/>
              <w:szCs w:val="24"/>
            </w:rPr>
            <w:fldChar w:fldCharType="end"/>
          </w:r>
        </w:sdtContent>
      </w:sdt>
      <w:r w:rsidRPr="00E27B76">
        <w:rPr>
          <w:rFonts w:ascii="Calibri" w:hAnsi="Calibri" w:cs="Calibri"/>
          <w:color w:val="000000"/>
          <w:sz w:val="24"/>
          <w:szCs w:val="24"/>
        </w:rPr>
        <w:t>. Chapter 6 draws conclusions and sets out recommendations for a commercial successor. Chapter 7 offers a personal, critical reflection on the development process.</w:t>
      </w:r>
    </w:p>
    <w:p w14:paraId="223D1AC5" w14:textId="77777777" w:rsidR="00BA2B53" w:rsidRPr="00E27B76" w:rsidRDefault="00116450">
      <w:pPr>
        <w:pStyle w:val="Heading1"/>
        <w:spacing w:before="200" w:after="240"/>
        <w:rPr>
          <w:rFonts w:ascii="Bookman Old Style" w:hAnsi="Bookman Old Style" w:cs="Calibri"/>
        </w:rPr>
      </w:pPr>
      <w:bookmarkStart w:id="8" w:name="_Toc237246544"/>
      <w:r w:rsidRPr="00E27B76">
        <w:rPr>
          <w:rFonts w:ascii="Bookman Old Style" w:hAnsi="Bookman Old Style" w:cs="Calibri"/>
          <w:bCs/>
        </w:rPr>
        <w:t>Chapter 2 - Research and Review of Literature</w:t>
      </w:r>
      <w:bookmarkEnd w:id="8"/>
    </w:p>
    <w:p w14:paraId="223D1AC6" w14:textId="77777777" w:rsidR="00BA2B53" w:rsidRPr="00E27B76" w:rsidRDefault="00116450">
      <w:pPr>
        <w:pStyle w:val="Heading2"/>
        <w:spacing w:before="300" w:after="160"/>
        <w:rPr>
          <w:rFonts w:ascii="Calibri" w:hAnsi="Calibri" w:cs="Calibri"/>
        </w:rPr>
      </w:pPr>
      <w:bookmarkStart w:id="9" w:name="_Toc237246545"/>
      <w:r w:rsidRPr="00E27B76">
        <w:rPr>
          <w:rFonts w:ascii="Calibri" w:hAnsi="Calibri" w:cs="Calibri"/>
          <w:bCs/>
          <w:sz w:val="27"/>
          <w:szCs w:val="27"/>
        </w:rPr>
        <w:t>2.1 From Dashboards to Decision Support</w:t>
      </w:r>
      <w:bookmarkEnd w:id="9"/>
    </w:p>
    <w:p w14:paraId="223D1AC7" w14:textId="1E5955C9"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Power </w:t>
      </w:r>
      <w:sdt>
        <w:sdtPr>
          <w:rPr>
            <w:rFonts w:ascii="Calibri" w:hAnsi="Calibri" w:cs="Calibri"/>
            <w:color w:val="000000"/>
            <w:sz w:val="24"/>
            <w:szCs w:val="24"/>
          </w:rPr>
          <w:id w:val="-287586413"/>
          <w:citation/>
        </w:sdtPr>
        <w:sdtEndPr/>
        <w:sdtContent>
          <w:r w:rsidR="003A4BBF">
            <w:rPr>
              <w:rFonts w:ascii="Calibri" w:hAnsi="Calibri" w:cs="Calibri"/>
              <w:color w:val="000000"/>
              <w:sz w:val="24"/>
              <w:szCs w:val="24"/>
            </w:rPr>
            <w:fldChar w:fldCharType="begin"/>
          </w:r>
          <w:r w:rsidR="003A4BBF">
            <w:rPr>
              <w:rFonts w:ascii="Calibri" w:hAnsi="Calibri" w:cs="Calibri"/>
              <w:color w:val="000000"/>
              <w:sz w:val="24"/>
              <w:szCs w:val="24"/>
            </w:rPr>
            <w:instrText xml:space="preserve"> CITATION Dan02 \l 2057 </w:instrText>
          </w:r>
          <w:r w:rsidR="003A4BBF">
            <w:rPr>
              <w:rFonts w:ascii="Calibri" w:hAnsi="Calibri" w:cs="Calibri"/>
              <w:color w:val="000000"/>
              <w:sz w:val="24"/>
              <w:szCs w:val="24"/>
            </w:rPr>
            <w:fldChar w:fldCharType="separate"/>
          </w:r>
          <w:r w:rsidR="003A4BBF" w:rsidRPr="003A4BBF">
            <w:rPr>
              <w:rFonts w:ascii="Calibri" w:hAnsi="Calibri" w:cs="Calibri"/>
              <w:noProof/>
              <w:color w:val="000000"/>
              <w:sz w:val="24"/>
              <w:szCs w:val="24"/>
            </w:rPr>
            <w:t>[7]</w:t>
          </w:r>
          <w:r w:rsidR="003A4BBF">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t>
      </w:r>
      <w:r w:rsidR="00534BEA" w:rsidRPr="00534BEA">
        <w:rPr>
          <w:rFonts w:ascii="Calibri" w:hAnsi="Calibri" w:cs="Calibri"/>
          <w:color w:val="000000"/>
          <w:sz w:val="24"/>
          <w:szCs w:val="24"/>
        </w:rPr>
        <w:t>characterises a decision-support system as a computer-based tool that combines data and models to help users analyse problems and reach decisions, with the emphasis placed on supporting the decision process rather than simply presenting information</w:t>
      </w:r>
      <w:r w:rsidRPr="00E27B76">
        <w:rPr>
          <w:rFonts w:ascii="Calibri" w:hAnsi="Calibri" w:cs="Calibri"/>
          <w:color w:val="000000"/>
          <w:sz w:val="24"/>
          <w:szCs w:val="24"/>
        </w:rPr>
        <w:t xml:space="preserve">. Phillips-Wren et al. </w:t>
      </w:r>
      <w:sdt>
        <w:sdtPr>
          <w:rPr>
            <w:rFonts w:ascii="Calibri" w:hAnsi="Calibri" w:cs="Calibri"/>
            <w:color w:val="000000"/>
            <w:sz w:val="24"/>
            <w:szCs w:val="24"/>
          </w:rPr>
          <w:id w:val="1659879285"/>
          <w:citation/>
        </w:sdtPr>
        <w:sdtEndPr/>
        <w:sdtContent>
          <w:r w:rsidR="00A71735">
            <w:rPr>
              <w:rFonts w:ascii="Calibri" w:hAnsi="Calibri" w:cs="Calibri"/>
              <w:color w:val="000000"/>
              <w:sz w:val="24"/>
              <w:szCs w:val="24"/>
            </w:rPr>
            <w:fldChar w:fldCharType="begin"/>
          </w:r>
          <w:r w:rsidR="00A71735">
            <w:rPr>
              <w:rFonts w:ascii="Calibri" w:hAnsi="Calibri" w:cs="Calibri"/>
              <w:color w:val="000000"/>
              <w:sz w:val="24"/>
              <w:szCs w:val="24"/>
            </w:rPr>
            <w:instrText xml:space="preserve"> CITATION Phi21 \l 2057 </w:instrText>
          </w:r>
          <w:r w:rsidR="00A71735">
            <w:rPr>
              <w:rFonts w:ascii="Calibri" w:hAnsi="Calibri" w:cs="Calibri"/>
              <w:color w:val="000000"/>
              <w:sz w:val="24"/>
              <w:szCs w:val="24"/>
            </w:rPr>
            <w:fldChar w:fldCharType="separate"/>
          </w:r>
          <w:r w:rsidR="00A71735" w:rsidRPr="00A71735">
            <w:rPr>
              <w:rFonts w:ascii="Calibri" w:hAnsi="Calibri" w:cs="Calibri"/>
              <w:noProof/>
              <w:color w:val="000000"/>
              <w:sz w:val="24"/>
              <w:szCs w:val="24"/>
            </w:rPr>
            <w:t>[4]</w:t>
          </w:r>
          <w:r w:rsidR="00A71735">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describe the increasingly close relationship between business intelligence, analytics and decision support, while Hjelle et al. </w:t>
      </w:r>
      <w:sdt>
        <w:sdtPr>
          <w:rPr>
            <w:rFonts w:ascii="Calibri" w:hAnsi="Calibri" w:cs="Calibri"/>
            <w:color w:val="000000"/>
            <w:sz w:val="24"/>
            <w:szCs w:val="24"/>
          </w:rPr>
          <w:id w:val="-1673795209"/>
          <w:citation/>
        </w:sdtPr>
        <w:sdtEndPr/>
        <w:sdtContent>
          <w:r w:rsidR="00AB4A5A">
            <w:rPr>
              <w:rFonts w:ascii="Calibri" w:hAnsi="Calibri" w:cs="Calibri"/>
              <w:color w:val="000000"/>
              <w:sz w:val="24"/>
              <w:szCs w:val="24"/>
            </w:rPr>
            <w:fldChar w:fldCharType="begin"/>
          </w:r>
          <w:r w:rsidR="00AB4A5A">
            <w:rPr>
              <w:rFonts w:ascii="Calibri" w:hAnsi="Calibri" w:cs="Calibri"/>
              <w:color w:val="000000"/>
              <w:sz w:val="24"/>
              <w:szCs w:val="24"/>
            </w:rPr>
            <w:instrText xml:space="preserve"> CITATION Sar24 \l 2057 </w:instrText>
          </w:r>
          <w:r w:rsidR="00AB4A5A">
            <w:rPr>
              <w:rFonts w:ascii="Calibri" w:hAnsi="Calibri" w:cs="Calibri"/>
              <w:color w:val="000000"/>
              <w:sz w:val="24"/>
              <w:szCs w:val="24"/>
            </w:rPr>
            <w:fldChar w:fldCharType="separate"/>
          </w:r>
          <w:r w:rsidR="00AB4A5A" w:rsidRPr="00AB4A5A">
            <w:rPr>
              <w:rFonts w:ascii="Calibri" w:hAnsi="Calibri" w:cs="Calibri"/>
              <w:noProof/>
              <w:color w:val="000000"/>
              <w:sz w:val="24"/>
              <w:szCs w:val="24"/>
            </w:rPr>
            <w:t>[3]</w:t>
          </w:r>
          <w:r w:rsidR="00AB4A5A">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show experimentally that dashboard design affects decision quality indirectly through factors such as perceived task complexity and information satisfaction. The implication for MDSS is not that dashboards are ineffective, but that presentation alone is insufficient for this project's goal. The artefact therefore carries integrated evidence through to a ranked, inspectable recommendation while leaving the final commercial judgement with the merchandiser.</w:t>
      </w:r>
    </w:p>
    <w:p w14:paraId="223D1AC8" w14:textId="77777777" w:rsidR="00BA2B53" w:rsidRPr="00540A1F" w:rsidRDefault="00116450">
      <w:pPr>
        <w:pStyle w:val="Heading2"/>
        <w:spacing w:before="300" w:after="160"/>
        <w:rPr>
          <w:rFonts w:ascii="Calibri" w:hAnsi="Calibri" w:cs="Calibri"/>
          <w:sz w:val="27"/>
          <w:szCs w:val="27"/>
        </w:rPr>
      </w:pPr>
      <w:bookmarkStart w:id="10" w:name="_Toc237246546"/>
      <w:r w:rsidRPr="00540A1F">
        <w:rPr>
          <w:rFonts w:ascii="Calibri" w:hAnsi="Calibri" w:cs="Calibri"/>
          <w:bCs/>
          <w:sz w:val="27"/>
          <w:szCs w:val="27"/>
        </w:rPr>
        <w:t>2.2 Multi-Criteria Decision Making and Weighted Scoring</w:t>
      </w:r>
      <w:bookmarkEnd w:id="10"/>
    </w:p>
    <w:p w14:paraId="223D1AC9" w14:textId="49E74F42"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Ranking products against several differently scaled criteria is a multi-attribute decision-making problem. Hwang and Yoon </w:t>
      </w:r>
      <w:sdt>
        <w:sdtPr>
          <w:rPr>
            <w:rFonts w:ascii="Calibri" w:hAnsi="Calibri" w:cs="Calibri"/>
            <w:color w:val="000000"/>
            <w:sz w:val="24"/>
            <w:szCs w:val="24"/>
          </w:rPr>
          <w:id w:val="601231921"/>
          <w:citation/>
        </w:sdtPr>
        <w:sdtEndPr/>
        <w:sdtContent>
          <w:r w:rsidR="00790EBC">
            <w:rPr>
              <w:rFonts w:ascii="Calibri" w:hAnsi="Calibri" w:cs="Calibri"/>
              <w:color w:val="000000"/>
              <w:sz w:val="24"/>
              <w:szCs w:val="24"/>
            </w:rPr>
            <w:fldChar w:fldCharType="begin"/>
          </w:r>
          <w:r w:rsidR="00790EBC">
            <w:rPr>
              <w:rFonts w:ascii="Calibri" w:hAnsi="Calibri" w:cs="Calibri"/>
              <w:color w:val="000000"/>
              <w:sz w:val="24"/>
              <w:szCs w:val="24"/>
            </w:rPr>
            <w:instrText xml:space="preserve"> CITATION Chi81 \l 2057 </w:instrText>
          </w:r>
          <w:r w:rsidR="00790EBC">
            <w:rPr>
              <w:rFonts w:ascii="Calibri" w:hAnsi="Calibri" w:cs="Calibri"/>
              <w:color w:val="000000"/>
              <w:sz w:val="24"/>
              <w:szCs w:val="24"/>
            </w:rPr>
            <w:fldChar w:fldCharType="separate"/>
          </w:r>
          <w:r w:rsidR="00790EBC" w:rsidRPr="00790EBC">
            <w:rPr>
              <w:rFonts w:ascii="Calibri" w:hAnsi="Calibri" w:cs="Calibri"/>
              <w:noProof/>
              <w:color w:val="000000"/>
              <w:sz w:val="24"/>
              <w:szCs w:val="24"/>
            </w:rPr>
            <w:t>[8]</w:t>
          </w:r>
          <w:r w:rsidR="00790EBC">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and Triantaphyllou </w:t>
      </w:r>
      <w:sdt>
        <w:sdtPr>
          <w:rPr>
            <w:rFonts w:ascii="Calibri" w:hAnsi="Calibri" w:cs="Calibri"/>
            <w:color w:val="000000"/>
            <w:sz w:val="24"/>
            <w:szCs w:val="24"/>
          </w:rPr>
          <w:id w:val="-118074513"/>
          <w:citation/>
        </w:sdtPr>
        <w:sdtEndPr/>
        <w:sdtContent>
          <w:r w:rsidR="001078BE">
            <w:rPr>
              <w:rFonts w:ascii="Calibri" w:hAnsi="Calibri" w:cs="Calibri"/>
              <w:color w:val="000000"/>
              <w:sz w:val="24"/>
              <w:szCs w:val="24"/>
            </w:rPr>
            <w:fldChar w:fldCharType="begin"/>
          </w:r>
          <w:r w:rsidR="001078BE">
            <w:rPr>
              <w:rFonts w:ascii="Calibri" w:hAnsi="Calibri" w:cs="Calibri"/>
              <w:color w:val="000000"/>
              <w:sz w:val="24"/>
              <w:szCs w:val="24"/>
            </w:rPr>
            <w:instrText xml:space="preserve"> CITATION Eva00 \l 2057 </w:instrText>
          </w:r>
          <w:r w:rsidR="001078BE">
            <w:rPr>
              <w:rFonts w:ascii="Calibri" w:hAnsi="Calibri" w:cs="Calibri"/>
              <w:color w:val="000000"/>
              <w:sz w:val="24"/>
              <w:szCs w:val="24"/>
            </w:rPr>
            <w:fldChar w:fldCharType="separate"/>
          </w:r>
          <w:r w:rsidR="001078BE" w:rsidRPr="001078BE">
            <w:rPr>
              <w:rFonts w:ascii="Calibri" w:hAnsi="Calibri" w:cs="Calibri"/>
              <w:noProof/>
              <w:color w:val="000000"/>
              <w:sz w:val="24"/>
              <w:szCs w:val="24"/>
            </w:rPr>
            <w:t>[9]</w:t>
          </w:r>
          <w:r w:rsidR="001078B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survey established approaches including Simple Additive Weighting (SAW) and TOPSIS. Kaliszewski and Podkopaev </w:t>
      </w:r>
      <w:sdt>
        <w:sdtPr>
          <w:rPr>
            <w:rFonts w:ascii="Calibri" w:hAnsi="Calibri" w:cs="Calibri"/>
            <w:color w:val="000000"/>
            <w:sz w:val="24"/>
            <w:szCs w:val="24"/>
          </w:rPr>
          <w:id w:val="413975485"/>
          <w:citation/>
        </w:sdtPr>
        <w:sdtEndPr/>
        <w:sdtContent>
          <w:r w:rsidR="000D1D14">
            <w:rPr>
              <w:rFonts w:ascii="Calibri" w:hAnsi="Calibri" w:cs="Calibri"/>
              <w:color w:val="000000"/>
              <w:sz w:val="24"/>
              <w:szCs w:val="24"/>
            </w:rPr>
            <w:fldChar w:fldCharType="begin"/>
          </w:r>
          <w:r w:rsidR="000D1D14">
            <w:rPr>
              <w:rFonts w:ascii="Calibri" w:hAnsi="Calibri" w:cs="Calibri"/>
              <w:color w:val="000000"/>
              <w:sz w:val="24"/>
              <w:szCs w:val="24"/>
            </w:rPr>
            <w:instrText xml:space="preserve"> CITATION Ign16 \l 2057 </w:instrText>
          </w:r>
          <w:r w:rsidR="000D1D14">
            <w:rPr>
              <w:rFonts w:ascii="Calibri" w:hAnsi="Calibri" w:cs="Calibri"/>
              <w:color w:val="000000"/>
              <w:sz w:val="24"/>
              <w:szCs w:val="24"/>
            </w:rPr>
            <w:fldChar w:fldCharType="separate"/>
          </w:r>
          <w:r w:rsidR="000D1D14" w:rsidRPr="000D1D14">
            <w:rPr>
              <w:rFonts w:ascii="Calibri" w:hAnsi="Calibri" w:cs="Calibri"/>
              <w:noProof/>
              <w:color w:val="000000"/>
              <w:sz w:val="24"/>
              <w:szCs w:val="24"/>
            </w:rPr>
            <w:t>[10]</w:t>
          </w:r>
          <w:r w:rsidR="000D1D14">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analyse SAW as a transparent metamodel whose result can be decomposed into explicit criterion contributions, which aligns with MDSS's explainability requirement. Vafaei et al. </w:t>
      </w:r>
      <w:sdt>
        <w:sdtPr>
          <w:rPr>
            <w:rFonts w:ascii="Calibri" w:hAnsi="Calibri" w:cs="Calibri"/>
            <w:color w:val="000000"/>
            <w:sz w:val="24"/>
            <w:szCs w:val="24"/>
          </w:rPr>
          <w:id w:val="946967685"/>
          <w:citation/>
        </w:sdtPr>
        <w:sdtEndPr/>
        <w:sdtContent>
          <w:r w:rsidR="00186A54">
            <w:rPr>
              <w:rFonts w:ascii="Calibri" w:hAnsi="Calibri" w:cs="Calibri"/>
              <w:color w:val="000000"/>
              <w:sz w:val="24"/>
              <w:szCs w:val="24"/>
            </w:rPr>
            <w:fldChar w:fldCharType="begin"/>
          </w:r>
          <w:r w:rsidR="00186A54">
            <w:rPr>
              <w:rFonts w:ascii="Calibri" w:hAnsi="Calibri" w:cs="Calibri"/>
              <w:color w:val="000000"/>
              <w:sz w:val="24"/>
              <w:szCs w:val="24"/>
            </w:rPr>
            <w:instrText xml:space="preserve"> CITATION Naz18 \l 2057 </w:instrText>
          </w:r>
          <w:r w:rsidR="00186A54">
            <w:rPr>
              <w:rFonts w:ascii="Calibri" w:hAnsi="Calibri" w:cs="Calibri"/>
              <w:color w:val="000000"/>
              <w:sz w:val="24"/>
              <w:szCs w:val="24"/>
            </w:rPr>
            <w:fldChar w:fldCharType="separate"/>
          </w:r>
          <w:r w:rsidR="00186A54" w:rsidRPr="00186A54">
            <w:rPr>
              <w:rFonts w:ascii="Calibri" w:hAnsi="Calibri" w:cs="Calibri"/>
              <w:noProof/>
              <w:color w:val="000000"/>
              <w:sz w:val="24"/>
              <w:szCs w:val="24"/>
            </w:rPr>
            <w:t>[11]</w:t>
          </w:r>
          <w:r w:rsidR="00186A54">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demonstrate that normalisation choice is consequential in multi-criteria analysis and compare alternative techniques. MDSS therefore does not treat min-max normalisation as uniquely correct; it selects it because the [0,1] transformation is easy to inspect and explain, while Chapter 5 evaluates the resulting sensitivity and limitations. Triantaphyllou and Sánchez</w:t>
      </w:r>
      <w:r w:rsidR="00196614">
        <w:rPr>
          <w:rFonts w:ascii="Calibri" w:hAnsi="Calibri" w:cs="Calibri"/>
          <w:color w:val="000000"/>
          <w:sz w:val="24"/>
          <w:szCs w:val="24"/>
        </w:rPr>
        <w:t xml:space="preserve"> </w:t>
      </w:r>
      <w:sdt>
        <w:sdtPr>
          <w:rPr>
            <w:rFonts w:ascii="Calibri" w:hAnsi="Calibri" w:cs="Calibri"/>
            <w:color w:val="000000"/>
            <w:sz w:val="24"/>
            <w:szCs w:val="24"/>
          </w:rPr>
          <w:id w:val="-1888549514"/>
          <w:citation/>
        </w:sdtPr>
        <w:sdtEndPr/>
        <w:sdtContent>
          <w:r w:rsidR="00196614">
            <w:rPr>
              <w:rFonts w:ascii="Calibri" w:hAnsi="Calibri" w:cs="Calibri"/>
              <w:color w:val="000000"/>
              <w:sz w:val="24"/>
              <w:szCs w:val="24"/>
            </w:rPr>
            <w:fldChar w:fldCharType="begin"/>
          </w:r>
          <w:r w:rsidR="00196614">
            <w:rPr>
              <w:rFonts w:ascii="Calibri" w:hAnsi="Calibri" w:cs="Calibri"/>
              <w:color w:val="000000"/>
              <w:sz w:val="24"/>
              <w:szCs w:val="24"/>
            </w:rPr>
            <w:instrText xml:space="preserve"> CITATION Eva97 \l 2057 </w:instrText>
          </w:r>
          <w:r w:rsidR="00196614">
            <w:rPr>
              <w:rFonts w:ascii="Calibri" w:hAnsi="Calibri" w:cs="Calibri"/>
              <w:color w:val="000000"/>
              <w:sz w:val="24"/>
              <w:szCs w:val="24"/>
            </w:rPr>
            <w:fldChar w:fldCharType="separate"/>
          </w:r>
          <w:r w:rsidR="00196614" w:rsidRPr="00196614">
            <w:rPr>
              <w:rFonts w:ascii="Calibri" w:hAnsi="Calibri" w:cs="Calibri"/>
              <w:noProof/>
              <w:color w:val="000000"/>
              <w:sz w:val="24"/>
              <w:szCs w:val="24"/>
            </w:rPr>
            <w:t>[12]</w:t>
          </w:r>
          <w:r w:rsidR="00196614">
            <w:rPr>
              <w:rFonts w:ascii="Calibri" w:hAnsi="Calibri" w:cs="Calibri"/>
              <w:color w:val="000000"/>
              <w:sz w:val="24"/>
              <w:szCs w:val="24"/>
            </w:rPr>
            <w:fldChar w:fldCharType="end"/>
          </w:r>
        </w:sdtContent>
      </w:sdt>
      <w:r w:rsidR="00196614">
        <w:rPr>
          <w:rFonts w:ascii="Calibri" w:hAnsi="Calibri" w:cs="Calibri"/>
          <w:color w:val="000000"/>
          <w:sz w:val="24"/>
          <w:szCs w:val="24"/>
        </w:rPr>
        <w:t xml:space="preserve"> </w:t>
      </w:r>
      <w:r w:rsidRPr="00E27B76">
        <w:rPr>
          <w:rFonts w:ascii="Calibri" w:hAnsi="Calibri" w:cs="Calibri"/>
          <w:color w:val="000000"/>
          <w:sz w:val="24"/>
          <w:szCs w:val="24"/>
        </w:rPr>
        <w:t>further establish the importance of sensitivity analysis when rankings depend on criterion weights, directly motivating the Scenario Lab and ranking-sensitivity checks.</w:t>
      </w:r>
    </w:p>
    <w:p w14:paraId="223D1ACA" w14:textId="29E4A490"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TOPSIS was considered as an alternative because it ranks alternatives by distance from ideal and negative-ideal solutions </w:t>
      </w:r>
      <w:sdt>
        <w:sdtPr>
          <w:rPr>
            <w:rFonts w:ascii="Calibri" w:hAnsi="Calibri" w:cs="Calibri"/>
            <w:color w:val="000000"/>
            <w:sz w:val="24"/>
            <w:szCs w:val="24"/>
          </w:rPr>
          <w:id w:val="1494228663"/>
          <w:citation/>
        </w:sdtPr>
        <w:sdtEndPr/>
        <w:sdtContent>
          <w:r w:rsidR="00CA064E">
            <w:rPr>
              <w:rFonts w:ascii="Calibri" w:hAnsi="Calibri" w:cs="Calibri"/>
              <w:color w:val="000000"/>
              <w:sz w:val="24"/>
              <w:szCs w:val="24"/>
            </w:rPr>
            <w:fldChar w:fldCharType="begin"/>
          </w:r>
          <w:r w:rsidR="00CA064E">
            <w:rPr>
              <w:rFonts w:ascii="Calibri" w:hAnsi="Calibri" w:cs="Calibri"/>
              <w:color w:val="000000"/>
              <w:sz w:val="24"/>
              <w:szCs w:val="24"/>
            </w:rPr>
            <w:instrText xml:space="preserve"> CITATION Chi81 \l 2057 </w:instrText>
          </w:r>
          <w:r w:rsidR="00CA064E">
            <w:rPr>
              <w:rFonts w:ascii="Calibri" w:hAnsi="Calibri" w:cs="Calibri"/>
              <w:color w:val="000000"/>
              <w:sz w:val="24"/>
              <w:szCs w:val="24"/>
            </w:rPr>
            <w:fldChar w:fldCharType="separate"/>
          </w:r>
          <w:r w:rsidR="00CA064E" w:rsidRPr="00CA064E">
            <w:rPr>
              <w:rFonts w:ascii="Calibri" w:hAnsi="Calibri" w:cs="Calibri"/>
              <w:noProof/>
              <w:color w:val="000000"/>
              <w:sz w:val="24"/>
              <w:szCs w:val="24"/>
            </w:rPr>
            <w:t>[8]</w:t>
          </w:r>
          <w:r w:rsidR="00CA064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t>
      </w:r>
      <w:sdt>
        <w:sdtPr>
          <w:rPr>
            <w:rFonts w:ascii="Calibri" w:hAnsi="Calibri" w:cs="Calibri"/>
            <w:color w:val="000000"/>
            <w:sz w:val="24"/>
            <w:szCs w:val="24"/>
          </w:rPr>
          <w:id w:val="-1969968552"/>
          <w:citation/>
        </w:sdtPr>
        <w:sdtEndPr/>
        <w:sdtContent>
          <w:r w:rsidR="00CA064E">
            <w:rPr>
              <w:rFonts w:ascii="Calibri" w:hAnsi="Calibri" w:cs="Calibri"/>
              <w:color w:val="000000"/>
              <w:sz w:val="24"/>
              <w:szCs w:val="24"/>
            </w:rPr>
            <w:fldChar w:fldCharType="begin"/>
          </w:r>
          <w:r w:rsidR="00CA064E">
            <w:rPr>
              <w:rFonts w:ascii="Calibri" w:hAnsi="Calibri" w:cs="Calibri"/>
              <w:color w:val="000000"/>
              <w:sz w:val="24"/>
              <w:szCs w:val="24"/>
            </w:rPr>
            <w:instrText xml:space="preserve"> CITATION Eva00 \l 2057 </w:instrText>
          </w:r>
          <w:r w:rsidR="00CA064E">
            <w:rPr>
              <w:rFonts w:ascii="Calibri" w:hAnsi="Calibri" w:cs="Calibri"/>
              <w:color w:val="000000"/>
              <w:sz w:val="24"/>
              <w:szCs w:val="24"/>
            </w:rPr>
            <w:fldChar w:fldCharType="separate"/>
          </w:r>
          <w:r w:rsidR="00CA064E" w:rsidRPr="00CA064E">
            <w:rPr>
              <w:rFonts w:ascii="Calibri" w:hAnsi="Calibri" w:cs="Calibri"/>
              <w:noProof/>
              <w:color w:val="000000"/>
              <w:sz w:val="24"/>
              <w:szCs w:val="24"/>
            </w:rPr>
            <w:t>[9]</w:t>
          </w:r>
          <w:r w:rsidR="00CA064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That approach can represent multi-criteria trade-offs, but its distance calculation is less directly decomposable for a non-technical user than a literal weighted </w:t>
      </w:r>
      <w:r w:rsidRPr="00E27B76">
        <w:rPr>
          <w:rFonts w:ascii="Calibri" w:hAnsi="Calibri" w:cs="Calibri"/>
          <w:color w:val="000000"/>
          <w:sz w:val="24"/>
          <w:szCs w:val="24"/>
        </w:rPr>
        <w:lastRenderedPageBreak/>
        <w:t>sum. Since this project prioritises inspectability over algorithmic sophistication, SAW was selected as the baseline. This is a design trade-off rather than evidence that SAW is universally superior; a future back-test could compare decision utility and ranking stability across SAW, TOPSIS and alternative normalisation schemes.</w:t>
      </w:r>
    </w:p>
    <w:p w14:paraId="223D1ACB" w14:textId="77777777" w:rsidR="00BA2B53" w:rsidRPr="00540A1F" w:rsidRDefault="00116450">
      <w:pPr>
        <w:pStyle w:val="Heading2"/>
        <w:spacing w:before="300" w:after="160"/>
        <w:rPr>
          <w:rFonts w:ascii="Calibri" w:hAnsi="Calibri" w:cs="Calibri"/>
          <w:sz w:val="27"/>
          <w:szCs w:val="27"/>
        </w:rPr>
      </w:pPr>
      <w:bookmarkStart w:id="11" w:name="_Toc237246547"/>
      <w:r w:rsidRPr="00540A1F">
        <w:rPr>
          <w:rFonts w:ascii="Calibri" w:hAnsi="Calibri" w:cs="Calibri"/>
          <w:bCs/>
          <w:sz w:val="27"/>
          <w:szCs w:val="27"/>
        </w:rPr>
        <w:t>2.3 Explainability in Decision Support</w:t>
      </w:r>
      <w:bookmarkEnd w:id="11"/>
    </w:p>
    <w:p w14:paraId="223D1ACC" w14:textId="5B878199"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Gregor and Benbasat </w:t>
      </w:r>
      <w:sdt>
        <w:sdtPr>
          <w:rPr>
            <w:rFonts w:ascii="Calibri" w:hAnsi="Calibri" w:cs="Calibri"/>
            <w:color w:val="000000"/>
            <w:sz w:val="24"/>
            <w:szCs w:val="24"/>
          </w:rPr>
          <w:id w:val="-401596804"/>
          <w:citation/>
        </w:sdtPr>
        <w:sdtEndPr/>
        <w:sdtContent>
          <w:r w:rsidR="008709AC">
            <w:rPr>
              <w:rFonts w:ascii="Calibri" w:hAnsi="Calibri" w:cs="Calibri"/>
              <w:color w:val="000000"/>
              <w:sz w:val="24"/>
              <w:szCs w:val="24"/>
            </w:rPr>
            <w:fldChar w:fldCharType="begin"/>
          </w:r>
          <w:r w:rsidR="008709AC">
            <w:rPr>
              <w:rFonts w:ascii="Calibri" w:hAnsi="Calibri" w:cs="Calibri"/>
              <w:color w:val="000000"/>
              <w:sz w:val="24"/>
              <w:szCs w:val="24"/>
            </w:rPr>
            <w:instrText xml:space="preserve"> CITATION Shi99 \l 2057 </w:instrText>
          </w:r>
          <w:r w:rsidR="008709AC">
            <w:rPr>
              <w:rFonts w:ascii="Calibri" w:hAnsi="Calibri" w:cs="Calibri"/>
              <w:color w:val="000000"/>
              <w:sz w:val="24"/>
              <w:szCs w:val="24"/>
            </w:rPr>
            <w:fldChar w:fldCharType="separate"/>
          </w:r>
          <w:r w:rsidR="008709AC" w:rsidRPr="008709AC">
            <w:rPr>
              <w:rFonts w:ascii="Calibri" w:hAnsi="Calibri" w:cs="Calibri"/>
              <w:noProof/>
              <w:color w:val="000000"/>
              <w:sz w:val="24"/>
              <w:szCs w:val="24"/>
            </w:rPr>
            <w:t>[13]</w:t>
          </w:r>
          <w:r w:rsidR="008709AC">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provide a foundational treatment of explanation facilities in intelligent systems, distinguishing explanations of what a system concluded from explanations of why and how it reached that conclusion. Lim et al. </w:t>
      </w:r>
      <w:sdt>
        <w:sdtPr>
          <w:rPr>
            <w:rFonts w:ascii="Calibri" w:hAnsi="Calibri" w:cs="Calibri"/>
            <w:color w:val="000000"/>
            <w:sz w:val="24"/>
            <w:szCs w:val="24"/>
          </w:rPr>
          <w:id w:val="-2113044889"/>
          <w:citation/>
        </w:sdtPr>
        <w:sdtEndPr/>
        <w:sdtContent>
          <w:r w:rsidR="006C1BA1">
            <w:rPr>
              <w:rFonts w:ascii="Calibri" w:hAnsi="Calibri" w:cs="Calibri"/>
              <w:color w:val="000000"/>
              <w:sz w:val="24"/>
              <w:szCs w:val="24"/>
            </w:rPr>
            <w:fldChar w:fldCharType="begin"/>
          </w:r>
          <w:r w:rsidR="006C1BA1">
            <w:rPr>
              <w:rFonts w:ascii="Calibri" w:hAnsi="Calibri" w:cs="Calibri"/>
              <w:color w:val="000000"/>
              <w:sz w:val="24"/>
              <w:szCs w:val="24"/>
            </w:rPr>
            <w:instrText xml:space="preserve"> CITATION Bri09 \l 2057 </w:instrText>
          </w:r>
          <w:r w:rsidR="006C1BA1">
            <w:rPr>
              <w:rFonts w:ascii="Calibri" w:hAnsi="Calibri" w:cs="Calibri"/>
              <w:color w:val="000000"/>
              <w:sz w:val="24"/>
              <w:szCs w:val="24"/>
            </w:rPr>
            <w:fldChar w:fldCharType="separate"/>
          </w:r>
          <w:r w:rsidR="006C1BA1" w:rsidRPr="006C1BA1">
            <w:rPr>
              <w:rFonts w:ascii="Calibri" w:hAnsi="Calibri" w:cs="Calibri"/>
              <w:noProof/>
              <w:color w:val="000000"/>
              <w:sz w:val="24"/>
              <w:szCs w:val="24"/>
            </w:rPr>
            <w:t>[14]</w:t>
          </w:r>
          <w:r w:rsidR="006C1BA1">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provide empirical evidence that </w:t>
      </w:r>
      <w:r w:rsidR="00A95CDE" w:rsidRPr="00A95CDE">
        <w:rPr>
          <w:rFonts w:ascii="Calibri" w:hAnsi="Calibri" w:cs="Calibri"/>
          <w:color w:val="000000"/>
          <w:sz w:val="24"/>
          <w:szCs w:val="24"/>
        </w:rPr>
        <w:t>why and why-not explanations can make context-aware systems easier for users to understand</w:t>
      </w:r>
      <w:r w:rsidRPr="00E27B76">
        <w:rPr>
          <w:rFonts w:ascii="Calibri" w:hAnsi="Calibri" w:cs="Calibri"/>
          <w:color w:val="000000"/>
          <w:sz w:val="24"/>
          <w:szCs w:val="24"/>
        </w:rPr>
        <w:t xml:space="preserve">. Savvadelli et al. </w:t>
      </w:r>
      <w:sdt>
        <w:sdtPr>
          <w:rPr>
            <w:rFonts w:ascii="Calibri" w:hAnsi="Calibri" w:cs="Calibri"/>
            <w:color w:val="000000"/>
            <w:sz w:val="24"/>
            <w:szCs w:val="24"/>
          </w:rPr>
          <w:id w:val="924379398"/>
          <w:citation/>
        </w:sdtPr>
        <w:sdtEndPr/>
        <w:sdtContent>
          <w:r w:rsidR="00D204B8">
            <w:rPr>
              <w:rFonts w:ascii="Calibri" w:hAnsi="Calibri" w:cs="Calibri"/>
              <w:color w:val="000000"/>
              <w:sz w:val="24"/>
              <w:szCs w:val="24"/>
            </w:rPr>
            <w:fldChar w:fldCharType="begin"/>
          </w:r>
          <w:r w:rsidR="00D204B8">
            <w:rPr>
              <w:rFonts w:ascii="Calibri" w:hAnsi="Calibri" w:cs="Calibri"/>
              <w:color w:val="000000"/>
              <w:sz w:val="24"/>
              <w:szCs w:val="24"/>
            </w:rPr>
            <w:instrText xml:space="preserve"> CITATION Eir26 \l 2057 </w:instrText>
          </w:r>
          <w:r w:rsidR="00D204B8">
            <w:rPr>
              <w:rFonts w:ascii="Calibri" w:hAnsi="Calibri" w:cs="Calibri"/>
              <w:color w:val="000000"/>
              <w:sz w:val="24"/>
              <w:szCs w:val="24"/>
            </w:rPr>
            <w:fldChar w:fldCharType="separate"/>
          </w:r>
          <w:r w:rsidR="00D204B8" w:rsidRPr="00D204B8">
            <w:rPr>
              <w:rFonts w:ascii="Calibri" w:hAnsi="Calibri" w:cs="Calibri"/>
              <w:noProof/>
              <w:color w:val="000000"/>
              <w:sz w:val="24"/>
              <w:szCs w:val="24"/>
            </w:rPr>
            <w:t>[15]</w:t>
          </w:r>
          <w:r w:rsidR="00D204B8">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review rule-based systems as decision-support mechanisms built around predefined rules and structured reasoning. These sources informed the choice to make MDSS recommendations inspectable through rule IDs, evidence and thresholds. They do not establish that MDSS users will necessarily trust or adopt the interface; that question would require naturalistic user evaluation, which remains outside the current prototype evaluation.</w:t>
      </w:r>
    </w:p>
    <w:p w14:paraId="223D1ACD" w14:textId="77777777" w:rsidR="00BA2B53" w:rsidRPr="00540A1F" w:rsidRDefault="00116450">
      <w:pPr>
        <w:pStyle w:val="Heading2"/>
        <w:spacing w:before="300" w:after="160"/>
        <w:rPr>
          <w:rFonts w:ascii="Calibri" w:hAnsi="Calibri" w:cs="Calibri"/>
          <w:sz w:val="27"/>
          <w:szCs w:val="27"/>
        </w:rPr>
      </w:pPr>
      <w:bookmarkStart w:id="12" w:name="_Toc237246548"/>
      <w:r w:rsidRPr="00540A1F">
        <w:rPr>
          <w:rFonts w:ascii="Calibri" w:hAnsi="Calibri" w:cs="Calibri"/>
          <w:bCs/>
          <w:sz w:val="27"/>
          <w:szCs w:val="27"/>
        </w:rPr>
        <w:t>2.4 Retail Merchandising Decision Problems</w:t>
      </w:r>
      <w:bookmarkEnd w:id="12"/>
    </w:p>
    <w:p w14:paraId="223D1ACE" w14:textId="6B4FD9D9"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Retail-operations research supports treating merchandising as a multi-signal decision problem. Mantrala and Rao </w:t>
      </w:r>
      <w:sdt>
        <w:sdtPr>
          <w:rPr>
            <w:rFonts w:ascii="Calibri" w:hAnsi="Calibri" w:cs="Calibri"/>
            <w:color w:val="000000"/>
            <w:sz w:val="24"/>
            <w:szCs w:val="24"/>
          </w:rPr>
          <w:id w:val="1212530708"/>
          <w:citation/>
        </w:sdtPr>
        <w:sdtEndPr/>
        <w:sdtContent>
          <w:r w:rsidR="00BF29CC">
            <w:rPr>
              <w:rFonts w:ascii="Calibri" w:hAnsi="Calibri" w:cs="Calibri"/>
              <w:color w:val="000000"/>
              <w:sz w:val="24"/>
              <w:szCs w:val="24"/>
            </w:rPr>
            <w:fldChar w:fldCharType="begin"/>
          </w:r>
          <w:r w:rsidR="00BF29CC">
            <w:rPr>
              <w:rFonts w:ascii="Calibri" w:hAnsi="Calibri" w:cs="Calibri"/>
              <w:color w:val="000000"/>
              <w:sz w:val="24"/>
              <w:szCs w:val="24"/>
            </w:rPr>
            <w:instrText xml:space="preserve"> CITATION Man01 \l 2057 </w:instrText>
          </w:r>
          <w:r w:rsidR="00BF29CC">
            <w:rPr>
              <w:rFonts w:ascii="Calibri" w:hAnsi="Calibri" w:cs="Calibri"/>
              <w:color w:val="000000"/>
              <w:sz w:val="24"/>
              <w:szCs w:val="24"/>
            </w:rPr>
            <w:fldChar w:fldCharType="separate"/>
          </w:r>
          <w:r w:rsidR="00BF29CC" w:rsidRPr="00BF29CC">
            <w:rPr>
              <w:rFonts w:ascii="Calibri" w:hAnsi="Calibri" w:cs="Calibri"/>
              <w:noProof/>
              <w:color w:val="000000"/>
              <w:sz w:val="24"/>
              <w:szCs w:val="24"/>
            </w:rPr>
            <w:t>[16]</w:t>
          </w:r>
          <w:r w:rsidR="00BF29CC">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develop decision support for fashion-goods order quantities and markdowns; Hübner and Kuhn </w:t>
      </w:r>
      <w:sdt>
        <w:sdtPr>
          <w:rPr>
            <w:rFonts w:ascii="Calibri" w:hAnsi="Calibri" w:cs="Calibri"/>
            <w:color w:val="000000"/>
            <w:sz w:val="24"/>
            <w:szCs w:val="24"/>
          </w:rPr>
          <w:id w:val="-286042514"/>
          <w:citation/>
        </w:sdtPr>
        <w:sdtEndPr/>
        <w:sdtContent>
          <w:r w:rsidR="00267A11">
            <w:rPr>
              <w:rFonts w:ascii="Calibri" w:hAnsi="Calibri" w:cs="Calibri"/>
              <w:color w:val="000000"/>
              <w:sz w:val="24"/>
              <w:szCs w:val="24"/>
            </w:rPr>
            <w:fldChar w:fldCharType="begin"/>
          </w:r>
          <w:r w:rsidR="00267A11">
            <w:rPr>
              <w:rFonts w:ascii="Calibri" w:hAnsi="Calibri" w:cs="Calibri"/>
              <w:color w:val="000000"/>
              <w:sz w:val="24"/>
              <w:szCs w:val="24"/>
            </w:rPr>
            <w:instrText xml:space="preserve"> CITATION Ale24 \l 2057 </w:instrText>
          </w:r>
          <w:r w:rsidR="00267A11">
            <w:rPr>
              <w:rFonts w:ascii="Calibri" w:hAnsi="Calibri" w:cs="Calibri"/>
              <w:color w:val="000000"/>
              <w:sz w:val="24"/>
              <w:szCs w:val="24"/>
            </w:rPr>
            <w:fldChar w:fldCharType="separate"/>
          </w:r>
          <w:r w:rsidR="00267A11" w:rsidRPr="00267A11">
            <w:rPr>
              <w:rFonts w:ascii="Calibri" w:hAnsi="Calibri" w:cs="Calibri"/>
              <w:noProof/>
              <w:color w:val="000000"/>
              <w:sz w:val="24"/>
              <w:szCs w:val="24"/>
            </w:rPr>
            <w:t>[17]</w:t>
          </w:r>
          <w:r w:rsidR="00267A11">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review integrated assortment, shelf-space and replenishment decision support; Tunuguntla et al. </w:t>
      </w:r>
      <w:sdt>
        <w:sdtPr>
          <w:rPr>
            <w:rFonts w:ascii="Calibri" w:hAnsi="Calibri" w:cs="Calibri"/>
            <w:color w:val="000000"/>
            <w:sz w:val="24"/>
            <w:szCs w:val="24"/>
          </w:rPr>
          <w:id w:val="-1420786777"/>
          <w:citation/>
        </w:sdtPr>
        <w:sdtEndPr/>
        <w:sdtContent>
          <w:r w:rsidR="00063EDD">
            <w:rPr>
              <w:rFonts w:ascii="Calibri" w:hAnsi="Calibri" w:cs="Calibri"/>
              <w:color w:val="000000"/>
              <w:sz w:val="24"/>
              <w:szCs w:val="24"/>
            </w:rPr>
            <w:fldChar w:fldCharType="begin"/>
          </w:r>
          <w:r w:rsidR="00063EDD">
            <w:rPr>
              <w:rFonts w:ascii="Calibri" w:hAnsi="Calibri" w:cs="Calibri"/>
              <w:color w:val="000000"/>
              <w:sz w:val="24"/>
              <w:szCs w:val="24"/>
            </w:rPr>
            <w:instrText xml:space="preserve"> CITATION Vai24 \l 2057 </w:instrText>
          </w:r>
          <w:r w:rsidR="00063EDD">
            <w:rPr>
              <w:rFonts w:ascii="Calibri" w:hAnsi="Calibri" w:cs="Calibri"/>
              <w:color w:val="000000"/>
              <w:sz w:val="24"/>
              <w:szCs w:val="24"/>
            </w:rPr>
            <w:fldChar w:fldCharType="separate"/>
          </w:r>
          <w:r w:rsidR="00063EDD" w:rsidRPr="00063EDD">
            <w:rPr>
              <w:rFonts w:ascii="Calibri" w:hAnsi="Calibri" w:cs="Calibri"/>
              <w:noProof/>
              <w:color w:val="000000"/>
              <w:sz w:val="24"/>
              <w:szCs w:val="24"/>
            </w:rPr>
            <w:t>[18]</w:t>
          </w:r>
          <w:r w:rsidR="00063EDD">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connect sponsored-search demand evidence with replenishment decisions; and Smith and Agrawal </w:t>
      </w:r>
      <w:sdt>
        <w:sdtPr>
          <w:rPr>
            <w:rFonts w:ascii="Calibri" w:hAnsi="Calibri" w:cs="Calibri"/>
            <w:color w:val="000000"/>
            <w:sz w:val="24"/>
            <w:szCs w:val="24"/>
          </w:rPr>
          <w:id w:val="1674454103"/>
          <w:citation/>
        </w:sdtPr>
        <w:sdtEndPr/>
        <w:sdtContent>
          <w:r w:rsidR="00B70DE6">
            <w:rPr>
              <w:rFonts w:ascii="Calibri" w:hAnsi="Calibri" w:cs="Calibri"/>
              <w:color w:val="000000"/>
              <w:sz w:val="24"/>
              <w:szCs w:val="24"/>
            </w:rPr>
            <w:fldChar w:fldCharType="begin"/>
          </w:r>
          <w:r w:rsidR="00B70DE6">
            <w:rPr>
              <w:rFonts w:ascii="Calibri" w:hAnsi="Calibri" w:cs="Calibri"/>
              <w:color w:val="000000"/>
              <w:sz w:val="24"/>
              <w:szCs w:val="24"/>
            </w:rPr>
            <w:instrText xml:space="preserve"> CITATION Ste17 \l 2057 </w:instrText>
          </w:r>
          <w:r w:rsidR="00B70DE6">
            <w:rPr>
              <w:rFonts w:ascii="Calibri" w:hAnsi="Calibri" w:cs="Calibri"/>
              <w:color w:val="000000"/>
              <w:sz w:val="24"/>
              <w:szCs w:val="24"/>
            </w:rPr>
            <w:fldChar w:fldCharType="separate"/>
          </w:r>
          <w:r w:rsidR="00B70DE6" w:rsidRPr="00B70DE6">
            <w:rPr>
              <w:rFonts w:ascii="Calibri" w:hAnsi="Calibri" w:cs="Calibri"/>
              <w:noProof/>
              <w:color w:val="000000"/>
              <w:sz w:val="24"/>
              <w:szCs w:val="24"/>
            </w:rPr>
            <w:t>[19]</w:t>
          </w:r>
          <w:r w:rsidR="00B70DE6">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model the interaction between markdown pricing and inventory allocation. Mandal, Basu and Saha </w:t>
      </w:r>
      <w:sdt>
        <w:sdtPr>
          <w:rPr>
            <w:rFonts w:ascii="Calibri" w:hAnsi="Calibri" w:cs="Calibri"/>
            <w:color w:val="000000"/>
            <w:sz w:val="24"/>
            <w:szCs w:val="24"/>
          </w:rPr>
          <w:id w:val="-1177964626"/>
          <w:citation/>
        </w:sdtPr>
        <w:sdtEndPr/>
        <w:sdtContent>
          <w:r w:rsidR="00D424FB">
            <w:rPr>
              <w:rFonts w:ascii="Calibri" w:hAnsi="Calibri" w:cs="Calibri"/>
              <w:color w:val="000000"/>
              <w:sz w:val="24"/>
              <w:szCs w:val="24"/>
            </w:rPr>
            <w:fldChar w:fldCharType="begin"/>
          </w:r>
          <w:r w:rsidR="00D424FB">
            <w:rPr>
              <w:rFonts w:ascii="Calibri" w:hAnsi="Calibri" w:cs="Calibri"/>
              <w:color w:val="000000"/>
              <w:sz w:val="24"/>
              <w:szCs w:val="24"/>
            </w:rPr>
            <w:instrText xml:space="preserve"> CITATION Pra21 \l 2057 </w:instrText>
          </w:r>
          <w:r w:rsidR="00D424FB">
            <w:rPr>
              <w:rFonts w:ascii="Calibri" w:hAnsi="Calibri" w:cs="Calibri"/>
              <w:color w:val="000000"/>
              <w:sz w:val="24"/>
              <w:szCs w:val="24"/>
            </w:rPr>
            <w:fldChar w:fldCharType="separate"/>
          </w:r>
          <w:r w:rsidR="00D424FB" w:rsidRPr="00D424FB">
            <w:rPr>
              <w:rFonts w:ascii="Calibri" w:hAnsi="Calibri" w:cs="Calibri"/>
              <w:noProof/>
              <w:color w:val="000000"/>
              <w:sz w:val="24"/>
              <w:szCs w:val="24"/>
            </w:rPr>
            <w:t>[20]</w:t>
          </w:r>
          <w:r w:rsidR="00D424FB">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examine product-return management as a material operational decision in omnichannel retail. MDSS uses these themes to justify including stock, demand, returns and price-related evidence, but the ordering of its rules and the numerical thresholds, including the 20% returns-review threshold, remain explicit prototype policy choices rather than values prescribed by those studies.</w:t>
      </w:r>
    </w:p>
    <w:p w14:paraId="223D1ACF" w14:textId="58D22164"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Two further sources concern the underlying assortment-planning problem rather than the ranking method itself. Mantrala</w:t>
      </w:r>
      <w:r w:rsidR="001F79D8">
        <w:rPr>
          <w:rFonts w:ascii="Calibri" w:hAnsi="Calibri" w:cs="Calibri"/>
          <w:color w:val="000000"/>
          <w:sz w:val="24"/>
          <w:szCs w:val="24"/>
        </w:rPr>
        <w:t xml:space="preserve"> et al. </w:t>
      </w:r>
      <w:sdt>
        <w:sdtPr>
          <w:rPr>
            <w:rFonts w:ascii="Calibri" w:hAnsi="Calibri" w:cs="Calibri"/>
            <w:color w:val="000000"/>
            <w:sz w:val="24"/>
            <w:szCs w:val="24"/>
          </w:rPr>
          <w:id w:val="-654296629"/>
          <w:citation/>
        </w:sdtPr>
        <w:sdtEndPr/>
        <w:sdtContent>
          <w:r w:rsidR="001F79D8">
            <w:rPr>
              <w:rFonts w:ascii="Calibri" w:hAnsi="Calibri" w:cs="Calibri"/>
              <w:color w:val="000000"/>
              <w:sz w:val="24"/>
              <w:szCs w:val="24"/>
            </w:rPr>
            <w:fldChar w:fldCharType="begin"/>
          </w:r>
          <w:r w:rsidR="001F79D8">
            <w:rPr>
              <w:rFonts w:ascii="Calibri" w:hAnsi="Calibri" w:cs="Calibri"/>
              <w:color w:val="000000"/>
              <w:sz w:val="24"/>
              <w:szCs w:val="24"/>
            </w:rPr>
            <w:instrText xml:space="preserve"> CITATION Mur09 \l 2057 </w:instrText>
          </w:r>
          <w:r w:rsidR="001F79D8">
            <w:rPr>
              <w:rFonts w:ascii="Calibri" w:hAnsi="Calibri" w:cs="Calibri"/>
              <w:color w:val="000000"/>
              <w:sz w:val="24"/>
              <w:szCs w:val="24"/>
            </w:rPr>
            <w:fldChar w:fldCharType="separate"/>
          </w:r>
          <w:r w:rsidR="001F79D8" w:rsidRPr="001F79D8">
            <w:rPr>
              <w:rFonts w:ascii="Calibri" w:hAnsi="Calibri" w:cs="Calibri"/>
              <w:noProof/>
              <w:color w:val="000000"/>
              <w:sz w:val="24"/>
              <w:szCs w:val="24"/>
            </w:rPr>
            <w:t>[21]</w:t>
          </w:r>
          <w:r w:rsidR="001F79D8">
            <w:rPr>
              <w:rFonts w:ascii="Calibri" w:hAnsi="Calibri" w:cs="Calibri"/>
              <w:color w:val="000000"/>
              <w:sz w:val="24"/>
              <w:szCs w:val="24"/>
            </w:rPr>
            <w:fldChar w:fldCharType="end"/>
          </w:r>
        </w:sdtContent>
      </w:sdt>
      <w:r w:rsidR="004D305E">
        <w:rPr>
          <w:rFonts w:ascii="Calibri" w:hAnsi="Calibri" w:cs="Calibri"/>
          <w:color w:val="000000"/>
          <w:sz w:val="24"/>
          <w:szCs w:val="24"/>
        </w:rPr>
        <w:t xml:space="preserve"> </w:t>
      </w:r>
      <w:r w:rsidRPr="00E27B76">
        <w:rPr>
          <w:rFonts w:ascii="Calibri" w:hAnsi="Calibri" w:cs="Calibri"/>
          <w:color w:val="000000"/>
          <w:sz w:val="24"/>
          <w:szCs w:val="24"/>
        </w:rPr>
        <w:t xml:space="preserve">argue that retail assortment planning involves multiple, interconnected trade-offs and that no single dominant analytical solution exists, a position that supports MDSS's use of a multi-factor weighted model rather than any single metric. Rajaram </w:t>
      </w:r>
      <w:sdt>
        <w:sdtPr>
          <w:rPr>
            <w:rFonts w:ascii="Calibri" w:hAnsi="Calibri" w:cs="Calibri"/>
            <w:color w:val="000000"/>
            <w:sz w:val="24"/>
            <w:szCs w:val="24"/>
          </w:rPr>
          <w:id w:val="-971440325"/>
          <w:citation/>
        </w:sdtPr>
        <w:sdtEndPr/>
        <w:sdtContent>
          <w:r w:rsidR="00537BBE">
            <w:rPr>
              <w:rFonts w:ascii="Calibri" w:hAnsi="Calibri" w:cs="Calibri"/>
              <w:color w:val="000000"/>
              <w:sz w:val="24"/>
              <w:szCs w:val="24"/>
            </w:rPr>
            <w:fldChar w:fldCharType="begin"/>
          </w:r>
          <w:r w:rsidR="00537BBE">
            <w:rPr>
              <w:rFonts w:ascii="Calibri" w:hAnsi="Calibri" w:cs="Calibri"/>
              <w:color w:val="000000"/>
              <w:sz w:val="24"/>
              <w:szCs w:val="24"/>
            </w:rPr>
            <w:instrText xml:space="preserve"> CITATION Kum01 \l 2057 </w:instrText>
          </w:r>
          <w:r w:rsidR="00537BBE">
            <w:rPr>
              <w:rFonts w:ascii="Calibri" w:hAnsi="Calibri" w:cs="Calibri"/>
              <w:color w:val="000000"/>
              <w:sz w:val="24"/>
              <w:szCs w:val="24"/>
            </w:rPr>
            <w:fldChar w:fldCharType="separate"/>
          </w:r>
          <w:r w:rsidR="00537BBE" w:rsidRPr="00537BBE">
            <w:rPr>
              <w:rFonts w:ascii="Calibri" w:hAnsi="Calibri" w:cs="Calibri"/>
              <w:noProof/>
              <w:color w:val="000000"/>
              <w:sz w:val="24"/>
              <w:szCs w:val="24"/>
            </w:rPr>
            <w:t>[22]</w:t>
          </w:r>
          <w:r w:rsidR="00537BB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examines assortment planning specifically in fashion retail and confirms the importance of inventory depth, assortment breadth and historical demand information as decision inputs. Neither </w:t>
      </w:r>
      <w:r w:rsidRPr="00E27B76">
        <w:rPr>
          <w:rFonts w:ascii="Calibri" w:hAnsi="Calibri" w:cs="Calibri"/>
          <w:color w:val="000000"/>
          <w:sz w:val="24"/>
          <w:szCs w:val="24"/>
        </w:rPr>
        <w:lastRenderedPageBreak/>
        <w:t>source, however, prescribes MDSS's particular 35/20/25/20 weighting of conversion, popularity, stock and price; that balance remains a stated prototype assumption requiring expert or historical validation, and this limitation is made explicit both in the application itself and in Chapter 5 of this report.</w:t>
      </w:r>
    </w:p>
    <w:p w14:paraId="223D1AD0" w14:textId="77777777" w:rsidR="00BA2B53" w:rsidRPr="00540A1F" w:rsidRDefault="00116450">
      <w:pPr>
        <w:pStyle w:val="Heading2"/>
        <w:spacing w:before="300" w:after="160"/>
        <w:rPr>
          <w:rFonts w:ascii="Calibri" w:hAnsi="Calibri" w:cs="Calibri"/>
          <w:sz w:val="27"/>
          <w:szCs w:val="27"/>
        </w:rPr>
      </w:pPr>
      <w:bookmarkStart w:id="13" w:name="_Toc237246549"/>
      <w:r w:rsidRPr="00540A1F">
        <w:rPr>
          <w:rFonts w:ascii="Calibri" w:hAnsi="Calibri" w:cs="Calibri"/>
          <w:bCs/>
          <w:sz w:val="27"/>
          <w:szCs w:val="27"/>
        </w:rPr>
        <w:t>2.5 Digital Behavioural Analytics in Commerce</w:t>
      </w:r>
      <w:bookmarkEnd w:id="13"/>
    </w:p>
    <w:p w14:paraId="223D1AD1" w14:textId="42D1D1D9"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Wedel and Kannan </w:t>
      </w:r>
      <w:sdt>
        <w:sdtPr>
          <w:rPr>
            <w:rFonts w:ascii="Calibri" w:hAnsi="Calibri" w:cs="Calibri"/>
            <w:color w:val="000000"/>
            <w:sz w:val="24"/>
            <w:szCs w:val="24"/>
          </w:rPr>
          <w:id w:val="-983644"/>
          <w:citation/>
        </w:sdtPr>
        <w:sdtEndPr/>
        <w:sdtContent>
          <w:r w:rsidR="006709E8">
            <w:rPr>
              <w:rFonts w:ascii="Calibri" w:hAnsi="Calibri" w:cs="Calibri"/>
              <w:color w:val="000000"/>
              <w:sz w:val="24"/>
              <w:szCs w:val="24"/>
            </w:rPr>
            <w:fldChar w:fldCharType="begin"/>
          </w:r>
          <w:r w:rsidR="006709E8">
            <w:rPr>
              <w:rFonts w:ascii="Calibri" w:hAnsi="Calibri" w:cs="Calibri"/>
              <w:color w:val="000000"/>
              <w:sz w:val="24"/>
              <w:szCs w:val="24"/>
            </w:rPr>
            <w:instrText xml:space="preserve"> CITATION Mic16 \l 2057 </w:instrText>
          </w:r>
          <w:r w:rsidR="006709E8">
            <w:rPr>
              <w:rFonts w:ascii="Calibri" w:hAnsi="Calibri" w:cs="Calibri"/>
              <w:color w:val="000000"/>
              <w:sz w:val="24"/>
              <w:szCs w:val="24"/>
            </w:rPr>
            <w:fldChar w:fldCharType="separate"/>
          </w:r>
          <w:r w:rsidR="006709E8" w:rsidRPr="006709E8">
            <w:rPr>
              <w:rFonts w:ascii="Calibri" w:hAnsi="Calibri" w:cs="Calibri"/>
              <w:noProof/>
              <w:color w:val="000000"/>
              <w:sz w:val="24"/>
              <w:szCs w:val="24"/>
            </w:rPr>
            <w:t>[23]</w:t>
          </w:r>
          <w:r w:rsidR="006709E8">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describe the opportunities and methodological challenges of analytics in data-rich marketing environments, while Kannan and Li </w:t>
      </w:r>
      <w:sdt>
        <w:sdtPr>
          <w:rPr>
            <w:rFonts w:ascii="Calibri" w:hAnsi="Calibri" w:cs="Calibri"/>
            <w:color w:val="000000"/>
            <w:sz w:val="24"/>
            <w:szCs w:val="24"/>
          </w:rPr>
          <w:id w:val="1479652705"/>
          <w:citation/>
        </w:sdtPr>
        <w:sdtEndPr/>
        <w:sdtContent>
          <w:r w:rsidR="008971BE">
            <w:rPr>
              <w:rFonts w:ascii="Calibri" w:hAnsi="Calibri" w:cs="Calibri"/>
              <w:color w:val="000000"/>
              <w:sz w:val="24"/>
              <w:szCs w:val="24"/>
            </w:rPr>
            <w:fldChar w:fldCharType="begin"/>
          </w:r>
          <w:r w:rsidR="008971BE">
            <w:rPr>
              <w:rFonts w:ascii="Calibri" w:hAnsi="Calibri" w:cs="Calibri"/>
              <w:color w:val="000000"/>
              <w:sz w:val="24"/>
              <w:szCs w:val="24"/>
            </w:rPr>
            <w:instrText xml:space="preserve"> CITATION PKK17 \l 2057 </w:instrText>
          </w:r>
          <w:r w:rsidR="008971BE">
            <w:rPr>
              <w:rFonts w:ascii="Calibri" w:hAnsi="Calibri" w:cs="Calibri"/>
              <w:color w:val="000000"/>
              <w:sz w:val="24"/>
              <w:szCs w:val="24"/>
            </w:rPr>
            <w:fldChar w:fldCharType="separate"/>
          </w:r>
          <w:r w:rsidR="008971BE" w:rsidRPr="008971BE">
            <w:rPr>
              <w:rFonts w:ascii="Calibri" w:hAnsi="Calibri" w:cs="Calibri"/>
              <w:noProof/>
              <w:color w:val="000000"/>
              <w:sz w:val="24"/>
              <w:szCs w:val="24"/>
            </w:rPr>
            <w:t>[24]</w:t>
          </w:r>
          <w:r w:rsidR="008971B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position digital interaction data as an important part of the customer journey. Google's GA4 ecommerce documentation </w:t>
      </w:r>
      <w:sdt>
        <w:sdtPr>
          <w:rPr>
            <w:rFonts w:ascii="Calibri" w:hAnsi="Calibri" w:cs="Calibri"/>
            <w:color w:val="000000"/>
            <w:sz w:val="24"/>
            <w:szCs w:val="24"/>
          </w:rPr>
          <w:id w:val="-2099787414"/>
          <w:citation/>
        </w:sdtPr>
        <w:sdtEndPr/>
        <w:sdtContent>
          <w:r w:rsidR="00BA4616">
            <w:rPr>
              <w:rFonts w:ascii="Calibri" w:hAnsi="Calibri" w:cs="Calibri"/>
              <w:color w:val="000000"/>
              <w:sz w:val="24"/>
              <w:szCs w:val="24"/>
            </w:rPr>
            <w:fldChar w:fldCharType="begin"/>
          </w:r>
          <w:r w:rsidR="00BA4616">
            <w:rPr>
              <w:rFonts w:ascii="Calibri" w:hAnsi="Calibri" w:cs="Calibri"/>
              <w:color w:val="000000"/>
              <w:sz w:val="24"/>
              <w:szCs w:val="24"/>
            </w:rPr>
            <w:instrText xml:space="preserve"> CITATION Goo26 \l 2057 </w:instrText>
          </w:r>
          <w:r w:rsidR="00BA4616">
            <w:rPr>
              <w:rFonts w:ascii="Calibri" w:hAnsi="Calibri" w:cs="Calibri"/>
              <w:color w:val="000000"/>
              <w:sz w:val="24"/>
              <w:szCs w:val="24"/>
            </w:rPr>
            <w:fldChar w:fldCharType="separate"/>
          </w:r>
          <w:r w:rsidR="00BA4616" w:rsidRPr="00BA4616">
            <w:rPr>
              <w:rFonts w:ascii="Calibri" w:hAnsi="Calibri" w:cs="Calibri"/>
              <w:noProof/>
              <w:color w:val="000000"/>
              <w:sz w:val="24"/>
              <w:szCs w:val="24"/>
            </w:rPr>
            <w:t>[25]</w:t>
          </w:r>
          <w:r w:rsidR="00BA4616">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t>
      </w:r>
      <w:sdt>
        <w:sdtPr>
          <w:rPr>
            <w:rFonts w:ascii="Calibri" w:hAnsi="Calibri" w:cs="Calibri"/>
            <w:color w:val="000000"/>
            <w:sz w:val="24"/>
            <w:szCs w:val="24"/>
          </w:rPr>
          <w:id w:val="208695671"/>
          <w:citation/>
        </w:sdtPr>
        <w:sdtEndPr/>
        <w:sdtContent>
          <w:r w:rsidR="009C5595">
            <w:rPr>
              <w:rFonts w:ascii="Calibri" w:hAnsi="Calibri" w:cs="Calibri"/>
              <w:color w:val="000000"/>
              <w:sz w:val="24"/>
              <w:szCs w:val="24"/>
            </w:rPr>
            <w:fldChar w:fldCharType="begin"/>
          </w:r>
          <w:r w:rsidR="009C5595">
            <w:rPr>
              <w:rFonts w:ascii="Calibri" w:hAnsi="Calibri" w:cs="Calibri"/>
              <w:color w:val="000000"/>
              <w:sz w:val="24"/>
              <w:szCs w:val="24"/>
            </w:rPr>
            <w:instrText xml:space="preserve"> CITATION Goo261 \l 2057 </w:instrText>
          </w:r>
          <w:r w:rsidR="009C5595">
            <w:rPr>
              <w:rFonts w:ascii="Calibri" w:hAnsi="Calibri" w:cs="Calibri"/>
              <w:color w:val="000000"/>
              <w:sz w:val="24"/>
              <w:szCs w:val="24"/>
            </w:rPr>
            <w:fldChar w:fldCharType="separate"/>
          </w:r>
          <w:r w:rsidR="009C5595" w:rsidRPr="009C5595">
            <w:rPr>
              <w:rFonts w:ascii="Calibri" w:hAnsi="Calibri" w:cs="Calibri"/>
              <w:noProof/>
              <w:color w:val="000000"/>
              <w:sz w:val="24"/>
              <w:szCs w:val="24"/>
            </w:rPr>
            <w:t>[26]</w:t>
          </w:r>
          <w:r w:rsidR="009C5595">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defines the event structures used to capture interactions such as product views, add-to-cart activity and purchases. This supports the decision to integrate behavioural evidence with commercial data rather than treating digital analytics as a separate reporting stream. It does not justify MDSS's exact Balanced weighting: the combined 60% assigned to conversion and popularity is a transparent prototype assumption whose effect is exposed through Scenario Lab and requires retailer-specific calibration before production use.</w:t>
      </w:r>
    </w:p>
    <w:p w14:paraId="223D1AD2" w14:textId="77777777" w:rsidR="00BA2B53" w:rsidRPr="00540A1F" w:rsidRDefault="00116450">
      <w:pPr>
        <w:pStyle w:val="Heading2"/>
        <w:spacing w:before="300" w:after="160"/>
        <w:rPr>
          <w:rFonts w:ascii="Calibri" w:hAnsi="Calibri" w:cs="Calibri"/>
          <w:sz w:val="27"/>
          <w:szCs w:val="27"/>
        </w:rPr>
      </w:pPr>
      <w:bookmarkStart w:id="14" w:name="_Toc237246550"/>
      <w:r w:rsidRPr="00540A1F">
        <w:rPr>
          <w:rFonts w:ascii="Calibri" w:hAnsi="Calibri" w:cs="Calibri"/>
          <w:bCs/>
          <w:sz w:val="27"/>
          <w:szCs w:val="27"/>
        </w:rPr>
        <w:t>2.6 Data-Processing and Persistence Technology</w:t>
      </w:r>
      <w:bookmarkEnd w:id="14"/>
    </w:p>
    <w:p w14:paraId="223D1AD3" w14:textId="38BE74AE"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 xml:space="preserve">The technical implementation draws on well-documented, mature open-source technology. The pandas library </w:t>
      </w:r>
      <w:sdt>
        <w:sdtPr>
          <w:rPr>
            <w:rFonts w:ascii="Calibri" w:hAnsi="Calibri" w:cs="Calibri"/>
            <w:color w:val="000000"/>
            <w:sz w:val="24"/>
            <w:szCs w:val="24"/>
          </w:rPr>
          <w:id w:val="1879743357"/>
          <w:citation/>
        </w:sdtPr>
        <w:sdtEndPr/>
        <w:sdtContent>
          <w:r w:rsidR="0025139A">
            <w:rPr>
              <w:rFonts w:ascii="Calibri" w:hAnsi="Calibri" w:cs="Calibri"/>
              <w:color w:val="000000"/>
              <w:sz w:val="24"/>
              <w:szCs w:val="24"/>
            </w:rPr>
            <w:fldChar w:fldCharType="begin"/>
          </w:r>
          <w:r w:rsidR="0025139A">
            <w:rPr>
              <w:rFonts w:ascii="Calibri" w:hAnsi="Calibri" w:cs="Calibri"/>
              <w:color w:val="000000"/>
              <w:sz w:val="24"/>
              <w:szCs w:val="24"/>
            </w:rPr>
            <w:instrText xml:space="preserve"> CITATION pan26 \l 2057 </w:instrText>
          </w:r>
          <w:r w:rsidR="0025139A">
            <w:rPr>
              <w:rFonts w:ascii="Calibri" w:hAnsi="Calibri" w:cs="Calibri"/>
              <w:color w:val="000000"/>
              <w:sz w:val="24"/>
              <w:szCs w:val="24"/>
            </w:rPr>
            <w:fldChar w:fldCharType="separate"/>
          </w:r>
          <w:r w:rsidR="0025139A" w:rsidRPr="0025139A">
            <w:rPr>
              <w:rFonts w:ascii="Calibri" w:hAnsi="Calibri" w:cs="Calibri"/>
              <w:noProof/>
              <w:color w:val="000000"/>
              <w:sz w:val="24"/>
              <w:szCs w:val="24"/>
            </w:rPr>
            <w:t>[27]</w:t>
          </w:r>
          <w:r w:rsidR="0025139A">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provides the tabular integration, aggregation and vectorised normalisation that underpin the scoring engine; Flask </w:t>
      </w:r>
      <w:sdt>
        <w:sdtPr>
          <w:rPr>
            <w:rFonts w:ascii="Calibri" w:hAnsi="Calibri" w:cs="Calibri"/>
            <w:color w:val="000000"/>
            <w:sz w:val="24"/>
            <w:szCs w:val="24"/>
          </w:rPr>
          <w:id w:val="-990643033"/>
          <w:citation/>
        </w:sdtPr>
        <w:sdtEndPr/>
        <w:sdtContent>
          <w:r w:rsidR="009612BE">
            <w:rPr>
              <w:rFonts w:ascii="Calibri" w:hAnsi="Calibri" w:cs="Calibri"/>
              <w:color w:val="000000"/>
              <w:sz w:val="24"/>
              <w:szCs w:val="24"/>
            </w:rPr>
            <w:fldChar w:fldCharType="begin"/>
          </w:r>
          <w:r w:rsidR="009612BE">
            <w:rPr>
              <w:rFonts w:ascii="Calibri" w:hAnsi="Calibri" w:cs="Calibri"/>
              <w:color w:val="000000"/>
              <w:sz w:val="24"/>
              <w:szCs w:val="24"/>
            </w:rPr>
            <w:instrText xml:space="preserve">CITATION Pal26 \l 2057 </w:instrText>
          </w:r>
          <w:r w:rsidR="009612BE">
            <w:rPr>
              <w:rFonts w:ascii="Calibri" w:hAnsi="Calibri" w:cs="Calibri"/>
              <w:color w:val="000000"/>
              <w:sz w:val="24"/>
              <w:szCs w:val="24"/>
            </w:rPr>
            <w:fldChar w:fldCharType="separate"/>
          </w:r>
          <w:r w:rsidR="009612BE" w:rsidRPr="009612BE">
            <w:rPr>
              <w:rFonts w:ascii="Calibri" w:hAnsi="Calibri" w:cs="Calibri"/>
              <w:noProof/>
              <w:color w:val="000000"/>
              <w:sz w:val="24"/>
              <w:szCs w:val="24"/>
            </w:rPr>
            <w:t>[28]</w:t>
          </w:r>
          <w:r w:rsidR="009612BE">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provides a lightweight, server-rendered web framework appropriate for a single-user prototype; and SQLite </w:t>
      </w:r>
      <w:sdt>
        <w:sdtPr>
          <w:rPr>
            <w:rFonts w:ascii="Calibri" w:hAnsi="Calibri" w:cs="Calibri"/>
            <w:color w:val="000000"/>
            <w:sz w:val="24"/>
            <w:szCs w:val="24"/>
          </w:rPr>
          <w:id w:val="1816375286"/>
          <w:citation/>
        </w:sdtPr>
        <w:sdtEndPr/>
        <w:sdtContent>
          <w:r w:rsidR="002026AD">
            <w:rPr>
              <w:rFonts w:ascii="Calibri" w:hAnsi="Calibri" w:cs="Calibri"/>
              <w:color w:val="000000"/>
              <w:sz w:val="24"/>
              <w:szCs w:val="24"/>
            </w:rPr>
            <w:fldChar w:fldCharType="begin"/>
          </w:r>
          <w:r w:rsidR="002026AD">
            <w:rPr>
              <w:rFonts w:ascii="Calibri" w:hAnsi="Calibri" w:cs="Calibri"/>
              <w:color w:val="000000"/>
              <w:sz w:val="24"/>
              <w:szCs w:val="24"/>
            </w:rPr>
            <w:instrText xml:space="preserve"> CITATION SQL25 \l 2057 </w:instrText>
          </w:r>
          <w:r w:rsidR="002026AD">
            <w:rPr>
              <w:rFonts w:ascii="Calibri" w:hAnsi="Calibri" w:cs="Calibri"/>
              <w:color w:val="000000"/>
              <w:sz w:val="24"/>
              <w:szCs w:val="24"/>
            </w:rPr>
            <w:fldChar w:fldCharType="separate"/>
          </w:r>
          <w:r w:rsidR="002026AD" w:rsidRPr="002026AD">
            <w:rPr>
              <w:rFonts w:ascii="Calibri" w:hAnsi="Calibri" w:cs="Calibri"/>
              <w:noProof/>
              <w:color w:val="000000"/>
              <w:sz w:val="24"/>
              <w:szCs w:val="24"/>
            </w:rPr>
            <w:t>[29]</w:t>
          </w:r>
          <w:r w:rsidR="002026AD">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provides a portable, serverless, transactionally safe persistence layer that removes the operational overhead of a client-server database while still enforcing referential and value integrity through declared constraints. The suitability of each of these choices for a local, explainable prototype is discussed further in Chapter 3.</w:t>
      </w:r>
    </w:p>
    <w:p w14:paraId="223D1AD4" w14:textId="77777777" w:rsidR="00BA2B53" w:rsidRPr="00540A1F" w:rsidRDefault="00116450">
      <w:pPr>
        <w:pStyle w:val="Heading2"/>
        <w:spacing w:before="300" w:after="160"/>
        <w:rPr>
          <w:rFonts w:ascii="Calibri" w:hAnsi="Calibri" w:cs="Calibri"/>
          <w:sz w:val="27"/>
          <w:szCs w:val="27"/>
        </w:rPr>
      </w:pPr>
      <w:bookmarkStart w:id="15" w:name="_Toc237246551"/>
      <w:r w:rsidRPr="00540A1F">
        <w:rPr>
          <w:rFonts w:ascii="Calibri" w:hAnsi="Calibri" w:cs="Calibri"/>
          <w:bCs/>
          <w:sz w:val="27"/>
          <w:szCs w:val="27"/>
        </w:rPr>
        <w:t>2.7 Positioning of MDSS</w:t>
      </w:r>
      <w:bookmarkEnd w:id="15"/>
    </w:p>
    <w:p w14:paraId="223D1AD5" w14:textId="7A4295E9"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Taken together, the literature identifies four strands that MDSS combines rather than treating independently.</w:t>
      </w:r>
      <w:r w:rsidR="00653F3C">
        <w:rPr>
          <w:rFonts w:ascii="Calibri" w:hAnsi="Calibri" w:cs="Calibri"/>
          <w:color w:val="000000"/>
          <w:sz w:val="24"/>
          <w:szCs w:val="24"/>
        </w:rPr>
        <w:t xml:space="preserve"> </w:t>
      </w:r>
      <w:r w:rsidR="00653F3C" w:rsidRPr="00653F3C">
        <w:rPr>
          <w:rFonts w:ascii="Calibri" w:hAnsi="Calibri" w:cs="Calibri"/>
          <w:color w:val="000000"/>
          <w:sz w:val="24"/>
          <w:szCs w:val="24"/>
        </w:rPr>
        <w:t xml:space="preserve">MCDM research provides transparent techniques for combining heterogeneous criteria </w:t>
      </w:r>
      <w:sdt>
        <w:sdtPr>
          <w:rPr>
            <w:rFonts w:ascii="Calibri" w:hAnsi="Calibri" w:cs="Calibri"/>
            <w:color w:val="000000"/>
            <w:sz w:val="24"/>
            <w:szCs w:val="24"/>
          </w:rPr>
          <w:id w:val="1944727332"/>
          <w:citation/>
        </w:sdtPr>
        <w:sdtEndPr/>
        <w:sdtContent>
          <w:r w:rsidR="009C2A78">
            <w:rPr>
              <w:rFonts w:ascii="Calibri" w:hAnsi="Calibri" w:cs="Calibri"/>
              <w:color w:val="000000"/>
              <w:sz w:val="24"/>
              <w:szCs w:val="24"/>
            </w:rPr>
            <w:fldChar w:fldCharType="begin"/>
          </w:r>
          <w:r w:rsidR="009C2A78">
            <w:rPr>
              <w:rFonts w:ascii="Calibri" w:hAnsi="Calibri" w:cs="Calibri"/>
              <w:color w:val="000000"/>
              <w:sz w:val="24"/>
              <w:szCs w:val="24"/>
            </w:rPr>
            <w:instrText xml:space="preserve"> CITATION Ign16 \l 2057 </w:instrText>
          </w:r>
          <w:r w:rsidR="009C2A78">
            <w:rPr>
              <w:rFonts w:ascii="Calibri" w:hAnsi="Calibri" w:cs="Calibri"/>
              <w:color w:val="000000"/>
              <w:sz w:val="24"/>
              <w:szCs w:val="24"/>
            </w:rPr>
            <w:fldChar w:fldCharType="separate"/>
          </w:r>
          <w:r w:rsidR="009C2A78" w:rsidRPr="009C2A78">
            <w:rPr>
              <w:rFonts w:ascii="Calibri" w:hAnsi="Calibri" w:cs="Calibri"/>
              <w:noProof/>
              <w:color w:val="000000"/>
              <w:sz w:val="24"/>
              <w:szCs w:val="24"/>
            </w:rPr>
            <w:t>[10]</w:t>
          </w:r>
          <w:r w:rsidR="009C2A78">
            <w:rPr>
              <w:rFonts w:ascii="Calibri" w:hAnsi="Calibri" w:cs="Calibri"/>
              <w:color w:val="000000"/>
              <w:sz w:val="24"/>
              <w:szCs w:val="24"/>
            </w:rPr>
            <w:fldChar w:fldCharType="end"/>
          </w:r>
        </w:sdtContent>
      </w:sdt>
      <w:r w:rsidR="00653F3C" w:rsidRPr="00653F3C">
        <w:rPr>
          <w:rFonts w:ascii="Calibri" w:hAnsi="Calibri" w:cs="Calibri"/>
          <w:color w:val="000000"/>
          <w:sz w:val="24"/>
          <w:szCs w:val="24"/>
        </w:rPr>
        <w:t xml:space="preserve">, </w:t>
      </w:r>
      <w:sdt>
        <w:sdtPr>
          <w:rPr>
            <w:rFonts w:ascii="Calibri" w:hAnsi="Calibri" w:cs="Calibri"/>
            <w:color w:val="000000"/>
            <w:sz w:val="24"/>
            <w:szCs w:val="24"/>
          </w:rPr>
          <w:id w:val="1180691854"/>
          <w:citation/>
        </w:sdtPr>
        <w:sdtEndPr/>
        <w:sdtContent>
          <w:r w:rsidR="00F23A1A">
            <w:rPr>
              <w:rFonts w:ascii="Calibri" w:hAnsi="Calibri" w:cs="Calibri"/>
              <w:color w:val="000000"/>
              <w:sz w:val="24"/>
              <w:szCs w:val="24"/>
            </w:rPr>
            <w:fldChar w:fldCharType="begin"/>
          </w:r>
          <w:r w:rsidR="00F23A1A">
            <w:rPr>
              <w:rFonts w:ascii="Calibri" w:hAnsi="Calibri" w:cs="Calibri"/>
              <w:color w:val="000000"/>
              <w:sz w:val="24"/>
              <w:szCs w:val="24"/>
            </w:rPr>
            <w:instrText xml:space="preserve"> CITATION Naz18 \l 2057 </w:instrText>
          </w:r>
          <w:r w:rsidR="00F23A1A">
            <w:rPr>
              <w:rFonts w:ascii="Calibri" w:hAnsi="Calibri" w:cs="Calibri"/>
              <w:color w:val="000000"/>
              <w:sz w:val="24"/>
              <w:szCs w:val="24"/>
            </w:rPr>
            <w:fldChar w:fldCharType="separate"/>
          </w:r>
          <w:r w:rsidR="00F23A1A" w:rsidRPr="00F23A1A">
            <w:rPr>
              <w:rFonts w:ascii="Calibri" w:hAnsi="Calibri" w:cs="Calibri"/>
              <w:noProof/>
              <w:color w:val="000000"/>
              <w:sz w:val="24"/>
              <w:szCs w:val="24"/>
            </w:rPr>
            <w:t>[11]</w:t>
          </w:r>
          <w:r w:rsidR="00F23A1A">
            <w:rPr>
              <w:rFonts w:ascii="Calibri" w:hAnsi="Calibri" w:cs="Calibri"/>
              <w:color w:val="000000"/>
              <w:sz w:val="24"/>
              <w:szCs w:val="24"/>
            </w:rPr>
            <w:fldChar w:fldCharType="end"/>
          </w:r>
        </w:sdtContent>
      </w:sdt>
      <w:r w:rsidR="00653F3C" w:rsidRPr="00653F3C">
        <w:rPr>
          <w:rFonts w:ascii="Calibri" w:hAnsi="Calibri" w:cs="Calibri"/>
          <w:color w:val="000000"/>
          <w:sz w:val="24"/>
          <w:szCs w:val="24"/>
        </w:rPr>
        <w:t xml:space="preserve">. Sensitivity analysis is particularly important when rankings depend on criterion weights </w:t>
      </w:r>
      <w:sdt>
        <w:sdtPr>
          <w:rPr>
            <w:rFonts w:ascii="Calibri" w:hAnsi="Calibri" w:cs="Calibri"/>
            <w:color w:val="000000"/>
            <w:sz w:val="24"/>
            <w:szCs w:val="24"/>
          </w:rPr>
          <w:id w:val="74252095"/>
          <w:citation/>
        </w:sdtPr>
        <w:sdtEndPr/>
        <w:sdtContent>
          <w:r w:rsidR="00AE1590">
            <w:rPr>
              <w:rFonts w:ascii="Calibri" w:hAnsi="Calibri" w:cs="Calibri"/>
              <w:color w:val="000000"/>
              <w:sz w:val="24"/>
              <w:szCs w:val="24"/>
            </w:rPr>
            <w:fldChar w:fldCharType="begin"/>
          </w:r>
          <w:r w:rsidR="00AE1590">
            <w:rPr>
              <w:rFonts w:ascii="Calibri" w:hAnsi="Calibri" w:cs="Calibri"/>
              <w:color w:val="000000"/>
              <w:sz w:val="24"/>
              <w:szCs w:val="24"/>
            </w:rPr>
            <w:instrText xml:space="preserve"> CITATION Eva97 \l 2057 </w:instrText>
          </w:r>
          <w:r w:rsidR="00AE1590">
            <w:rPr>
              <w:rFonts w:ascii="Calibri" w:hAnsi="Calibri" w:cs="Calibri"/>
              <w:color w:val="000000"/>
              <w:sz w:val="24"/>
              <w:szCs w:val="24"/>
            </w:rPr>
            <w:fldChar w:fldCharType="separate"/>
          </w:r>
          <w:r w:rsidR="00AE1590" w:rsidRPr="00AE1590">
            <w:rPr>
              <w:rFonts w:ascii="Calibri" w:hAnsi="Calibri" w:cs="Calibri"/>
              <w:noProof/>
              <w:color w:val="000000"/>
              <w:sz w:val="24"/>
              <w:szCs w:val="24"/>
            </w:rPr>
            <w:t>[12]</w:t>
          </w:r>
          <w:r w:rsidR="00AE1590">
            <w:rPr>
              <w:rFonts w:ascii="Calibri" w:hAnsi="Calibri" w:cs="Calibri"/>
              <w:color w:val="000000"/>
              <w:sz w:val="24"/>
              <w:szCs w:val="24"/>
            </w:rPr>
            <w:fldChar w:fldCharType="end"/>
          </w:r>
        </w:sdtContent>
      </w:sdt>
      <w:r w:rsidR="00653F3C" w:rsidRPr="00653F3C">
        <w:rPr>
          <w:rFonts w:ascii="Calibri" w:hAnsi="Calibri" w:cs="Calibri"/>
          <w:color w:val="000000"/>
          <w:sz w:val="24"/>
          <w:szCs w:val="24"/>
        </w:rPr>
        <w:t>.</w:t>
      </w:r>
      <w:r w:rsidR="00653F3C">
        <w:rPr>
          <w:rFonts w:ascii="Calibri" w:hAnsi="Calibri" w:cs="Calibri"/>
          <w:color w:val="000000"/>
          <w:sz w:val="24"/>
          <w:szCs w:val="24"/>
        </w:rPr>
        <w:t xml:space="preserve"> </w:t>
      </w:r>
      <w:r w:rsidRPr="00E27B76">
        <w:rPr>
          <w:rFonts w:ascii="Calibri" w:hAnsi="Calibri" w:cs="Calibri"/>
          <w:color w:val="000000"/>
          <w:sz w:val="24"/>
          <w:szCs w:val="24"/>
        </w:rPr>
        <w:t xml:space="preserve">Explanation research shows why access to reasons can improve intelligibility compared with a bare output </w:t>
      </w:r>
      <w:sdt>
        <w:sdtPr>
          <w:rPr>
            <w:rFonts w:ascii="Calibri" w:hAnsi="Calibri" w:cs="Calibri"/>
            <w:color w:val="000000"/>
            <w:sz w:val="24"/>
            <w:szCs w:val="24"/>
          </w:rPr>
          <w:id w:val="1116494616"/>
          <w:citation/>
        </w:sdtPr>
        <w:sdtEndPr/>
        <w:sdtContent>
          <w:r w:rsidR="00E93660">
            <w:rPr>
              <w:rFonts w:ascii="Calibri" w:hAnsi="Calibri" w:cs="Calibri"/>
              <w:color w:val="000000"/>
              <w:sz w:val="24"/>
              <w:szCs w:val="24"/>
            </w:rPr>
            <w:fldChar w:fldCharType="begin"/>
          </w:r>
          <w:r w:rsidR="00E93660">
            <w:rPr>
              <w:rFonts w:ascii="Calibri" w:hAnsi="Calibri" w:cs="Calibri"/>
              <w:color w:val="000000"/>
              <w:sz w:val="24"/>
              <w:szCs w:val="24"/>
            </w:rPr>
            <w:instrText xml:space="preserve"> CITATION Shi99 \l 2057 </w:instrText>
          </w:r>
          <w:r w:rsidR="00E93660">
            <w:rPr>
              <w:rFonts w:ascii="Calibri" w:hAnsi="Calibri" w:cs="Calibri"/>
              <w:color w:val="000000"/>
              <w:sz w:val="24"/>
              <w:szCs w:val="24"/>
            </w:rPr>
            <w:fldChar w:fldCharType="separate"/>
          </w:r>
          <w:r w:rsidR="00E93660" w:rsidRPr="00E93660">
            <w:rPr>
              <w:rFonts w:ascii="Calibri" w:hAnsi="Calibri" w:cs="Calibri"/>
              <w:noProof/>
              <w:color w:val="000000"/>
              <w:sz w:val="24"/>
              <w:szCs w:val="24"/>
            </w:rPr>
            <w:t>[13]</w:t>
          </w:r>
          <w:r w:rsidR="00E93660">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t>
      </w:r>
      <w:sdt>
        <w:sdtPr>
          <w:rPr>
            <w:rFonts w:ascii="Calibri" w:hAnsi="Calibri" w:cs="Calibri"/>
            <w:color w:val="000000"/>
            <w:sz w:val="24"/>
            <w:szCs w:val="24"/>
          </w:rPr>
          <w:id w:val="1109161885"/>
          <w:citation/>
        </w:sdtPr>
        <w:sdtEndPr/>
        <w:sdtContent>
          <w:r w:rsidR="00FA314F">
            <w:rPr>
              <w:rFonts w:ascii="Calibri" w:hAnsi="Calibri" w:cs="Calibri"/>
              <w:color w:val="000000"/>
              <w:sz w:val="24"/>
              <w:szCs w:val="24"/>
            </w:rPr>
            <w:fldChar w:fldCharType="begin"/>
          </w:r>
          <w:r w:rsidR="00FA314F">
            <w:rPr>
              <w:rFonts w:ascii="Calibri" w:hAnsi="Calibri" w:cs="Calibri"/>
              <w:color w:val="000000"/>
              <w:sz w:val="24"/>
              <w:szCs w:val="24"/>
            </w:rPr>
            <w:instrText xml:space="preserve"> CITATION Bri09 \l 2057 </w:instrText>
          </w:r>
          <w:r w:rsidR="00FA314F">
            <w:rPr>
              <w:rFonts w:ascii="Calibri" w:hAnsi="Calibri" w:cs="Calibri"/>
              <w:color w:val="000000"/>
              <w:sz w:val="24"/>
              <w:szCs w:val="24"/>
            </w:rPr>
            <w:fldChar w:fldCharType="separate"/>
          </w:r>
          <w:r w:rsidR="00FA314F" w:rsidRPr="00FA314F">
            <w:rPr>
              <w:rFonts w:ascii="Calibri" w:hAnsi="Calibri" w:cs="Calibri"/>
              <w:noProof/>
              <w:color w:val="000000"/>
              <w:sz w:val="24"/>
              <w:szCs w:val="24"/>
            </w:rPr>
            <w:t>[14]</w:t>
          </w:r>
          <w:r w:rsidR="00FA314F">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while rule-based DSS literature provides a structured design vocabulary for explicit conditions </w:t>
      </w:r>
      <w:sdt>
        <w:sdtPr>
          <w:rPr>
            <w:rFonts w:ascii="Calibri" w:hAnsi="Calibri" w:cs="Calibri"/>
            <w:color w:val="000000"/>
            <w:sz w:val="24"/>
            <w:szCs w:val="24"/>
          </w:rPr>
          <w:id w:val="1760720303"/>
          <w:citation/>
        </w:sdtPr>
        <w:sdtEndPr/>
        <w:sdtContent>
          <w:r w:rsidR="00842B67">
            <w:rPr>
              <w:rFonts w:ascii="Calibri" w:hAnsi="Calibri" w:cs="Calibri"/>
              <w:color w:val="000000"/>
              <w:sz w:val="24"/>
              <w:szCs w:val="24"/>
            </w:rPr>
            <w:fldChar w:fldCharType="begin"/>
          </w:r>
          <w:r w:rsidR="00842B67">
            <w:rPr>
              <w:rFonts w:ascii="Calibri" w:hAnsi="Calibri" w:cs="Calibri"/>
              <w:color w:val="000000"/>
              <w:sz w:val="24"/>
              <w:szCs w:val="24"/>
            </w:rPr>
            <w:instrText xml:space="preserve"> CITATION Eir26 \l 2057 </w:instrText>
          </w:r>
          <w:r w:rsidR="00842B67">
            <w:rPr>
              <w:rFonts w:ascii="Calibri" w:hAnsi="Calibri" w:cs="Calibri"/>
              <w:color w:val="000000"/>
              <w:sz w:val="24"/>
              <w:szCs w:val="24"/>
            </w:rPr>
            <w:fldChar w:fldCharType="separate"/>
          </w:r>
          <w:r w:rsidR="00842B67" w:rsidRPr="00842B67">
            <w:rPr>
              <w:rFonts w:ascii="Calibri" w:hAnsi="Calibri" w:cs="Calibri"/>
              <w:noProof/>
              <w:color w:val="000000"/>
              <w:sz w:val="24"/>
              <w:szCs w:val="24"/>
            </w:rPr>
            <w:t>[15]</w:t>
          </w:r>
          <w:r w:rsidR="00842B67">
            <w:rPr>
              <w:rFonts w:ascii="Calibri" w:hAnsi="Calibri" w:cs="Calibri"/>
              <w:color w:val="000000"/>
              <w:sz w:val="24"/>
              <w:szCs w:val="24"/>
            </w:rPr>
            <w:fldChar w:fldCharType="end"/>
          </w:r>
        </w:sdtContent>
      </w:sdt>
      <w:r w:rsidRPr="00E27B76">
        <w:rPr>
          <w:rFonts w:ascii="Calibri" w:hAnsi="Calibri" w:cs="Calibri"/>
          <w:color w:val="000000"/>
          <w:sz w:val="24"/>
          <w:szCs w:val="24"/>
        </w:rPr>
        <w:t xml:space="preserve">. </w:t>
      </w:r>
      <w:r w:rsidR="005F66BA" w:rsidRPr="005F66BA">
        <w:rPr>
          <w:rFonts w:ascii="Calibri" w:hAnsi="Calibri" w:cs="Calibri"/>
          <w:color w:val="000000"/>
          <w:sz w:val="24"/>
          <w:szCs w:val="24"/>
        </w:rPr>
        <w:t xml:space="preserve">Retail research shows that merchandising decisions involve interacting assortment, replenishment and markdown considerations </w:t>
      </w:r>
      <w:sdt>
        <w:sdtPr>
          <w:rPr>
            <w:rFonts w:ascii="Calibri" w:hAnsi="Calibri" w:cs="Calibri"/>
            <w:color w:val="000000"/>
            <w:sz w:val="24"/>
            <w:szCs w:val="24"/>
          </w:rPr>
          <w:id w:val="-1393116475"/>
          <w:citation/>
        </w:sdtPr>
        <w:sdtEndPr/>
        <w:sdtContent>
          <w:r w:rsidR="00A3786A">
            <w:rPr>
              <w:rFonts w:ascii="Calibri" w:hAnsi="Calibri" w:cs="Calibri"/>
              <w:color w:val="000000"/>
              <w:sz w:val="24"/>
              <w:szCs w:val="24"/>
            </w:rPr>
            <w:fldChar w:fldCharType="begin"/>
          </w:r>
          <w:r w:rsidR="00A3786A">
            <w:rPr>
              <w:rFonts w:ascii="Calibri" w:hAnsi="Calibri" w:cs="Calibri"/>
              <w:color w:val="000000"/>
              <w:sz w:val="24"/>
              <w:szCs w:val="24"/>
            </w:rPr>
            <w:instrText xml:space="preserve"> CITATION Ale24 \l 2057 </w:instrText>
          </w:r>
          <w:r w:rsidR="00A3786A">
            <w:rPr>
              <w:rFonts w:ascii="Calibri" w:hAnsi="Calibri" w:cs="Calibri"/>
              <w:color w:val="000000"/>
              <w:sz w:val="24"/>
              <w:szCs w:val="24"/>
            </w:rPr>
            <w:fldChar w:fldCharType="separate"/>
          </w:r>
          <w:r w:rsidR="00A3786A" w:rsidRPr="00A3786A">
            <w:rPr>
              <w:rFonts w:ascii="Calibri" w:hAnsi="Calibri" w:cs="Calibri"/>
              <w:noProof/>
              <w:color w:val="000000"/>
              <w:sz w:val="24"/>
              <w:szCs w:val="24"/>
            </w:rPr>
            <w:t>[17]</w:t>
          </w:r>
          <w:r w:rsidR="00A3786A">
            <w:rPr>
              <w:rFonts w:ascii="Calibri" w:hAnsi="Calibri" w:cs="Calibri"/>
              <w:color w:val="000000"/>
              <w:sz w:val="24"/>
              <w:szCs w:val="24"/>
            </w:rPr>
            <w:fldChar w:fldCharType="end"/>
          </w:r>
        </w:sdtContent>
      </w:sdt>
      <w:r w:rsidR="005F66BA" w:rsidRPr="005F66BA">
        <w:rPr>
          <w:rFonts w:ascii="Calibri" w:hAnsi="Calibri" w:cs="Calibri"/>
          <w:color w:val="000000"/>
          <w:sz w:val="24"/>
          <w:szCs w:val="24"/>
        </w:rPr>
        <w:t xml:space="preserve">. Product returns </w:t>
      </w:r>
      <w:r w:rsidR="005F66BA" w:rsidRPr="005F66BA">
        <w:rPr>
          <w:rFonts w:ascii="Calibri" w:hAnsi="Calibri" w:cs="Calibri"/>
          <w:color w:val="000000"/>
          <w:sz w:val="24"/>
          <w:szCs w:val="24"/>
        </w:rPr>
        <w:lastRenderedPageBreak/>
        <w:t xml:space="preserve">represent an additional operational decision problem </w:t>
      </w:r>
      <w:sdt>
        <w:sdtPr>
          <w:rPr>
            <w:rFonts w:ascii="Calibri" w:hAnsi="Calibri" w:cs="Calibri"/>
            <w:color w:val="000000"/>
            <w:sz w:val="24"/>
            <w:szCs w:val="24"/>
          </w:rPr>
          <w:id w:val="1611850564"/>
          <w:citation/>
        </w:sdtPr>
        <w:sdtEndPr/>
        <w:sdtContent>
          <w:r w:rsidR="00171832">
            <w:rPr>
              <w:rFonts w:ascii="Calibri" w:hAnsi="Calibri" w:cs="Calibri"/>
              <w:color w:val="000000"/>
              <w:sz w:val="24"/>
              <w:szCs w:val="24"/>
            </w:rPr>
            <w:fldChar w:fldCharType="begin"/>
          </w:r>
          <w:r w:rsidR="00171832">
            <w:rPr>
              <w:rFonts w:ascii="Calibri" w:hAnsi="Calibri" w:cs="Calibri"/>
              <w:color w:val="000000"/>
              <w:sz w:val="24"/>
              <w:szCs w:val="24"/>
            </w:rPr>
            <w:instrText xml:space="preserve"> CITATION Pra21 \l 2057 </w:instrText>
          </w:r>
          <w:r w:rsidR="00171832">
            <w:rPr>
              <w:rFonts w:ascii="Calibri" w:hAnsi="Calibri" w:cs="Calibri"/>
              <w:color w:val="000000"/>
              <w:sz w:val="24"/>
              <w:szCs w:val="24"/>
            </w:rPr>
            <w:fldChar w:fldCharType="separate"/>
          </w:r>
          <w:r w:rsidR="00171832" w:rsidRPr="00171832">
            <w:rPr>
              <w:rFonts w:ascii="Calibri" w:hAnsi="Calibri" w:cs="Calibri"/>
              <w:noProof/>
              <w:color w:val="000000"/>
              <w:sz w:val="24"/>
              <w:szCs w:val="24"/>
            </w:rPr>
            <w:t>[20]</w:t>
          </w:r>
          <w:r w:rsidR="00171832">
            <w:rPr>
              <w:rFonts w:ascii="Calibri" w:hAnsi="Calibri" w:cs="Calibri"/>
              <w:color w:val="000000"/>
              <w:sz w:val="24"/>
              <w:szCs w:val="24"/>
            </w:rPr>
            <w:fldChar w:fldCharType="end"/>
          </w:r>
        </w:sdtContent>
      </w:sdt>
      <w:r w:rsidR="005F66BA" w:rsidRPr="005F66BA">
        <w:rPr>
          <w:rFonts w:ascii="Calibri" w:hAnsi="Calibri" w:cs="Calibri"/>
          <w:color w:val="000000"/>
          <w:sz w:val="24"/>
          <w:szCs w:val="24"/>
        </w:rPr>
        <w:t xml:space="preserve">. Digital behavioural evidence provides another input to commercial decision-making </w:t>
      </w:r>
      <w:sdt>
        <w:sdtPr>
          <w:rPr>
            <w:rFonts w:ascii="Calibri" w:hAnsi="Calibri" w:cs="Calibri"/>
            <w:color w:val="000000"/>
            <w:sz w:val="24"/>
            <w:szCs w:val="24"/>
          </w:rPr>
          <w:id w:val="-1860194619"/>
          <w:citation/>
        </w:sdtPr>
        <w:sdtEndPr/>
        <w:sdtContent>
          <w:r w:rsidR="003E24FA">
            <w:rPr>
              <w:rFonts w:ascii="Calibri" w:hAnsi="Calibri" w:cs="Calibri"/>
              <w:color w:val="000000"/>
              <w:sz w:val="24"/>
              <w:szCs w:val="24"/>
            </w:rPr>
            <w:fldChar w:fldCharType="begin"/>
          </w:r>
          <w:r w:rsidR="003E24FA">
            <w:rPr>
              <w:rFonts w:ascii="Calibri" w:hAnsi="Calibri" w:cs="Calibri"/>
              <w:color w:val="000000"/>
              <w:sz w:val="24"/>
              <w:szCs w:val="24"/>
            </w:rPr>
            <w:instrText xml:space="preserve"> CITATION Mic16 \l 2057 </w:instrText>
          </w:r>
          <w:r w:rsidR="003E24FA">
            <w:rPr>
              <w:rFonts w:ascii="Calibri" w:hAnsi="Calibri" w:cs="Calibri"/>
              <w:color w:val="000000"/>
              <w:sz w:val="24"/>
              <w:szCs w:val="24"/>
            </w:rPr>
            <w:fldChar w:fldCharType="separate"/>
          </w:r>
          <w:r w:rsidR="003E24FA" w:rsidRPr="003E24FA">
            <w:rPr>
              <w:rFonts w:ascii="Calibri" w:hAnsi="Calibri" w:cs="Calibri"/>
              <w:noProof/>
              <w:color w:val="000000"/>
              <w:sz w:val="24"/>
              <w:szCs w:val="24"/>
            </w:rPr>
            <w:t>[23]</w:t>
          </w:r>
          <w:r w:rsidR="003E24FA">
            <w:rPr>
              <w:rFonts w:ascii="Calibri" w:hAnsi="Calibri" w:cs="Calibri"/>
              <w:color w:val="000000"/>
              <w:sz w:val="24"/>
              <w:szCs w:val="24"/>
            </w:rPr>
            <w:fldChar w:fldCharType="end"/>
          </w:r>
        </w:sdtContent>
      </w:sdt>
      <w:r w:rsidR="005F66BA" w:rsidRPr="005F66BA">
        <w:rPr>
          <w:rFonts w:ascii="Calibri" w:hAnsi="Calibri" w:cs="Calibri"/>
          <w:color w:val="000000"/>
          <w:sz w:val="24"/>
          <w:szCs w:val="24"/>
        </w:rPr>
        <w:t xml:space="preserve">, </w:t>
      </w:r>
      <w:sdt>
        <w:sdtPr>
          <w:rPr>
            <w:rFonts w:ascii="Calibri" w:hAnsi="Calibri" w:cs="Calibri"/>
            <w:color w:val="000000"/>
            <w:sz w:val="24"/>
            <w:szCs w:val="24"/>
          </w:rPr>
          <w:id w:val="1984577998"/>
          <w:citation/>
        </w:sdtPr>
        <w:sdtEndPr/>
        <w:sdtContent>
          <w:r w:rsidR="006B3121">
            <w:rPr>
              <w:rFonts w:ascii="Calibri" w:hAnsi="Calibri" w:cs="Calibri"/>
              <w:color w:val="000000"/>
              <w:sz w:val="24"/>
              <w:szCs w:val="24"/>
            </w:rPr>
            <w:fldChar w:fldCharType="begin"/>
          </w:r>
          <w:r w:rsidR="006B3121">
            <w:rPr>
              <w:rFonts w:ascii="Calibri" w:hAnsi="Calibri" w:cs="Calibri"/>
              <w:color w:val="000000"/>
              <w:sz w:val="24"/>
              <w:szCs w:val="24"/>
            </w:rPr>
            <w:instrText xml:space="preserve"> CITATION PKK17 \l 2057 </w:instrText>
          </w:r>
          <w:r w:rsidR="006B3121">
            <w:rPr>
              <w:rFonts w:ascii="Calibri" w:hAnsi="Calibri" w:cs="Calibri"/>
              <w:color w:val="000000"/>
              <w:sz w:val="24"/>
              <w:szCs w:val="24"/>
            </w:rPr>
            <w:fldChar w:fldCharType="separate"/>
          </w:r>
          <w:r w:rsidR="006B3121" w:rsidRPr="006B3121">
            <w:rPr>
              <w:rFonts w:ascii="Calibri" w:hAnsi="Calibri" w:cs="Calibri"/>
              <w:noProof/>
              <w:color w:val="000000"/>
              <w:sz w:val="24"/>
              <w:szCs w:val="24"/>
            </w:rPr>
            <w:t>[24]</w:t>
          </w:r>
          <w:r w:rsidR="006B3121">
            <w:rPr>
              <w:rFonts w:ascii="Calibri" w:hAnsi="Calibri" w:cs="Calibri"/>
              <w:color w:val="000000"/>
              <w:sz w:val="24"/>
              <w:szCs w:val="24"/>
            </w:rPr>
            <w:fldChar w:fldCharType="end"/>
          </w:r>
        </w:sdtContent>
      </w:sdt>
      <w:r w:rsidR="005F66BA" w:rsidRPr="005F66BA">
        <w:rPr>
          <w:rFonts w:ascii="Calibri" w:hAnsi="Calibri" w:cs="Calibri"/>
          <w:color w:val="000000"/>
          <w:sz w:val="24"/>
          <w:szCs w:val="24"/>
        </w:rPr>
        <w:t>.</w:t>
      </w:r>
      <w:r w:rsidR="005F66BA">
        <w:rPr>
          <w:rFonts w:ascii="Calibri" w:hAnsi="Calibri" w:cs="Calibri"/>
          <w:color w:val="000000"/>
          <w:sz w:val="24"/>
          <w:szCs w:val="24"/>
        </w:rPr>
        <w:t xml:space="preserve"> </w:t>
      </w:r>
      <w:r w:rsidRPr="00E27B76">
        <w:rPr>
          <w:rFonts w:ascii="Calibri" w:hAnsi="Calibri" w:cs="Calibri"/>
          <w:color w:val="000000"/>
          <w:sz w:val="24"/>
          <w:szCs w:val="24"/>
        </w:rPr>
        <w:t>MDSS translates these strands into one design: comparable product signals, a decomposable weighted rank, inspectable rules and an interface that preserves human review.</w:t>
      </w:r>
    </w:p>
    <w:p w14:paraId="223D1AD6" w14:textId="77777777" w:rsidR="00BA2B53" w:rsidRPr="00E27B76" w:rsidRDefault="00116450">
      <w:pPr>
        <w:spacing w:after="200" w:line="360" w:lineRule="auto"/>
        <w:jc w:val="both"/>
        <w:rPr>
          <w:rFonts w:ascii="Calibri" w:hAnsi="Calibri" w:cs="Calibri"/>
          <w:sz w:val="24"/>
          <w:szCs w:val="24"/>
        </w:rPr>
      </w:pPr>
      <w:r w:rsidRPr="00E27B76">
        <w:rPr>
          <w:rFonts w:ascii="Calibri" w:hAnsi="Calibri" w:cs="Calibri"/>
          <w:color w:val="000000"/>
          <w:sz w:val="24"/>
          <w:szCs w:val="24"/>
        </w:rPr>
        <w:t>The contribution is applied, not a claim that the chosen parameters are theoretically optimal. The cited literature does not prescribe min-max scaling for this dataset, the 35/20/25/20 Balanced policy, the 20% returns threshold or the 45/40/15 action-priority formula. Nor does it establish that MDSS will improve user trust or commercial outcomes. Those boundaries shape Chapter 5: the prototype is evaluated for implementation correctness and sensitivity, while calibration, user adoption and realised business value remain future naturalistic evaluation.</w:t>
      </w:r>
    </w:p>
    <w:p w14:paraId="223D1AD7" w14:textId="77777777" w:rsidR="00BA2B53" w:rsidRPr="008E4757" w:rsidRDefault="00116450">
      <w:pPr>
        <w:rPr>
          <w:rFonts w:ascii="Calibri" w:hAnsi="Calibri" w:cs="Calibri"/>
          <w:sz w:val="22"/>
          <w:szCs w:val="22"/>
        </w:rPr>
      </w:pPr>
      <w:r w:rsidRPr="008E4757">
        <w:rPr>
          <w:rFonts w:ascii="Calibri" w:hAnsi="Calibri" w:cs="Calibri"/>
          <w:color w:val="000000"/>
          <w:sz w:val="22"/>
          <w:szCs w:val="22"/>
        </w:rPr>
        <w:t>The synthesis in Table 2.1 translates the reviewed literature into design implications and, equally importantly, records what the evidence does not establish. This prevents research-informed design choices from being presented as externally validated commercial policy.</w:t>
      </w:r>
    </w:p>
    <w:tbl>
      <w:tblPr>
        <w:tblW w:w="0" w:type="auto"/>
        <w:jc w:val="center"/>
        <w:tblCellMar>
          <w:left w:w="10" w:type="dxa"/>
          <w:right w:w="10" w:type="dxa"/>
        </w:tblCellMar>
        <w:tblLook w:val="04A0" w:firstRow="1" w:lastRow="0" w:firstColumn="1" w:lastColumn="0" w:noHBand="0" w:noVBand="1"/>
      </w:tblPr>
      <w:tblGrid>
        <w:gridCol w:w="2399"/>
        <w:gridCol w:w="2398"/>
        <w:gridCol w:w="2399"/>
        <w:gridCol w:w="2399"/>
      </w:tblGrid>
      <w:tr w:rsidR="00BA2B53" w14:paraId="223D1ADC" w14:textId="77777777">
        <w:trPr>
          <w:cantSplit/>
          <w:tblHeader/>
          <w:jc w:val="center"/>
        </w:trPr>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AD8" w14:textId="77777777" w:rsidR="00BA2B53" w:rsidRPr="00120909" w:rsidRDefault="00116450">
            <w:pPr>
              <w:rPr>
                <w:rFonts w:ascii="Calibri" w:hAnsi="Calibri" w:cs="Calibri"/>
                <w:sz w:val="20"/>
                <w:szCs w:val="20"/>
              </w:rPr>
            </w:pPr>
            <w:r w:rsidRPr="00120909">
              <w:rPr>
                <w:rFonts w:ascii="Calibri" w:hAnsi="Calibri" w:cs="Calibri"/>
                <w:b/>
                <w:color w:val="000000"/>
                <w:sz w:val="20"/>
                <w:szCs w:val="20"/>
              </w:rPr>
              <w:t>Theme</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AD9" w14:textId="77777777" w:rsidR="00BA2B53" w:rsidRPr="00120909" w:rsidRDefault="00116450">
            <w:pPr>
              <w:rPr>
                <w:rFonts w:ascii="Calibri" w:hAnsi="Calibri" w:cs="Calibri"/>
                <w:sz w:val="20"/>
                <w:szCs w:val="20"/>
              </w:rPr>
            </w:pPr>
            <w:r w:rsidRPr="00120909">
              <w:rPr>
                <w:rFonts w:ascii="Calibri" w:hAnsi="Calibri" w:cs="Calibri"/>
                <w:b/>
                <w:color w:val="000000"/>
                <w:sz w:val="20"/>
                <w:szCs w:val="20"/>
              </w:rPr>
              <w:t>Research evidence</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ADA" w14:textId="77777777" w:rsidR="00BA2B53" w:rsidRPr="00120909" w:rsidRDefault="00116450">
            <w:pPr>
              <w:rPr>
                <w:rFonts w:ascii="Calibri" w:hAnsi="Calibri" w:cs="Calibri"/>
                <w:sz w:val="20"/>
                <w:szCs w:val="20"/>
              </w:rPr>
            </w:pPr>
            <w:r w:rsidRPr="00120909">
              <w:rPr>
                <w:rFonts w:ascii="Calibri" w:hAnsi="Calibri" w:cs="Calibri"/>
                <w:b/>
                <w:color w:val="000000"/>
                <w:sz w:val="20"/>
                <w:szCs w:val="20"/>
              </w:rPr>
              <w:t>MDSS design implication</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ADB" w14:textId="77777777" w:rsidR="00BA2B53" w:rsidRPr="00120909" w:rsidRDefault="00116450">
            <w:pPr>
              <w:rPr>
                <w:rFonts w:ascii="Calibri" w:hAnsi="Calibri" w:cs="Calibri"/>
                <w:sz w:val="20"/>
                <w:szCs w:val="20"/>
              </w:rPr>
            </w:pPr>
            <w:r w:rsidRPr="00120909">
              <w:rPr>
                <w:rFonts w:ascii="Calibri" w:hAnsi="Calibri" w:cs="Calibri"/>
                <w:b/>
                <w:color w:val="000000"/>
                <w:sz w:val="20"/>
                <w:szCs w:val="20"/>
              </w:rPr>
              <w:t>Boundary retained</w:t>
            </w:r>
          </w:p>
        </w:tc>
      </w:tr>
      <w:tr w:rsidR="00BA2B53" w14:paraId="223D1AE1"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DD"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DSS and dashboards</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DE" w14:textId="28DEF3C2" w:rsidR="00BA2B53" w:rsidRPr="004923E0" w:rsidRDefault="00423855">
            <w:pPr>
              <w:rPr>
                <w:rFonts w:ascii="Calibri" w:hAnsi="Calibri" w:cs="Calibri"/>
                <w:sz w:val="20"/>
                <w:szCs w:val="20"/>
              </w:rPr>
            </w:pPr>
            <w:sdt>
              <w:sdtPr>
                <w:rPr>
                  <w:rFonts w:ascii="Calibri" w:hAnsi="Calibri" w:cs="Calibri"/>
                  <w:color w:val="000000"/>
                  <w:sz w:val="20"/>
                  <w:szCs w:val="20"/>
                </w:rPr>
                <w:id w:val="2101135936"/>
                <w:citation/>
              </w:sdtPr>
              <w:sdtEndPr/>
              <w:sdtContent>
                <w:r w:rsidR="00C37C7E">
                  <w:rPr>
                    <w:rFonts w:ascii="Calibri" w:hAnsi="Calibri" w:cs="Calibri"/>
                    <w:color w:val="000000"/>
                    <w:sz w:val="20"/>
                    <w:szCs w:val="20"/>
                  </w:rPr>
                  <w:fldChar w:fldCharType="begin"/>
                </w:r>
                <w:r w:rsidR="00C37C7E">
                  <w:rPr>
                    <w:rFonts w:ascii="Calibri" w:hAnsi="Calibri" w:cs="Calibri"/>
                    <w:color w:val="000000"/>
                    <w:sz w:val="20"/>
                    <w:szCs w:val="20"/>
                  </w:rPr>
                  <w:instrText xml:space="preserve"> CITATION Phi21 \l 2057 </w:instrText>
                </w:r>
                <w:r w:rsidR="00C37C7E">
                  <w:rPr>
                    <w:rFonts w:ascii="Calibri" w:hAnsi="Calibri" w:cs="Calibri"/>
                    <w:color w:val="000000"/>
                    <w:sz w:val="20"/>
                    <w:szCs w:val="20"/>
                  </w:rPr>
                  <w:fldChar w:fldCharType="separate"/>
                </w:r>
                <w:r w:rsidR="00C37C7E" w:rsidRPr="00C37C7E">
                  <w:rPr>
                    <w:rFonts w:ascii="Calibri" w:hAnsi="Calibri" w:cs="Calibri"/>
                    <w:noProof/>
                    <w:color w:val="000000"/>
                    <w:sz w:val="20"/>
                    <w:szCs w:val="20"/>
                  </w:rPr>
                  <w:t>[4]</w:t>
                </w:r>
                <w:r w:rsidR="00C37C7E">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1765726044"/>
                <w:citation/>
              </w:sdtPr>
              <w:sdtEndPr/>
              <w:sdtContent>
                <w:r w:rsidR="00C64516">
                  <w:rPr>
                    <w:rFonts w:ascii="Calibri" w:hAnsi="Calibri" w:cs="Calibri"/>
                    <w:color w:val="000000"/>
                    <w:sz w:val="20"/>
                    <w:szCs w:val="20"/>
                  </w:rPr>
                  <w:fldChar w:fldCharType="begin"/>
                </w:r>
                <w:r w:rsidR="00C64516">
                  <w:rPr>
                    <w:rFonts w:ascii="Calibri" w:hAnsi="Calibri" w:cs="Calibri"/>
                    <w:color w:val="000000"/>
                    <w:sz w:val="20"/>
                    <w:szCs w:val="20"/>
                  </w:rPr>
                  <w:instrText xml:space="preserve"> CITATION Sar24 \l 2057 </w:instrText>
                </w:r>
                <w:r w:rsidR="00C64516">
                  <w:rPr>
                    <w:rFonts w:ascii="Calibri" w:hAnsi="Calibri" w:cs="Calibri"/>
                    <w:color w:val="000000"/>
                    <w:sz w:val="20"/>
                    <w:szCs w:val="20"/>
                  </w:rPr>
                  <w:fldChar w:fldCharType="separate"/>
                </w:r>
                <w:r w:rsidR="00C64516" w:rsidRPr="00C64516">
                  <w:rPr>
                    <w:rFonts w:ascii="Calibri" w:hAnsi="Calibri" w:cs="Calibri"/>
                    <w:noProof/>
                    <w:color w:val="000000"/>
                    <w:sz w:val="20"/>
                    <w:szCs w:val="20"/>
                  </w:rPr>
                  <w:t>[3]</w:t>
                </w:r>
                <w:r w:rsidR="00C64516">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731980168"/>
                <w:citation/>
              </w:sdtPr>
              <w:sdtEndPr/>
              <w:sdtContent>
                <w:r w:rsidR="00D37DBE">
                  <w:rPr>
                    <w:rFonts w:ascii="Calibri" w:hAnsi="Calibri" w:cs="Calibri"/>
                    <w:color w:val="000000"/>
                    <w:sz w:val="20"/>
                    <w:szCs w:val="20"/>
                  </w:rPr>
                  <w:fldChar w:fldCharType="begin"/>
                </w:r>
                <w:r w:rsidR="00D37DBE">
                  <w:rPr>
                    <w:rFonts w:ascii="Calibri" w:hAnsi="Calibri" w:cs="Calibri"/>
                    <w:color w:val="000000"/>
                    <w:sz w:val="20"/>
                    <w:szCs w:val="20"/>
                  </w:rPr>
                  <w:instrText xml:space="preserve"> CITATION Dan02 \l 2057 </w:instrText>
                </w:r>
                <w:r w:rsidR="00D37DBE">
                  <w:rPr>
                    <w:rFonts w:ascii="Calibri" w:hAnsi="Calibri" w:cs="Calibri"/>
                    <w:color w:val="000000"/>
                    <w:sz w:val="20"/>
                    <w:szCs w:val="20"/>
                  </w:rPr>
                  <w:fldChar w:fldCharType="separate"/>
                </w:r>
                <w:r w:rsidR="00D37DBE" w:rsidRPr="00D37DBE">
                  <w:rPr>
                    <w:rFonts w:ascii="Calibri" w:hAnsi="Calibri" w:cs="Calibri"/>
                    <w:noProof/>
                    <w:color w:val="000000"/>
                    <w:sz w:val="20"/>
                    <w:szCs w:val="20"/>
                  </w:rPr>
                  <w:t>[7]</w:t>
                </w:r>
                <w:r w:rsidR="00D37DBE">
                  <w:rPr>
                    <w:rFonts w:ascii="Calibri" w:hAnsi="Calibri" w:cs="Calibri"/>
                    <w:color w:val="000000"/>
                    <w:sz w:val="20"/>
                    <w:szCs w:val="20"/>
                  </w:rPr>
                  <w:fldChar w:fldCharType="end"/>
                </w:r>
              </w:sdtContent>
            </w:sdt>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DF"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Move from descriptive evidence to an inspectable action queue.</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0"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No user-adoption or decision-uplift claim.</w:t>
            </w:r>
          </w:p>
        </w:tc>
      </w:tr>
      <w:tr w:rsidR="00BA2B53" w14:paraId="223D1AE6"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2"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MCDM and sensitivity</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3" w14:textId="34F1CE0F" w:rsidR="00BA2B53" w:rsidRPr="004923E0" w:rsidRDefault="00423855">
            <w:pPr>
              <w:rPr>
                <w:rFonts w:ascii="Calibri" w:hAnsi="Calibri" w:cs="Calibri"/>
                <w:sz w:val="20"/>
                <w:szCs w:val="20"/>
              </w:rPr>
            </w:pPr>
            <w:sdt>
              <w:sdtPr>
                <w:rPr>
                  <w:rFonts w:ascii="Calibri" w:hAnsi="Calibri" w:cs="Calibri"/>
                  <w:color w:val="000000"/>
                  <w:sz w:val="20"/>
                  <w:szCs w:val="20"/>
                </w:rPr>
                <w:id w:val="-1089844630"/>
                <w:citation/>
              </w:sdtPr>
              <w:sdtEndPr/>
              <w:sdtContent>
                <w:r w:rsidR="008438F5">
                  <w:rPr>
                    <w:rFonts w:ascii="Calibri" w:hAnsi="Calibri" w:cs="Calibri"/>
                    <w:color w:val="000000"/>
                    <w:sz w:val="20"/>
                    <w:szCs w:val="20"/>
                  </w:rPr>
                  <w:fldChar w:fldCharType="begin"/>
                </w:r>
                <w:r w:rsidR="008438F5">
                  <w:rPr>
                    <w:rFonts w:ascii="Calibri" w:hAnsi="Calibri" w:cs="Calibri"/>
                    <w:color w:val="000000"/>
                    <w:sz w:val="20"/>
                    <w:szCs w:val="20"/>
                  </w:rPr>
                  <w:instrText xml:space="preserve"> CITATION Chi81 \l 2057 </w:instrText>
                </w:r>
                <w:r w:rsidR="008438F5">
                  <w:rPr>
                    <w:rFonts w:ascii="Calibri" w:hAnsi="Calibri" w:cs="Calibri"/>
                    <w:color w:val="000000"/>
                    <w:sz w:val="20"/>
                    <w:szCs w:val="20"/>
                  </w:rPr>
                  <w:fldChar w:fldCharType="separate"/>
                </w:r>
                <w:r w:rsidR="008438F5" w:rsidRPr="008438F5">
                  <w:rPr>
                    <w:rFonts w:ascii="Calibri" w:hAnsi="Calibri" w:cs="Calibri"/>
                    <w:noProof/>
                    <w:color w:val="000000"/>
                    <w:sz w:val="20"/>
                    <w:szCs w:val="20"/>
                  </w:rPr>
                  <w:t>[8]</w:t>
                </w:r>
                <w:r w:rsidR="008438F5">
                  <w:rPr>
                    <w:rFonts w:ascii="Calibri" w:hAnsi="Calibri" w:cs="Calibri"/>
                    <w:color w:val="000000"/>
                    <w:sz w:val="20"/>
                    <w:szCs w:val="20"/>
                  </w:rPr>
                  <w:fldChar w:fldCharType="end"/>
                </w:r>
              </w:sdtContent>
            </w:sdt>
            <w:r w:rsidR="001D6E22">
              <w:rPr>
                <w:rFonts w:ascii="Calibri" w:hAnsi="Calibri" w:cs="Calibri"/>
                <w:color w:val="000000"/>
                <w:sz w:val="20"/>
                <w:szCs w:val="20"/>
              </w:rPr>
              <w:t xml:space="preserve">, </w:t>
            </w:r>
            <w:sdt>
              <w:sdtPr>
                <w:rPr>
                  <w:rFonts w:ascii="Calibri" w:hAnsi="Calibri" w:cs="Calibri"/>
                  <w:color w:val="000000"/>
                  <w:sz w:val="20"/>
                  <w:szCs w:val="20"/>
                </w:rPr>
                <w:id w:val="-1184275906"/>
                <w:citation/>
              </w:sdtPr>
              <w:sdtEndPr/>
              <w:sdtContent>
                <w:r w:rsidR="00046E13">
                  <w:rPr>
                    <w:rFonts w:ascii="Calibri" w:hAnsi="Calibri" w:cs="Calibri"/>
                    <w:color w:val="000000"/>
                    <w:sz w:val="20"/>
                    <w:szCs w:val="20"/>
                  </w:rPr>
                  <w:fldChar w:fldCharType="begin"/>
                </w:r>
                <w:r w:rsidR="00046E13">
                  <w:rPr>
                    <w:rFonts w:ascii="Calibri" w:hAnsi="Calibri" w:cs="Calibri"/>
                    <w:color w:val="000000"/>
                    <w:sz w:val="20"/>
                    <w:szCs w:val="20"/>
                  </w:rPr>
                  <w:instrText xml:space="preserve"> CITATION Naz18 \l 2057 </w:instrText>
                </w:r>
                <w:r w:rsidR="00046E13">
                  <w:rPr>
                    <w:rFonts w:ascii="Calibri" w:hAnsi="Calibri" w:cs="Calibri"/>
                    <w:color w:val="000000"/>
                    <w:sz w:val="20"/>
                    <w:szCs w:val="20"/>
                  </w:rPr>
                  <w:fldChar w:fldCharType="separate"/>
                </w:r>
                <w:r w:rsidR="00046E13">
                  <w:rPr>
                    <w:rFonts w:ascii="Calibri" w:hAnsi="Calibri" w:cs="Calibri"/>
                    <w:noProof/>
                    <w:color w:val="000000"/>
                    <w:sz w:val="20"/>
                    <w:szCs w:val="20"/>
                  </w:rPr>
                  <w:t>[11]</w:t>
                </w:r>
                <w:r w:rsidR="00046E13">
                  <w:rPr>
                    <w:rFonts w:ascii="Calibri" w:hAnsi="Calibri" w:cs="Calibri"/>
                    <w:color w:val="000000"/>
                    <w:sz w:val="20"/>
                    <w:szCs w:val="20"/>
                  </w:rPr>
                  <w:fldChar w:fldCharType="end"/>
                </w:r>
              </w:sdtContent>
            </w:sdt>
            <w:r w:rsidR="00F5693D">
              <w:rPr>
                <w:rFonts w:ascii="Calibri" w:hAnsi="Calibri" w:cs="Calibri"/>
                <w:color w:val="000000"/>
                <w:sz w:val="20"/>
                <w:szCs w:val="20"/>
              </w:rPr>
              <w:t xml:space="preserve">, </w:t>
            </w:r>
            <w:sdt>
              <w:sdtPr>
                <w:rPr>
                  <w:rFonts w:ascii="Calibri" w:hAnsi="Calibri" w:cs="Calibri"/>
                  <w:color w:val="000000"/>
                  <w:sz w:val="24"/>
                  <w:szCs w:val="24"/>
                </w:rPr>
                <w:id w:val="560564696"/>
                <w:citation/>
              </w:sdtPr>
              <w:sdtEndPr/>
              <w:sdtContent>
                <w:r w:rsidR="00196614">
                  <w:rPr>
                    <w:rFonts w:ascii="Calibri" w:hAnsi="Calibri" w:cs="Calibri"/>
                    <w:color w:val="000000"/>
                    <w:sz w:val="24"/>
                    <w:szCs w:val="24"/>
                  </w:rPr>
                  <w:fldChar w:fldCharType="begin"/>
                </w:r>
                <w:r w:rsidR="00196614">
                  <w:rPr>
                    <w:rFonts w:ascii="Calibri" w:hAnsi="Calibri" w:cs="Calibri"/>
                    <w:color w:val="000000"/>
                    <w:sz w:val="24"/>
                    <w:szCs w:val="24"/>
                  </w:rPr>
                  <w:instrText xml:space="preserve"> CITATION Eva97 \l 2057 </w:instrText>
                </w:r>
                <w:r w:rsidR="00196614">
                  <w:rPr>
                    <w:rFonts w:ascii="Calibri" w:hAnsi="Calibri" w:cs="Calibri"/>
                    <w:color w:val="000000"/>
                    <w:sz w:val="24"/>
                    <w:szCs w:val="24"/>
                  </w:rPr>
                  <w:fldChar w:fldCharType="separate"/>
                </w:r>
                <w:r w:rsidR="00196614" w:rsidRPr="00196614">
                  <w:rPr>
                    <w:rFonts w:ascii="Calibri" w:hAnsi="Calibri" w:cs="Calibri"/>
                    <w:noProof/>
                    <w:color w:val="000000"/>
                    <w:sz w:val="24"/>
                    <w:szCs w:val="24"/>
                  </w:rPr>
                  <w:t>[12]</w:t>
                </w:r>
                <w:r w:rsidR="00196614">
                  <w:rPr>
                    <w:rFonts w:ascii="Calibri" w:hAnsi="Calibri" w:cs="Calibri"/>
                    <w:color w:val="000000"/>
                    <w:sz w:val="24"/>
                    <w:szCs w:val="24"/>
                  </w:rPr>
                  <w:fldChar w:fldCharType="end"/>
                </w:r>
              </w:sdtContent>
            </w:sdt>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4"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Normalise heterogeneous criteria, combine explicit weights, expose strategy sensitivity.</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5"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No claim that min-max or exact weights are optimal.</w:t>
            </w:r>
          </w:p>
        </w:tc>
      </w:tr>
      <w:tr w:rsidR="00BA2B53" w14:paraId="223D1AEB"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7"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Explainability</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8" w14:textId="6A083AE9" w:rsidR="00BA2B53" w:rsidRPr="004923E0" w:rsidRDefault="00423855">
            <w:pPr>
              <w:rPr>
                <w:rFonts w:ascii="Calibri" w:hAnsi="Calibri" w:cs="Calibri"/>
                <w:sz w:val="20"/>
                <w:szCs w:val="20"/>
              </w:rPr>
            </w:pPr>
            <w:sdt>
              <w:sdtPr>
                <w:rPr>
                  <w:rFonts w:ascii="Calibri" w:hAnsi="Calibri" w:cs="Calibri"/>
                  <w:color w:val="000000"/>
                  <w:sz w:val="20"/>
                  <w:szCs w:val="20"/>
                </w:rPr>
                <w:id w:val="-21862346"/>
                <w:citation/>
              </w:sdtPr>
              <w:sdtEndPr/>
              <w:sdtContent>
                <w:r w:rsidR="00F1362A">
                  <w:rPr>
                    <w:rFonts w:ascii="Calibri" w:hAnsi="Calibri" w:cs="Calibri"/>
                    <w:color w:val="000000"/>
                    <w:sz w:val="20"/>
                    <w:szCs w:val="20"/>
                  </w:rPr>
                  <w:fldChar w:fldCharType="begin"/>
                </w:r>
                <w:r w:rsidR="00F1362A">
                  <w:rPr>
                    <w:rFonts w:ascii="Calibri" w:hAnsi="Calibri" w:cs="Calibri"/>
                    <w:color w:val="000000"/>
                    <w:sz w:val="20"/>
                    <w:szCs w:val="20"/>
                  </w:rPr>
                  <w:instrText xml:space="preserve"> CITATION Shi99 \l 2057 </w:instrText>
                </w:r>
                <w:r w:rsidR="00F1362A">
                  <w:rPr>
                    <w:rFonts w:ascii="Calibri" w:hAnsi="Calibri" w:cs="Calibri"/>
                    <w:color w:val="000000"/>
                    <w:sz w:val="20"/>
                    <w:szCs w:val="20"/>
                  </w:rPr>
                  <w:fldChar w:fldCharType="separate"/>
                </w:r>
                <w:r w:rsidR="00F1362A" w:rsidRPr="00F1362A">
                  <w:rPr>
                    <w:rFonts w:ascii="Calibri" w:hAnsi="Calibri" w:cs="Calibri"/>
                    <w:noProof/>
                    <w:color w:val="000000"/>
                    <w:sz w:val="20"/>
                    <w:szCs w:val="20"/>
                  </w:rPr>
                  <w:t>[13]</w:t>
                </w:r>
                <w:r w:rsidR="00F1362A">
                  <w:rPr>
                    <w:rFonts w:ascii="Calibri" w:hAnsi="Calibri" w:cs="Calibri"/>
                    <w:color w:val="000000"/>
                    <w:sz w:val="20"/>
                    <w:szCs w:val="20"/>
                  </w:rPr>
                  <w:fldChar w:fldCharType="end"/>
                </w:r>
              </w:sdtContent>
            </w:sdt>
            <w:r w:rsidR="001D6E22">
              <w:rPr>
                <w:rFonts w:ascii="Calibri" w:hAnsi="Calibri" w:cs="Calibri"/>
                <w:color w:val="000000"/>
                <w:sz w:val="20"/>
                <w:szCs w:val="20"/>
              </w:rPr>
              <w:t>,</w:t>
            </w:r>
            <w:sdt>
              <w:sdtPr>
                <w:rPr>
                  <w:rFonts w:ascii="Calibri" w:hAnsi="Calibri" w:cs="Calibri"/>
                  <w:color w:val="000000"/>
                  <w:sz w:val="20"/>
                  <w:szCs w:val="20"/>
                </w:rPr>
                <w:id w:val="567695617"/>
                <w:citation/>
              </w:sdtPr>
              <w:sdtEndPr/>
              <w:sdtContent>
                <w:r w:rsidR="003F6B77">
                  <w:rPr>
                    <w:rFonts w:ascii="Calibri" w:hAnsi="Calibri" w:cs="Calibri"/>
                    <w:color w:val="000000"/>
                    <w:sz w:val="20"/>
                    <w:szCs w:val="20"/>
                  </w:rPr>
                  <w:fldChar w:fldCharType="begin"/>
                </w:r>
                <w:r w:rsidR="003F6B77">
                  <w:rPr>
                    <w:rFonts w:ascii="Calibri" w:hAnsi="Calibri" w:cs="Calibri"/>
                    <w:color w:val="000000"/>
                    <w:sz w:val="20"/>
                    <w:szCs w:val="20"/>
                  </w:rPr>
                  <w:instrText xml:space="preserve"> CITATION Bri09 \l 2057 </w:instrText>
                </w:r>
                <w:r w:rsidR="003F6B77">
                  <w:rPr>
                    <w:rFonts w:ascii="Calibri" w:hAnsi="Calibri" w:cs="Calibri"/>
                    <w:color w:val="000000"/>
                    <w:sz w:val="20"/>
                    <w:szCs w:val="20"/>
                  </w:rPr>
                  <w:fldChar w:fldCharType="separate"/>
                </w:r>
                <w:r w:rsidR="003F6B77">
                  <w:rPr>
                    <w:rFonts w:ascii="Calibri" w:hAnsi="Calibri" w:cs="Calibri"/>
                    <w:noProof/>
                    <w:color w:val="000000"/>
                    <w:sz w:val="20"/>
                    <w:szCs w:val="20"/>
                  </w:rPr>
                  <w:t xml:space="preserve"> </w:t>
                </w:r>
                <w:r w:rsidR="003F6B77" w:rsidRPr="003F6B77">
                  <w:rPr>
                    <w:rFonts w:ascii="Calibri" w:hAnsi="Calibri" w:cs="Calibri"/>
                    <w:noProof/>
                    <w:color w:val="000000"/>
                    <w:sz w:val="20"/>
                    <w:szCs w:val="20"/>
                  </w:rPr>
                  <w:t>[14]</w:t>
                </w:r>
                <w:r w:rsidR="003F6B77">
                  <w:rPr>
                    <w:rFonts w:ascii="Calibri" w:hAnsi="Calibri" w:cs="Calibri"/>
                    <w:color w:val="000000"/>
                    <w:sz w:val="20"/>
                    <w:szCs w:val="20"/>
                  </w:rPr>
                  <w:fldChar w:fldCharType="end"/>
                </w:r>
              </w:sdtContent>
            </w:sdt>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9"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Expose rule ID, evidence, threshold and ownership rather than a bare score.</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A"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No empirical claim that MDSS increases trust.</w:t>
            </w:r>
          </w:p>
        </w:tc>
      </w:tr>
      <w:tr w:rsidR="00BA2B53" w14:paraId="223D1AF0"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C"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Retail decisions</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D" w14:textId="6F80701A" w:rsidR="00BA2B53" w:rsidRPr="004923E0" w:rsidRDefault="00423855">
            <w:pPr>
              <w:rPr>
                <w:rFonts w:ascii="Calibri" w:hAnsi="Calibri" w:cs="Calibri"/>
                <w:sz w:val="20"/>
                <w:szCs w:val="20"/>
              </w:rPr>
            </w:pPr>
            <w:sdt>
              <w:sdtPr>
                <w:rPr>
                  <w:rFonts w:ascii="Calibri" w:hAnsi="Calibri" w:cs="Calibri"/>
                  <w:color w:val="000000"/>
                  <w:sz w:val="20"/>
                  <w:szCs w:val="20"/>
                </w:rPr>
                <w:id w:val="-525712415"/>
                <w:citation/>
              </w:sdtPr>
              <w:sdtEndPr/>
              <w:sdtContent>
                <w:r w:rsidR="0003591A">
                  <w:rPr>
                    <w:rFonts w:ascii="Calibri" w:hAnsi="Calibri" w:cs="Calibri"/>
                    <w:color w:val="000000"/>
                    <w:sz w:val="20"/>
                    <w:szCs w:val="20"/>
                  </w:rPr>
                  <w:fldChar w:fldCharType="begin"/>
                </w:r>
                <w:r w:rsidR="0003591A">
                  <w:rPr>
                    <w:rFonts w:ascii="Calibri" w:hAnsi="Calibri" w:cs="Calibri"/>
                    <w:color w:val="000000"/>
                    <w:sz w:val="20"/>
                    <w:szCs w:val="20"/>
                  </w:rPr>
                  <w:instrText xml:space="preserve"> CITATION Man01 \l 2057 </w:instrText>
                </w:r>
                <w:r w:rsidR="0003591A">
                  <w:rPr>
                    <w:rFonts w:ascii="Calibri" w:hAnsi="Calibri" w:cs="Calibri"/>
                    <w:color w:val="000000"/>
                    <w:sz w:val="20"/>
                    <w:szCs w:val="20"/>
                  </w:rPr>
                  <w:fldChar w:fldCharType="separate"/>
                </w:r>
                <w:r w:rsidR="0003591A" w:rsidRPr="0003591A">
                  <w:rPr>
                    <w:rFonts w:ascii="Calibri" w:hAnsi="Calibri" w:cs="Calibri"/>
                    <w:noProof/>
                    <w:color w:val="000000"/>
                    <w:sz w:val="20"/>
                    <w:szCs w:val="20"/>
                  </w:rPr>
                  <w:t>[16]</w:t>
                </w:r>
                <w:r w:rsidR="0003591A">
                  <w:rPr>
                    <w:rFonts w:ascii="Calibri" w:hAnsi="Calibri" w:cs="Calibri"/>
                    <w:color w:val="000000"/>
                    <w:sz w:val="20"/>
                    <w:szCs w:val="20"/>
                  </w:rPr>
                  <w:fldChar w:fldCharType="end"/>
                </w:r>
              </w:sdtContent>
            </w:sdt>
            <w:r w:rsidR="001D6E22">
              <w:rPr>
                <w:rFonts w:ascii="Calibri" w:hAnsi="Calibri" w:cs="Calibri"/>
                <w:color w:val="000000"/>
                <w:sz w:val="20"/>
                <w:szCs w:val="20"/>
              </w:rPr>
              <w:t>,</w:t>
            </w:r>
            <w:sdt>
              <w:sdtPr>
                <w:rPr>
                  <w:rFonts w:ascii="Calibri" w:hAnsi="Calibri" w:cs="Calibri"/>
                  <w:color w:val="000000"/>
                  <w:sz w:val="20"/>
                  <w:szCs w:val="20"/>
                </w:rPr>
                <w:id w:val="-1196000053"/>
                <w:citation/>
              </w:sdtPr>
              <w:sdtEndPr/>
              <w:sdtContent>
                <w:r w:rsidR="0012569F">
                  <w:rPr>
                    <w:rFonts w:ascii="Calibri" w:hAnsi="Calibri" w:cs="Calibri"/>
                    <w:color w:val="000000"/>
                    <w:sz w:val="20"/>
                    <w:szCs w:val="20"/>
                  </w:rPr>
                  <w:fldChar w:fldCharType="begin"/>
                </w:r>
                <w:r w:rsidR="0012569F">
                  <w:rPr>
                    <w:rFonts w:ascii="Calibri" w:hAnsi="Calibri" w:cs="Calibri"/>
                    <w:color w:val="000000"/>
                    <w:sz w:val="20"/>
                    <w:szCs w:val="20"/>
                  </w:rPr>
                  <w:instrText xml:space="preserve"> CITATION Pra21 \l 2057 </w:instrText>
                </w:r>
                <w:r w:rsidR="0012569F">
                  <w:rPr>
                    <w:rFonts w:ascii="Calibri" w:hAnsi="Calibri" w:cs="Calibri"/>
                    <w:color w:val="000000"/>
                    <w:sz w:val="20"/>
                    <w:szCs w:val="20"/>
                  </w:rPr>
                  <w:fldChar w:fldCharType="separate"/>
                </w:r>
                <w:r w:rsidR="0012569F">
                  <w:rPr>
                    <w:rFonts w:ascii="Calibri" w:hAnsi="Calibri" w:cs="Calibri"/>
                    <w:noProof/>
                    <w:color w:val="000000"/>
                    <w:sz w:val="20"/>
                    <w:szCs w:val="20"/>
                  </w:rPr>
                  <w:t xml:space="preserve"> </w:t>
                </w:r>
                <w:r w:rsidR="0012569F" w:rsidRPr="0012569F">
                  <w:rPr>
                    <w:rFonts w:ascii="Calibri" w:hAnsi="Calibri" w:cs="Calibri"/>
                    <w:noProof/>
                    <w:color w:val="000000"/>
                    <w:sz w:val="20"/>
                    <w:szCs w:val="20"/>
                  </w:rPr>
                  <w:t>[20]</w:t>
                </w:r>
                <w:r w:rsidR="0012569F">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1558694075"/>
                <w:citation/>
              </w:sdtPr>
              <w:sdtEndPr/>
              <w:sdtContent>
                <w:r w:rsidR="00C2388C">
                  <w:rPr>
                    <w:rFonts w:ascii="Calibri" w:hAnsi="Calibri" w:cs="Calibri"/>
                    <w:color w:val="000000"/>
                    <w:sz w:val="20"/>
                    <w:szCs w:val="20"/>
                  </w:rPr>
                  <w:fldChar w:fldCharType="begin"/>
                </w:r>
                <w:r w:rsidR="00C2388C">
                  <w:rPr>
                    <w:rFonts w:ascii="Calibri" w:hAnsi="Calibri" w:cs="Calibri"/>
                    <w:color w:val="000000"/>
                    <w:sz w:val="20"/>
                    <w:szCs w:val="20"/>
                  </w:rPr>
                  <w:instrText xml:space="preserve"> CITATION Mur09 \l 2057 </w:instrText>
                </w:r>
                <w:r w:rsidR="00C2388C">
                  <w:rPr>
                    <w:rFonts w:ascii="Calibri" w:hAnsi="Calibri" w:cs="Calibri"/>
                    <w:color w:val="000000"/>
                    <w:sz w:val="20"/>
                    <w:szCs w:val="20"/>
                  </w:rPr>
                  <w:fldChar w:fldCharType="separate"/>
                </w:r>
                <w:r w:rsidR="00C2388C" w:rsidRPr="00C2388C">
                  <w:rPr>
                    <w:rFonts w:ascii="Calibri" w:hAnsi="Calibri" w:cs="Calibri"/>
                    <w:noProof/>
                    <w:color w:val="000000"/>
                    <w:sz w:val="20"/>
                    <w:szCs w:val="20"/>
                  </w:rPr>
                  <w:t>[21]</w:t>
                </w:r>
                <w:r w:rsidR="00C2388C">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803936141"/>
                <w:citation/>
              </w:sdtPr>
              <w:sdtEndPr/>
              <w:sdtContent>
                <w:r w:rsidR="004F3112">
                  <w:rPr>
                    <w:rFonts w:ascii="Calibri" w:hAnsi="Calibri" w:cs="Calibri"/>
                    <w:color w:val="000000"/>
                    <w:sz w:val="20"/>
                    <w:szCs w:val="20"/>
                  </w:rPr>
                  <w:fldChar w:fldCharType="begin"/>
                </w:r>
                <w:r w:rsidR="004F3112">
                  <w:rPr>
                    <w:rFonts w:ascii="Calibri" w:hAnsi="Calibri" w:cs="Calibri"/>
                    <w:color w:val="000000"/>
                    <w:sz w:val="20"/>
                    <w:szCs w:val="20"/>
                  </w:rPr>
                  <w:instrText xml:space="preserve"> CITATION Kum01 \l 2057 </w:instrText>
                </w:r>
                <w:r w:rsidR="004F3112">
                  <w:rPr>
                    <w:rFonts w:ascii="Calibri" w:hAnsi="Calibri" w:cs="Calibri"/>
                    <w:color w:val="000000"/>
                    <w:sz w:val="20"/>
                    <w:szCs w:val="20"/>
                  </w:rPr>
                  <w:fldChar w:fldCharType="separate"/>
                </w:r>
                <w:r w:rsidR="004F3112" w:rsidRPr="004F3112">
                  <w:rPr>
                    <w:rFonts w:ascii="Calibri" w:hAnsi="Calibri" w:cs="Calibri"/>
                    <w:noProof/>
                    <w:color w:val="000000"/>
                    <w:sz w:val="20"/>
                    <w:szCs w:val="20"/>
                  </w:rPr>
                  <w:t>[22]</w:t>
                </w:r>
                <w:r w:rsidR="004F3112">
                  <w:rPr>
                    <w:rFonts w:ascii="Calibri" w:hAnsi="Calibri" w:cs="Calibri"/>
                    <w:color w:val="000000"/>
                    <w:sz w:val="20"/>
                    <w:szCs w:val="20"/>
                  </w:rPr>
                  <w:fldChar w:fldCharType="end"/>
                </w:r>
              </w:sdtContent>
            </w:sdt>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E"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Use multiple commercial signals for replenishment, markdown, returns and assortment-related triage.</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EF"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Rule order and thresholds are prototype policy assumptions.</w:t>
            </w:r>
          </w:p>
        </w:tc>
      </w:tr>
      <w:tr w:rsidR="00BA2B53" w14:paraId="223D1AF5"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F1"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Digital analytics</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F2" w14:textId="171CC3E0" w:rsidR="00BA2B53" w:rsidRPr="004923E0" w:rsidRDefault="00423855">
            <w:pPr>
              <w:rPr>
                <w:rFonts w:ascii="Calibri" w:hAnsi="Calibri" w:cs="Calibri"/>
                <w:sz w:val="20"/>
                <w:szCs w:val="20"/>
              </w:rPr>
            </w:pPr>
            <w:sdt>
              <w:sdtPr>
                <w:rPr>
                  <w:rFonts w:ascii="Calibri" w:hAnsi="Calibri" w:cs="Calibri"/>
                  <w:color w:val="000000"/>
                  <w:sz w:val="20"/>
                  <w:szCs w:val="20"/>
                </w:rPr>
                <w:id w:val="655413609"/>
                <w:citation/>
              </w:sdtPr>
              <w:sdtEndPr/>
              <w:sdtContent>
                <w:r w:rsidR="00BF22A2">
                  <w:rPr>
                    <w:rFonts w:ascii="Calibri" w:hAnsi="Calibri" w:cs="Calibri"/>
                    <w:color w:val="000000"/>
                    <w:sz w:val="20"/>
                    <w:szCs w:val="20"/>
                  </w:rPr>
                  <w:fldChar w:fldCharType="begin"/>
                </w:r>
                <w:r w:rsidR="00BF22A2">
                  <w:rPr>
                    <w:rFonts w:ascii="Calibri" w:hAnsi="Calibri" w:cs="Calibri"/>
                    <w:color w:val="000000"/>
                    <w:sz w:val="20"/>
                    <w:szCs w:val="20"/>
                  </w:rPr>
                  <w:instrText xml:space="preserve"> CITATION Mic16 \l 2057 </w:instrText>
                </w:r>
                <w:r w:rsidR="00BF22A2">
                  <w:rPr>
                    <w:rFonts w:ascii="Calibri" w:hAnsi="Calibri" w:cs="Calibri"/>
                    <w:color w:val="000000"/>
                    <w:sz w:val="20"/>
                    <w:szCs w:val="20"/>
                  </w:rPr>
                  <w:fldChar w:fldCharType="separate"/>
                </w:r>
                <w:r w:rsidR="00BF22A2" w:rsidRPr="00BF22A2">
                  <w:rPr>
                    <w:rFonts w:ascii="Calibri" w:hAnsi="Calibri" w:cs="Calibri"/>
                    <w:noProof/>
                    <w:color w:val="000000"/>
                    <w:sz w:val="20"/>
                    <w:szCs w:val="20"/>
                  </w:rPr>
                  <w:t>[23]</w:t>
                </w:r>
                <w:r w:rsidR="00BF22A2">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453635744"/>
                <w:citation/>
              </w:sdtPr>
              <w:sdtEndPr/>
              <w:sdtContent>
                <w:r w:rsidR="009361FA">
                  <w:rPr>
                    <w:rFonts w:ascii="Calibri" w:hAnsi="Calibri" w:cs="Calibri"/>
                    <w:color w:val="000000"/>
                    <w:sz w:val="20"/>
                    <w:szCs w:val="20"/>
                  </w:rPr>
                  <w:fldChar w:fldCharType="begin"/>
                </w:r>
                <w:r w:rsidR="009361FA">
                  <w:rPr>
                    <w:rFonts w:ascii="Calibri" w:hAnsi="Calibri" w:cs="Calibri"/>
                    <w:color w:val="000000"/>
                    <w:sz w:val="20"/>
                    <w:szCs w:val="20"/>
                  </w:rPr>
                  <w:instrText xml:space="preserve"> CITATION PKK17 \l 2057 </w:instrText>
                </w:r>
                <w:r w:rsidR="009361FA">
                  <w:rPr>
                    <w:rFonts w:ascii="Calibri" w:hAnsi="Calibri" w:cs="Calibri"/>
                    <w:color w:val="000000"/>
                    <w:sz w:val="20"/>
                    <w:szCs w:val="20"/>
                  </w:rPr>
                  <w:fldChar w:fldCharType="separate"/>
                </w:r>
                <w:r w:rsidR="009361FA" w:rsidRPr="009361FA">
                  <w:rPr>
                    <w:rFonts w:ascii="Calibri" w:hAnsi="Calibri" w:cs="Calibri"/>
                    <w:noProof/>
                    <w:color w:val="000000"/>
                    <w:sz w:val="20"/>
                    <w:szCs w:val="20"/>
                  </w:rPr>
                  <w:t>[24]</w:t>
                </w:r>
                <w:r w:rsidR="009361FA">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1560291754"/>
                <w:citation/>
              </w:sdtPr>
              <w:sdtEndPr/>
              <w:sdtContent>
                <w:r w:rsidR="00B74C2E">
                  <w:rPr>
                    <w:rFonts w:ascii="Calibri" w:hAnsi="Calibri" w:cs="Calibri"/>
                    <w:color w:val="000000"/>
                    <w:sz w:val="20"/>
                    <w:szCs w:val="20"/>
                  </w:rPr>
                  <w:fldChar w:fldCharType="begin"/>
                </w:r>
                <w:r w:rsidR="00B74C2E">
                  <w:rPr>
                    <w:rFonts w:ascii="Calibri" w:hAnsi="Calibri" w:cs="Calibri"/>
                    <w:color w:val="000000"/>
                    <w:sz w:val="20"/>
                    <w:szCs w:val="20"/>
                  </w:rPr>
                  <w:instrText xml:space="preserve"> CITATION Goo26 \l 2057 </w:instrText>
                </w:r>
                <w:r w:rsidR="00B74C2E">
                  <w:rPr>
                    <w:rFonts w:ascii="Calibri" w:hAnsi="Calibri" w:cs="Calibri"/>
                    <w:color w:val="000000"/>
                    <w:sz w:val="20"/>
                    <w:szCs w:val="20"/>
                  </w:rPr>
                  <w:fldChar w:fldCharType="separate"/>
                </w:r>
                <w:r w:rsidR="00B74C2E" w:rsidRPr="00B74C2E">
                  <w:rPr>
                    <w:rFonts w:ascii="Calibri" w:hAnsi="Calibri" w:cs="Calibri"/>
                    <w:noProof/>
                    <w:color w:val="000000"/>
                    <w:sz w:val="20"/>
                    <w:szCs w:val="20"/>
                  </w:rPr>
                  <w:t>[25]</w:t>
                </w:r>
                <w:r w:rsidR="00B74C2E">
                  <w:rPr>
                    <w:rFonts w:ascii="Calibri" w:hAnsi="Calibri" w:cs="Calibri"/>
                    <w:color w:val="000000"/>
                    <w:sz w:val="20"/>
                    <w:szCs w:val="20"/>
                  </w:rPr>
                  <w:fldChar w:fldCharType="end"/>
                </w:r>
              </w:sdtContent>
            </w:sdt>
            <w:r w:rsidR="00116450" w:rsidRPr="004923E0">
              <w:rPr>
                <w:rFonts w:ascii="Calibri" w:hAnsi="Calibri" w:cs="Calibri"/>
                <w:color w:val="000000"/>
                <w:sz w:val="20"/>
                <w:szCs w:val="20"/>
              </w:rPr>
              <w:t xml:space="preserve">, </w:t>
            </w:r>
            <w:sdt>
              <w:sdtPr>
                <w:rPr>
                  <w:rFonts w:ascii="Calibri" w:hAnsi="Calibri" w:cs="Calibri"/>
                  <w:color w:val="000000"/>
                  <w:sz w:val="20"/>
                  <w:szCs w:val="20"/>
                </w:rPr>
                <w:id w:val="1558977141"/>
                <w:citation/>
              </w:sdtPr>
              <w:sdtEndPr/>
              <w:sdtContent>
                <w:r w:rsidR="001D1C30">
                  <w:rPr>
                    <w:rFonts w:ascii="Calibri" w:hAnsi="Calibri" w:cs="Calibri"/>
                    <w:color w:val="000000"/>
                    <w:sz w:val="20"/>
                    <w:szCs w:val="20"/>
                  </w:rPr>
                  <w:fldChar w:fldCharType="begin"/>
                </w:r>
                <w:r w:rsidR="001D1C30">
                  <w:rPr>
                    <w:rFonts w:ascii="Calibri" w:hAnsi="Calibri" w:cs="Calibri"/>
                    <w:color w:val="000000"/>
                    <w:sz w:val="20"/>
                    <w:szCs w:val="20"/>
                  </w:rPr>
                  <w:instrText xml:space="preserve"> CITATION Goo261 \l 2057 </w:instrText>
                </w:r>
                <w:r w:rsidR="001D1C30">
                  <w:rPr>
                    <w:rFonts w:ascii="Calibri" w:hAnsi="Calibri" w:cs="Calibri"/>
                    <w:color w:val="000000"/>
                    <w:sz w:val="20"/>
                    <w:szCs w:val="20"/>
                  </w:rPr>
                  <w:fldChar w:fldCharType="separate"/>
                </w:r>
                <w:r w:rsidR="001D1C30" w:rsidRPr="001D1C30">
                  <w:rPr>
                    <w:rFonts w:ascii="Calibri" w:hAnsi="Calibri" w:cs="Calibri"/>
                    <w:noProof/>
                    <w:color w:val="000000"/>
                    <w:sz w:val="20"/>
                    <w:szCs w:val="20"/>
                  </w:rPr>
                  <w:t>[26]</w:t>
                </w:r>
                <w:r w:rsidR="001D1C30">
                  <w:rPr>
                    <w:rFonts w:ascii="Calibri" w:hAnsi="Calibri" w:cs="Calibri"/>
                    <w:color w:val="000000"/>
                    <w:sz w:val="20"/>
                    <w:szCs w:val="20"/>
                  </w:rPr>
                  <w:fldChar w:fldCharType="end"/>
                </w:r>
              </w:sdtContent>
            </w:sdt>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F3"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Integrate product behaviour with commercial evidence.</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AF4" w14:textId="77777777" w:rsidR="00BA2B53" w:rsidRPr="004923E0" w:rsidRDefault="00116450">
            <w:pPr>
              <w:rPr>
                <w:rFonts w:ascii="Calibri" w:hAnsi="Calibri" w:cs="Calibri"/>
                <w:sz w:val="20"/>
                <w:szCs w:val="20"/>
              </w:rPr>
            </w:pPr>
            <w:r w:rsidRPr="004923E0">
              <w:rPr>
                <w:rFonts w:ascii="Calibri" w:hAnsi="Calibri" w:cs="Calibri"/>
                <w:color w:val="000000"/>
                <w:sz w:val="20"/>
                <w:szCs w:val="20"/>
              </w:rPr>
              <w:t>Behavioural metrics are signals, not causal measures of demand.</w:t>
            </w:r>
          </w:p>
        </w:tc>
      </w:tr>
    </w:tbl>
    <w:p w14:paraId="6DD71290" w14:textId="77777777" w:rsidR="000071AF" w:rsidRPr="000071AF" w:rsidRDefault="000071AF" w:rsidP="000071AF">
      <w:pPr>
        <w:spacing w:after="140"/>
        <w:jc w:val="center"/>
        <w:rPr>
          <w:rFonts w:ascii="Calibri" w:hAnsi="Calibri" w:cs="Calibri"/>
          <w:i/>
          <w:color w:val="000000"/>
          <w:sz w:val="20"/>
          <w:szCs w:val="20"/>
        </w:rPr>
      </w:pPr>
    </w:p>
    <w:p w14:paraId="223D1AF7" w14:textId="77777777" w:rsidR="00BA2B53" w:rsidRPr="00120909" w:rsidRDefault="00116450">
      <w:pPr>
        <w:pStyle w:val="Heading1"/>
        <w:spacing w:before="200" w:after="240"/>
        <w:rPr>
          <w:rFonts w:ascii="Bookman Old Style" w:hAnsi="Bookman Old Style"/>
        </w:rPr>
      </w:pPr>
      <w:bookmarkStart w:id="16" w:name="_Toc237246552"/>
      <w:r w:rsidRPr="00120909">
        <w:rPr>
          <w:rFonts w:ascii="Bookman Old Style" w:hAnsi="Bookman Old Style"/>
          <w:bCs/>
        </w:rPr>
        <w:lastRenderedPageBreak/>
        <w:t>Chapter 3 - Research and Development Methodology</w:t>
      </w:r>
      <w:bookmarkEnd w:id="16"/>
    </w:p>
    <w:p w14:paraId="223D1AF8" w14:textId="77777777" w:rsidR="00BA2B53" w:rsidRPr="00120909" w:rsidRDefault="00116450">
      <w:pPr>
        <w:pStyle w:val="Heading2"/>
        <w:spacing w:before="300" w:after="160"/>
        <w:rPr>
          <w:rFonts w:ascii="Calibri" w:hAnsi="Calibri" w:cs="Calibri"/>
        </w:rPr>
      </w:pPr>
      <w:bookmarkStart w:id="17" w:name="_Toc237246553"/>
      <w:r w:rsidRPr="00120909">
        <w:rPr>
          <w:rFonts w:ascii="Calibri" w:hAnsi="Calibri" w:cs="Calibri"/>
          <w:bCs/>
          <w:sz w:val="27"/>
          <w:szCs w:val="27"/>
        </w:rPr>
        <w:t>3.1 Design Science Research Approach</w:t>
      </w:r>
      <w:bookmarkEnd w:id="17"/>
    </w:p>
    <w:p w14:paraId="67D9BBDF" w14:textId="428C3EB9" w:rsidR="002D441C" w:rsidRDefault="00704534">
      <w:pPr>
        <w:spacing w:after="200" w:line="360" w:lineRule="auto"/>
        <w:jc w:val="both"/>
        <w:rPr>
          <w:rFonts w:ascii="Calibri" w:hAnsi="Calibri" w:cs="Calibri"/>
          <w:color w:val="000000"/>
          <w:sz w:val="24"/>
          <w:szCs w:val="24"/>
        </w:rPr>
      </w:pPr>
      <w:r w:rsidRPr="00704534">
        <w:rPr>
          <w:rFonts w:ascii="Calibri" w:hAnsi="Calibri" w:cs="Calibri"/>
          <w:color w:val="000000"/>
          <w:sz w:val="24"/>
          <w:szCs w:val="24"/>
        </w:rPr>
        <w:t>This study uses Design Science Research (DSR) because the methodology supports the creation and assessment of an artefact in response to a practical organisational need</w:t>
      </w:r>
      <w:r w:rsidR="00116450" w:rsidRPr="00120909">
        <w:rPr>
          <w:rFonts w:ascii="Calibri" w:hAnsi="Calibri" w:cs="Calibri"/>
          <w:color w:val="000000"/>
          <w:sz w:val="24"/>
          <w:szCs w:val="24"/>
        </w:rPr>
        <w:t xml:space="preserve">. Hevner et al. </w:t>
      </w:r>
      <w:sdt>
        <w:sdtPr>
          <w:rPr>
            <w:rFonts w:ascii="Calibri" w:hAnsi="Calibri" w:cs="Calibri"/>
            <w:color w:val="000000"/>
            <w:sz w:val="24"/>
            <w:szCs w:val="24"/>
          </w:rPr>
          <w:id w:val="-1683738484"/>
          <w:citation/>
        </w:sdtPr>
        <w:sdtEndPr/>
        <w:sdtContent>
          <w:r w:rsidR="00C15108">
            <w:rPr>
              <w:rFonts w:ascii="Calibri" w:hAnsi="Calibri" w:cs="Calibri"/>
              <w:color w:val="000000"/>
              <w:sz w:val="24"/>
              <w:szCs w:val="24"/>
            </w:rPr>
            <w:fldChar w:fldCharType="begin"/>
          </w:r>
          <w:r w:rsidR="00C15108">
            <w:rPr>
              <w:rFonts w:ascii="Calibri" w:hAnsi="Calibri" w:cs="Calibri"/>
              <w:color w:val="000000"/>
              <w:sz w:val="24"/>
              <w:szCs w:val="24"/>
            </w:rPr>
            <w:instrText xml:space="preserve"> CITATION Ala04 \l 2057 </w:instrText>
          </w:r>
          <w:r w:rsidR="00C15108">
            <w:rPr>
              <w:rFonts w:ascii="Calibri" w:hAnsi="Calibri" w:cs="Calibri"/>
              <w:color w:val="000000"/>
              <w:sz w:val="24"/>
              <w:szCs w:val="24"/>
            </w:rPr>
            <w:fldChar w:fldCharType="separate"/>
          </w:r>
          <w:r w:rsidR="00C15108" w:rsidRPr="00C15108">
            <w:rPr>
              <w:rFonts w:ascii="Calibri" w:hAnsi="Calibri" w:cs="Calibri"/>
              <w:noProof/>
              <w:color w:val="000000"/>
              <w:sz w:val="24"/>
              <w:szCs w:val="24"/>
            </w:rPr>
            <w:t>[30]</w:t>
          </w:r>
          <w:r w:rsidR="00C15108">
            <w:rPr>
              <w:rFonts w:ascii="Calibri" w:hAnsi="Calibri" w:cs="Calibri"/>
              <w:color w:val="000000"/>
              <w:sz w:val="24"/>
              <w:szCs w:val="24"/>
            </w:rPr>
            <w:fldChar w:fldCharType="end"/>
          </w:r>
        </w:sdtContent>
      </w:sdt>
      <w:r w:rsidR="00116450" w:rsidRPr="00120909">
        <w:rPr>
          <w:rFonts w:ascii="Calibri" w:hAnsi="Calibri" w:cs="Calibri"/>
          <w:color w:val="000000"/>
          <w:sz w:val="24"/>
          <w:szCs w:val="24"/>
        </w:rPr>
        <w:t xml:space="preserve"> </w:t>
      </w:r>
      <w:r w:rsidR="00236439" w:rsidRPr="00236439">
        <w:rPr>
          <w:rFonts w:ascii="Calibri" w:hAnsi="Calibri" w:cs="Calibri"/>
          <w:color w:val="000000"/>
          <w:sz w:val="24"/>
          <w:szCs w:val="24"/>
        </w:rPr>
        <w:t>outline seven principles for conducting DSR. Relevant to MDSS are the expectations that the work produces a usable artefact, responds to a problem of practical significance, and is evaluated systematically. These principles are reflected respectively in the MDSS application, the problem defined in Chapter 1, and the evaluation presented in Chapter 5</w:t>
      </w:r>
      <w:r w:rsidR="00116450" w:rsidRPr="00120909">
        <w:rPr>
          <w:rFonts w:ascii="Calibri" w:hAnsi="Calibri" w:cs="Calibri"/>
          <w:color w:val="000000"/>
          <w:sz w:val="24"/>
          <w:szCs w:val="24"/>
        </w:rPr>
        <w:t>.</w:t>
      </w:r>
      <w:r w:rsidR="006D2DD2">
        <w:rPr>
          <w:rFonts w:ascii="Calibri" w:hAnsi="Calibri" w:cs="Calibri"/>
          <w:color w:val="000000"/>
          <w:sz w:val="24"/>
          <w:szCs w:val="24"/>
        </w:rPr>
        <w:t xml:space="preserve"> </w:t>
      </w:r>
      <w:r w:rsidR="00116450" w:rsidRPr="00120909">
        <w:rPr>
          <w:rFonts w:ascii="Calibri" w:hAnsi="Calibri" w:cs="Calibri"/>
          <w:color w:val="000000"/>
          <w:sz w:val="24"/>
          <w:szCs w:val="24"/>
        </w:rPr>
        <w:t xml:space="preserve">Peffers et al. </w:t>
      </w:r>
      <w:sdt>
        <w:sdtPr>
          <w:rPr>
            <w:rFonts w:ascii="Calibri" w:hAnsi="Calibri" w:cs="Calibri"/>
            <w:color w:val="000000"/>
            <w:sz w:val="24"/>
            <w:szCs w:val="24"/>
          </w:rPr>
          <w:id w:val="-848018778"/>
          <w:citation/>
        </w:sdtPr>
        <w:sdtEndPr/>
        <w:sdtContent>
          <w:r w:rsidR="00106D82">
            <w:rPr>
              <w:rFonts w:ascii="Calibri" w:hAnsi="Calibri" w:cs="Calibri"/>
              <w:color w:val="000000"/>
              <w:sz w:val="24"/>
              <w:szCs w:val="24"/>
            </w:rPr>
            <w:fldChar w:fldCharType="begin"/>
          </w:r>
          <w:r w:rsidR="00106D82">
            <w:rPr>
              <w:rFonts w:ascii="Calibri" w:hAnsi="Calibri" w:cs="Calibri"/>
              <w:color w:val="000000"/>
              <w:sz w:val="24"/>
              <w:szCs w:val="24"/>
            </w:rPr>
            <w:instrText xml:space="preserve"> CITATION Ken07 \l 2057 </w:instrText>
          </w:r>
          <w:r w:rsidR="00106D82">
            <w:rPr>
              <w:rFonts w:ascii="Calibri" w:hAnsi="Calibri" w:cs="Calibri"/>
              <w:color w:val="000000"/>
              <w:sz w:val="24"/>
              <w:szCs w:val="24"/>
            </w:rPr>
            <w:fldChar w:fldCharType="separate"/>
          </w:r>
          <w:r w:rsidR="00106D82" w:rsidRPr="00106D82">
            <w:rPr>
              <w:rFonts w:ascii="Calibri" w:hAnsi="Calibri" w:cs="Calibri"/>
              <w:noProof/>
              <w:color w:val="000000"/>
              <w:sz w:val="24"/>
              <w:szCs w:val="24"/>
            </w:rPr>
            <w:t>[31]</w:t>
          </w:r>
          <w:r w:rsidR="00106D82">
            <w:rPr>
              <w:rFonts w:ascii="Calibri" w:hAnsi="Calibri" w:cs="Calibri"/>
              <w:color w:val="000000"/>
              <w:sz w:val="24"/>
              <w:szCs w:val="24"/>
            </w:rPr>
            <w:fldChar w:fldCharType="end"/>
          </w:r>
        </w:sdtContent>
      </w:sdt>
      <w:r w:rsidR="00DF4CE7">
        <w:rPr>
          <w:rFonts w:ascii="Calibri" w:hAnsi="Calibri" w:cs="Calibri"/>
          <w:color w:val="000000"/>
          <w:sz w:val="24"/>
          <w:szCs w:val="24"/>
        </w:rPr>
        <w:t xml:space="preserve"> </w:t>
      </w:r>
      <w:r w:rsidR="00DF4CE7" w:rsidRPr="00DF4CE7">
        <w:rPr>
          <w:rFonts w:ascii="Calibri" w:hAnsi="Calibri" w:cs="Calibri"/>
          <w:color w:val="000000"/>
          <w:sz w:val="24"/>
          <w:szCs w:val="24"/>
        </w:rPr>
        <w:t>provided the structure used to organise the MDSS development process. Their DSRM approach moves from defining the problem and intended outcomes, through artefact creation and demonstration, to evaluation and communication of the completed work</w:t>
      </w:r>
      <w:r w:rsidR="00DF4CE7">
        <w:rPr>
          <w:rFonts w:ascii="Calibri" w:hAnsi="Calibri" w:cs="Calibri"/>
          <w:color w:val="000000"/>
          <w:sz w:val="24"/>
          <w:szCs w:val="24"/>
        </w:rPr>
        <w:t>.</w:t>
      </w:r>
    </w:p>
    <w:p w14:paraId="223D1AF9" w14:textId="270953C6" w:rsidR="00BA2B53" w:rsidRPr="002D441C" w:rsidRDefault="00BD71AF">
      <w:pPr>
        <w:spacing w:after="200" w:line="360" w:lineRule="auto"/>
        <w:jc w:val="both"/>
        <w:rPr>
          <w:rFonts w:ascii="Calibri" w:hAnsi="Calibri" w:cs="Calibri"/>
          <w:i/>
          <w:iCs/>
          <w:color w:val="000000"/>
          <w:sz w:val="24"/>
          <w:szCs w:val="24"/>
        </w:rPr>
      </w:pPr>
      <w:r w:rsidRPr="002D441C">
        <w:rPr>
          <w:rFonts w:ascii="Calibri" w:hAnsi="Calibri" w:cs="Calibri"/>
          <w:i/>
          <w:iCs/>
          <w:color w:val="000000"/>
          <w:sz w:val="24"/>
          <w:szCs w:val="24"/>
        </w:rPr>
        <w:t>Table 3.1 indicates how these stages were translated into the practical development phases of MDSS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6100"/>
      </w:tblGrid>
      <w:tr w:rsidR="00BA2B53" w14:paraId="223D1AFC" w14:textId="77777777">
        <w:trPr>
          <w:cantSplit/>
          <w:tblHeader/>
        </w:trPr>
        <w:tc>
          <w:tcPr>
            <w:tcW w:w="3600" w:type="dxa"/>
            <w:shd w:val="clear" w:color="auto" w:fill="D9D9D9"/>
          </w:tcPr>
          <w:p w14:paraId="223D1AFA" w14:textId="77777777" w:rsidR="00BA2B53" w:rsidRPr="00120909" w:rsidRDefault="00116450">
            <w:pPr>
              <w:spacing w:line="276" w:lineRule="auto"/>
              <w:rPr>
                <w:rFonts w:ascii="Calibri" w:hAnsi="Calibri" w:cs="Calibri"/>
              </w:rPr>
            </w:pPr>
            <w:r w:rsidRPr="00120909">
              <w:rPr>
                <w:rFonts w:ascii="Calibri" w:hAnsi="Calibri" w:cs="Calibri"/>
                <w:b/>
                <w:bCs/>
                <w:color w:val="000000"/>
                <w:sz w:val="20"/>
                <w:szCs w:val="20"/>
              </w:rPr>
              <w:t>DSRM activity</w:t>
            </w:r>
          </w:p>
        </w:tc>
        <w:tc>
          <w:tcPr>
            <w:tcW w:w="6100" w:type="dxa"/>
            <w:shd w:val="clear" w:color="auto" w:fill="D9D9D9"/>
          </w:tcPr>
          <w:p w14:paraId="223D1AFB" w14:textId="77777777" w:rsidR="00BA2B53" w:rsidRPr="00120909" w:rsidRDefault="00116450">
            <w:pPr>
              <w:spacing w:line="276" w:lineRule="auto"/>
              <w:rPr>
                <w:rFonts w:ascii="Calibri" w:hAnsi="Calibri" w:cs="Calibri"/>
              </w:rPr>
            </w:pPr>
            <w:r w:rsidRPr="00120909">
              <w:rPr>
                <w:rFonts w:ascii="Calibri" w:hAnsi="Calibri" w:cs="Calibri"/>
                <w:b/>
                <w:bCs/>
                <w:color w:val="000000"/>
                <w:sz w:val="20"/>
                <w:szCs w:val="20"/>
              </w:rPr>
              <w:t>MDSS project phase</w:t>
            </w:r>
          </w:p>
        </w:tc>
      </w:tr>
      <w:tr w:rsidR="00BA2B53" w14:paraId="223D1AFF" w14:textId="77777777">
        <w:trPr>
          <w:cantSplit/>
        </w:trPr>
        <w:tc>
          <w:tcPr>
            <w:tcW w:w="3600" w:type="dxa"/>
          </w:tcPr>
          <w:p w14:paraId="223D1AFD" w14:textId="3D90C4FC" w:rsidR="00BA2B53" w:rsidRPr="00120909" w:rsidRDefault="00E3606F">
            <w:pPr>
              <w:spacing w:line="276" w:lineRule="auto"/>
              <w:rPr>
                <w:rFonts w:ascii="Calibri" w:hAnsi="Calibri" w:cs="Calibri"/>
              </w:rPr>
            </w:pPr>
            <w:r>
              <w:rPr>
                <w:rFonts w:ascii="Calibri" w:hAnsi="Calibri" w:cs="Calibri"/>
                <w:color w:val="000000"/>
                <w:sz w:val="20"/>
                <w:szCs w:val="20"/>
              </w:rPr>
              <w:t>I</w:t>
            </w:r>
            <w:r w:rsidRPr="00E3606F">
              <w:rPr>
                <w:rFonts w:ascii="Calibri" w:hAnsi="Calibri" w:cs="Calibri"/>
                <w:color w:val="000000"/>
                <w:sz w:val="20"/>
                <w:szCs w:val="20"/>
              </w:rPr>
              <w:t>dentifying the problem and establishing why it matters</w:t>
            </w:r>
          </w:p>
        </w:tc>
        <w:tc>
          <w:tcPr>
            <w:tcW w:w="6100" w:type="dxa"/>
          </w:tcPr>
          <w:p w14:paraId="223D1AFE" w14:textId="42A66207" w:rsidR="00BA2B53" w:rsidRPr="00120909" w:rsidRDefault="00116450">
            <w:pPr>
              <w:spacing w:line="276" w:lineRule="auto"/>
              <w:rPr>
                <w:rFonts w:ascii="Calibri" w:hAnsi="Calibri" w:cs="Calibri"/>
              </w:rPr>
            </w:pPr>
            <w:r w:rsidRPr="00120909">
              <w:rPr>
                <w:rFonts w:ascii="Calibri" w:hAnsi="Calibri" w:cs="Calibri"/>
                <w:color w:val="000000"/>
                <w:sz w:val="20"/>
                <w:szCs w:val="20"/>
              </w:rPr>
              <w:t xml:space="preserve">Analysis of the </w:t>
            </w:r>
            <w:r w:rsidR="008016A5">
              <w:rPr>
                <w:rFonts w:ascii="Calibri" w:hAnsi="Calibri" w:cs="Calibri"/>
                <w:color w:val="000000"/>
                <w:sz w:val="20"/>
                <w:szCs w:val="20"/>
              </w:rPr>
              <w:t>limitation</w:t>
            </w:r>
            <w:r w:rsidRPr="00120909">
              <w:rPr>
                <w:rFonts w:ascii="Calibri" w:hAnsi="Calibri" w:cs="Calibri"/>
                <w:color w:val="000000"/>
                <w:sz w:val="20"/>
                <w:szCs w:val="20"/>
              </w:rPr>
              <w:t xml:space="preserve"> between descriptive BI/GA4 dashboards and actionable merchandising decisions (Chapter 1, 2)</w:t>
            </w:r>
          </w:p>
        </w:tc>
      </w:tr>
      <w:tr w:rsidR="00BA2B53" w14:paraId="223D1B02" w14:textId="77777777">
        <w:trPr>
          <w:cantSplit/>
        </w:trPr>
        <w:tc>
          <w:tcPr>
            <w:tcW w:w="3600" w:type="dxa"/>
          </w:tcPr>
          <w:p w14:paraId="223D1B00"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Definition of objectives</w:t>
            </w:r>
          </w:p>
        </w:tc>
        <w:tc>
          <w:tcPr>
            <w:tcW w:w="6100" w:type="dxa"/>
          </w:tcPr>
          <w:p w14:paraId="223D1B01"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Five stated objectives, integrated data, transparent scoring, explainable actions, strategy comparison, automated verification</w:t>
            </w:r>
          </w:p>
        </w:tc>
      </w:tr>
      <w:tr w:rsidR="00BA2B53" w14:paraId="223D1B05" w14:textId="77777777">
        <w:trPr>
          <w:cantSplit/>
        </w:trPr>
        <w:tc>
          <w:tcPr>
            <w:tcW w:w="3600" w:type="dxa"/>
          </w:tcPr>
          <w:p w14:paraId="223D1B03"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Design and development</w:t>
            </w:r>
          </w:p>
        </w:tc>
        <w:tc>
          <w:tcPr>
            <w:tcW w:w="6100" w:type="dxa"/>
          </w:tcPr>
          <w:p w14:paraId="223D1B04"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Iterative build of ingest, excel_import, scoring, decision_engine and evaluation modules, and the Flask/Jinja interface</w:t>
            </w:r>
          </w:p>
        </w:tc>
      </w:tr>
      <w:tr w:rsidR="00BA2B53" w14:paraId="223D1B08" w14:textId="77777777">
        <w:trPr>
          <w:cantSplit/>
        </w:trPr>
        <w:tc>
          <w:tcPr>
            <w:tcW w:w="3600" w:type="dxa"/>
          </w:tcPr>
          <w:p w14:paraId="223D1B06"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Demonstration</w:t>
            </w:r>
          </w:p>
        </w:tc>
        <w:tc>
          <w:tcPr>
            <w:tcW w:w="6100" w:type="dxa"/>
          </w:tcPr>
          <w:p w14:paraId="223D1B07"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Import and analysis of four synthetic workbooks (baseline, peak trading, end of season, post-returns) through the live application</w:t>
            </w:r>
          </w:p>
        </w:tc>
      </w:tr>
      <w:tr w:rsidR="00BA2B53" w14:paraId="223D1B0B" w14:textId="77777777">
        <w:trPr>
          <w:cantSplit/>
        </w:trPr>
        <w:tc>
          <w:tcPr>
            <w:tcW w:w="3600" w:type="dxa"/>
          </w:tcPr>
          <w:p w14:paraId="223D1B09"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Evaluation</w:t>
            </w:r>
          </w:p>
        </w:tc>
        <w:tc>
          <w:tcPr>
            <w:tcW w:w="6100" w:type="dxa"/>
          </w:tcPr>
          <w:p w14:paraId="223D1B0A" w14:textId="2CB97F24" w:rsidR="00BA2B53" w:rsidRPr="00120909" w:rsidRDefault="00116450">
            <w:pPr>
              <w:spacing w:line="276" w:lineRule="auto"/>
              <w:rPr>
                <w:rFonts w:ascii="Calibri" w:hAnsi="Calibri" w:cs="Calibri"/>
              </w:rPr>
            </w:pPr>
            <w:r w:rsidRPr="00120909">
              <w:rPr>
                <w:rFonts w:ascii="Calibri" w:hAnsi="Calibri" w:cs="Calibri"/>
                <w:color w:val="000000"/>
                <w:sz w:val="20"/>
                <w:szCs w:val="20"/>
              </w:rPr>
              <w:t xml:space="preserve">Twenty-five automated checks per weekly state, evaluated within the FEDS framework </w:t>
            </w:r>
            <w:sdt>
              <w:sdtPr>
                <w:rPr>
                  <w:rFonts w:ascii="Calibri" w:hAnsi="Calibri" w:cs="Calibri"/>
                  <w:color w:val="000000"/>
                  <w:sz w:val="20"/>
                  <w:szCs w:val="20"/>
                </w:rPr>
                <w:id w:val="451447151"/>
                <w:citation/>
              </w:sdtPr>
              <w:sdtEndPr/>
              <w:sdtContent>
                <w:r w:rsidR="00756B36">
                  <w:rPr>
                    <w:rFonts w:ascii="Calibri" w:hAnsi="Calibri" w:cs="Calibri"/>
                    <w:color w:val="000000"/>
                    <w:sz w:val="20"/>
                    <w:szCs w:val="20"/>
                  </w:rPr>
                  <w:fldChar w:fldCharType="begin"/>
                </w:r>
                <w:r w:rsidR="00756B36">
                  <w:rPr>
                    <w:rFonts w:ascii="Calibri" w:hAnsi="Calibri" w:cs="Calibri"/>
                    <w:color w:val="000000"/>
                    <w:sz w:val="20"/>
                    <w:szCs w:val="20"/>
                  </w:rPr>
                  <w:instrText xml:space="preserve"> CITATION Joh16 \l 2057 </w:instrText>
                </w:r>
                <w:r w:rsidR="00756B36">
                  <w:rPr>
                    <w:rFonts w:ascii="Calibri" w:hAnsi="Calibri" w:cs="Calibri"/>
                    <w:color w:val="000000"/>
                    <w:sz w:val="20"/>
                    <w:szCs w:val="20"/>
                  </w:rPr>
                  <w:fldChar w:fldCharType="separate"/>
                </w:r>
                <w:r w:rsidR="00756B36" w:rsidRPr="00756B36">
                  <w:rPr>
                    <w:rFonts w:ascii="Calibri" w:hAnsi="Calibri" w:cs="Calibri"/>
                    <w:noProof/>
                    <w:color w:val="000000"/>
                    <w:sz w:val="20"/>
                    <w:szCs w:val="20"/>
                  </w:rPr>
                  <w:t>[6]</w:t>
                </w:r>
                <w:r w:rsidR="00756B36">
                  <w:rPr>
                    <w:rFonts w:ascii="Calibri" w:hAnsi="Calibri" w:cs="Calibri"/>
                    <w:color w:val="000000"/>
                    <w:sz w:val="20"/>
                    <w:szCs w:val="20"/>
                  </w:rPr>
                  <w:fldChar w:fldCharType="end"/>
                </w:r>
              </w:sdtContent>
            </w:sdt>
            <w:r w:rsidRPr="00120909">
              <w:rPr>
                <w:rFonts w:ascii="Calibri" w:hAnsi="Calibri" w:cs="Calibri"/>
                <w:color w:val="000000"/>
                <w:sz w:val="20"/>
                <w:szCs w:val="20"/>
              </w:rPr>
              <w:t xml:space="preserve"> (Chapter 5)</w:t>
            </w:r>
          </w:p>
        </w:tc>
      </w:tr>
      <w:tr w:rsidR="00BA2B53" w14:paraId="223D1B0E" w14:textId="77777777">
        <w:trPr>
          <w:cantSplit/>
        </w:trPr>
        <w:tc>
          <w:tcPr>
            <w:tcW w:w="3600" w:type="dxa"/>
          </w:tcPr>
          <w:p w14:paraId="223D1B0C" w14:textId="77777777" w:rsidR="00BA2B53" w:rsidRPr="00120909" w:rsidRDefault="00116450">
            <w:pPr>
              <w:spacing w:line="276" w:lineRule="auto"/>
              <w:rPr>
                <w:rFonts w:ascii="Calibri" w:hAnsi="Calibri" w:cs="Calibri"/>
              </w:rPr>
            </w:pPr>
            <w:r w:rsidRPr="00120909">
              <w:rPr>
                <w:rFonts w:ascii="Calibri" w:hAnsi="Calibri" w:cs="Calibri"/>
                <w:color w:val="000000"/>
                <w:sz w:val="20"/>
                <w:szCs w:val="20"/>
              </w:rPr>
              <w:t>Communication</w:t>
            </w:r>
          </w:p>
        </w:tc>
        <w:tc>
          <w:tcPr>
            <w:tcW w:w="6100" w:type="dxa"/>
          </w:tcPr>
          <w:p w14:paraId="223D1B0D" w14:textId="2F6A982A" w:rsidR="00BA2B53" w:rsidRPr="00120909" w:rsidRDefault="00034692">
            <w:pPr>
              <w:spacing w:line="276" w:lineRule="auto"/>
              <w:rPr>
                <w:rFonts w:ascii="Calibri" w:hAnsi="Calibri" w:cs="Calibri"/>
              </w:rPr>
            </w:pPr>
            <w:r>
              <w:rPr>
                <w:rFonts w:ascii="Calibri" w:hAnsi="Calibri" w:cs="Calibri"/>
                <w:color w:val="000000"/>
                <w:sz w:val="20"/>
                <w:szCs w:val="20"/>
              </w:rPr>
              <w:t>The Interim Viva, t</w:t>
            </w:r>
            <w:r w:rsidR="00116450" w:rsidRPr="00120909">
              <w:rPr>
                <w:rFonts w:ascii="Calibri" w:hAnsi="Calibri" w:cs="Calibri"/>
                <w:color w:val="000000"/>
                <w:sz w:val="20"/>
                <w:szCs w:val="20"/>
              </w:rPr>
              <w:t>his report, the Final Viva and the Exhibition Poster</w:t>
            </w:r>
          </w:p>
        </w:tc>
      </w:tr>
    </w:tbl>
    <w:p w14:paraId="223D1B11" w14:textId="777A5FCE" w:rsidR="00BA2B53" w:rsidRDefault="0040437C" w:rsidP="0040437C">
      <w:pPr>
        <w:spacing w:before="80" w:after="80"/>
        <w:jc w:val="center"/>
      </w:pPr>
      <w:r>
        <w:rPr>
          <w:noProof/>
        </w:rPr>
        <w:drawing>
          <wp:inline distT="0" distB="0" distL="0" distR="0" wp14:anchorId="2CBA54ED" wp14:editId="1533B060">
            <wp:extent cx="5666021" cy="1881963"/>
            <wp:effectExtent l="0" t="0" r="0" b="4445"/>
            <wp:docPr id="18516486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48693" name="Picture 1851648693"/>
                    <pic:cNvPicPr/>
                  </pic:nvPicPr>
                  <pic:blipFill rotWithShape="1">
                    <a:blip r:embed="rId10" cstate="print">
                      <a:extLst>
                        <a:ext uri="{28A0092B-C50C-407E-A947-70E740481C1C}">
                          <a14:useLocalDpi xmlns:a14="http://schemas.microsoft.com/office/drawing/2010/main" val="0"/>
                        </a:ext>
                      </a:extLst>
                    </a:blip>
                    <a:srcRect b="29387"/>
                    <a:stretch>
                      <a:fillRect/>
                    </a:stretch>
                  </pic:blipFill>
                  <pic:spPr bwMode="auto">
                    <a:xfrm>
                      <a:off x="0" y="0"/>
                      <a:ext cx="5718622" cy="1899434"/>
                    </a:xfrm>
                    <a:prstGeom prst="rect">
                      <a:avLst/>
                    </a:prstGeom>
                    <a:ln>
                      <a:noFill/>
                    </a:ln>
                    <a:extLst>
                      <a:ext uri="{53640926-AAD7-44D8-BBD7-CCE9431645EC}">
                        <a14:shadowObscured xmlns:a14="http://schemas.microsoft.com/office/drawing/2010/main"/>
                      </a:ext>
                    </a:extLst>
                  </pic:spPr>
                </pic:pic>
              </a:graphicData>
            </a:graphic>
          </wp:inline>
        </w:drawing>
      </w:r>
    </w:p>
    <w:p w14:paraId="6A0840DF" w14:textId="639F000D" w:rsidR="000071AF" w:rsidRPr="00593177" w:rsidRDefault="00116450" w:rsidP="000C7C19">
      <w:pPr>
        <w:spacing w:before="80" w:after="140"/>
        <w:rPr>
          <w:rFonts w:ascii="Calibri" w:hAnsi="Calibri" w:cs="Calibri"/>
          <w:i/>
          <w:color w:val="000000"/>
          <w:sz w:val="20"/>
          <w:szCs w:val="20"/>
        </w:rPr>
      </w:pPr>
      <w:r w:rsidRPr="009832A5">
        <w:rPr>
          <w:rFonts w:ascii="Calibri" w:hAnsi="Calibri" w:cs="Calibri"/>
          <w:i/>
          <w:color w:val="000000"/>
          <w:sz w:val="20"/>
          <w:szCs w:val="20"/>
        </w:rPr>
        <w:t xml:space="preserve">Figure 3.1: Design Science Research Methodology mapped to the MDSS project. Source: author, adapted from Peffers et al. </w:t>
      </w:r>
      <w:sdt>
        <w:sdtPr>
          <w:rPr>
            <w:rFonts w:ascii="Calibri" w:hAnsi="Calibri" w:cs="Calibri"/>
            <w:i/>
            <w:color w:val="000000"/>
            <w:sz w:val="20"/>
            <w:szCs w:val="20"/>
          </w:rPr>
          <w:id w:val="-2001721930"/>
          <w:citation/>
        </w:sdtPr>
        <w:sdtEndPr/>
        <w:sdtContent>
          <w:r w:rsidR="0078201F">
            <w:rPr>
              <w:rFonts w:ascii="Calibri" w:hAnsi="Calibri" w:cs="Calibri"/>
              <w:i/>
              <w:color w:val="000000"/>
              <w:sz w:val="20"/>
              <w:szCs w:val="20"/>
            </w:rPr>
            <w:fldChar w:fldCharType="begin"/>
          </w:r>
          <w:r w:rsidR="0078201F">
            <w:rPr>
              <w:rFonts w:ascii="Calibri" w:hAnsi="Calibri" w:cs="Calibri"/>
              <w:i/>
              <w:color w:val="000000"/>
              <w:sz w:val="20"/>
              <w:szCs w:val="20"/>
            </w:rPr>
            <w:instrText xml:space="preserve"> CITATION Ken07 \l 2057 </w:instrText>
          </w:r>
          <w:r w:rsidR="0078201F">
            <w:rPr>
              <w:rFonts w:ascii="Calibri" w:hAnsi="Calibri" w:cs="Calibri"/>
              <w:i/>
              <w:color w:val="000000"/>
              <w:sz w:val="20"/>
              <w:szCs w:val="20"/>
            </w:rPr>
            <w:fldChar w:fldCharType="separate"/>
          </w:r>
          <w:r w:rsidR="0078201F" w:rsidRPr="0078201F">
            <w:rPr>
              <w:rFonts w:ascii="Calibri" w:hAnsi="Calibri" w:cs="Calibri"/>
              <w:noProof/>
              <w:color w:val="000000"/>
              <w:sz w:val="20"/>
              <w:szCs w:val="20"/>
            </w:rPr>
            <w:t>[31]</w:t>
          </w:r>
          <w:r w:rsidR="0078201F">
            <w:rPr>
              <w:rFonts w:ascii="Calibri" w:hAnsi="Calibri" w:cs="Calibri"/>
              <w:i/>
              <w:color w:val="000000"/>
              <w:sz w:val="20"/>
              <w:szCs w:val="20"/>
            </w:rPr>
            <w:fldChar w:fldCharType="end"/>
          </w:r>
        </w:sdtContent>
      </w:sdt>
      <w:r w:rsidRPr="009832A5">
        <w:rPr>
          <w:rFonts w:ascii="Calibri" w:hAnsi="Calibri" w:cs="Calibri"/>
          <w:i/>
          <w:color w:val="000000"/>
          <w:sz w:val="20"/>
          <w:szCs w:val="20"/>
        </w:rPr>
        <w:t>.</w:t>
      </w:r>
    </w:p>
    <w:p w14:paraId="223D1B13" w14:textId="77777777" w:rsidR="00BA2B53" w:rsidRPr="00F91284" w:rsidRDefault="00116450">
      <w:pPr>
        <w:pStyle w:val="Heading2"/>
        <w:spacing w:before="300" w:after="160"/>
        <w:rPr>
          <w:rFonts w:ascii="Calibri" w:hAnsi="Calibri" w:cs="Calibri"/>
        </w:rPr>
      </w:pPr>
      <w:bookmarkStart w:id="18" w:name="_Toc237246554"/>
      <w:r w:rsidRPr="00F91284">
        <w:rPr>
          <w:rFonts w:ascii="Calibri" w:hAnsi="Calibri" w:cs="Calibri"/>
          <w:bCs/>
          <w:sz w:val="27"/>
          <w:szCs w:val="27"/>
        </w:rPr>
        <w:lastRenderedPageBreak/>
        <w:t>3.2 Requirements Elicitation</w:t>
      </w:r>
      <w:bookmarkEnd w:id="18"/>
    </w:p>
    <w:p w14:paraId="223D1B14" w14:textId="77777777" w:rsidR="00BA2B53" w:rsidRPr="00596C5E" w:rsidRDefault="00116450">
      <w:pPr>
        <w:spacing w:after="200" w:line="360" w:lineRule="auto"/>
        <w:jc w:val="both"/>
        <w:rPr>
          <w:rFonts w:ascii="Calibri" w:hAnsi="Calibri" w:cs="Calibri"/>
          <w:sz w:val="24"/>
          <w:szCs w:val="24"/>
        </w:rPr>
      </w:pPr>
      <w:r w:rsidRPr="00596C5E">
        <w:rPr>
          <w:rFonts w:ascii="Calibri" w:hAnsi="Calibri" w:cs="Calibri"/>
          <w:color w:val="000000"/>
          <w:sz w:val="24"/>
          <w:szCs w:val="24"/>
        </w:rPr>
        <w:t>Functional requirements were derived primarily from direct professional experience of the weekly merchandising and digital-trading review cycle in online fashion retail, supplemented by the literature reviewed in Chapter 2. The recurring weekly questions, which products need stock urgently, which need a markdown, which have a conversion problem worth investigating, which strategy would change the picture, were translated into the five stated objectives in Chapter 1 and, in turn, into the five application pages described in Chapter 4: Command Centre, Opportunity Queue, Scenario Lab, Verification and Data Workspace. A non-functional requirement of equal importance was that every number the system produces must be traceable to a stated formula or rule, ruling out any component, such as a trained regression or classification model, whose internal reasoning could not be inspected.</w:t>
      </w:r>
    </w:p>
    <w:p w14:paraId="223D1B15" w14:textId="77777777" w:rsidR="00BA2B53" w:rsidRDefault="00116450">
      <w:pPr>
        <w:spacing w:after="200" w:line="360" w:lineRule="auto"/>
        <w:jc w:val="both"/>
        <w:rPr>
          <w:rFonts w:ascii="Calibri" w:hAnsi="Calibri" w:cs="Calibri"/>
          <w:color w:val="000000"/>
          <w:sz w:val="24"/>
          <w:szCs w:val="24"/>
        </w:rPr>
      </w:pPr>
      <w:r w:rsidRPr="00596C5E">
        <w:rPr>
          <w:rFonts w:ascii="Calibri" w:hAnsi="Calibri" w:cs="Calibri"/>
          <w:color w:val="000000"/>
          <w:sz w:val="24"/>
          <w:szCs w:val="24"/>
        </w:rPr>
        <w:t>Requirements were grouped into four categories: data requirements (the workbook must accept repeatable weekly BI and GA4 extracts through a fixed, documented five-sheet schema), analytical requirements (scores and rankings must be reproducible from the same input and auditable in terms of their component weights), decision requirements (every recommendation must carry an identifiable rule, an owner and a confidence level), and verification requirements (the system must be able to demonstrate its own correctness on demand, rather than relying solely on manual inspection). This last category proved unusually important in practice: because the project was developed and tested by a single person against synthetic data rather than validated by an external client, an internal, automated verification capability (Chapter 4, section 4.8) became the primary mechanism for building and maintaining confidence in the system's correctness throughout an iterative build.</w:t>
      </w:r>
    </w:p>
    <w:p w14:paraId="29BCAE7F" w14:textId="77777777" w:rsidR="00596C5E" w:rsidRDefault="00596C5E">
      <w:pPr>
        <w:spacing w:after="200" w:line="360" w:lineRule="auto"/>
        <w:jc w:val="both"/>
        <w:rPr>
          <w:rFonts w:ascii="Calibri" w:hAnsi="Calibri" w:cs="Calibri"/>
          <w:color w:val="000000"/>
          <w:sz w:val="24"/>
          <w:szCs w:val="24"/>
        </w:rPr>
      </w:pPr>
    </w:p>
    <w:p w14:paraId="1454A8AB" w14:textId="77777777" w:rsidR="00596C5E" w:rsidRDefault="00596C5E">
      <w:pPr>
        <w:spacing w:after="200" w:line="360" w:lineRule="auto"/>
        <w:jc w:val="both"/>
        <w:rPr>
          <w:rFonts w:ascii="Calibri" w:hAnsi="Calibri" w:cs="Calibri"/>
          <w:color w:val="000000"/>
          <w:sz w:val="24"/>
          <w:szCs w:val="24"/>
        </w:rPr>
      </w:pPr>
    </w:p>
    <w:p w14:paraId="78857B5F" w14:textId="77777777" w:rsidR="00596C5E" w:rsidRDefault="00596C5E">
      <w:pPr>
        <w:spacing w:after="200" w:line="360" w:lineRule="auto"/>
        <w:jc w:val="both"/>
        <w:rPr>
          <w:rFonts w:ascii="Calibri" w:hAnsi="Calibri" w:cs="Calibri"/>
          <w:color w:val="000000"/>
          <w:sz w:val="24"/>
          <w:szCs w:val="24"/>
        </w:rPr>
      </w:pPr>
    </w:p>
    <w:p w14:paraId="6C924B44" w14:textId="77777777" w:rsidR="00596C5E" w:rsidRDefault="00596C5E">
      <w:pPr>
        <w:spacing w:after="200" w:line="360" w:lineRule="auto"/>
        <w:jc w:val="both"/>
        <w:rPr>
          <w:rFonts w:ascii="Calibri" w:hAnsi="Calibri" w:cs="Calibri"/>
          <w:color w:val="000000"/>
          <w:sz w:val="24"/>
          <w:szCs w:val="24"/>
        </w:rPr>
      </w:pPr>
    </w:p>
    <w:p w14:paraId="1596B008" w14:textId="77777777" w:rsidR="00596C5E" w:rsidRDefault="00596C5E">
      <w:pPr>
        <w:spacing w:after="200" w:line="360" w:lineRule="auto"/>
        <w:jc w:val="both"/>
        <w:rPr>
          <w:rFonts w:ascii="Calibri" w:hAnsi="Calibri" w:cs="Calibri"/>
          <w:color w:val="000000"/>
          <w:sz w:val="24"/>
          <w:szCs w:val="24"/>
        </w:rPr>
      </w:pPr>
    </w:p>
    <w:p w14:paraId="067D31E2" w14:textId="77777777" w:rsidR="00596C5E" w:rsidRDefault="00596C5E">
      <w:pPr>
        <w:spacing w:after="200" w:line="360" w:lineRule="auto"/>
        <w:jc w:val="both"/>
        <w:rPr>
          <w:rFonts w:ascii="Calibri" w:hAnsi="Calibri" w:cs="Calibri"/>
          <w:sz w:val="24"/>
          <w:szCs w:val="24"/>
        </w:rPr>
      </w:pPr>
    </w:p>
    <w:p w14:paraId="2743C420" w14:textId="77777777" w:rsidR="00593177" w:rsidRDefault="00593177">
      <w:pPr>
        <w:spacing w:after="200" w:line="360" w:lineRule="auto"/>
        <w:jc w:val="both"/>
        <w:rPr>
          <w:rFonts w:ascii="Calibri" w:hAnsi="Calibri" w:cs="Calibri"/>
          <w:sz w:val="24"/>
          <w:szCs w:val="24"/>
        </w:rPr>
      </w:pPr>
    </w:p>
    <w:p w14:paraId="08F3825A" w14:textId="77777777" w:rsidR="00AA5E41" w:rsidRPr="00596C5E" w:rsidRDefault="00AA5E41">
      <w:pPr>
        <w:spacing w:after="200" w:line="360" w:lineRule="auto"/>
        <w:jc w:val="both"/>
        <w:rPr>
          <w:rFonts w:ascii="Calibri" w:hAnsi="Calibri" w:cs="Calibri"/>
          <w:sz w:val="24"/>
          <w:szCs w:val="24"/>
        </w:rPr>
      </w:pPr>
    </w:p>
    <w:p w14:paraId="223D1B16" w14:textId="2C2233AD" w:rsidR="00BA2B53" w:rsidRPr="00596C5E" w:rsidRDefault="00BA2B53">
      <w:pPr>
        <w:rPr>
          <w:rFonts w:ascii="Calibri" w:hAnsi="Calibri" w:cs="Calibri"/>
        </w:rPr>
      </w:pPr>
    </w:p>
    <w:tbl>
      <w:tblPr>
        <w:tblW w:w="0" w:type="auto"/>
        <w:jc w:val="center"/>
        <w:tblCellMar>
          <w:left w:w="10" w:type="dxa"/>
          <w:right w:w="10" w:type="dxa"/>
        </w:tblCellMar>
        <w:tblLook w:val="04A0" w:firstRow="1" w:lastRow="0" w:firstColumn="1" w:lastColumn="0" w:noHBand="0" w:noVBand="1"/>
      </w:tblPr>
      <w:tblGrid>
        <w:gridCol w:w="1683"/>
        <w:gridCol w:w="1822"/>
        <w:gridCol w:w="2470"/>
        <w:gridCol w:w="1915"/>
        <w:gridCol w:w="1705"/>
      </w:tblGrid>
      <w:tr w:rsidR="00BA2B53" w14:paraId="223D1B1C" w14:textId="77777777">
        <w:trPr>
          <w:cantSplit/>
          <w:tblHeader/>
          <w:jc w:val="center"/>
        </w:trPr>
        <w:tc>
          <w:tcPr>
            <w:tcW w:w="192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B17" w14:textId="77777777" w:rsidR="00BA2B53" w:rsidRPr="00D1608B" w:rsidRDefault="00116450">
            <w:pPr>
              <w:rPr>
                <w:rFonts w:ascii="Calibri" w:hAnsi="Calibri" w:cs="Calibri"/>
                <w:sz w:val="20"/>
                <w:szCs w:val="20"/>
              </w:rPr>
            </w:pPr>
            <w:r w:rsidRPr="00D1608B">
              <w:rPr>
                <w:rFonts w:ascii="Calibri" w:hAnsi="Calibri" w:cs="Calibri"/>
                <w:b/>
                <w:color w:val="000000"/>
                <w:sz w:val="20"/>
                <w:szCs w:val="20"/>
              </w:rPr>
              <w:t>ID</w:t>
            </w:r>
          </w:p>
        </w:tc>
        <w:tc>
          <w:tcPr>
            <w:tcW w:w="192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B18" w14:textId="77777777" w:rsidR="00BA2B53" w:rsidRPr="00D1608B" w:rsidRDefault="00116450">
            <w:pPr>
              <w:rPr>
                <w:rFonts w:ascii="Calibri" w:hAnsi="Calibri" w:cs="Calibri"/>
                <w:sz w:val="20"/>
                <w:szCs w:val="20"/>
              </w:rPr>
            </w:pPr>
            <w:r w:rsidRPr="00D1608B">
              <w:rPr>
                <w:rFonts w:ascii="Calibri" w:hAnsi="Calibri" w:cs="Calibri"/>
                <w:b/>
                <w:color w:val="000000"/>
                <w:sz w:val="20"/>
                <w:szCs w:val="20"/>
              </w:rPr>
              <w:t>Requirement</w:t>
            </w:r>
          </w:p>
        </w:tc>
        <w:tc>
          <w:tcPr>
            <w:tcW w:w="192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B19" w14:textId="77777777" w:rsidR="00BA2B53" w:rsidRPr="00D1608B" w:rsidRDefault="00116450">
            <w:pPr>
              <w:rPr>
                <w:rFonts w:ascii="Calibri" w:hAnsi="Calibri" w:cs="Calibri"/>
                <w:sz w:val="20"/>
                <w:szCs w:val="20"/>
              </w:rPr>
            </w:pPr>
            <w:r w:rsidRPr="00D1608B">
              <w:rPr>
                <w:rFonts w:ascii="Calibri" w:hAnsi="Calibri" w:cs="Calibri"/>
                <w:b/>
                <w:color w:val="000000"/>
                <w:sz w:val="20"/>
                <w:szCs w:val="20"/>
              </w:rPr>
              <w:t>Implementation</w:t>
            </w:r>
          </w:p>
        </w:tc>
        <w:tc>
          <w:tcPr>
            <w:tcW w:w="192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B1A" w14:textId="77777777" w:rsidR="00BA2B53" w:rsidRPr="00D1608B" w:rsidRDefault="00116450">
            <w:pPr>
              <w:rPr>
                <w:rFonts w:ascii="Calibri" w:hAnsi="Calibri" w:cs="Calibri"/>
                <w:sz w:val="20"/>
                <w:szCs w:val="20"/>
              </w:rPr>
            </w:pPr>
            <w:r w:rsidRPr="00D1608B">
              <w:rPr>
                <w:rFonts w:ascii="Calibri" w:hAnsi="Calibri" w:cs="Calibri"/>
                <w:b/>
                <w:color w:val="000000"/>
                <w:sz w:val="20"/>
                <w:szCs w:val="20"/>
              </w:rPr>
              <w:t>Verification / evidence</w:t>
            </w:r>
          </w:p>
        </w:tc>
        <w:tc>
          <w:tcPr>
            <w:tcW w:w="192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B1B" w14:textId="77777777" w:rsidR="00BA2B53" w:rsidRPr="00D1608B" w:rsidRDefault="00116450">
            <w:pPr>
              <w:rPr>
                <w:rFonts w:ascii="Calibri" w:hAnsi="Calibri" w:cs="Calibri"/>
                <w:sz w:val="20"/>
                <w:szCs w:val="20"/>
              </w:rPr>
            </w:pPr>
            <w:r w:rsidRPr="00D1608B">
              <w:rPr>
                <w:rFonts w:ascii="Calibri" w:hAnsi="Calibri" w:cs="Calibri"/>
                <w:b/>
                <w:color w:val="000000"/>
                <w:sz w:val="20"/>
                <w:szCs w:val="20"/>
              </w:rPr>
              <w:t>Status</w:t>
            </w:r>
          </w:p>
        </w:tc>
      </w:tr>
      <w:tr w:rsidR="00BA2B53" w14:paraId="223D1B22"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1D" w14:textId="033B8D3C" w:rsidR="00BA2B53" w:rsidRPr="00D1608B" w:rsidRDefault="00116450">
            <w:pPr>
              <w:rPr>
                <w:rFonts w:ascii="Calibri" w:hAnsi="Calibri" w:cs="Calibri"/>
                <w:sz w:val="20"/>
                <w:szCs w:val="20"/>
              </w:rPr>
            </w:pPr>
            <w:r w:rsidRPr="00D1608B">
              <w:rPr>
                <w:rFonts w:ascii="Calibri" w:hAnsi="Calibri" w:cs="Calibri"/>
                <w:color w:val="000000"/>
                <w:sz w:val="20"/>
                <w:szCs w:val="20"/>
              </w:rPr>
              <w:t>FR-01</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1E"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Validate and import a controlled five-sheet workbook</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1F"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Data Workspace; excel_import.import_excel()</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0"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INT-04 transactional import; validation feedback</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1"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28"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3"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FR-02</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4"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Integrate BI and GA4 evidence at product level</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5"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scoring.build_master()</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6"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60-product integrated queue; integration checks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7"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2E"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9"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FR-03</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A"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Produce transparent, reproducible product rankings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B"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_normalise_minmax(); score()</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C"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RNK-01 to RNK-06</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D"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34"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2F"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FR-04</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0"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Convert evidence into explainable actions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1"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classify_action(); build_action_queue()</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2"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ACT-01 to ACT-05; visible rule/evidence/owner</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3"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3A"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5"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FR-05</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6"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Compare fixed merchandising strategies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7"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Scenario Lab; score() with preset weights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8"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INT-03 plus observed rank movement</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9"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40"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B"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NFR-01</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C"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Preserve valid state when an import fails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D"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Strict validation + atomic SQLite transaction</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E"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INT-04 rollback check</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3F"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r w:rsidR="00BA2B53" w14:paraId="223D1B46" w14:textId="77777777">
        <w:trPr>
          <w:cantSplit/>
          <w:jc w:val="center"/>
        </w:trPr>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41"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NFR-02</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42"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Handle edge and degenerate inputs safely</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43"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Scoring and evaluation guards</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44"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ROB-01 to ROB-04</w:t>
            </w:r>
          </w:p>
        </w:tc>
        <w:tc>
          <w:tcPr>
            <w:tcW w:w="192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B45" w14:textId="77777777" w:rsidR="00BA2B53" w:rsidRPr="00D1608B" w:rsidRDefault="00116450">
            <w:pPr>
              <w:rPr>
                <w:rFonts w:ascii="Calibri" w:hAnsi="Calibri" w:cs="Calibri"/>
                <w:sz w:val="20"/>
                <w:szCs w:val="20"/>
              </w:rPr>
            </w:pPr>
            <w:r w:rsidRPr="00D1608B">
              <w:rPr>
                <w:rFonts w:ascii="Calibri" w:hAnsi="Calibri" w:cs="Calibri"/>
                <w:color w:val="000000"/>
                <w:sz w:val="20"/>
                <w:szCs w:val="20"/>
              </w:rPr>
              <w:t>Met</w:t>
            </w:r>
          </w:p>
        </w:tc>
      </w:tr>
    </w:tbl>
    <w:p w14:paraId="223D1B47" w14:textId="73789377" w:rsidR="00BA2B53" w:rsidRPr="00F91284" w:rsidRDefault="00AA5E41">
      <w:pPr>
        <w:spacing w:after="140"/>
        <w:jc w:val="center"/>
        <w:rPr>
          <w:rFonts w:ascii="Calibri" w:hAnsi="Calibri" w:cs="Calibri"/>
          <w:sz w:val="20"/>
          <w:szCs w:val="20"/>
        </w:rPr>
      </w:pPr>
      <w:r>
        <w:rPr>
          <w:rFonts w:ascii="Calibri" w:hAnsi="Calibri" w:cs="Calibri"/>
          <w:i/>
          <w:color w:val="000000"/>
          <w:sz w:val="20"/>
          <w:szCs w:val="20"/>
        </w:rPr>
        <w:br/>
      </w:r>
      <w:r w:rsidR="00116450" w:rsidRPr="00F91284">
        <w:rPr>
          <w:rFonts w:ascii="Calibri" w:hAnsi="Calibri" w:cs="Calibri"/>
          <w:i/>
          <w:color w:val="000000"/>
          <w:sz w:val="20"/>
          <w:szCs w:val="20"/>
        </w:rPr>
        <w:t xml:space="preserve">Table 3.2 </w:t>
      </w:r>
      <w:r w:rsidR="00B0170A">
        <w:rPr>
          <w:rFonts w:ascii="Calibri" w:hAnsi="Calibri" w:cs="Calibri"/>
          <w:i/>
          <w:color w:val="000000"/>
          <w:sz w:val="20"/>
          <w:szCs w:val="20"/>
        </w:rPr>
        <w:t>s</w:t>
      </w:r>
      <w:r w:rsidR="00B0170A" w:rsidRPr="00B0170A">
        <w:rPr>
          <w:rFonts w:ascii="Calibri" w:hAnsi="Calibri" w:cs="Calibri"/>
          <w:i/>
          <w:color w:val="000000"/>
          <w:sz w:val="20"/>
          <w:szCs w:val="20"/>
        </w:rPr>
        <w:t>ummarises the project requirements, where FR denotes functional requirements and NFR denotes non-functional requirements</w:t>
      </w:r>
      <w:r w:rsidR="00116450" w:rsidRPr="00F91284">
        <w:rPr>
          <w:rFonts w:ascii="Calibri" w:hAnsi="Calibri" w:cs="Calibri"/>
          <w:i/>
          <w:color w:val="000000"/>
          <w:sz w:val="20"/>
          <w:szCs w:val="20"/>
        </w:rPr>
        <w:t>.</w:t>
      </w:r>
    </w:p>
    <w:p w14:paraId="223D1B49" w14:textId="77777777" w:rsidR="00BA2B53" w:rsidRPr="006472EC" w:rsidRDefault="00116450">
      <w:pPr>
        <w:pStyle w:val="Heading2"/>
        <w:spacing w:before="300" w:after="160"/>
        <w:rPr>
          <w:rFonts w:ascii="Calibri" w:hAnsi="Calibri" w:cs="Calibri"/>
        </w:rPr>
      </w:pPr>
      <w:bookmarkStart w:id="19" w:name="_Toc237246555"/>
      <w:r w:rsidRPr="006472EC">
        <w:rPr>
          <w:rFonts w:ascii="Calibri" w:hAnsi="Calibri" w:cs="Calibri"/>
          <w:bCs/>
          <w:sz w:val="27"/>
          <w:szCs w:val="27"/>
        </w:rPr>
        <w:t>3.3 Data Design</w:t>
      </w:r>
      <w:bookmarkEnd w:id="19"/>
    </w:p>
    <w:p w14:paraId="0A97325A" w14:textId="77777777" w:rsidR="00244690" w:rsidRDefault="00116450">
      <w:pPr>
        <w:spacing w:after="200" w:line="360" w:lineRule="auto"/>
        <w:jc w:val="both"/>
        <w:rPr>
          <w:rFonts w:ascii="Calibri" w:hAnsi="Calibri" w:cs="Calibri"/>
          <w:noProof/>
        </w:rPr>
      </w:pPr>
      <w:r w:rsidRPr="006472EC">
        <w:rPr>
          <w:rFonts w:ascii="Calibri" w:hAnsi="Calibri" w:cs="Calibri"/>
          <w:color w:val="000000"/>
          <w:sz w:val="24"/>
          <w:szCs w:val="24"/>
        </w:rPr>
        <w:t xml:space="preserve">The system is built around a fixed, validated five-sheet Excel schema: BI Product, BI Category, GA4 Product, GA4 Pages and GA4 Search. A structured workbook was selected as a pragmatic prototype boundary because it can represent repeatable weekly extracts without introducing the authentication, API and warehouse dependencies of a production integration. Each worksheet maps to a corresponding SQLite analytical table with explicit columns, range checks and composite uniqueness constraints. Import is transactional: every sheet, column, key and value is validated in memory before any mutation occurs, and a single transaction either replaces the analytical source </w:t>
      </w:r>
      <w:r w:rsidRPr="006472EC">
        <w:rPr>
          <w:rFonts w:ascii="Calibri" w:hAnsi="Calibri" w:cs="Calibri"/>
          <w:color w:val="000000"/>
          <w:sz w:val="24"/>
          <w:szCs w:val="24"/>
        </w:rPr>
        <w:lastRenderedPageBreak/>
        <w:t>tables or preserves the previous dataset. This design prioritises data integrity because a decision-support system can produce plausible but incorrect recommendations if malformed inputs are silently coerced or partially imported.</w:t>
      </w:r>
      <w:r w:rsidR="00244690" w:rsidRPr="00244690">
        <w:rPr>
          <w:rFonts w:ascii="Calibri" w:hAnsi="Calibri" w:cs="Calibri"/>
          <w:noProof/>
        </w:rPr>
        <w:t xml:space="preserve"> </w:t>
      </w:r>
    </w:p>
    <w:p w14:paraId="223D1B4A" w14:textId="0E84755D" w:rsidR="00BA2B53" w:rsidRPr="006472EC" w:rsidRDefault="00244690">
      <w:pPr>
        <w:spacing w:after="200" w:line="360" w:lineRule="auto"/>
        <w:jc w:val="both"/>
        <w:rPr>
          <w:rFonts w:ascii="Calibri" w:hAnsi="Calibri" w:cs="Calibri"/>
          <w:sz w:val="24"/>
          <w:szCs w:val="24"/>
        </w:rPr>
      </w:pPr>
      <w:r w:rsidRPr="009648DF">
        <w:rPr>
          <w:rFonts w:ascii="Calibri" w:hAnsi="Calibri" w:cs="Calibri"/>
          <w:noProof/>
        </w:rPr>
        <w:drawing>
          <wp:inline distT="0" distB="0" distL="0" distR="0" wp14:anchorId="0241D547" wp14:editId="2840E8D6">
            <wp:extent cx="6591869" cy="4394350"/>
            <wp:effectExtent l="0" t="0" r="0" b="6350"/>
            <wp:docPr id="1560884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84913" name="Picture 15608849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39179" cy="4425888"/>
                    </a:xfrm>
                    <a:prstGeom prst="rect">
                      <a:avLst/>
                    </a:prstGeom>
                  </pic:spPr>
                </pic:pic>
              </a:graphicData>
            </a:graphic>
          </wp:inline>
        </w:drawing>
      </w:r>
    </w:p>
    <w:p w14:paraId="223D1B4C" w14:textId="20181FD4" w:rsidR="00BA2B53" w:rsidRPr="00244690" w:rsidRDefault="00244690" w:rsidP="00244690">
      <w:pPr>
        <w:spacing w:line="360" w:lineRule="auto"/>
        <w:rPr>
          <w:rFonts w:ascii="Calibri" w:hAnsi="Calibri" w:cs="Calibri"/>
          <w:i/>
          <w:iCs/>
        </w:rPr>
      </w:pPr>
      <w:r w:rsidRPr="00685F7F">
        <w:rPr>
          <w:rFonts w:ascii="Calibri" w:hAnsi="Calibri" w:cs="Calibri"/>
          <w:i/>
          <w:iCs/>
          <w:color w:val="000000"/>
          <w:sz w:val="22"/>
        </w:rPr>
        <w:t>Figure 3.2 shows the logical data model. BI Product and GA4 Product are combined at application level on product_id for the selected week; this is deliberately not represented as a database foreign key because the GA4 table has a finer region/device grain. The only enforced foreign-key relationship in the persistence model is from stored rankings to their named scenario, while uniqueness constraints prevent duplicate business keys within each source table.</w:t>
      </w:r>
    </w:p>
    <w:p w14:paraId="223D1B4F" w14:textId="20181FD4" w:rsidR="00BA2B53" w:rsidRPr="002D7ACE" w:rsidRDefault="00116450" w:rsidP="002D7ACE">
      <w:pPr>
        <w:pStyle w:val="Heading2"/>
        <w:spacing w:before="300" w:after="160"/>
        <w:rPr>
          <w:rFonts w:ascii="Calibri" w:hAnsi="Calibri" w:cs="Calibri"/>
        </w:rPr>
      </w:pPr>
      <w:bookmarkStart w:id="20" w:name="_Toc237246556"/>
      <w:r w:rsidRPr="006472EC">
        <w:rPr>
          <w:rFonts w:ascii="Calibri" w:hAnsi="Calibri" w:cs="Calibri"/>
          <w:bCs/>
          <w:sz w:val="27"/>
          <w:szCs w:val="27"/>
        </w:rPr>
        <w:t>3.4 Technology Selection</w:t>
      </w:r>
      <w:bookmarkEnd w:id="20"/>
    </w:p>
    <w:tbl>
      <w:tblPr>
        <w:tblW w:w="102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76"/>
        <w:gridCol w:w="6858"/>
      </w:tblGrid>
      <w:tr w:rsidR="00BA2B53" w14:paraId="223D1B52" w14:textId="77777777" w:rsidTr="00435CD6">
        <w:trPr>
          <w:cantSplit/>
          <w:trHeight w:val="391"/>
          <w:tblHeader/>
        </w:trPr>
        <w:tc>
          <w:tcPr>
            <w:tcW w:w="3376" w:type="dxa"/>
            <w:shd w:val="clear" w:color="auto" w:fill="D9D9D9"/>
          </w:tcPr>
          <w:p w14:paraId="223D1B50" w14:textId="77777777" w:rsidR="00BA2B53" w:rsidRPr="006472EC" w:rsidRDefault="00116450">
            <w:pPr>
              <w:spacing w:line="276" w:lineRule="auto"/>
              <w:rPr>
                <w:rFonts w:ascii="Calibri" w:hAnsi="Calibri" w:cs="Calibri"/>
              </w:rPr>
            </w:pPr>
            <w:r w:rsidRPr="006472EC">
              <w:rPr>
                <w:rFonts w:ascii="Calibri" w:hAnsi="Calibri" w:cs="Calibri"/>
                <w:b/>
                <w:bCs/>
                <w:color w:val="000000"/>
                <w:sz w:val="20"/>
                <w:szCs w:val="20"/>
              </w:rPr>
              <w:t>Technology</w:t>
            </w:r>
          </w:p>
        </w:tc>
        <w:tc>
          <w:tcPr>
            <w:tcW w:w="6858" w:type="dxa"/>
            <w:shd w:val="clear" w:color="auto" w:fill="D9D9D9"/>
          </w:tcPr>
          <w:p w14:paraId="223D1B51" w14:textId="77777777" w:rsidR="00BA2B53" w:rsidRPr="006472EC" w:rsidRDefault="00116450">
            <w:pPr>
              <w:spacing w:line="276" w:lineRule="auto"/>
              <w:rPr>
                <w:rFonts w:ascii="Calibri" w:hAnsi="Calibri" w:cs="Calibri"/>
              </w:rPr>
            </w:pPr>
            <w:r w:rsidRPr="006472EC">
              <w:rPr>
                <w:rFonts w:ascii="Calibri" w:hAnsi="Calibri" w:cs="Calibri"/>
                <w:b/>
                <w:bCs/>
                <w:color w:val="000000"/>
                <w:sz w:val="20"/>
                <w:szCs w:val="20"/>
              </w:rPr>
              <w:t>Reason for selection</w:t>
            </w:r>
          </w:p>
        </w:tc>
      </w:tr>
      <w:tr w:rsidR="00BA2B53" w14:paraId="223D1B55" w14:textId="77777777" w:rsidTr="00435CD6">
        <w:trPr>
          <w:cantSplit/>
          <w:trHeight w:val="441"/>
        </w:trPr>
        <w:tc>
          <w:tcPr>
            <w:tcW w:w="3376" w:type="dxa"/>
          </w:tcPr>
          <w:p w14:paraId="223D1B53"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Python</w:t>
            </w:r>
          </w:p>
        </w:tc>
        <w:tc>
          <w:tcPr>
            <w:tcW w:w="6858" w:type="dxa"/>
          </w:tcPr>
          <w:p w14:paraId="223D1B54"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Readable language with a mature, well-documented data-processing ecosystem</w:t>
            </w:r>
          </w:p>
        </w:tc>
      </w:tr>
      <w:tr w:rsidR="00BA2B53" w14:paraId="223D1B58" w14:textId="77777777" w:rsidTr="00435CD6">
        <w:trPr>
          <w:cantSplit/>
          <w:trHeight w:val="375"/>
        </w:trPr>
        <w:tc>
          <w:tcPr>
            <w:tcW w:w="3376" w:type="dxa"/>
          </w:tcPr>
          <w:p w14:paraId="223D1B56" w14:textId="524DA6E2" w:rsidR="00BA2B53" w:rsidRPr="006472EC" w:rsidRDefault="00116450">
            <w:pPr>
              <w:spacing w:line="276" w:lineRule="auto"/>
              <w:rPr>
                <w:rFonts w:ascii="Calibri" w:hAnsi="Calibri" w:cs="Calibri"/>
              </w:rPr>
            </w:pPr>
            <w:r w:rsidRPr="006472EC">
              <w:rPr>
                <w:rFonts w:ascii="Calibri" w:hAnsi="Calibri" w:cs="Calibri"/>
                <w:color w:val="000000"/>
                <w:sz w:val="20"/>
                <w:szCs w:val="20"/>
              </w:rPr>
              <w:t>Flask</w:t>
            </w:r>
          </w:p>
        </w:tc>
        <w:tc>
          <w:tcPr>
            <w:tcW w:w="6858" w:type="dxa"/>
          </w:tcPr>
          <w:p w14:paraId="223D1B57"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Lightweight framework suited to a focused, server-rendered prototype</w:t>
            </w:r>
          </w:p>
        </w:tc>
      </w:tr>
      <w:tr w:rsidR="00BA2B53" w14:paraId="223D1B5B" w14:textId="77777777" w:rsidTr="00435CD6">
        <w:trPr>
          <w:cantSplit/>
          <w:trHeight w:val="391"/>
        </w:trPr>
        <w:tc>
          <w:tcPr>
            <w:tcW w:w="3376" w:type="dxa"/>
          </w:tcPr>
          <w:p w14:paraId="223D1B59" w14:textId="48F9FFC9" w:rsidR="00BA2B53" w:rsidRPr="006472EC" w:rsidRDefault="00116450">
            <w:pPr>
              <w:spacing w:line="276" w:lineRule="auto"/>
              <w:rPr>
                <w:rFonts w:ascii="Calibri" w:hAnsi="Calibri" w:cs="Calibri"/>
              </w:rPr>
            </w:pPr>
            <w:r w:rsidRPr="006472EC">
              <w:rPr>
                <w:rFonts w:ascii="Calibri" w:hAnsi="Calibri" w:cs="Calibri"/>
                <w:color w:val="000000"/>
                <w:sz w:val="20"/>
                <w:szCs w:val="20"/>
              </w:rPr>
              <w:t>pandas</w:t>
            </w:r>
          </w:p>
        </w:tc>
        <w:tc>
          <w:tcPr>
            <w:tcW w:w="6858" w:type="dxa"/>
          </w:tcPr>
          <w:p w14:paraId="223D1B5A"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Efficient tabular integration, aggregation, cleaning and ranking</w:t>
            </w:r>
          </w:p>
        </w:tc>
      </w:tr>
      <w:tr w:rsidR="00BA2B53" w14:paraId="223D1B5E" w14:textId="77777777" w:rsidTr="00435CD6">
        <w:trPr>
          <w:cantSplit/>
          <w:trHeight w:val="375"/>
        </w:trPr>
        <w:tc>
          <w:tcPr>
            <w:tcW w:w="3376" w:type="dxa"/>
          </w:tcPr>
          <w:p w14:paraId="223D1B5C"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NumPy</w:t>
            </w:r>
          </w:p>
        </w:tc>
        <w:tc>
          <w:tcPr>
            <w:tcW w:w="6858" w:type="dxa"/>
          </w:tcPr>
          <w:p w14:paraId="223D1B5D"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Numeric validation and bounded, vectorised calculations</w:t>
            </w:r>
          </w:p>
        </w:tc>
      </w:tr>
      <w:tr w:rsidR="00BA2B53" w14:paraId="223D1B61" w14:textId="77777777" w:rsidTr="00435CD6">
        <w:trPr>
          <w:cantSplit/>
          <w:trHeight w:val="391"/>
        </w:trPr>
        <w:tc>
          <w:tcPr>
            <w:tcW w:w="3376" w:type="dxa"/>
          </w:tcPr>
          <w:p w14:paraId="223D1B5F" w14:textId="5A46ED6F" w:rsidR="00BA2B53" w:rsidRPr="006472EC" w:rsidRDefault="00116450">
            <w:pPr>
              <w:spacing w:line="276" w:lineRule="auto"/>
              <w:rPr>
                <w:rFonts w:ascii="Calibri" w:hAnsi="Calibri" w:cs="Calibri"/>
              </w:rPr>
            </w:pPr>
            <w:r w:rsidRPr="006472EC">
              <w:rPr>
                <w:rFonts w:ascii="Calibri" w:hAnsi="Calibri" w:cs="Calibri"/>
                <w:color w:val="000000"/>
                <w:sz w:val="20"/>
                <w:szCs w:val="20"/>
              </w:rPr>
              <w:t>SQLite</w:t>
            </w:r>
          </w:p>
        </w:tc>
        <w:tc>
          <w:tcPr>
            <w:tcW w:w="6858" w:type="dxa"/>
          </w:tcPr>
          <w:p w14:paraId="223D1B60"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Portable, serverless persistence appropriate for a local, single-user prototype</w:t>
            </w:r>
          </w:p>
        </w:tc>
      </w:tr>
      <w:tr w:rsidR="00BA2B53" w14:paraId="223D1B64" w14:textId="77777777" w:rsidTr="00435CD6">
        <w:trPr>
          <w:cantSplit/>
          <w:trHeight w:val="375"/>
        </w:trPr>
        <w:tc>
          <w:tcPr>
            <w:tcW w:w="3376" w:type="dxa"/>
          </w:tcPr>
          <w:p w14:paraId="223D1B62"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HTML, CSS, Jinja</w:t>
            </w:r>
          </w:p>
        </w:tc>
        <w:tc>
          <w:tcPr>
            <w:tcW w:w="6858" w:type="dxa"/>
          </w:tcPr>
          <w:p w14:paraId="223D1B63"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Low-complexity, accessible, server-rendered presentation</w:t>
            </w:r>
          </w:p>
        </w:tc>
      </w:tr>
      <w:tr w:rsidR="00BA2B53" w14:paraId="223D1B67" w14:textId="77777777" w:rsidTr="00435CD6">
        <w:trPr>
          <w:cantSplit/>
          <w:trHeight w:val="391"/>
        </w:trPr>
        <w:tc>
          <w:tcPr>
            <w:tcW w:w="3376" w:type="dxa"/>
          </w:tcPr>
          <w:p w14:paraId="223D1B65"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lastRenderedPageBreak/>
              <w:t>JavaScript, Chart.js</w:t>
            </w:r>
          </w:p>
        </w:tc>
        <w:tc>
          <w:tcPr>
            <w:tcW w:w="6858" w:type="dxa"/>
          </w:tcPr>
          <w:p w14:paraId="223D1B66"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Focused browser interaction and lightweight visualisation</w:t>
            </w:r>
          </w:p>
        </w:tc>
      </w:tr>
      <w:tr w:rsidR="00BA2B53" w14:paraId="223D1B6A" w14:textId="77777777" w:rsidTr="00435CD6">
        <w:trPr>
          <w:cantSplit/>
          <w:trHeight w:val="375"/>
        </w:trPr>
        <w:tc>
          <w:tcPr>
            <w:tcW w:w="3376" w:type="dxa"/>
          </w:tcPr>
          <w:p w14:paraId="223D1B68"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openpyxl</w:t>
            </w:r>
          </w:p>
        </w:tc>
        <w:tc>
          <w:tcPr>
            <w:tcW w:w="6858" w:type="dxa"/>
          </w:tcPr>
          <w:p w14:paraId="223D1B69" w14:textId="77777777" w:rsidR="00BA2B53" w:rsidRPr="006472EC" w:rsidRDefault="00116450">
            <w:pPr>
              <w:spacing w:line="276" w:lineRule="auto"/>
              <w:rPr>
                <w:rFonts w:ascii="Calibri" w:hAnsi="Calibri" w:cs="Calibri"/>
              </w:rPr>
            </w:pPr>
            <w:r w:rsidRPr="006472EC">
              <w:rPr>
                <w:rFonts w:ascii="Calibri" w:hAnsi="Calibri" w:cs="Calibri"/>
                <w:color w:val="000000"/>
                <w:sz w:val="20"/>
                <w:szCs w:val="20"/>
              </w:rPr>
              <w:t>Reading, validating and generating Excel workbooks</w:t>
            </w:r>
          </w:p>
        </w:tc>
      </w:tr>
    </w:tbl>
    <w:p w14:paraId="223D1B6B" w14:textId="4AAD2E03" w:rsidR="00BA2B53" w:rsidRPr="00F5111D" w:rsidRDefault="00116450" w:rsidP="00435CD6">
      <w:pPr>
        <w:spacing w:before="100" w:after="140"/>
        <w:rPr>
          <w:rFonts w:ascii="Calibri" w:hAnsi="Calibri" w:cs="Calibri"/>
          <w:i/>
          <w:sz w:val="20"/>
          <w:szCs w:val="20"/>
        </w:rPr>
      </w:pPr>
      <w:r w:rsidRPr="00F5111D">
        <w:rPr>
          <w:rFonts w:ascii="Calibri" w:hAnsi="Calibri" w:cs="Calibri"/>
          <w:i/>
          <w:color w:val="000000"/>
          <w:sz w:val="20"/>
          <w:szCs w:val="20"/>
        </w:rPr>
        <w:t xml:space="preserve">Table 3.3: </w:t>
      </w:r>
      <w:r w:rsidR="002D7ACE" w:rsidRPr="00F5111D">
        <w:rPr>
          <w:rFonts w:ascii="Calibri" w:hAnsi="Calibri" w:cs="Calibri"/>
          <w:i/>
          <w:color w:val="000000"/>
          <w:sz w:val="20"/>
          <w:szCs w:val="20"/>
        </w:rPr>
        <w:t>Technology stack and rationale for selection</w:t>
      </w:r>
      <w:r w:rsidRPr="00F5111D">
        <w:rPr>
          <w:rFonts w:ascii="Calibri" w:hAnsi="Calibri" w:cs="Calibri"/>
          <w:i/>
          <w:color w:val="000000"/>
          <w:sz w:val="20"/>
          <w:szCs w:val="20"/>
        </w:rPr>
        <w:t>.</w:t>
      </w:r>
    </w:p>
    <w:p w14:paraId="223D1B6C" w14:textId="77777777" w:rsidR="00BA2B53" w:rsidRPr="002D7ACE" w:rsidRDefault="00116450">
      <w:pPr>
        <w:pStyle w:val="Heading2"/>
        <w:spacing w:before="300" w:after="160"/>
        <w:rPr>
          <w:rFonts w:ascii="Calibri" w:hAnsi="Calibri" w:cs="Calibri"/>
        </w:rPr>
      </w:pPr>
      <w:bookmarkStart w:id="21" w:name="_Toc237246557"/>
      <w:r w:rsidRPr="002D7ACE">
        <w:rPr>
          <w:rFonts w:ascii="Calibri" w:hAnsi="Calibri" w:cs="Calibri"/>
          <w:bCs/>
          <w:sz w:val="27"/>
          <w:szCs w:val="27"/>
        </w:rPr>
        <w:t>3.5 Development Method</w:t>
      </w:r>
      <w:bookmarkEnd w:id="21"/>
    </w:p>
    <w:p w14:paraId="223D1B6D" w14:textId="77777777" w:rsidR="00BA2B53" w:rsidRPr="002D7ACE" w:rsidRDefault="00116450">
      <w:pPr>
        <w:spacing w:after="200" w:line="360" w:lineRule="auto"/>
        <w:jc w:val="both"/>
        <w:rPr>
          <w:rFonts w:ascii="Calibri" w:hAnsi="Calibri" w:cs="Calibri"/>
          <w:sz w:val="24"/>
          <w:szCs w:val="24"/>
        </w:rPr>
      </w:pPr>
      <w:r w:rsidRPr="002D7ACE">
        <w:rPr>
          <w:rFonts w:ascii="Calibri" w:hAnsi="Calibri" w:cs="Calibri"/>
          <w:color w:val="000000"/>
          <w:sz w:val="24"/>
          <w:szCs w:val="24"/>
        </w:rPr>
        <w:t>Development proceeded iteratively, module by module, broadly following the data pipeline itself: the SQLite schema and connection lifecycle were established first, followed by workbook validation and import, product integration and scoring, the rule-based decision engine, Flask routes and Jinja templates, and finally the verification suite. Tests were extended as calculations and rules matured rather than being postponed until the end of the build. Source control was maintained in a private GitHub repository to preserve a working history and support rollback during iterative development. This incremental sequence reduced the risk of building interface behaviour on top of an unstable analytical core.</w:t>
      </w:r>
    </w:p>
    <w:p w14:paraId="223D1B6E" w14:textId="77777777" w:rsidR="00BA2B53" w:rsidRPr="002D7ACE" w:rsidRDefault="00116450">
      <w:pPr>
        <w:pStyle w:val="Heading2"/>
        <w:spacing w:before="300" w:after="160"/>
        <w:rPr>
          <w:rFonts w:ascii="Calibri" w:hAnsi="Calibri" w:cs="Calibri"/>
          <w:sz w:val="27"/>
          <w:szCs w:val="27"/>
        </w:rPr>
      </w:pPr>
      <w:bookmarkStart w:id="22" w:name="_Toc237246558"/>
      <w:r w:rsidRPr="002D7ACE">
        <w:rPr>
          <w:rFonts w:ascii="Calibri" w:hAnsi="Calibri" w:cs="Calibri"/>
          <w:sz w:val="27"/>
          <w:szCs w:val="27"/>
        </w:rPr>
        <w:t>3.6 Ethical, Data and Sustainability Considerations</w:t>
      </w:r>
      <w:bookmarkEnd w:id="22"/>
    </w:p>
    <w:p w14:paraId="223D1B6F" w14:textId="77777777" w:rsidR="00BA2B53" w:rsidRPr="002D7ACE" w:rsidRDefault="00116450">
      <w:pPr>
        <w:spacing w:after="200" w:line="360" w:lineRule="auto"/>
        <w:jc w:val="both"/>
        <w:rPr>
          <w:rFonts w:ascii="Calibri" w:hAnsi="Calibri" w:cs="Calibri"/>
          <w:sz w:val="24"/>
          <w:szCs w:val="24"/>
        </w:rPr>
      </w:pPr>
      <w:r w:rsidRPr="002D7ACE">
        <w:rPr>
          <w:rFonts w:ascii="Calibri" w:hAnsi="Calibri" w:cs="Calibri"/>
          <w:color w:val="000000"/>
          <w:sz w:val="24"/>
          <w:szCs w:val="24"/>
        </w:rPr>
        <w:t>MDSS is exercised exclusively against synthetic demonstration workbooks generated for this project; no live customer, order or personally identifiable data is processed by the implemented evaluation. This substantially reduces privacy risk within the prototype boundary, but it does not remove ethical obligations from the design. A future connection to live BI or GA4 feeds would require an appropriate privacy and data-protection assessment, authentication, role-based access, retention controls and audit logging. The decision-support framing is also an ethical control: recommendations remain reviewable and the merchandiser retains final authority rather than the system automatically executing stock or pricing decisions. From a sustainability perspective, the prototype uses a lightweight local Flask/SQLite architecture and does not require permanently hosted cloud services for demonstration; however, no energy or carbon measurement was undertaken. Any production architecture should therefore consider workload efficiency, data-retention policy and hosting choices alongside functional scale.</w:t>
      </w:r>
    </w:p>
    <w:p w14:paraId="223D1B70" w14:textId="77777777" w:rsidR="00BA2B53" w:rsidRPr="002D7ACE" w:rsidRDefault="00116450">
      <w:pPr>
        <w:pStyle w:val="Heading1"/>
        <w:spacing w:before="200" w:after="240"/>
        <w:rPr>
          <w:rFonts w:ascii="Bookman Old Style" w:hAnsi="Bookman Old Style"/>
        </w:rPr>
      </w:pPr>
      <w:bookmarkStart w:id="23" w:name="_Toc237246559"/>
      <w:r w:rsidRPr="002D7ACE">
        <w:rPr>
          <w:rFonts w:ascii="Bookman Old Style" w:hAnsi="Bookman Old Style"/>
          <w:bCs/>
        </w:rPr>
        <w:t>Chapter 4 - Design and Implementation / Testing</w:t>
      </w:r>
      <w:bookmarkEnd w:id="23"/>
    </w:p>
    <w:p w14:paraId="223D1B71" w14:textId="77777777" w:rsidR="00BA2B53" w:rsidRPr="002D7ACE" w:rsidRDefault="00116450">
      <w:pPr>
        <w:pStyle w:val="Heading2"/>
        <w:spacing w:before="300" w:after="160"/>
        <w:rPr>
          <w:rFonts w:ascii="Calibri" w:hAnsi="Calibri" w:cs="Calibri"/>
        </w:rPr>
      </w:pPr>
      <w:bookmarkStart w:id="24" w:name="_Toc237246560"/>
      <w:r w:rsidRPr="002D7ACE">
        <w:rPr>
          <w:rFonts w:ascii="Calibri" w:hAnsi="Calibri" w:cs="Calibri"/>
          <w:bCs/>
          <w:sz w:val="27"/>
          <w:szCs w:val="27"/>
        </w:rPr>
        <w:t>4.1 System Architecture</w:t>
      </w:r>
      <w:bookmarkEnd w:id="24"/>
    </w:p>
    <w:p w14:paraId="44744C89" w14:textId="77777777" w:rsidR="008F3043" w:rsidRDefault="00116450">
      <w:pPr>
        <w:spacing w:after="200" w:line="360" w:lineRule="auto"/>
        <w:jc w:val="both"/>
        <w:rPr>
          <w:rFonts w:ascii="Calibri" w:hAnsi="Calibri" w:cs="Calibri"/>
          <w:color w:val="000000"/>
          <w:sz w:val="24"/>
          <w:szCs w:val="24"/>
        </w:rPr>
      </w:pPr>
      <w:r w:rsidRPr="002D7ACE">
        <w:rPr>
          <w:rFonts w:ascii="Calibri" w:hAnsi="Calibri" w:cs="Calibri"/>
          <w:color w:val="000000"/>
          <w:sz w:val="24"/>
          <w:szCs w:val="24"/>
        </w:rPr>
        <w:t xml:space="preserve">MDSS is structured as a linear analytical pipeline, wrapped in a thin Flask presentation layer. A user-uploaded workbook passes through schema and value validation, transactional SQLite import, BI and GA4 product integration, min-max normalisation, weighted product ranking, rule-based action </w:t>
      </w:r>
      <w:r w:rsidRPr="002D7ACE">
        <w:rPr>
          <w:rFonts w:ascii="Calibri" w:hAnsi="Calibri" w:cs="Calibri"/>
          <w:color w:val="000000"/>
          <w:sz w:val="24"/>
          <w:szCs w:val="24"/>
        </w:rPr>
        <w:lastRenderedPageBreak/>
        <w:t>classification and, finally, presentation as a prioritised, explainable action queue. The pipeline is deliberately linear and deterministic between requests: source data, scenario definitions and stored rankings persist in SQLite, but no dashboard result or recommendation is hardcoded, and visible analytical outputs are recalculated from the currently imported dataset.</w:t>
      </w:r>
    </w:p>
    <w:p w14:paraId="223D1B72" w14:textId="3CA90CAB" w:rsidR="00BA2B53" w:rsidRPr="008F3043" w:rsidRDefault="00116450">
      <w:pPr>
        <w:spacing w:after="200" w:line="360" w:lineRule="auto"/>
        <w:jc w:val="both"/>
        <w:rPr>
          <w:rFonts w:ascii="Calibri" w:hAnsi="Calibri" w:cs="Calibri"/>
          <w:i/>
          <w:iCs/>
          <w:sz w:val="24"/>
          <w:szCs w:val="24"/>
        </w:rPr>
      </w:pPr>
      <w:r w:rsidRPr="008F3043">
        <w:rPr>
          <w:rFonts w:ascii="Calibri" w:hAnsi="Calibri" w:cs="Calibri"/>
          <w:i/>
          <w:iCs/>
          <w:color w:val="000000"/>
          <w:sz w:val="24"/>
          <w:szCs w:val="24"/>
        </w:rPr>
        <w:t>Table 4.1 sets out the separation of responsibilities between components.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6300"/>
      </w:tblGrid>
      <w:tr w:rsidR="00BA2B53" w14:paraId="223D1B75" w14:textId="77777777">
        <w:trPr>
          <w:cantSplit/>
          <w:tblHeader/>
        </w:trPr>
        <w:tc>
          <w:tcPr>
            <w:tcW w:w="3400" w:type="dxa"/>
            <w:shd w:val="clear" w:color="auto" w:fill="D9D9D9"/>
          </w:tcPr>
          <w:p w14:paraId="223D1B73" w14:textId="77777777" w:rsidR="00BA2B53" w:rsidRPr="002D7ACE" w:rsidRDefault="00116450">
            <w:pPr>
              <w:spacing w:line="276" w:lineRule="auto"/>
              <w:rPr>
                <w:rFonts w:ascii="Calibri" w:hAnsi="Calibri" w:cs="Calibri"/>
              </w:rPr>
            </w:pPr>
            <w:r w:rsidRPr="002D7ACE">
              <w:rPr>
                <w:rFonts w:ascii="Calibri" w:hAnsi="Calibri" w:cs="Calibri"/>
                <w:b/>
                <w:bCs/>
                <w:color w:val="000000"/>
                <w:sz w:val="20"/>
                <w:szCs w:val="20"/>
              </w:rPr>
              <w:t>Component</w:t>
            </w:r>
          </w:p>
        </w:tc>
        <w:tc>
          <w:tcPr>
            <w:tcW w:w="6300" w:type="dxa"/>
            <w:shd w:val="clear" w:color="auto" w:fill="D9D9D9"/>
          </w:tcPr>
          <w:p w14:paraId="223D1B74" w14:textId="77777777" w:rsidR="00BA2B53" w:rsidRPr="002D7ACE" w:rsidRDefault="00116450">
            <w:pPr>
              <w:spacing w:line="276" w:lineRule="auto"/>
              <w:rPr>
                <w:rFonts w:ascii="Calibri" w:hAnsi="Calibri" w:cs="Calibri"/>
              </w:rPr>
            </w:pPr>
            <w:r w:rsidRPr="002D7ACE">
              <w:rPr>
                <w:rFonts w:ascii="Calibri" w:hAnsi="Calibri" w:cs="Calibri"/>
                <w:b/>
                <w:bCs/>
                <w:color w:val="000000"/>
                <w:sz w:val="20"/>
                <w:szCs w:val="20"/>
              </w:rPr>
              <w:t>Responsibility</w:t>
            </w:r>
          </w:p>
        </w:tc>
      </w:tr>
      <w:tr w:rsidR="00BA2B53" w14:paraId="223D1B78" w14:textId="77777777">
        <w:trPr>
          <w:cantSplit/>
        </w:trPr>
        <w:tc>
          <w:tcPr>
            <w:tcW w:w="3400" w:type="dxa"/>
          </w:tcPr>
          <w:p w14:paraId="223D1B76"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app.py</w:t>
            </w:r>
          </w:p>
        </w:tc>
        <w:tc>
          <w:tcPr>
            <w:tcW w:w="6300" w:type="dxa"/>
          </w:tcPr>
          <w:p w14:paraId="223D1B77"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Creates the Flask application, coordinates routes and assembles page context</w:t>
            </w:r>
          </w:p>
        </w:tc>
      </w:tr>
      <w:tr w:rsidR="00BA2B53" w14:paraId="223D1B7B" w14:textId="77777777">
        <w:trPr>
          <w:cantSplit/>
        </w:trPr>
        <w:tc>
          <w:tcPr>
            <w:tcW w:w="3400" w:type="dxa"/>
          </w:tcPr>
          <w:p w14:paraId="223D1B79"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modules/excel_import.py</w:t>
            </w:r>
          </w:p>
        </w:tc>
        <w:tc>
          <w:tcPr>
            <w:tcW w:w="6300" w:type="dxa"/>
          </w:tcPr>
          <w:p w14:paraId="223D1B7A"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Validates and transactionally imports the five-sheet workbook</w:t>
            </w:r>
          </w:p>
        </w:tc>
      </w:tr>
      <w:tr w:rsidR="00BA2B53" w14:paraId="223D1B7E" w14:textId="77777777">
        <w:trPr>
          <w:cantSplit/>
        </w:trPr>
        <w:tc>
          <w:tcPr>
            <w:tcW w:w="3400" w:type="dxa"/>
          </w:tcPr>
          <w:p w14:paraId="223D1B7C"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modules/ingest.py</w:t>
            </w:r>
          </w:p>
        </w:tc>
        <w:tc>
          <w:tcPr>
            <w:tcW w:w="6300" w:type="dxa"/>
          </w:tcPr>
          <w:p w14:paraId="223D1B7D"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Creates the SQLite schema and manages connections and database integrity</w:t>
            </w:r>
          </w:p>
        </w:tc>
      </w:tr>
      <w:tr w:rsidR="00BA2B53" w14:paraId="223D1B81" w14:textId="77777777">
        <w:trPr>
          <w:cantSplit/>
        </w:trPr>
        <w:tc>
          <w:tcPr>
            <w:tcW w:w="3400" w:type="dxa"/>
          </w:tcPr>
          <w:p w14:paraId="223D1B7F"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modules/scoring.py</w:t>
            </w:r>
          </w:p>
        </w:tc>
        <w:tc>
          <w:tcPr>
            <w:tcW w:w="6300" w:type="dxa"/>
          </w:tcPr>
          <w:p w14:paraId="223D1B80"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Integrates BI and GA4 data, normalises metrics and calculates deterministic rankings</w:t>
            </w:r>
          </w:p>
        </w:tc>
      </w:tr>
      <w:tr w:rsidR="00BA2B53" w14:paraId="223D1B84" w14:textId="77777777">
        <w:trPr>
          <w:cantSplit/>
        </w:trPr>
        <w:tc>
          <w:tcPr>
            <w:tcW w:w="3400" w:type="dxa"/>
          </w:tcPr>
          <w:p w14:paraId="223D1B82"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modules/decision_engine.py</w:t>
            </w:r>
          </w:p>
        </w:tc>
        <w:tc>
          <w:tcPr>
            <w:tcW w:w="6300" w:type="dxa"/>
          </w:tcPr>
          <w:p w14:paraId="223D1B83"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Converts scored products into explainable recommended actions and priority bands</w:t>
            </w:r>
          </w:p>
        </w:tc>
      </w:tr>
      <w:tr w:rsidR="00BA2B53" w14:paraId="223D1B87" w14:textId="77777777">
        <w:trPr>
          <w:cantSplit/>
        </w:trPr>
        <w:tc>
          <w:tcPr>
            <w:tcW w:w="3400" w:type="dxa"/>
          </w:tcPr>
          <w:p w14:paraId="223D1B85"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modules/evaluation.py</w:t>
            </w:r>
          </w:p>
        </w:tc>
        <w:tc>
          <w:tcPr>
            <w:tcW w:w="6300" w:type="dxa"/>
          </w:tcPr>
          <w:p w14:paraId="223D1B86"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Runs the twenty-five automated technical verification checks</w:t>
            </w:r>
          </w:p>
        </w:tc>
      </w:tr>
      <w:tr w:rsidR="00BA2B53" w14:paraId="223D1B8A" w14:textId="77777777">
        <w:trPr>
          <w:cantSplit/>
        </w:trPr>
        <w:tc>
          <w:tcPr>
            <w:tcW w:w="3400" w:type="dxa"/>
          </w:tcPr>
          <w:p w14:paraId="223D1B88"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templates/</w:t>
            </w:r>
          </w:p>
        </w:tc>
        <w:tc>
          <w:tcPr>
            <w:tcW w:w="6300" w:type="dxa"/>
          </w:tcPr>
          <w:p w14:paraId="223D1B89" w14:textId="77777777" w:rsidR="00BA2B53" w:rsidRPr="002D7ACE" w:rsidRDefault="00116450">
            <w:pPr>
              <w:spacing w:line="276" w:lineRule="auto"/>
              <w:rPr>
                <w:rFonts w:ascii="Calibri" w:hAnsi="Calibri" w:cs="Calibri"/>
              </w:rPr>
            </w:pPr>
            <w:r w:rsidRPr="002D7ACE">
              <w:rPr>
                <w:rFonts w:ascii="Calibri" w:hAnsi="Calibri" w:cs="Calibri"/>
                <w:color w:val="000000"/>
                <w:sz w:val="20"/>
                <w:szCs w:val="20"/>
              </w:rPr>
              <w:t>Presents results through server-rendered HTML and Jinja</w:t>
            </w:r>
          </w:p>
        </w:tc>
      </w:tr>
    </w:tbl>
    <w:p w14:paraId="223D1B8D" w14:textId="77777777" w:rsidR="00BA2B53" w:rsidRDefault="00116450">
      <w:pPr>
        <w:spacing w:before="80" w:after="80"/>
        <w:jc w:val="center"/>
      </w:pPr>
      <w:r w:rsidRPr="009648DF">
        <w:rPr>
          <w:rFonts w:ascii="Calibri" w:hAnsi="Calibri" w:cs="Calibri"/>
          <w:noProof/>
          <w:color w:val="000000"/>
        </w:rPr>
        <w:drawing>
          <wp:inline distT="0" distB="0" distL="0" distR="0" wp14:anchorId="223D1D12" wp14:editId="6D2D2B93">
            <wp:extent cx="4914452" cy="4703674"/>
            <wp:effectExtent l="0" t="0" r="635" b="1905"/>
            <wp:docPr id="2" name="Picture 2" descr="Figure 4.1: MDSS system architecture and end-to-end data flow." title="Fig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architecture.png"/>
                    <pic:cNvPicPr/>
                  </pic:nvPicPr>
                  <pic:blipFill>
                    <a:blip r:embed="rId12"/>
                    <a:stretch>
                      <a:fillRect/>
                    </a:stretch>
                  </pic:blipFill>
                  <pic:spPr>
                    <a:xfrm>
                      <a:off x="0" y="0"/>
                      <a:ext cx="4932670" cy="4721111"/>
                    </a:xfrm>
                    <a:prstGeom prst="rect">
                      <a:avLst/>
                    </a:prstGeom>
                  </pic:spPr>
                </pic:pic>
              </a:graphicData>
            </a:graphic>
          </wp:inline>
        </w:drawing>
      </w:r>
    </w:p>
    <w:p w14:paraId="223D1B8E" w14:textId="7456D0D3" w:rsidR="00BA2B53" w:rsidRPr="00F5111D" w:rsidRDefault="00116450" w:rsidP="008C3F6B">
      <w:pPr>
        <w:spacing w:before="80" w:after="140"/>
        <w:rPr>
          <w:rFonts w:ascii="Calibri" w:hAnsi="Calibri" w:cs="Calibri"/>
          <w:i/>
          <w:sz w:val="20"/>
          <w:szCs w:val="20"/>
        </w:rPr>
      </w:pPr>
      <w:r w:rsidRPr="00F5111D">
        <w:rPr>
          <w:rFonts w:ascii="Calibri" w:hAnsi="Calibri" w:cs="Calibri"/>
          <w:i/>
          <w:color w:val="000000"/>
          <w:sz w:val="20"/>
          <w:szCs w:val="20"/>
        </w:rPr>
        <w:lastRenderedPageBreak/>
        <w:t xml:space="preserve">Figure 4.1: </w:t>
      </w:r>
      <w:r w:rsidR="00F5111D" w:rsidRPr="00F5111D">
        <w:rPr>
          <w:rFonts w:ascii="Calibri" w:hAnsi="Calibri" w:cs="Calibri"/>
          <w:i/>
          <w:color w:val="000000"/>
          <w:sz w:val="20"/>
          <w:szCs w:val="20"/>
        </w:rPr>
        <w:t xml:space="preserve">Complete data-to-decision architecture. The separation is deliberate: input validation, persistence, analytical scoring, business interpretation and presentation are isolated so that each stage can be tested and explained independently. </w:t>
      </w:r>
      <w:r w:rsidRPr="00F5111D">
        <w:rPr>
          <w:rFonts w:ascii="Calibri" w:hAnsi="Calibri" w:cs="Calibri"/>
          <w:i/>
          <w:color w:val="000000"/>
          <w:sz w:val="20"/>
          <w:szCs w:val="20"/>
        </w:rPr>
        <w:t>Source: author.</w:t>
      </w:r>
    </w:p>
    <w:p w14:paraId="223D1B8F" w14:textId="77777777" w:rsidR="00BA2B53" w:rsidRPr="00745BA4" w:rsidRDefault="00116450">
      <w:pPr>
        <w:pStyle w:val="Heading2"/>
        <w:spacing w:before="300" w:after="160"/>
        <w:rPr>
          <w:rFonts w:ascii="Calibri" w:hAnsi="Calibri" w:cs="Calibri"/>
        </w:rPr>
      </w:pPr>
      <w:bookmarkStart w:id="25" w:name="_Toc237246561"/>
      <w:r w:rsidRPr="00745BA4">
        <w:rPr>
          <w:rFonts w:ascii="Calibri" w:hAnsi="Calibri" w:cs="Calibri"/>
          <w:bCs/>
          <w:sz w:val="27"/>
          <w:szCs w:val="27"/>
        </w:rPr>
        <w:t>4.2 Data Import and Validation</w:t>
      </w:r>
      <w:bookmarkEnd w:id="25"/>
    </w:p>
    <w:p w14:paraId="223D1B90" w14:textId="77777777" w:rsidR="00BA2B53" w:rsidRPr="00177B32" w:rsidRDefault="00116450">
      <w:pPr>
        <w:spacing w:after="200" w:line="360" w:lineRule="auto"/>
        <w:jc w:val="both"/>
        <w:rPr>
          <w:rFonts w:ascii="Calibri" w:hAnsi="Calibri" w:cs="Calibri"/>
          <w:sz w:val="24"/>
          <w:szCs w:val="24"/>
        </w:rPr>
      </w:pPr>
      <w:r w:rsidRPr="00177B32">
        <w:rPr>
          <w:rFonts w:ascii="Calibri" w:hAnsi="Calibri" w:cs="Calibri"/>
          <w:color w:val="000000"/>
          <w:sz w:val="24"/>
          <w:szCs w:val="24"/>
        </w:rPr>
        <w:t>modules/excel_import.py enforces the workbook contract described in Chapter 3. Column headings are normalised and checked for duplicates and omissions against a declared schema for each of the five sheets; text fields are cleaned, numeric and integer fields are coerced and range-checked (for example, percentage fields must fall between 0 and 100, and monetary or count fields must be non-negative); trading-week identifiers are validated; and business keys, such as a product ID within a week, are checked for duplication before any row is accepted. If any sheet fails validation, the entire import is rejected and the previously imported dataset is preserved unchanged, which was verified directly by the automated import-rollback check discussed in section 4.8. The application also exposes a blank template workbook (data/MDSS_Template.xlsx) so that a new user can populate a correctly structured file without needing to read the validation code.</w:t>
      </w:r>
    </w:p>
    <w:p w14:paraId="223D1B91" w14:textId="77777777" w:rsidR="00BA2B53" w:rsidRPr="009B33B9" w:rsidRDefault="00116450">
      <w:pPr>
        <w:pStyle w:val="Heading2"/>
        <w:spacing w:before="300" w:after="160"/>
        <w:rPr>
          <w:rFonts w:ascii="Calibri" w:hAnsi="Calibri" w:cs="Calibri"/>
        </w:rPr>
      </w:pPr>
      <w:bookmarkStart w:id="26" w:name="_Toc237246562"/>
      <w:r w:rsidRPr="009B33B9">
        <w:rPr>
          <w:rFonts w:ascii="Calibri" w:hAnsi="Calibri" w:cs="Calibri"/>
          <w:bCs/>
          <w:sz w:val="27"/>
          <w:szCs w:val="27"/>
        </w:rPr>
        <w:t>4.3 Persistence Layer</w:t>
      </w:r>
      <w:bookmarkEnd w:id="26"/>
    </w:p>
    <w:p w14:paraId="223D1B92" w14:textId="77777777" w:rsidR="00BA2B53" w:rsidRPr="009B33B9" w:rsidRDefault="00116450">
      <w:pPr>
        <w:spacing w:after="200" w:line="360" w:lineRule="auto"/>
        <w:jc w:val="both"/>
        <w:rPr>
          <w:rFonts w:ascii="Calibri" w:hAnsi="Calibri" w:cs="Calibri"/>
        </w:rPr>
      </w:pPr>
      <w:r w:rsidRPr="009B33B9">
        <w:rPr>
          <w:rFonts w:ascii="Calibri" w:hAnsi="Calibri" w:cs="Calibri"/>
          <w:color w:val="000000"/>
        </w:rPr>
        <w:t>modules/ingest.py defines five analytical source tables (bi_product, bi_category, ga4_product, ga4_pages and ga4_search) and two derived tables (scenarios and rankings). Source tables apply relevant NOT NULL, CHECK and composite UNIQUE constraints, while rankings constrain rank and score ranges and enforce UNIQUE(scenario, week, product_id). The scenarios table requires unique names, and rankings.scenario references scenarios.name with ON DELETE CASCADE. BI and GA4 source tables are not linked by database foreign keys because their analytical grains differ; product integration is performed explicitly in scoring.build_master(). This provides a database-level integrity boundary beneath the stricter workbook validation without implying relationships that the final schema does not enforce.</w:t>
      </w:r>
    </w:p>
    <w:p w14:paraId="223D1B93" w14:textId="77777777" w:rsidR="00BA2B53" w:rsidRPr="009B33B9" w:rsidRDefault="00116450">
      <w:pPr>
        <w:pStyle w:val="Heading2"/>
        <w:spacing w:before="300" w:after="160"/>
        <w:rPr>
          <w:rFonts w:ascii="Calibri" w:hAnsi="Calibri" w:cs="Calibri"/>
        </w:rPr>
      </w:pPr>
      <w:bookmarkStart w:id="27" w:name="_Toc237246563"/>
      <w:r w:rsidRPr="009B33B9">
        <w:rPr>
          <w:rFonts w:ascii="Calibri" w:hAnsi="Calibri" w:cs="Calibri"/>
          <w:bCs/>
          <w:sz w:val="27"/>
          <w:szCs w:val="27"/>
        </w:rPr>
        <w:t>4.4 Scoring Engine</w:t>
      </w:r>
      <w:bookmarkEnd w:id="27"/>
    </w:p>
    <w:p w14:paraId="223D1B94" w14:textId="6C59D5D8" w:rsidR="00BA2B53" w:rsidRPr="009B33B9" w:rsidRDefault="00116450">
      <w:pPr>
        <w:spacing w:after="200" w:line="360" w:lineRule="auto"/>
        <w:jc w:val="both"/>
        <w:rPr>
          <w:rFonts w:ascii="Calibri" w:hAnsi="Calibri" w:cs="Calibri"/>
        </w:rPr>
      </w:pPr>
      <w:r w:rsidRPr="009B33B9">
        <w:rPr>
          <w:rFonts w:ascii="Calibri" w:hAnsi="Calibri" w:cs="Calibri"/>
          <w:color w:val="000000"/>
        </w:rPr>
        <w:t>modules/scoring.py is the mathematical core of MDSS. The build_master function integrates weekly BI product records with aggregated GA4 product behaviour using a left join on product ID, a decision that deliberately retains every merchandising product even when it generated no GA4 sessions, because excluding such products would hide exactly the kind of overstocked, low-demand cases the system exists to surface. Rate-based GA4 metrics such as bounce rate and conversion rate</w:t>
      </w:r>
      <w:r w:rsidR="008E4EDB">
        <w:rPr>
          <w:rFonts w:ascii="Calibri" w:hAnsi="Calibri" w:cs="Calibri"/>
          <w:color w:val="000000"/>
        </w:rPr>
        <w:t>,</w:t>
      </w:r>
      <w:r w:rsidRPr="009B33B9">
        <w:rPr>
          <w:rFonts w:ascii="Calibri" w:hAnsi="Calibri" w:cs="Calibri"/>
          <w:color w:val="000000"/>
        </w:rPr>
        <w:t xml:space="preserve"> are recomputed from the underlying totals after aggregation rather than averaged directly across regions and devices, since a simple average would give a low-traffic segment the same influence on the figure as a high-traffic segment.</w:t>
      </w:r>
    </w:p>
    <w:p w14:paraId="223D1B95" w14:textId="52C81127" w:rsidR="00BA2B53" w:rsidRPr="009B33B9" w:rsidRDefault="00116450">
      <w:pPr>
        <w:spacing w:after="200" w:line="360" w:lineRule="auto"/>
        <w:jc w:val="both"/>
        <w:rPr>
          <w:rFonts w:ascii="Calibri" w:hAnsi="Calibri" w:cs="Calibri"/>
        </w:rPr>
      </w:pPr>
      <w:r w:rsidRPr="009B33B9">
        <w:rPr>
          <w:rFonts w:ascii="Calibri" w:hAnsi="Calibri" w:cs="Calibri"/>
          <w:color w:val="000000"/>
        </w:rPr>
        <w:t xml:space="preserve">Each of the four scoring factors, conversion rate, popularity (sessions), stock level and price, is transformed to a common [0, 1] range using min-max normalisation, consistent with the normalisation literature reviewed in Chapter 2 </w:t>
      </w:r>
      <w:sdt>
        <w:sdtPr>
          <w:rPr>
            <w:rFonts w:ascii="Calibri" w:hAnsi="Calibri" w:cs="Calibri"/>
            <w:color w:val="000000"/>
          </w:rPr>
          <w:id w:val="138391109"/>
          <w:citation/>
        </w:sdtPr>
        <w:sdtEndPr/>
        <w:sdtContent>
          <w:r w:rsidR="00134B22">
            <w:rPr>
              <w:rFonts w:ascii="Calibri" w:hAnsi="Calibri" w:cs="Calibri"/>
              <w:color w:val="000000"/>
            </w:rPr>
            <w:fldChar w:fldCharType="begin"/>
          </w:r>
          <w:r w:rsidR="00134B22">
            <w:rPr>
              <w:rFonts w:ascii="Calibri" w:hAnsi="Calibri" w:cs="Calibri"/>
              <w:color w:val="000000"/>
            </w:rPr>
            <w:instrText xml:space="preserve"> CITATION Naz18 \l 2057 </w:instrText>
          </w:r>
          <w:r w:rsidR="00134B22">
            <w:rPr>
              <w:rFonts w:ascii="Calibri" w:hAnsi="Calibri" w:cs="Calibri"/>
              <w:color w:val="000000"/>
            </w:rPr>
            <w:fldChar w:fldCharType="separate"/>
          </w:r>
          <w:r w:rsidR="00134B22" w:rsidRPr="00134B22">
            <w:rPr>
              <w:rFonts w:ascii="Calibri" w:hAnsi="Calibri" w:cs="Calibri"/>
              <w:noProof/>
              <w:color w:val="000000"/>
            </w:rPr>
            <w:t>[11]</w:t>
          </w:r>
          <w:r w:rsidR="00134B22">
            <w:rPr>
              <w:rFonts w:ascii="Calibri" w:hAnsi="Calibri" w:cs="Calibri"/>
              <w:color w:val="000000"/>
            </w:rPr>
            <w:fldChar w:fldCharType="end"/>
          </w:r>
        </w:sdtContent>
      </w:sdt>
      <w:r w:rsidRPr="009B33B9">
        <w:rPr>
          <w:rFonts w:ascii="Calibri" w:hAnsi="Calibri" w:cs="Calibri"/>
          <w:color w:val="000000"/>
        </w:rPr>
        <w:t>:</w:t>
      </w:r>
    </w:p>
    <w:p w14:paraId="223D1B96" w14:textId="77777777" w:rsidR="00BA2B53" w:rsidRPr="009B33B9" w:rsidRDefault="00116450">
      <w:pPr>
        <w:spacing w:before="100" w:after="100"/>
        <w:jc w:val="center"/>
        <w:rPr>
          <w:rFonts w:ascii="Calibri" w:hAnsi="Calibri" w:cs="Calibri"/>
          <w:b/>
          <w:bCs/>
          <w:sz w:val="24"/>
          <w:szCs w:val="24"/>
        </w:rPr>
      </w:pPr>
      <w:r w:rsidRPr="009B33B9">
        <w:rPr>
          <w:rFonts w:ascii="Calibri" w:eastAsia="Cambria Math" w:hAnsi="Calibri" w:cs="Calibri"/>
          <w:b/>
          <w:bCs/>
          <w:i/>
          <w:iCs/>
          <w:color w:val="000000"/>
          <w:sz w:val="24"/>
          <w:szCs w:val="24"/>
        </w:rPr>
        <w:lastRenderedPageBreak/>
        <w:t>normalised(x) = (x - minimum) / (maximum - minimum)</w:t>
      </w:r>
    </w:p>
    <w:p w14:paraId="223D1B98" w14:textId="7125DE55" w:rsidR="00BA2B53" w:rsidRPr="001C7545" w:rsidRDefault="00116450" w:rsidP="001C7545">
      <w:pPr>
        <w:spacing w:after="200" w:line="360" w:lineRule="auto"/>
        <w:jc w:val="both"/>
        <w:rPr>
          <w:rFonts w:ascii="Calibri" w:hAnsi="Calibri" w:cs="Calibri"/>
          <w:sz w:val="24"/>
          <w:szCs w:val="24"/>
        </w:rPr>
      </w:pPr>
      <w:r w:rsidRPr="009B33B9">
        <w:rPr>
          <w:rFonts w:ascii="Calibri" w:hAnsi="Calibri" w:cs="Calibri"/>
          <w:color w:val="000000"/>
          <w:sz w:val="24"/>
          <w:szCs w:val="24"/>
        </w:rPr>
        <w:t xml:space="preserve">Where every product shares the same value for a given metric, that metric cannot discriminate between products, and each product is instead assigned the neutral midpoint of 0.5, preventing an arbitrary or undefined result. The final weighted score is a simple additive weighted sum of the four normalised factors, following the Simple Additive Weighting method surveyed by Hwang and Yoon </w:t>
      </w:r>
      <w:sdt>
        <w:sdtPr>
          <w:rPr>
            <w:rFonts w:ascii="Calibri" w:hAnsi="Calibri" w:cs="Calibri"/>
            <w:color w:val="000000"/>
            <w:sz w:val="24"/>
            <w:szCs w:val="24"/>
          </w:rPr>
          <w:id w:val="2000843336"/>
          <w:citation/>
        </w:sdtPr>
        <w:sdtEndPr/>
        <w:sdtContent>
          <w:r w:rsidR="00AF0437">
            <w:rPr>
              <w:rFonts w:ascii="Calibri" w:hAnsi="Calibri" w:cs="Calibri"/>
              <w:color w:val="000000"/>
              <w:sz w:val="24"/>
              <w:szCs w:val="24"/>
            </w:rPr>
            <w:fldChar w:fldCharType="begin"/>
          </w:r>
          <w:r w:rsidR="00AF0437">
            <w:rPr>
              <w:rFonts w:ascii="Calibri" w:hAnsi="Calibri" w:cs="Calibri"/>
              <w:color w:val="000000"/>
              <w:sz w:val="24"/>
              <w:szCs w:val="24"/>
            </w:rPr>
            <w:instrText xml:space="preserve"> CITATION Chi81 \l 2057 </w:instrText>
          </w:r>
          <w:r w:rsidR="00AF0437">
            <w:rPr>
              <w:rFonts w:ascii="Calibri" w:hAnsi="Calibri" w:cs="Calibri"/>
              <w:color w:val="000000"/>
              <w:sz w:val="24"/>
              <w:szCs w:val="24"/>
            </w:rPr>
            <w:fldChar w:fldCharType="separate"/>
          </w:r>
          <w:r w:rsidR="00AF0437" w:rsidRPr="00AF0437">
            <w:rPr>
              <w:rFonts w:ascii="Calibri" w:hAnsi="Calibri" w:cs="Calibri"/>
              <w:noProof/>
              <w:color w:val="000000"/>
              <w:sz w:val="24"/>
              <w:szCs w:val="24"/>
            </w:rPr>
            <w:t>[8]</w:t>
          </w:r>
          <w:r w:rsidR="00AF0437">
            <w:rPr>
              <w:rFonts w:ascii="Calibri" w:hAnsi="Calibri" w:cs="Calibri"/>
              <w:color w:val="000000"/>
              <w:sz w:val="24"/>
              <w:szCs w:val="24"/>
            </w:rPr>
            <w:fldChar w:fldCharType="end"/>
          </w:r>
        </w:sdtContent>
      </w:sdt>
      <w:r w:rsidRPr="009B33B9">
        <w:rPr>
          <w:rFonts w:ascii="Calibri" w:hAnsi="Calibri" w:cs="Calibri"/>
          <w:color w:val="000000"/>
          <w:sz w:val="24"/>
          <w:szCs w:val="24"/>
        </w:rPr>
        <w:t xml:space="preserve"> and applied as an interpretable metamodel by Kaliszewski and Podkopaev </w:t>
      </w:r>
      <w:sdt>
        <w:sdtPr>
          <w:rPr>
            <w:rFonts w:ascii="Calibri" w:hAnsi="Calibri" w:cs="Calibri"/>
            <w:color w:val="000000"/>
            <w:sz w:val="24"/>
            <w:szCs w:val="24"/>
          </w:rPr>
          <w:id w:val="1325238387"/>
          <w:citation/>
        </w:sdtPr>
        <w:sdtEndPr/>
        <w:sdtContent>
          <w:r w:rsidR="0039597F">
            <w:rPr>
              <w:rFonts w:ascii="Calibri" w:hAnsi="Calibri" w:cs="Calibri"/>
              <w:color w:val="000000"/>
              <w:sz w:val="24"/>
              <w:szCs w:val="24"/>
            </w:rPr>
            <w:fldChar w:fldCharType="begin"/>
          </w:r>
          <w:r w:rsidR="0039597F">
            <w:rPr>
              <w:rFonts w:ascii="Calibri" w:hAnsi="Calibri" w:cs="Calibri"/>
              <w:color w:val="000000"/>
              <w:sz w:val="24"/>
              <w:szCs w:val="24"/>
            </w:rPr>
            <w:instrText xml:space="preserve"> CITATION Ign16 \l 2057 </w:instrText>
          </w:r>
          <w:r w:rsidR="0039597F">
            <w:rPr>
              <w:rFonts w:ascii="Calibri" w:hAnsi="Calibri" w:cs="Calibri"/>
              <w:color w:val="000000"/>
              <w:sz w:val="24"/>
              <w:szCs w:val="24"/>
            </w:rPr>
            <w:fldChar w:fldCharType="separate"/>
          </w:r>
          <w:r w:rsidR="0039597F" w:rsidRPr="0039597F">
            <w:rPr>
              <w:rFonts w:ascii="Calibri" w:hAnsi="Calibri" w:cs="Calibri"/>
              <w:noProof/>
              <w:color w:val="000000"/>
              <w:sz w:val="24"/>
              <w:szCs w:val="24"/>
            </w:rPr>
            <w:t>[10]</w:t>
          </w:r>
          <w:r w:rsidR="0039597F">
            <w:rPr>
              <w:rFonts w:ascii="Calibri" w:hAnsi="Calibri" w:cs="Calibri"/>
              <w:color w:val="000000"/>
              <w:sz w:val="24"/>
              <w:szCs w:val="24"/>
            </w:rPr>
            <w:fldChar w:fldCharType="end"/>
          </w:r>
        </w:sdtContent>
      </w:sdt>
      <w:r w:rsidRPr="009B33B9">
        <w:rPr>
          <w:rFonts w:ascii="Calibri" w:hAnsi="Calibri" w:cs="Calibri"/>
          <w:color w:val="000000"/>
          <w:sz w:val="24"/>
          <w:szCs w:val="24"/>
        </w:rPr>
        <w:t>:</w:t>
      </w:r>
      <w:r w:rsidR="001C7545">
        <w:rPr>
          <w:rFonts w:ascii="Calibri" w:hAnsi="Calibri" w:cs="Calibri"/>
          <w:sz w:val="24"/>
          <w:szCs w:val="24"/>
        </w:rPr>
        <w:br/>
      </w:r>
      <w:r w:rsidR="001C7545">
        <w:rPr>
          <w:rFonts w:ascii="Calibri" w:eastAsia="Cambria Math" w:hAnsi="Calibri" w:cs="Calibri"/>
          <w:b/>
          <w:bCs/>
          <w:color w:val="000000"/>
          <w:sz w:val="24"/>
          <w:szCs w:val="24"/>
        </w:rPr>
        <w:t>score</w:t>
      </w:r>
      <w:r w:rsidRPr="0039597F">
        <w:rPr>
          <w:rFonts w:ascii="Calibri" w:eastAsia="Cambria Math" w:hAnsi="Calibri" w:cs="Calibri"/>
          <w:b/>
          <w:bCs/>
          <w:color w:val="000000"/>
          <w:sz w:val="24"/>
          <w:szCs w:val="24"/>
        </w:rPr>
        <w:t xml:space="preserve"> = 0.35 x conversion_norm + 0.25 x popularity_norm + 0.20 x stock_norm + 0.20 x price_norm</w:t>
      </w:r>
    </w:p>
    <w:p w14:paraId="1480B533" w14:textId="68A4A1B3" w:rsidR="00D226F9" w:rsidRPr="00D226F9" w:rsidRDefault="00116450">
      <w:pPr>
        <w:spacing w:after="200" w:line="360" w:lineRule="auto"/>
        <w:jc w:val="both"/>
        <w:rPr>
          <w:rFonts w:ascii="Calibri" w:hAnsi="Calibri" w:cs="Calibri"/>
          <w:color w:val="000000"/>
          <w:sz w:val="24"/>
          <w:szCs w:val="24"/>
        </w:rPr>
      </w:pPr>
      <w:r w:rsidRPr="009B33B9">
        <w:rPr>
          <w:rFonts w:ascii="Calibri" w:hAnsi="Calibri" w:cs="Calibri"/>
          <w:color w:val="000000"/>
          <w:sz w:val="24"/>
          <w:szCs w:val="24"/>
        </w:rPr>
        <w:t>These weights are validated before every calculation: they must be finite, non-negative, cover exactly the four recognised components, and sum to 1.0 within floating-point tolerance, so that an invalid or incomplete strategy definition is rejected before it can silently distort a ranking. Products are then sorted by final score in descending order, with product ID used as a stable secondary sort key so that ties are resolved reproducibly rather than arbitrarily, a property confirmed by the determinism check described in section 4.8.</w:t>
      </w:r>
    </w:p>
    <w:p w14:paraId="223D1B9A" w14:textId="68A4A1B3" w:rsidR="00BA2B53" w:rsidRPr="009B33B9" w:rsidRDefault="00116450">
      <w:pPr>
        <w:pStyle w:val="Heading2"/>
        <w:spacing w:before="300" w:after="160"/>
        <w:rPr>
          <w:rFonts w:ascii="Calibri" w:hAnsi="Calibri" w:cs="Calibri"/>
        </w:rPr>
      </w:pPr>
      <w:bookmarkStart w:id="28" w:name="_Toc237246564"/>
      <w:r w:rsidRPr="009B33B9">
        <w:rPr>
          <w:rFonts w:ascii="Calibri" w:hAnsi="Calibri" w:cs="Calibri"/>
          <w:bCs/>
          <w:sz w:val="27"/>
          <w:szCs w:val="27"/>
        </w:rPr>
        <w:t>4.5 Decision Engine</w:t>
      </w:r>
      <w:bookmarkEnd w:id="28"/>
    </w:p>
    <w:p w14:paraId="223D1B9B" w14:textId="77777777" w:rsidR="00BA2B53" w:rsidRPr="009B33B9" w:rsidRDefault="00116450">
      <w:pPr>
        <w:spacing w:after="200" w:line="360" w:lineRule="auto"/>
        <w:jc w:val="both"/>
        <w:rPr>
          <w:rFonts w:ascii="Calibri" w:hAnsi="Calibri" w:cs="Calibri"/>
          <w:sz w:val="24"/>
          <w:szCs w:val="24"/>
        </w:rPr>
      </w:pPr>
      <w:r w:rsidRPr="009B33B9">
        <w:rPr>
          <w:rFonts w:ascii="Calibri" w:hAnsi="Calibri" w:cs="Calibri"/>
          <w:color w:val="000000"/>
          <w:sz w:val="24"/>
          <w:szCs w:val="24"/>
        </w:rPr>
        <w:t>modules/decision_engine.py converts each scored product into exactly one recommended action, selected by evaluating an ordered hierarchy of business rules and returning the first rule that matches. Returning a single action per product, rather than every rule that happens to fire, was a deliberate usability decision: presenting several competing recommendations for the same product would undermine the clarity the explainability objective is intended to achieve. The rule hierarchy, in evaluation order, is set out in Table 4.2.</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1600"/>
        <w:gridCol w:w="4700"/>
        <w:gridCol w:w="2100"/>
      </w:tblGrid>
      <w:tr w:rsidR="00BA2B53" w14:paraId="223D1BA0" w14:textId="77777777">
        <w:trPr>
          <w:cantSplit/>
          <w:tblHeader/>
        </w:trPr>
        <w:tc>
          <w:tcPr>
            <w:tcW w:w="900" w:type="dxa"/>
            <w:shd w:val="clear" w:color="auto" w:fill="D9D9D9"/>
          </w:tcPr>
          <w:p w14:paraId="223D1B9C" w14:textId="77777777" w:rsidR="00BA2B53" w:rsidRPr="009B33B9" w:rsidRDefault="00116450">
            <w:pPr>
              <w:spacing w:line="276" w:lineRule="auto"/>
              <w:rPr>
                <w:rFonts w:ascii="Calibri" w:hAnsi="Calibri" w:cs="Calibri"/>
              </w:rPr>
            </w:pPr>
            <w:r w:rsidRPr="009B33B9">
              <w:rPr>
                <w:rFonts w:ascii="Calibri" w:hAnsi="Calibri" w:cs="Calibri"/>
                <w:b/>
                <w:bCs/>
                <w:color w:val="000000"/>
                <w:sz w:val="20"/>
                <w:szCs w:val="20"/>
              </w:rPr>
              <w:t>Order</w:t>
            </w:r>
          </w:p>
        </w:tc>
        <w:tc>
          <w:tcPr>
            <w:tcW w:w="1600" w:type="dxa"/>
            <w:shd w:val="clear" w:color="auto" w:fill="D9D9D9"/>
          </w:tcPr>
          <w:p w14:paraId="223D1B9D" w14:textId="77777777" w:rsidR="00BA2B53" w:rsidRPr="009B33B9" w:rsidRDefault="00116450">
            <w:pPr>
              <w:spacing w:line="276" w:lineRule="auto"/>
              <w:rPr>
                <w:rFonts w:ascii="Calibri" w:hAnsi="Calibri" w:cs="Calibri"/>
              </w:rPr>
            </w:pPr>
            <w:r w:rsidRPr="009B33B9">
              <w:rPr>
                <w:rFonts w:ascii="Calibri" w:hAnsi="Calibri" w:cs="Calibri"/>
                <w:b/>
                <w:bCs/>
                <w:color w:val="000000"/>
                <w:sz w:val="20"/>
                <w:szCs w:val="20"/>
              </w:rPr>
              <w:t>Rule ID</w:t>
            </w:r>
          </w:p>
        </w:tc>
        <w:tc>
          <w:tcPr>
            <w:tcW w:w="4700" w:type="dxa"/>
            <w:shd w:val="clear" w:color="auto" w:fill="D9D9D9"/>
          </w:tcPr>
          <w:p w14:paraId="223D1B9E" w14:textId="77777777" w:rsidR="00BA2B53" w:rsidRPr="009B33B9" w:rsidRDefault="00116450">
            <w:pPr>
              <w:spacing w:line="276" w:lineRule="auto"/>
              <w:rPr>
                <w:rFonts w:ascii="Calibri" w:hAnsi="Calibri" w:cs="Calibri"/>
              </w:rPr>
            </w:pPr>
            <w:r w:rsidRPr="009B33B9">
              <w:rPr>
                <w:rFonts w:ascii="Calibri" w:hAnsi="Calibri" w:cs="Calibri"/>
                <w:b/>
                <w:bCs/>
                <w:color w:val="000000"/>
                <w:sz w:val="20"/>
                <w:szCs w:val="20"/>
              </w:rPr>
              <w:t>Trigger condition (summary)</w:t>
            </w:r>
          </w:p>
        </w:tc>
        <w:tc>
          <w:tcPr>
            <w:tcW w:w="2100" w:type="dxa"/>
            <w:shd w:val="clear" w:color="auto" w:fill="D9D9D9"/>
          </w:tcPr>
          <w:p w14:paraId="223D1B9F" w14:textId="77777777" w:rsidR="00BA2B53" w:rsidRPr="009B33B9" w:rsidRDefault="00116450">
            <w:pPr>
              <w:spacing w:line="276" w:lineRule="auto"/>
              <w:rPr>
                <w:rFonts w:ascii="Calibri" w:hAnsi="Calibri" w:cs="Calibri"/>
              </w:rPr>
            </w:pPr>
            <w:r w:rsidRPr="009B33B9">
              <w:rPr>
                <w:rFonts w:ascii="Calibri" w:hAnsi="Calibri" w:cs="Calibri"/>
                <w:b/>
                <w:bCs/>
                <w:color w:val="000000"/>
                <w:sz w:val="20"/>
                <w:szCs w:val="20"/>
              </w:rPr>
              <w:t>Recommended action</w:t>
            </w:r>
          </w:p>
        </w:tc>
      </w:tr>
      <w:tr w:rsidR="00BA2B53" w14:paraId="223D1BA5" w14:textId="77777777">
        <w:trPr>
          <w:cantSplit/>
        </w:trPr>
        <w:tc>
          <w:tcPr>
            <w:tcW w:w="900" w:type="dxa"/>
          </w:tcPr>
          <w:p w14:paraId="223D1BA1"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1</w:t>
            </w:r>
          </w:p>
        </w:tc>
        <w:tc>
          <w:tcPr>
            <w:tcW w:w="1600" w:type="dxa"/>
          </w:tcPr>
          <w:p w14:paraId="223D1BA2"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RETURNS-01</w:t>
            </w:r>
          </w:p>
        </w:tc>
        <w:tc>
          <w:tcPr>
            <w:tcW w:w="4700" w:type="dxa"/>
          </w:tcPr>
          <w:p w14:paraId="223D1BA3"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Returns rate exceeds 20%</w:t>
            </w:r>
          </w:p>
        </w:tc>
        <w:tc>
          <w:tcPr>
            <w:tcW w:w="2100" w:type="dxa"/>
          </w:tcPr>
          <w:p w14:paraId="223D1BA4"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Investigate returns</w:t>
            </w:r>
          </w:p>
        </w:tc>
      </w:tr>
      <w:tr w:rsidR="00BA2B53" w14:paraId="223D1BAA" w14:textId="77777777">
        <w:trPr>
          <w:cantSplit/>
        </w:trPr>
        <w:tc>
          <w:tcPr>
            <w:tcW w:w="900" w:type="dxa"/>
          </w:tcPr>
          <w:p w14:paraId="223D1BA6"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2</w:t>
            </w:r>
          </w:p>
        </w:tc>
        <w:tc>
          <w:tcPr>
            <w:tcW w:w="1600" w:type="dxa"/>
          </w:tcPr>
          <w:p w14:paraId="223D1BA7"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STOCK-01</w:t>
            </w:r>
          </w:p>
        </w:tc>
        <w:tc>
          <w:tcPr>
            <w:tcW w:w="4700" w:type="dxa"/>
          </w:tcPr>
          <w:p w14:paraId="223D1BA8"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Cover &lt;= 1.5 weeks, strong sell-through, strong conversion</w:t>
            </w:r>
          </w:p>
        </w:tc>
        <w:tc>
          <w:tcPr>
            <w:tcW w:w="2100" w:type="dxa"/>
          </w:tcPr>
          <w:p w14:paraId="223D1BA9"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Prioritise replenishment</w:t>
            </w:r>
          </w:p>
        </w:tc>
      </w:tr>
      <w:tr w:rsidR="00BA2B53" w14:paraId="223D1BAF" w14:textId="77777777">
        <w:trPr>
          <w:cantSplit/>
        </w:trPr>
        <w:tc>
          <w:tcPr>
            <w:tcW w:w="900" w:type="dxa"/>
          </w:tcPr>
          <w:p w14:paraId="223D1BAB"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3</w:t>
            </w:r>
          </w:p>
        </w:tc>
        <w:tc>
          <w:tcPr>
            <w:tcW w:w="1600" w:type="dxa"/>
          </w:tcPr>
          <w:p w14:paraId="223D1BAC"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STOCK-02</w:t>
            </w:r>
          </w:p>
        </w:tc>
        <w:tc>
          <w:tcPr>
            <w:tcW w:w="4700" w:type="dxa"/>
          </w:tcPr>
          <w:p w14:paraId="223D1BAD"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Cover &lt;= 2.5 weeks, moderate-strong sell-through and conversion</w:t>
            </w:r>
          </w:p>
        </w:tc>
        <w:tc>
          <w:tcPr>
            <w:tcW w:w="2100" w:type="dxa"/>
          </w:tcPr>
          <w:p w14:paraId="223D1BAE"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Review replenishment</w:t>
            </w:r>
          </w:p>
        </w:tc>
      </w:tr>
      <w:tr w:rsidR="00BA2B53" w14:paraId="223D1BB4" w14:textId="77777777">
        <w:trPr>
          <w:cantSplit/>
        </w:trPr>
        <w:tc>
          <w:tcPr>
            <w:tcW w:w="900" w:type="dxa"/>
          </w:tcPr>
          <w:p w14:paraId="223D1BB0"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4</w:t>
            </w:r>
          </w:p>
        </w:tc>
        <w:tc>
          <w:tcPr>
            <w:tcW w:w="1600" w:type="dxa"/>
          </w:tcPr>
          <w:p w14:paraId="223D1BB1"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STOCK-03</w:t>
            </w:r>
          </w:p>
        </w:tc>
        <w:tc>
          <w:tcPr>
            <w:tcW w:w="4700" w:type="dxa"/>
          </w:tcPr>
          <w:p w14:paraId="223D1BB2"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Cover &gt;= 8 weeks, weak sell-through, meaningful stock units</w:t>
            </w:r>
          </w:p>
        </w:tc>
        <w:tc>
          <w:tcPr>
            <w:tcW w:w="2100" w:type="dxa"/>
          </w:tcPr>
          <w:p w14:paraId="223D1BB3"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Plan markdown or exposure test</w:t>
            </w:r>
          </w:p>
        </w:tc>
      </w:tr>
      <w:tr w:rsidR="00BA2B53" w14:paraId="223D1BB9" w14:textId="77777777">
        <w:trPr>
          <w:cantSplit/>
        </w:trPr>
        <w:tc>
          <w:tcPr>
            <w:tcW w:w="900" w:type="dxa"/>
          </w:tcPr>
          <w:p w14:paraId="223D1BB5"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5</w:t>
            </w:r>
          </w:p>
        </w:tc>
        <w:tc>
          <w:tcPr>
            <w:tcW w:w="1600" w:type="dxa"/>
          </w:tcPr>
          <w:p w14:paraId="223D1BB6"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DIGITAL-01</w:t>
            </w:r>
          </w:p>
        </w:tc>
        <w:tc>
          <w:tcPr>
            <w:tcW w:w="4700" w:type="dxa"/>
          </w:tcPr>
          <w:p w14:paraId="223D1BB7"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Low conversion despite high relative traffic</w:t>
            </w:r>
          </w:p>
        </w:tc>
        <w:tc>
          <w:tcPr>
            <w:tcW w:w="2100" w:type="dxa"/>
          </w:tcPr>
          <w:p w14:paraId="223D1BB8"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Diagnose conversion friction</w:t>
            </w:r>
          </w:p>
        </w:tc>
      </w:tr>
      <w:tr w:rsidR="00BA2B53" w14:paraId="223D1BBE" w14:textId="77777777">
        <w:trPr>
          <w:cantSplit/>
        </w:trPr>
        <w:tc>
          <w:tcPr>
            <w:tcW w:w="900" w:type="dxa"/>
          </w:tcPr>
          <w:p w14:paraId="223D1BBA"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6</w:t>
            </w:r>
          </w:p>
        </w:tc>
        <w:tc>
          <w:tcPr>
            <w:tcW w:w="1600" w:type="dxa"/>
          </w:tcPr>
          <w:p w14:paraId="223D1BBB"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DIGITAL-02</w:t>
            </w:r>
          </w:p>
        </w:tc>
        <w:tc>
          <w:tcPr>
            <w:tcW w:w="4700" w:type="dxa"/>
          </w:tcPr>
          <w:p w14:paraId="223D1BBC"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Strong conversion with 3-12 weeks cover and sufficient stock</w:t>
            </w:r>
          </w:p>
        </w:tc>
        <w:tc>
          <w:tcPr>
            <w:tcW w:w="2100" w:type="dxa"/>
          </w:tcPr>
          <w:p w14:paraId="223D1BBD"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Increase visibility</w:t>
            </w:r>
          </w:p>
        </w:tc>
      </w:tr>
      <w:tr w:rsidR="00BA2B53" w14:paraId="223D1BC3" w14:textId="77777777">
        <w:trPr>
          <w:cantSplit/>
        </w:trPr>
        <w:tc>
          <w:tcPr>
            <w:tcW w:w="900" w:type="dxa"/>
          </w:tcPr>
          <w:p w14:paraId="223D1BBF"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7</w:t>
            </w:r>
          </w:p>
        </w:tc>
        <w:tc>
          <w:tcPr>
            <w:tcW w:w="1600" w:type="dxa"/>
          </w:tcPr>
          <w:p w14:paraId="223D1BC0"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MARGIN-01</w:t>
            </w:r>
          </w:p>
        </w:tc>
        <w:tc>
          <w:tcPr>
            <w:tcW w:w="4700" w:type="dxa"/>
          </w:tcPr>
          <w:p w14:paraId="223D1BC1"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Margin below 35% with positive revenue</w:t>
            </w:r>
          </w:p>
        </w:tc>
        <w:tc>
          <w:tcPr>
            <w:tcW w:w="2100" w:type="dxa"/>
          </w:tcPr>
          <w:p w14:paraId="223D1BC2"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Review margin quality</w:t>
            </w:r>
          </w:p>
        </w:tc>
      </w:tr>
      <w:tr w:rsidR="00BA2B53" w14:paraId="223D1BC8" w14:textId="77777777">
        <w:trPr>
          <w:cantSplit/>
        </w:trPr>
        <w:tc>
          <w:tcPr>
            <w:tcW w:w="900" w:type="dxa"/>
          </w:tcPr>
          <w:p w14:paraId="223D1BC4"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8</w:t>
            </w:r>
          </w:p>
        </w:tc>
        <w:tc>
          <w:tcPr>
            <w:tcW w:w="1600" w:type="dxa"/>
          </w:tcPr>
          <w:p w14:paraId="223D1BC5"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MONITOR-00</w:t>
            </w:r>
          </w:p>
        </w:tc>
        <w:tc>
          <w:tcPr>
            <w:tcW w:w="4700" w:type="dxa"/>
          </w:tcPr>
          <w:p w14:paraId="223D1BC6"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No prior rule triggered</w:t>
            </w:r>
          </w:p>
        </w:tc>
        <w:tc>
          <w:tcPr>
            <w:tcW w:w="2100" w:type="dxa"/>
          </w:tcPr>
          <w:p w14:paraId="223D1BC7" w14:textId="77777777" w:rsidR="00BA2B53" w:rsidRPr="009B33B9" w:rsidRDefault="00116450">
            <w:pPr>
              <w:spacing w:line="276" w:lineRule="auto"/>
              <w:rPr>
                <w:rFonts w:ascii="Calibri" w:hAnsi="Calibri" w:cs="Calibri"/>
              </w:rPr>
            </w:pPr>
            <w:r w:rsidRPr="009B33B9">
              <w:rPr>
                <w:rFonts w:ascii="Calibri" w:hAnsi="Calibri" w:cs="Calibri"/>
                <w:color w:val="000000"/>
                <w:sz w:val="20"/>
                <w:szCs w:val="20"/>
              </w:rPr>
              <w:t>Monitor</w:t>
            </w:r>
          </w:p>
        </w:tc>
      </w:tr>
    </w:tbl>
    <w:p w14:paraId="223D1BC9" w14:textId="77777777" w:rsidR="00BA2B53" w:rsidRPr="009B33B9" w:rsidRDefault="00116450" w:rsidP="00DE1631">
      <w:pPr>
        <w:spacing w:before="100" w:after="140"/>
        <w:rPr>
          <w:rFonts w:ascii="Calibri" w:hAnsi="Calibri" w:cs="Calibri"/>
          <w:sz w:val="20"/>
          <w:szCs w:val="20"/>
        </w:rPr>
      </w:pPr>
      <w:r w:rsidRPr="009B33B9">
        <w:rPr>
          <w:rFonts w:ascii="Calibri" w:hAnsi="Calibri" w:cs="Calibri"/>
          <w:i/>
          <w:iCs/>
          <w:color w:val="000000"/>
          <w:sz w:val="20"/>
          <w:szCs w:val="20"/>
        </w:rPr>
        <w:lastRenderedPageBreak/>
        <w:t>Table 4.2: Ordered decision-engine rule hierarchy (thresholds from modules/decision_engine.py).</w:t>
      </w:r>
    </w:p>
    <w:p w14:paraId="223D1BCA" w14:textId="77777777" w:rsidR="00BA2B53" w:rsidRDefault="00116450">
      <w:pPr>
        <w:spacing w:after="200" w:line="360" w:lineRule="auto"/>
        <w:jc w:val="both"/>
      </w:pPr>
      <w:r>
        <w:rPr>
          <w:color w:val="000000"/>
        </w:rPr>
        <w:t xml:space="preserve">The ordering encodes an explicit prototype policy rather than a literature-derived optimum. RETURNS-01 is evaluated before stock and visibility rules so that an elevated returns condition is surfaced as its own diagnostic issue; the 20% threshold and first-match precedence remain transparent design assumptions. Every triggered rule returns the action, rule ID, evidence, confidence and owner. The current owner mapping assigns Buying to replenishment actions, Trading to markdown and margin review, Digital Trading to conversion and visibility work, and Trading + Product to returns investigation. Queue priority is calculated as Priority = 100 x (0.45S + 0.40U + 0.15E), where S is product score, U is </w:t>
      </w:r>
      <w:proofErr w:type="gramStart"/>
      <w:r>
        <w:rPr>
          <w:color w:val="000000"/>
        </w:rPr>
        <w:t>rule</w:t>
      </w:r>
      <w:proofErr w:type="gramEnd"/>
      <w:r>
        <w:rPr>
          <w:color w:val="000000"/>
        </w:rPr>
        <w:t xml:space="preserve"> urgency (how quickly the matched condition should be reviewed), and E is evidence strength (how strongly the available signals support it). U and E are deterministic prototype inputs, not probabilities. The result maps to Monitor, Medium, High or Critical. Indicative exposure is a separate heuristic value proxy for relative commercial significance, not a predicted loss or revenue forecast.</w:t>
      </w:r>
    </w:p>
    <w:p w14:paraId="223D1BCC" w14:textId="77777777" w:rsidR="00BA2B53" w:rsidRDefault="00116450">
      <w:pPr>
        <w:spacing w:before="80" w:after="80"/>
        <w:jc w:val="center"/>
      </w:pPr>
      <w:r w:rsidRPr="009648DF">
        <w:rPr>
          <w:rFonts w:ascii="Calibri" w:hAnsi="Calibri" w:cs="Calibri"/>
          <w:noProof/>
          <w:color w:val="000000"/>
        </w:rPr>
        <w:drawing>
          <wp:inline distT="0" distB="0" distL="0" distR="0" wp14:anchorId="223D1D14" wp14:editId="193766C6">
            <wp:extent cx="5901069" cy="3817409"/>
            <wp:effectExtent l="0" t="0" r="4445" b="0"/>
            <wp:docPr id="3" name="Picture 3" descr="Figure 4.2: Product scoring, rule classification and action-priority pipeline." title="Fig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scoring_pipeline.png"/>
                    <pic:cNvPicPr/>
                  </pic:nvPicPr>
                  <pic:blipFill>
                    <a:blip r:embed="rId13"/>
                    <a:stretch>
                      <a:fillRect/>
                    </a:stretch>
                  </pic:blipFill>
                  <pic:spPr>
                    <a:xfrm>
                      <a:off x="0" y="0"/>
                      <a:ext cx="5950176" cy="3849177"/>
                    </a:xfrm>
                    <a:prstGeom prst="rect">
                      <a:avLst/>
                    </a:prstGeom>
                  </pic:spPr>
                </pic:pic>
              </a:graphicData>
            </a:graphic>
          </wp:inline>
        </w:drawing>
      </w:r>
    </w:p>
    <w:p w14:paraId="223D1BCD" w14:textId="0BE07FB8" w:rsidR="00BA2B53" w:rsidRPr="002E5136" w:rsidRDefault="009273F9" w:rsidP="001C7545">
      <w:pPr>
        <w:spacing w:before="80" w:after="140"/>
        <w:rPr>
          <w:rFonts w:ascii="Calibri" w:hAnsi="Calibri" w:cs="Calibri"/>
          <w:i/>
          <w:sz w:val="20"/>
          <w:szCs w:val="20"/>
        </w:rPr>
      </w:pPr>
      <w:r w:rsidRPr="009273F9">
        <w:rPr>
          <w:rFonts w:ascii="Calibri" w:hAnsi="Calibri" w:cs="Calibri"/>
          <w:i/>
          <w:color w:val="000000"/>
          <w:sz w:val="20"/>
          <w:szCs w:val="20"/>
        </w:rPr>
        <w:t>Figure 4.2: Analytical path from four product signals to the explainable opportunity queue. The weighted product score establishes relative analytical attention, while the decision engine and priority model interpret the commercial condition and determine action order. Source: author.</w:t>
      </w:r>
    </w:p>
    <w:p w14:paraId="4029E23C" w14:textId="42DBD4C8" w:rsidR="00D9764A" w:rsidRPr="00D9764A" w:rsidRDefault="00116450" w:rsidP="00D9764A">
      <w:pPr>
        <w:pStyle w:val="Heading2"/>
        <w:spacing w:before="300" w:after="160"/>
        <w:rPr>
          <w:rFonts w:ascii="Calibri" w:hAnsi="Calibri" w:cs="Calibri"/>
          <w:bCs/>
          <w:sz w:val="27"/>
          <w:szCs w:val="27"/>
        </w:rPr>
      </w:pPr>
      <w:bookmarkStart w:id="29" w:name="_Toc237246565"/>
      <w:r w:rsidRPr="007A73CC">
        <w:rPr>
          <w:rFonts w:ascii="Calibri" w:hAnsi="Calibri" w:cs="Calibri"/>
          <w:bCs/>
          <w:sz w:val="27"/>
          <w:szCs w:val="27"/>
        </w:rPr>
        <w:t>4.6 Application Layer and Interface</w:t>
      </w:r>
      <w:bookmarkEnd w:id="29"/>
    </w:p>
    <w:p w14:paraId="223D1BD0" w14:textId="0246131C" w:rsidR="00BA2B53" w:rsidRDefault="00116450" w:rsidP="00DE1631">
      <w:pPr>
        <w:spacing w:after="200" w:line="360" w:lineRule="auto"/>
        <w:jc w:val="both"/>
        <w:rPr>
          <w:rFonts w:ascii="Calibri" w:hAnsi="Calibri" w:cs="Calibri"/>
          <w:color w:val="000000"/>
        </w:rPr>
      </w:pPr>
      <w:r w:rsidRPr="007A73CC">
        <w:rPr>
          <w:rFonts w:ascii="Calibri" w:hAnsi="Calibri" w:cs="Calibri"/>
          <w:color w:val="000000"/>
        </w:rPr>
        <w:t>The Flask application (app.py) exposes five pages, summarised in Table 4.3, each server-rendered through Jinja templates and, where appropriate, visualised with Chart.js in the browser.</w:t>
      </w:r>
    </w:p>
    <w:p w14:paraId="6474D2A2" w14:textId="77777777" w:rsidR="009347EC" w:rsidRPr="00DE1631" w:rsidRDefault="009347EC" w:rsidP="00DE1631">
      <w:pPr>
        <w:spacing w:after="200" w:line="360" w:lineRule="auto"/>
        <w:jc w:val="both"/>
        <w:rPr>
          <w:rFonts w:ascii="Calibri" w:hAnsi="Calibri" w:cs="Calibri"/>
          <w:color w:val="000000"/>
        </w:rPr>
      </w:pP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2100"/>
        <w:gridCol w:w="4700"/>
      </w:tblGrid>
      <w:tr w:rsidR="00BA2B53" w14:paraId="223D1BD4" w14:textId="77777777">
        <w:trPr>
          <w:cantSplit/>
          <w:tblHeader/>
        </w:trPr>
        <w:tc>
          <w:tcPr>
            <w:tcW w:w="2600" w:type="dxa"/>
            <w:shd w:val="clear" w:color="auto" w:fill="D9D9D9"/>
          </w:tcPr>
          <w:p w14:paraId="223D1BD1" w14:textId="77777777" w:rsidR="00BA2B53" w:rsidRPr="009648DF" w:rsidRDefault="00116450">
            <w:pPr>
              <w:spacing w:line="276" w:lineRule="auto"/>
              <w:rPr>
                <w:rFonts w:ascii="Calibri" w:hAnsi="Calibri" w:cs="Calibri"/>
              </w:rPr>
            </w:pPr>
            <w:r w:rsidRPr="009648DF">
              <w:rPr>
                <w:rFonts w:ascii="Calibri" w:hAnsi="Calibri" w:cs="Calibri"/>
                <w:b/>
                <w:bCs/>
                <w:color w:val="000000"/>
                <w:sz w:val="20"/>
                <w:szCs w:val="20"/>
              </w:rPr>
              <w:lastRenderedPageBreak/>
              <w:t>Page</w:t>
            </w:r>
          </w:p>
        </w:tc>
        <w:tc>
          <w:tcPr>
            <w:tcW w:w="2100" w:type="dxa"/>
            <w:shd w:val="clear" w:color="auto" w:fill="D9D9D9"/>
          </w:tcPr>
          <w:p w14:paraId="223D1BD2" w14:textId="77777777" w:rsidR="00BA2B53" w:rsidRPr="009648DF" w:rsidRDefault="00116450">
            <w:pPr>
              <w:spacing w:line="276" w:lineRule="auto"/>
              <w:rPr>
                <w:rFonts w:ascii="Calibri" w:hAnsi="Calibri" w:cs="Calibri"/>
              </w:rPr>
            </w:pPr>
            <w:r w:rsidRPr="009648DF">
              <w:rPr>
                <w:rFonts w:ascii="Calibri" w:hAnsi="Calibri" w:cs="Calibri"/>
                <w:b/>
                <w:bCs/>
                <w:color w:val="000000"/>
                <w:sz w:val="20"/>
                <w:szCs w:val="20"/>
              </w:rPr>
              <w:t>Route</w:t>
            </w:r>
          </w:p>
        </w:tc>
        <w:tc>
          <w:tcPr>
            <w:tcW w:w="4700" w:type="dxa"/>
            <w:shd w:val="clear" w:color="auto" w:fill="D9D9D9"/>
          </w:tcPr>
          <w:p w14:paraId="223D1BD3" w14:textId="77777777" w:rsidR="00BA2B53" w:rsidRPr="009648DF" w:rsidRDefault="00116450">
            <w:pPr>
              <w:spacing w:line="276" w:lineRule="auto"/>
              <w:rPr>
                <w:rFonts w:ascii="Calibri" w:hAnsi="Calibri" w:cs="Calibri"/>
              </w:rPr>
            </w:pPr>
            <w:r w:rsidRPr="009648DF">
              <w:rPr>
                <w:rFonts w:ascii="Calibri" w:hAnsi="Calibri" w:cs="Calibri"/>
                <w:b/>
                <w:bCs/>
                <w:color w:val="000000"/>
                <w:sz w:val="20"/>
                <w:szCs w:val="20"/>
              </w:rPr>
              <w:t>Purpose</w:t>
            </w:r>
          </w:p>
        </w:tc>
      </w:tr>
      <w:tr w:rsidR="00BA2B53" w14:paraId="223D1BD8" w14:textId="77777777">
        <w:trPr>
          <w:cantSplit/>
        </w:trPr>
        <w:tc>
          <w:tcPr>
            <w:tcW w:w="2600" w:type="dxa"/>
          </w:tcPr>
          <w:p w14:paraId="223D1BD5"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Command Centre</w:t>
            </w:r>
          </w:p>
        </w:tc>
        <w:tc>
          <w:tcPr>
            <w:tcW w:w="2100" w:type="dxa"/>
          </w:tcPr>
          <w:p w14:paraId="223D1BD6"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w:t>
            </w:r>
          </w:p>
        </w:tc>
        <w:tc>
          <w:tcPr>
            <w:tcW w:w="4700" w:type="dxa"/>
          </w:tcPr>
          <w:p w14:paraId="223D1BD7"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Executive overview of revenue, category health and highest-priority actions</w:t>
            </w:r>
          </w:p>
        </w:tc>
      </w:tr>
      <w:tr w:rsidR="00BA2B53" w14:paraId="223D1BDC" w14:textId="77777777">
        <w:trPr>
          <w:cantSplit/>
        </w:trPr>
        <w:tc>
          <w:tcPr>
            <w:tcW w:w="2600" w:type="dxa"/>
          </w:tcPr>
          <w:p w14:paraId="223D1BD9"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Opportunity Queue</w:t>
            </w:r>
          </w:p>
        </w:tc>
        <w:tc>
          <w:tcPr>
            <w:tcW w:w="2100" w:type="dxa"/>
          </w:tcPr>
          <w:p w14:paraId="223D1BDA"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/opportunities</w:t>
            </w:r>
          </w:p>
        </w:tc>
        <w:tc>
          <w:tcPr>
            <w:tcW w:w="4700" w:type="dxa"/>
          </w:tcPr>
          <w:p w14:paraId="223D1BDB"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Product-level recommendations, evidence, confidence, owners and rule IDs</w:t>
            </w:r>
          </w:p>
        </w:tc>
      </w:tr>
      <w:tr w:rsidR="00BA2B53" w14:paraId="223D1BE0" w14:textId="77777777">
        <w:trPr>
          <w:cantSplit/>
        </w:trPr>
        <w:tc>
          <w:tcPr>
            <w:tcW w:w="2600" w:type="dxa"/>
          </w:tcPr>
          <w:p w14:paraId="223D1BDD"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Scenario Lab</w:t>
            </w:r>
          </w:p>
        </w:tc>
        <w:tc>
          <w:tcPr>
            <w:tcW w:w="2100" w:type="dxa"/>
          </w:tcPr>
          <w:p w14:paraId="223D1BDE"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/scenarios</w:t>
            </w:r>
          </w:p>
        </w:tc>
        <w:tc>
          <w:tcPr>
            <w:tcW w:w="4700" w:type="dxa"/>
          </w:tcPr>
          <w:p w14:paraId="223D1BDF"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Comparison of fixed, reproducible merchandising strategies</w:t>
            </w:r>
          </w:p>
        </w:tc>
      </w:tr>
      <w:tr w:rsidR="00BA2B53" w14:paraId="223D1BE4" w14:textId="77777777">
        <w:trPr>
          <w:cantSplit/>
        </w:trPr>
        <w:tc>
          <w:tcPr>
            <w:tcW w:w="2600" w:type="dxa"/>
          </w:tcPr>
          <w:p w14:paraId="223D1BE1"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Verification</w:t>
            </w:r>
          </w:p>
        </w:tc>
        <w:tc>
          <w:tcPr>
            <w:tcW w:w="2100" w:type="dxa"/>
          </w:tcPr>
          <w:p w14:paraId="223D1BE2"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/evaluate</w:t>
            </w:r>
          </w:p>
        </w:tc>
        <w:tc>
          <w:tcPr>
            <w:tcW w:w="4700" w:type="dxa"/>
          </w:tcPr>
          <w:p w14:paraId="223D1BE3"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Technical checks covering calculations, ranking, rules, robustness and integration</w:t>
            </w:r>
          </w:p>
        </w:tc>
      </w:tr>
      <w:tr w:rsidR="00BA2B53" w14:paraId="223D1BE8" w14:textId="77777777">
        <w:trPr>
          <w:cantSplit/>
        </w:trPr>
        <w:tc>
          <w:tcPr>
            <w:tcW w:w="2600" w:type="dxa"/>
          </w:tcPr>
          <w:p w14:paraId="223D1BE5"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Data Workspace</w:t>
            </w:r>
          </w:p>
        </w:tc>
        <w:tc>
          <w:tcPr>
            <w:tcW w:w="2100" w:type="dxa"/>
          </w:tcPr>
          <w:p w14:paraId="223D1BE6"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/upload</w:t>
            </w:r>
          </w:p>
        </w:tc>
        <w:tc>
          <w:tcPr>
            <w:tcW w:w="4700" w:type="dxa"/>
          </w:tcPr>
          <w:p w14:paraId="223D1BE7" w14:textId="77777777" w:rsidR="00BA2B53" w:rsidRPr="009648DF" w:rsidRDefault="00116450">
            <w:pPr>
              <w:spacing w:line="276" w:lineRule="auto"/>
              <w:rPr>
                <w:rFonts w:ascii="Calibri" w:hAnsi="Calibri" w:cs="Calibri"/>
              </w:rPr>
            </w:pPr>
            <w:r w:rsidRPr="009648DF">
              <w:rPr>
                <w:rFonts w:ascii="Calibri" w:hAnsi="Calibri" w:cs="Calibri"/>
                <w:color w:val="000000"/>
                <w:sz w:val="20"/>
                <w:szCs w:val="20"/>
              </w:rPr>
              <w:t>Workbook upload and validation feedback</w:t>
            </w:r>
          </w:p>
        </w:tc>
      </w:tr>
    </w:tbl>
    <w:p w14:paraId="08658538" w14:textId="77777777" w:rsidR="00F45BD7" w:rsidRDefault="00E45EC0">
      <w:pPr>
        <w:spacing w:before="60" w:after="84"/>
      </w:pPr>
      <w:r>
        <w:rPr>
          <w:i/>
          <w:sz w:val="20"/>
        </w:rPr>
        <w:t>Table 4.3: MDSS application pages and routes.</w:t>
      </w:r>
    </w:p>
    <w:p w14:paraId="223D1BEA" w14:textId="21FFC8C0" w:rsidR="00BA2B53" w:rsidRPr="009648DF" w:rsidRDefault="009648DF">
      <w:pPr>
        <w:spacing w:after="200" w:line="360" w:lineRule="auto"/>
        <w:jc w:val="both"/>
        <w:rPr>
          <w:rFonts w:ascii="Calibri" w:hAnsi="Calibri" w:cs="Calibri"/>
          <w:sz w:val="24"/>
          <w:szCs w:val="24"/>
        </w:rPr>
      </w:pPr>
      <w:r>
        <w:rPr>
          <w:i/>
          <w:iCs/>
          <w:color w:val="000000"/>
          <w:sz w:val="19"/>
          <w:szCs w:val="20"/>
        </w:rPr>
        <w:br/>
      </w:r>
      <w:r w:rsidR="00116450" w:rsidRPr="009648DF">
        <w:rPr>
          <w:rFonts w:ascii="Calibri" w:hAnsi="Calibri" w:cs="Calibri"/>
          <w:color w:val="000000"/>
          <w:sz w:val="24"/>
          <w:szCs w:val="24"/>
        </w:rPr>
        <w:t xml:space="preserve">The Command Centre is assembled by a small set of dedicated helper functions rather than being queried directly from a single large view. _build_action_mix() groups the current action queue by recommended action, excluding routine "Monitor" outcomes, and sums the indicative exposure value for each action type, giving an at-a-glance summary of where commercial attention is concentrated in a given week. _build_category_health() aggregates revenue, forecast, stock value, sell-through and margin by category and calculates a forecast-gap percentage, guarding against division by zero when a category's forecast is nil. _build_revenue_trend() walks up to the eight most recent imported weeks in chronological order to give a simple revenue-versus-forecast trend for the Chart.js line chart on the Command Centre. Separating these concerns keeps app.py itself a thin coordination layer, consistent with the architectural separation set out in Table </w:t>
      </w:r>
      <w:r w:rsidR="00DE1631" w:rsidRPr="009648DF">
        <w:rPr>
          <w:rFonts w:ascii="Calibri" w:hAnsi="Calibri" w:cs="Calibri"/>
          <w:color w:val="000000"/>
          <w:sz w:val="24"/>
          <w:szCs w:val="24"/>
        </w:rPr>
        <w:t>4.1 and</w:t>
      </w:r>
      <w:r w:rsidR="00116450" w:rsidRPr="009648DF">
        <w:rPr>
          <w:rFonts w:ascii="Calibri" w:hAnsi="Calibri" w:cs="Calibri"/>
          <w:color w:val="000000"/>
          <w:sz w:val="24"/>
          <w:szCs w:val="24"/>
        </w:rPr>
        <w:t xml:space="preserve"> means each helper can be exercised or reasoned about independently of Flask's request-handling code.</w:t>
      </w:r>
    </w:p>
    <w:p w14:paraId="223D1BEB" w14:textId="77777777" w:rsidR="00BA2B53" w:rsidRPr="00B632E6" w:rsidRDefault="00116450">
      <w:pPr>
        <w:spacing w:after="200" w:line="360" w:lineRule="auto"/>
        <w:jc w:val="both"/>
        <w:rPr>
          <w:rFonts w:ascii="Calibri" w:hAnsi="Calibri" w:cs="Calibri"/>
          <w:sz w:val="24"/>
          <w:szCs w:val="24"/>
        </w:rPr>
      </w:pPr>
      <w:r w:rsidRPr="00B632E6">
        <w:rPr>
          <w:rFonts w:ascii="Calibri" w:hAnsi="Calibri" w:cs="Calibri"/>
          <w:color w:val="000000"/>
          <w:sz w:val="24"/>
          <w:szCs w:val="24"/>
        </w:rPr>
        <w:t>The Scenario Lab operationalises the strategy-comparison objective by offering seven fixed weighting profiles, Balanced, Conversion Focus, Stock Risk, Demand Focus, Peak Trading, End of Season and Margin Protection, each a different combination of the same four weighted components. These presets are seeded automatically by _seed_default_scenarios(), which creates any missing scenario definitions and their associated rankings for the selected week the first time that week is analysed, so a first-time user reaches a populated Scenario Lab without any manual configuration step. Because the weights are fixed rather than learned, a comparison between two strategies against the same uploaded dataset is fully reproducible, which was an explicit design requirement given the project's emphasis on auditability over predictive sophistication.</w:t>
      </w:r>
      <w:r w:rsidRPr="00B632E6">
        <w:rPr>
          <w:rFonts w:ascii="Calibri" w:hAnsi="Calibri" w:cs="Calibri"/>
          <w:sz w:val="24"/>
          <w:szCs w:val="24"/>
        </w:rPr>
        <w:t xml:space="preserve"> Margin Protection is price/value-heavy because margin is not a direct scoring factor; low-margin conditions are handled by MARGIN-01.</w:t>
      </w:r>
    </w:p>
    <w:p w14:paraId="223D1BEC" w14:textId="77777777" w:rsidR="00BA2B53" w:rsidRDefault="00116450">
      <w:pPr>
        <w:spacing w:after="200" w:line="360" w:lineRule="auto"/>
        <w:jc w:val="both"/>
      </w:pPr>
      <w:r w:rsidRPr="009648DF">
        <w:rPr>
          <w:rFonts w:ascii="Calibri" w:hAnsi="Calibri" w:cs="Calibri"/>
          <w:color w:val="000000"/>
          <w:sz w:val="24"/>
          <w:szCs w:val="24"/>
        </w:rPr>
        <w:lastRenderedPageBreak/>
        <w:t>The interface was designed around a short decision journey rather than separate analytical reports. Data Workspace controls the input, Command Centre summarises what requires attention, Opportunity Queue exposes the evidence behind each recommendation, and Scenario Lab allows the ranking assumptions to be challenged. Figure 4.3 shows these four operational stages; the separate Verification page supports technical assurance rather than the merchandising decision journey.</w:t>
      </w:r>
    </w:p>
    <w:p w14:paraId="54C42CE6" w14:textId="77777777" w:rsidR="007A2A88" w:rsidRDefault="007A2A88">
      <w:pPr>
        <w:spacing w:before="80" w:after="80"/>
        <w:jc w:val="center"/>
      </w:pPr>
      <w:r>
        <w:rPr>
          <w:noProof/>
        </w:rPr>
        <w:drawing>
          <wp:inline distT="0" distB="0" distL="0" distR="0" wp14:anchorId="36B438BE" wp14:editId="04AD9DA4">
            <wp:extent cx="6099175" cy="2894663"/>
            <wp:effectExtent l="19050" t="19050" r="15875" b="20320"/>
            <wp:docPr id="3176911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91118" name="Picture 3176911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99175" cy="2894663"/>
                    </a:xfrm>
                    <a:prstGeom prst="rect">
                      <a:avLst/>
                    </a:prstGeom>
                    <a:ln w="12700">
                      <a:solidFill>
                        <a:schemeClr val="tx1"/>
                      </a:solidFill>
                    </a:ln>
                  </pic:spPr>
                </pic:pic>
              </a:graphicData>
            </a:graphic>
          </wp:inline>
        </w:drawing>
      </w:r>
    </w:p>
    <w:p w14:paraId="223D1BED" w14:textId="7F7F6149" w:rsidR="00BA2B53" w:rsidRDefault="00670B1F">
      <w:pPr>
        <w:spacing w:before="80" w:after="80"/>
        <w:jc w:val="center"/>
      </w:pPr>
      <w:r>
        <w:rPr>
          <w:noProof/>
        </w:rPr>
        <w:drawing>
          <wp:inline distT="0" distB="0" distL="0" distR="0" wp14:anchorId="2228C19C" wp14:editId="4ABFFC19">
            <wp:extent cx="6098142" cy="2914156"/>
            <wp:effectExtent l="19050" t="19050" r="17145" b="19685"/>
            <wp:docPr id="5659436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43629" name="Picture 56594362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08986" cy="2919338"/>
                    </a:xfrm>
                    <a:prstGeom prst="rect">
                      <a:avLst/>
                    </a:prstGeom>
                    <a:ln w="12700">
                      <a:solidFill>
                        <a:schemeClr val="tx1"/>
                      </a:solidFill>
                    </a:ln>
                  </pic:spPr>
                </pic:pic>
              </a:graphicData>
            </a:graphic>
          </wp:inline>
        </w:drawing>
      </w:r>
    </w:p>
    <w:p w14:paraId="19039C88" w14:textId="03F4F77D" w:rsidR="00F36087" w:rsidRDefault="00766E58" w:rsidP="00766E58">
      <w:pPr>
        <w:spacing w:before="80" w:after="80"/>
      </w:pPr>
      <w:r w:rsidRPr="00766E58">
        <w:t xml:space="preserve"> </w:t>
      </w:r>
      <w:r w:rsidR="00FB67B9" w:rsidRPr="00FB67B9">
        <w:rPr>
          <w:rFonts w:ascii="Calibri" w:hAnsi="Calibri" w:cs="Calibri"/>
          <w:i/>
          <w:iCs/>
        </w:rPr>
        <w:t>Figure 4.3a: Data Workspace and Command Centre, showing validated data input and weekly prioritisation.</w:t>
      </w:r>
    </w:p>
    <w:p w14:paraId="369E7B55" w14:textId="77777777" w:rsidR="007A2A88" w:rsidRDefault="007A2A88">
      <w:pPr>
        <w:spacing w:before="80" w:after="80"/>
        <w:jc w:val="center"/>
      </w:pPr>
      <w:r>
        <w:rPr>
          <w:noProof/>
        </w:rPr>
        <w:lastRenderedPageBreak/>
        <w:drawing>
          <wp:inline distT="0" distB="0" distL="0" distR="0" wp14:anchorId="74D3402B" wp14:editId="31E574D6">
            <wp:extent cx="6099175" cy="2922845"/>
            <wp:effectExtent l="19050" t="19050" r="15875" b="11430"/>
            <wp:docPr id="18400333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33367" name="Picture 184003336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99175" cy="2922845"/>
                    </a:xfrm>
                    <a:prstGeom prst="rect">
                      <a:avLst/>
                    </a:prstGeom>
                    <a:ln w="12700">
                      <a:solidFill>
                        <a:schemeClr val="tx1"/>
                      </a:solidFill>
                    </a:ln>
                  </pic:spPr>
                </pic:pic>
              </a:graphicData>
            </a:graphic>
          </wp:inline>
        </w:drawing>
      </w:r>
    </w:p>
    <w:p w14:paraId="778CDC67" w14:textId="04FB454E" w:rsidR="00F36087" w:rsidRDefault="006312F9">
      <w:pPr>
        <w:spacing w:before="80" w:after="80"/>
        <w:jc w:val="center"/>
      </w:pPr>
      <w:r>
        <w:rPr>
          <w:noProof/>
        </w:rPr>
        <w:drawing>
          <wp:inline distT="0" distB="0" distL="0" distR="0" wp14:anchorId="437B6258" wp14:editId="41C2BB11">
            <wp:extent cx="6099329" cy="2878529"/>
            <wp:effectExtent l="19050" t="19050" r="15875" b="17145"/>
            <wp:docPr id="9077450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45067" name="Picture 90774506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08835" cy="2883015"/>
                    </a:xfrm>
                    <a:prstGeom prst="rect">
                      <a:avLst/>
                    </a:prstGeom>
                    <a:ln w="12700">
                      <a:solidFill>
                        <a:schemeClr val="tx1"/>
                      </a:solidFill>
                    </a:ln>
                  </pic:spPr>
                </pic:pic>
              </a:graphicData>
            </a:graphic>
          </wp:inline>
        </w:drawing>
      </w:r>
    </w:p>
    <w:p w14:paraId="611C937E" w14:textId="225B5112" w:rsidR="00173008" w:rsidRPr="00173008" w:rsidRDefault="00173008" w:rsidP="007E44B2">
      <w:pPr>
        <w:spacing w:before="80" w:after="80"/>
        <w:rPr>
          <w:rFonts w:ascii="Calibri" w:hAnsi="Calibri" w:cs="Calibri"/>
          <w:i/>
          <w:iCs/>
        </w:rPr>
      </w:pPr>
      <w:r w:rsidRPr="00173008">
        <w:rPr>
          <w:rFonts w:ascii="Calibri" w:hAnsi="Calibri" w:cs="Calibri"/>
          <w:i/>
          <w:iCs/>
        </w:rPr>
        <w:t>Figure 4.3b: Opportunity Queue and Scenario Lab, showing explainable recommendations and strategy sensitivity.</w:t>
      </w:r>
    </w:p>
    <w:p w14:paraId="223D1BEF" w14:textId="77777777" w:rsidR="00BA2B53" w:rsidRPr="00833E41" w:rsidRDefault="00116450">
      <w:pPr>
        <w:pStyle w:val="Heading2"/>
        <w:spacing w:before="300" w:after="160"/>
        <w:rPr>
          <w:rFonts w:ascii="Calibri" w:hAnsi="Calibri" w:cs="Calibri"/>
        </w:rPr>
      </w:pPr>
      <w:bookmarkStart w:id="30" w:name="_Toc237246566"/>
      <w:r w:rsidRPr="00833E41">
        <w:rPr>
          <w:rFonts w:ascii="Calibri" w:hAnsi="Calibri" w:cs="Calibri"/>
          <w:sz w:val="27"/>
        </w:rPr>
        <w:t>4.7 Reproducibility and Configuration</w:t>
      </w:r>
      <w:bookmarkEnd w:id="30"/>
    </w:p>
    <w:p w14:paraId="10BE703F" w14:textId="7A6E8907" w:rsidR="007A2A88" w:rsidRPr="007A2A88" w:rsidRDefault="00116450">
      <w:pPr>
        <w:spacing w:after="200" w:line="360" w:lineRule="auto"/>
        <w:jc w:val="both"/>
        <w:rPr>
          <w:rFonts w:ascii="Calibri" w:hAnsi="Calibri" w:cs="Calibri"/>
          <w:color w:val="000000"/>
          <w:sz w:val="24"/>
          <w:szCs w:val="24"/>
        </w:rPr>
      </w:pPr>
      <w:r w:rsidRPr="00833E41">
        <w:rPr>
          <w:rFonts w:ascii="Calibri" w:hAnsi="Calibri" w:cs="Calibri"/>
          <w:color w:val="000000"/>
          <w:sz w:val="24"/>
          <w:szCs w:val="24"/>
        </w:rPr>
        <w:t>The analytical core is self-contained once the Python dependencies declared in requirements.txt are installed: SQLite initialises automatically, and no external BI, ERP, PIM or GA4 service is required to analyse a supplied workbook. Runtime settings such as the listening port and development debug mode are controlled through environment configuration, with debug mode disabled by default in the final submission build. The current presentation layer loads Chart.js from a public CDN, so the browser still has an external frontend dependency for charts; a production implementation should package or self-host that dependency. The resulting configuration is appropriate for reproducible local demonstration, but it is not presented as production deployment architecture.</w:t>
      </w:r>
    </w:p>
    <w:p w14:paraId="223D1BF1" w14:textId="77777777" w:rsidR="00BA2B53" w:rsidRPr="00833E41" w:rsidRDefault="00116450">
      <w:pPr>
        <w:pStyle w:val="Heading2"/>
        <w:pageBreakBefore/>
        <w:spacing w:before="300" w:after="160"/>
        <w:rPr>
          <w:rFonts w:ascii="Calibri" w:hAnsi="Calibri" w:cs="Calibri"/>
        </w:rPr>
      </w:pPr>
      <w:bookmarkStart w:id="31" w:name="_Toc237246567"/>
      <w:r w:rsidRPr="00833E41">
        <w:rPr>
          <w:rFonts w:ascii="Calibri" w:hAnsi="Calibri" w:cs="Calibri"/>
          <w:sz w:val="27"/>
        </w:rPr>
        <w:lastRenderedPageBreak/>
        <w:t>4.8 Testing Strategy</w:t>
      </w:r>
      <w:bookmarkEnd w:id="31"/>
    </w:p>
    <w:tbl>
      <w:tblPr>
        <w:tblpPr w:leftFromText="180" w:rightFromText="180" w:vertAnchor="text" w:horzAnchor="margin" w:tblpY="2389"/>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900"/>
        <w:gridCol w:w="6000"/>
      </w:tblGrid>
      <w:tr w:rsidR="00833E41" w14:paraId="110D4A27" w14:textId="77777777" w:rsidTr="00833E41">
        <w:trPr>
          <w:cantSplit/>
          <w:tblHeader/>
        </w:trPr>
        <w:tc>
          <w:tcPr>
            <w:tcW w:w="2500" w:type="dxa"/>
            <w:shd w:val="clear" w:color="auto" w:fill="D9D9D9"/>
          </w:tcPr>
          <w:p w14:paraId="0A733DBF" w14:textId="77777777" w:rsidR="00833E41" w:rsidRDefault="00833E41" w:rsidP="00833E41">
            <w:pPr>
              <w:spacing w:line="276" w:lineRule="auto"/>
              <w:jc w:val="center"/>
            </w:pPr>
            <w:r>
              <w:rPr>
                <w:b/>
                <w:bCs/>
                <w:color w:val="000000"/>
                <w:sz w:val="20"/>
                <w:szCs w:val="20"/>
              </w:rPr>
              <w:t>Category</w:t>
            </w:r>
          </w:p>
        </w:tc>
        <w:tc>
          <w:tcPr>
            <w:tcW w:w="900" w:type="dxa"/>
            <w:shd w:val="clear" w:color="auto" w:fill="D9D9D9"/>
          </w:tcPr>
          <w:p w14:paraId="02148442" w14:textId="77777777" w:rsidR="00833E41" w:rsidRDefault="00833E41" w:rsidP="00833E41">
            <w:pPr>
              <w:spacing w:line="276" w:lineRule="auto"/>
            </w:pPr>
            <w:r>
              <w:rPr>
                <w:b/>
                <w:bCs/>
                <w:color w:val="000000"/>
                <w:sz w:val="20"/>
                <w:szCs w:val="20"/>
              </w:rPr>
              <w:t>Checks</w:t>
            </w:r>
          </w:p>
        </w:tc>
        <w:tc>
          <w:tcPr>
            <w:tcW w:w="6000" w:type="dxa"/>
            <w:shd w:val="clear" w:color="auto" w:fill="D9D9D9"/>
          </w:tcPr>
          <w:p w14:paraId="68229078" w14:textId="77777777" w:rsidR="00833E41" w:rsidRDefault="00833E41" w:rsidP="00833E41">
            <w:pPr>
              <w:spacing w:line="276" w:lineRule="auto"/>
            </w:pPr>
            <w:r>
              <w:rPr>
                <w:b/>
                <w:bCs/>
                <w:color w:val="000000"/>
                <w:sz w:val="20"/>
                <w:szCs w:val="20"/>
              </w:rPr>
              <w:t>Representative examples</w:t>
            </w:r>
          </w:p>
        </w:tc>
      </w:tr>
      <w:tr w:rsidR="00833E41" w14:paraId="47DFF060" w14:textId="77777777" w:rsidTr="00833E41">
        <w:trPr>
          <w:cantSplit/>
        </w:trPr>
        <w:tc>
          <w:tcPr>
            <w:tcW w:w="2500" w:type="dxa"/>
          </w:tcPr>
          <w:p w14:paraId="45E27CA1" w14:textId="77777777" w:rsidR="00833E41" w:rsidRDefault="00833E41" w:rsidP="00833E41">
            <w:pPr>
              <w:spacing w:line="276" w:lineRule="auto"/>
            </w:pPr>
            <w:r>
              <w:rPr>
                <w:color w:val="000000"/>
                <w:sz w:val="20"/>
                <w:szCs w:val="20"/>
              </w:rPr>
              <w:t>KPI calculation verification</w:t>
            </w:r>
          </w:p>
        </w:tc>
        <w:tc>
          <w:tcPr>
            <w:tcW w:w="900" w:type="dxa"/>
          </w:tcPr>
          <w:p w14:paraId="1CD40AC0" w14:textId="77777777" w:rsidR="00833E41" w:rsidRDefault="00833E41" w:rsidP="00833E41">
            <w:pPr>
              <w:spacing w:line="276" w:lineRule="auto"/>
            </w:pPr>
            <w:r>
              <w:rPr>
                <w:color w:val="000000"/>
                <w:sz w:val="20"/>
                <w:szCs w:val="20"/>
              </w:rPr>
              <w:t>6</w:t>
            </w:r>
          </w:p>
        </w:tc>
        <w:tc>
          <w:tcPr>
            <w:tcW w:w="6000" w:type="dxa"/>
          </w:tcPr>
          <w:p w14:paraId="0DAD2E90" w14:textId="77777777" w:rsidR="00833E41" w:rsidRDefault="00833E41" w:rsidP="00833E41">
            <w:pPr>
              <w:spacing w:line="276" w:lineRule="auto"/>
            </w:pPr>
            <w:r>
              <w:rPr>
                <w:color w:val="000000"/>
                <w:sz w:val="20"/>
                <w:szCs w:val="20"/>
              </w:rPr>
              <w:t>Total revenue reconciles to the sum of product revenue; revenue-per-session and revenue-per-unit are correctly labelled and calculated; returns percentage matches returned versus sold units</w:t>
            </w:r>
          </w:p>
        </w:tc>
      </w:tr>
      <w:tr w:rsidR="00833E41" w14:paraId="591DEF4D" w14:textId="77777777" w:rsidTr="00833E41">
        <w:trPr>
          <w:cantSplit/>
        </w:trPr>
        <w:tc>
          <w:tcPr>
            <w:tcW w:w="2500" w:type="dxa"/>
          </w:tcPr>
          <w:p w14:paraId="75157733" w14:textId="77777777" w:rsidR="00833E41" w:rsidRDefault="00833E41" w:rsidP="00833E41">
            <w:pPr>
              <w:spacing w:line="276" w:lineRule="auto"/>
            </w:pPr>
            <w:r>
              <w:rPr>
                <w:color w:val="000000"/>
                <w:sz w:val="20"/>
                <w:szCs w:val="20"/>
              </w:rPr>
              <w:t>Ranking sensitivity</w:t>
            </w:r>
          </w:p>
        </w:tc>
        <w:tc>
          <w:tcPr>
            <w:tcW w:w="900" w:type="dxa"/>
          </w:tcPr>
          <w:p w14:paraId="538AE80C" w14:textId="77777777" w:rsidR="00833E41" w:rsidRDefault="00833E41" w:rsidP="00833E41">
            <w:pPr>
              <w:spacing w:line="276" w:lineRule="auto"/>
            </w:pPr>
            <w:r>
              <w:rPr>
                <w:color w:val="000000"/>
                <w:sz w:val="20"/>
                <w:szCs w:val="20"/>
              </w:rPr>
              <w:t>6</w:t>
            </w:r>
          </w:p>
        </w:tc>
        <w:tc>
          <w:tcPr>
            <w:tcW w:w="6000" w:type="dxa"/>
          </w:tcPr>
          <w:p w14:paraId="12F4EC67" w14:textId="77777777" w:rsidR="00833E41" w:rsidRDefault="00833E41" w:rsidP="00833E41">
            <w:pPr>
              <w:spacing w:line="276" w:lineRule="auto"/>
            </w:pPr>
            <w:r>
              <w:rPr>
                <w:color w:val="000000"/>
                <w:sz w:val="20"/>
                <w:szCs w:val="20"/>
              </w:rPr>
              <w:t>Increasing the weight on conversion or stock does not penalise the product that already leads on that factor; identical inputs always produce identical scores and ranks (determinism); an invalid strategy total is rejected before scoring</w:t>
            </w:r>
          </w:p>
        </w:tc>
      </w:tr>
      <w:tr w:rsidR="00833E41" w14:paraId="591DA88A" w14:textId="77777777" w:rsidTr="00833E41">
        <w:trPr>
          <w:cantSplit/>
        </w:trPr>
        <w:tc>
          <w:tcPr>
            <w:tcW w:w="2500" w:type="dxa"/>
          </w:tcPr>
          <w:p w14:paraId="6C724C8A" w14:textId="77777777" w:rsidR="00833E41" w:rsidRDefault="00833E41" w:rsidP="00833E41">
            <w:pPr>
              <w:spacing w:line="276" w:lineRule="auto"/>
            </w:pPr>
            <w:r>
              <w:rPr>
                <w:color w:val="000000"/>
                <w:sz w:val="20"/>
                <w:szCs w:val="20"/>
              </w:rPr>
              <w:t>Rule execution verification</w:t>
            </w:r>
          </w:p>
        </w:tc>
        <w:tc>
          <w:tcPr>
            <w:tcW w:w="900" w:type="dxa"/>
          </w:tcPr>
          <w:p w14:paraId="77EF35BA" w14:textId="77777777" w:rsidR="00833E41" w:rsidRDefault="00833E41" w:rsidP="00833E41">
            <w:pPr>
              <w:spacing w:line="276" w:lineRule="auto"/>
            </w:pPr>
            <w:r>
              <w:rPr>
                <w:color w:val="000000"/>
                <w:sz w:val="20"/>
                <w:szCs w:val="20"/>
              </w:rPr>
              <w:t>5</w:t>
            </w:r>
          </w:p>
        </w:tc>
        <w:tc>
          <w:tcPr>
            <w:tcW w:w="6000" w:type="dxa"/>
          </w:tcPr>
          <w:p w14:paraId="2EED1A7B" w14:textId="77777777" w:rsidR="00833E41" w:rsidRDefault="00833E41" w:rsidP="00833E41">
            <w:pPr>
              <w:spacing w:line="276" w:lineRule="auto"/>
            </w:pPr>
            <w:r>
              <w:rPr>
                <w:color w:val="000000"/>
                <w:sz w:val="20"/>
                <w:szCs w:val="20"/>
              </w:rPr>
              <w:t>Five controlled rule/action branches are exercised, including returns precedence over an otherwise strong growth signal</w:t>
            </w:r>
          </w:p>
        </w:tc>
      </w:tr>
      <w:tr w:rsidR="00833E41" w14:paraId="449B978A" w14:textId="77777777" w:rsidTr="00833E41">
        <w:trPr>
          <w:cantSplit/>
        </w:trPr>
        <w:tc>
          <w:tcPr>
            <w:tcW w:w="2500" w:type="dxa"/>
          </w:tcPr>
          <w:p w14:paraId="61D79763" w14:textId="77777777" w:rsidR="00833E41" w:rsidRDefault="00833E41" w:rsidP="00833E41">
            <w:pPr>
              <w:spacing w:line="276" w:lineRule="auto"/>
            </w:pPr>
            <w:r>
              <w:rPr>
                <w:color w:val="000000"/>
                <w:sz w:val="20"/>
                <w:szCs w:val="20"/>
              </w:rPr>
              <w:t>Robustness</w:t>
            </w:r>
          </w:p>
        </w:tc>
        <w:tc>
          <w:tcPr>
            <w:tcW w:w="900" w:type="dxa"/>
          </w:tcPr>
          <w:p w14:paraId="26D7A854" w14:textId="77777777" w:rsidR="00833E41" w:rsidRDefault="00833E41" w:rsidP="00833E41">
            <w:pPr>
              <w:spacing w:line="276" w:lineRule="auto"/>
            </w:pPr>
            <w:r>
              <w:rPr>
                <w:color w:val="000000"/>
                <w:sz w:val="20"/>
                <w:szCs w:val="20"/>
              </w:rPr>
              <w:t>4</w:t>
            </w:r>
          </w:p>
        </w:tc>
        <w:tc>
          <w:tcPr>
            <w:tcW w:w="6000" w:type="dxa"/>
          </w:tcPr>
          <w:p w14:paraId="3A615F8E" w14:textId="77777777" w:rsidR="00833E41" w:rsidRDefault="00833E41" w:rsidP="00833E41">
            <w:pPr>
              <w:spacing w:line="276" w:lineRule="auto"/>
            </w:pPr>
            <w:r>
              <w:rPr>
                <w:color w:val="000000"/>
                <w:sz w:val="20"/>
                <w:szCs w:val="20"/>
              </w:rPr>
              <w:t>An empty dataset, and zero-session or zero-sold-unit products, are handled as valid states rather than producing NaN or infinite values; non-discriminating factors correctly receive the neutral 0.5 midpoint</w:t>
            </w:r>
          </w:p>
        </w:tc>
      </w:tr>
      <w:tr w:rsidR="00833E41" w14:paraId="4A9CB338" w14:textId="77777777" w:rsidTr="00833E41">
        <w:trPr>
          <w:cantSplit/>
        </w:trPr>
        <w:tc>
          <w:tcPr>
            <w:tcW w:w="2500" w:type="dxa"/>
          </w:tcPr>
          <w:p w14:paraId="20115184" w14:textId="77777777" w:rsidR="00833E41" w:rsidRDefault="00833E41" w:rsidP="00833E41">
            <w:pPr>
              <w:spacing w:line="276" w:lineRule="auto"/>
            </w:pPr>
            <w:r>
              <w:rPr>
                <w:color w:val="000000"/>
                <w:sz w:val="20"/>
                <w:szCs w:val="20"/>
              </w:rPr>
              <w:t>Integration verification</w:t>
            </w:r>
          </w:p>
        </w:tc>
        <w:tc>
          <w:tcPr>
            <w:tcW w:w="900" w:type="dxa"/>
          </w:tcPr>
          <w:p w14:paraId="5370FA43" w14:textId="77777777" w:rsidR="00833E41" w:rsidRDefault="00833E41" w:rsidP="00833E41">
            <w:pPr>
              <w:spacing w:line="276" w:lineRule="auto"/>
            </w:pPr>
            <w:r>
              <w:rPr>
                <w:color w:val="000000"/>
                <w:sz w:val="20"/>
                <w:szCs w:val="20"/>
              </w:rPr>
              <w:t>4</w:t>
            </w:r>
          </w:p>
        </w:tc>
        <w:tc>
          <w:tcPr>
            <w:tcW w:w="6000" w:type="dxa"/>
          </w:tcPr>
          <w:p w14:paraId="303DB6DB" w14:textId="77777777" w:rsidR="00833E41" w:rsidRDefault="00833E41" w:rsidP="00833E41">
            <w:pPr>
              <w:spacing w:line="276" w:lineRule="auto"/>
            </w:pPr>
            <w:r>
              <w:rPr>
                <w:color w:val="000000"/>
                <w:sz w:val="20"/>
                <w:szCs w:val="20"/>
              </w:rPr>
              <w:t>Required tables, foreign keys and uniqueness constraints exist; the action queue is a complete, ordered output; a saved scenario and ranking can be persisted and reloaded reproducibly; a deliberately invalid import does not corrupt or partially replace existing data</w:t>
            </w:r>
          </w:p>
        </w:tc>
      </w:tr>
    </w:tbl>
    <w:p w14:paraId="55E17137" w14:textId="77777777" w:rsidR="00833E41" w:rsidRDefault="00116450">
      <w:pPr>
        <w:spacing w:after="200" w:line="360" w:lineRule="auto"/>
        <w:jc w:val="both"/>
        <w:rPr>
          <w:rFonts w:ascii="Calibri" w:hAnsi="Calibri" w:cs="Calibri"/>
          <w:color w:val="000000"/>
          <w:sz w:val="24"/>
          <w:szCs w:val="24"/>
        </w:rPr>
      </w:pPr>
      <w:r w:rsidRPr="00833E41">
        <w:rPr>
          <w:rFonts w:ascii="Calibri" w:hAnsi="Calibri" w:cs="Calibri"/>
          <w:color w:val="000000"/>
          <w:sz w:val="24"/>
          <w:szCs w:val="24"/>
        </w:rPr>
        <w:t>Rather than treating testing as an activity separate from the deliverable, MDSS embeds an automated, twenty-five-check verification suite (modules/evaluation.py) directly into the application, accessible from the Verification page against any imported trading week. The checks are organised into five categories, summarised in Table 4.4.</w:t>
      </w:r>
    </w:p>
    <w:p w14:paraId="437A1DC2" w14:textId="77777777" w:rsidR="00833E41" w:rsidRDefault="00833E41">
      <w:pPr>
        <w:spacing w:after="200" w:line="360" w:lineRule="auto"/>
        <w:jc w:val="both"/>
        <w:rPr>
          <w:rFonts w:ascii="Calibri" w:hAnsi="Calibri" w:cs="Calibri"/>
          <w:color w:val="000000"/>
          <w:sz w:val="24"/>
          <w:szCs w:val="24"/>
        </w:rPr>
      </w:pPr>
    </w:p>
    <w:p w14:paraId="79070630" w14:textId="228CDA70" w:rsidR="00833E41" w:rsidRPr="00833E41" w:rsidRDefault="00833E41">
      <w:pPr>
        <w:spacing w:after="200" w:line="360" w:lineRule="auto"/>
        <w:jc w:val="both"/>
        <w:rPr>
          <w:rFonts w:ascii="Calibri" w:hAnsi="Calibri" w:cs="Calibri"/>
          <w:color w:val="000000"/>
          <w:sz w:val="20"/>
          <w:szCs w:val="20"/>
        </w:rPr>
      </w:pPr>
      <w:r w:rsidRPr="00833E41">
        <w:rPr>
          <w:rFonts w:ascii="Calibri" w:hAnsi="Calibri" w:cs="Calibri"/>
          <w:i/>
          <w:iCs/>
          <w:color w:val="000000"/>
          <w:sz w:val="20"/>
          <w:szCs w:val="20"/>
        </w:rPr>
        <w:t>Table 4.4: The 25 automated verification checks, by category (modules/evaluation.py).</w:t>
      </w:r>
    </w:p>
    <w:p w14:paraId="223D1C0C" w14:textId="33ABA501" w:rsidR="00BA2B53" w:rsidRPr="007C01E0" w:rsidRDefault="00294ADD">
      <w:pPr>
        <w:spacing w:after="200" w:line="360" w:lineRule="auto"/>
        <w:jc w:val="both"/>
        <w:rPr>
          <w:rFonts w:ascii="Calibri" w:hAnsi="Calibri" w:cs="Calibri"/>
          <w:color w:val="000000"/>
          <w:sz w:val="24"/>
          <w:szCs w:val="24"/>
        </w:rPr>
      </w:pPr>
      <w:r w:rsidRPr="00294ADD">
        <w:rPr>
          <w:rFonts w:ascii="Calibri" w:hAnsi="Calibri" w:cs="Calibri"/>
          <w:color w:val="000000"/>
          <w:sz w:val="24"/>
          <w:szCs w:val="24"/>
        </w:rPr>
        <w:t>Each check is executed defensively: an unexpected exception in one check is caught and reported as a failure for that check alone rather than allowing it to halt the remaining twenty-four. Where independently derived numeric values are reconciled, the verification harness applies its documented one-percent comparison tolerance to reduce false failures from rounding and representation differences. This structure allowed the verification suite to be extended incrementally alongside the scoring and decision-engine modules, providing repeatable regression checks as the prototype evolved.</w:t>
      </w:r>
    </w:p>
    <w:p w14:paraId="223D1C0D" w14:textId="77777777" w:rsidR="00BA2B53" w:rsidRPr="00427497" w:rsidRDefault="00116450">
      <w:pPr>
        <w:pStyle w:val="Heading1"/>
        <w:rPr>
          <w:rFonts w:ascii="Bookman Old Style" w:hAnsi="Bookman Old Style"/>
        </w:rPr>
      </w:pPr>
      <w:bookmarkStart w:id="32" w:name="_Toc237246568"/>
      <w:r w:rsidRPr="00427497">
        <w:rPr>
          <w:rFonts w:ascii="Bookman Old Style" w:hAnsi="Bookman Old Style"/>
        </w:rPr>
        <w:t>Chapter 5 - Results, Evaluation and Discussion</w:t>
      </w:r>
      <w:bookmarkEnd w:id="32"/>
    </w:p>
    <w:p w14:paraId="223D1C0E" w14:textId="77777777" w:rsidR="00BA2B53" w:rsidRPr="00427497" w:rsidRDefault="00116450">
      <w:pPr>
        <w:pStyle w:val="Heading2"/>
        <w:rPr>
          <w:rFonts w:ascii="Calibri" w:hAnsi="Calibri" w:cs="Calibri"/>
          <w:sz w:val="27"/>
          <w:szCs w:val="27"/>
        </w:rPr>
      </w:pPr>
      <w:bookmarkStart w:id="33" w:name="_Toc237246569"/>
      <w:r w:rsidRPr="00427497">
        <w:rPr>
          <w:rFonts w:ascii="Calibri" w:hAnsi="Calibri" w:cs="Calibri"/>
          <w:sz w:val="27"/>
          <w:szCs w:val="27"/>
        </w:rPr>
        <w:t>5.1 Evaluation Approach</w:t>
      </w:r>
      <w:bookmarkEnd w:id="33"/>
    </w:p>
    <w:p w14:paraId="223D1C0F" w14:textId="4C44FD76" w:rsidR="00BA2B53" w:rsidRPr="00427497" w:rsidRDefault="0012307E">
      <w:pPr>
        <w:rPr>
          <w:rFonts w:ascii="Calibri" w:hAnsi="Calibri" w:cs="Calibri"/>
          <w:sz w:val="24"/>
          <w:szCs w:val="24"/>
        </w:rPr>
      </w:pPr>
      <w:r w:rsidRPr="0012307E">
        <w:rPr>
          <w:rFonts w:ascii="Calibri" w:hAnsi="Calibri" w:cs="Calibri"/>
          <w:color w:val="000000"/>
          <w:sz w:val="24"/>
          <w:szCs w:val="24"/>
        </w:rPr>
        <w:t>The system was evaluated using FEDS, a framework for assessing design-science artefacts</w:t>
      </w:r>
      <w:sdt>
        <w:sdtPr>
          <w:rPr>
            <w:rFonts w:ascii="Calibri" w:hAnsi="Calibri" w:cs="Calibri"/>
            <w:color w:val="000000"/>
            <w:sz w:val="24"/>
            <w:szCs w:val="24"/>
          </w:rPr>
          <w:id w:val="-216198522"/>
          <w:citation/>
        </w:sdtPr>
        <w:sdtEndPr/>
        <w:sdtContent>
          <w:r w:rsidR="00AB79D5">
            <w:rPr>
              <w:rFonts w:ascii="Calibri" w:hAnsi="Calibri" w:cs="Calibri"/>
              <w:color w:val="000000"/>
              <w:sz w:val="24"/>
              <w:szCs w:val="24"/>
            </w:rPr>
            <w:fldChar w:fldCharType="begin"/>
          </w:r>
          <w:r w:rsidR="00AB79D5">
            <w:rPr>
              <w:rFonts w:ascii="Calibri" w:hAnsi="Calibri" w:cs="Calibri"/>
              <w:color w:val="000000"/>
              <w:sz w:val="24"/>
              <w:szCs w:val="24"/>
            </w:rPr>
            <w:instrText xml:space="preserve"> CITATION Joh16 \l 2057 </w:instrText>
          </w:r>
          <w:r w:rsidR="00AB79D5">
            <w:rPr>
              <w:rFonts w:ascii="Calibri" w:hAnsi="Calibri" w:cs="Calibri"/>
              <w:color w:val="000000"/>
              <w:sz w:val="24"/>
              <w:szCs w:val="24"/>
            </w:rPr>
            <w:fldChar w:fldCharType="separate"/>
          </w:r>
          <w:r w:rsidR="00AB79D5" w:rsidRPr="00AB79D5">
            <w:rPr>
              <w:rFonts w:ascii="Calibri" w:hAnsi="Calibri" w:cs="Calibri"/>
              <w:noProof/>
              <w:color w:val="000000"/>
              <w:sz w:val="24"/>
              <w:szCs w:val="24"/>
            </w:rPr>
            <w:t>[6]</w:t>
          </w:r>
          <w:r w:rsidR="00AB79D5">
            <w:rPr>
              <w:rFonts w:ascii="Calibri" w:hAnsi="Calibri" w:cs="Calibri"/>
              <w:color w:val="000000"/>
              <w:sz w:val="24"/>
              <w:szCs w:val="24"/>
            </w:rPr>
            <w:fldChar w:fldCharType="end"/>
          </w:r>
        </w:sdtContent>
      </w:sdt>
      <w:r w:rsidR="00116450" w:rsidRPr="00427497">
        <w:rPr>
          <w:rFonts w:ascii="Calibri" w:hAnsi="Calibri" w:cs="Calibri"/>
          <w:color w:val="000000"/>
          <w:sz w:val="24"/>
          <w:szCs w:val="24"/>
        </w:rPr>
        <w:t xml:space="preserve">, which distinguishes controlled/artificial evaluation from naturalistic evaluation in the intended organisational setting. The current project deliberately emphasises controlled technical evaluation </w:t>
      </w:r>
      <w:r w:rsidR="00116450" w:rsidRPr="00427497">
        <w:rPr>
          <w:rFonts w:ascii="Calibri" w:hAnsi="Calibri" w:cs="Calibri"/>
          <w:color w:val="000000"/>
          <w:sz w:val="24"/>
          <w:szCs w:val="24"/>
        </w:rPr>
        <w:lastRenderedPageBreak/>
        <w:t>because its data are synthetic and its purpose is to establish whether the artefact implements the specified data-to-decision process consistently, transparently and safely before any claim of commercial effectiveness is attempted. Four demonstration workbooks represent baseline, end-of-season, peak-trading and post-returns conditions. Each contains twelve weekly states and was processed through the ordinary upload, validation, persistence, scoring and decision workflow rather than through a separate test-only path.</w:t>
      </w:r>
    </w:p>
    <w:p w14:paraId="223D1C10" w14:textId="77777777" w:rsidR="00BA2B53" w:rsidRPr="00427497" w:rsidRDefault="00116450">
      <w:pPr>
        <w:rPr>
          <w:rFonts w:ascii="Calibri" w:hAnsi="Calibri" w:cs="Calibri"/>
          <w:sz w:val="24"/>
          <w:szCs w:val="24"/>
        </w:rPr>
      </w:pPr>
      <w:r w:rsidRPr="00427497">
        <w:rPr>
          <w:rFonts w:ascii="Calibri" w:hAnsi="Calibri" w:cs="Calibri"/>
          <w:color w:val="000000"/>
          <w:sz w:val="24"/>
          <w:szCs w:val="24"/>
        </w:rPr>
        <w:t>The evaluation therefore asks two different questions and keeps their answers separate. Technical verification asks whether calculations, rankings, rules, persistence and edge handling behave as specified. Commercial validation would ask whether the policy improves real merchandising decisions, revenue, stock efficiency or user performance. The first can be evidenced in the present controlled prototype; the second requires historical outcomes, domain-expert calibration, user testing and a commercial pilot and is not claimed here.</w:t>
      </w:r>
    </w:p>
    <w:p w14:paraId="223D1C11" w14:textId="77777777" w:rsidR="00BA2B53" w:rsidRPr="00427497" w:rsidRDefault="00116450">
      <w:pPr>
        <w:pStyle w:val="Heading2"/>
        <w:rPr>
          <w:rFonts w:ascii="Calibri" w:hAnsi="Calibri" w:cs="Calibri"/>
          <w:sz w:val="27"/>
          <w:szCs w:val="27"/>
        </w:rPr>
      </w:pPr>
      <w:bookmarkStart w:id="34" w:name="_Toc237246570"/>
      <w:r w:rsidRPr="00427497">
        <w:rPr>
          <w:rFonts w:ascii="Calibri" w:hAnsi="Calibri" w:cs="Calibri"/>
          <w:sz w:val="27"/>
          <w:szCs w:val="27"/>
        </w:rPr>
        <w:t>5.2 Quantitative Results Across Controlled Trading Conditions</w:t>
      </w:r>
      <w:bookmarkEnd w:id="34"/>
    </w:p>
    <w:p w14:paraId="223D1C12" w14:textId="77777777" w:rsidR="00BA2B53" w:rsidRPr="00427497" w:rsidRDefault="00116450">
      <w:pPr>
        <w:spacing w:line="360" w:lineRule="auto"/>
        <w:rPr>
          <w:rFonts w:ascii="Calibri" w:hAnsi="Calibri" w:cs="Calibri"/>
          <w:sz w:val="24"/>
          <w:szCs w:val="24"/>
        </w:rPr>
      </w:pPr>
      <w:r w:rsidRPr="00427497">
        <w:rPr>
          <w:rFonts w:ascii="Calibri" w:hAnsi="Calibri" w:cs="Calibri"/>
          <w:color w:val="000000"/>
          <w:sz w:val="24"/>
          <w:szCs w:val="24"/>
        </w:rPr>
        <w:t>Table 5.1 compares the same selected week (2025-W52) across the four controlled workbooks. The differences are intentionally material: the evaluation is stronger if the system can respond coherently to contrasting trading states rather than only to one favourable dataset. “Actionable” uses the application definition of a non-Monitor action with priority at or above 68; this is distinct from the total number of rule outcomes generated.</w:t>
      </w:r>
    </w:p>
    <w:tbl>
      <w:tblPr>
        <w:tblW w:w="0" w:type="auto"/>
        <w:jc w:val="center"/>
        <w:tblCellMar>
          <w:left w:w="10" w:type="dxa"/>
          <w:right w:w="10" w:type="dxa"/>
        </w:tblCellMar>
        <w:tblLook w:val="04A0" w:firstRow="1" w:lastRow="0" w:firstColumn="1" w:lastColumn="0" w:noHBand="0" w:noVBand="1"/>
      </w:tblPr>
      <w:tblGrid>
        <w:gridCol w:w="1599"/>
        <w:gridCol w:w="1600"/>
        <w:gridCol w:w="1598"/>
        <w:gridCol w:w="1600"/>
        <w:gridCol w:w="1599"/>
        <w:gridCol w:w="1599"/>
      </w:tblGrid>
      <w:tr w:rsidR="00BA2B53" w14:paraId="223D1C19" w14:textId="77777777">
        <w:trPr>
          <w:cantSplit/>
          <w:tblHeader/>
          <w:jc w:val="center"/>
        </w:trPr>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3"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Dataset</w:t>
            </w:r>
          </w:p>
        </w:tc>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4"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Revenue / vs forecast</w:t>
            </w:r>
          </w:p>
        </w:tc>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5"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CVR / sell-through</w:t>
            </w:r>
          </w:p>
        </w:tc>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6"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Stock value</w:t>
            </w:r>
          </w:p>
        </w:tc>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7"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Actionable / Critical</w:t>
            </w:r>
          </w:p>
        </w:tc>
        <w:tc>
          <w:tcPr>
            <w:tcW w:w="16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18" w14:textId="77777777" w:rsidR="00BA2B53" w:rsidRPr="00427497" w:rsidRDefault="00116450">
            <w:pPr>
              <w:rPr>
                <w:rFonts w:ascii="Calibri" w:hAnsi="Calibri" w:cs="Calibri"/>
                <w:sz w:val="20"/>
                <w:szCs w:val="20"/>
              </w:rPr>
            </w:pPr>
            <w:r w:rsidRPr="00427497">
              <w:rPr>
                <w:rFonts w:ascii="Calibri" w:hAnsi="Calibri" w:cs="Calibri"/>
                <w:b/>
                <w:color w:val="000000"/>
                <w:sz w:val="20"/>
                <w:szCs w:val="20"/>
              </w:rPr>
              <w:t>Indicative exposure</w:t>
            </w:r>
          </w:p>
        </w:tc>
      </w:tr>
      <w:tr w:rsidR="00BA2B53" w14:paraId="223D1C20" w14:textId="77777777">
        <w:trPr>
          <w:cantSplit/>
          <w:jc w:val="center"/>
        </w:trPr>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A"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Baseline</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B"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£153,250.54 / -1.5%</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C"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7.66% / 31.5%</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D"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£363,550.12</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E"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 / 0</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1F"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£549.84</w:t>
            </w:r>
          </w:p>
        </w:tc>
      </w:tr>
      <w:tr w:rsidR="00BA2B53" w14:paraId="223D1C27" w14:textId="77777777">
        <w:trPr>
          <w:cantSplit/>
          <w:jc w:val="center"/>
        </w:trPr>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1"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End of Season</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2"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£81,241.60 / -22.3%</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3"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2.83% / 10.9%</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4"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£1,149,338.10</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5"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6 / 4</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6"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£12,204.80</w:t>
            </w:r>
          </w:p>
        </w:tc>
      </w:tr>
      <w:tr w:rsidR="00BA2B53" w14:paraId="223D1C2E" w14:textId="77777777">
        <w:trPr>
          <w:cantSplit/>
          <w:jc w:val="center"/>
        </w:trPr>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8"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Peak Trading</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9"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£238,261.17 / +10.3%</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A"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16.35% / 44.7%</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B"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£290,733.85</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C"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15 / 2</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D"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£27,164.11</w:t>
            </w:r>
          </w:p>
        </w:tc>
      </w:tr>
      <w:tr w:rsidR="00BA2B53" w14:paraId="223D1C35" w14:textId="77777777">
        <w:trPr>
          <w:cantSplit/>
          <w:jc w:val="center"/>
        </w:trPr>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2F"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Post Returns</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30"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£161,743.88 / -14.6%</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31"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6.82% / 27.8%</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32"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£566,117.41</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33"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11 / 0</w:t>
            </w:r>
          </w:p>
        </w:tc>
        <w:tc>
          <w:tcPr>
            <w:tcW w:w="16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34" w14:textId="77777777" w:rsidR="00BA2B53" w:rsidRPr="00427497" w:rsidRDefault="00116450">
            <w:pPr>
              <w:rPr>
                <w:rFonts w:ascii="Calibri" w:hAnsi="Calibri" w:cs="Calibri"/>
                <w:sz w:val="20"/>
                <w:szCs w:val="20"/>
              </w:rPr>
            </w:pPr>
            <w:r w:rsidRPr="00427497">
              <w:rPr>
                <w:rFonts w:ascii="Calibri" w:hAnsi="Calibri" w:cs="Calibri"/>
                <w:color w:val="000000"/>
                <w:sz w:val="20"/>
                <w:szCs w:val="20"/>
              </w:rPr>
              <w:t>£18,710.92</w:t>
            </w:r>
          </w:p>
        </w:tc>
      </w:tr>
    </w:tbl>
    <w:p w14:paraId="2EE97B7F" w14:textId="77777777" w:rsidR="006E1DBD" w:rsidRDefault="00116450" w:rsidP="006E1DBD">
      <w:pPr>
        <w:spacing w:after="140"/>
        <w:rPr>
          <w:rFonts w:ascii="Calibri" w:hAnsi="Calibri" w:cs="Calibri"/>
          <w:i/>
          <w:color w:val="000000"/>
          <w:sz w:val="20"/>
          <w:szCs w:val="20"/>
        </w:rPr>
      </w:pPr>
      <w:r w:rsidRPr="00427497">
        <w:rPr>
          <w:rFonts w:ascii="Calibri" w:hAnsi="Calibri" w:cs="Calibri"/>
          <w:i/>
          <w:color w:val="000000"/>
          <w:sz w:val="20"/>
          <w:szCs w:val="20"/>
        </w:rPr>
        <w:t>Table 5.1: Quantitative comparison of 2025-W52 across the four controlled demonstration workbooks.</w:t>
      </w:r>
      <w:r w:rsidR="00BA0B6F">
        <w:rPr>
          <w:rFonts w:ascii="Calibri" w:hAnsi="Calibri" w:cs="Calibri"/>
          <w:i/>
          <w:color w:val="000000"/>
          <w:sz w:val="20"/>
          <w:szCs w:val="20"/>
        </w:rPr>
        <w:br/>
      </w:r>
      <w:r w:rsidRPr="00427497">
        <w:rPr>
          <w:rFonts w:ascii="Calibri" w:hAnsi="Calibri" w:cs="Calibri"/>
          <w:i/>
          <w:color w:val="000000"/>
          <w:sz w:val="20"/>
          <w:szCs w:val="20"/>
        </w:rPr>
        <w:t xml:space="preserve"> Source: author’s MDSS evaluation run.</w:t>
      </w:r>
    </w:p>
    <w:p w14:paraId="223D1C37" w14:textId="23EBFA2E" w:rsidR="00BA2B53" w:rsidRPr="00F665D9" w:rsidRDefault="00F665D9" w:rsidP="006E1DBD">
      <w:pPr>
        <w:spacing w:after="140"/>
        <w:rPr>
          <w:rFonts w:ascii="Calibri" w:hAnsi="Calibri" w:cs="Calibri"/>
          <w:i/>
          <w:color w:val="000000"/>
          <w:sz w:val="20"/>
          <w:szCs w:val="20"/>
        </w:rPr>
      </w:pPr>
      <w:r>
        <w:rPr>
          <w:rFonts w:ascii="Calibri" w:hAnsi="Calibri" w:cs="Calibri"/>
          <w:i/>
          <w:color w:val="000000"/>
          <w:sz w:val="20"/>
          <w:szCs w:val="20"/>
        </w:rPr>
        <w:br/>
      </w:r>
      <w:r w:rsidR="00116450" w:rsidRPr="00EA747C">
        <w:rPr>
          <w:rFonts w:ascii="Calibri" w:hAnsi="Calibri" w:cs="Calibri"/>
          <w:color w:val="000000"/>
          <w:sz w:val="24"/>
          <w:szCs w:val="24"/>
        </w:rPr>
        <w:t>The pattern is consistent with the conditions encoded in the source data. End-of-season stock value rises to approximately £1.15 million while average sell-through falls to 10.9%; fifty products trigger the STOCK-03 markdown/exposure rule, although only six products cross the application’s actionable priority threshold and four reach Critical. The top item is Fendi Kids Seasonal Trousers, which reaches Critical priority 84.8 through STOCK-01 because its very low 0.2-week cover and 84.2% sell-through represent a replenishment exception within a generally overstocked dataset. This matters because the decision engine does not force every product in a scenario into the same narrative: product-level evidence can override the broad trading context.</w:t>
      </w:r>
    </w:p>
    <w:p w14:paraId="223D1C38" w14:textId="77777777" w:rsidR="00BA2B53" w:rsidRPr="00EA747C" w:rsidRDefault="00116450">
      <w:pPr>
        <w:rPr>
          <w:rFonts w:ascii="Calibri" w:hAnsi="Calibri" w:cs="Calibri"/>
          <w:sz w:val="24"/>
          <w:szCs w:val="24"/>
        </w:rPr>
      </w:pPr>
      <w:r w:rsidRPr="00EA747C">
        <w:rPr>
          <w:rFonts w:ascii="Calibri" w:hAnsi="Calibri" w:cs="Calibri"/>
          <w:color w:val="000000"/>
          <w:sz w:val="24"/>
          <w:szCs w:val="24"/>
        </w:rPr>
        <w:lastRenderedPageBreak/>
        <w:t>Peak Trading produces a different profile. Revenue is 10.3% above forecast, average CVR is 16.35%, stock value is the lowest of the four datasets at £290,733.85, and fifteen products are actionable for urgent replenishment, including two Critical cases. The top product, Versace Young Classic Cardigan, reaches priority 85.9 under STOCK-01. Post Returns produces a mixed queue: ten products trigger returns investigation, ten trigger markdown/exposure review, five trigger urgent replenishment and two trigger replenishment review. Eleven products cross the actionable threshold. The result demonstrates that the first-match rule hierarchy can separate different operational problems within the same trading week rather than returning one undifferentiated score.</w:t>
      </w:r>
    </w:p>
    <w:p w14:paraId="223D1C39" w14:textId="6C0EF801" w:rsidR="00BA2B53" w:rsidRDefault="00AE2BB3" w:rsidP="00F665D9">
      <w:pPr>
        <w:spacing w:before="100" w:after="60"/>
      </w:pPr>
      <w:r>
        <w:rPr>
          <w:noProof/>
        </w:rPr>
        <w:drawing>
          <wp:inline distT="0" distB="0" distL="0" distR="0" wp14:anchorId="403BCDED" wp14:editId="047C5C16">
            <wp:extent cx="6099175" cy="2860040"/>
            <wp:effectExtent l="19050" t="19050" r="15875" b="16510"/>
            <wp:docPr id="17030607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60740" name="Picture 170306074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99175" cy="2860040"/>
                    </a:xfrm>
                    <a:prstGeom prst="rect">
                      <a:avLst/>
                    </a:prstGeom>
                    <a:ln w="12700">
                      <a:solidFill>
                        <a:schemeClr val="tx1"/>
                      </a:solidFill>
                    </a:ln>
                  </pic:spPr>
                </pic:pic>
              </a:graphicData>
            </a:graphic>
          </wp:inline>
        </w:drawing>
      </w:r>
      <w:r w:rsidR="00F665D9">
        <w:br/>
      </w:r>
      <w:r w:rsidR="00F665D9" w:rsidRPr="00F665D9">
        <w:rPr>
          <w:rFonts w:ascii="Calibri" w:hAnsi="Calibri" w:cs="Calibri"/>
          <w:b/>
          <w:bCs/>
          <w:i/>
          <w:iCs/>
          <w:sz w:val="20"/>
          <w:szCs w:val="20"/>
        </w:rPr>
        <w:t>(a) Baseline</w:t>
      </w:r>
    </w:p>
    <w:p w14:paraId="6F993D63" w14:textId="41803796" w:rsidR="00AE2BB3" w:rsidRDefault="00AE2BB3">
      <w:pPr>
        <w:spacing w:before="100" w:after="60"/>
        <w:jc w:val="center"/>
      </w:pPr>
      <w:r>
        <w:rPr>
          <w:noProof/>
        </w:rPr>
        <w:drawing>
          <wp:inline distT="0" distB="0" distL="0" distR="0" wp14:anchorId="6EE13FBE" wp14:editId="61FB65C7">
            <wp:extent cx="6099175" cy="2890520"/>
            <wp:effectExtent l="19050" t="19050" r="15875" b="24130"/>
            <wp:docPr id="10142942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94233" name="Picture 101429423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99175" cy="2890520"/>
                    </a:xfrm>
                    <a:prstGeom prst="rect">
                      <a:avLst/>
                    </a:prstGeom>
                    <a:ln w="12700">
                      <a:solidFill>
                        <a:schemeClr val="tx1"/>
                      </a:solidFill>
                    </a:ln>
                  </pic:spPr>
                </pic:pic>
              </a:graphicData>
            </a:graphic>
          </wp:inline>
        </w:drawing>
      </w:r>
    </w:p>
    <w:p w14:paraId="7C8DFD27" w14:textId="6E35B980" w:rsidR="00F665D9" w:rsidRPr="00F665D9" w:rsidRDefault="00F665D9" w:rsidP="00F665D9">
      <w:pPr>
        <w:spacing w:before="100" w:after="60"/>
        <w:rPr>
          <w:b/>
          <w:bCs/>
        </w:rPr>
      </w:pPr>
      <w:r w:rsidRPr="00F665D9">
        <w:rPr>
          <w:rFonts w:ascii="Calibri" w:hAnsi="Calibri" w:cs="Calibri"/>
          <w:b/>
          <w:bCs/>
          <w:i/>
          <w:iCs/>
          <w:sz w:val="20"/>
          <w:szCs w:val="20"/>
        </w:rPr>
        <w:t>(b) Peak Trading</w:t>
      </w:r>
    </w:p>
    <w:p w14:paraId="63EA131F" w14:textId="77777777" w:rsidR="00F665D9" w:rsidRDefault="00F665D9">
      <w:pPr>
        <w:spacing w:before="100" w:after="60"/>
        <w:jc w:val="center"/>
      </w:pPr>
    </w:p>
    <w:p w14:paraId="5FFD7E53" w14:textId="3E3FE72A" w:rsidR="00AE2BB3" w:rsidRDefault="00AE2BB3">
      <w:pPr>
        <w:spacing w:before="100" w:after="60"/>
        <w:jc w:val="center"/>
      </w:pPr>
      <w:r>
        <w:rPr>
          <w:noProof/>
        </w:rPr>
        <w:lastRenderedPageBreak/>
        <w:drawing>
          <wp:inline distT="0" distB="0" distL="0" distR="0" wp14:anchorId="34940E99" wp14:editId="2B9A855F">
            <wp:extent cx="6099175" cy="2840990"/>
            <wp:effectExtent l="19050" t="19050" r="15875" b="16510"/>
            <wp:docPr id="3904897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89781" name="Picture 39048978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099175" cy="2840990"/>
                    </a:xfrm>
                    <a:prstGeom prst="rect">
                      <a:avLst/>
                    </a:prstGeom>
                    <a:ln w="12700">
                      <a:solidFill>
                        <a:schemeClr val="tx1"/>
                      </a:solidFill>
                    </a:ln>
                  </pic:spPr>
                </pic:pic>
              </a:graphicData>
            </a:graphic>
          </wp:inline>
        </w:drawing>
      </w:r>
    </w:p>
    <w:p w14:paraId="4E18E0D8" w14:textId="0B14818F" w:rsidR="00F665D9" w:rsidRPr="00F665D9" w:rsidRDefault="00F665D9" w:rsidP="00F665D9">
      <w:pPr>
        <w:spacing w:before="100" w:after="60"/>
        <w:rPr>
          <w:b/>
          <w:bCs/>
        </w:rPr>
      </w:pPr>
      <w:r w:rsidRPr="00F665D9">
        <w:rPr>
          <w:rFonts w:ascii="Calibri" w:hAnsi="Calibri" w:cs="Calibri"/>
          <w:b/>
          <w:bCs/>
          <w:i/>
          <w:iCs/>
          <w:sz w:val="20"/>
          <w:szCs w:val="20"/>
        </w:rPr>
        <w:t>(c) End of Season</w:t>
      </w:r>
    </w:p>
    <w:p w14:paraId="0A110BD0" w14:textId="2E065DE7" w:rsidR="00AE2BB3" w:rsidRDefault="00AE2BB3">
      <w:pPr>
        <w:spacing w:before="100" w:after="60"/>
        <w:jc w:val="center"/>
      </w:pPr>
      <w:r>
        <w:rPr>
          <w:noProof/>
        </w:rPr>
        <w:drawing>
          <wp:inline distT="0" distB="0" distL="0" distR="0" wp14:anchorId="454D2C4D" wp14:editId="159C634F">
            <wp:extent cx="6099175" cy="2869565"/>
            <wp:effectExtent l="19050" t="19050" r="15875" b="26035"/>
            <wp:docPr id="1538888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8893" name="Picture 15388889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99175" cy="2869565"/>
                    </a:xfrm>
                    <a:prstGeom prst="rect">
                      <a:avLst/>
                    </a:prstGeom>
                    <a:ln w="12700">
                      <a:solidFill>
                        <a:schemeClr val="tx1"/>
                      </a:solidFill>
                    </a:ln>
                  </pic:spPr>
                </pic:pic>
              </a:graphicData>
            </a:graphic>
          </wp:inline>
        </w:drawing>
      </w:r>
    </w:p>
    <w:p w14:paraId="36D2DD5A" w14:textId="52829BA3" w:rsidR="00F665D9" w:rsidRPr="00F665D9" w:rsidRDefault="00F665D9" w:rsidP="00F665D9">
      <w:pPr>
        <w:spacing w:before="100" w:after="60"/>
        <w:rPr>
          <w:b/>
          <w:bCs/>
        </w:rPr>
      </w:pPr>
      <w:r w:rsidRPr="00F665D9">
        <w:rPr>
          <w:rFonts w:ascii="Calibri" w:hAnsi="Calibri" w:cs="Calibri"/>
          <w:b/>
          <w:bCs/>
          <w:i/>
          <w:iCs/>
          <w:sz w:val="20"/>
          <w:szCs w:val="20"/>
        </w:rPr>
        <w:t>(d) Post Returns</w:t>
      </w:r>
    </w:p>
    <w:p w14:paraId="75DCA84C" w14:textId="3809C602" w:rsidR="00E30095" w:rsidRPr="00B50659" w:rsidRDefault="00B50659" w:rsidP="00DC46AF">
      <w:pPr>
        <w:spacing w:before="100" w:after="60"/>
        <w:rPr>
          <w:rFonts w:ascii="Calibri" w:hAnsi="Calibri" w:cs="Calibri"/>
          <w:i/>
          <w:iCs/>
          <w:sz w:val="20"/>
          <w:szCs w:val="20"/>
        </w:rPr>
      </w:pPr>
      <w:r w:rsidRPr="00B50659">
        <w:rPr>
          <w:rFonts w:ascii="Calibri" w:hAnsi="Calibri" w:cs="Calibri"/>
          <w:i/>
          <w:iCs/>
          <w:sz w:val="20"/>
          <w:szCs w:val="20"/>
        </w:rPr>
        <w:t>Figure 5.</w:t>
      </w:r>
      <w:r w:rsidR="000968E2">
        <w:rPr>
          <w:rFonts w:ascii="Calibri" w:hAnsi="Calibri" w:cs="Calibri"/>
          <w:i/>
          <w:iCs/>
          <w:sz w:val="20"/>
          <w:szCs w:val="20"/>
        </w:rPr>
        <w:t>1</w:t>
      </w:r>
      <w:r w:rsidRPr="00B50659">
        <w:rPr>
          <w:rFonts w:ascii="Calibri" w:hAnsi="Calibri" w:cs="Calibri"/>
          <w:i/>
          <w:iCs/>
          <w:sz w:val="20"/>
          <w:szCs w:val="20"/>
        </w:rPr>
        <w:t xml:space="preserve">: </w:t>
      </w:r>
      <w:r w:rsidR="00ED7B24" w:rsidRPr="00ED7B24">
        <w:rPr>
          <w:rFonts w:ascii="Calibri" w:hAnsi="Calibri" w:cs="Calibri"/>
          <w:i/>
          <w:iCs/>
          <w:sz w:val="20"/>
          <w:szCs w:val="20"/>
        </w:rPr>
        <w:t>Command Centre outputs across the four controlled trading datasets, illustrating how different input conditions produce distinct action and priority profiles. Source: author’s MDSS prototype</w:t>
      </w:r>
    </w:p>
    <w:p w14:paraId="563939CA" w14:textId="77777777" w:rsidR="008528F7" w:rsidRDefault="008528F7">
      <w:pPr>
        <w:spacing w:before="100" w:after="60"/>
        <w:jc w:val="center"/>
      </w:pPr>
    </w:p>
    <w:p w14:paraId="223D1C3B" w14:textId="77777777" w:rsidR="00BA2B53" w:rsidRDefault="00116450">
      <w:pPr>
        <w:rPr>
          <w:rFonts w:ascii="Calibri" w:hAnsi="Calibri" w:cs="Calibri"/>
          <w:color w:val="000000"/>
          <w:sz w:val="24"/>
          <w:szCs w:val="24"/>
        </w:rPr>
      </w:pPr>
      <w:r w:rsidRPr="008528F7">
        <w:rPr>
          <w:rFonts w:ascii="Calibri" w:hAnsi="Calibri" w:cs="Calibri"/>
          <w:color w:val="000000"/>
          <w:sz w:val="24"/>
          <w:szCs w:val="24"/>
        </w:rPr>
        <w:t>The baseline workbook provides a concrete traceable example. Revenue is £153,250.54, £2,256.41 below forecast, with zero Critical actions and one Actionable product. Stella McCartney Kids Essential Trousers is elevated to High priority 68.4 with the recommendation “Plan markdown or exposure test” because cover is 12.0 weeks, sell-through is 7.7% and 60 units remain, matching STOCK-03. The £549.84 indicative exposure is a heuristic value proxy used to communicate relative commercial significance; it is not a predicted loss, revenue forecast or probability. Likewise, priority 68.4 means “review this action at this relative urgency” rather than a 68.4% likelihood that the recommendation is commercially correct.</w:t>
      </w:r>
    </w:p>
    <w:p w14:paraId="3248382C" w14:textId="77777777" w:rsidR="00175490" w:rsidRPr="008528F7" w:rsidRDefault="00175490">
      <w:pPr>
        <w:rPr>
          <w:rFonts w:ascii="Calibri" w:hAnsi="Calibri" w:cs="Calibri"/>
          <w:sz w:val="24"/>
          <w:szCs w:val="24"/>
        </w:rPr>
      </w:pPr>
    </w:p>
    <w:p w14:paraId="223D1C3C" w14:textId="77777777" w:rsidR="00BA2B53" w:rsidRPr="00175490" w:rsidRDefault="00116450">
      <w:pPr>
        <w:pStyle w:val="Heading2"/>
        <w:rPr>
          <w:rFonts w:ascii="Calibri" w:hAnsi="Calibri" w:cs="Calibri"/>
          <w:sz w:val="27"/>
          <w:szCs w:val="27"/>
        </w:rPr>
      </w:pPr>
      <w:bookmarkStart w:id="35" w:name="_Toc237246571"/>
      <w:r w:rsidRPr="00175490">
        <w:rPr>
          <w:rFonts w:ascii="Calibri" w:hAnsi="Calibri" w:cs="Calibri"/>
          <w:sz w:val="27"/>
          <w:szCs w:val="27"/>
        </w:rPr>
        <w:lastRenderedPageBreak/>
        <w:t>5.3 Scenario Sensitivity</w:t>
      </w:r>
      <w:bookmarkEnd w:id="35"/>
    </w:p>
    <w:p w14:paraId="223D1C3D" w14:textId="77777777" w:rsidR="00BA2B53" w:rsidRPr="00175490" w:rsidRDefault="00116450">
      <w:pPr>
        <w:rPr>
          <w:rFonts w:ascii="Calibri" w:hAnsi="Calibri" w:cs="Calibri"/>
          <w:sz w:val="24"/>
          <w:szCs w:val="24"/>
        </w:rPr>
      </w:pPr>
      <w:r w:rsidRPr="00175490">
        <w:rPr>
          <w:rFonts w:ascii="Calibri" w:hAnsi="Calibri" w:cs="Calibri"/>
          <w:color w:val="000000"/>
          <w:sz w:val="24"/>
          <w:szCs w:val="24"/>
        </w:rPr>
        <w:t>Scenario Lab tests a second aspect of the design: whether the ranking responds transparently when the decision policy changes while the underlying data remain fixed. Figure 5.2 compares the Baseline 2025-W52 ranking under Balanced weights (CVR 35%, stock 20%, popularity 25%, price 20%) with Stock Risk (CVR 25%, stock 45%, popularity 15%, price 15%). Positive movement means a product moved closer to rank 1 under the stock-emphasised policy.</w:t>
      </w:r>
    </w:p>
    <w:p w14:paraId="223D1C3E" w14:textId="77777777" w:rsidR="00BA2B53" w:rsidRDefault="00116450">
      <w:pPr>
        <w:spacing w:before="100" w:after="60"/>
        <w:jc w:val="center"/>
      </w:pPr>
      <w:r w:rsidRPr="00576DD5">
        <w:rPr>
          <w:rFonts w:ascii="Calibri" w:hAnsi="Calibri" w:cs="Calibri"/>
          <w:noProof/>
          <w:color w:val="000000"/>
        </w:rPr>
        <w:drawing>
          <wp:inline distT="0" distB="0" distL="0" distR="0" wp14:anchorId="223D1D1A" wp14:editId="3BBC0C05">
            <wp:extent cx="6124955" cy="3455360"/>
            <wp:effectExtent l="0" t="0" r="0" b="0"/>
            <wp:docPr id="9" name="Picture 9" descr="Figure 5.2: Largest product-rank movements when Baseline 2025-W52 changes from Balanced to Stock Risk." title="Fig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2_scenario_sensitivity.png"/>
                    <pic:cNvPicPr/>
                  </pic:nvPicPr>
                  <pic:blipFill>
                    <a:blip r:embed="rId22"/>
                    <a:stretch>
                      <a:fillRect/>
                    </a:stretch>
                  </pic:blipFill>
                  <pic:spPr>
                    <a:xfrm>
                      <a:off x="0" y="0"/>
                      <a:ext cx="6141172" cy="3464509"/>
                    </a:xfrm>
                    <a:prstGeom prst="rect">
                      <a:avLst/>
                    </a:prstGeom>
                  </pic:spPr>
                </pic:pic>
              </a:graphicData>
            </a:graphic>
          </wp:inline>
        </w:drawing>
      </w:r>
    </w:p>
    <w:p w14:paraId="223D1C3F" w14:textId="6D475189" w:rsidR="00BA2B53" w:rsidRPr="001A5CF0" w:rsidRDefault="00116450" w:rsidP="00DC46AF">
      <w:pPr>
        <w:spacing w:after="140"/>
        <w:rPr>
          <w:rFonts w:ascii="Calibri" w:hAnsi="Calibri" w:cs="Calibri"/>
          <w:sz w:val="20"/>
          <w:szCs w:val="20"/>
        </w:rPr>
      </w:pPr>
      <w:r w:rsidRPr="001A5CF0">
        <w:rPr>
          <w:rFonts w:ascii="Calibri" w:hAnsi="Calibri" w:cs="Calibri"/>
          <w:i/>
          <w:color w:val="000000"/>
          <w:sz w:val="20"/>
          <w:szCs w:val="20"/>
        </w:rPr>
        <w:t>Figure 5.</w:t>
      </w:r>
      <w:r w:rsidR="000968E2" w:rsidRPr="001A5CF0">
        <w:rPr>
          <w:rFonts w:ascii="Calibri" w:hAnsi="Calibri" w:cs="Calibri"/>
          <w:i/>
          <w:color w:val="000000"/>
          <w:sz w:val="20"/>
          <w:szCs w:val="20"/>
        </w:rPr>
        <w:t>2</w:t>
      </w:r>
      <w:r w:rsidRPr="001A5CF0">
        <w:rPr>
          <w:rFonts w:ascii="Calibri" w:hAnsi="Calibri" w:cs="Calibri"/>
          <w:i/>
          <w:color w:val="000000"/>
          <w:sz w:val="20"/>
          <w:szCs w:val="20"/>
        </w:rPr>
        <w:t xml:space="preserve">: </w:t>
      </w:r>
      <w:r w:rsidR="001A5CF0" w:rsidRPr="001A5CF0">
        <w:rPr>
          <w:rFonts w:ascii="Calibri" w:hAnsi="Calibri" w:cs="Calibri"/>
          <w:i/>
          <w:color w:val="000000"/>
          <w:sz w:val="20"/>
          <w:szCs w:val="20"/>
        </w:rPr>
        <w:t>Largest product rank movements when the baseline dataset is rescored under the Stock Risk strategy relative to Balanced. Source: author’s MDSS evaluation.</w:t>
      </w:r>
    </w:p>
    <w:tbl>
      <w:tblPr>
        <w:tblW w:w="0" w:type="auto"/>
        <w:jc w:val="center"/>
        <w:tblCellMar>
          <w:left w:w="10" w:type="dxa"/>
          <w:right w:w="10" w:type="dxa"/>
        </w:tblCellMar>
        <w:tblLook w:val="04A0" w:firstRow="1" w:lastRow="0" w:firstColumn="1" w:lastColumn="0" w:noHBand="0" w:noVBand="1"/>
      </w:tblPr>
      <w:tblGrid>
        <w:gridCol w:w="2399"/>
        <w:gridCol w:w="2399"/>
        <w:gridCol w:w="2398"/>
        <w:gridCol w:w="2399"/>
      </w:tblGrid>
      <w:tr w:rsidR="00BA2B53" w14:paraId="223D1C44" w14:textId="77777777">
        <w:trPr>
          <w:cantSplit/>
          <w:tblHeader/>
          <w:jc w:val="center"/>
        </w:trPr>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40" w14:textId="77777777" w:rsidR="00BA2B53" w:rsidRPr="00CE5D08" w:rsidRDefault="00116450">
            <w:pPr>
              <w:rPr>
                <w:rFonts w:ascii="Calibri" w:hAnsi="Calibri" w:cs="Calibri"/>
                <w:sz w:val="20"/>
                <w:szCs w:val="20"/>
              </w:rPr>
            </w:pPr>
            <w:r w:rsidRPr="00CE5D08">
              <w:rPr>
                <w:rFonts w:ascii="Calibri" w:hAnsi="Calibri" w:cs="Calibri"/>
                <w:b/>
                <w:color w:val="000000"/>
                <w:sz w:val="20"/>
                <w:szCs w:val="20"/>
              </w:rPr>
              <w:t>Product</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41" w14:textId="77777777" w:rsidR="00BA2B53" w:rsidRPr="00CE5D08" w:rsidRDefault="00116450">
            <w:pPr>
              <w:rPr>
                <w:rFonts w:ascii="Calibri" w:hAnsi="Calibri" w:cs="Calibri"/>
                <w:sz w:val="20"/>
                <w:szCs w:val="20"/>
              </w:rPr>
            </w:pPr>
            <w:r w:rsidRPr="00CE5D08">
              <w:rPr>
                <w:rFonts w:ascii="Calibri" w:hAnsi="Calibri" w:cs="Calibri"/>
                <w:b/>
                <w:color w:val="000000"/>
                <w:sz w:val="20"/>
                <w:szCs w:val="20"/>
              </w:rPr>
              <w:t>Balanced</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42" w14:textId="77777777" w:rsidR="00BA2B53" w:rsidRPr="00CE5D08" w:rsidRDefault="00116450">
            <w:pPr>
              <w:rPr>
                <w:rFonts w:ascii="Calibri" w:hAnsi="Calibri" w:cs="Calibri"/>
                <w:sz w:val="20"/>
                <w:szCs w:val="20"/>
              </w:rPr>
            </w:pPr>
            <w:r w:rsidRPr="00CE5D08">
              <w:rPr>
                <w:rFonts w:ascii="Calibri" w:hAnsi="Calibri" w:cs="Calibri"/>
                <w:b/>
                <w:color w:val="000000"/>
                <w:sz w:val="20"/>
                <w:szCs w:val="20"/>
              </w:rPr>
              <w:t>Stock Risk</w:t>
            </w:r>
          </w:p>
        </w:tc>
        <w:tc>
          <w:tcPr>
            <w:tcW w:w="2401"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43" w14:textId="77777777" w:rsidR="00BA2B53" w:rsidRPr="00CE5D08" w:rsidRDefault="00116450">
            <w:pPr>
              <w:rPr>
                <w:rFonts w:ascii="Calibri" w:hAnsi="Calibri" w:cs="Calibri"/>
                <w:sz w:val="20"/>
                <w:szCs w:val="20"/>
              </w:rPr>
            </w:pPr>
            <w:r w:rsidRPr="00CE5D08">
              <w:rPr>
                <w:rFonts w:ascii="Calibri" w:hAnsi="Calibri" w:cs="Calibri"/>
                <w:b/>
                <w:color w:val="000000"/>
                <w:sz w:val="20"/>
                <w:szCs w:val="20"/>
              </w:rPr>
              <w:t>Interpretation</w:t>
            </w:r>
          </w:p>
        </w:tc>
      </w:tr>
      <w:tr w:rsidR="00BA2B53" w14:paraId="223D1C49"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5"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Burberry Children Signature Coat</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6"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55 (0.259)</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7"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29 (0.426)</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8"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+26 places; high stock norm 0.783 gains influence despite CVR norm 0.000.</w:t>
            </w:r>
          </w:p>
        </w:tc>
      </w:tr>
      <w:tr w:rsidR="00BA2B53" w14:paraId="223D1C4E"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A"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Stella McCartney Kids Essential Trousers</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B"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23 (0.423)</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C"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4 (0.599)</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D"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+19 places; stock norm 1.000 becomes much more influential.</w:t>
            </w:r>
          </w:p>
        </w:tc>
      </w:tr>
      <w:tr w:rsidR="00BA2B53" w14:paraId="223D1C53" w14:textId="77777777">
        <w:trPr>
          <w:cantSplit/>
          <w:jc w:val="center"/>
        </w:trPr>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4F"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Fendi Kids Signature Tee</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50"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6 (0.547)</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51"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21 (0.455)</w:t>
            </w:r>
          </w:p>
        </w:tc>
        <w:tc>
          <w:tcPr>
            <w:tcW w:w="2401"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52" w14:textId="77777777" w:rsidR="00BA2B53" w:rsidRPr="00CE5D08" w:rsidRDefault="00116450">
            <w:pPr>
              <w:rPr>
                <w:rFonts w:ascii="Calibri" w:hAnsi="Calibri" w:cs="Calibri"/>
                <w:sz w:val="20"/>
                <w:szCs w:val="20"/>
              </w:rPr>
            </w:pPr>
            <w:r w:rsidRPr="00CE5D08">
              <w:rPr>
                <w:rFonts w:ascii="Calibri" w:hAnsi="Calibri" w:cs="Calibri"/>
                <w:color w:val="000000"/>
                <w:sz w:val="20"/>
                <w:szCs w:val="20"/>
              </w:rPr>
              <w:t>-15 places; strong CVR norm 0.813 is offset by stock norm 0.250.</w:t>
            </w:r>
          </w:p>
        </w:tc>
      </w:tr>
    </w:tbl>
    <w:p w14:paraId="223D1C54" w14:textId="6C89FD45" w:rsidR="00BA2B53" w:rsidRPr="00CE5D08" w:rsidRDefault="00116450">
      <w:pPr>
        <w:spacing w:after="140"/>
        <w:jc w:val="center"/>
        <w:rPr>
          <w:rFonts w:ascii="Calibri" w:hAnsi="Calibri" w:cs="Calibri"/>
          <w:sz w:val="20"/>
          <w:szCs w:val="20"/>
        </w:rPr>
      </w:pPr>
      <w:r w:rsidRPr="00CE5D08">
        <w:rPr>
          <w:rFonts w:ascii="Calibri" w:hAnsi="Calibri" w:cs="Calibri"/>
          <w:i/>
          <w:color w:val="000000"/>
          <w:sz w:val="20"/>
          <w:szCs w:val="20"/>
        </w:rPr>
        <w:t>Table 5.</w:t>
      </w:r>
      <w:r w:rsidR="00A35F73" w:rsidRPr="00CE5D08">
        <w:rPr>
          <w:rFonts w:ascii="Calibri" w:hAnsi="Calibri" w:cs="Calibri"/>
          <w:i/>
          <w:color w:val="000000"/>
          <w:sz w:val="20"/>
          <w:szCs w:val="20"/>
        </w:rPr>
        <w:t>2</w:t>
      </w:r>
      <w:r w:rsidRPr="00CE5D08">
        <w:rPr>
          <w:rFonts w:ascii="Calibri" w:hAnsi="Calibri" w:cs="Calibri"/>
          <w:i/>
          <w:color w:val="000000"/>
          <w:sz w:val="20"/>
          <w:szCs w:val="20"/>
        </w:rPr>
        <w:t>: Selected real rank movements and weighted scores under the Stock Risk scenario.</w:t>
      </w:r>
    </w:p>
    <w:p w14:paraId="223D1C55" w14:textId="77777777" w:rsidR="00BA2B53" w:rsidRPr="00CE5D08" w:rsidRDefault="00116450">
      <w:pPr>
        <w:rPr>
          <w:rFonts w:ascii="Calibri" w:hAnsi="Calibri" w:cs="Calibri"/>
          <w:sz w:val="24"/>
          <w:szCs w:val="24"/>
        </w:rPr>
      </w:pPr>
      <w:r w:rsidRPr="00CE5D08">
        <w:rPr>
          <w:rFonts w:ascii="Calibri" w:hAnsi="Calibri" w:cs="Calibri"/>
          <w:color w:val="000000"/>
          <w:sz w:val="24"/>
          <w:szCs w:val="24"/>
        </w:rPr>
        <w:t xml:space="preserve">The movement is analytically useful because it exposes rather than conceals the model’s dependence on weights. Stella McCartney Kids Essential Trousers moves from weighted-product rank 23 to rank 4 when stock receives 45% rather than 20% weight. Under Balanced it is nevertheless already the top actionable recommendation at priority 68.4 because STOCK-03 adds urgency and evidence to the separate action-priority calculation. This is an important result: the weighted ranking answers which products are analytically prominent under a policy, while the rule </w:t>
      </w:r>
      <w:r w:rsidRPr="00CE5D08">
        <w:rPr>
          <w:rFonts w:ascii="Calibri" w:hAnsi="Calibri" w:cs="Calibri"/>
          <w:color w:val="000000"/>
          <w:sz w:val="24"/>
          <w:szCs w:val="24"/>
        </w:rPr>
        <w:lastRenderedPageBreak/>
        <w:t>and priority layers answer why a condition matters and how urgently it should be reviewed. Scenario Lab therefore provides sensitivity analysis, not calibration; it demonstrates model responsiveness but cannot establish which policy is commercially optimal.</w:t>
      </w:r>
    </w:p>
    <w:p w14:paraId="223D1C56" w14:textId="77777777" w:rsidR="00BA2B53" w:rsidRPr="00CE5D08" w:rsidRDefault="00116450">
      <w:pPr>
        <w:pStyle w:val="Heading2"/>
        <w:rPr>
          <w:rFonts w:ascii="Calibri" w:hAnsi="Calibri" w:cs="Calibri"/>
          <w:sz w:val="27"/>
          <w:szCs w:val="27"/>
        </w:rPr>
      </w:pPr>
      <w:bookmarkStart w:id="36" w:name="_Toc237246572"/>
      <w:r w:rsidRPr="00CE5D08">
        <w:rPr>
          <w:rFonts w:ascii="Calibri" w:hAnsi="Calibri" w:cs="Calibri"/>
          <w:sz w:val="27"/>
          <w:szCs w:val="27"/>
        </w:rPr>
        <w:t>5.4 Technical Verification Results</w:t>
      </w:r>
      <w:bookmarkEnd w:id="36"/>
    </w:p>
    <w:p w14:paraId="223D1C57" w14:textId="77777777" w:rsidR="00BA2B53" w:rsidRPr="00CE5D08" w:rsidRDefault="00116450">
      <w:pPr>
        <w:rPr>
          <w:rFonts w:ascii="Calibri" w:hAnsi="Calibri" w:cs="Calibri"/>
          <w:sz w:val="24"/>
          <w:szCs w:val="24"/>
        </w:rPr>
      </w:pPr>
      <w:r w:rsidRPr="00CE5D08">
        <w:rPr>
          <w:rFonts w:ascii="Calibri" w:hAnsi="Calibri" w:cs="Calibri"/>
          <w:color w:val="000000"/>
          <w:sz w:val="24"/>
          <w:szCs w:val="24"/>
        </w:rPr>
        <w:t>The final verification suite contains twenty-five structured checks: six KPI calculation checks, six ranking-sensitivity checks, four integration checks, five rule-execution checks and four robustness checks. To move beyond a single screenshot, the final controlled audit executed the same suite against all twelve imported weeks in each of the four demonstration workbooks. This produced 48 weekly evaluation states and 1,200 individual check executions (48 × 25), with zero FAIL or WARN statuses in that controlled run. The result is stronger evidence of repeatable implementation behaviour than a one-off pass on 2025-W52, while still remaining technical rather than commercial evidence.</w:t>
      </w:r>
    </w:p>
    <w:p w14:paraId="223D1C58" w14:textId="2D07CB0B" w:rsidR="00BA2B53" w:rsidRDefault="009E07BA">
      <w:pPr>
        <w:spacing w:before="100" w:after="60"/>
        <w:jc w:val="center"/>
      </w:pPr>
      <w:r>
        <w:rPr>
          <w:noProof/>
        </w:rPr>
        <w:drawing>
          <wp:inline distT="0" distB="0" distL="0" distR="0" wp14:anchorId="1F053938" wp14:editId="1A5DA555">
            <wp:extent cx="6099175" cy="2754630"/>
            <wp:effectExtent l="19050" t="19050" r="15875" b="26670"/>
            <wp:docPr id="7873338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33879" name="Picture 78733387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99175" cy="2754630"/>
                    </a:xfrm>
                    <a:prstGeom prst="rect">
                      <a:avLst/>
                    </a:prstGeom>
                    <a:ln w="12700">
                      <a:solidFill>
                        <a:schemeClr val="tx1"/>
                      </a:solidFill>
                    </a:ln>
                  </pic:spPr>
                </pic:pic>
              </a:graphicData>
            </a:graphic>
          </wp:inline>
        </w:drawing>
      </w:r>
    </w:p>
    <w:p w14:paraId="6414F684" w14:textId="2BDA1C0B" w:rsidR="009E07BA" w:rsidRDefault="009E07BA">
      <w:pPr>
        <w:spacing w:before="100" w:after="60"/>
        <w:jc w:val="center"/>
      </w:pPr>
      <w:r>
        <w:rPr>
          <w:noProof/>
        </w:rPr>
        <w:drawing>
          <wp:inline distT="0" distB="0" distL="0" distR="0" wp14:anchorId="6972AC48" wp14:editId="02F8B5A8">
            <wp:extent cx="6099175" cy="3175635"/>
            <wp:effectExtent l="19050" t="19050" r="15875" b="24765"/>
            <wp:docPr id="2129286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28649" name="Picture 21292864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99175" cy="3175635"/>
                    </a:xfrm>
                    <a:prstGeom prst="rect">
                      <a:avLst/>
                    </a:prstGeom>
                    <a:ln w="12700">
                      <a:solidFill>
                        <a:schemeClr val="tx1"/>
                      </a:solidFill>
                    </a:ln>
                  </pic:spPr>
                </pic:pic>
              </a:graphicData>
            </a:graphic>
          </wp:inline>
        </w:drawing>
      </w:r>
    </w:p>
    <w:p w14:paraId="223D1C59" w14:textId="01DF7B6A" w:rsidR="00BA2B53" w:rsidRPr="00CE5D08" w:rsidRDefault="00116450" w:rsidP="00DC46AF">
      <w:pPr>
        <w:spacing w:after="140"/>
        <w:rPr>
          <w:rFonts w:ascii="Calibri" w:hAnsi="Calibri" w:cs="Calibri"/>
          <w:sz w:val="20"/>
          <w:szCs w:val="20"/>
        </w:rPr>
      </w:pPr>
      <w:r w:rsidRPr="00CE5D08">
        <w:rPr>
          <w:rFonts w:ascii="Calibri" w:hAnsi="Calibri" w:cs="Calibri"/>
          <w:i/>
          <w:color w:val="000000"/>
          <w:sz w:val="20"/>
          <w:szCs w:val="20"/>
        </w:rPr>
        <w:t>Figure 5.</w:t>
      </w:r>
      <w:r w:rsidR="00A35F73" w:rsidRPr="00CE5D08">
        <w:rPr>
          <w:rFonts w:ascii="Calibri" w:hAnsi="Calibri" w:cs="Calibri"/>
          <w:i/>
          <w:color w:val="000000"/>
          <w:sz w:val="20"/>
          <w:szCs w:val="20"/>
        </w:rPr>
        <w:t>3</w:t>
      </w:r>
      <w:r w:rsidRPr="00CE5D08">
        <w:rPr>
          <w:rFonts w:ascii="Calibri" w:hAnsi="Calibri" w:cs="Calibri"/>
          <w:i/>
          <w:color w:val="000000"/>
          <w:sz w:val="20"/>
          <w:szCs w:val="20"/>
        </w:rPr>
        <w:t xml:space="preserve">: </w:t>
      </w:r>
      <w:r w:rsidR="001A7EFA" w:rsidRPr="001A7EFA">
        <w:rPr>
          <w:rFonts w:ascii="Calibri" w:hAnsi="Calibri" w:cs="Calibri"/>
          <w:i/>
          <w:color w:val="000000"/>
          <w:sz w:val="20"/>
          <w:szCs w:val="20"/>
        </w:rPr>
        <w:t>Verification interface summarising the 25 automated technical checks and distinguishing technical verification from commercial validation. Source: author’s MDSS prototype.</w:t>
      </w:r>
    </w:p>
    <w:p w14:paraId="223D1C5A" w14:textId="77777777" w:rsidR="00BA2B53" w:rsidRPr="00994F60" w:rsidRDefault="00116450">
      <w:pPr>
        <w:rPr>
          <w:rFonts w:ascii="Calibri" w:hAnsi="Calibri" w:cs="Calibri"/>
          <w:sz w:val="24"/>
          <w:szCs w:val="24"/>
        </w:rPr>
      </w:pPr>
      <w:r w:rsidRPr="00994F60">
        <w:rPr>
          <w:rFonts w:ascii="Calibri" w:hAnsi="Calibri" w:cs="Calibri"/>
          <w:color w:val="000000"/>
          <w:sz w:val="24"/>
          <w:szCs w:val="24"/>
        </w:rPr>
        <w:lastRenderedPageBreak/>
        <w:t>The checks test different failure modes. KPI checks independently re-derive revenue, average unit revenue, CVR, returns, forecast variance and stock value. Ranking checks verify weight sensitivity, deterministic repeated output, invalid-weight rejection, normalisation bounds and score bounds. Integration checks examine database integrity, full action-queue construction, scenario persistence and transactional import rollback. Controlled synthetic product states exercise the five main action branches, and robustness checks cover empty input, zero denominators, identical factors and missing weeks. A full pass therefore means the final implementation behaved as specified under those tests; it does not mean the recommendations are 100% accurate, profitable or optimal in a live retailer.</w:t>
      </w:r>
    </w:p>
    <w:p w14:paraId="223D1C5B" w14:textId="77777777" w:rsidR="00BA2B53" w:rsidRPr="002523C1" w:rsidRDefault="00116450">
      <w:pPr>
        <w:pStyle w:val="Heading2"/>
        <w:rPr>
          <w:rFonts w:ascii="Calibri" w:hAnsi="Calibri" w:cs="Calibri"/>
          <w:sz w:val="27"/>
          <w:szCs w:val="27"/>
        </w:rPr>
      </w:pPr>
      <w:bookmarkStart w:id="37" w:name="_Toc237246573"/>
      <w:r w:rsidRPr="002523C1">
        <w:rPr>
          <w:rFonts w:ascii="Calibri" w:hAnsi="Calibri" w:cs="Calibri"/>
          <w:sz w:val="27"/>
          <w:szCs w:val="27"/>
        </w:rPr>
        <w:t>5.5 Evaluation Against Objectives</w:t>
      </w:r>
      <w:bookmarkEnd w:id="37"/>
    </w:p>
    <w:tbl>
      <w:tblPr>
        <w:tblW w:w="0" w:type="auto"/>
        <w:jc w:val="center"/>
        <w:tblCellMar>
          <w:left w:w="10" w:type="dxa"/>
          <w:right w:w="10" w:type="dxa"/>
        </w:tblCellMar>
        <w:tblLook w:val="04A0" w:firstRow="1" w:lastRow="0" w:firstColumn="1" w:lastColumn="0" w:noHBand="0" w:noVBand="1"/>
      </w:tblPr>
      <w:tblGrid>
        <w:gridCol w:w="3198"/>
        <w:gridCol w:w="3199"/>
        <w:gridCol w:w="3198"/>
      </w:tblGrid>
      <w:tr w:rsidR="00BA2B53" w14:paraId="223D1C5F" w14:textId="77777777">
        <w:trPr>
          <w:cantSplit/>
          <w:tblHeader/>
          <w:jc w:val="center"/>
        </w:trPr>
        <w:tc>
          <w:tcPr>
            <w:tcW w:w="3202"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5C" w14:textId="77777777" w:rsidR="00BA2B53" w:rsidRPr="002523C1" w:rsidRDefault="00116450">
            <w:pPr>
              <w:rPr>
                <w:rFonts w:ascii="Calibri" w:hAnsi="Calibri" w:cs="Calibri"/>
                <w:sz w:val="20"/>
                <w:szCs w:val="20"/>
              </w:rPr>
            </w:pPr>
            <w:r w:rsidRPr="002523C1">
              <w:rPr>
                <w:rFonts w:ascii="Calibri" w:hAnsi="Calibri" w:cs="Calibri"/>
                <w:b/>
                <w:color w:val="000000"/>
                <w:sz w:val="20"/>
                <w:szCs w:val="20"/>
              </w:rPr>
              <w:t>Objective</w:t>
            </w:r>
          </w:p>
        </w:tc>
        <w:tc>
          <w:tcPr>
            <w:tcW w:w="3202"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5D" w14:textId="77777777" w:rsidR="00BA2B53" w:rsidRPr="002523C1" w:rsidRDefault="00116450">
            <w:pPr>
              <w:rPr>
                <w:rFonts w:ascii="Calibri" w:hAnsi="Calibri" w:cs="Calibri"/>
                <w:sz w:val="20"/>
                <w:szCs w:val="20"/>
              </w:rPr>
            </w:pPr>
            <w:r w:rsidRPr="002523C1">
              <w:rPr>
                <w:rFonts w:ascii="Calibri" w:hAnsi="Calibri" w:cs="Calibri"/>
                <w:b/>
                <w:color w:val="000000"/>
                <w:sz w:val="20"/>
                <w:szCs w:val="20"/>
              </w:rPr>
              <w:t>Evidence</w:t>
            </w:r>
          </w:p>
        </w:tc>
        <w:tc>
          <w:tcPr>
            <w:tcW w:w="3202"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5E" w14:textId="77777777" w:rsidR="00BA2B53" w:rsidRPr="002523C1" w:rsidRDefault="00116450">
            <w:pPr>
              <w:rPr>
                <w:rFonts w:ascii="Calibri" w:hAnsi="Calibri" w:cs="Calibri"/>
                <w:sz w:val="20"/>
                <w:szCs w:val="20"/>
              </w:rPr>
            </w:pPr>
            <w:r w:rsidRPr="002523C1">
              <w:rPr>
                <w:rFonts w:ascii="Calibri" w:hAnsi="Calibri" w:cs="Calibri"/>
                <w:b/>
                <w:color w:val="000000"/>
                <w:sz w:val="20"/>
                <w:szCs w:val="20"/>
              </w:rPr>
              <w:t>Evaluation</w:t>
            </w:r>
          </w:p>
        </w:tc>
      </w:tr>
      <w:tr w:rsidR="00BA2B53" w14:paraId="223D1C63" w14:textId="77777777">
        <w:trPr>
          <w:cantSplit/>
          <w:jc w:val="center"/>
        </w:trPr>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0"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Integrate commercial and behavioural data</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1"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Validated five-sheet import; build_master() left-merges product evidence; integration checks across controlled data.</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2"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Met at prototype level.</w:t>
            </w:r>
          </w:p>
        </w:tc>
      </w:tr>
      <w:tr w:rsidR="00BA2B53" w14:paraId="223D1C67" w14:textId="77777777">
        <w:trPr>
          <w:cantSplit/>
          <w:jc w:val="center"/>
        </w:trPr>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4"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Rank products transparently and reproducibly</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5"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Explicit min-max factors, validated weights, deterministic tie-break; RNK-01 to RNK-06.</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6"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Met.</w:t>
            </w:r>
          </w:p>
        </w:tc>
      </w:tr>
      <w:tr w:rsidR="00BA2B53" w14:paraId="223D1C6B" w14:textId="77777777">
        <w:trPr>
          <w:cantSplit/>
          <w:jc w:val="center"/>
        </w:trPr>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8"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Convert evidence into explainable actions</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9"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Ordered rules expose action, rule ID, evidence, owner and priority; ACT-01 to ACT-05 cover five representative branches.</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A"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Met.</w:t>
            </w:r>
          </w:p>
        </w:tc>
      </w:tr>
      <w:tr w:rsidR="00BA2B53" w14:paraId="223D1C6F" w14:textId="77777777">
        <w:trPr>
          <w:cantSplit/>
          <w:jc w:val="center"/>
        </w:trPr>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C"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Compare stable strategies</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D"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Seven fixed presets; real Balanced→Stock Risk rank movements; scenario persistence.</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6E"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Met as sensitivity analysis.</w:t>
            </w:r>
          </w:p>
        </w:tc>
      </w:tr>
      <w:tr w:rsidR="00BA2B53" w14:paraId="223D1C73" w14:textId="77777777">
        <w:trPr>
          <w:cantSplit/>
          <w:jc w:val="center"/>
        </w:trPr>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70"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Verify calculations, rules, integrity and import safety</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71"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25 checks × 48 weekly states = 1,200 controlled check executions with zero fail/warn.</w:t>
            </w:r>
          </w:p>
        </w:tc>
        <w:tc>
          <w:tcPr>
            <w:tcW w:w="32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72" w14:textId="77777777" w:rsidR="00BA2B53" w:rsidRPr="002523C1" w:rsidRDefault="00116450">
            <w:pPr>
              <w:rPr>
                <w:rFonts w:ascii="Calibri" w:hAnsi="Calibri" w:cs="Calibri"/>
                <w:sz w:val="20"/>
                <w:szCs w:val="20"/>
              </w:rPr>
            </w:pPr>
            <w:r w:rsidRPr="002523C1">
              <w:rPr>
                <w:rFonts w:ascii="Calibri" w:hAnsi="Calibri" w:cs="Calibri"/>
                <w:color w:val="000000"/>
                <w:sz w:val="20"/>
                <w:szCs w:val="20"/>
              </w:rPr>
              <w:t>Met technically; not commercial validation.</w:t>
            </w:r>
          </w:p>
        </w:tc>
      </w:tr>
    </w:tbl>
    <w:p w14:paraId="223D1C74" w14:textId="2AD8EA61" w:rsidR="00BA2B53" w:rsidRPr="002523C1" w:rsidRDefault="00116450" w:rsidP="00DC46AF">
      <w:pPr>
        <w:spacing w:after="140"/>
        <w:rPr>
          <w:rFonts w:ascii="Calibri" w:hAnsi="Calibri" w:cs="Calibri"/>
          <w:sz w:val="20"/>
          <w:szCs w:val="20"/>
        </w:rPr>
      </w:pPr>
      <w:r w:rsidRPr="002523C1">
        <w:rPr>
          <w:rFonts w:ascii="Calibri" w:hAnsi="Calibri" w:cs="Calibri"/>
          <w:i/>
          <w:color w:val="000000"/>
          <w:sz w:val="20"/>
          <w:szCs w:val="20"/>
        </w:rPr>
        <w:t>Table 5.</w:t>
      </w:r>
      <w:r w:rsidR="00A35F73" w:rsidRPr="002523C1">
        <w:rPr>
          <w:rFonts w:ascii="Calibri" w:hAnsi="Calibri" w:cs="Calibri"/>
          <w:i/>
          <w:color w:val="000000"/>
          <w:sz w:val="20"/>
          <w:szCs w:val="20"/>
        </w:rPr>
        <w:t>3</w:t>
      </w:r>
      <w:r w:rsidRPr="002523C1">
        <w:rPr>
          <w:rFonts w:ascii="Calibri" w:hAnsi="Calibri" w:cs="Calibri"/>
          <w:i/>
          <w:color w:val="000000"/>
          <w:sz w:val="20"/>
          <w:szCs w:val="20"/>
        </w:rPr>
        <w:t>: Project objectives mapped to implemented and evaluated evidence.</w:t>
      </w:r>
    </w:p>
    <w:p w14:paraId="223D1C75" w14:textId="77777777" w:rsidR="00BA2B53" w:rsidRPr="002523C1" w:rsidRDefault="00116450">
      <w:pPr>
        <w:rPr>
          <w:rFonts w:ascii="Calibri" w:hAnsi="Calibri" w:cs="Calibri"/>
          <w:sz w:val="24"/>
          <w:szCs w:val="24"/>
        </w:rPr>
      </w:pPr>
      <w:r w:rsidRPr="002523C1">
        <w:rPr>
          <w:rFonts w:ascii="Calibri" w:hAnsi="Calibri" w:cs="Calibri"/>
          <w:color w:val="000000"/>
          <w:sz w:val="24"/>
          <w:szCs w:val="24"/>
        </w:rPr>
        <w:t>Taken together, the evidence supports the conclusion that all five objectives were achieved within the defined prototype boundary. The qualification matters: the objectives concern a working, explainable and technically verifiable decision-support artefact. They do not establish that the recommended actions maximise revenue, margin or stock efficiency in production, and the report deliberately avoids extending the evidence beyond what the evaluation can support.</w:t>
      </w:r>
    </w:p>
    <w:p w14:paraId="223D1C76" w14:textId="77777777" w:rsidR="00BA2B53" w:rsidRPr="002523C1" w:rsidRDefault="00116450">
      <w:pPr>
        <w:pStyle w:val="Heading2"/>
        <w:rPr>
          <w:rFonts w:ascii="Calibri" w:hAnsi="Calibri" w:cs="Calibri"/>
          <w:sz w:val="27"/>
          <w:szCs w:val="27"/>
        </w:rPr>
      </w:pPr>
      <w:bookmarkStart w:id="38" w:name="_Toc237246574"/>
      <w:r w:rsidRPr="002523C1">
        <w:rPr>
          <w:rFonts w:ascii="Calibri" w:hAnsi="Calibri" w:cs="Calibri"/>
          <w:sz w:val="27"/>
          <w:szCs w:val="27"/>
        </w:rPr>
        <w:t>5.6 Critical Evaluation of Analytical Assumptions</w:t>
      </w:r>
      <w:bookmarkEnd w:id="38"/>
    </w:p>
    <w:p w14:paraId="223D1C77" w14:textId="1F9FEB4D" w:rsidR="00BA2B53" w:rsidRPr="002523C1" w:rsidRDefault="00116450">
      <w:pPr>
        <w:rPr>
          <w:rFonts w:ascii="Calibri" w:hAnsi="Calibri" w:cs="Calibri"/>
          <w:sz w:val="24"/>
          <w:szCs w:val="24"/>
        </w:rPr>
      </w:pPr>
      <w:r w:rsidRPr="002523C1">
        <w:rPr>
          <w:rFonts w:ascii="Calibri" w:hAnsi="Calibri" w:cs="Calibri"/>
          <w:color w:val="000000"/>
          <w:sz w:val="24"/>
          <w:szCs w:val="24"/>
        </w:rPr>
        <w:t xml:space="preserve">The transparency of MDSS makes its analytical assumptions visible. First, min-max normalisation is relative to the comparison set and can be sensitive to extreme values. A product’s normalised score can therefore change even when its raw value is unchanged if the weekly minimum or maximum changes. Vafaei et al. </w:t>
      </w:r>
      <w:sdt>
        <w:sdtPr>
          <w:rPr>
            <w:rFonts w:ascii="Calibri" w:hAnsi="Calibri" w:cs="Calibri"/>
            <w:color w:val="000000"/>
            <w:sz w:val="24"/>
            <w:szCs w:val="24"/>
          </w:rPr>
          <w:id w:val="-568805483"/>
          <w:citation/>
        </w:sdtPr>
        <w:sdtEndPr/>
        <w:sdtContent>
          <w:r w:rsidR="006F1D39">
            <w:rPr>
              <w:rFonts w:ascii="Calibri" w:hAnsi="Calibri" w:cs="Calibri"/>
              <w:color w:val="000000"/>
              <w:sz w:val="24"/>
              <w:szCs w:val="24"/>
            </w:rPr>
            <w:fldChar w:fldCharType="begin"/>
          </w:r>
          <w:r w:rsidR="006F1D39">
            <w:rPr>
              <w:rFonts w:ascii="Calibri" w:hAnsi="Calibri" w:cs="Calibri"/>
              <w:color w:val="000000"/>
              <w:sz w:val="24"/>
              <w:szCs w:val="24"/>
            </w:rPr>
            <w:instrText xml:space="preserve"> CITATION Naz18 \l 2057 </w:instrText>
          </w:r>
          <w:r w:rsidR="006F1D39">
            <w:rPr>
              <w:rFonts w:ascii="Calibri" w:hAnsi="Calibri" w:cs="Calibri"/>
              <w:color w:val="000000"/>
              <w:sz w:val="24"/>
              <w:szCs w:val="24"/>
            </w:rPr>
            <w:fldChar w:fldCharType="separate"/>
          </w:r>
          <w:r w:rsidR="006F1D39" w:rsidRPr="006F1D39">
            <w:rPr>
              <w:rFonts w:ascii="Calibri" w:hAnsi="Calibri" w:cs="Calibri"/>
              <w:noProof/>
              <w:color w:val="000000"/>
              <w:sz w:val="24"/>
              <w:szCs w:val="24"/>
            </w:rPr>
            <w:t>[11]</w:t>
          </w:r>
          <w:r w:rsidR="006F1D39">
            <w:rPr>
              <w:rFonts w:ascii="Calibri" w:hAnsi="Calibri" w:cs="Calibri"/>
              <w:color w:val="000000"/>
              <w:sz w:val="24"/>
              <w:szCs w:val="24"/>
            </w:rPr>
            <w:fldChar w:fldCharType="end"/>
          </w:r>
        </w:sdtContent>
      </w:sdt>
      <w:r w:rsidRPr="002523C1">
        <w:rPr>
          <w:rFonts w:ascii="Calibri" w:hAnsi="Calibri" w:cs="Calibri"/>
          <w:color w:val="000000"/>
          <w:sz w:val="24"/>
          <w:szCs w:val="24"/>
        </w:rPr>
        <w:t xml:space="preserve"> show that normalisation technique is a consequential modelling choice in MCDM. Min-max was selected for its simple [0,1] interpretation, not because </w:t>
      </w:r>
      <w:r w:rsidRPr="002523C1">
        <w:rPr>
          <w:rFonts w:ascii="Calibri" w:hAnsi="Calibri" w:cs="Calibri"/>
          <w:color w:val="000000"/>
          <w:sz w:val="24"/>
          <w:szCs w:val="24"/>
        </w:rPr>
        <w:lastRenderedPageBreak/>
        <w:t>it is universally superior. Production work should compare alternative scaling methods and historically defined benchmarks, especially where outliers are common.</w:t>
      </w:r>
    </w:p>
    <w:p w14:paraId="223D1C78" w14:textId="77777777" w:rsidR="00BA2B53" w:rsidRPr="002523C1" w:rsidRDefault="00116450">
      <w:pPr>
        <w:rPr>
          <w:rFonts w:ascii="Calibri" w:hAnsi="Calibri" w:cs="Calibri"/>
          <w:sz w:val="24"/>
          <w:szCs w:val="24"/>
        </w:rPr>
      </w:pPr>
      <w:r w:rsidRPr="002523C1">
        <w:rPr>
          <w:rFonts w:ascii="Calibri" w:hAnsi="Calibri" w:cs="Calibri"/>
          <w:color w:val="000000"/>
          <w:sz w:val="24"/>
          <w:szCs w:val="24"/>
        </w:rPr>
        <w:t>Second, the four factors are useful proxies rather than complete economic constructs. Sessions are interpreted as popularity/exposure, but traffic can be driven by paid media, homepage placement or campaigns rather than underlying preference. Price is a transparent value proxy, not margin or profitability. Remaining stock contributes to broad analytical attention, but more stock is not inherently good or bad: its meaning depends on cover, sell-through, lead time and expected demand. The rule layer adds some of that context, yet a production scoring layer could replace raw stock with deviation from target cover, forecast error, lead-time risk or expected end-of-season residual stock.</w:t>
      </w:r>
    </w:p>
    <w:p w14:paraId="4F79D5C9" w14:textId="432FAA07" w:rsidR="004011BB" w:rsidRPr="002523C1" w:rsidRDefault="004011BB">
      <w:pPr>
        <w:rPr>
          <w:rFonts w:ascii="Calibri" w:hAnsi="Calibri" w:cs="Calibri"/>
          <w:sz w:val="24"/>
          <w:szCs w:val="24"/>
        </w:rPr>
      </w:pPr>
      <w:r w:rsidRPr="004011BB">
        <w:rPr>
          <w:rFonts w:ascii="Calibri" w:hAnsi="Calibri" w:cs="Calibri"/>
          <w:color w:val="000000"/>
          <w:sz w:val="24"/>
          <w:szCs w:val="24"/>
        </w:rPr>
        <w:t xml:space="preserve">Third, the exact Balanced weights, rule thresholds and 45/40/15 action-priority formula are design parameters rather than values prescribed by prior research. Established MCDM literature supports the use of weighted scoring and normalisation </w:t>
      </w:r>
      <w:sdt>
        <w:sdtPr>
          <w:rPr>
            <w:rFonts w:ascii="Calibri" w:hAnsi="Calibri" w:cs="Calibri"/>
            <w:color w:val="000000"/>
            <w:sz w:val="24"/>
            <w:szCs w:val="24"/>
          </w:rPr>
          <w:id w:val="1221171439"/>
          <w:citation/>
        </w:sdtPr>
        <w:sdtEndPr/>
        <w:sdtContent>
          <w:r w:rsidR="00CB3706">
            <w:rPr>
              <w:rFonts w:ascii="Calibri" w:hAnsi="Calibri" w:cs="Calibri"/>
              <w:color w:val="000000"/>
              <w:sz w:val="24"/>
              <w:szCs w:val="24"/>
            </w:rPr>
            <w:fldChar w:fldCharType="begin"/>
          </w:r>
          <w:r w:rsidR="00CB3706">
            <w:rPr>
              <w:rFonts w:ascii="Calibri" w:hAnsi="Calibri" w:cs="Calibri"/>
              <w:color w:val="000000"/>
              <w:sz w:val="24"/>
              <w:szCs w:val="24"/>
            </w:rPr>
            <w:instrText xml:space="preserve"> CITATION Chi81 \l 2057 </w:instrText>
          </w:r>
          <w:r w:rsidR="00CB3706">
            <w:rPr>
              <w:rFonts w:ascii="Calibri" w:hAnsi="Calibri" w:cs="Calibri"/>
              <w:color w:val="000000"/>
              <w:sz w:val="24"/>
              <w:szCs w:val="24"/>
            </w:rPr>
            <w:fldChar w:fldCharType="separate"/>
          </w:r>
          <w:r w:rsidR="00CB3706" w:rsidRPr="00CB3706">
            <w:rPr>
              <w:rFonts w:ascii="Calibri" w:hAnsi="Calibri" w:cs="Calibri"/>
              <w:noProof/>
              <w:color w:val="000000"/>
              <w:sz w:val="24"/>
              <w:szCs w:val="24"/>
            </w:rPr>
            <w:t>[8]</w:t>
          </w:r>
          <w:r w:rsidR="00CB3706">
            <w:rPr>
              <w:rFonts w:ascii="Calibri" w:hAnsi="Calibri" w:cs="Calibri"/>
              <w:color w:val="000000"/>
              <w:sz w:val="24"/>
              <w:szCs w:val="24"/>
            </w:rPr>
            <w:fldChar w:fldCharType="end"/>
          </w:r>
        </w:sdtContent>
      </w:sdt>
      <w:r>
        <w:rPr>
          <w:rFonts w:ascii="Calibri" w:hAnsi="Calibri" w:cs="Calibri"/>
          <w:color w:val="000000"/>
          <w:sz w:val="24"/>
          <w:szCs w:val="24"/>
        </w:rPr>
        <w:t xml:space="preserve">, </w:t>
      </w:r>
      <w:sdt>
        <w:sdtPr>
          <w:rPr>
            <w:rFonts w:ascii="Calibri" w:hAnsi="Calibri" w:cs="Calibri"/>
            <w:color w:val="000000"/>
            <w:sz w:val="24"/>
            <w:szCs w:val="24"/>
          </w:rPr>
          <w:id w:val="-1154292548"/>
          <w:citation/>
        </w:sdtPr>
        <w:sdtEndPr/>
        <w:sdtContent>
          <w:r w:rsidR="00E51CCD">
            <w:rPr>
              <w:rFonts w:ascii="Calibri" w:hAnsi="Calibri" w:cs="Calibri"/>
              <w:color w:val="000000"/>
              <w:sz w:val="24"/>
              <w:szCs w:val="24"/>
            </w:rPr>
            <w:fldChar w:fldCharType="begin"/>
          </w:r>
          <w:r w:rsidR="00E51CCD">
            <w:rPr>
              <w:rFonts w:ascii="Calibri" w:hAnsi="Calibri" w:cs="Calibri"/>
              <w:color w:val="000000"/>
              <w:sz w:val="24"/>
              <w:szCs w:val="24"/>
            </w:rPr>
            <w:instrText xml:space="preserve"> CITATION Naz18 \l 2057 </w:instrText>
          </w:r>
          <w:r w:rsidR="00E51CCD">
            <w:rPr>
              <w:rFonts w:ascii="Calibri" w:hAnsi="Calibri" w:cs="Calibri"/>
              <w:color w:val="000000"/>
              <w:sz w:val="24"/>
              <w:szCs w:val="24"/>
            </w:rPr>
            <w:fldChar w:fldCharType="separate"/>
          </w:r>
          <w:r w:rsidR="00E51CCD">
            <w:rPr>
              <w:rFonts w:ascii="Calibri" w:hAnsi="Calibri" w:cs="Calibri"/>
              <w:noProof/>
              <w:color w:val="000000"/>
              <w:sz w:val="24"/>
              <w:szCs w:val="24"/>
            </w:rPr>
            <w:t>[11]</w:t>
          </w:r>
          <w:r w:rsidR="00E51CCD">
            <w:rPr>
              <w:rFonts w:ascii="Calibri" w:hAnsi="Calibri" w:cs="Calibri"/>
              <w:color w:val="000000"/>
              <w:sz w:val="24"/>
              <w:szCs w:val="24"/>
            </w:rPr>
            <w:fldChar w:fldCharType="end"/>
          </w:r>
        </w:sdtContent>
      </w:sdt>
      <w:r w:rsidRPr="004011BB">
        <w:rPr>
          <w:rFonts w:ascii="Calibri" w:hAnsi="Calibri" w:cs="Calibri"/>
          <w:color w:val="000000"/>
          <w:sz w:val="24"/>
          <w:szCs w:val="24"/>
        </w:rPr>
        <w:t xml:space="preserve">, while retail research supports modelling merchandising decisions across interacting stock, demand, pricing and assortment considerations </w:t>
      </w:r>
      <w:sdt>
        <w:sdtPr>
          <w:rPr>
            <w:rFonts w:ascii="Calibri" w:hAnsi="Calibri" w:cs="Calibri"/>
            <w:color w:val="000000"/>
            <w:sz w:val="24"/>
            <w:szCs w:val="24"/>
          </w:rPr>
          <w:id w:val="823318340"/>
          <w:citation/>
        </w:sdtPr>
        <w:sdtEndPr/>
        <w:sdtContent>
          <w:r w:rsidR="00A17303">
            <w:rPr>
              <w:rFonts w:ascii="Calibri" w:hAnsi="Calibri" w:cs="Calibri"/>
              <w:color w:val="000000"/>
              <w:sz w:val="24"/>
              <w:szCs w:val="24"/>
            </w:rPr>
            <w:fldChar w:fldCharType="begin"/>
          </w:r>
          <w:r w:rsidR="00A17303">
            <w:rPr>
              <w:rFonts w:ascii="Calibri" w:hAnsi="Calibri" w:cs="Calibri"/>
              <w:color w:val="000000"/>
              <w:sz w:val="24"/>
              <w:szCs w:val="24"/>
            </w:rPr>
            <w:instrText xml:space="preserve"> CITATION Man01 \l 2057 </w:instrText>
          </w:r>
          <w:r w:rsidR="00A17303">
            <w:rPr>
              <w:rFonts w:ascii="Calibri" w:hAnsi="Calibri" w:cs="Calibri"/>
              <w:color w:val="000000"/>
              <w:sz w:val="24"/>
              <w:szCs w:val="24"/>
            </w:rPr>
            <w:fldChar w:fldCharType="separate"/>
          </w:r>
          <w:r w:rsidR="00A17303" w:rsidRPr="00A17303">
            <w:rPr>
              <w:rFonts w:ascii="Calibri" w:hAnsi="Calibri" w:cs="Calibri"/>
              <w:noProof/>
              <w:color w:val="000000"/>
              <w:sz w:val="24"/>
              <w:szCs w:val="24"/>
            </w:rPr>
            <w:t>[16]</w:t>
          </w:r>
          <w:r w:rsidR="00A17303">
            <w:rPr>
              <w:rFonts w:ascii="Calibri" w:hAnsi="Calibri" w:cs="Calibri"/>
              <w:color w:val="000000"/>
              <w:sz w:val="24"/>
              <w:szCs w:val="24"/>
            </w:rPr>
            <w:fldChar w:fldCharType="end"/>
          </w:r>
        </w:sdtContent>
      </w:sdt>
      <w:r>
        <w:rPr>
          <w:rFonts w:ascii="Calibri" w:hAnsi="Calibri" w:cs="Calibri"/>
          <w:color w:val="000000"/>
          <w:sz w:val="24"/>
          <w:szCs w:val="24"/>
        </w:rPr>
        <w:t xml:space="preserve">, </w:t>
      </w:r>
      <w:sdt>
        <w:sdtPr>
          <w:rPr>
            <w:rFonts w:ascii="Calibri" w:hAnsi="Calibri" w:cs="Calibri"/>
            <w:color w:val="000000"/>
            <w:sz w:val="24"/>
            <w:szCs w:val="24"/>
          </w:rPr>
          <w:id w:val="-415086683"/>
          <w:citation/>
        </w:sdtPr>
        <w:sdtEndPr/>
        <w:sdtContent>
          <w:r w:rsidR="00850D1A">
            <w:rPr>
              <w:rFonts w:ascii="Calibri" w:hAnsi="Calibri" w:cs="Calibri"/>
              <w:color w:val="000000"/>
              <w:sz w:val="24"/>
              <w:szCs w:val="24"/>
            </w:rPr>
            <w:fldChar w:fldCharType="begin"/>
          </w:r>
          <w:r w:rsidR="00850D1A">
            <w:rPr>
              <w:rFonts w:ascii="Calibri" w:hAnsi="Calibri" w:cs="Calibri"/>
              <w:color w:val="000000"/>
              <w:sz w:val="24"/>
              <w:szCs w:val="24"/>
            </w:rPr>
            <w:instrText xml:space="preserve"> CITATION Mur09 \l 2057 </w:instrText>
          </w:r>
          <w:r w:rsidR="00850D1A">
            <w:rPr>
              <w:rFonts w:ascii="Calibri" w:hAnsi="Calibri" w:cs="Calibri"/>
              <w:color w:val="000000"/>
              <w:sz w:val="24"/>
              <w:szCs w:val="24"/>
            </w:rPr>
            <w:fldChar w:fldCharType="separate"/>
          </w:r>
          <w:r w:rsidR="00850D1A">
            <w:rPr>
              <w:rFonts w:ascii="Calibri" w:hAnsi="Calibri" w:cs="Calibri"/>
              <w:noProof/>
              <w:color w:val="000000"/>
              <w:sz w:val="24"/>
              <w:szCs w:val="24"/>
            </w:rPr>
            <w:t>[21]</w:t>
          </w:r>
          <w:r w:rsidR="00850D1A">
            <w:rPr>
              <w:rFonts w:ascii="Calibri" w:hAnsi="Calibri" w:cs="Calibri"/>
              <w:color w:val="000000"/>
              <w:sz w:val="24"/>
              <w:szCs w:val="24"/>
            </w:rPr>
            <w:fldChar w:fldCharType="end"/>
          </w:r>
        </w:sdtContent>
      </w:sdt>
      <w:r w:rsidRPr="004011BB">
        <w:rPr>
          <w:rFonts w:ascii="Calibri" w:hAnsi="Calibri" w:cs="Calibri"/>
          <w:color w:val="000000"/>
          <w:sz w:val="24"/>
          <w:szCs w:val="24"/>
        </w:rPr>
        <w:t>. However, these sources do not justify MDSS's specific numerical weights or thresholds. Those values should therefore be treated as transparent prototype assumptions rather than validated business rules. The Scenario Lab strengthens governance by exposing how changes in weights affect rankings, but sensitivity analysis alone does not validate the weights themselves. Before the model could be adopted as retailer-specific policy, its parameters would need to be calibrated through historical back-testing, structured expert input and comparison against realised commercial outcomes.</w:t>
      </w:r>
    </w:p>
    <w:p w14:paraId="223D1C7A" w14:textId="77777777" w:rsidR="00BA2B53" w:rsidRPr="00DD41EA" w:rsidRDefault="00116450">
      <w:pPr>
        <w:pStyle w:val="Heading2"/>
        <w:rPr>
          <w:rFonts w:ascii="Calibri" w:hAnsi="Calibri" w:cs="Calibri"/>
          <w:sz w:val="27"/>
          <w:szCs w:val="27"/>
        </w:rPr>
      </w:pPr>
      <w:bookmarkStart w:id="39" w:name="_Toc237246575"/>
      <w:r w:rsidRPr="00DD41EA">
        <w:rPr>
          <w:rFonts w:ascii="Calibri" w:hAnsi="Calibri" w:cs="Calibri"/>
          <w:sz w:val="27"/>
          <w:szCs w:val="27"/>
        </w:rPr>
        <w:t>5.7 Technical and Deployment Limitations</w:t>
      </w:r>
      <w:bookmarkEnd w:id="39"/>
    </w:p>
    <w:p w14:paraId="223D1C7B" w14:textId="538DD289" w:rsidR="00BA2B53" w:rsidRPr="00DD41EA" w:rsidRDefault="00116450">
      <w:pPr>
        <w:rPr>
          <w:rFonts w:ascii="Calibri" w:hAnsi="Calibri" w:cs="Calibri"/>
          <w:sz w:val="24"/>
          <w:szCs w:val="24"/>
        </w:rPr>
      </w:pPr>
      <w:r w:rsidRPr="00DD41EA">
        <w:rPr>
          <w:rFonts w:ascii="Calibri" w:hAnsi="Calibri" w:cs="Calibri"/>
          <w:color w:val="000000"/>
          <w:sz w:val="24"/>
          <w:szCs w:val="24"/>
        </w:rPr>
        <w:t xml:space="preserve">The architecture is suitable for a local, single-user dissertation prototype but not an internet-facing multi-user service. SQLite provides a portable serverless store </w:t>
      </w:r>
      <w:sdt>
        <w:sdtPr>
          <w:rPr>
            <w:rFonts w:ascii="Calibri" w:hAnsi="Calibri" w:cs="Calibri"/>
            <w:color w:val="000000"/>
            <w:sz w:val="24"/>
            <w:szCs w:val="24"/>
          </w:rPr>
          <w:id w:val="132070059"/>
          <w:citation/>
        </w:sdtPr>
        <w:sdtEndPr/>
        <w:sdtContent>
          <w:r w:rsidR="004E34F0">
            <w:rPr>
              <w:rFonts w:ascii="Calibri" w:hAnsi="Calibri" w:cs="Calibri"/>
              <w:color w:val="000000"/>
              <w:sz w:val="24"/>
              <w:szCs w:val="24"/>
            </w:rPr>
            <w:fldChar w:fldCharType="begin"/>
          </w:r>
          <w:r w:rsidR="004E34F0">
            <w:rPr>
              <w:rFonts w:ascii="Calibri" w:hAnsi="Calibri" w:cs="Calibri"/>
              <w:color w:val="000000"/>
              <w:sz w:val="24"/>
              <w:szCs w:val="24"/>
            </w:rPr>
            <w:instrText xml:space="preserve"> CITATION SQL25 \l 2057 </w:instrText>
          </w:r>
          <w:r w:rsidR="004E34F0">
            <w:rPr>
              <w:rFonts w:ascii="Calibri" w:hAnsi="Calibri" w:cs="Calibri"/>
              <w:color w:val="000000"/>
              <w:sz w:val="24"/>
              <w:szCs w:val="24"/>
            </w:rPr>
            <w:fldChar w:fldCharType="separate"/>
          </w:r>
          <w:r w:rsidR="004E34F0" w:rsidRPr="004E34F0">
            <w:rPr>
              <w:rFonts w:ascii="Calibri" w:hAnsi="Calibri" w:cs="Calibri"/>
              <w:noProof/>
              <w:color w:val="000000"/>
              <w:sz w:val="24"/>
              <w:szCs w:val="24"/>
            </w:rPr>
            <w:t>[29]</w:t>
          </w:r>
          <w:r w:rsidR="004E34F0">
            <w:rPr>
              <w:rFonts w:ascii="Calibri" w:hAnsi="Calibri" w:cs="Calibri"/>
              <w:color w:val="000000"/>
              <w:sz w:val="24"/>
              <w:szCs w:val="24"/>
            </w:rPr>
            <w:fldChar w:fldCharType="end"/>
          </w:r>
        </w:sdtContent>
      </w:sdt>
      <w:r w:rsidRPr="00DD41EA">
        <w:rPr>
          <w:rFonts w:ascii="Calibri" w:hAnsi="Calibri" w:cs="Calibri"/>
          <w:color w:val="000000"/>
          <w:sz w:val="24"/>
          <w:szCs w:val="24"/>
        </w:rPr>
        <w:t>, but the current application shares one analytical state and does not implement authentication, authorisation, tenancy, full audit logging, managed backup or production concurrency. The upload path is intentionally replace-and-analyse rather than an append-only warehouse. A commercial successor would require a managed database, per-import lineage, user identity and permission boundaries, secure transport and a controlled deployment process.</w:t>
      </w:r>
    </w:p>
    <w:p w14:paraId="223D1C7C" w14:textId="695847A4" w:rsidR="00BA2B53" w:rsidRPr="00DD41EA" w:rsidRDefault="00116450">
      <w:pPr>
        <w:rPr>
          <w:rFonts w:ascii="Calibri" w:hAnsi="Calibri" w:cs="Calibri"/>
          <w:sz w:val="24"/>
          <w:szCs w:val="24"/>
        </w:rPr>
      </w:pPr>
      <w:r w:rsidRPr="00DD41EA">
        <w:rPr>
          <w:rFonts w:ascii="Calibri" w:hAnsi="Calibri" w:cs="Calibri"/>
          <w:color w:val="000000"/>
          <w:sz w:val="24"/>
          <w:szCs w:val="24"/>
        </w:rPr>
        <w:t xml:space="preserve">Testing also remains bounded. The custom verification harness exercises analytical logic, integration boundaries and common edge states, but it is not a substitute for browser automation, formal accessibility testing, security/penetration testing, load testing or multi-user concurrency testing. The interface loads Chart.js from a public CDN, which adds an external presentation dependency, and the Flask development architecture would need a production WSGI server and managed configuration. These are genuine engineering limitations and prevent the current artefact from being described as </w:t>
      </w:r>
      <w:r w:rsidR="00DD41EA" w:rsidRPr="00DD41EA">
        <w:rPr>
          <w:rFonts w:ascii="Calibri" w:hAnsi="Calibri" w:cs="Calibri"/>
          <w:color w:val="000000"/>
          <w:sz w:val="24"/>
          <w:szCs w:val="24"/>
        </w:rPr>
        <w:t>deployment ready</w:t>
      </w:r>
      <w:r w:rsidRPr="00DD41EA">
        <w:rPr>
          <w:rFonts w:ascii="Calibri" w:hAnsi="Calibri" w:cs="Calibri"/>
          <w:color w:val="000000"/>
          <w:sz w:val="24"/>
          <w:szCs w:val="24"/>
        </w:rPr>
        <w:t>.</w:t>
      </w:r>
    </w:p>
    <w:p w14:paraId="223D1C7D" w14:textId="77777777" w:rsidR="00BA2B53" w:rsidRPr="00DD41EA" w:rsidRDefault="00116450">
      <w:pPr>
        <w:pStyle w:val="Heading2"/>
        <w:rPr>
          <w:rFonts w:ascii="Calibri" w:hAnsi="Calibri" w:cs="Calibri"/>
          <w:sz w:val="27"/>
          <w:szCs w:val="27"/>
        </w:rPr>
      </w:pPr>
      <w:bookmarkStart w:id="40" w:name="_Toc237246576"/>
      <w:r w:rsidRPr="00DD41EA">
        <w:rPr>
          <w:rFonts w:ascii="Calibri" w:hAnsi="Calibri" w:cs="Calibri"/>
          <w:sz w:val="27"/>
          <w:szCs w:val="27"/>
        </w:rPr>
        <w:t>5.8 Business Value and Validity Limits</w:t>
      </w:r>
      <w:bookmarkEnd w:id="40"/>
    </w:p>
    <w:p w14:paraId="223D1C7E"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 xml:space="preserve">The implemented value proposition is reduction of decision-framing effort: instead of manually reconciling commercial and behavioural views before knowing where to look, the user receives an ordered queue in which the recommendation, evidence, rule, confidence, ownership and priority are visible. The four controlled datasets and the frontend workflow demonstrate that this value proposition exists in the artefact rather than only in backend code. The system also preserves </w:t>
      </w:r>
      <w:r w:rsidRPr="00DD41EA">
        <w:rPr>
          <w:rFonts w:ascii="Calibri" w:hAnsi="Calibri" w:cs="Calibri"/>
          <w:color w:val="000000"/>
          <w:sz w:val="24"/>
          <w:szCs w:val="24"/>
        </w:rPr>
        <w:lastRenderedPageBreak/>
        <w:t>human authority: it recommends investigation or action but does not automatically execute buying, markdown or visibility changes.</w:t>
      </w:r>
    </w:p>
    <w:p w14:paraId="223D1C7F"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External validity remains the principal unresolved limitation. Synthetic data provide controlled, confidential test conditions but cannot reproduce production effects such as promotions, seasonality, lead times, analytics noise, changing assortment or user behaviour. No time-and-motion study, adoption study or commercial pilot was conducted, so no measured time, conversion, profit or stockholding benefit is claimed. Future evaluation should combine historical back-testing, expert calibration, merchandiser user-acceptance testing and a controlled pilot; indicative exposure also requires independent financial calibration.</w:t>
      </w:r>
    </w:p>
    <w:p w14:paraId="223D1C80" w14:textId="77777777" w:rsidR="00BA2B53" w:rsidRPr="00DD41EA" w:rsidRDefault="00116450">
      <w:pPr>
        <w:pStyle w:val="Heading1"/>
        <w:spacing w:before="200" w:after="240"/>
        <w:rPr>
          <w:rFonts w:ascii="Bookman Old Style" w:hAnsi="Bookman Old Style"/>
        </w:rPr>
      </w:pPr>
      <w:bookmarkStart w:id="41" w:name="_Toc237246577"/>
      <w:r w:rsidRPr="00DD41EA">
        <w:rPr>
          <w:rFonts w:ascii="Bookman Old Style" w:hAnsi="Bookman Old Style"/>
          <w:bCs/>
        </w:rPr>
        <w:t>Chapter 6 - Conclusions and Recommendations</w:t>
      </w:r>
      <w:bookmarkEnd w:id="41"/>
    </w:p>
    <w:p w14:paraId="223D1C81" w14:textId="77777777" w:rsidR="00BA2B53" w:rsidRPr="00DD41EA" w:rsidRDefault="00116450">
      <w:pPr>
        <w:pStyle w:val="Heading2"/>
        <w:rPr>
          <w:rFonts w:ascii="Calibri" w:hAnsi="Calibri" w:cs="Calibri"/>
          <w:sz w:val="27"/>
          <w:szCs w:val="27"/>
        </w:rPr>
      </w:pPr>
      <w:bookmarkStart w:id="42" w:name="_Toc237246578"/>
      <w:r w:rsidRPr="00DD41EA">
        <w:rPr>
          <w:rFonts w:ascii="Calibri" w:hAnsi="Calibri" w:cs="Calibri"/>
          <w:sz w:val="27"/>
          <w:szCs w:val="27"/>
        </w:rPr>
        <w:t>6.1 Conclusions</w:t>
      </w:r>
      <w:bookmarkEnd w:id="42"/>
    </w:p>
    <w:p w14:paraId="223D1C82" w14:textId="49E44891" w:rsidR="00BA2B53" w:rsidRPr="00DD41EA" w:rsidRDefault="00385A2F">
      <w:pPr>
        <w:rPr>
          <w:rFonts w:ascii="Calibri" w:hAnsi="Calibri" w:cs="Calibri"/>
          <w:sz w:val="24"/>
          <w:szCs w:val="24"/>
        </w:rPr>
      </w:pPr>
      <w:r w:rsidRPr="00385A2F">
        <w:rPr>
          <w:rFonts w:ascii="Calibri" w:hAnsi="Calibri" w:cs="Calibri"/>
          <w:color w:val="000000"/>
          <w:sz w:val="24"/>
          <w:szCs w:val="24"/>
        </w:rPr>
        <w:t>This study asked whether fragmented commercial and behavioural retail evidence could be integrated into an explainable decision-support workflow that prioritises product-level merchandising attention without replacing human judgement</w:t>
      </w:r>
      <w:r w:rsidR="00116450" w:rsidRPr="00DD41EA">
        <w:rPr>
          <w:rFonts w:ascii="Calibri" w:hAnsi="Calibri" w:cs="Calibri"/>
          <w:color w:val="000000"/>
          <w:sz w:val="24"/>
          <w:szCs w:val="24"/>
        </w:rPr>
        <w:t>. Within the defined prototype boundary, the answer is yes. MDSS accepts and validates structured BI and GA4 evidence, preserves it in a controlled SQLite model, creates transparent relative rankings, interprets product conditions through explicit business rules and presents a prioritised queue whose reasoning can be inspected by the user. The artefact therefore moves beyond descriptive reporting by making the path from evidence to suggested action visible and reproducible.</w:t>
      </w:r>
    </w:p>
    <w:p w14:paraId="223D1C83"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Each objective is supported by implemented evidence. The five-sheet import and build_master() integration satisfy the data-integration objective; min-max normalisation, explicit weights and deterministic tie handling support transparent ranking; the ordered decision engine exposes action, rule ID, evidence, confidence and owner; Scenario Lab demonstrates reproducible sensitivity to different business policies using unchanged data; and the verification suite exercises calculations, ranking, rule execution, database boundaries and import safety. Across four workbooks and twelve weeks per workbook, 1,200 controlled technical check executions completed without FAIL or WARN status in the final audit. This establishes strong internal evidence that the implemented artefact behaves as specified.</w:t>
      </w:r>
    </w:p>
    <w:p w14:paraId="223D1C84"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The project does not establish commercial optimality. The exact 35/20/25/20 Balanced weights, rule thresholds, 45/40/15 priority formula and indicative-exposure calculation remain transparent prototype assumptions. The sensitivity result is valuable precisely because it demonstrates that rankings change when policy changes. The contribution is therefore applied rather than predictive: a defensible architecture for explainable merchandising triage, supported by controlled technical evidence and an explicit account of what remains unvalidated. That bounded conclusion is more credible than presenting technical test success as proof of commercial performance.</w:t>
      </w:r>
    </w:p>
    <w:p w14:paraId="223D1C85" w14:textId="77777777" w:rsidR="00BA2B53" w:rsidRPr="00DD41EA" w:rsidRDefault="00116450">
      <w:pPr>
        <w:pStyle w:val="Heading2"/>
        <w:rPr>
          <w:rFonts w:ascii="Calibri" w:hAnsi="Calibri" w:cs="Calibri"/>
          <w:sz w:val="27"/>
          <w:szCs w:val="27"/>
        </w:rPr>
      </w:pPr>
      <w:bookmarkStart w:id="43" w:name="_Toc237246579"/>
      <w:r w:rsidRPr="00DD41EA">
        <w:rPr>
          <w:rFonts w:ascii="Calibri" w:hAnsi="Calibri" w:cs="Calibri"/>
          <w:sz w:val="27"/>
          <w:szCs w:val="27"/>
        </w:rPr>
        <w:t>6.2 Recommendations for a Commercial Successor</w:t>
      </w:r>
      <w:bookmarkEnd w:id="43"/>
    </w:p>
    <w:p w14:paraId="223D1C86" w14:textId="2D972E5A"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t>Calibrate scoring weights, rule thresholds and indicative exposure against anonymised historical outcomes and structured merchandising-expert judgement.</w:t>
      </w:r>
    </w:p>
    <w:p w14:paraId="223D1C87" w14:textId="32520401"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t>Run user-acceptance testing with practising merchandisers, measuring comprehension, decision consistency, time-to-priority and reasons for overriding recommendations before a controlled pilot.</w:t>
      </w:r>
    </w:p>
    <w:p w14:paraId="223D1C88" w14:textId="0F70703C"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lastRenderedPageBreak/>
        <w:t>Replace manual workbook upload with governed warehouse/ERP/PIM and GA4 integrations that retain import-batch lineage rather than replacing shared analytical state.</w:t>
      </w:r>
    </w:p>
    <w:p w14:paraId="223D1C89" w14:textId="678E676A"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t>Migrate persistence to a managed multi-user database and add authentication, role-based authorisation, audit logging, backups, retention controls and secure deployment.</w:t>
      </w:r>
    </w:p>
    <w:p w14:paraId="223D1C8A" w14:textId="5D22417F"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t>Extend testing with conventional automated unit/integration tooling, browser and accessibility checks, security testing, performance testing and monitored production-style environments.</w:t>
      </w:r>
    </w:p>
    <w:p w14:paraId="223D1C8B" w14:textId="063785DF" w:rsidR="00BA2B53" w:rsidRPr="004E34F0" w:rsidRDefault="00116450" w:rsidP="004E34F0">
      <w:pPr>
        <w:pStyle w:val="ListParagraph"/>
        <w:numPr>
          <w:ilvl w:val="0"/>
          <w:numId w:val="5"/>
        </w:numPr>
        <w:rPr>
          <w:rFonts w:ascii="Calibri" w:hAnsi="Calibri" w:cs="Calibri"/>
          <w:sz w:val="24"/>
          <w:szCs w:val="24"/>
        </w:rPr>
      </w:pPr>
      <w:r w:rsidRPr="004E34F0">
        <w:rPr>
          <w:rFonts w:ascii="Calibri" w:hAnsi="Calibri" w:cs="Calibri"/>
          <w:color w:val="000000"/>
          <w:sz w:val="24"/>
          <w:szCs w:val="24"/>
        </w:rPr>
        <w:t>Compare alternative normalisation and risk-oriented stock features, including target-cover deviation, lead time and forecast error, while preserving decomposable explanations for every recommendation.</w:t>
      </w:r>
    </w:p>
    <w:p w14:paraId="223D1C8C"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The recommended sequence is deliberately validation-first: historical calibration and user evaluation should precede infrastructure scale. There is little value in making the prototype technically larger before establishing that the policy assumptions and interaction model improve real merchandising work.</w:t>
      </w:r>
    </w:p>
    <w:p w14:paraId="223D1C8D" w14:textId="77777777" w:rsidR="00BA2B53" w:rsidRPr="00DD41EA" w:rsidRDefault="00116450">
      <w:pPr>
        <w:pStyle w:val="Heading1"/>
        <w:spacing w:before="200" w:after="240"/>
        <w:rPr>
          <w:rFonts w:ascii="Bookman Old Style" w:hAnsi="Bookman Old Style"/>
        </w:rPr>
      </w:pPr>
      <w:bookmarkStart w:id="44" w:name="_Toc237246580"/>
      <w:r w:rsidRPr="00DD41EA">
        <w:rPr>
          <w:rFonts w:ascii="Bookman Old Style" w:hAnsi="Bookman Old Style"/>
          <w:bCs/>
        </w:rPr>
        <w:t>Chapter 7 - Reflection</w:t>
      </w:r>
      <w:bookmarkEnd w:id="44"/>
    </w:p>
    <w:p w14:paraId="223D1C8E" w14:textId="0FBAC336" w:rsidR="00BA2B53" w:rsidRPr="00DD41EA" w:rsidRDefault="00116450">
      <w:pPr>
        <w:rPr>
          <w:rFonts w:ascii="Calibri" w:hAnsi="Calibri" w:cs="Calibri"/>
          <w:sz w:val="24"/>
          <w:szCs w:val="24"/>
        </w:rPr>
      </w:pPr>
      <w:r w:rsidRPr="00DD41EA">
        <w:rPr>
          <w:rFonts w:ascii="Calibri" w:hAnsi="Calibri" w:cs="Calibri"/>
          <w:color w:val="000000"/>
          <w:sz w:val="24"/>
          <w:szCs w:val="24"/>
        </w:rPr>
        <w:t>The most important learning from this project was that explainability is not mainly a presentation problem; it requires discipline across the data model, calculations and claims. Converting practical experience of commercial and digital trading into software forced me to define what each metric meant, which conditions should trigger attention and what the system should refuse to claim. The final architecture is stronger because those assumptions are visible rather than hidden behind a more sophisticated-looking model.</w:t>
      </w:r>
    </w:p>
    <w:p w14:paraId="223D1C8F"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One concrete example was conversion rate. An earlier approach considered falling back to a BI-derived ratio when GA4 conversion was zero, but that would have mixed different source-system definitions and turned a genuine 'sessions but no GA4 purchase' observation into a non-zero value. The final build therefore preserves zero GA4 conversion as valid evidence and recomputes aggregated rates from underlying totals. This reinforced a broader lesson: in analytical software, semantic correctness matters more than convenient completeness, because a plausible number with the wrong meaning is more dangerous than an explicit zero or missing state.</w:t>
      </w:r>
    </w:p>
    <w:p w14:paraId="223D1C90"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The import layer produced a similar lesson. A permissive importer would have made demonstrations easier, but silently converting malformed fields or partially replacing tables could produce credible-looking recommendations from corrupted evidence. I therefore moved towards strict, all-or-nothing validation: required schemas, numeric and range checks, duplicate-key checks and a transaction that preserves the existing database if any sheet fails. This increased implementation effort but made the decision-support output more defensible and created a clear integration test for rollback behaviour.</w:t>
      </w:r>
    </w:p>
    <w:p w14:paraId="09676992" w14:textId="21BE2159" w:rsidR="003818DA" w:rsidRPr="003818DA" w:rsidRDefault="00116450">
      <w:pPr>
        <w:rPr>
          <w:rFonts w:ascii="Calibri" w:hAnsi="Calibri" w:cs="Calibri"/>
          <w:color w:val="000000"/>
          <w:sz w:val="24"/>
          <w:szCs w:val="24"/>
        </w:rPr>
      </w:pPr>
      <w:r w:rsidRPr="00DD41EA">
        <w:rPr>
          <w:rFonts w:ascii="Calibri" w:hAnsi="Calibri" w:cs="Calibri"/>
          <w:color w:val="000000"/>
          <w:sz w:val="24"/>
          <w:szCs w:val="24"/>
        </w:rPr>
        <w:t>I also learned to separate analytical prominence from operational urgency. Stella McCartney Kids Essential Trousers is rank 23 under Balanced, yet STOCK-03 raises it to High priority 68.4; under Stock Risk its weighted rank rises to 4 as stock gains influence. This clarified why scoring, rule classification and action priority remain distinct layers.</w:t>
      </w:r>
    </w:p>
    <w:p w14:paraId="223D1C92" w14:textId="4C2D88D2" w:rsidR="00BA2B53" w:rsidRPr="00DD41EA" w:rsidRDefault="003818DA">
      <w:pPr>
        <w:pageBreakBefore/>
        <w:rPr>
          <w:rFonts w:ascii="Calibri" w:hAnsi="Calibri" w:cs="Calibri"/>
          <w:sz w:val="24"/>
          <w:szCs w:val="24"/>
        </w:rPr>
      </w:pPr>
      <w:r w:rsidRPr="00DD41EA">
        <w:rPr>
          <w:rFonts w:ascii="Calibri" w:hAnsi="Calibri" w:cs="Calibri"/>
          <w:color w:val="000000"/>
          <w:sz w:val="24"/>
          <w:szCs w:val="24"/>
        </w:rPr>
        <w:lastRenderedPageBreak/>
        <w:t>It also made Scenario Lab more meaningful: it challenges assumptions rather than pretending the Balanced policy is objectively correct.</w:t>
      </w:r>
      <w:r>
        <w:rPr>
          <w:rFonts w:ascii="Calibri" w:hAnsi="Calibri" w:cs="Calibri"/>
          <w:color w:val="000000"/>
          <w:sz w:val="24"/>
          <w:szCs w:val="24"/>
        </w:rPr>
        <w:br/>
      </w:r>
      <w:r w:rsidR="00116450" w:rsidRPr="00DD41EA">
        <w:rPr>
          <w:rFonts w:ascii="Calibri" w:hAnsi="Calibri" w:cs="Calibri"/>
          <w:color w:val="000000"/>
          <w:sz w:val="24"/>
          <w:szCs w:val="24"/>
        </w:rPr>
        <w:t>The verification work changed how I interpret software success. A visible 25-of-25 pass initially feels like a complete result, but the final evaluation required a stricter distinction. Running the suite across 48 weekly states produced 1,200 successful technical check executions, which is strong evidence that the implementation behaves consistently under the controlled cases. It is not evidence that the rules maximise profit, that merchandisers will trust the interface, or that the thresholds are commercially optimal. Learning to state that boundary clearly improved both the report and my understanding of responsible analytical practice.</w:t>
      </w:r>
    </w:p>
    <w:p w14:paraId="223D1C93"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If the project were restarted, I would plan commercial validation earlier. I would define an anonymised historical back-testing dataset and a small expert-evaluation protocol at the same time as the requirements, so that weights and thresholds could be calibrated rather than only exposed as prototype assumptions. I would also introduce conventional automated test tooling and browser-level checks earlier, rather than relying primarily on a custom in-application harness. Those changes would allow technical verification and naturalistic evaluation to develop in parallel instead of leaving the strongest external-validity questions to future work.</w:t>
      </w:r>
    </w:p>
    <w:p w14:paraId="223D1C94" w14:textId="77777777" w:rsidR="00BA2B53" w:rsidRPr="00DD41EA" w:rsidRDefault="00116450">
      <w:pPr>
        <w:rPr>
          <w:rFonts w:ascii="Calibri" w:hAnsi="Calibri" w:cs="Calibri"/>
          <w:sz w:val="24"/>
          <w:szCs w:val="24"/>
        </w:rPr>
      </w:pPr>
      <w:r w:rsidRPr="00DD41EA">
        <w:rPr>
          <w:rFonts w:ascii="Calibri" w:hAnsi="Calibri" w:cs="Calibri"/>
          <w:color w:val="000000"/>
          <w:sz w:val="24"/>
          <w:szCs w:val="24"/>
        </w:rPr>
        <w:t>Overall, the project strengthened my ability to move between business context, data semantics, software design and evidence-based evaluation. The most useful outcome is not simply the completed Flask application, but the ability to explain each major design choice, its evidence, its tested behaviour and its limits. That combination of implementation and critical qualification is the standard I would carry into future analytical work.</w:t>
      </w:r>
    </w:p>
    <w:bookmarkStart w:id="45" w:name="_Toc237246581" w:displacedByCustomXml="next"/>
    <w:sdt>
      <w:sdtPr>
        <w:rPr>
          <w:rFonts w:asciiTheme="minorHAnsi" w:eastAsiaTheme="minorEastAsia" w:hAnsiTheme="minorHAnsi" w:cstheme="minorBidi"/>
          <w:color w:val="auto"/>
          <w:sz w:val="21"/>
          <w:szCs w:val="21"/>
        </w:rPr>
        <w:id w:val="-36520385"/>
        <w:docPartObj>
          <w:docPartGallery w:val="Bibliographies"/>
          <w:docPartUnique/>
        </w:docPartObj>
      </w:sdtPr>
      <w:sdtEndPr>
        <w:rPr>
          <w:b/>
          <w:bCs/>
        </w:rPr>
      </w:sdtEndPr>
      <w:sdtContent>
        <w:p w14:paraId="5AF8E1F7" w14:textId="4579B251" w:rsidR="007B3170" w:rsidRPr="007970B2" w:rsidRDefault="007970B2">
          <w:pPr>
            <w:pStyle w:val="Heading1"/>
            <w:rPr>
              <w:rFonts w:ascii="Bookman Old Style" w:hAnsi="Bookman Old Style"/>
            </w:rPr>
          </w:pPr>
          <w:r w:rsidRPr="007970B2">
            <w:rPr>
              <w:rFonts w:ascii="Bookman Old Style" w:hAnsi="Bookman Old Style"/>
            </w:rPr>
            <w:t>Chapter 8 - References</w:t>
          </w:r>
          <w:bookmarkEnd w:id="45"/>
        </w:p>
        <w:p w14:paraId="2D361344" w14:textId="77777777" w:rsidR="007B3170" w:rsidRDefault="007B317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172"/>
          </w:tblGrid>
          <w:tr w:rsidR="007B3170" w14:paraId="07D3718E" w14:textId="77777777">
            <w:trPr>
              <w:divId w:val="1690528251"/>
              <w:tblCellSpacing w:w="15" w:type="dxa"/>
            </w:trPr>
            <w:tc>
              <w:tcPr>
                <w:tcW w:w="50" w:type="pct"/>
                <w:hideMark/>
              </w:tcPr>
              <w:p w14:paraId="7ADC0A50" w14:textId="28D27743"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 </w:t>
                </w:r>
              </w:p>
            </w:tc>
            <w:tc>
              <w:tcPr>
                <w:tcW w:w="0" w:type="auto"/>
                <w:hideMark/>
              </w:tcPr>
              <w:p w14:paraId="6684984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Office for National Statistics, “Retail sales, Great Britain: February 2026,” 27 March 2026. [Online]. Available: https://www.ons.gov.uk/businessindustryandtrade/retailindustry/bulletins/retailsales/february2026. [Accessed 09 August 2026].</w:t>
                </w:r>
              </w:p>
            </w:tc>
          </w:tr>
          <w:tr w:rsidR="007B3170" w14:paraId="3759144E" w14:textId="77777777">
            <w:trPr>
              <w:divId w:val="1690528251"/>
              <w:tblCellSpacing w:w="15" w:type="dxa"/>
            </w:trPr>
            <w:tc>
              <w:tcPr>
                <w:tcW w:w="50" w:type="pct"/>
                <w:hideMark/>
              </w:tcPr>
              <w:p w14:paraId="55B8152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 </w:t>
                </w:r>
              </w:p>
            </w:tc>
            <w:tc>
              <w:tcPr>
                <w:tcW w:w="0" w:type="auto"/>
                <w:hideMark/>
              </w:tcPr>
              <w:p w14:paraId="121128D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Office for National Statistics, “Internet sales as a percentage of total retail sales (ratio) (%),” 24 July 2026. [Online]. Available: https://www.ons.gov.uk/businessindustryandtrade/retailindustry/timeseries/j4mc. [Accessed 09 August 2026].</w:t>
                </w:r>
              </w:p>
            </w:tc>
          </w:tr>
          <w:tr w:rsidR="007B3170" w14:paraId="676EE898" w14:textId="77777777">
            <w:trPr>
              <w:divId w:val="1690528251"/>
              <w:tblCellSpacing w:w="15" w:type="dxa"/>
            </w:trPr>
            <w:tc>
              <w:tcPr>
                <w:tcW w:w="50" w:type="pct"/>
                <w:hideMark/>
              </w:tcPr>
              <w:p w14:paraId="6F6CB765"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[3] </w:t>
                </w:r>
              </w:p>
            </w:tc>
            <w:tc>
              <w:tcPr>
                <w:tcW w:w="0" w:type="auto"/>
                <w:hideMark/>
              </w:tcPr>
              <w:p w14:paraId="38C48D56"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S. Hjelle, P. Mikalef, N. Altwaijry and V. Parida, “Organizational decision making and analytics: An experimental study on dashboard visualizations,” </w:t>
                </w:r>
                <w:r w:rsidRPr="007970B2">
                  <w:rPr>
                    <w:rFonts w:ascii="Calibri" w:hAnsi="Calibri" w:cs="Calibri"/>
                    <w:i/>
                    <w:iCs/>
                    <w:noProof/>
                    <w:sz w:val="22"/>
                    <w:szCs w:val="22"/>
                  </w:rPr>
                  <w:t xml:space="preserve">Information &amp; Management, </w:t>
                </w:r>
                <w:r w:rsidRPr="007970B2">
                  <w:rPr>
                    <w:rFonts w:ascii="Calibri" w:hAnsi="Calibri" w:cs="Calibri"/>
                    <w:noProof/>
                    <w:sz w:val="22"/>
                    <w:szCs w:val="22"/>
                  </w:rPr>
                  <w:t xml:space="preserve">vol. 61, no. 6, 2024. </w:t>
                </w:r>
              </w:p>
            </w:tc>
          </w:tr>
          <w:tr w:rsidR="007B3170" w14:paraId="093F0D84" w14:textId="77777777">
            <w:trPr>
              <w:divId w:val="1690528251"/>
              <w:tblCellSpacing w:w="15" w:type="dxa"/>
            </w:trPr>
            <w:tc>
              <w:tcPr>
                <w:tcW w:w="50" w:type="pct"/>
                <w:hideMark/>
              </w:tcPr>
              <w:p w14:paraId="24DDEC95"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[4] </w:t>
                </w:r>
              </w:p>
            </w:tc>
            <w:tc>
              <w:tcPr>
                <w:tcW w:w="0" w:type="auto"/>
                <w:hideMark/>
              </w:tcPr>
              <w:p w14:paraId="70C9D00A"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G. Phillips-Wren, M. Daly and F. Burstein, “Reconciling business intelligence, analytics and decision support systems: More data, deeper insight,” </w:t>
                </w:r>
                <w:r w:rsidRPr="007970B2">
                  <w:rPr>
                    <w:rFonts w:ascii="Calibri" w:hAnsi="Calibri" w:cs="Calibri"/>
                    <w:i/>
                    <w:iCs/>
                    <w:noProof/>
                    <w:sz w:val="22"/>
                    <w:szCs w:val="22"/>
                  </w:rPr>
                  <w:t xml:space="preserve">Decision Support Systems, </w:t>
                </w:r>
                <w:r w:rsidRPr="007970B2">
                  <w:rPr>
                    <w:rFonts w:ascii="Calibri" w:hAnsi="Calibri" w:cs="Calibri"/>
                    <w:noProof/>
                    <w:sz w:val="22"/>
                    <w:szCs w:val="22"/>
                  </w:rPr>
                  <w:t xml:space="preserve">vol. 146, 2021. </w:t>
                </w:r>
              </w:p>
            </w:tc>
          </w:tr>
          <w:tr w:rsidR="007B3170" w14:paraId="77EC047E" w14:textId="77777777">
            <w:trPr>
              <w:divId w:val="1690528251"/>
              <w:tblCellSpacing w:w="15" w:type="dxa"/>
            </w:trPr>
            <w:tc>
              <w:tcPr>
                <w:tcW w:w="50" w:type="pct"/>
                <w:hideMark/>
              </w:tcPr>
              <w:p w14:paraId="52F63A6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[5] </w:t>
                </w:r>
              </w:p>
            </w:tc>
            <w:tc>
              <w:tcPr>
                <w:tcW w:w="0" w:type="auto"/>
                <w:hideMark/>
              </w:tcPr>
              <w:p w14:paraId="4B2C274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S. Akter and S. F. Wamba, “Big data analytics in e-commerce: a systematic review and agenda for future research,” </w:t>
                </w:r>
                <w:r w:rsidRPr="007970B2">
                  <w:rPr>
                    <w:rFonts w:ascii="Calibri" w:hAnsi="Calibri" w:cs="Calibri"/>
                    <w:i/>
                    <w:iCs/>
                    <w:noProof/>
                    <w:sz w:val="22"/>
                    <w:szCs w:val="22"/>
                  </w:rPr>
                  <w:t xml:space="preserve">Electronic Markets, </w:t>
                </w:r>
                <w:r w:rsidRPr="007970B2">
                  <w:rPr>
                    <w:rFonts w:ascii="Calibri" w:hAnsi="Calibri" w:cs="Calibri"/>
                    <w:noProof/>
                    <w:sz w:val="22"/>
                    <w:szCs w:val="22"/>
                  </w:rPr>
                  <w:t xml:space="preserve">vol. 26, no. 2, pp. 173-194, 2016. </w:t>
                </w:r>
              </w:p>
            </w:tc>
          </w:tr>
          <w:tr w:rsidR="007B3170" w14:paraId="2A842F5C" w14:textId="77777777">
            <w:trPr>
              <w:divId w:val="1690528251"/>
              <w:tblCellSpacing w:w="15" w:type="dxa"/>
            </w:trPr>
            <w:tc>
              <w:tcPr>
                <w:tcW w:w="50" w:type="pct"/>
                <w:hideMark/>
              </w:tcPr>
              <w:p w14:paraId="347541F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[6] </w:t>
                </w:r>
              </w:p>
            </w:tc>
            <w:tc>
              <w:tcPr>
                <w:tcW w:w="0" w:type="auto"/>
                <w:hideMark/>
              </w:tcPr>
              <w:p w14:paraId="1170AC06"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J. Venable, J. Pries-Heje and R. Baskerville, “FEDS: a Framework for Evaluation in Design Science Research,” </w:t>
                </w:r>
                <w:r w:rsidRPr="007970B2">
                  <w:rPr>
                    <w:rFonts w:ascii="Calibri" w:hAnsi="Calibri" w:cs="Calibri"/>
                    <w:i/>
                    <w:iCs/>
                    <w:noProof/>
                    <w:sz w:val="22"/>
                    <w:szCs w:val="22"/>
                  </w:rPr>
                  <w:t xml:space="preserve">European Journal of Information Systems, </w:t>
                </w:r>
                <w:r w:rsidRPr="007970B2">
                  <w:rPr>
                    <w:rFonts w:ascii="Calibri" w:hAnsi="Calibri" w:cs="Calibri"/>
                    <w:noProof/>
                    <w:sz w:val="22"/>
                    <w:szCs w:val="22"/>
                  </w:rPr>
                  <w:t xml:space="preserve">vol. 25, no. 1, pp. 77-89, 2016. </w:t>
                </w:r>
              </w:p>
            </w:tc>
          </w:tr>
          <w:tr w:rsidR="007B3170" w14:paraId="00645D6F" w14:textId="77777777">
            <w:trPr>
              <w:divId w:val="1690528251"/>
              <w:tblCellSpacing w:w="15" w:type="dxa"/>
            </w:trPr>
            <w:tc>
              <w:tcPr>
                <w:tcW w:w="50" w:type="pct"/>
                <w:hideMark/>
              </w:tcPr>
              <w:p w14:paraId="2C19935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lastRenderedPageBreak/>
                  <w:t xml:space="preserve">[7] </w:t>
                </w:r>
              </w:p>
            </w:tc>
            <w:tc>
              <w:tcPr>
                <w:tcW w:w="0" w:type="auto"/>
                <w:hideMark/>
              </w:tcPr>
              <w:p w14:paraId="6C367646"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D. J. Power, Decision Support Systems: Concepts and Resources for Managers, Westport, CT: Quorum Books, 2002. </w:t>
                </w:r>
              </w:p>
            </w:tc>
          </w:tr>
          <w:tr w:rsidR="007B3170" w14:paraId="1BAD92E9" w14:textId="77777777">
            <w:trPr>
              <w:divId w:val="1690528251"/>
              <w:tblCellSpacing w:w="15" w:type="dxa"/>
            </w:trPr>
            <w:tc>
              <w:tcPr>
                <w:tcW w:w="50" w:type="pct"/>
                <w:hideMark/>
              </w:tcPr>
              <w:p w14:paraId="2561247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[8] </w:t>
                </w:r>
              </w:p>
            </w:tc>
            <w:tc>
              <w:tcPr>
                <w:tcW w:w="0" w:type="auto"/>
                <w:hideMark/>
              </w:tcPr>
              <w:p w14:paraId="1AC1E652"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C.-L. Hwang and K. Yoon, Multiple Attribute Decision Making: Methods and Applications: A State-of-the-Art Survey, vol. 186, Berlin: Springer-Verlag, 1981. </w:t>
                </w:r>
              </w:p>
            </w:tc>
          </w:tr>
          <w:tr w:rsidR="007B3170" w14:paraId="3ED208B0" w14:textId="77777777">
            <w:trPr>
              <w:divId w:val="1690528251"/>
              <w:tblCellSpacing w:w="15" w:type="dxa"/>
            </w:trPr>
            <w:tc>
              <w:tcPr>
                <w:tcW w:w="50" w:type="pct"/>
                <w:hideMark/>
              </w:tcPr>
              <w:p w14:paraId="6CE9B42E"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[9] </w:t>
                </w:r>
              </w:p>
            </w:tc>
            <w:tc>
              <w:tcPr>
                <w:tcW w:w="0" w:type="auto"/>
                <w:hideMark/>
              </w:tcPr>
              <w:p w14:paraId="5CB24A1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E. Triantaphyllou, Multi-Criteria Decision Making Methods: A Comparative Study, Dordrecht: Springer, 2000. </w:t>
                </w:r>
              </w:p>
            </w:tc>
          </w:tr>
          <w:tr w:rsidR="007B3170" w14:paraId="78D1C1D7" w14:textId="77777777">
            <w:trPr>
              <w:divId w:val="1690528251"/>
              <w:tblCellSpacing w:w="15" w:type="dxa"/>
            </w:trPr>
            <w:tc>
              <w:tcPr>
                <w:tcW w:w="50" w:type="pct"/>
                <w:hideMark/>
              </w:tcPr>
              <w:p w14:paraId="1AA40CB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[10] </w:t>
                </w:r>
              </w:p>
            </w:tc>
            <w:tc>
              <w:tcPr>
                <w:tcW w:w="0" w:type="auto"/>
                <w:hideMark/>
              </w:tcPr>
              <w:p w14:paraId="2288E54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I. Kaliszewski and D. Podkopaev, “Simple additive weighting—A metamodel for multiple criteria decision analysis methods,” </w:t>
                </w:r>
                <w:r w:rsidRPr="007970B2">
                  <w:rPr>
                    <w:rFonts w:ascii="Calibri" w:hAnsi="Calibri" w:cs="Calibri"/>
                    <w:i/>
                    <w:iCs/>
                    <w:noProof/>
                    <w:sz w:val="22"/>
                    <w:szCs w:val="22"/>
                  </w:rPr>
                  <w:t xml:space="preserve">Expert Systems with Applications, </w:t>
                </w:r>
                <w:r w:rsidRPr="007970B2">
                  <w:rPr>
                    <w:rFonts w:ascii="Calibri" w:hAnsi="Calibri" w:cs="Calibri"/>
                    <w:noProof/>
                    <w:sz w:val="22"/>
                    <w:szCs w:val="22"/>
                  </w:rPr>
                  <w:t xml:space="preserve">vol. 54, pp. 155-161, 2016. </w:t>
                </w:r>
              </w:p>
            </w:tc>
          </w:tr>
          <w:tr w:rsidR="007B3170" w14:paraId="1422CD66" w14:textId="77777777">
            <w:trPr>
              <w:divId w:val="1690528251"/>
              <w:tblCellSpacing w:w="15" w:type="dxa"/>
            </w:trPr>
            <w:tc>
              <w:tcPr>
                <w:tcW w:w="50" w:type="pct"/>
                <w:hideMark/>
              </w:tcPr>
              <w:p w14:paraId="22065383"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[11] </w:t>
                </w:r>
              </w:p>
            </w:tc>
            <w:tc>
              <w:tcPr>
                <w:tcW w:w="0" w:type="auto"/>
                <w:hideMark/>
              </w:tcPr>
              <w:p w14:paraId="67BE8C8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N. Vafaei, R. A. Ribeiro and L. M. Camarinha-Matos, “Data normalisation techniques in decision making: case study with TOPSIS method,” </w:t>
                </w:r>
                <w:r w:rsidRPr="007970B2">
                  <w:rPr>
                    <w:rFonts w:ascii="Calibri" w:hAnsi="Calibri" w:cs="Calibri"/>
                    <w:i/>
                    <w:iCs/>
                    <w:noProof/>
                    <w:sz w:val="22"/>
                    <w:szCs w:val="22"/>
                  </w:rPr>
                  <w:t xml:space="preserve">International Journal of Information and Decision Sciences, </w:t>
                </w:r>
                <w:r w:rsidRPr="007970B2">
                  <w:rPr>
                    <w:rFonts w:ascii="Calibri" w:hAnsi="Calibri" w:cs="Calibri"/>
                    <w:noProof/>
                    <w:sz w:val="22"/>
                    <w:szCs w:val="22"/>
                  </w:rPr>
                  <w:t xml:space="preserve">vol. 10, no. 1, pp. 19-38, 2018. </w:t>
                </w:r>
              </w:p>
            </w:tc>
          </w:tr>
          <w:tr w:rsidR="007B3170" w14:paraId="4B9B84C1" w14:textId="77777777">
            <w:trPr>
              <w:divId w:val="1690528251"/>
              <w:tblCellSpacing w:w="15" w:type="dxa"/>
            </w:trPr>
            <w:tc>
              <w:tcPr>
                <w:tcW w:w="50" w:type="pct"/>
                <w:hideMark/>
              </w:tcPr>
              <w:p w14:paraId="162E832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[12] </w:t>
                </w:r>
              </w:p>
            </w:tc>
            <w:tc>
              <w:tcPr>
                <w:tcW w:w="0" w:type="auto"/>
                <w:hideMark/>
              </w:tcPr>
              <w:p w14:paraId="116ADC8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E. Triantaphyllou and A. Sánchez, “A Sensitivity Analysis Approach for Some Deterministic Multi-Criteria Decision-Making Methods,” </w:t>
                </w:r>
                <w:r w:rsidRPr="007970B2">
                  <w:rPr>
                    <w:rFonts w:ascii="Calibri" w:hAnsi="Calibri" w:cs="Calibri"/>
                    <w:i/>
                    <w:iCs/>
                    <w:noProof/>
                    <w:sz w:val="22"/>
                    <w:szCs w:val="22"/>
                  </w:rPr>
                  <w:t xml:space="preserve">Decision Sciences, </w:t>
                </w:r>
                <w:r w:rsidRPr="007970B2">
                  <w:rPr>
                    <w:rFonts w:ascii="Calibri" w:hAnsi="Calibri" w:cs="Calibri"/>
                    <w:noProof/>
                    <w:sz w:val="22"/>
                    <w:szCs w:val="22"/>
                  </w:rPr>
                  <w:t xml:space="preserve">vol. 28, no. 1, pp. 151-194, 1997. </w:t>
                </w:r>
              </w:p>
            </w:tc>
          </w:tr>
          <w:tr w:rsidR="007B3170" w14:paraId="67D234E2" w14:textId="77777777">
            <w:trPr>
              <w:divId w:val="1690528251"/>
              <w:tblCellSpacing w:w="15" w:type="dxa"/>
            </w:trPr>
            <w:tc>
              <w:tcPr>
                <w:tcW w:w="50" w:type="pct"/>
                <w:hideMark/>
              </w:tcPr>
              <w:p w14:paraId="2840CC2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[13] </w:t>
                </w:r>
              </w:p>
            </w:tc>
            <w:tc>
              <w:tcPr>
                <w:tcW w:w="0" w:type="auto"/>
                <w:hideMark/>
              </w:tcPr>
              <w:p w14:paraId="58E517E3"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S. Gregor and I. Benbasat, “Explanations from Intelligent Systems: Theoretical Foundations and Implications for Practice,” </w:t>
                </w:r>
                <w:r w:rsidRPr="007970B2">
                  <w:rPr>
                    <w:rFonts w:ascii="Calibri" w:hAnsi="Calibri" w:cs="Calibri"/>
                    <w:i/>
                    <w:iCs/>
                    <w:noProof/>
                    <w:sz w:val="22"/>
                    <w:szCs w:val="22"/>
                  </w:rPr>
                  <w:t xml:space="preserve">MIS Quarterly, </w:t>
                </w:r>
                <w:r w:rsidRPr="007970B2">
                  <w:rPr>
                    <w:rFonts w:ascii="Calibri" w:hAnsi="Calibri" w:cs="Calibri"/>
                    <w:noProof/>
                    <w:sz w:val="22"/>
                    <w:szCs w:val="22"/>
                  </w:rPr>
                  <w:t xml:space="preserve">vol. 23, no. 4, pp. 497-530, 1999. </w:t>
                </w:r>
              </w:p>
            </w:tc>
          </w:tr>
          <w:tr w:rsidR="007B3170" w14:paraId="3AC0CE29" w14:textId="77777777">
            <w:trPr>
              <w:divId w:val="1690528251"/>
              <w:tblCellSpacing w:w="15" w:type="dxa"/>
            </w:trPr>
            <w:tc>
              <w:tcPr>
                <w:tcW w:w="50" w:type="pct"/>
                <w:hideMark/>
              </w:tcPr>
              <w:p w14:paraId="06439EA4"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[14] </w:t>
                </w:r>
              </w:p>
            </w:tc>
            <w:tc>
              <w:tcPr>
                <w:tcW w:w="0" w:type="auto"/>
                <w:hideMark/>
              </w:tcPr>
              <w:p w14:paraId="6B29B991"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B. Y. Lim, A. K. Dey and D. Avrahami, “Why and why not explanations improve the intelligibility of context-aware intelligent systems,” in </w:t>
                </w:r>
                <w:r w:rsidRPr="007970B2">
                  <w:rPr>
                    <w:rFonts w:ascii="Calibri" w:hAnsi="Calibri" w:cs="Calibri"/>
                    <w:i/>
                    <w:iCs/>
                    <w:noProof/>
                    <w:sz w:val="22"/>
                    <w:szCs w:val="22"/>
                  </w:rPr>
                  <w:t>SIGCHI Conference on Human Factors in Computing Systems</w:t>
                </w:r>
                <w:r w:rsidRPr="007970B2">
                  <w:rPr>
                    <w:rFonts w:ascii="Calibri" w:hAnsi="Calibri" w:cs="Calibri"/>
                    <w:noProof/>
                    <w:sz w:val="22"/>
                    <w:szCs w:val="22"/>
                  </w:rPr>
                  <w:t xml:space="preserve">, 2009. </w:t>
                </w:r>
              </w:p>
            </w:tc>
          </w:tr>
          <w:tr w:rsidR="007B3170" w14:paraId="1BEE21A5" w14:textId="77777777">
            <w:trPr>
              <w:divId w:val="1690528251"/>
              <w:tblCellSpacing w:w="15" w:type="dxa"/>
            </w:trPr>
            <w:tc>
              <w:tcPr>
                <w:tcW w:w="50" w:type="pct"/>
                <w:hideMark/>
              </w:tcPr>
              <w:p w14:paraId="11B1D6A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[15] </w:t>
                </w:r>
              </w:p>
            </w:tc>
            <w:tc>
              <w:tcPr>
                <w:tcW w:w="0" w:type="auto"/>
                <w:hideMark/>
              </w:tcPr>
              <w:p w14:paraId="6E85BE9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E. Savvadelli, Y. Kiouvrekis and A. Kokkinaki, “A Literature Review on Rule-Based Systems as Decision Support Systems,” in </w:t>
                </w:r>
                <w:r w:rsidRPr="007970B2">
                  <w:rPr>
                    <w:rFonts w:ascii="Calibri" w:hAnsi="Calibri" w:cs="Calibri"/>
                    <w:i/>
                    <w:iCs/>
                    <w:noProof/>
                    <w:sz w:val="22"/>
                    <w:szCs w:val="22"/>
                  </w:rPr>
                  <w:t>Human Aspects of Information Security and Assurance</w:t>
                </w:r>
                <w:r w:rsidRPr="007970B2">
                  <w:rPr>
                    <w:rFonts w:ascii="Calibri" w:hAnsi="Calibri" w:cs="Calibri"/>
                    <w:noProof/>
                    <w:sz w:val="22"/>
                    <w:szCs w:val="22"/>
                  </w:rPr>
                  <w:t xml:space="preserve">, 2026. </w:t>
                </w:r>
              </w:p>
            </w:tc>
          </w:tr>
          <w:tr w:rsidR="007B3170" w14:paraId="73A92C82" w14:textId="77777777">
            <w:trPr>
              <w:divId w:val="1690528251"/>
              <w:tblCellSpacing w:w="15" w:type="dxa"/>
            </w:trPr>
            <w:tc>
              <w:tcPr>
                <w:tcW w:w="50" w:type="pct"/>
                <w:hideMark/>
              </w:tcPr>
              <w:p w14:paraId="198D689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[16] </w:t>
                </w:r>
              </w:p>
            </w:tc>
            <w:tc>
              <w:tcPr>
                <w:tcW w:w="0" w:type="auto"/>
                <w:hideMark/>
              </w:tcPr>
              <w:p w14:paraId="60F35FA5"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M. K. Mantrala and S. Rao, “A Decision-Support System that Helps Retailers Decide Order Quantities and Markdowns for Fashion Goods,” </w:t>
                </w:r>
                <w:r w:rsidRPr="007970B2">
                  <w:rPr>
                    <w:rFonts w:ascii="Calibri" w:hAnsi="Calibri" w:cs="Calibri"/>
                    <w:i/>
                    <w:iCs/>
                    <w:noProof/>
                    <w:sz w:val="22"/>
                    <w:szCs w:val="22"/>
                  </w:rPr>
                  <w:t xml:space="preserve">Interfaces, </w:t>
                </w:r>
                <w:r w:rsidRPr="007970B2">
                  <w:rPr>
                    <w:rFonts w:ascii="Calibri" w:hAnsi="Calibri" w:cs="Calibri"/>
                    <w:noProof/>
                    <w:sz w:val="22"/>
                    <w:szCs w:val="22"/>
                  </w:rPr>
                  <w:t xml:space="preserve">vol. 31, no. 3, pp. S146-S165, 2001. </w:t>
                </w:r>
              </w:p>
            </w:tc>
          </w:tr>
          <w:tr w:rsidR="007B3170" w14:paraId="1591C850" w14:textId="77777777">
            <w:trPr>
              <w:divId w:val="1690528251"/>
              <w:tblCellSpacing w:w="15" w:type="dxa"/>
            </w:trPr>
            <w:tc>
              <w:tcPr>
                <w:tcW w:w="50" w:type="pct"/>
                <w:hideMark/>
              </w:tcPr>
              <w:p w14:paraId="3C1D62D3"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[17] </w:t>
                </w:r>
              </w:p>
            </w:tc>
            <w:tc>
              <w:tcPr>
                <w:tcW w:w="0" w:type="auto"/>
                <w:hideMark/>
              </w:tcPr>
              <w:p w14:paraId="4E650C32"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A. Hübner and H. Kuhn, “Decision support for managing assortments, shelf space, and replenishment in retail,” </w:t>
                </w:r>
                <w:r w:rsidRPr="007970B2">
                  <w:rPr>
                    <w:rFonts w:ascii="Calibri" w:hAnsi="Calibri" w:cs="Calibri"/>
                    <w:i/>
                    <w:iCs/>
                    <w:noProof/>
                    <w:sz w:val="22"/>
                    <w:szCs w:val="22"/>
                  </w:rPr>
                  <w:t xml:space="preserve">Flexible Services and Manufacturing Journal, </w:t>
                </w:r>
                <w:r w:rsidRPr="007970B2">
                  <w:rPr>
                    <w:rFonts w:ascii="Calibri" w:hAnsi="Calibri" w:cs="Calibri"/>
                    <w:noProof/>
                    <w:sz w:val="22"/>
                    <w:szCs w:val="22"/>
                  </w:rPr>
                  <w:t xml:space="preserve">vol. 36, pp. 1-35, 2024. </w:t>
                </w:r>
              </w:p>
            </w:tc>
          </w:tr>
          <w:tr w:rsidR="007B3170" w14:paraId="7D426E91" w14:textId="77777777">
            <w:trPr>
              <w:divId w:val="1690528251"/>
              <w:tblCellSpacing w:w="15" w:type="dxa"/>
            </w:trPr>
            <w:tc>
              <w:tcPr>
                <w:tcW w:w="50" w:type="pct"/>
                <w:hideMark/>
              </w:tcPr>
              <w:p w14:paraId="14BE58FE"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[18] </w:t>
                </w:r>
              </w:p>
            </w:tc>
            <w:tc>
              <w:tcPr>
                <w:tcW w:w="0" w:type="auto"/>
                <w:hideMark/>
              </w:tcPr>
              <w:p w14:paraId="6568B707"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V. Tunuguntla, P. Basu, K. Rakshit and T. Papadopoulos, “Sponsored search advertising and inventory replenishment: a decision support framework for an online retailer,” </w:t>
                </w:r>
                <w:r w:rsidRPr="007970B2">
                  <w:rPr>
                    <w:rFonts w:ascii="Calibri" w:hAnsi="Calibri" w:cs="Calibri"/>
                    <w:i/>
                    <w:iCs/>
                    <w:noProof/>
                    <w:sz w:val="22"/>
                    <w:szCs w:val="22"/>
                  </w:rPr>
                  <w:t xml:space="preserve">Annals of Operations Research, </w:t>
                </w:r>
                <w:r w:rsidRPr="007970B2">
                  <w:rPr>
                    <w:rFonts w:ascii="Calibri" w:hAnsi="Calibri" w:cs="Calibri"/>
                    <w:noProof/>
                    <w:sz w:val="22"/>
                    <w:szCs w:val="22"/>
                  </w:rPr>
                  <w:t xml:space="preserve">2024. </w:t>
                </w:r>
              </w:p>
            </w:tc>
          </w:tr>
          <w:tr w:rsidR="007B3170" w14:paraId="44D09604" w14:textId="77777777">
            <w:trPr>
              <w:divId w:val="1690528251"/>
              <w:tblCellSpacing w:w="15" w:type="dxa"/>
            </w:trPr>
            <w:tc>
              <w:tcPr>
                <w:tcW w:w="50" w:type="pct"/>
                <w:hideMark/>
              </w:tcPr>
              <w:p w14:paraId="7898A782"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[19] </w:t>
                </w:r>
              </w:p>
            </w:tc>
            <w:tc>
              <w:tcPr>
                <w:tcW w:w="0" w:type="auto"/>
                <w:hideMark/>
              </w:tcPr>
              <w:p w14:paraId="135F29B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S. A. Smith and N. Agrawal, “Optimal Markdown Pricing and Inventory Allocation for Retail Chains with Inventory Dependent Demand,” </w:t>
                </w:r>
                <w:r w:rsidRPr="007970B2">
                  <w:rPr>
                    <w:rFonts w:ascii="Calibri" w:hAnsi="Calibri" w:cs="Calibri"/>
                    <w:i/>
                    <w:iCs/>
                    <w:noProof/>
                    <w:sz w:val="22"/>
                    <w:szCs w:val="22"/>
                  </w:rPr>
                  <w:t xml:space="preserve">Manufacturing &amp; Service Operations Management, </w:t>
                </w:r>
                <w:r w:rsidRPr="007970B2">
                  <w:rPr>
                    <w:rFonts w:ascii="Calibri" w:hAnsi="Calibri" w:cs="Calibri"/>
                    <w:noProof/>
                    <w:sz w:val="22"/>
                    <w:szCs w:val="22"/>
                  </w:rPr>
                  <w:t xml:space="preserve">vol. 19, no. 2, pp. 290-304, 2017. </w:t>
                </w:r>
              </w:p>
            </w:tc>
          </w:tr>
          <w:tr w:rsidR="007B3170" w14:paraId="352A44F1" w14:textId="77777777">
            <w:trPr>
              <w:divId w:val="1690528251"/>
              <w:tblCellSpacing w:w="15" w:type="dxa"/>
            </w:trPr>
            <w:tc>
              <w:tcPr>
                <w:tcW w:w="50" w:type="pct"/>
                <w:hideMark/>
              </w:tcPr>
              <w:p w14:paraId="1118024E"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[20] </w:t>
                </w:r>
              </w:p>
            </w:tc>
            <w:tc>
              <w:tcPr>
                <w:tcW w:w="0" w:type="auto"/>
                <w:hideMark/>
              </w:tcPr>
              <w:p w14:paraId="611D1E8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P. Mandal, P. Basu and K. Saha, “Forays into omnichannel: An online retailer’s strategies for managing product returns,” </w:t>
                </w:r>
                <w:r w:rsidRPr="007970B2">
                  <w:rPr>
                    <w:rFonts w:ascii="Calibri" w:hAnsi="Calibri" w:cs="Calibri"/>
                    <w:i/>
                    <w:iCs/>
                    <w:noProof/>
                    <w:sz w:val="22"/>
                    <w:szCs w:val="22"/>
                  </w:rPr>
                  <w:t xml:space="preserve">European Journal of Operational Research, </w:t>
                </w:r>
                <w:r w:rsidRPr="007970B2">
                  <w:rPr>
                    <w:rFonts w:ascii="Calibri" w:hAnsi="Calibri" w:cs="Calibri"/>
                    <w:noProof/>
                    <w:sz w:val="22"/>
                    <w:szCs w:val="22"/>
                  </w:rPr>
                  <w:t xml:space="preserve">vol. 292, no. 2, pp. 633-651, 2021. </w:t>
                </w:r>
              </w:p>
            </w:tc>
          </w:tr>
          <w:tr w:rsidR="007B3170" w14:paraId="0460BF34" w14:textId="77777777">
            <w:trPr>
              <w:divId w:val="1690528251"/>
              <w:tblCellSpacing w:w="15" w:type="dxa"/>
            </w:trPr>
            <w:tc>
              <w:tcPr>
                <w:tcW w:w="50" w:type="pct"/>
                <w:hideMark/>
              </w:tcPr>
              <w:p w14:paraId="31A3A818"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[21] </w:t>
                </w:r>
              </w:p>
            </w:tc>
            <w:tc>
              <w:tcPr>
                <w:tcW w:w="0" w:type="auto"/>
                <w:hideMark/>
              </w:tcPr>
              <w:p w14:paraId="6E7472B0"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M. K. Mantrala, M. Levy, B. E. Kahn, E. J. Fox, P. Gaidarev, B. Dankworth and D. Shah, “Why is Assortment Planning so Difficult for Retailers? A Framework and Research Agenda,” </w:t>
                </w:r>
                <w:r w:rsidRPr="007970B2">
                  <w:rPr>
                    <w:rFonts w:ascii="Calibri" w:hAnsi="Calibri" w:cs="Calibri"/>
                    <w:i/>
                    <w:iCs/>
                    <w:noProof/>
                    <w:sz w:val="22"/>
                    <w:szCs w:val="22"/>
                  </w:rPr>
                  <w:t xml:space="preserve">Journal of Retailing, </w:t>
                </w:r>
                <w:r w:rsidRPr="007970B2">
                  <w:rPr>
                    <w:rFonts w:ascii="Calibri" w:hAnsi="Calibri" w:cs="Calibri"/>
                    <w:noProof/>
                    <w:sz w:val="22"/>
                    <w:szCs w:val="22"/>
                  </w:rPr>
                  <w:t xml:space="preserve">vol. 85, no. 1, pp. 71-83, 2009. </w:t>
                </w:r>
              </w:p>
            </w:tc>
          </w:tr>
          <w:tr w:rsidR="007B3170" w14:paraId="6269FA97" w14:textId="77777777">
            <w:trPr>
              <w:divId w:val="1690528251"/>
              <w:tblCellSpacing w:w="15" w:type="dxa"/>
            </w:trPr>
            <w:tc>
              <w:tcPr>
                <w:tcW w:w="50" w:type="pct"/>
                <w:hideMark/>
              </w:tcPr>
              <w:p w14:paraId="0E93EBB6"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[22] </w:t>
                </w:r>
              </w:p>
            </w:tc>
            <w:tc>
              <w:tcPr>
                <w:tcW w:w="0" w:type="auto"/>
                <w:hideMark/>
              </w:tcPr>
              <w:p w14:paraId="5BC652F9"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K. Rajaram, “Assortment planning in fashion retailing: methodology, application and analysis,” </w:t>
                </w:r>
                <w:r w:rsidRPr="007970B2">
                  <w:rPr>
                    <w:rFonts w:ascii="Calibri" w:hAnsi="Calibri" w:cs="Calibri"/>
                    <w:i/>
                    <w:iCs/>
                    <w:noProof/>
                    <w:sz w:val="22"/>
                    <w:szCs w:val="22"/>
                  </w:rPr>
                  <w:t xml:space="preserve">European Journal of Operational Research, </w:t>
                </w:r>
                <w:r w:rsidRPr="007970B2">
                  <w:rPr>
                    <w:rFonts w:ascii="Calibri" w:hAnsi="Calibri" w:cs="Calibri"/>
                    <w:noProof/>
                    <w:sz w:val="22"/>
                    <w:szCs w:val="22"/>
                  </w:rPr>
                  <w:t xml:space="preserve">vol. 129, no. 1, pp. 186-208, 2001. </w:t>
                </w:r>
              </w:p>
            </w:tc>
          </w:tr>
          <w:tr w:rsidR="007B3170" w14:paraId="08C8B21F" w14:textId="77777777">
            <w:trPr>
              <w:divId w:val="1690528251"/>
              <w:tblCellSpacing w:w="15" w:type="dxa"/>
            </w:trPr>
            <w:tc>
              <w:tcPr>
                <w:tcW w:w="50" w:type="pct"/>
                <w:hideMark/>
              </w:tcPr>
              <w:p w14:paraId="16BF4E6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[23] </w:t>
                </w:r>
              </w:p>
            </w:tc>
            <w:tc>
              <w:tcPr>
                <w:tcW w:w="0" w:type="auto"/>
                <w:hideMark/>
              </w:tcPr>
              <w:p w14:paraId="4430375D"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M. Wedel and P. K. Kannan, “Marketing Analytics for Data-Rich Environments,” </w:t>
                </w:r>
                <w:r w:rsidRPr="007970B2">
                  <w:rPr>
                    <w:rFonts w:ascii="Calibri" w:hAnsi="Calibri" w:cs="Calibri"/>
                    <w:i/>
                    <w:iCs/>
                    <w:noProof/>
                    <w:sz w:val="22"/>
                    <w:szCs w:val="22"/>
                  </w:rPr>
                  <w:t xml:space="preserve">Journal of Marketing, </w:t>
                </w:r>
                <w:r w:rsidRPr="007970B2">
                  <w:rPr>
                    <w:rFonts w:ascii="Calibri" w:hAnsi="Calibri" w:cs="Calibri"/>
                    <w:noProof/>
                    <w:sz w:val="22"/>
                    <w:szCs w:val="22"/>
                  </w:rPr>
                  <w:t xml:space="preserve">vol. 80, no. 6, pp. 97-121, 2016. </w:t>
                </w:r>
              </w:p>
            </w:tc>
          </w:tr>
          <w:tr w:rsidR="007B3170" w14:paraId="3CF4B0A4" w14:textId="77777777">
            <w:trPr>
              <w:divId w:val="1690528251"/>
              <w:tblCellSpacing w:w="15" w:type="dxa"/>
            </w:trPr>
            <w:tc>
              <w:tcPr>
                <w:tcW w:w="50" w:type="pct"/>
                <w:hideMark/>
              </w:tcPr>
              <w:p w14:paraId="1665FFBE"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lastRenderedPageBreak/>
                  <w:t xml:space="preserve">[24] </w:t>
                </w:r>
              </w:p>
            </w:tc>
            <w:tc>
              <w:tcPr>
                <w:tcW w:w="0" w:type="auto"/>
                <w:hideMark/>
              </w:tcPr>
              <w:p w14:paraId="6210E381"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P. K. Kannan and H. Li, “Digital marketing: A framework, review and research agenda,” </w:t>
                </w:r>
                <w:r w:rsidRPr="007970B2">
                  <w:rPr>
                    <w:rFonts w:ascii="Calibri" w:hAnsi="Calibri" w:cs="Calibri"/>
                    <w:i/>
                    <w:iCs/>
                    <w:noProof/>
                    <w:sz w:val="22"/>
                    <w:szCs w:val="22"/>
                  </w:rPr>
                  <w:t xml:space="preserve">International Journal of Research in Marketing, </w:t>
                </w:r>
                <w:r w:rsidRPr="007970B2">
                  <w:rPr>
                    <w:rFonts w:ascii="Calibri" w:hAnsi="Calibri" w:cs="Calibri"/>
                    <w:noProof/>
                    <w:sz w:val="22"/>
                    <w:szCs w:val="22"/>
                  </w:rPr>
                  <w:t xml:space="preserve">vol. 34, no. 1, pp. 22-45, 2017. </w:t>
                </w:r>
              </w:p>
            </w:tc>
          </w:tr>
          <w:tr w:rsidR="007B3170" w14:paraId="0D4AD5B9" w14:textId="77777777">
            <w:trPr>
              <w:divId w:val="1690528251"/>
              <w:tblCellSpacing w:w="15" w:type="dxa"/>
            </w:trPr>
            <w:tc>
              <w:tcPr>
                <w:tcW w:w="50" w:type="pct"/>
                <w:hideMark/>
              </w:tcPr>
              <w:p w14:paraId="1229692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[25] </w:t>
                </w:r>
              </w:p>
            </w:tc>
            <w:tc>
              <w:tcPr>
                <w:tcW w:w="0" w:type="auto"/>
                <w:hideMark/>
              </w:tcPr>
              <w:p w14:paraId="59B4EF3D"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Google, “Measure ecommerce,” 06 August 2026. [Online]. Available: https://developers.google.com/analytics/devguides/collection/ga4/ecommerce. [Accessed 09 August 2026].</w:t>
                </w:r>
              </w:p>
            </w:tc>
          </w:tr>
          <w:tr w:rsidR="007B3170" w14:paraId="1EB30D60" w14:textId="77777777">
            <w:trPr>
              <w:divId w:val="1690528251"/>
              <w:tblCellSpacing w:w="15" w:type="dxa"/>
            </w:trPr>
            <w:tc>
              <w:tcPr>
                <w:tcW w:w="50" w:type="pct"/>
                <w:hideMark/>
              </w:tcPr>
              <w:p w14:paraId="0AF5D687"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[26] </w:t>
                </w:r>
              </w:p>
            </w:tc>
            <w:tc>
              <w:tcPr>
                <w:tcW w:w="0" w:type="auto"/>
                <w:hideMark/>
              </w:tcPr>
              <w:p w14:paraId="1433B4FD"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Google, “[GA4] Set up ecommerce events,” 2026. [Online]. Available: https://support.google.com/analytics/answer/12200568?hl=en. [Accessed 09 August 2026].</w:t>
                </w:r>
              </w:p>
            </w:tc>
          </w:tr>
          <w:tr w:rsidR="007B3170" w14:paraId="210CBAFB" w14:textId="77777777">
            <w:trPr>
              <w:divId w:val="1690528251"/>
              <w:tblCellSpacing w:w="15" w:type="dxa"/>
            </w:trPr>
            <w:tc>
              <w:tcPr>
                <w:tcW w:w="50" w:type="pct"/>
                <w:hideMark/>
              </w:tcPr>
              <w:p w14:paraId="5614EFF2"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[27] </w:t>
                </w:r>
              </w:p>
            </w:tc>
            <w:tc>
              <w:tcPr>
                <w:tcW w:w="0" w:type="auto"/>
                <w:hideMark/>
              </w:tcPr>
              <w:p w14:paraId="7C45E91B"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pandas development team, “pandas documentation,” 2026. [Online]. Available: https://pandas.pydata.org/docs/. [Accessed 09 August 2026].</w:t>
                </w:r>
              </w:p>
            </w:tc>
          </w:tr>
          <w:tr w:rsidR="007B3170" w14:paraId="25D5B3A1" w14:textId="77777777">
            <w:trPr>
              <w:divId w:val="1690528251"/>
              <w:tblCellSpacing w:w="15" w:type="dxa"/>
            </w:trPr>
            <w:tc>
              <w:tcPr>
                <w:tcW w:w="50" w:type="pct"/>
                <w:hideMark/>
              </w:tcPr>
              <w:p w14:paraId="006DE091"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[28] </w:t>
                </w:r>
              </w:p>
            </w:tc>
            <w:tc>
              <w:tcPr>
                <w:tcW w:w="0" w:type="auto"/>
                <w:hideMark/>
              </w:tcPr>
              <w:p w14:paraId="124CC2B1"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Pallets, “Flask Documentation,” 2026. [Online]. Available: https://flask.palletsprojects.com/en/stable/. [Accessed 09 August 2026].</w:t>
                </w:r>
              </w:p>
            </w:tc>
          </w:tr>
          <w:tr w:rsidR="007B3170" w14:paraId="2172144D" w14:textId="77777777">
            <w:trPr>
              <w:divId w:val="1690528251"/>
              <w:tblCellSpacing w:w="15" w:type="dxa"/>
            </w:trPr>
            <w:tc>
              <w:tcPr>
                <w:tcW w:w="50" w:type="pct"/>
                <w:hideMark/>
              </w:tcPr>
              <w:p w14:paraId="1258F6BA"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[29] </w:t>
                </w:r>
              </w:p>
            </w:tc>
            <w:tc>
              <w:tcPr>
                <w:tcW w:w="0" w:type="auto"/>
                <w:hideMark/>
              </w:tcPr>
              <w:p w14:paraId="79FE077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SQLite Consortium, “About SQLite,” 13 November 2025. [Online]. Available: https://www.sqlite.org/about.html. [Accessed 09 August 2026].</w:t>
                </w:r>
              </w:p>
            </w:tc>
          </w:tr>
          <w:tr w:rsidR="007B3170" w14:paraId="24711975" w14:textId="77777777">
            <w:trPr>
              <w:divId w:val="1690528251"/>
              <w:tblCellSpacing w:w="15" w:type="dxa"/>
            </w:trPr>
            <w:tc>
              <w:tcPr>
                <w:tcW w:w="50" w:type="pct"/>
                <w:hideMark/>
              </w:tcPr>
              <w:p w14:paraId="30818D97"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[30] </w:t>
                </w:r>
              </w:p>
            </w:tc>
            <w:tc>
              <w:tcPr>
                <w:tcW w:w="0" w:type="auto"/>
                <w:hideMark/>
              </w:tcPr>
              <w:p w14:paraId="7521957F"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A. R. Hevner, S. T. March, J. Park and S. Ram, “Design Science in Information Systems Research,” </w:t>
                </w:r>
                <w:r w:rsidRPr="007970B2">
                  <w:rPr>
                    <w:rFonts w:ascii="Calibri" w:hAnsi="Calibri" w:cs="Calibri"/>
                    <w:i/>
                    <w:iCs/>
                    <w:noProof/>
                    <w:sz w:val="22"/>
                    <w:szCs w:val="22"/>
                  </w:rPr>
                  <w:t xml:space="preserve">MIS Quarterly, </w:t>
                </w:r>
                <w:r w:rsidRPr="007970B2">
                  <w:rPr>
                    <w:rFonts w:ascii="Calibri" w:hAnsi="Calibri" w:cs="Calibri"/>
                    <w:noProof/>
                    <w:sz w:val="22"/>
                    <w:szCs w:val="22"/>
                  </w:rPr>
                  <w:t xml:space="preserve">vol. 28, no. 1, pp. 75-105, 2004. </w:t>
                </w:r>
              </w:p>
            </w:tc>
          </w:tr>
          <w:tr w:rsidR="007B3170" w14:paraId="4E780134" w14:textId="77777777">
            <w:trPr>
              <w:divId w:val="1690528251"/>
              <w:tblCellSpacing w:w="15" w:type="dxa"/>
            </w:trPr>
            <w:tc>
              <w:tcPr>
                <w:tcW w:w="50" w:type="pct"/>
                <w:hideMark/>
              </w:tcPr>
              <w:p w14:paraId="21EA5BC5"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[31] </w:t>
                </w:r>
              </w:p>
            </w:tc>
            <w:tc>
              <w:tcPr>
                <w:tcW w:w="0" w:type="auto"/>
                <w:hideMark/>
              </w:tcPr>
              <w:p w14:paraId="36CF6C3C" w14:textId="77777777" w:rsidR="007B3170" w:rsidRPr="007970B2" w:rsidRDefault="007B3170">
                <w:pPr>
                  <w:pStyle w:val="Bibliography"/>
                  <w:rPr>
                    <w:rFonts w:ascii="Calibri" w:hAnsi="Calibri" w:cs="Calibri"/>
                    <w:noProof/>
                    <w:sz w:val="22"/>
                    <w:szCs w:val="22"/>
                  </w:rPr>
                </w:pPr>
                <w:r w:rsidRPr="007970B2">
                  <w:rPr>
                    <w:rFonts w:ascii="Calibri" w:hAnsi="Calibri" w:cs="Calibri"/>
                    <w:noProof/>
                    <w:sz w:val="22"/>
                    <w:szCs w:val="22"/>
                  </w:rPr>
                  <w:t xml:space="preserve">K. Peffers, T. Tuunanen, M. A. Rothenberger and S. Chatterjee, “A Design Science Research Methodology for Information Systems Research,” </w:t>
                </w:r>
                <w:r w:rsidRPr="007970B2">
                  <w:rPr>
                    <w:rFonts w:ascii="Calibri" w:hAnsi="Calibri" w:cs="Calibri"/>
                    <w:i/>
                    <w:iCs/>
                    <w:noProof/>
                    <w:sz w:val="22"/>
                    <w:szCs w:val="22"/>
                  </w:rPr>
                  <w:t xml:space="preserve">Journal of Management Information Systems, </w:t>
                </w:r>
                <w:r w:rsidRPr="007970B2">
                  <w:rPr>
                    <w:rFonts w:ascii="Calibri" w:hAnsi="Calibri" w:cs="Calibri"/>
                    <w:noProof/>
                    <w:sz w:val="22"/>
                    <w:szCs w:val="22"/>
                  </w:rPr>
                  <w:t xml:space="preserve">vol. 24, no. 3, pp. 45-77, 2007. </w:t>
                </w:r>
              </w:p>
            </w:tc>
          </w:tr>
          <w:tr w:rsidR="007B3170" w14:paraId="55E0E3FA" w14:textId="77777777">
            <w:trPr>
              <w:divId w:val="1690528251"/>
              <w:tblCellSpacing w:w="15" w:type="dxa"/>
            </w:trPr>
            <w:tc>
              <w:tcPr>
                <w:tcW w:w="50" w:type="pct"/>
                <w:hideMark/>
              </w:tcPr>
              <w:p w14:paraId="39B47256" w14:textId="77777777" w:rsidR="00E45EC0" w:rsidRDefault="00E45EC0">
                <w:pPr>
                  <w:spacing w:after="0" w:line="240" w:lineRule="auto"/>
                </w:pPr>
              </w:p>
            </w:tc>
            <w:tc>
              <w:tcPr>
                <w:tcW w:w="0" w:type="auto"/>
                <w:hideMark/>
              </w:tcPr>
              <w:p w14:paraId="5A932189" w14:textId="77777777" w:rsidR="00E45EC0" w:rsidRDefault="00E45EC0">
                <w:pPr>
                  <w:spacing w:after="0" w:line="240" w:lineRule="auto"/>
                </w:pPr>
              </w:p>
            </w:tc>
          </w:tr>
        </w:tbl>
        <w:p w14:paraId="2F96D6F2" w14:textId="77777777" w:rsidR="007B3170" w:rsidRDefault="007B3170">
          <w:pPr>
            <w:divId w:val="1690528251"/>
            <w:rPr>
              <w:rFonts w:eastAsia="Times New Roman"/>
              <w:noProof/>
            </w:rPr>
          </w:pPr>
        </w:p>
        <w:p w14:paraId="1901975A" w14:textId="75EE395F" w:rsidR="007B3170" w:rsidRDefault="007B3170">
          <w:r>
            <w:rPr>
              <w:b/>
              <w:bCs/>
            </w:rPr>
            <w:fldChar w:fldCharType="end"/>
          </w:r>
        </w:p>
      </w:sdtContent>
    </w:sdt>
    <w:p w14:paraId="1BFC27B3" w14:textId="77777777" w:rsidR="00551175" w:rsidRDefault="00551175" w:rsidP="00551175">
      <w:pPr>
        <w:spacing w:after="140" w:line="300" w:lineRule="auto"/>
      </w:pPr>
    </w:p>
    <w:p w14:paraId="223D1CB5" w14:textId="77777777" w:rsidR="00BA2B53" w:rsidRPr="00CC7A07" w:rsidRDefault="00116450">
      <w:pPr>
        <w:pStyle w:val="Heading1"/>
        <w:spacing w:before="200" w:after="240"/>
        <w:rPr>
          <w:rFonts w:ascii="Bookman Old Style" w:hAnsi="Bookman Old Style"/>
        </w:rPr>
      </w:pPr>
      <w:bookmarkStart w:id="46" w:name="_Toc237246582"/>
      <w:r w:rsidRPr="00CC7A07">
        <w:rPr>
          <w:rFonts w:ascii="Bookman Old Style" w:hAnsi="Bookman Old Style"/>
          <w:bCs/>
        </w:rPr>
        <w:t>Chapter 9 - Bibliography</w:t>
      </w:r>
      <w:bookmarkEnd w:id="46"/>
    </w:p>
    <w:p w14:paraId="19D69B33" w14:textId="44227148" w:rsidR="00551175" w:rsidRDefault="00116450">
      <w:pPr>
        <w:spacing w:after="200" w:line="360" w:lineRule="auto"/>
        <w:jc w:val="both"/>
        <w:rPr>
          <w:rFonts w:ascii="Calibri" w:hAnsi="Calibri" w:cs="Calibri"/>
          <w:color w:val="000000"/>
          <w:sz w:val="22"/>
          <w:szCs w:val="22"/>
        </w:rPr>
      </w:pPr>
      <w:r w:rsidRPr="00155236">
        <w:rPr>
          <w:rFonts w:ascii="Calibri" w:hAnsi="Calibri" w:cs="Calibri"/>
          <w:color w:val="000000"/>
          <w:sz w:val="22"/>
          <w:szCs w:val="22"/>
        </w:rPr>
        <w:t xml:space="preserve">All sources that materially inform claims in the final report are cited in the text and listed in </w:t>
      </w:r>
      <w:r w:rsidRPr="00155236">
        <w:rPr>
          <w:rFonts w:ascii="Calibri" w:hAnsi="Calibri" w:cs="Calibri"/>
          <w:b/>
          <w:bCs/>
          <w:color w:val="000000"/>
          <w:sz w:val="22"/>
          <w:szCs w:val="22"/>
        </w:rPr>
        <w:t>Chapter 8</w:t>
      </w:r>
      <w:r w:rsidRPr="00155236">
        <w:rPr>
          <w:rFonts w:ascii="Calibri" w:hAnsi="Calibri" w:cs="Calibri"/>
          <w:color w:val="000000"/>
          <w:sz w:val="22"/>
          <w:szCs w:val="22"/>
        </w:rPr>
        <w:t>.</w:t>
      </w:r>
      <w:r w:rsidR="00155236">
        <w:rPr>
          <w:rFonts w:ascii="Calibri" w:hAnsi="Calibri" w:cs="Calibri"/>
          <w:color w:val="000000"/>
          <w:sz w:val="22"/>
          <w:szCs w:val="22"/>
        </w:rPr>
        <w:br/>
      </w:r>
      <w:r w:rsidRPr="00155236">
        <w:rPr>
          <w:rFonts w:ascii="Calibri" w:hAnsi="Calibri" w:cs="Calibri"/>
          <w:color w:val="000000"/>
          <w:sz w:val="22"/>
          <w:szCs w:val="22"/>
        </w:rPr>
        <w:t>No additional uncited background works are retained in this version.</w:t>
      </w:r>
    </w:p>
    <w:p w14:paraId="7055FAED" w14:textId="77777777" w:rsidR="00E67FC7" w:rsidRDefault="00E67FC7">
      <w:pPr>
        <w:spacing w:after="200" w:line="360" w:lineRule="auto"/>
        <w:jc w:val="both"/>
        <w:rPr>
          <w:rFonts w:ascii="Calibri" w:hAnsi="Calibri" w:cs="Calibri"/>
          <w:color w:val="000000"/>
          <w:sz w:val="22"/>
          <w:szCs w:val="22"/>
        </w:rPr>
      </w:pPr>
    </w:p>
    <w:p w14:paraId="5DBAAF50" w14:textId="77777777" w:rsidR="00E67FC7" w:rsidRDefault="00E67FC7">
      <w:pPr>
        <w:spacing w:after="200" w:line="360" w:lineRule="auto"/>
        <w:jc w:val="both"/>
        <w:rPr>
          <w:rFonts w:ascii="Calibri" w:hAnsi="Calibri" w:cs="Calibri"/>
          <w:color w:val="000000"/>
          <w:sz w:val="22"/>
          <w:szCs w:val="22"/>
        </w:rPr>
      </w:pPr>
    </w:p>
    <w:p w14:paraId="3B5F0334" w14:textId="77777777" w:rsidR="00E67FC7" w:rsidRDefault="00E67FC7">
      <w:pPr>
        <w:spacing w:after="200" w:line="360" w:lineRule="auto"/>
        <w:jc w:val="both"/>
        <w:rPr>
          <w:rFonts w:ascii="Calibri" w:hAnsi="Calibri" w:cs="Calibri"/>
          <w:color w:val="000000"/>
          <w:sz w:val="22"/>
          <w:szCs w:val="22"/>
        </w:rPr>
      </w:pPr>
    </w:p>
    <w:p w14:paraId="53E3F3AB" w14:textId="77777777" w:rsidR="00E67FC7" w:rsidRDefault="00E67FC7">
      <w:pPr>
        <w:spacing w:after="200" w:line="360" w:lineRule="auto"/>
        <w:jc w:val="both"/>
        <w:rPr>
          <w:rFonts w:ascii="Calibri" w:hAnsi="Calibri" w:cs="Calibri"/>
          <w:color w:val="000000"/>
          <w:sz w:val="22"/>
          <w:szCs w:val="22"/>
        </w:rPr>
      </w:pPr>
    </w:p>
    <w:p w14:paraId="1D7EFD22" w14:textId="77777777" w:rsidR="00E67FC7" w:rsidRDefault="00E67FC7">
      <w:pPr>
        <w:spacing w:after="200" w:line="360" w:lineRule="auto"/>
        <w:jc w:val="both"/>
        <w:rPr>
          <w:rFonts w:ascii="Calibri" w:hAnsi="Calibri" w:cs="Calibri"/>
          <w:color w:val="000000"/>
          <w:sz w:val="22"/>
          <w:szCs w:val="22"/>
        </w:rPr>
      </w:pPr>
    </w:p>
    <w:p w14:paraId="353DCFA0" w14:textId="77777777" w:rsidR="00E67FC7" w:rsidRDefault="00E67FC7">
      <w:pPr>
        <w:spacing w:after="200" w:line="360" w:lineRule="auto"/>
        <w:jc w:val="both"/>
        <w:rPr>
          <w:rFonts w:ascii="Calibri" w:hAnsi="Calibri" w:cs="Calibri"/>
          <w:color w:val="000000"/>
          <w:sz w:val="22"/>
          <w:szCs w:val="22"/>
        </w:rPr>
      </w:pPr>
    </w:p>
    <w:p w14:paraId="272450B4" w14:textId="77777777" w:rsidR="00E67FC7" w:rsidRDefault="00E67FC7">
      <w:pPr>
        <w:spacing w:after="200" w:line="360" w:lineRule="auto"/>
        <w:jc w:val="both"/>
        <w:rPr>
          <w:rFonts w:ascii="Calibri" w:hAnsi="Calibri" w:cs="Calibri"/>
          <w:color w:val="000000"/>
          <w:sz w:val="22"/>
          <w:szCs w:val="22"/>
        </w:rPr>
      </w:pPr>
    </w:p>
    <w:p w14:paraId="7B4D6409" w14:textId="77777777" w:rsidR="00E67FC7" w:rsidRPr="00155236" w:rsidRDefault="00E67FC7">
      <w:pPr>
        <w:spacing w:after="200" w:line="360" w:lineRule="auto"/>
        <w:jc w:val="both"/>
        <w:rPr>
          <w:rFonts w:ascii="Calibri" w:hAnsi="Calibri" w:cs="Calibri"/>
          <w:color w:val="000000"/>
          <w:sz w:val="22"/>
          <w:szCs w:val="22"/>
        </w:rPr>
      </w:pPr>
    </w:p>
    <w:p w14:paraId="223D1CB7" w14:textId="77777777" w:rsidR="00BA2B53" w:rsidRPr="00A25604" w:rsidRDefault="00116450">
      <w:pPr>
        <w:pStyle w:val="Heading1"/>
        <w:spacing w:before="200" w:after="240"/>
        <w:rPr>
          <w:rFonts w:ascii="Bookman Old Style" w:hAnsi="Bookman Old Style"/>
        </w:rPr>
      </w:pPr>
      <w:bookmarkStart w:id="47" w:name="_Toc237246583"/>
      <w:r w:rsidRPr="00A25604">
        <w:rPr>
          <w:rFonts w:ascii="Bookman Old Style" w:hAnsi="Bookman Old Style"/>
          <w:bCs/>
        </w:rPr>
        <w:lastRenderedPageBreak/>
        <w:t>Appendices</w:t>
      </w:r>
      <w:bookmarkEnd w:id="47"/>
    </w:p>
    <w:p w14:paraId="223D1CB8" w14:textId="77777777" w:rsidR="00BA2B53" w:rsidRPr="00A25604" w:rsidRDefault="00116450">
      <w:pPr>
        <w:pStyle w:val="Heading2"/>
        <w:spacing w:before="300" w:after="160"/>
        <w:rPr>
          <w:rFonts w:ascii="Calibri" w:hAnsi="Calibri" w:cs="Calibri"/>
        </w:rPr>
      </w:pPr>
      <w:bookmarkStart w:id="48" w:name="_Toc237246584"/>
      <w:r w:rsidRPr="00A25604">
        <w:rPr>
          <w:rFonts w:ascii="Calibri" w:hAnsi="Calibri" w:cs="Calibri"/>
          <w:bCs/>
          <w:sz w:val="27"/>
          <w:szCs w:val="27"/>
        </w:rPr>
        <w:t>Appendix A - Repository Structure</w:t>
      </w:r>
      <w:bookmarkEnd w:id="48"/>
    </w:p>
    <w:p w14:paraId="223D1CB9"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MDSS_Final/</w:t>
      </w:r>
    </w:p>
    <w:p w14:paraId="223D1CBA"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app.py</w:t>
      </w:r>
    </w:p>
    <w:p w14:paraId="223D1CBB"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mdss.db</w:t>
      </w:r>
    </w:p>
    <w:p w14:paraId="223D1CBC"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requirements.txt</w:t>
      </w:r>
    </w:p>
    <w:p w14:paraId="223D1CBD"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README.md</w:t>
      </w:r>
    </w:p>
    <w:p w14:paraId="223D1CBE"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modules/</w:t>
      </w:r>
    </w:p>
    <w:p w14:paraId="223D1CBF"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__init__.py</w:t>
      </w:r>
    </w:p>
    <w:p w14:paraId="223D1CC0"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decision_engine.py</w:t>
      </w:r>
    </w:p>
    <w:p w14:paraId="223D1CC1"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evaluation.py</w:t>
      </w:r>
    </w:p>
    <w:p w14:paraId="223D1CC2"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excel_import.py</w:t>
      </w:r>
    </w:p>
    <w:p w14:paraId="223D1CC3"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ingest.py</w:t>
      </w:r>
    </w:p>
    <w:p w14:paraId="223D1CC4"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scoring.py</w:t>
      </w:r>
    </w:p>
    <w:p w14:paraId="223D1CC5"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templates/</w:t>
      </w:r>
    </w:p>
    <w:p w14:paraId="223D1CC6"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base.html</w:t>
      </w:r>
    </w:p>
    <w:p w14:paraId="223D1CC7"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evaluate.html</w:t>
      </w:r>
    </w:p>
    <w:p w14:paraId="223D1CC8"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index.html</w:t>
      </w:r>
    </w:p>
    <w:p w14:paraId="223D1CC9"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opportunities.html</w:t>
      </w:r>
    </w:p>
    <w:p w14:paraId="223D1CCA"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scenarios.html</w:t>
      </w:r>
    </w:p>
    <w:p w14:paraId="223D1CCB"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 upload.html</w:t>
      </w:r>
    </w:p>
    <w:p w14:paraId="223D1CCC"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data/</w:t>
      </w:r>
    </w:p>
    <w:p w14:paraId="223D1CCD"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MDSS_Demo_Data.xlsx</w:t>
      </w:r>
    </w:p>
    <w:p w14:paraId="223D1CCE"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MDSS_Demo_EndOfSeason.xlsx</w:t>
      </w:r>
    </w:p>
    <w:p w14:paraId="223D1CCF"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MDSS_Demo_PeakTrading.xlsx</w:t>
      </w:r>
    </w:p>
    <w:p w14:paraId="223D1CD0"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MDSS_Demo_PostReturns.xlsx</w:t>
      </w:r>
    </w:p>
    <w:p w14:paraId="223D1CD1"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MDSS_Template.xlsx</w:t>
      </w:r>
    </w:p>
    <w:p w14:paraId="223D1CD2" w14:textId="77777777" w:rsidR="00BA2B53" w:rsidRPr="00A25604" w:rsidRDefault="00116450">
      <w:pPr>
        <w:spacing w:line="260" w:lineRule="auto"/>
        <w:rPr>
          <w:rFonts w:ascii="Calibri" w:hAnsi="Calibri" w:cs="Calibri"/>
        </w:rPr>
      </w:pPr>
      <w:r w:rsidRPr="00A25604">
        <w:rPr>
          <w:rFonts w:ascii="Calibri" w:eastAsia="Consolas" w:hAnsi="Calibri" w:cs="Calibri"/>
          <w:color w:val="000000"/>
          <w:sz w:val="20"/>
          <w:szCs w:val="20"/>
        </w:rPr>
        <w:t xml:space="preserve">    `-- generate_demos.py</w:t>
      </w:r>
    </w:p>
    <w:p w14:paraId="223D1CD3" w14:textId="77777777" w:rsidR="00BA2B53" w:rsidRPr="00A25604" w:rsidRDefault="00116450">
      <w:pPr>
        <w:pStyle w:val="Heading2"/>
        <w:spacing w:before="300" w:after="160"/>
        <w:rPr>
          <w:rFonts w:ascii="Calibri" w:hAnsi="Calibri" w:cs="Calibri"/>
        </w:rPr>
      </w:pPr>
      <w:bookmarkStart w:id="49" w:name="_Toc237246585"/>
      <w:r w:rsidRPr="00A25604">
        <w:rPr>
          <w:rFonts w:ascii="Calibri" w:hAnsi="Calibri" w:cs="Calibri"/>
          <w:bCs/>
          <w:sz w:val="27"/>
          <w:szCs w:val="27"/>
        </w:rPr>
        <w:t>Appendix B - Workbook Schema Summary</w:t>
      </w:r>
      <w:bookmarkEnd w:id="49"/>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800"/>
      </w:tblGrid>
      <w:tr w:rsidR="00BA2B53" w14:paraId="223D1CD6" w14:textId="77777777">
        <w:trPr>
          <w:cantSplit/>
          <w:tblHeader/>
        </w:trPr>
        <w:tc>
          <w:tcPr>
            <w:tcW w:w="2600" w:type="dxa"/>
            <w:shd w:val="clear" w:color="auto" w:fill="D9D9D9"/>
          </w:tcPr>
          <w:p w14:paraId="223D1CD4" w14:textId="77777777" w:rsidR="00BA2B53" w:rsidRPr="00A25604" w:rsidRDefault="00116450">
            <w:pPr>
              <w:spacing w:line="276" w:lineRule="auto"/>
              <w:rPr>
                <w:rFonts w:ascii="Calibri" w:hAnsi="Calibri" w:cs="Calibri"/>
                <w:sz w:val="20"/>
                <w:szCs w:val="20"/>
              </w:rPr>
            </w:pPr>
            <w:r w:rsidRPr="00A25604">
              <w:rPr>
                <w:rFonts w:ascii="Calibri" w:hAnsi="Calibri" w:cs="Calibri"/>
                <w:b/>
                <w:bCs/>
                <w:color w:val="000000"/>
                <w:sz w:val="20"/>
                <w:szCs w:val="20"/>
              </w:rPr>
              <w:t>Sheet</w:t>
            </w:r>
          </w:p>
        </w:tc>
        <w:tc>
          <w:tcPr>
            <w:tcW w:w="6800" w:type="dxa"/>
            <w:shd w:val="clear" w:color="auto" w:fill="D9D9D9"/>
          </w:tcPr>
          <w:p w14:paraId="223D1CD5" w14:textId="77777777" w:rsidR="00BA2B53" w:rsidRPr="00A25604" w:rsidRDefault="00116450">
            <w:pPr>
              <w:spacing w:line="276" w:lineRule="auto"/>
              <w:rPr>
                <w:rFonts w:ascii="Calibri" w:hAnsi="Calibri" w:cs="Calibri"/>
                <w:sz w:val="20"/>
                <w:szCs w:val="20"/>
              </w:rPr>
            </w:pPr>
            <w:r w:rsidRPr="00A25604">
              <w:rPr>
                <w:rFonts w:ascii="Calibri" w:hAnsi="Calibri" w:cs="Calibri"/>
                <w:b/>
                <w:bCs/>
                <w:color w:val="000000"/>
                <w:sz w:val="20"/>
                <w:szCs w:val="20"/>
              </w:rPr>
              <w:t>Purpose</w:t>
            </w:r>
          </w:p>
        </w:tc>
      </w:tr>
      <w:tr w:rsidR="00BA2B53" w14:paraId="223D1CD9" w14:textId="77777777">
        <w:trPr>
          <w:cantSplit/>
        </w:trPr>
        <w:tc>
          <w:tcPr>
            <w:tcW w:w="2600" w:type="dxa"/>
          </w:tcPr>
          <w:p w14:paraId="223D1CD7"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BI Product</w:t>
            </w:r>
          </w:p>
        </w:tc>
        <w:tc>
          <w:tcPr>
            <w:tcW w:w="6800" w:type="dxa"/>
          </w:tcPr>
          <w:p w14:paraId="223D1CD8"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Product-level revenue, forecast, price, stock, sales, returns, margin and sell-through evidence</w:t>
            </w:r>
          </w:p>
        </w:tc>
      </w:tr>
      <w:tr w:rsidR="00BA2B53" w14:paraId="223D1CDC" w14:textId="77777777">
        <w:trPr>
          <w:cantSplit/>
        </w:trPr>
        <w:tc>
          <w:tcPr>
            <w:tcW w:w="2600" w:type="dxa"/>
          </w:tcPr>
          <w:p w14:paraId="223D1CDA"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BI Category</w:t>
            </w:r>
          </w:p>
        </w:tc>
        <w:tc>
          <w:tcPr>
            <w:tcW w:w="6800" w:type="dxa"/>
          </w:tcPr>
          <w:p w14:paraId="223D1CDB"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Category and regional commercial summaries</w:t>
            </w:r>
          </w:p>
        </w:tc>
      </w:tr>
      <w:tr w:rsidR="00BA2B53" w14:paraId="223D1CDF" w14:textId="77777777">
        <w:trPr>
          <w:cantSplit/>
        </w:trPr>
        <w:tc>
          <w:tcPr>
            <w:tcW w:w="2600" w:type="dxa"/>
          </w:tcPr>
          <w:p w14:paraId="223D1CDD"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GA4 Product</w:t>
            </w:r>
          </w:p>
        </w:tc>
        <w:tc>
          <w:tcPr>
            <w:tcW w:w="6800" w:type="dxa"/>
          </w:tcPr>
          <w:p w14:paraId="223D1CDE"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Product-level sessions, purchases, conversion and engagement evidence</w:t>
            </w:r>
          </w:p>
        </w:tc>
      </w:tr>
      <w:tr w:rsidR="00BA2B53" w14:paraId="223D1CE2" w14:textId="77777777">
        <w:trPr>
          <w:cantSplit/>
        </w:trPr>
        <w:tc>
          <w:tcPr>
            <w:tcW w:w="2600" w:type="dxa"/>
          </w:tcPr>
          <w:p w14:paraId="223D1CE0"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GA4 Pages</w:t>
            </w:r>
          </w:p>
        </w:tc>
        <w:tc>
          <w:tcPr>
            <w:tcW w:w="6800" w:type="dxa"/>
          </w:tcPr>
          <w:p w14:paraId="223D1CE1"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Page-level traffic and behavioural evidence</w:t>
            </w:r>
          </w:p>
        </w:tc>
      </w:tr>
      <w:tr w:rsidR="00BA2B53" w14:paraId="223D1CE5" w14:textId="77777777">
        <w:trPr>
          <w:cantSplit/>
        </w:trPr>
        <w:tc>
          <w:tcPr>
            <w:tcW w:w="2600" w:type="dxa"/>
          </w:tcPr>
          <w:p w14:paraId="223D1CE3"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GA4 Search</w:t>
            </w:r>
          </w:p>
        </w:tc>
        <w:tc>
          <w:tcPr>
            <w:tcW w:w="6800" w:type="dxa"/>
          </w:tcPr>
          <w:p w14:paraId="223D1CE4"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On-site search volume, zero-result rate and conversion evidence</w:t>
            </w:r>
          </w:p>
        </w:tc>
      </w:tr>
    </w:tbl>
    <w:p w14:paraId="223D1CE6" w14:textId="47802ACE" w:rsidR="00BA2B53" w:rsidRPr="00A25604" w:rsidRDefault="00116450">
      <w:pPr>
        <w:pStyle w:val="Heading2"/>
        <w:pageBreakBefore/>
        <w:spacing w:before="300" w:after="160"/>
        <w:rPr>
          <w:rFonts w:ascii="Calibri" w:hAnsi="Calibri" w:cs="Calibri"/>
        </w:rPr>
      </w:pPr>
      <w:bookmarkStart w:id="50" w:name="_Toc237246586"/>
      <w:r w:rsidRPr="00A25604">
        <w:rPr>
          <w:rFonts w:ascii="Calibri" w:hAnsi="Calibri" w:cs="Calibri"/>
          <w:bCs/>
          <w:sz w:val="27"/>
          <w:szCs w:val="27"/>
        </w:rPr>
        <w:lastRenderedPageBreak/>
        <w:t>Appendix C - Priority Bands</w:t>
      </w:r>
      <w:bookmarkEnd w:id="50"/>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00"/>
        <w:gridCol w:w="4700"/>
      </w:tblGrid>
      <w:tr w:rsidR="00BA2B53" w14:paraId="223D1CE9" w14:textId="77777777">
        <w:trPr>
          <w:cantSplit/>
          <w:tblHeader/>
        </w:trPr>
        <w:tc>
          <w:tcPr>
            <w:tcW w:w="4700" w:type="dxa"/>
            <w:shd w:val="clear" w:color="auto" w:fill="D9D9D9"/>
          </w:tcPr>
          <w:p w14:paraId="223D1CE7" w14:textId="77777777" w:rsidR="00BA2B53" w:rsidRPr="00A25604" w:rsidRDefault="00116450">
            <w:pPr>
              <w:spacing w:line="276" w:lineRule="auto"/>
              <w:rPr>
                <w:rFonts w:ascii="Calibri" w:hAnsi="Calibri" w:cs="Calibri"/>
                <w:sz w:val="20"/>
                <w:szCs w:val="20"/>
              </w:rPr>
            </w:pPr>
            <w:r w:rsidRPr="00A25604">
              <w:rPr>
                <w:rFonts w:ascii="Calibri" w:hAnsi="Calibri" w:cs="Calibri"/>
                <w:b/>
                <w:bCs/>
                <w:color w:val="000000"/>
                <w:sz w:val="20"/>
                <w:szCs w:val="20"/>
              </w:rPr>
              <w:t>Priority score range</w:t>
            </w:r>
          </w:p>
        </w:tc>
        <w:tc>
          <w:tcPr>
            <w:tcW w:w="4700" w:type="dxa"/>
            <w:shd w:val="clear" w:color="auto" w:fill="D9D9D9"/>
          </w:tcPr>
          <w:p w14:paraId="223D1CE8" w14:textId="77777777" w:rsidR="00BA2B53" w:rsidRPr="00A25604" w:rsidRDefault="00116450">
            <w:pPr>
              <w:spacing w:line="276" w:lineRule="auto"/>
              <w:rPr>
                <w:rFonts w:ascii="Calibri" w:hAnsi="Calibri" w:cs="Calibri"/>
                <w:sz w:val="20"/>
                <w:szCs w:val="20"/>
              </w:rPr>
            </w:pPr>
            <w:r w:rsidRPr="00A25604">
              <w:rPr>
                <w:rFonts w:ascii="Calibri" w:hAnsi="Calibri" w:cs="Calibri"/>
                <w:b/>
                <w:bCs/>
                <w:color w:val="000000"/>
                <w:sz w:val="20"/>
                <w:szCs w:val="20"/>
              </w:rPr>
              <w:t>Band</w:t>
            </w:r>
          </w:p>
        </w:tc>
      </w:tr>
      <w:tr w:rsidR="00BA2B53" w14:paraId="223D1CEC" w14:textId="77777777">
        <w:trPr>
          <w:cantSplit/>
        </w:trPr>
        <w:tc>
          <w:tcPr>
            <w:tcW w:w="4700" w:type="dxa"/>
          </w:tcPr>
          <w:p w14:paraId="223D1CEA"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&lt; 55</w:t>
            </w:r>
          </w:p>
        </w:tc>
        <w:tc>
          <w:tcPr>
            <w:tcW w:w="4700" w:type="dxa"/>
          </w:tcPr>
          <w:p w14:paraId="223D1CEB"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Monitor</w:t>
            </w:r>
          </w:p>
        </w:tc>
      </w:tr>
      <w:tr w:rsidR="00BA2B53" w14:paraId="223D1CEF" w14:textId="77777777">
        <w:trPr>
          <w:cantSplit/>
        </w:trPr>
        <w:tc>
          <w:tcPr>
            <w:tcW w:w="4700" w:type="dxa"/>
          </w:tcPr>
          <w:p w14:paraId="223D1CED"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55 &lt;= score &lt; 68</w:t>
            </w:r>
          </w:p>
        </w:tc>
        <w:tc>
          <w:tcPr>
            <w:tcW w:w="4700" w:type="dxa"/>
          </w:tcPr>
          <w:p w14:paraId="223D1CEE"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Medium</w:t>
            </w:r>
          </w:p>
        </w:tc>
      </w:tr>
      <w:tr w:rsidR="00BA2B53" w14:paraId="223D1CF2" w14:textId="77777777">
        <w:trPr>
          <w:cantSplit/>
        </w:trPr>
        <w:tc>
          <w:tcPr>
            <w:tcW w:w="4700" w:type="dxa"/>
          </w:tcPr>
          <w:p w14:paraId="223D1CF0"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68 &lt;= score &lt; 80</w:t>
            </w:r>
          </w:p>
        </w:tc>
        <w:tc>
          <w:tcPr>
            <w:tcW w:w="4700" w:type="dxa"/>
          </w:tcPr>
          <w:p w14:paraId="223D1CF1"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High</w:t>
            </w:r>
          </w:p>
        </w:tc>
      </w:tr>
      <w:tr w:rsidR="00BA2B53" w14:paraId="223D1CF5" w14:textId="77777777">
        <w:trPr>
          <w:cantSplit/>
        </w:trPr>
        <w:tc>
          <w:tcPr>
            <w:tcW w:w="4700" w:type="dxa"/>
          </w:tcPr>
          <w:p w14:paraId="223D1CF3"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80 &lt;= score &lt;= 100</w:t>
            </w:r>
          </w:p>
        </w:tc>
        <w:tc>
          <w:tcPr>
            <w:tcW w:w="4700" w:type="dxa"/>
          </w:tcPr>
          <w:p w14:paraId="223D1CF4" w14:textId="77777777" w:rsidR="00BA2B53" w:rsidRPr="00A25604" w:rsidRDefault="00116450">
            <w:pPr>
              <w:spacing w:line="276" w:lineRule="auto"/>
              <w:rPr>
                <w:rFonts w:ascii="Calibri" w:hAnsi="Calibri" w:cs="Calibri"/>
                <w:sz w:val="20"/>
                <w:szCs w:val="20"/>
              </w:rPr>
            </w:pPr>
            <w:r w:rsidRPr="00A25604">
              <w:rPr>
                <w:rFonts w:ascii="Calibri" w:hAnsi="Calibri" w:cs="Calibri"/>
                <w:color w:val="000000"/>
                <w:sz w:val="20"/>
                <w:szCs w:val="20"/>
              </w:rPr>
              <w:t>Critical</w:t>
            </w:r>
          </w:p>
        </w:tc>
      </w:tr>
    </w:tbl>
    <w:p w14:paraId="223D1CF6" w14:textId="77777777" w:rsidR="00BA2B53" w:rsidRPr="00A25604" w:rsidRDefault="00116450">
      <w:pPr>
        <w:pStyle w:val="Heading2"/>
        <w:rPr>
          <w:rFonts w:ascii="Calibri" w:hAnsi="Calibri" w:cs="Calibri"/>
          <w:sz w:val="27"/>
          <w:szCs w:val="27"/>
        </w:rPr>
      </w:pPr>
      <w:bookmarkStart w:id="51" w:name="_Toc237246587"/>
      <w:r w:rsidRPr="00A25604">
        <w:rPr>
          <w:rFonts w:ascii="Calibri" w:hAnsi="Calibri" w:cs="Calibri"/>
          <w:sz w:val="27"/>
          <w:szCs w:val="27"/>
        </w:rPr>
        <w:t>Appendix D - Verification Coverage</w:t>
      </w:r>
      <w:bookmarkEnd w:id="51"/>
    </w:p>
    <w:tbl>
      <w:tblPr>
        <w:tblW w:w="0" w:type="auto"/>
        <w:jc w:val="center"/>
        <w:tblCellMar>
          <w:left w:w="10" w:type="dxa"/>
          <w:right w:w="10" w:type="dxa"/>
        </w:tblCellMar>
        <w:tblLook w:val="04A0" w:firstRow="1" w:lastRow="0" w:firstColumn="1" w:lastColumn="0" w:noHBand="0" w:noVBand="1"/>
      </w:tblPr>
      <w:tblGrid>
        <w:gridCol w:w="4798"/>
        <w:gridCol w:w="4797"/>
      </w:tblGrid>
      <w:tr w:rsidR="00BA2B53" w14:paraId="223D1CF9" w14:textId="77777777">
        <w:trPr>
          <w:cantSplit/>
          <w:tblHeader/>
          <w:jc w:val="center"/>
        </w:trPr>
        <w:tc>
          <w:tcPr>
            <w:tcW w:w="4802"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F7" w14:textId="77777777" w:rsidR="00BA2B53" w:rsidRPr="00A25604" w:rsidRDefault="00116450">
            <w:pPr>
              <w:rPr>
                <w:rFonts w:ascii="Calibri" w:hAnsi="Calibri" w:cs="Calibri"/>
                <w:sz w:val="20"/>
                <w:szCs w:val="20"/>
              </w:rPr>
            </w:pPr>
            <w:r w:rsidRPr="00A25604">
              <w:rPr>
                <w:rFonts w:ascii="Calibri" w:hAnsi="Calibri" w:cs="Calibri"/>
                <w:b/>
                <w:color w:val="000000"/>
                <w:sz w:val="20"/>
                <w:szCs w:val="20"/>
              </w:rPr>
              <w:t>Category</w:t>
            </w:r>
          </w:p>
        </w:tc>
        <w:tc>
          <w:tcPr>
            <w:tcW w:w="4802" w:type="dxa"/>
            <w:tcBorders>
              <w:top w:val="single" w:sz="4" w:space="0" w:color="B7B7B7"/>
              <w:left w:val="single" w:sz="4" w:space="0" w:color="B7B7B7"/>
              <w:bottom w:val="single" w:sz="4" w:space="0" w:color="B7B7B7"/>
              <w:right w:val="single" w:sz="4" w:space="0" w:color="B7B7B7"/>
            </w:tcBorders>
            <w:shd w:val="clear" w:color="auto" w:fill="E9ECEF"/>
            <w:tcMar>
              <w:top w:w="80" w:type="dxa"/>
              <w:left w:w="80" w:type="dxa"/>
              <w:bottom w:w="80" w:type="dxa"/>
              <w:right w:w="80" w:type="dxa"/>
            </w:tcMar>
            <w:vAlign w:val="center"/>
          </w:tcPr>
          <w:p w14:paraId="223D1CF8" w14:textId="77777777" w:rsidR="00BA2B53" w:rsidRPr="00A25604" w:rsidRDefault="00116450">
            <w:pPr>
              <w:rPr>
                <w:rFonts w:ascii="Calibri" w:hAnsi="Calibri" w:cs="Calibri"/>
                <w:sz w:val="20"/>
                <w:szCs w:val="20"/>
              </w:rPr>
            </w:pPr>
            <w:r w:rsidRPr="00A25604">
              <w:rPr>
                <w:rFonts w:ascii="Calibri" w:hAnsi="Calibri" w:cs="Calibri"/>
                <w:b/>
                <w:color w:val="000000"/>
                <w:sz w:val="20"/>
                <w:szCs w:val="20"/>
              </w:rPr>
              <w:t>Checks</w:t>
            </w:r>
          </w:p>
        </w:tc>
      </w:tr>
      <w:tr w:rsidR="00BA2B53" w14:paraId="223D1CFC"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FA"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KPI Calculation Verification</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FB"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6</w:t>
            </w:r>
          </w:p>
        </w:tc>
      </w:tr>
      <w:tr w:rsidR="00BA2B53" w14:paraId="223D1CFF"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FD"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Ranking Sensitivity</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CFE"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6</w:t>
            </w:r>
          </w:p>
        </w:tc>
      </w:tr>
      <w:tr w:rsidR="00BA2B53" w14:paraId="223D1D02"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0"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Integration Verification</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1"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4</w:t>
            </w:r>
          </w:p>
        </w:tc>
      </w:tr>
      <w:tr w:rsidR="00BA2B53" w14:paraId="223D1D05"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3"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Rule Execution Verification</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4"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5</w:t>
            </w:r>
          </w:p>
        </w:tc>
      </w:tr>
      <w:tr w:rsidR="00BA2B53" w14:paraId="223D1D08"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6"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Robustness</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7"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4</w:t>
            </w:r>
          </w:p>
        </w:tc>
      </w:tr>
      <w:tr w:rsidR="00BA2B53" w14:paraId="223D1D0B" w14:textId="77777777">
        <w:trPr>
          <w:cantSplit/>
          <w:jc w:val="center"/>
        </w:trPr>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9"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Total</w:t>
            </w:r>
          </w:p>
        </w:tc>
        <w:tc>
          <w:tcPr>
            <w:tcW w:w="4802" w:type="dxa"/>
            <w:tcBorders>
              <w:top w:val="single" w:sz="4" w:space="0" w:color="B7B7B7"/>
              <w:left w:val="single" w:sz="4" w:space="0" w:color="B7B7B7"/>
              <w:bottom w:val="single" w:sz="4" w:space="0" w:color="B7B7B7"/>
              <w:right w:val="single" w:sz="4" w:space="0" w:color="B7B7B7"/>
            </w:tcBorders>
            <w:tcMar>
              <w:top w:w="80" w:type="dxa"/>
              <w:left w:w="80" w:type="dxa"/>
              <w:bottom w:w="80" w:type="dxa"/>
              <w:right w:w="80" w:type="dxa"/>
            </w:tcMar>
            <w:vAlign w:val="center"/>
          </w:tcPr>
          <w:p w14:paraId="223D1D0A" w14:textId="77777777" w:rsidR="00BA2B53" w:rsidRPr="00A25604" w:rsidRDefault="00116450">
            <w:pPr>
              <w:rPr>
                <w:rFonts w:ascii="Calibri" w:hAnsi="Calibri" w:cs="Calibri"/>
                <w:sz w:val="20"/>
                <w:szCs w:val="20"/>
              </w:rPr>
            </w:pPr>
            <w:r w:rsidRPr="00A25604">
              <w:rPr>
                <w:rFonts w:ascii="Calibri" w:hAnsi="Calibri" w:cs="Calibri"/>
                <w:color w:val="000000"/>
                <w:sz w:val="20"/>
                <w:szCs w:val="20"/>
              </w:rPr>
              <w:t>25</w:t>
            </w:r>
          </w:p>
        </w:tc>
      </w:tr>
    </w:tbl>
    <w:p w14:paraId="223D1D0C" w14:textId="77777777" w:rsidR="00BA2B53" w:rsidRPr="00A25604" w:rsidRDefault="00116450">
      <w:pPr>
        <w:pStyle w:val="Heading2"/>
        <w:rPr>
          <w:rFonts w:ascii="Calibri" w:hAnsi="Calibri" w:cs="Calibri"/>
          <w:sz w:val="27"/>
          <w:szCs w:val="27"/>
        </w:rPr>
      </w:pPr>
      <w:bookmarkStart w:id="52" w:name="_Toc237246588"/>
      <w:r w:rsidRPr="00A25604">
        <w:rPr>
          <w:rFonts w:ascii="Calibri" w:hAnsi="Calibri" w:cs="Calibri"/>
          <w:sz w:val="27"/>
          <w:szCs w:val="27"/>
        </w:rPr>
        <w:t>Appendix E - Controlled Evaluation Set</w:t>
      </w:r>
      <w:bookmarkEnd w:id="52"/>
    </w:p>
    <w:p w14:paraId="223D1D0D" w14:textId="77777777" w:rsidR="00BA2B53" w:rsidRPr="00A25604" w:rsidRDefault="00116450">
      <w:pPr>
        <w:rPr>
          <w:rFonts w:ascii="Calibri" w:hAnsi="Calibri" w:cs="Calibri"/>
          <w:sz w:val="24"/>
          <w:szCs w:val="24"/>
        </w:rPr>
      </w:pPr>
      <w:r w:rsidRPr="00A25604">
        <w:rPr>
          <w:rFonts w:ascii="Calibri" w:hAnsi="Calibri" w:cs="Calibri"/>
          <w:color w:val="000000"/>
          <w:sz w:val="24"/>
          <w:szCs w:val="24"/>
        </w:rPr>
        <w:t>The final controlled audit used four synthetic workbooks (Baseline, End of Season, Peak Trading and Post Returns), each containing 12 trading weeks and 60 product rows per week. The 25-check verification suite was executed for every imported weekly state, producing 48 weekly evaluations and 1,200 individual check executions with zero FAIL or WARN statuses in the final controlled run. These are technical verification results and do not establish commercial accuracy.</w:t>
      </w:r>
    </w:p>
    <w:sectPr w:rsidR="00BA2B53" w:rsidRPr="00A25604" w:rsidSect="00FF2902">
      <w:headerReference w:type="default" r:id="rId25"/>
      <w:footerReference w:type="default" r:id="rId26"/>
      <w:pgSz w:w="11909" w:h="16834"/>
      <w:pgMar w:top="1080" w:right="1152" w:bottom="1080" w:left="1152"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3C455" w14:textId="77777777" w:rsidR="00423855" w:rsidRDefault="00423855">
      <w:r>
        <w:separator/>
      </w:r>
    </w:p>
  </w:endnote>
  <w:endnote w:type="continuationSeparator" w:id="0">
    <w:p w14:paraId="01FF4D22" w14:textId="77777777" w:rsidR="00423855" w:rsidRDefault="00423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D1D1F" w14:textId="1D1B6254" w:rsidR="00BA2B53" w:rsidRDefault="00116450">
    <w:pPr>
      <w:jc w:val="center"/>
    </w:pPr>
    <w:r>
      <w:rPr>
        <w:color w:val="000000"/>
        <w:sz w:val="18"/>
        <w:szCs w:val="20"/>
      </w:rPr>
      <w:fldChar w:fldCharType="begin"/>
    </w:r>
    <w:r>
      <w:rPr>
        <w:color w:val="000000"/>
        <w:sz w:val="18"/>
        <w:szCs w:val="20"/>
      </w:rPr>
      <w:instrText>PAGE</w:instrText>
    </w:r>
    <w:r>
      <w:rPr>
        <w:color w:val="000000"/>
        <w:sz w:val="18"/>
        <w:szCs w:val="20"/>
      </w:rPr>
      <w:fldChar w:fldCharType="separate"/>
    </w:r>
    <w:r w:rsidR="00FB485F">
      <w:rPr>
        <w:noProof/>
        <w:color w:val="000000"/>
        <w:sz w:val="18"/>
        <w:szCs w:val="20"/>
      </w:rPr>
      <w:t>1</w:t>
    </w:r>
    <w:r>
      <w:rPr>
        <w:color w:val="000000"/>
        <w:sz w:val="18"/>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CEF42" w14:textId="77777777" w:rsidR="00423855" w:rsidRDefault="00423855">
      <w:r>
        <w:separator/>
      </w:r>
    </w:p>
  </w:footnote>
  <w:footnote w:type="continuationSeparator" w:id="0">
    <w:p w14:paraId="220602B7" w14:textId="77777777" w:rsidR="00423855" w:rsidRDefault="004238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D1D1E" w14:textId="77777777" w:rsidR="00BA2B53" w:rsidRDefault="00116450">
    <w:pPr>
      <w:jc w:val="right"/>
    </w:pPr>
    <w:r>
      <w:rPr>
        <w:color w:val="666666"/>
        <w:sz w:val="18"/>
        <w:szCs w:val="18"/>
      </w:rPr>
      <w:t>MDSS Final Report - Federico Mossa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B3346"/>
    <w:multiLevelType w:val="hybridMultilevel"/>
    <w:tmpl w:val="A9046896"/>
    <w:lvl w:ilvl="0" w:tplc="C7F480E2">
      <w:start w:val="1"/>
      <w:numFmt w:val="bullet"/>
      <w:lvlText w:val="●"/>
      <w:lvlJc w:val="left"/>
      <w:pPr>
        <w:ind w:left="720" w:hanging="360"/>
      </w:pPr>
    </w:lvl>
    <w:lvl w:ilvl="1" w:tplc="D3A88AB4">
      <w:start w:val="1"/>
      <w:numFmt w:val="bullet"/>
      <w:lvlText w:val="○"/>
      <w:lvlJc w:val="left"/>
      <w:pPr>
        <w:ind w:left="1440" w:hanging="360"/>
      </w:pPr>
    </w:lvl>
    <w:lvl w:ilvl="2" w:tplc="B61CCAE4">
      <w:start w:val="1"/>
      <w:numFmt w:val="bullet"/>
      <w:lvlText w:val="■"/>
      <w:lvlJc w:val="left"/>
      <w:pPr>
        <w:ind w:left="2160" w:hanging="360"/>
      </w:pPr>
    </w:lvl>
    <w:lvl w:ilvl="3" w:tplc="042EC6AA">
      <w:start w:val="1"/>
      <w:numFmt w:val="bullet"/>
      <w:lvlText w:val="●"/>
      <w:lvlJc w:val="left"/>
      <w:pPr>
        <w:ind w:left="2880" w:hanging="360"/>
      </w:pPr>
    </w:lvl>
    <w:lvl w:ilvl="4" w:tplc="0E8448D6">
      <w:start w:val="1"/>
      <w:numFmt w:val="bullet"/>
      <w:lvlText w:val="○"/>
      <w:lvlJc w:val="left"/>
      <w:pPr>
        <w:ind w:left="3600" w:hanging="360"/>
      </w:pPr>
    </w:lvl>
    <w:lvl w:ilvl="5" w:tplc="BF769E12">
      <w:start w:val="1"/>
      <w:numFmt w:val="bullet"/>
      <w:lvlText w:val="■"/>
      <w:lvlJc w:val="left"/>
      <w:pPr>
        <w:ind w:left="4320" w:hanging="360"/>
      </w:pPr>
    </w:lvl>
    <w:lvl w:ilvl="6" w:tplc="B2F4C048">
      <w:start w:val="1"/>
      <w:numFmt w:val="bullet"/>
      <w:lvlText w:val="●"/>
      <w:lvlJc w:val="left"/>
      <w:pPr>
        <w:ind w:left="5040" w:hanging="360"/>
      </w:pPr>
    </w:lvl>
    <w:lvl w:ilvl="7" w:tplc="1054A29E">
      <w:start w:val="1"/>
      <w:numFmt w:val="bullet"/>
      <w:lvlText w:val="●"/>
      <w:lvlJc w:val="left"/>
      <w:pPr>
        <w:ind w:left="5760" w:hanging="360"/>
      </w:pPr>
    </w:lvl>
    <w:lvl w:ilvl="8" w:tplc="30B62C06">
      <w:start w:val="1"/>
      <w:numFmt w:val="bullet"/>
      <w:lvlText w:val="●"/>
      <w:lvlJc w:val="left"/>
      <w:pPr>
        <w:ind w:left="6480" w:hanging="360"/>
      </w:pPr>
    </w:lvl>
  </w:abstractNum>
  <w:abstractNum w:abstractNumId="1" w15:restartNumberingAfterBreak="0">
    <w:nsid w:val="35467F05"/>
    <w:multiLevelType w:val="hybridMultilevel"/>
    <w:tmpl w:val="6E5056D6"/>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2" w15:restartNumberingAfterBreak="0">
    <w:nsid w:val="60457FC3"/>
    <w:multiLevelType w:val="hybridMultilevel"/>
    <w:tmpl w:val="84F893FC"/>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abstractNum w:abstractNumId="3" w15:restartNumberingAfterBreak="0">
    <w:nsid w:val="61B77A86"/>
    <w:multiLevelType w:val="hybridMultilevel"/>
    <w:tmpl w:val="7256E6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8150D5D"/>
    <w:multiLevelType w:val="hybridMultilevel"/>
    <w:tmpl w:val="B246B15A"/>
    <w:lvl w:ilvl="0" w:tplc="E9DE833A">
      <w:numFmt w:val="bullet"/>
      <w:lvlText w:val="•"/>
      <w:lvlJc w:val="left"/>
      <w:pPr>
        <w:ind w:left="461" w:hanging="360"/>
      </w:pPr>
      <w:rPr>
        <w:rFonts w:ascii="Aptos" w:eastAsiaTheme="minorEastAsia" w:hAnsi="Aptos" w:cstheme="minorBidi" w:hint="default"/>
        <w:color w:val="000000"/>
        <w:sz w:val="21"/>
      </w:rPr>
    </w:lvl>
    <w:lvl w:ilvl="1" w:tplc="08090003" w:tentative="1">
      <w:start w:val="1"/>
      <w:numFmt w:val="bullet"/>
      <w:lvlText w:val="o"/>
      <w:lvlJc w:val="left"/>
      <w:pPr>
        <w:ind w:left="1181" w:hanging="360"/>
      </w:pPr>
      <w:rPr>
        <w:rFonts w:ascii="Courier New" w:hAnsi="Courier New" w:cs="Courier New" w:hint="default"/>
      </w:rPr>
    </w:lvl>
    <w:lvl w:ilvl="2" w:tplc="08090005" w:tentative="1">
      <w:start w:val="1"/>
      <w:numFmt w:val="bullet"/>
      <w:lvlText w:val=""/>
      <w:lvlJc w:val="left"/>
      <w:pPr>
        <w:ind w:left="1901" w:hanging="360"/>
      </w:pPr>
      <w:rPr>
        <w:rFonts w:ascii="Wingdings" w:hAnsi="Wingdings" w:hint="default"/>
      </w:rPr>
    </w:lvl>
    <w:lvl w:ilvl="3" w:tplc="08090001" w:tentative="1">
      <w:start w:val="1"/>
      <w:numFmt w:val="bullet"/>
      <w:lvlText w:val=""/>
      <w:lvlJc w:val="left"/>
      <w:pPr>
        <w:ind w:left="2621" w:hanging="360"/>
      </w:pPr>
      <w:rPr>
        <w:rFonts w:ascii="Symbol" w:hAnsi="Symbol" w:hint="default"/>
      </w:rPr>
    </w:lvl>
    <w:lvl w:ilvl="4" w:tplc="08090003" w:tentative="1">
      <w:start w:val="1"/>
      <w:numFmt w:val="bullet"/>
      <w:lvlText w:val="o"/>
      <w:lvlJc w:val="left"/>
      <w:pPr>
        <w:ind w:left="3341" w:hanging="360"/>
      </w:pPr>
      <w:rPr>
        <w:rFonts w:ascii="Courier New" w:hAnsi="Courier New" w:cs="Courier New" w:hint="default"/>
      </w:rPr>
    </w:lvl>
    <w:lvl w:ilvl="5" w:tplc="08090005" w:tentative="1">
      <w:start w:val="1"/>
      <w:numFmt w:val="bullet"/>
      <w:lvlText w:val=""/>
      <w:lvlJc w:val="left"/>
      <w:pPr>
        <w:ind w:left="4061" w:hanging="360"/>
      </w:pPr>
      <w:rPr>
        <w:rFonts w:ascii="Wingdings" w:hAnsi="Wingdings" w:hint="default"/>
      </w:rPr>
    </w:lvl>
    <w:lvl w:ilvl="6" w:tplc="08090001" w:tentative="1">
      <w:start w:val="1"/>
      <w:numFmt w:val="bullet"/>
      <w:lvlText w:val=""/>
      <w:lvlJc w:val="left"/>
      <w:pPr>
        <w:ind w:left="4781" w:hanging="360"/>
      </w:pPr>
      <w:rPr>
        <w:rFonts w:ascii="Symbol" w:hAnsi="Symbol" w:hint="default"/>
      </w:rPr>
    </w:lvl>
    <w:lvl w:ilvl="7" w:tplc="08090003" w:tentative="1">
      <w:start w:val="1"/>
      <w:numFmt w:val="bullet"/>
      <w:lvlText w:val="o"/>
      <w:lvlJc w:val="left"/>
      <w:pPr>
        <w:ind w:left="5501" w:hanging="360"/>
      </w:pPr>
      <w:rPr>
        <w:rFonts w:ascii="Courier New" w:hAnsi="Courier New" w:cs="Courier New" w:hint="default"/>
      </w:rPr>
    </w:lvl>
    <w:lvl w:ilvl="8" w:tplc="08090005" w:tentative="1">
      <w:start w:val="1"/>
      <w:numFmt w:val="bullet"/>
      <w:lvlText w:val=""/>
      <w:lvlJc w:val="left"/>
      <w:pPr>
        <w:ind w:left="6221" w:hanging="360"/>
      </w:pPr>
      <w:rPr>
        <w:rFonts w:ascii="Wingdings" w:hAnsi="Wingdings" w:hint="default"/>
      </w:rPr>
    </w:lvl>
  </w:abstractNum>
  <w:num w:numId="1" w16cid:durableId="2129155309">
    <w:abstractNumId w:val="0"/>
    <w:lvlOverride w:ilvl="0">
      <w:startOverride w:val="1"/>
    </w:lvlOverride>
  </w:num>
  <w:num w:numId="2" w16cid:durableId="706418918">
    <w:abstractNumId w:val="3"/>
  </w:num>
  <w:num w:numId="3" w16cid:durableId="1548952959">
    <w:abstractNumId w:val="1"/>
  </w:num>
  <w:num w:numId="4" w16cid:durableId="381176672">
    <w:abstractNumId w:val="4"/>
  </w:num>
  <w:num w:numId="5" w16cid:durableId="1497305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B53"/>
    <w:rsid w:val="000071AF"/>
    <w:rsid w:val="00010E5B"/>
    <w:rsid w:val="00034692"/>
    <w:rsid w:val="0003591A"/>
    <w:rsid w:val="000444BC"/>
    <w:rsid w:val="00046E13"/>
    <w:rsid w:val="00063EDD"/>
    <w:rsid w:val="000968E2"/>
    <w:rsid w:val="000B19E9"/>
    <w:rsid w:val="000C7C19"/>
    <w:rsid w:val="000D1D14"/>
    <w:rsid w:val="000F4B86"/>
    <w:rsid w:val="001053FD"/>
    <w:rsid w:val="00106D82"/>
    <w:rsid w:val="001078BE"/>
    <w:rsid w:val="00115156"/>
    <w:rsid w:val="00116450"/>
    <w:rsid w:val="00120909"/>
    <w:rsid w:val="0012307E"/>
    <w:rsid w:val="00124B7A"/>
    <w:rsid w:val="0012569F"/>
    <w:rsid w:val="00134753"/>
    <w:rsid w:val="00134B22"/>
    <w:rsid w:val="00134E9C"/>
    <w:rsid w:val="001477BF"/>
    <w:rsid w:val="00153C42"/>
    <w:rsid w:val="00154A27"/>
    <w:rsid w:val="00155236"/>
    <w:rsid w:val="00155A1D"/>
    <w:rsid w:val="00171832"/>
    <w:rsid w:val="00173008"/>
    <w:rsid w:val="00175490"/>
    <w:rsid w:val="00177B32"/>
    <w:rsid w:val="001805DD"/>
    <w:rsid w:val="00186A54"/>
    <w:rsid w:val="00196614"/>
    <w:rsid w:val="00197324"/>
    <w:rsid w:val="001A005F"/>
    <w:rsid w:val="001A5CF0"/>
    <w:rsid w:val="001A7EFA"/>
    <w:rsid w:val="001B43E5"/>
    <w:rsid w:val="001C1AAE"/>
    <w:rsid w:val="001C7545"/>
    <w:rsid w:val="001D1B5B"/>
    <w:rsid w:val="001D1C30"/>
    <w:rsid w:val="001D4628"/>
    <w:rsid w:val="001D46F5"/>
    <w:rsid w:val="001D6E22"/>
    <w:rsid w:val="001E1D01"/>
    <w:rsid w:val="001F7904"/>
    <w:rsid w:val="001F79D8"/>
    <w:rsid w:val="002026AD"/>
    <w:rsid w:val="002128E6"/>
    <w:rsid w:val="00213E1B"/>
    <w:rsid w:val="002156CA"/>
    <w:rsid w:val="00236439"/>
    <w:rsid w:val="00244690"/>
    <w:rsid w:val="0025139A"/>
    <w:rsid w:val="002523C1"/>
    <w:rsid w:val="00267688"/>
    <w:rsid w:val="00267A11"/>
    <w:rsid w:val="00272BAC"/>
    <w:rsid w:val="00283292"/>
    <w:rsid w:val="00287442"/>
    <w:rsid w:val="00294ADD"/>
    <w:rsid w:val="002A0281"/>
    <w:rsid w:val="002D441C"/>
    <w:rsid w:val="002D7ACE"/>
    <w:rsid w:val="002E29BC"/>
    <w:rsid w:val="002E5136"/>
    <w:rsid w:val="00303E4A"/>
    <w:rsid w:val="00307508"/>
    <w:rsid w:val="00320942"/>
    <w:rsid w:val="003275D1"/>
    <w:rsid w:val="003377DC"/>
    <w:rsid w:val="00344F44"/>
    <w:rsid w:val="00346587"/>
    <w:rsid w:val="003659CC"/>
    <w:rsid w:val="003818DA"/>
    <w:rsid w:val="00385A2F"/>
    <w:rsid w:val="0039597F"/>
    <w:rsid w:val="003A399F"/>
    <w:rsid w:val="003A3B22"/>
    <w:rsid w:val="003A4BBF"/>
    <w:rsid w:val="003A4CD9"/>
    <w:rsid w:val="003A61AF"/>
    <w:rsid w:val="003E24FA"/>
    <w:rsid w:val="003F6B77"/>
    <w:rsid w:val="003F6E44"/>
    <w:rsid w:val="004011BB"/>
    <w:rsid w:val="0040437C"/>
    <w:rsid w:val="00416526"/>
    <w:rsid w:val="00416802"/>
    <w:rsid w:val="0042330A"/>
    <w:rsid w:val="00423855"/>
    <w:rsid w:val="00424DE2"/>
    <w:rsid w:val="00427497"/>
    <w:rsid w:val="00435CD6"/>
    <w:rsid w:val="0046056D"/>
    <w:rsid w:val="00476E32"/>
    <w:rsid w:val="004923E0"/>
    <w:rsid w:val="004A1894"/>
    <w:rsid w:val="004B672B"/>
    <w:rsid w:val="004C777F"/>
    <w:rsid w:val="004D305E"/>
    <w:rsid w:val="004E34F0"/>
    <w:rsid w:val="004F3112"/>
    <w:rsid w:val="004F5079"/>
    <w:rsid w:val="00527355"/>
    <w:rsid w:val="00530969"/>
    <w:rsid w:val="00534BEA"/>
    <w:rsid w:val="00537BBE"/>
    <w:rsid w:val="00540A1F"/>
    <w:rsid w:val="00540EE7"/>
    <w:rsid w:val="00551175"/>
    <w:rsid w:val="005551D6"/>
    <w:rsid w:val="005706D1"/>
    <w:rsid w:val="00576DD5"/>
    <w:rsid w:val="00590476"/>
    <w:rsid w:val="00593177"/>
    <w:rsid w:val="00596C5E"/>
    <w:rsid w:val="005B0F3E"/>
    <w:rsid w:val="005D552B"/>
    <w:rsid w:val="005E6B0E"/>
    <w:rsid w:val="005F1CCA"/>
    <w:rsid w:val="005F66BA"/>
    <w:rsid w:val="00600639"/>
    <w:rsid w:val="00606D99"/>
    <w:rsid w:val="00610BE0"/>
    <w:rsid w:val="00612942"/>
    <w:rsid w:val="00623AFA"/>
    <w:rsid w:val="00624FBF"/>
    <w:rsid w:val="006312F9"/>
    <w:rsid w:val="006472EC"/>
    <w:rsid w:val="00650FE5"/>
    <w:rsid w:val="00653F3C"/>
    <w:rsid w:val="006709E8"/>
    <w:rsid w:val="00670B1F"/>
    <w:rsid w:val="00685F7F"/>
    <w:rsid w:val="006866E6"/>
    <w:rsid w:val="006A0143"/>
    <w:rsid w:val="006A69D0"/>
    <w:rsid w:val="006B3121"/>
    <w:rsid w:val="006C1BA1"/>
    <w:rsid w:val="006D0775"/>
    <w:rsid w:val="006D2DD2"/>
    <w:rsid w:val="006D4E29"/>
    <w:rsid w:val="006D6D2F"/>
    <w:rsid w:val="006E1DBD"/>
    <w:rsid w:val="006E64D6"/>
    <w:rsid w:val="006F1D39"/>
    <w:rsid w:val="00704534"/>
    <w:rsid w:val="00707041"/>
    <w:rsid w:val="00720BBD"/>
    <w:rsid w:val="007325B6"/>
    <w:rsid w:val="00737669"/>
    <w:rsid w:val="00745BA4"/>
    <w:rsid w:val="00747AEC"/>
    <w:rsid w:val="00756B36"/>
    <w:rsid w:val="00766E58"/>
    <w:rsid w:val="0078201F"/>
    <w:rsid w:val="00790EBC"/>
    <w:rsid w:val="007970B2"/>
    <w:rsid w:val="007A2A88"/>
    <w:rsid w:val="007A64FE"/>
    <w:rsid w:val="007A73CC"/>
    <w:rsid w:val="007B3170"/>
    <w:rsid w:val="007C01E0"/>
    <w:rsid w:val="007E44B2"/>
    <w:rsid w:val="008016A5"/>
    <w:rsid w:val="008230A8"/>
    <w:rsid w:val="00823E12"/>
    <w:rsid w:val="00833E41"/>
    <w:rsid w:val="00835BA0"/>
    <w:rsid w:val="00842B67"/>
    <w:rsid w:val="008438F5"/>
    <w:rsid w:val="00850D1A"/>
    <w:rsid w:val="008528F7"/>
    <w:rsid w:val="008709AC"/>
    <w:rsid w:val="008971BE"/>
    <w:rsid w:val="00897A8F"/>
    <w:rsid w:val="008B4413"/>
    <w:rsid w:val="008C33AB"/>
    <w:rsid w:val="008C3F6B"/>
    <w:rsid w:val="008E4215"/>
    <w:rsid w:val="008E4757"/>
    <w:rsid w:val="008E4EDB"/>
    <w:rsid w:val="008F3043"/>
    <w:rsid w:val="00905C8C"/>
    <w:rsid w:val="009273F9"/>
    <w:rsid w:val="009347EC"/>
    <w:rsid w:val="00935473"/>
    <w:rsid w:val="009361FA"/>
    <w:rsid w:val="00952633"/>
    <w:rsid w:val="00955237"/>
    <w:rsid w:val="0095553B"/>
    <w:rsid w:val="009612BE"/>
    <w:rsid w:val="0096487E"/>
    <w:rsid w:val="009648DF"/>
    <w:rsid w:val="009832A5"/>
    <w:rsid w:val="009904E3"/>
    <w:rsid w:val="00994F60"/>
    <w:rsid w:val="009B33B9"/>
    <w:rsid w:val="009C2A78"/>
    <w:rsid w:val="009C5595"/>
    <w:rsid w:val="009E07BA"/>
    <w:rsid w:val="009E3136"/>
    <w:rsid w:val="009E7CAE"/>
    <w:rsid w:val="00A11313"/>
    <w:rsid w:val="00A17303"/>
    <w:rsid w:val="00A25604"/>
    <w:rsid w:val="00A35F73"/>
    <w:rsid w:val="00A36E41"/>
    <w:rsid w:val="00A3786A"/>
    <w:rsid w:val="00A37888"/>
    <w:rsid w:val="00A54D4A"/>
    <w:rsid w:val="00A71735"/>
    <w:rsid w:val="00A749AB"/>
    <w:rsid w:val="00A81591"/>
    <w:rsid w:val="00A9007B"/>
    <w:rsid w:val="00A90293"/>
    <w:rsid w:val="00A95CDE"/>
    <w:rsid w:val="00AA5E41"/>
    <w:rsid w:val="00AB02F8"/>
    <w:rsid w:val="00AB4A5A"/>
    <w:rsid w:val="00AB79D5"/>
    <w:rsid w:val="00AC2C46"/>
    <w:rsid w:val="00AE1590"/>
    <w:rsid w:val="00AE2BB3"/>
    <w:rsid w:val="00AF0437"/>
    <w:rsid w:val="00B0170A"/>
    <w:rsid w:val="00B2195A"/>
    <w:rsid w:val="00B25FF6"/>
    <w:rsid w:val="00B4476C"/>
    <w:rsid w:val="00B46F1E"/>
    <w:rsid w:val="00B50659"/>
    <w:rsid w:val="00B5473C"/>
    <w:rsid w:val="00B61F47"/>
    <w:rsid w:val="00B632E6"/>
    <w:rsid w:val="00B70DE6"/>
    <w:rsid w:val="00B74C2E"/>
    <w:rsid w:val="00BA0B6F"/>
    <w:rsid w:val="00BA2B53"/>
    <w:rsid w:val="00BA4616"/>
    <w:rsid w:val="00BB0411"/>
    <w:rsid w:val="00BD71AF"/>
    <w:rsid w:val="00BE4D94"/>
    <w:rsid w:val="00BF22A2"/>
    <w:rsid w:val="00BF29CC"/>
    <w:rsid w:val="00C03431"/>
    <w:rsid w:val="00C11FAB"/>
    <w:rsid w:val="00C15108"/>
    <w:rsid w:val="00C2388C"/>
    <w:rsid w:val="00C37C7E"/>
    <w:rsid w:val="00C57EAE"/>
    <w:rsid w:val="00C62DDF"/>
    <w:rsid w:val="00C64516"/>
    <w:rsid w:val="00C75E23"/>
    <w:rsid w:val="00CA0099"/>
    <w:rsid w:val="00CA064E"/>
    <w:rsid w:val="00CB3706"/>
    <w:rsid w:val="00CC2F9E"/>
    <w:rsid w:val="00CC6560"/>
    <w:rsid w:val="00CC7A07"/>
    <w:rsid w:val="00CE5D08"/>
    <w:rsid w:val="00CF7EF9"/>
    <w:rsid w:val="00D13974"/>
    <w:rsid w:val="00D1608B"/>
    <w:rsid w:val="00D204B8"/>
    <w:rsid w:val="00D226F9"/>
    <w:rsid w:val="00D37DBE"/>
    <w:rsid w:val="00D424FB"/>
    <w:rsid w:val="00D60E2C"/>
    <w:rsid w:val="00D66BF6"/>
    <w:rsid w:val="00D9764A"/>
    <w:rsid w:val="00DA16FC"/>
    <w:rsid w:val="00DA3CFE"/>
    <w:rsid w:val="00DB3CC0"/>
    <w:rsid w:val="00DB574C"/>
    <w:rsid w:val="00DC15EA"/>
    <w:rsid w:val="00DC2217"/>
    <w:rsid w:val="00DC46AF"/>
    <w:rsid w:val="00DC4F77"/>
    <w:rsid w:val="00DD41EA"/>
    <w:rsid w:val="00DE1631"/>
    <w:rsid w:val="00DF4CE7"/>
    <w:rsid w:val="00E227AD"/>
    <w:rsid w:val="00E27B76"/>
    <w:rsid w:val="00E30095"/>
    <w:rsid w:val="00E3606F"/>
    <w:rsid w:val="00E40BB9"/>
    <w:rsid w:val="00E4474A"/>
    <w:rsid w:val="00E45EC0"/>
    <w:rsid w:val="00E51CCD"/>
    <w:rsid w:val="00E65150"/>
    <w:rsid w:val="00E67FC7"/>
    <w:rsid w:val="00E865F3"/>
    <w:rsid w:val="00E8712B"/>
    <w:rsid w:val="00E93660"/>
    <w:rsid w:val="00EA747C"/>
    <w:rsid w:val="00ED57B9"/>
    <w:rsid w:val="00ED7B24"/>
    <w:rsid w:val="00EE7A8B"/>
    <w:rsid w:val="00F105E1"/>
    <w:rsid w:val="00F114E2"/>
    <w:rsid w:val="00F1362A"/>
    <w:rsid w:val="00F170D1"/>
    <w:rsid w:val="00F23986"/>
    <w:rsid w:val="00F23A1A"/>
    <w:rsid w:val="00F36087"/>
    <w:rsid w:val="00F45BD7"/>
    <w:rsid w:val="00F5111D"/>
    <w:rsid w:val="00F5693D"/>
    <w:rsid w:val="00F665D9"/>
    <w:rsid w:val="00F6736A"/>
    <w:rsid w:val="00F7560E"/>
    <w:rsid w:val="00F7618D"/>
    <w:rsid w:val="00F82E12"/>
    <w:rsid w:val="00F84E41"/>
    <w:rsid w:val="00F91284"/>
    <w:rsid w:val="00FA314F"/>
    <w:rsid w:val="00FA5A05"/>
    <w:rsid w:val="00FA7979"/>
    <w:rsid w:val="00FB13F7"/>
    <w:rsid w:val="00FB401A"/>
    <w:rsid w:val="00FB485F"/>
    <w:rsid w:val="00FB67B9"/>
    <w:rsid w:val="00FF2902"/>
    <w:rsid w:val="00FF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1A6E"/>
  <w15:docId w15:val="{57D3E6AE-4D16-46F9-B14E-ED36DF0A9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FAB"/>
  </w:style>
  <w:style w:type="paragraph" w:styleId="Heading1">
    <w:name w:val="heading 1"/>
    <w:basedOn w:val="Normal"/>
    <w:next w:val="Normal"/>
    <w:link w:val="Heading1Char"/>
    <w:uiPriority w:val="9"/>
    <w:qFormat/>
    <w:rsid w:val="00C11FAB"/>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unhideWhenUsed/>
    <w:qFormat/>
    <w:rsid w:val="00C11FAB"/>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C11FA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11FA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11FA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11FA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11FA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11FA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11FA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1FAB"/>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C11FAB"/>
    <w:pPr>
      <w:spacing w:after="0" w:line="240" w:lineRule="auto"/>
    </w:pPr>
  </w:style>
  <w:style w:type="character" w:customStyle="1" w:styleId="NoSpacingChar">
    <w:name w:val="No Spacing Char"/>
    <w:basedOn w:val="DefaultParagraphFont"/>
    <w:link w:val="NoSpacing"/>
    <w:uiPriority w:val="1"/>
    <w:rsid w:val="007A64FE"/>
  </w:style>
  <w:style w:type="character" w:customStyle="1" w:styleId="Heading1Char">
    <w:name w:val="Heading 1 Char"/>
    <w:basedOn w:val="DefaultParagraphFont"/>
    <w:link w:val="Heading1"/>
    <w:uiPriority w:val="9"/>
    <w:rsid w:val="00C11FAB"/>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rsid w:val="00C11FAB"/>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C11FA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11FA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11FA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11FA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11FA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11FA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11FA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C11FAB"/>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C11FAB"/>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C11FA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11FA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11FAB"/>
    <w:rPr>
      <w:b/>
      <w:bCs/>
    </w:rPr>
  </w:style>
  <w:style w:type="character" w:styleId="Emphasis">
    <w:name w:val="Emphasis"/>
    <w:basedOn w:val="DefaultParagraphFont"/>
    <w:uiPriority w:val="20"/>
    <w:qFormat/>
    <w:rsid w:val="00C11FAB"/>
    <w:rPr>
      <w:i/>
      <w:iCs/>
    </w:rPr>
  </w:style>
  <w:style w:type="paragraph" w:styleId="Quote">
    <w:name w:val="Quote"/>
    <w:basedOn w:val="Normal"/>
    <w:next w:val="Normal"/>
    <w:link w:val="QuoteChar"/>
    <w:uiPriority w:val="29"/>
    <w:qFormat/>
    <w:rsid w:val="00C11FA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11FAB"/>
    <w:rPr>
      <w:i/>
      <w:iCs/>
    </w:rPr>
  </w:style>
  <w:style w:type="paragraph" w:styleId="IntenseQuote">
    <w:name w:val="Intense Quote"/>
    <w:basedOn w:val="Normal"/>
    <w:next w:val="Normal"/>
    <w:link w:val="IntenseQuoteChar"/>
    <w:uiPriority w:val="30"/>
    <w:qFormat/>
    <w:rsid w:val="00C11FAB"/>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C11FAB"/>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C11FAB"/>
    <w:rPr>
      <w:i/>
      <w:iCs/>
      <w:color w:val="595959" w:themeColor="text1" w:themeTint="A6"/>
    </w:rPr>
  </w:style>
  <w:style w:type="character" w:styleId="IntenseEmphasis">
    <w:name w:val="Intense Emphasis"/>
    <w:basedOn w:val="DefaultParagraphFont"/>
    <w:uiPriority w:val="21"/>
    <w:qFormat/>
    <w:rsid w:val="00C11FAB"/>
    <w:rPr>
      <w:b/>
      <w:bCs/>
      <w:i/>
      <w:iCs/>
    </w:rPr>
  </w:style>
  <w:style w:type="character" w:styleId="SubtleReference">
    <w:name w:val="Subtle Reference"/>
    <w:basedOn w:val="DefaultParagraphFont"/>
    <w:uiPriority w:val="31"/>
    <w:qFormat/>
    <w:rsid w:val="00C11FAB"/>
    <w:rPr>
      <w:smallCaps/>
      <w:color w:val="404040" w:themeColor="text1" w:themeTint="BF"/>
    </w:rPr>
  </w:style>
  <w:style w:type="character" w:styleId="IntenseReference">
    <w:name w:val="Intense Reference"/>
    <w:basedOn w:val="DefaultParagraphFont"/>
    <w:uiPriority w:val="32"/>
    <w:qFormat/>
    <w:rsid w:val="00C11FAB"/>
    <w:rPr>
      <w:b/>
      <w:bCs/>
      <w:smallCaps/>
      <w:u w:val="single"/>
    </w:rPr>
  </w:style>
  <w:style w:type="character" w:styleId="BookTitle">
    <w:name w:val="Book Title"/>
    <w:basedOn w:val="DefaultParagraphFont"/>
    <w:uiPriority w:val="33"/>
    <w:qFormat/>
    <w:rsid w:val="00C11FAB"/>
    <w:rPr>
      <w:b/>
      <w:bCs/>
      <w:smallCaps/>
    </w:rPr>
  </w:style>
  <w:style w:type="paragraph" w:styleId="TOCHeading">
    <w:name w:val="TOC Heading"/>
    <w:basedOn w:val="Heading1"/>
    <w:next w:val="Normal"/>
    <w:uiPriority w:val="39"/>
    <w:unhideWhenUsed/>
    <w:qFormat/>
    <w:rsid w:val="00C11FAB"/>
    <w:pPr>
      <w:outlineLvl w:val="9"/>
    </w:pPr>
  </w:style>
  <w:style w:type="paragraph" w:styleId="TOC1">
    <w:name w:val="toc 1"/>
    <w:basedOn w:val="Normal"/>
    <w:next w:val="Normal"/>
    <w:autoRedefine/>
    <w:uiPriority w:val="39"/>
    <w:unhideWhenUsed/>
    <w:rsid w:val="00DC2217"/>
    <w:pPr>
      <w:spacing w:after="100"/>
    </w:pPr>
  </w:style>
  <w:style w:type="paragraph" w:styleId="TOC2">
    <w:name w:val="toc 2"/>
    <w:basedOn w:val="Normal"/>
    <w:next w:val="Normal"/>
    <w:autoRedefine/>
    <w:uiPriority w:val="39"/>
    <w:unhideWhenUsed/>
    <w:rsid w:val="00DC2217"/>
    <w:pPr>
      <w:spacing w:after="100"/>
      <w:ind w:left="210"/>
    </w:pPr>
  </w:style>
  <w:style w:type="paragraph" w:styleId="Bibliography">
    <w:name w:val="Bibliography"/>
    <w:basedOn w:val="Normal"/>
    <w:next w:val="Normal"/>
    <w:uiPriority w:val="37"/>
    <w:unhideWhenUsed/>
    <w:rsid w:val="007B3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51619">
      <w:bodyDiv w:val="1"/>
      <w:marLeft w:val="0"/>
      <w:marRight w:val="0"/>
      <w:marTop w:val="0"/>
      <w:marBottom w:val="0"/>
      <w:divBdr>
        <w:top w:val="none" w:sz="0" w:space="0" w:color="auto"/>
        <w:left w:val="none" w:sz="0" w:space="0" w:color="auto"/>
        <w:bottom w:val="none" w:sz="0" w:space="0" w:color="auto"/>
        <w:right w:val="none" w:sz="0" w:space="0" w:color="auto"/>
      </w:divBdr>
    </w:div>
    <w:div w:id="73478595">
      <w:bodyDiv w:val="1"/>
      <w:marLeft w:val="0"/>
      <w:marRight w:val="0"/>
      <w:marTop w:val="0"/>
      <w:marBottom w:val="0"/>
      <w:divBdr>
        <w:top w:val="none" w:sz="0" w:space="0" w:color="auto"/>
        <w:left w:val="none" w:sz="0" w:space="0" w:color="auto"/>
        <w:bottom w:val="none" w:sz="0" w:space="0" w:color="auto"/>
        <w:right w:val="none" w:sz="0" w:space="0" w:color="auto"/>
      </w:divBdr>
    </w:div>
    <w:div w:id="74136553">
      <w:bodyDiv w:val="1"/>
      <w:marLeft w:val="0"/>
      <w:marRight w:val="0"/>
      <w:marTop w:val="0"/>
      <w:marBottom w:val="0"/>
      <w:divBdr>
        <w:top w:val="none" w:sz="0" w:space="0" w:color="auto"/>
        <w:left w:val="none" w:sz="0" w:space="0" w:color="auto"/>
        <w:bottom w:val="none" w:sz="0" w:space="0" w:color="auto"/>
        <w:right w:val="none" w:sz="0" w:space="0" w:color="auto"/>
      </w:divBdr>
    </w:div>
    <w:div w:id="94257118">
      <w:bodyDiv w:val="1"/>
      <w:marLeft w:val="0"/>
      <w:marRight w:val="0"/>
      <w:marTop w:val="0"/>
      <w:marBottom w:val="0"/>
      <w:divBdr>
        <w:top w:val="none" w:sz="0" w:space="0" w:color="auto"/>
        <w:left w:val="none" w:sz="0" w:space="0" w:color="auto"/>
        <w:bottom w:val="none" w:sz="0" w:space="0" w:color="auto"/>
        <w:right w:val="none" w:sz="0" w:space="0" w:color="auto"/>
      </w:divBdr>
    </w:div>
    <w:div w:id="143589453">
      <w:bodyDiv w:val="1"/>
      <w:marLeft w:val="0"/>
      <w:marRight w:val="0"/>
      <w:marTop w:val="0"/>
      <w:marBottom w:val="0"/>
      <w:divBdr>
        <w:top w:val="none" w:sz="0" w:space="0" w:color="auto"/>
        <w:left w:val="none" w:sz="0" w:space="0" w:color="auto"/>
        <w:bottom w:val="none" w:sz="0" w:space="0" w:color="auto"/>
        <w:right w:val="none" w:sz="0" w:space="0" w:color="auto"/>
      </w:divBdr>
    </w:div>
    <w:div w:id="216212228">
      <w:bodyDiv w:val="1"/>
      <w:marLeft w:val="0"/>
      <w:marRight w:val="0"/>
      <w:marTop w:val="0"/>
      <w:marBottom w:val="0"/>
      <w:divBdr>
        <w:top w:val="none" w:sz="0" w:space="0" w:color="auto"/>
        <w:left w:val="none" w:sz="0" w:space="0" w:color="auto"/>
        <w:bottom w:val="none" w:sz="0" w:space="0" w:color="auto"/>
        <w:right w:val="none" w:sz="0" w:space="0" w:color="auto"/>
      </w:divBdr>
    </w:div>
    <w:div w:id="220290976">
      <w:bodyDiv w:val="1"/>
      <w:marLeft w:val="0"/>
      <w:marRight w:val="0"/>
      <w:marTop w:val="0"/>
      <w:marBottom w:val="0"/>
      <w:divBdr>
        <w:top w:val="none" w:sz="0" w:space="0" w:color="auto"/>
        <w:left w:val="none" w:sz="0" w:space="0" w:color="auto"/>
        <w:bottom w:val="none" w:sz="0" w:space="0" w:color="auto"/>
        <w:right w:val="none" w:sz="0" w:space="0" w:color="auto"/>
      </w:divBdr>
    </w:div>
    <w:div w:id="221908295">
      <w:bodyDiv w:val="1"/>
      <w:marLeft w:val="0"/>
      <w:marRight w:val="0"/>
      <w:marTop w:val="0"/>
      <w:marBottom w:val="0"/>
      <w:divBdr>
        <w:top w:val="none" w:sz="0" w:space="0" w:color="auto"/>
        <w:left w:val="none" w:sz="0" w:space="0" w:color="auto"/>
        <w:bottom w:val="none" w:sz="0" w:space="0" w:color="auto"/>
        <w:right w:val="none" w:sz="0" w:space="0" w:color="auto"/>
      </w:divBdr>
    </w:div>
    <w:div w:id="285701642">
      <w:bodyDiv w:val="1"/>
      <w:marLeft w:val="0"/>
      <w:marRight w:val="0"/>
      <w:marTop w:val="0"/>
      <w:marBottom w:val="0"/>
      <w:divBdr>
        <w:top w:val="none" w:sz="0" w:space="0" w:color="auto"/>
        <w:left w:val="none" w:sz="0" w:space="0" w:color="auto"/>
        <w:bottom w:val="none" w:sz="0" w:space="0" w:color="auto"/>
        <w:right w:val="none" w:sz="0" w:space="0" w:color="auto"/>
      </w:divBdr>
    </w:div>
    <w:div w:id="294721156">
      <w:bodyDiv w:val="1"/>
      <w:marLeft w:val="0"/>
      <w:marRight w:val="0"/>
      <w:marTop w:val="0"/>
      <w:marBottom w:val="0"/>
      <w:divBdr>
        <w:top w:val="none" w:sz="0" w:space="0" w:color="auto"/>
        <w:left w:val="none" w:sz="0" w:space="0" w:color="auto"/>
        <w:bottom w:val="none" w:sz="0" w:space="0" w:color="auto"/>
        <w:right w:val="none" w:sz="0" w:space="0" w:color="auto"/>
      </w:divBdr>
    </w:div>
    <w:div w:id="319307670">
      <w:bodyDiv w:val="1"/>
      <w:marLeft w:val="0"/>
      <w:marRight w:val="0"/>
      <w:marTop w:val="0"/>
      <w:marBottom w:val="0"/>
      <w:divBdr>
        <w:top w:val="none" w:sz="0" w:space="0" w:color="auto"/>
        <w:left w:val="none" w:sz="0" w:space="0" w:color="auto"/>
        <w:bottom w:val="none" w:sz="0" w:space="0" w:color="auto"/>
        <w:right w:val="none" w:sz="0" w:space="0" w:color="auto"/>
      </w:divBdr>
    </w:div>
    <w:div w:id="340619767">
      <w:bodyDiv w:val="1"/>
      <w:marLeft w:val="0"/>
      <w:marRight w:val="0"/>
      <w:marTop w:val="0"/>
      <w:marBottom w:val="0"/>
      <w:divBdr>
        <w:top w:val="none" w:sz="0" w:space="0" w:color="auto"/>
        <w:left w:val="none" w:sz="0" w:space="0" w:color="auto"/>
        <w:bottom w:val="none" w:sz="0" w:space="0" w:color="auto"/>
        <w:right w:val="none" w:sz="0" w:space="0" w:color="auto"/>
      </w:divBdr>
    </w:div>
    <w:div w:id="358700877">
      <w:bodyDiv w:val="1"/>
      <w:marLeft w:val="0"/>
      <w:marRight w:val="0"/>
      <w:marTop w:val="0"/>
      <w:marBottom w:val="0"/>
      <w:divBdr>
        <w:top w:val="none" w:sz="0" w:space="0" w:color="auto"/>
        <w:left w:val="none" w:sz="0" w:space="0" w:color="auto"/>
        <w:bottom w:val="none" w:sz="0" w:space="0" w:color="auto"/>
        <w:right w:val="none" w:sz="0" w:space="0" w:color="auto"/>
      </w:divBdr>
    </w:div>
    <w:div w:id="371466286">
      <w:bodyDiv w:val="1"/>
      <w:marLeft w:val="0"/>
      <w:marRight w:val="0"/>
      <w:marTop w:val="0"/>
      <w:marBottom w:val="0"/>
      <w:divBdr>
        <w:top w:val="none" w:sz="0" w:space="0" w:color="auto"/>
        <w:left w:val="none" w:sz="0" w:space="0" w:color="auto"/>
        <w:bottom w:val="none" w:sz="0" w:space="0" w:color="auto"/>
        <w:right w:val="none" w:sz="0" w:space="0" w:color="auto"/>
      </w:divBdr>
    </w:div>
    <w:div w:id="406153610">
      <w:bodyDiv w:val="1"/>
      <w:marLeft w:val="0"/>
      <w:marRight w:val="0"/>
      <w:marTop w:val="0"/>
      <w:marBottom w:val="0"/>
      <w:divBdr>
        <w:top w:val="none" w:sz="0" w:space="0" w:color="auto"/>
        <w:left w:val="none" w:sz="0" w:space="0" w:color="auto"/>
        <w:bottom w:val="none" w:sz="0" w:space="0" w:color="auto"/>
        <w:right w:val="none" w:sz="0" w:space="0" w:color="auto"/>
      </w:divBdr>
    </w:div>
    <w:div w:id="417337758">
      <w:bodyDiv w:val="1"/>
      <w:marLeft w:val="0"/>
      <w:marRight w:val="0"/>
      <w:marTop w:val="0"/>
      <w:marBottom w:val="0"/>
      <w:divBdr>
        <w:top w:val="none" w:sz="0" w:space="0" w:color="auto"/>
        <w:left w:val="none" w:sz="0" w:space="0" w:color="auto"/>
        <w:bottom w:val="none" w:sz="0" w:space="0" w:color="auto"/>
        <w:right w:val="none" w:sz="0" w:space="0" w:color="auto"/>
      </w:divBdr>
    </w:div>
    <w:div w:id="464857702">
      <w:bodyDiv w:val="1"/>
      <w:marLeft w:val="0"/>
      <w:marRight w:val="0"/>
      <w:marTop w:val="0"/>
      <w:marBottom w:val="0"/>
      <w:divBdr>
        <w:top w:val="none" w:sz="0" w:space="0" w:color="auto"/>
        <w:left w:val="none" w:sz="0" w:space="0" w:color="auto"/>
        <w:bottom w:val="none" w:sz="0" w:space="0" w:color="auto"/>
        <w:right w:val="none" w:sz="0" w:space="0" w:color="auto"/>
      </w:divBdr>
    </w:div>
    <w:div w:id="516770493">
      <w:bodyDiv w:val="1"/>
      <w:marLeft w:val="0"/>
      <w:marRight w:val="0"/>
      <w:marTop w:val="0"/>
      <w:marBottom w:val="0"/>
      <w:divBdr>
        <w:top w:val="none" w:sz="0" w:space="0" w:color="auto"/>
        <w:left w:val="none" w:sz="0" w:space="0" w:color="auto"/>
        <w:bottom w:val="none" w:sz="0" w:space="0" w:color="auto"/>
        <w:right w:val="none" w:sz="0" w:space="0" w:color="auto"/>
      </w:divBdr>
    </w:div>
    <w:div w:id="526986229">
      <w:bodyDiv w:val="1"/>
      <w:marLeft w:val="0"/>
      <w:marRight w:val="0"/>
      <w:marTop w:val="0"/>
      <w:marBottom w:val="0"/>
      <w:divBdr>
        <w:top w:val="none" w:sz="0" w:space="0" w:color="auto"/>
        <w:left w:val="none" w:sz="0" w:space="0" w:color="auto"/>
        <w:bottom w:val="none" w:sz="0" w:space="0" w:color="auto"/>
        <w:right w:val="none" w:sz="0" w:space="0" w:color="auto"/>
      </w:divBdr>
    </w:div>
    <w:div w:id="578249573">
      <w:bodyDiv w:val="1"/>
      <w:marLeft w:val="0"/>
      <w:marRight w:val="0"/>
      <w:marTop w:val="0"/>
      <w:marBottom w:val="0"/>
      <w:divBdr>
        <w:top w:val="none" w:sz="0" w:space="0" w:color="auto"/>
        <w:left w:val="none" w:sz="0" w:space="0" w:color="auto"/>
        <w:bottom w:val="none" w:sz="0" w:space="0" w:color="auto"/>
        <w:right w:val="none" w:sz="0" w:space="0" w:color="auto"/>
      </w:divBdr>
    </w:div>
    <w:div w:id="580986613">
      <w:bodyDiv w:val="1"/>
      <w:marLeft w:val="0"/>
      <w:marRight w:val="0"/>
      <w:marTop w:val="0"/>
      <w:marBottom w:val="0"/>
      <w:divBdr>
        <w:top w:val="none" w:sz="0" w:space="0" w:color="auto"/>
        <w:left w:val="none" w:sz="0" w:space="0" w:color="auto"/>
        <w:bottom w:val="none" w:sz="0" w:space="0" w:color="auto"/>
        <w:right w:val="none" w:sz="0" w:space="0" w:color="auto"/>
      </w:divBdr>
    </w:div>
    <w:div w:id="602614393">
      <w:bodyDiv w:val="1"/>
      <w:marLeft w:val="0"/>
      <w:marRight w:val="0"/>
      <w:marTop w:val="0"/>
      <w:marBottom w:val="0"/>
      <w:divBdr>
        <w:top w:val="none" w:sz="0" w:space="0" w:color="auto"/>
        <w:left w:val="none" w:sz="0" w:space="0" w:color="auto"/>
        <w:bottom w:val="none" w:sz="0" w:space="0" w:color="auto"/>
        <w:right w:val="none" w:sz="0" w:space="0" w:color="auto"/>
      </w:divBdr>
    </w:div>
    <w:div w:id="635188052">
      <w:bodyDiv w:val="1"/>
      <w:marLeft w:val="0"/>
      <w:marRight w:val="0"/>
      <w:marTop w:val="0"/>
      <w:marBottom w:val="0"/>
      <w:divBdr>
        <w:top w:val="none" w:sz="0" w:space="0" w:color="auto"/>
        <w:left w:val="none" w:sz="0" w:space="0" w:color="auto"/>
        <w:bottom w:val="none" w:sz="0" w:space="0" w:color="auto"/>
        <w:right w:val="none" w:sz="0" w:space="0" w:color="auto"/>
      </w:divBdr>
    </w:div>
    <w:div w:id="640040206">
      <w:bodyDiv w:val="1"/>
      <w:marLeft w:val="0"/>
      <w:marRight w:val="0"/>
      <w:marTop w:val="0"/>
      <w:marBottom w:val="0"/>
      <w:divBdr>
        <w:top w:val="none" w:sz="0" w:space="0" w:color="auto"/>
        <w:left w:val="none" w:sz="0" w:space="0" w:color="auto"/>
        <w:bottom w:val="none" w:sz="0" w:space="0" w:color="auto"/>
        <w:right w:val="none" w:sz="0" w:space="0" w:color="auto"/>
      </w:divBdr>
    </w:div>
    <w:div w:id="646133580">
      <w:bodyDiv w:val="1"/>
      <w:marLeft w:val="0"/>
      <w:marRight w:val="0"/>
      <w:marTop w:val="0"/>
      <w:marBottom w:val="0"/>
      <w:divBdr>
        <w:top w:val="none" w:sz="0" w:space="0" w:color="auto"/>
        <w:left w:val="none" w:sz="0" w:space="0" w:color="auto"/>
        <w:bottom w:val="none" w:sz="0" w:space="0" w:color="auto"/>
        <w:right w:val="none" w:sz="0" w:space="0" w:color="auto"/>
      </w:divBdr>
    </w:div>
    <w:div w:id="646595808">
      <w:bodyDiv w:val="1"/>
      <w:marLeft w:val="0"/>
      <w:marRight w:val="0"/>
      <w:marTop w:val="0"/>
      <w:marBottom w:val="0"/>
      <w:divBdr>
        <w:top w:val="none" w:sz="0" w:space="0" w:color="auto"/>
        <w:left w:val="none" w:sz="0" w:space="0" w:color="auto"/>
        <w:bottom w:val="none" w:sz="0" w:space="0" w:color="auto"/>
        <w:right w:val="none" w:sz="0" w:space="0" w:color="auto"/>
      </w:divBdr>
    </w:div>
    <w:div w:id="678122364">
      <w:bodyDiv w:val="1"/>
      <w:marLeft w:val="0"/>
      <w:marRight w:val="0"/>
      <w:marTop w:val="0"/>
      <w:marBottom w:val="0"/>
      <w:divBdr>
        <w:top w:val="none" w:sz="0" w:space="0" w:color="auto"/>
        <w:left w:val="none" w:sz="0" w:space="0" w:color="auto"/>
        <w:bottom w:val="none" w:sz="0" w:space="0" w:color="auto"/>
        <w:right w:val="none" w:sz="0" w:space="0" w:color="auto"/>
      </w:divBdr>
    </w:div>
    <w:div w:id="683552282">
      <w:bodyDiv w:val="1"/>
      <w:marLeft w:val="0"/>
      <w:marRight w:val="0"/>
      <w:marTop w:val="0"/>
      <w:marBottom w:val="0"/>
      <w:divBdr>
        <w:top w:val="none" w:sz="0" w:space="0" w:color="auto"/>
        <w:left w:val="none" w:sz="0" w:space="0" w:color="auto"/>
        <w:bottom w:val="none" w:sz="0" w:space="0" w:color="auto"/>
        <w:right w:val="none" w:sz="0" w:space="0" w:color="auto"/>
      </w:divBdr>
    </w:div>
    <w:div w:id="694424086">
      <w:bodyDiv w:val="1"/>
      <w:marLeft w:val="0"/>
      <w:marRight w:val="0"/>
      <w:marTop w:val="0"/>
      <w:marBottom w:val="0"/>
      <w:divBdr>
        <w:top w:val="none" w:sz="0" w:space="0" w:color="auto"/>
        <w:left w:val="none" w:sz="0" w:space="0" w:color="auto"/>
        <w:bottom w:val="none" w:sz="0" w:space="0" w:color="auto"/>
        <w:right w:val="none" w:sz="0" w:space="0" w:color="auto"/>
      </w:divBdr>
    </w:div>
    <w:div w:id="698900187">
      <w:bodyDiv w:val="1"/>
      <w:marLeft w:val="0"/>
      <w:marRight w:val="0"/>
      <w:marTop w:val="0"/>
      <w:marBottom w:val="0"/>
      <w:divBdr>
        <w:top w:val="none" w:sz="0" w:space="0" w:color="auto"/>
        <w:left w:val="none" w:sz="0" w:space="0" w:color="auto"/>
        <w:bottom w:val="none" w:sz="0" w:space="0" w:color="auto"/>
        <w:right w:val="none" w:sz="0" w:space="0" w:color="auto"/>
      </w:divBdr>
    </w:div>
    <w:div w:id="701514352">
      <w:bodyDiv w:val="1"/>
      <w:marLeft w:val="0"/>
      <w:marRight w:val="0"/>
      <w:marTop w:val="0"/>
      <w:marBottom w:val="0"/>
      <w:divBdr>
        <w:top w:val="none" w:sz="0" w:space="0" w:color="auto"/>
        <w:left w:val="none" w:sz="0" w:space="0" w:color="auto"/>
        <w:bottom w:val="none" w:sz="0" w:space="0" w:color="auto"/>
        <w:right w:val="none" w:sz="0" w:space="0" w:color="auto"/>
      </w:divBdr>
    </w:div>
    <w:div w:id="846558281">
      <w:bodyDiv w:val="1"/>
      <w:marLeft w:val="0"/>
      <w:marRight w:val="0"/>
      <w:marTop w:val="0"/>
      <w:marBottom w:val="0"/>
      <w:divBdr>
        <w:top w:val="none" w:sz="0" w:space="0" w:color="auto"/>
        <w:left w:val="none" w:sz="0" w:space="0" w:color="auto"/>
        <w:bottom w:val="none" w:sz="0" w:space="0" w:color="auto"/>
        <w:right w:val="none" w:sz="0" w:space="0" w:color="auto"/>
      </w:divBdr>
    </w:div>
    <w:div w:id="867840580">
      <w:bodyDiv w:val="1"/>
      <w:marLeft w:val="0"/>
      <w:marRight w:val="0"/>
      <w:marTop w:val="0"/>
      <w:marBottom w:val="0"/>
      <w:divBdr>
        <w:top w:val="none" w:sz="0" w:space="0" w:color="auto"/>
        <w:left w:val="none" w:sz="0" w:space="0" w:color="auto"/>
        <w:bottom w:val="none" w:sz="0" w:space="0" w:color="auto"/>
        <w:right w:val="none" w:sz="0" w:space="0" w:color="auto"/>
      </w:divBdr>
    </w:div>
    <w:div w:id="894850049">
      <w:bodyDiv w:val="1"/>
      <w:marLeft w:val="0"/>
      <w:marRight w:val="0"/>
      <w:marTop w:val="0"/>
      <w:marBottom w:val="0"/>
      <w:divBdr>
        <w:top w:val="none" w:sz="0" w:space="0" w:color="auto"/>
        <w:left w:val="none" w:sz="0" w:space="0" w:color="auto"/>
        <w:bottom w:val="none" w:sz="0" w:space="0" w:color="auto"/>
        <w:right w:val="none" w:sz="0" w:space="0" w:color="auto"/>
      </w:divBdr>
    </w:div>
    <w:div w:id="895163543">
      <w:bodyDiv w:val="1"/>
      <w:marLeft w:val="0"/>
      <w:marRight w:val="0"/>
      <w:marTop w:val="0"/>
      <w:marBottom w:val="0"/>
      <w:divBdr>
        <w:top w:val="none" w:sz="0" w:space="0" w:color="auto"/>
        <w:left w:val="none" w:sz="0" w:space="0" w:color="auto"/>
        <w:bottom w:val="none" w:sz="0" w:space="0" w:color="auto"/>
        <w:right w:val="none" w:sz="0" w:space="0" w:color="auto"/>
      </w:divBdr>
    </w:div>
    <w:div w:id="924531046">
      <w:bodyDiv w:val="1"/>
      <w:marLeft w:val="0"/>
      <w:marRight w:val="0"/>
      <w:marTop w:val="0"/>
      <w:marBottom w:val="0"/>
      <w:divBdr>
        <w:top w:val="none" w:sz="0" w:space="0" w:color="auto"/>
        <w:left w:val="none" w:sz="0" w:space="0" w:color="auto"/>
        <w:bottom w:val="none" w:sz="0" w:space="0" w:color="auto"/>
        <w:right w:val="none" w:sz="0" w:space="0" w:color="auto"/>
      </w:divBdr>
    </w:div>
    <w:div w:id="927007255">
      <w:bodyDiv w:val="1"/>
      <w:marLeft w:val="0"/>
      <w:marRight w:val="0"/>
      <w:marTop w:val="0"/>
      <w:marBottom w:val="0"/>
      <w:divBdr>
        <w:top w:val="none" w:sz="0" w:space="0" w:color="auto"/>
        <w:left w:val="none" w:sz="0" w:space="0" w:color="auto"/>
        <w:bottom w:val="none" w:sz="0" w:space="0" w:color="auto"/>
        <w:right w:val="none" w:sz="0" w:space="0" w:color="auto"/>
      </w:divBdr>
    </w:div>
    <w:div w:id="975643163">
      <w:bodyDiv w:val="1"/>
      <w:marLeft w:val="0"/>
      <w:marRight w:val="0"/>
      <w:marTop w:val="0"/>
      <w:marBottom w:val="0"/>
      <w:divBdr>
        <w:top w:val="none" w:sz="0" w:space="0" w:color="auto"/>
        <w:left w:val="none" w:sz="0" w:space="0" w:color="auto"/>
        <w:bottom w:val="none" w:sz="0" w:space="0" w:color="auto"/>
        <w:right w:val="none" w:sz="0" w:space="0" w:color="auto"/>
      </w:divBdr>
    </w:div>
    <w:div w:id="977756874">
      <w:bodyDiv w:val="1"/>
      <w:marLeft w:val="0"/>
      <w:marRight w:val="0"/>
      <w:marTop w:val="0"/>
      <w:marBottom w:val="0"/>
      <w:divBdr>
        <w:top w:val="none" w:sz="0" w:space="0" w:color="auto"/>
        <w:left w:val="none" w:sz="0" w:space="0" w:color="auto"/>
        <w:bottom w:val="none" w:sz="0" w:space="0" w:color="auto"/>
        <w:right w:val="none" w:sz="0" w:space="0" w:color="auto"/>
      </w:divBdr>
    </w:div>
    <w:div w:id="1023045862">
      <w:bodyDiv w:val="1"/>
      <w:marLeft w:val="0"/>
      <w:marRight w:val="0"/>
      <w:marTop w:val="0"/>
      <w:marBottom w:val="0"/>
      <w:divBdr>
        <w:top w:val="none" w:sz="0" w:space="0" w:color="auto"/>
        <w:left w:val="none" w:sz="0" w:space="0" w:color="auto"/>
        <w:bottom w:val="none" w:sz="0" w:space="0" w:color="auto"/>
        <w:right w:val="none" w:sz="0" w:space="0" w:color="auto"/>
      </w:divBdr>
    </w:div>
    <w:div w:id="1038621600">
      <w:bodyDiv w:val="1"/>
      <w:marLeft w:val="0"/>
      <w:marRight w:val="0"/>
      <w:marTop w:val="0"/>
      <w:marBottom w:val="0"/>
      <w:divBdr>
        <w:top w:val="none" w:sz="0" w:space="0" w:color="auto"/>
        <w:left w:val="none" w:sz="0" w:space="0" w:color="auto"/>
        <w:bottom w:val="none" w:sz="0" w:space="0" w:color="auto"/>
        <w:right w:val="none" w:sz="0" w:space="0" w:color="auto"/>
      </w:divBdr>
    </w:div>
    <w:div w:id="1072318608">
      <w:bodyDiv w:val="1"/>
      <w:marLeft w:val="0"/>
      <w:marRight w:val="0"/>
      <w:marTop w:val="0"/>
      <w:marBottom w:val="0"/>
      <w:divBdr>
        <w:top w:val="none" w:sz="0" w:space="0" w:color="auto"/>
        <w:left w:val="none" w:sz="0" w:space="0" w:color="auto"/>
        <w:bottom w:val="none" w:sz="0" w:space="0" w:color="auto"/>
        <w:right w:val="none" w:sz="0" w:space="0" w:color="auto"/>
      </w:divBdr>
    </w:div>
    <w:div w:id="1076587640">
      <w:bodyDiv w:val="1"/>
      <w:marLeft w:val="0"/>
      <w:marRight w:val="0"/>
      <w:marTop w:val="0"/>
      <w:marBottom w:val="0"/>
      <w:divBdr>
        <w:top w:val="none" w:sz="0" w:space="0" w:color="auto"/>
        <w:left w:val="none" w:sz="0" w:space="0" w:color="auto"/>
        <w:bottom w:val="none" w:sz="0" w:space="0" w:color="auto"/>
        <w:right w:val="none" w:sz="0" w:space="0" w:color="auto"/>
      </w:divBdr>
    </w:div>
    <w:div w:id="1078750976">
      <w:bodyDiv w:val="1"/>
      <w:marLeft w:val="0"/>
      <w:marRight w:val="0"/>
      <w:marTop w:val="0"/>
      <w:marBottom w:val="0"/>
      <w:divBdr>
        <w:top w:val="none" w:sz="0" w:space="0" w:color="auto"/>
        <w:left w:val="none" w:sz="0" w:space="0" w:color="auto"/>
        <w:bottom w:val="none" w:sz="0" w:space="0" w:color="auto"/>
        <w:right w:val="none" w:sz="0" w:space="0" w:color="auto"/>
      </w:divBdr>
    </w:div>
    <w:div w:id="1097169753">
      <w:bodyDiv w:val="1"/>
      <w:marLeft w:val="0"/>
      <w:marRight w:val="0"/>
      <w:marTop w:val="0"/>
      <w:marBottom w:val="0"/>
      <w:divBdr>
        <w:top w:val="none" w:sz="0" w:space="0" w:color="auto"/>
        <w:left w:val="none" w:sz="0" w:space="0" w:color="auto"/>
        <w:bottom w:val="none" w:sz="0" w:space="0" w:color="auto"/>
        <w:right w:val="none" w:sz="0" w:space="0" w:color="auto"/>
      </w:divBdr>
    </w:div>
    <w:div w:id="1099909348">
      <w:bodyDiv w:val="1"/>
      <w:marLeft w:val="0"/>
      <w:marRight w:val="0"/>
      <w:marTop w:val="0"/>
      <w:marBottom w:val="0"/>
      <w:divBdr>
        <w:top w:val="none" w:sz="0" w:space="0" w:color="auto"/>
        <w:left w:val="none" w:sz="0" w:space="0" w:color="auto"/>
        <w:bottom w:val="none" w:sz="0" w:space="0" w:color="auto"/>
        <w:right w:val="none" w:sz="0" w:space="0" w:color="auto"/>
      </w:divBdr>
    </w:div>
    <w:div w:id="1131436466">
      <w:bodyDiv w:val="1"/>
      <w:marLeft w:val="0"/>
      <w:marRight w:val="0"/>
      <w:marTop w:val="0"/>
      <w:marBottom w:val="0"/>
      <w:divBdr>
        <w:top w:val="none" w:sz="0" w:space="0" w:color="auto"/>
        <w:left w:val="none" w:sz="0" w:space="0" w:color="auto"/>
        <w:bottom w:val="none" w:sz="0" w:space="0" w:color="auto"/>
        <w:right w:val="none" w:sz="0" w:space="0" w:color="auto"/>
      </w:divBdr>
    </w:div>
    <w:div w:id="1156799884">
      <w:bodyDiv w:val="1"/>
      <w:marLeft w:val="0"/>
      <w:marRight w:val="0"/>
      <w:marTop w:val="0"/>
      <w:marBottom w:val="0"/>
      <w:divBdr>
        <w:top w:val="none" w:sz="0" w:space="0" w:color="auto"/>
        <w:left w:val="none" w:sz="0" w:space="0" w:color="auto"/>
        <w:bottom w:val="none" w:sz="0" w:space="0" w:color="auto"/>
        <w:right w:val="none" w:sz="0" w:space="0" w:color="auto"/>
      </w:divBdr>
    </w:div>
    <w:div w:id="1164394669">
      <w:bodyDiv w:val="1"/>
      <w:marLeft w:val="0"/>
      <w:marRight w:val="0"/>
      <w:marTop w:val="0"/>
      <w:marBottom w:val="0"/>
      <w:divBdr>
        <w:top w:val="none" w:sz="0" w:space="0" w:color="auto"/>
        <w:left w:val="none" w:sz="0" w:space="0" w:color="auto"/>
        <w:bottom w:val="none" w:sz="0" w:space="0" w:color="auto"/>
        <w:right w:val="none" w:sz="0" w:space="0" w:color="auto"/>
      </w:divBdr>
    </w:div>
    <w:div w:id="1190027721">
      <w:bodyDiv w:val="1"/>
      <w:marLeft w:val="0"/>
      <w:marRight w:val="0"/>
      <w:marTop w:val="0"/>
      <w:marBottom w:val="0"/>
      <w:divBdr>
        <w:top w:val="none" w:sz="0" w:space="0" w:color="auto"/>
        <w:left w:val="none" w:sz="0" w:space="0" w:color="auto"/>
        <w:bottom w:val="none" w:sz="0" w:space="0" w:color="auto"/>
        <w:right w:val="none" w:sz="0" w:space="0" w:color="auto"/>
      </w:divBdr>
    </w:div>
    <w:div w:id="1206261215">
      <w:bodyDiv w:val="1"/>
      <w:marLeft w:val="0"/>
      <w:marRight w:val="0"/>
      <w:marTop w:val="0"/>
      <w:marBottom w:val="0"/>
      <w:divBdr>
        <w:top w:val="none" w:sz="0" w:space="0" w:color="auto"/>
        <w:left w:val="none" w:sz="0" w:space="0" w:color="auto"/>
        <w:bottom w:val="none" w:sz="0" w:space="0" w:color="auto"/>
        <w:right w:val="none" w:sz="0" w:space="0" w:color="auto"/>
      </w:divBdr>
    </w:div>
    <w:div w:id="1217397864">
      <w:bodyDiv w:val="1"/>
      <w:marLeft w:val="0"/>
      <w:marRight w:val="0"/>
      <w:marTop w:val="0"/>
      <w:marBottom w:val="0"/>
      <w:divBdr>
        <w:top w:val="none" w:sz="0" w:space="0" w:color="auto"/>
        <w:left w:val="none" w:sz="0" w:space="0" w:color="auto"/>
        <w:bottom w:val="none" w:sz="0" w:space="0" w:color="auto"/>
        <w:right w:val="none" w:sz="0" w:space="0" w:color="auto"/>
      </w:divBdr>
    </w:div>
    <w:div w:id="1224021465">
      <w:bodyDiv w:val="1"/>
      <w:marLeft w:val="0"/>
      <w:marRight w:val="0"/>
      <w:marTop w:val="0"/>
      <w:marBottom w:val="0"/>
      <w:divBdr>
        <w:top w:val="none" w:sz="0" w:space="0" w:color="auto"/>
        <w:left w:val="none" w:sz="0" w:space="0" w:color="auto"/>
        <w:bottom w:val="none" w:sz="0" w:space="0" w:color="auto"/>
        <w:right w:val="none" w:sz="0" w:space="0" w:color="auto"/>
      </w:divBdr>
    </w:div>
    <w:div w:id="1224637842">
      <w:bodyDiv w:val="1"/>
      <w:marLeft w:val="0"/>
      <w:marRight w:val="0"/>
      <w:marTop w:val="0"/>
      <w:marBottom w:val="0"/>
      <w:divBdr>
        <w:top w:val="none" w:sz="0" w:space="0" w:color="auto"/>
        <w:left w:val="none" w:sz="0" w:space="0" w:color="auto"/>
        <w:bottom w:val="none" w:sz="0" w:space="0" w:color="auto"/>
        <w:right w:val="none" w:sz="0" w:space="0" w:color="auto"/>
      </w:divBdr>
    </w:div>
    <w:div w:id="1225292622">
      <w:bodyDiv w:val="1"/>
      <w:marLeft w:val="0"/>
      <w:marRight w:val="0"/>
      <w:marTop w:val="0"/>
      <w:marBottom w:val="0"/>
      <w:divBdr>
        <w:top w:val="none" w:sz="0" w:space="0" w:color="auto"/>
        <w:left w:val="none" w:sz="0" w:space="0" w:color="auto"/>
        <w:bottom w:val="none" w:sz="0" w:space="0" w:color="auto"/>
        <w:right w:val="none" w:sz="0" w:space="0" w:color="auto"/>
      </w:divBdr>
    </w:div>
    <w:div w:id="1232275319">
      <w:bodyDiv w:val="1"/>
      <w:marLeft w:val="0"/>
      <w:marRight w:val="0"/>
      <w:marTop w:val="0"/>
      <w:marBottom w:val="0"/>
      <w:divBdr>
        <w:top w:val="none" w:sz="0" w:space="0" w:color="auto"/>
        <w:left w:val="none" w:sz="0" w:space="0" w:color="auto"/>
        <w:bottom w:val="none" w:sz="0" w:space="0" w:color="auto"/>
        <w:right w:val="none" w:sz="0" w:space="0" w:color="auto"/>
      </w:divBdr>
    </w:div>
    <w:div w:id="1237517824">
      <w:bodyDiv w:val="1"/>
      <w:marLeft w:val="0"/>
      <w:marRight w:val="0"/>
      <w:marTop w:val="0"/>
      <w:marBottom w:val="0"/>
      <w:divBdr>
        <w:top w:val="none" w:sz="0" w:space="0" w:color="auto"/>
        <w:left w:val="none" w:sz="0" w:space="0" w:color="auto"/>
        <w:bottom w:val="none" w:sz="0" w:space="0" w:color="auto"/>
        <w:right w:val="none" w:sz="0" w:space="0" w:color="auto"/>
      </w:divBdr>
    </w:div>
    <w:div w:id="1251280759">
      <w:bodyDiv w:val="1"/>
      <w:marLeft w:val="0"/>
      <w:marRight w:val="0"/>
      <w:marTop w:val="0"/>
      <w:marBottom w:val="0"/>
      <w:divBdr>
        <w:top w:val="none" w:sz="0" w:space="0" w:color="auto"/>
        <w:left w:val="none" w:sz="0" w:space="0" w:color="auto"/>
        <w:bottom w:val="none" w:sz="0" w:space="0" w:color="auto"/>
        <w:right w:val="none" w:sz="0" w:space="0" w:color="auto"/>
      </w:divBdr>
    </w:div>
    <w:div w:id="1266888013">
      <w:bodyDiv w:val="1"/>
      <w:marLeft w:val="0"/>
      <w:marRight w:val="0"/>
      <w:marTop w:val="0"/>
      <w:marBottom w:val="0"/>
      <w:divBdr>
        <w:top w:val="none" w:sz="0" w:space="0" w:color="auto"/>
        <w:left w:val="none" w:sz="0" w:space="0" w:color="auto"/>
        <w:bottom w:val="none" w:sz="0" w:space="0" w:color="auto"/>
        <w:right w:val="none" w:sz="0" w:space="0" w:color="auto"/>
      </w:divBdr>
    </w:div>
    <w:div w:id="1289775973">
      <w:bodyDiv w:val="1"/>
      <w:marLeft w:val="0"/>
      <w:marRight w:val="0"/>
      <w:marTop w:val="0"/>
      <w:marBottom w:val="0"/>
      <w:divBdr>
        <w:top w:val="none" w:sz="0" w:space="0" w:color="auto"/>
        <w:left w:val="none" w:sz="0" w:space="0" w:color="auto"/>
        <w:bottom w:val="none" w:sz="0" w:space="0" w:color="auto"/>
        <w:right w:val="none" w:sz="0" w:space="0" w:color="auto"/>
      </w:divBdr>
    </w:div>
    <w:div w:id="1300646195">
      <w:bodyDiv w:val="1"/>
      <w:marLeft w:val="0"/>
      <w:marRight w:val="0"/>
      <w:marTop w:val="0"/>
      <w:marBottom w:val="0"/>
      <w:divBdr>
        <w:top w:val="none" w:sz="0" w:space="0" w:color="auto"/>
        <w:left w:val="none" w:sz="0" w:space="0" w:color="auto"/>
        <w:bottom w:val="none" w:sz="0" w:space="0" w:color="auto"/>
        <w:right w:val="none" w:sz="0" w:space="0" w:color="auto"/>
      </w:divBdr>
    </w:div>
    <w:div w:id="1302879596">
      <w:bodyDiv w:val="1"/>
      <w:marLeft w:val="0"/>
      <w:marRight w:val="0"/>
      <w:marTop w:val="0"/>
      <w:marBottom w:val="0"/>
      <w:divBdr>
        <w:top w:val="none" w:sz="0" w:space="0" w:color="auto"/>
        <w:left w:val="none" w:sz="0" w:space="0" w:color="auto"/>
        <w:bottom w:val="none" w:sz="0" w:space="0" w:color="auto"/>
        <w:right w:val="none" w:sz="0" w:space="0" w:color="auto"/>
      </w:divBdr>
    </w:div>
    <w:div w:id="1349678387">
      <w:bodyDiv w:val="1"/>
      <w:marLeft w:val="0"/>
      <w:marRight w:val="0"/>
      <w:marTop w:val="0"/>
      <w:marBottom w:val="0"/>
      <w:divBdr>
        <w:top w:val="none" w:sz="0" w:space="0" w:color="auto"/>
        <w:left w:val="none" w:sz="0" w:space="0" w:color="auto"/>
        <w:bottom w:val="none" w:sz="0" w:space="0" w:color="auto"/>
        <w:right w:val="none" w:sz="0" w:space="0" w:color="auto"/>
      </w:divBdr>
    </w:div>
    <w:div w:id="1368336069">
      <w:bodyDiv w:val="1"/>
      <w:marLeft w:val="0"/>
      <w:marRight w:val="0"/>
      <w:marTop w:val="0"/>
      <w:marBottom w:val="0"/>
      <w:divBdr>
        <w:top w:val="none" w:sz="0" w:space="0" w:color="auto"/>
        <w:left w:val="none" w:sz="0" w:space="0" w:color="auto"/>
        <w:bottom w:val="none" w:sz="0" w:space="0" w:color="auto"/>
        <w:right w:val="none" w:sz="0" w:space="0" w:color="auto"/>
      </w:divBdr>
    </w:div>
    <w:div w:id="1400783258">
      <w:bodyDiv w:val="1"/>
      <w:marLeft w:val="0"/>
      <w:marRight w:val="0"/>
      <w:marTop w:val="0"/>
      <w:marBottom w:val="0"/>
      <w:divBdr>
        <w:top w:val="none" w:sz="0" w:space="0" w:color="auto"/>
        <w:left w:val="none" w:sz="0" w:space="0" w:color="auto"/>
        <w:bottom w:val="none" w:sz="0" w:space="0" w:color="auto"/>
        <w:right w:val="none" w:sz="0" w:space="0" w:color="auto"/>
      </w:divBdr>
    </w:div>
    <w:div w:id="1404184183">
      <w:bodyDiv w:val="1"/>
      <w:marLeft w:val="0"/>
      <w:marRight w:val="0"/>
      <w:marTop w:val="0"/>
      <w:marBottom w:val="0"/>
      <w:divBdr>
        <w:top w:val="none" w:sz="0" w:space="0" w:color="auto"/>
        <w:left w:val="none" w:sz="0" w:space="0" w:color="auto"/>
        <w:bottom w:val="none" w:sz="0" w:space="0" w:color="auto"/>
        <w:right w:val="none" w:sz="0" w:space="0" w:color="auto"/>
      </w:divBdr>
    </w:div>
    <w:div w:id="1425803622">
      <w:bodyDiv w:val="1"/>
      <w:marLeft w:val="0"/>
      <w:marRight w:val="0"/>
      <w:marTop w:val="0"/>
      <w:marBottom w:val="0"/>
      <w:divBdr>
        <w:top w:val="none" w:sz="0" w:space="0" w:color="auto"/>
        <w:left w:val="none" w:sz="0" w:space="0" w:color="auto"/>
        <w:bottom w:val="none" w:sz="0" w:space="0" w:color="auto"/>
        <w:right w:val="none" w:sz="0" w:space="0" w:color="auto"/>
      </w:divBdr>
    </w:div>
    <w:div w:id="1437826031">
      <w:bodyDiv w:val="1"/>
      <w:marLeft w:val="0"/>
      <w:marRight w:val="0"/>
      <w:marTop w:val="0"/>
      <w:marBottom w:val="0"/>
      <w:divBdr>
        <w:top w:val="none" w:sz="0" w:space="0" w:color="auto"/>
        <w:left w:val="none" w:sz="0" w:space="0" w:color="auto"/>
        <w:bottom w:val="none" w:sz="0" w:space="0" w:color="auto"/>
        <w:right w:val="none" w:sz="0" w:space="0" w:color="auto"/>
      </w:divBdr>
    </w:div>
    <w:div w:id="1454590622">
      <w:bodyDiv w:val="1"/>
      <w:marLeft w:val="0"/>
      <w:marRight w:val="0"/>
      <w:marTop w:val="0"/>
      <w:marBottom w:val="0"/>
      <w:divBdr>
        <w:top w:val="none" w:sz="0" w:space="0" w:color="auto"/>
        <w:left w:val="none" w:sz="0" w:space="0" w:color="auto"/>
        <w:bottom w:val="none" w:sz="0" w:space="0" w:color="auto"/>
        <w:right w:val="none" w:sz="0" w:space="0" w:color="auto"/>
      </w:divBdr>
    </w:div>
    <w:div w:id="1604412360">
      <w:bodyDiv w:val="1"/>
      <w:marLeft w:val="0"/>
      <w:marRight w:val="0"/>
      <w:marTop w:val="0"/>
      <w:marBottom w:val="0"/>
      <w:divBdr>
        <w:top w:val="none" w:sz="0" w:space="0" w:color="auto"/>
        <w:left w:val="none" w:sz="0" w:space="0" w:color="auto"/>
        <w:bottom w:val="none" w:sz="0" w:space="0" w:color="auto"/>
        <w:right w:val="none" w:sz="0" w:space="0" w:color="auto"/>
      </w:divBdr>
    </w:div>
    <w:div w:id="1620532472">
      <w:bodyDiv w:val="1"/>
      <w:marLeft w:val="0"/>
      <w:marRight w:val="0"/>
      <w:marTop w:val="0"/>
      <w:marBottom w:val="0"/>
      <w:divBdr>
        <w:top w:val="none" w:sz="0" w:space="0" w:color="auto"/>
        <w:left w:val="none" w:sz="0" w:space="0" w:color="auto"/>
        <w:bottom w:val="none" w:sz="0" w:space="0" w:color="auto"/>
        <w:right w:val="none" w:sz="0" w:space="0" w:color="auto"/>
      </w:divBdr>
    </w:div>
    <w:div w:id="1624844441">
      <w:bodyDiv w:val="1"/>
      <w:marLeft w:val="0"/>
      <w:marRight w:val="0"/>
      <w:marTop w:val="0"/>
      <w:marBottom w:val="0"/>
      <w:divBdr>
        <w:top w:val="none" w:sz="0" w:space="0" w:color="auto"/>
        <w:left w:val="none" w:sz="0" w:space="0" w:color="auto"/>
        <w:bottom w:val="none" w:sz="0" w:space="0" w:color="auto"/>
        <w:right w:val="none" w:sz="0" w:space="0" w:color="auto"/>
      </w:divBdr>
    </w:div>
    <w:div w:id="1625844760">
      <w:bodyDiv w:val="1"/>
      <w:marLeft w:val="0"/>
      <w:marRight w:val="0"/>
      <w:marTop w:val="0"/>
      <w:marBottom w:val="0"/>
      <w:divBdr>
        <w:top w:val="none" w:sz="0" w:space="0" w:color="auto"/>
        <w:left w:val="none" w:sz="0" w:space="0" w:color="auto"/>
        <w:bottom w:val="none" w:sz="0" w:space="0" w:color="auto"/>
        <w:right w:val="none" w:sz="0" w:space="0" w:color="auto"/>
      </w:divBdr>
    </w:div>
    <w:div w:id="1632588665">
      <w:bodyDiv w:val="1"/>
      <w:marLeft w:val="0"/>
      <w:marRight w:val="0"/>
      <w:marTop w:val="0"/>
      <w:marBottom w:val="0"/>
      <w:divBdr>
        <w:top w:val="none" w:sz="0" w:space="0" w:color="auto"/>
        <w:left w:val="none" w:sz="0" w:space="0" w:color="auto"/>
        <w:bottom w:val="none" w:sz="0" w:space="0" w:color="auto"/>
        <w:right w:val="none" w:sz="0" w:space="0" w:color="auto"/>
      </w:divBdr>
    </w:div>
    <w:div w:id="1640762496">
      <w:bodyDiv w:val="1"/>
      <w:marLeft w:val="0"/>
      <w:marRight w:val="0"/>
      <w:marTop w:val="0"/>
      <w:marBottom w:val="0"/>
      <w:divBdr>
        <w:top w:val="none" w:sz="0" w:space="0" w:color="auto"/>
        <w:left w:val="none" w:sz="0" w:space="0" w:color="auto"/>
        <w:bottom w:val="none" w:sz="0" w:space="0" w:color="auto"/>
        <w:right w:val="none" w:sz="0" w:space="0" w:color="auto"/>
      </w:divBdr>
    </w:div>
    <w:div w:id="1689674918">
      <w:bodyDiv w:val="1"/>
      <w:marLeft w:val="0"/>
      <w:marRight w:val="0"/>
      <w:marTop w:val="0"/>
      <w:marBottom w:val="0"/>
      <w:divBdr>
        <w:top w:val="none" w:sz="0" w:space="0" w:color="auto"/>
        <w:left w:val="none" w:sz="0" w:space="0" w:color="auto"/>
        <w:bottom w:val="none" w:sz="0" w:space="0" w:color="auto"/>
        <w:right w:val="none" w:sz="0" w:space="0" w:color="auto"/>
      </w:divBdr>
    </w:div>
    <w:div w:id="1690528251">
      <w:bodyDiv w:val="1"/>
      <w:marLeft w:val="0"/>
      <w:marRight w:val="0"/>
      <w:marTop w:val="0"/>
      <w:marBottom w:val="0"/>
      <w:divBdr>
        <w:top w:val="none" w:sz="0" w:space="0" w:color="auto"/>
        <w:left w:val="none" w:sz="0" w:space="0" w:color="auto"/>
        <w:bottom w:val="none" w:sz="0" w:space="0" w:color="auto"/>
        <w:right w:val="none" w:sz="0" w:space="0" w:color="auto"/>
      </w:divBdr>
    </w:div>
    <w:div w:id="1697150969">
      <w:bodyDiv w:val="1"/>
      <w:marLeft w:val="0"/>
      <w:marRight w:val="0"/>
      <w:marTop w:val="0"/>
      <w:marBottom w:val="0"/>
      <w:divBdr>
        <w:top w:val="none" w:sz="0" w:space="0" w:color="auto"/>
        <w:left w:val="none" w:sz="0" w:space="0" w:color="auto"/>
        <w:bottom w:val="none" w:sz="0" w:space="0" w:color="auto"/>
        <w:right w:val="none" w:sz="0" w:space="0" w:color="auto"/>
      </w:divBdr>
    </w:div>
    <w:div w:id="1725058365">
      <w:bodyDiv w:val="1"/>
      <w:marLeft w:val="0"/>
      <w:marRight w:val="0"/>
      <w:marTop w:val="0"/>
      <w:marBottom w:val="0"/>
      <w:divBdr>
        <w:top w:val="none" w:sz="0" w:space="0" w:color="auto"/>
        <w:left w:val="none" w:sz="0" w:space="0" w:color="auto"/>
        <w:bottom w:val="none" w:sz="0" w:space="0" w:color="auto"/>
        <w:right w:val="none" w:sz="0" w:space="0" w:color="auto"/>
      </w:divBdr>
    </w:div>
    <w:div w:id="1752701505">
      <w:bodyDiv w:val="1"/>
      <w:marLeft w:val="0"/>
      <w:marRight w:val="0"/>
      <w:marTop w:val="0"/>
      <w:marBottom w:val="0"/>
      <w:divBdr>
        <w:top w:val="none" w:sz="0" w:space="0" w:color="auto"/>
        <w:left w:val="none" w:sz="0" w:space="0" w:color="auto"/>
        <w:bottom w:val="none" w:sz="0" w:space="0" w:color="auto"/>
        <w:right w:val="none" w:sz="0" w:space="0" w:color="auto"/>
      </w:divBdr>
    </w:div>
    <w:div w:id="1816529128">
      <w:bodyDiv w:val="1"/>
      <w:marLeft w:val="0"/>
      <w:marRight w:val="0"/>
      <w:marTop w:val="0"/>
      <w:marBottom w:val="0"/>
      <w:divBdr>
        <w:top w:val="none" w:sz="0" w:space="0" w:color="auto"/>
        <w:left w:val="none" w:sz="0" w:space="0" w:color="auto"/>
        <w:bottom w:val="none" w:sz="0" w:space="0" w:color="auto"/>
        <w:right w:val="none" w:sz="0" w:space="0" w:color="auto"/>
      </w:divBdr>
    </w:div>
    <w:div w:id="1830056342">
      <w:bodyDiv w:val="1"/>
      <w:marLeft w:val="0"/>
      <w:marRight w:val="0"/>
      <w:marTop w:val="0"/>
      <w:marBottom w:val="0"/>
      <w:divBdr>
        <w:top w:val="none" w:sz="0" w:space="0" w:color="auto"/>
        <w:left w:val="none" w:sz="0" w:space="0" w:color="auto"/>
        <w:bottom w:val="none" w:sz="0" w:space="0" w:color="auto"/>
        <w:right w:val="none" w:sz="0" w:space="0" w:color="auto"/>
      </w:divBdr>
    </w:div>
    <w:div w:id="1831868241">
      <w:bodyDiv w:val="1"/>
      <w:marLeft w:val="0"/>
      <w:marRight w:val="0"/>
      <w:marTop w:val="0"/>
      <w:marBottom w:val="0"/>
      <w:divBdr>
        <w:top w:val="none" w:sz="0" w:space="0" w:color="auto"/>
        <w:left w:val="none" w:sz="0" w:space="0" w:color="auto"/>
        <w:bottom w:val="none" w:sz="0" w:space="0" w:color="auto"/>
        <w:right w:val="none" w:sz="0" w:space="0" w:color="auto"/>
      </w:divBdr>
    </w:div>
    <w:div w:id="1850172002">
      <w:bodyDiv w:val="1"/>
      <w:marLeft w:val="0"/>
      <w:marRight w:val="0"/>
      <w:marTop w:val="0"/>
      <w:marBottom w:val="0"/>
      <w:divBdr>
        <w:top w:val="none" w:sz="0" w:space="0" w:color="auto"/>
        <w:left w:val="none" w:sz="0" w:space="0" w:color="auto"/>
        <w:bottom w:val="none" w:sz="0" w:space="0" w:color="auto"/>
        <w:right w:val="none" w:sz="0" w:space="0" w:color="auto"/>
      </w:divBdr>
    </w:div>
    <w:div w:id="1930112024">
      <w:bodyDiv w:val="1"/>
      <w:marLeft w:val="0"/>
      <w:marRight w:val="0"/>
      <w:marTop w:val="0"/>
      <w:marBottom w:val="0"/>
      <w:divBdr>
        <w:top w:val="none" w:sz="0" w:space="0" w:color="auto"/>
        <w:left w:val="none" w:sz="0" w:space="0" w:color="auto"/>
        <w:bottom w:val="none" w:sz="0" w:space="0" w:color="auto"/>
        <w:right w:val="none" w:sz="0" w:space="0" w:color="auto"/>
      </w:divBdr>
    </w:div>
    <w:div w:id="1987732986">
      <w:bodyDiv w:val="1"/>
      <w:marLeft w:val="0"/>
      <w:marRight w:val="0"/>
      <w:marTop w:val="0"/>
      <w:marBottom w:val="0"/>
      <w:divBdr>
        <w:top w:val="none" w:sz="0" w:space="0" w:color="auto"/>
        <w:left w:val="none" w:sz="0" w:space="0" w:color="auto"/>
        <w:bottom w:val="none" w:sz="0" w:space="0" w:color="auto"/>
        <w:right w:val="none" w:sz="0" w:space="0" w:color="auto"/>
      </w:divBdr>
    </w:div>
    <w:div w:id="2010597175">
      <w:bodyDiv w:val="1"/>
      <w:marLeft w:val="0"/>
      <w:marRight w:val="0"/>
      <w:marTop w:val="0"/>
      <w:marBottom w:val="0"/>
      <w:divBdr>
        <w:top w:val="none" w:sz="0" w:space="0" w:color="auto"/>
        <w:left w:val="none" w:sz="0" w:space="0" w:color="auto"/>
        <w:bottom w:val="none" w:sz="0" w:space="0" w:color="auto"/>
        <w:right w:val="none" w:sz="0" w:space="0" w:color="auto"/>
      </w:divBdr>
    </w:div>
    <w:div w:id="2016030145">
      <w:bodyDiv w:val="1"/>
      <w:marLeft w:val="0"/>
      <w:marRight w:val="0"/>
      <w:marTop w:val="0"/>
      <w:marBottom w:val="0"/>
      <w:divBdr>
        <w:top w:val="none" w:sz="0" w:space="0" w:color="auto"/>
        <w:left w:val="none" w:sz="0" w:space="0" w:color="auto"/>
        <w:bottom w:val="none" w:sz="0" w:space="0" w:color="auto"/>
        <w:right w:val="none" w:sz="0" w:space="0" w:color="auto"/>
      </w:divBdr>
    </w:div>
    <w:div w:id="2075348884">
      <w:bodyDiv w:val="1"/>
      <w:marLeft w:val="0"/>
      <w:marRight w:val="0"/>
      <w:marTop w:val="0"/>
      <w:marBottom w:val="0"/>
      <w:divBdr>
        <w:top w:val="none" w:sz="0" w:space="0" w:color="auto"/>
        <w:left w:val="none" w:sz="0" w:space="0" w:color="auto"/>
        <w:bottom w:val="none" w:sz="0" w:space="0" w:color="auto"/>
        <w:right w:val="none" w:sz="0" w:space="0" w:color="auto"/>
      </w:divBdr>
    </w:div>
    <w:div w:id="2088335619">
      <w:bodyDiv w:val="1"/>
      <w:marLeft w:val="0"/>
      <w:marRight w:val="0"/>
      <w:marTop w:val="0"/>
      <w:marBottom w:val="0"/>
      <w:divBdr>
        <w:top w:val="none" w:sz="0" w:space="0" w:color="auto"/>
        <w:left w:val="none" w:sz="0" w:space="0" w:color="auto"/>
        <w:bottom w:val="none" w:sz="0" w:space="0" w:color="auto"/>
        <w:right w:val="none" w:sz="0" w:space="0" w:color="auto"/>
      </w:divBdr>
    </w:div>
    <w:div w:id="2135294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Off26</b:Tag>
    <b:SourceType>InternetSite</b:SourceType>
    <b:Guid>{A908E552-614D-4C3D-86B2-812EFF06367F}</b:Guid>
    <b:Title>Retail sales, Great Britain: February 2026</b:Title>
    <b:Year>2026</b:Year>
    <b:YearAccessed>2026</b:YearAccessed>
    <b:MonthAccessed>August</b:MonthAccessed>
    <b:DayAccessed>09</b:DayAccessed>
    <b:URL>https://www.ons.gov.uk/businessindustryandtrade/retailindustry/bulletins/retailsales/february2026</b:URL>
    <b:Author>
      <b:Author>
        <b:Corporate>Office for National Statistics</b:Corporate>
      </b:Author>
    </b:Author>
    <b:InternetSiteTitle>Office for National Statistics</b:InternetSiteTitle>
    <b:Month>March</b:Month>
    <b:Day>27</b:Day>
    <b:RefOrder>1</b:RefOrder>
  </b:Source>
  <b:Source>
    <b:Tag>Off261</b:Tag>
    <b:SourceType>InternetSite</b:SourceType>
    <b:Guid>{0DA18998-06C7-4298-9C5B-E5D69B1F9130}</b:Guid>
    <b:Author>
      <b:Author>
        <b:Corporate>Office for National Statistics</b:Corporate>
      </b:Author>
    </b:Author>
    <b:Title>Internet sales as a percentage of total retail sales (ratio) (%)</b:Title>
    <b:Year>2026</b:Year>
    <b:Month>July</b:Month>
    <b:Day>24</b:Day>
    <b:YearAccessed>2026</b:YearAccessed>
    <b:MonthAccessed>August</b:MonthAccessed>
    <b:DayAccessed>09</b:DayAccessed>
    <b:URL>https://www.ons.gov.uk/businessindustryandtrade/retailindustry/timeseries/j4mc</b:URL>
    <b:InternetSiteTitle>Office for National Statistics</b:InternetSiteTitle>
    <b:RefOrder>2</b:RefOrder>
  </b:Source>
  <b:Source>
    <b:Tag>Sar24</b:Tag>
    <b:SourceType>JournalArticle</b:SourceType>
    <b:Guid>{678094D8-847C-4860-9F67-2999D1A36239}</b:Guid>
    <b:Title>Organizational decision making and analytics: An experimental study on dashboard visualizations</b:Title>
    <b:Year>2024</b:Year>
    <b:URL>https://www.sciencedirect.com/science/article/pii/S0378720624000934</b:URL>
    <b:JournalName>Information &amp; Management</b:JournalName>
    <b:Volume>61</b:Volume>
    <b:Issue>6</b:Issue>
    <b:Author>
      <b:Author>
        <b:NameList>
          <b:Person>
            <b:Last>Hjelle</b:Last>
            <b:First>Sara</b:First>
          </b:Person>
          <b:Person>
            <b:Last>Mikalef</b:Last>
            <b:First>Patrick</b:First>
          </b:Person>
          <b:Person>
            <b:Last>Altwaijry</b:Last>
            <b:First>Najwa</b:First>
          </b:Person>
          <b:Person>
            <b:Last>Parida</b:Last>
            <b:First>Vinit</b:First>
          </b:Person>
        </b:NameList>
      </b:Author>
    </b:Author>
    <b:DOI>10.1016/j.im.2024.104011</b:DOI>
    <b:RefOrder>3</b:RefOrder>
  </b:Source>
  <b:Source>
    <b:Tag>Phi21</b:Tag>
    <b:SourceType>JournalArticle</b:SourceType>
    <b:Guid>{C497CA8D-244E-46EB-8680-5877900B4BDC}</b:Guid>
    <b:Title>Reconciling business intelligence, analytics and decision support systems: More data, deeper insight</b:Title>
    <b:JournalName>Decision Support Systems</b:JournalName>
    <b:Year>2021</b:Year>
    <b:Volume>146</b:Volume>
    <b:Author>
      <b:Author>
        <b:NameList>
          <b:Person>
            <b:Last>Phillips-Wren</b:Last>
            <b:First>Gloria</b:First>
          </b:Person>
          <b:Person>
            <b:Last>Daly</b:Last>
            <b:First>Mary</b:First>
          </b:Person>
          <b:Person>
            <b:Last>Burstein</b:Last>
            <b:First>Frada</b:First>
          </b:Person>
        </b:NameList>
      </b:Author>
    </b:Author>
    <b:DOI>10.1016/j.dss.2021.113560</b:DOI>
    <b:URL>https://www.sciencedirect.com/science/article/abs/pii/S0167923621000701?via%3Dihub</b:URL>
    <b:RefOrder>4</b:RefOrder>
  </b:Source>
  <b:Source>
    <b:Tag>htt16</b:Tag>
    <b:SourceType>JournalArticle</b:SourceType>
    <b:Guid>{A59CD78B-93DC-4EC2-B763-39FB7760735D}</b:Guid>
    <b:Title>Big data analytics in e-commerce: a systematic review and agenda for future research</b:Title>
    <b:JournalName>Electronic Markets</b:JournalName>
    <b:Year>2016</b:Year>
    <b:Pages>173-194</b:Pages>
    <b:Volume>26</b:Volume>
    <b:Issue>2</b:Issue>
    <b:URL>https://link.springer.com/article/10.1007/s12525-016-0219-0</b:URL>
    <b:DOI>10.1007/s12525-016-0219-0</b:DOI>
    <b:Author>
      <b:Author>
        <b:NameList>
          <b:Person>
            <b:Last>Akter</b:Last>
            <b:First>Shahriar</b:First>
          </b:Person>
          <b:Person>
            <b:Last>Wamba</b:Last>
            <b:First>Samuel</b:First>
            <b:Middle>Fosso</b:Middle>
          </b:Person>
        </b:NameList>
      </b:Author>
    </b:Author>
    <b:RefOrder>5</b:RefOrder>
  </b:Source>
  <b:Source>
    <b:Tag>Joh16</b:Tag>
    <b:SourceType>JournalArticle</b:SourceType>
    <b:Guid>{88F0D361-64C4-4FFB-B79E-4008ADACE9DC}</b:Guid>
    <b:Title>FEDS: a Framework for Evaluation in Design Science Research</b:Title>
    <b:JournalName>European Journal of Information Systems</b:JournalName>
    <b:Year>2016</b:Year>
    <b:Pages>77-89</b:Pages>
    <b:Volume>25</b:Volume>
    <b:Issue>1</b:Issue>
    <b:URL>https://link.springer.com/article/10.1057/ejis.2014.36</b:URL>
    <b:DOI>10.1057/ejis.2014.36</b:DOI>
    <b:Author>
      <b:Author>
        <b:NameList>
          <b:Person>
            <b:Last>Venable</b:Last>
            <b:First>John</b:First>
          </b:Person>
          <b:Person>
            <b:Last>Pries-Heje</b:Last>
            <b:First>Jan</b:First>
          </b:Person>
          <b:Person>
            <b:Last>Baskerville</b:Last>
            <b:First>Richard</b:First>
          </b:Person>
        </b:NameList>
      </b:Author>
    </b:Author>
    <b:RefOrder>6</b:RefOrder>
  </b:Source>
  <b:Source>
    <b:Tag>Dan02</b:Tag>
    <b:SourceType>Book</b:SourceType>
    <b:Guid>{193BBD2F-C241-4B1A-B661-15411D6A2EBA}</b:Guid>
    <b:Title>Decision Support Systems: Concepts and Resources for Managers</b:Title>
    <b:Year>2002</b:Year>
    <b:City>Westport, CT</b:City>
    <b:Publisher>Quorum Books</b:Publisher>
    <b:URL>https://scholarworks.uni.edu/cgi/viewcontent.cgi?article=1066&amp;context=facbook</b:URL>
    <b:Author>
      <b:Author>
        <b:NameList>
          <b:Person>
            <b:Last>Power</b:Last>
            <b:First>Daniel</b:First>
            <b:Middle>J.</b:Middle>
          </b:Person>
        </b:NameList>
      </b:Author>
    </b:Author>
    <b:RefOrder>7</b:RefOrder>
  </b:Source>
  <b:Source>
    <b:Tag>Chi81</b:Tag>
    <b:SourceType>Book</b:SourceType>
    <b:Guid>{9FCAF8FA-0D7A-467E-B6B1-41FE2DA0B583}</b:Guid>
    <b:Title>Multiple Attribute Decision Making: Methods and Applications: A State-of-the-Art Survey</b:Title>
    <b:Year>1981</b:Year>
    <b:City>Berlin</b:City>
    <b:Publisher>Springer-Verlag</b:Publisher>
    <b:Author>
      <b:Author>
        <b:NameList>
          <b:Person>
            <b:Last>Hwang</b:Last>
            <b:First>Ching-Lai</b:First>
          </b:Person>
          <b:Person>
            <b:Last>Yoon</b:Last>
            <b:First>Kwangsun</b:First>
          </b:Person>
        </b:NameList>
      </b:Author>
    </b:Author>
    <b:Volume>186</b:Volume>
    <b:URL>https://link.springer.com/book/10.1007/978-3-642-48318-9</b:URL>
    <b:DOI>10.1007/978-3-642-48318-9</b:DOI>
    <b:RefOrder>8</b:RefOrder>
  </b:Source>
  <b:Source>
    <b:Tag>Eva00</b:Tag>
    <b:SourceType>Book</b:SourceType>
    <b:Guid>{210C37FE-1032-4EC0-8EDD-9DBEEC0A40FF}</b:Guid>
    <b:Title>Multi-Criteria Decision Making Methods: A Comparative Study</b:Title>
    <b:Year>2000</b:Year>
    <b:City>Dordrecht</b:City>
    <b:Publisher>Springer</b:Publisher>
    <b:Author>
      <b:Author>
        <b:NameList>
          <b:Person>
            <b:Last>Triantaphyllou</b:Last>
            <b:First>Evangelos</b:First>
          </b:Person>
        </b:NameList>
      </b:Author>
    </b:Author>
    <b:URL>https://link.springer.com/book/10.1007/978-1-4757-3157-6</b:URL>
    <b:DOI>10.1007/978-1-4757-3157-6</b:DOI>
    <b:RefOrder>9</b:RefOrder>
  </b:Source>
  <b:Source>
    <b:Tag>Ign16</b:Tag>
    <b:SourceType>JournalArticle</b:SourceType>
    <b:Guid>{41962B4D-2D8C-44C0-9203-CE0C674A2889}</b:Guid>
    <b:Title>Simple additive weighting—A metamodel for multiple criteria decision analysis methods</b:Title>
    <b:Year>2016</b:Year>
    <b:Volume>54</b:Volume>
    <b:Pages>155-161</b:Pages>
    <b:URL>https://www.sciencedirect.com/science/article/abs/pii/S0957417416000658</b:URL>
    <b:DOI>10.1016/j.eswa.2016.01.042</b:DOI>
    <b:Author>
      <b:Author>
        <b:NameList>
          <b:Person>
            <b:Last>Kaliszewski</b:Last>
            <b:First>Ignacy</b:First>
          </b:Person>
          <b:Person>
            <b:Last>Podkopaev</b:Last>
            <b:First>Dmitry</b:First>
          </b:Person>
        </b:NameList>
      </b:Author>
    </b:Author>
    <b:JournalName>Expert Systems with Applications</b:JournalName>
    <b:RefOrder>10</b:RefOrder>
  </b:Source>
  <b:Source>
    <b:Tag>Naz18</b:Tag>
    <b:SourceType>JournalArticle</b:SourceType>
    <b:Guid>{8D598F7D-3B91-4382-A827-A434C3D10907}</b:Guid>
    <b:Title>Data normalisation techniques in decision making: case study with TOPSIS method</b:Title>
    <b:JournalName>International Journal of Information and Decision Sciences</b:JournalName>
    <b:Year>2018</b:Year>
    <b:Pages>19-38</b:Pages>
    <b:Volume>10</b:Volume>
    <b:Issue>1</b:Issue>
    <b:Author>
      <b:Author>
        <b:NameList>
          <b:Person>
            <b:Last>Vafaei</b:Last>
            <b:First>Nazanin</b:First>
          </b:Person>
          <b:Person>
            <b:Last>Ribeiro</b:Last>
            <b:First>Rita</b:First>
            <b:Middle>A.</b:Middle>
          </b:Person>
          <b:Person>
            <b:Last>Camarinha-Matos</b:Last>
            <b:First>Luis</b:First>
            <b:Middle>M.</b:Middle>
          </b:Person>
        </b:NameList>
      </b:Author>
    </b:Author>
    <b:URL>https://www.inderscience.com/info/inarticle.php?artid=90667</b:URL>
    <b:DOI>10.1504/IJIDS.2018.090667</b:DOI>
    <b:RefOrder>11</b:RefOrder>
  </b:Source>
  <b:Source>
    <b:Tag>Eva97</b:Tag>
    <b:SourceType>JournalArticle</b:SourceType>
    <b:Guid>{68C416D7-3617-4B91-8485-8052E442BC58}</b:Guid>
    <b:Title>A Sensitivity Analysis Approach for Some Deterministic Multi-Criteria Decision-Making Methods</b:Title>
    <b:JournalName>Decision Sciences</b:JournalName>
    <b:Year>1997</b:Year>
    <b:Pages>151-194</b:Pages>
    <b:Volume>28</b:Volume>
    <b:Issue>1</b:Issue>
    <b:Author>
      <b:Author>
        <b:NameList>
          <b:Person>
            <b:Last>Triantaphyllou</b:Last>
            <b:First>Evangelos</b:First>
          </b:Person>
          <b:Person>
            <b:Last>Sánchez</b:Last>
            <b:First>Alfonso</b:First>
          </b:Person>
        </b:NameList>
      </b:Author>
    </b:Author>
    <b:URL>https://onlinelibrary.wiley.com/doi/abs/10.1111/j.1540-5915.1997.tb01306.x</b:URL>
    <b:DOI>10.1111/j.1540-5915.1997.tb01306.x</b:DOI>
    <b:RefOrder>12</b:RefOrder>
  </b:Source>
  <b:Source>
    <b:Tag>Shi99</b:Tag>
    <b:SourceType>JournalArticle</b:SourceType>
    <b:Guid>{D127D5F0-A72D-4A94-9223-3E9AD72A7B13}</b:Guid>
    <b:Title>Explanations from Intelligent Systems: Theoretical Foundations and Implications for Practice</b:Title>
    <b:JournalName>MIS Quarterly</b:JournalName>
    <b:Year>1999</b:Year>
    <b:Pages>497-530</b:Pages>
    <b:Volume>23</b:Volume>
    <b:Issue>4</b:Issue>
    <b:Author>
      <b:Author>
        <b:NameList>
          <b:Person>
            <b:Last>Gregor</b:Last>
            <b:First>Shirley</b:First>
          </b:Person>
          <b:Person>
            <b:Last>Benbasat</b:Last>
            <b:First>Izak</b:First>
          </b:Person>
        </b:NameList>
      </b:Author>
    </b:Author>
    <b:DOI>10.2307/249487</b:DOI>
    <b:RefOrder>13</b:RefOrder>
  </b:Source>
  <b:Source>
    <b:Tag>Bri09</b:Tag>
    <b:SourceType>ConferenceProceedings</b:SourceType>
    <b:Guid>{5942E42F-23B5-4282-83BA-197452F741A9}</b:Guid>
    <b:Title>Why and why not explanations improve the intelligibility of context-aware intelligent systems</b:Title>
    <b:Year>2009</b:Year>
    <b:Pages>2119-2128</b:Pages>
    <b:URL>https://dl.acm.org/doi/10.1145/1518701.1519023</b:URL>
    <b:DOI>10.1145/1518701.1519023</b:DOI>
    <b:Author>
      <b:Author>
        <b:NameList>
          <b:Person>
            <b:Last>Lim</b:Last>
            <b:First>Brian</b:First>
            <b:Middle>Y.</b:Middle>
          </b:Person>
          <b:Person>
            <b:Last>Dey</b:Last>
            <b:First>Anind</b:First>
            <b:Middle>K.</b:Middle>
          </b:Person>
          <b:Person>
            <b:Last>Avrahami</b:Last>
            <b:First>Daniel</b:First>
          </b:Person>
        </b:NameList>
      </b:Author>
    </b:Author>
    <b:ConferenceName>SIGCHI Conference on Human Factors in Computing Systems</b:ConferenceName>
    <b:RefOrder>14</b:RefOrder>
  </b:Source>
  <b:Source>
    <b:Tag>Eir26</b:Tag>
    <b:SourceType>ConferenceProceedings</b:SourceType>
    <b:Guid>{C27778D0-427F-448B-B831-B5618D4DDD18}</b:Guid>
    <b:Title>A Literature Review on Rule-Based Systems as Decision Support Systems</b:Title>
    <b:Year>2026</b:Year>
    <b:ConferenceName>Human Aspects of Information Security and Assurance</b:ConferenceName>
    <b:Author>
      <b:Author>
        <b:NameList>
          <b:Person>
            <b:Last>Savvadelli</b:Last>
            <b:First>Eirini</b:First>
          </b:Person>
          <b:Person>
            <b:Last>Kiouvrekis</b:Last>
            <b:First>Yiannis</b:First>
          </b:Person>
          <b:Person>
            <b:Last>Kokkinaki</b:Last>
            <b:First>Angelika</b:First>
          </b:Person>
        </b:NameList>
      </b:Author>
    </b:Author>
    <b:Pages>376-388</b:Pages>
    <b:Volume>761</b:Volume>
    <b:URL>https://link.springer.com/chapter/10.1007/978-3-032-02504-3_26</b:URL>
    <b:DOI>10.1007/978-3-032-02504-3_26</b:DOI>
    <b:RefOrder>15</b:RefOrder>
  </b:Source>
  <b:Source>
    <b:Tag>Man01</b:Tag>
    <b:SourceType>JournalArticle</b:SourceType>
    <b:Guid>{B0676328-C2F7-42BF-A83F-967DD0049C2F}</b:Guid>
    <b:Title>A Decision-Support System that Helps Retailers Decide Order Quantities and Markdowns for Fashion Goods</b:Title>
    <b:Year>2001</b:Year>
    <b:Pages>S146-S165</b:Pages>
    <b:Publisher>INFORMS</b:Publisher>
    <b:Volume>31</b:Volume>
    <b:URL>https://pubsonline.informs.org/doi/10.1287/inte.31.3s.146.9682</b:URL>
    <b:DOI>10.1287/inte.31.3s.146.9682</b:DOI>
    <b:JournalName>Interfaces</b:JournalName>
    <b:Issue>3</b:Issue>
    <b:Author>
      <b:Author>
        <b:NameList>
          <b:Person>
            <b:Last>Mantrala</b:Last>
            <b:First>Murali K.</b:First>
          </b:Person>
          <b:Person>
            <b:Last>Rao</b:Last>
            <b:First>Surya</b:First>
          </b:Person>
        </b:NameList>
      </b:Author>
    </b:Author>
    <b:RefOrder>16</b:RefOrder>
  </b:Source>
  <b:Source>
    <b:Tag>Ale24</b:Tag>
    <b:SourceType>JournalArticle</b:SourceType>
    <b:Guid>{64754499-59E8-422A-933D-84E81585EE9D}</b:Guid>
    <b:Title>Decision support for managing assortments, shelf space, and replenishment in retail</b:Title>
    <b:JournalName>Flexible Services and Manufacturing Journal</b:JournalName>
    <b:Year>2024</b:Year>
    <b:Pages>1-35</b:Pages>
    <b:Volume>36</b:Volume>
    <b:Author>
      <b:Author>
        <b:NameList>
          <b:Person>
            <b:Last>Hübner</b:Last>
            <b:First>Alexander</b:First>
          </b:Person>
          <b:Person>
            <b:Last>Kuhn</b:Last>
            <b:First>Heinrich</b:First>
          </b:Person>
        </b:NameList>
      </b:Author>
    </b:Author>
    <b:URL>https://link.springer.com/article/10.1007/s10696-023-09492-z</b:URL>
    <b:DOI>10.1007/s10696-023-09492-z</b:DOI>
    <b:RefOrder>17</b:RefOrder>
  </b:Source>
  <b:Source>
    <b:Tag>Vai24</b:Tag>
    <b:SourceType>JournalArticle</b:SourceType>
    <b:Guid>{EBEE2A7F-609B-46AE-9569-259519F8B616}</b:Guid>
    <b:Title>Sponsored search advertising and inventory replenishment: a decision support framework for an online retailer</b:Title>
    <b:JournalName>Annals of Operations Research</b:JournalName>
    <b:Year>2024</b:Year>
    <b:Author>
      <b:Author>
        <b:NameList>
          <b:Person>
            <b:Last>Tunuguntla</b:Last>
            <b:First>Vaishnavi</b:First>
          </b:Person>
          <b:Person>
            <b:Last>Basu</b:Last>
            <b:First>Preetam</b:First>
          </b:Person>
          <b:Person>
            <b:Last>Rakshit</b:Last>
            <b:First>Krishanu</b:First>
          </b:Person>
          <b:Person>
            <b:Last>Papadopoulos</b:Last>
            <b:First>Thanos</b:First>
          </b:Person>
        </b:NameList>
      </b:Author>
    </b:Author>
    <b:URL>https://link.springer.com/article/10.1007/s10479-023-05643-5</b:URL>
    <b:DOI>10.1007/s10479-023-05643-5</b:DOI>
    <b:RefOrder>18</b:RefOrder>
  </b:Source>
  <b:Source>
    <b:Tag>Ste17</b:Tag>
    <b:SourceType>JournalArticle</b:SourceType>
    <b:Guid>{F311B5C6-91C8-4A4D-9A49-AE1F09A9336E}</b:Guid>
    <b:Title>Optimal Markdown Pricing and Inventory Allocation for Retail Chains with Inventory Dependent Demand</b:Title>
    <b:JournalName>Manufacturing &amp; Service Operations Management</b:JournalName>
    <b:Year>2017</b:Year>
    <b:Pages>290-304</b:Pages>
    <b:Volume>19</b:Volume>
    <b:Issue>2</b:Issue>
    <b:Author>
      <b:Author>
        <b:NameList>
          <b:Person>
            <b:Last>Smith</b:Last>
            <b:First>Stephen</b:First>
            <b:Middle>A.</b:Middle>
          </b:Person>
          <b:Person>
            <b:Last>Agrawal</b:Last>
            <b:First>Narendra</b:First>
          </b:Person>
        </b:NameList>
      </b:Author>
    </b:Author>
    <b:URL>https://pubsonline.informs.org/doi/10.1287/msom.2016.0609</b:URL>
    <b:DOI>10.1287/msom.2016.0609</b:DOI>
    <b:RefOrder>19</b:RefOrder>
  </b:Source>
  <b:Source>
    <b:Tag>Pra21</b:Tag>
    <b:SourceType>JournalArticle</b:SourceType>
    <b:Guid>{608FECE9-565A-4D99-91C4-3EF1D3E97673}</b:Guid>
    <b:Title>Forays into omnichannel: An online retailer’s strategies for managing product returns</b:Title>
    <b:JournalName>European Journal of Operational Research</b:JournalName>
    <b:Year>2021</b:Year>
    <b:Pages>633-651</b:Pages>
    <b:Volume>292</b:Volume>
    <b:Issue>2</b:Issue>
    <b:Author>
      <b:Author>
        <b:NameList>
          <b:Person>
            <b:Last>Mandal</b:Last>
            <b:First>Prasenjit</b:First>
          </b:Person>
          <b:Person>
            <b:Last>Basu</b:Last>
            <b:First>Preetam</b:First>
          </b:Person>
          <b:Person>
            <b:Last>Saha</b:Last>
            <b:First>Kushal</b:First>
          </b:Person>
        </b:NameList>
      </b:Author>
    </b:Author>
    <b:URL>https://ideas.repec.org/a/eee/ejores/v292y2021i2p633-651.html</b:URL>
    <b:DOI>10.1016/j.ejor.2020.10.042</b:DOI>
    <b:RefOrder>20</b:RefOrder>
  </b:Source>
  <b:Source>
    <b:Tag>Kum01</b:Tag>
    <b:SourceType>JournalArticle</b:SourceType>
    <b:Guid>{14FC8A5C-CB60-48E0-B55F-9240F14C8AAA}</b:Guid>
    <b:Title>Assortment planning in fashion retailing: methodology, application and analysis</b:Title>
    <b:JournalName>European Journal of Operational Research</b:JournalName>
    <b:Year>2001</b:Year>
    <b:Pages>186-208</b:Pages>
    <b:Volume>129</b:Volume>
    <b:Issue>1</b:Issue>
    <b:Author>
      <b:Author>
        <b:NameList>
          <b:Person>
            <b:Last>Rajaram</b:Last>
            <b:First>Kumar</b:First>
          </b:Person>
        </b:NameList>
      </b:Author>
    </b:Author>
    <b:URL>https://www.sciencedirect.com/science/article/abs/pii/S0377221799004063</b:URL>
    <b:DOI>10.1016/S0377-2217(99)00406-3</b:DOI>
    <b:RefOrder>22</b:RefOrder>
  </b:Source>
  <b:Source>
    <b:Tag>Mic16</b:Tag>
    <b:SourceType>JournalArticle</b:SourceType>
    <b:Guid>{FA9B2887-E7AC-42DA-A4C4-1DA00F1D0926}</b:Guid>
    <b:Title>Marketing Analytics for Data-Rich Environments </b:Title>
    <b:JournalName>Journal of Marketing</b:JournalName>
    <b:Year>2016</b:Year>
    <b:Pages>97-121</b:Pages>
    <b:Volume>80</b:Volume>
    <b:Issue>6</b:Issue>
    <b:Author>
      <b:Author>
        <b:NameList>
          <b:Person>
            <b:Last>Wedel</b:Last>
            <b:First>Michel</b:First>
          </b:Person>
          <b:Person>
            <b:Last>Kannan</b:Last>
            <b:First>P.</b:First>
            <b:Middle>K.</b:Middle>
          </b:Person>
        </b:NameList>
      </b:Author>
    </b:Author>
    <b:URL>https://journals.sagepub.com/doi/10.1509/jm.15.0413</b:URL>
    <b:DOI>10.1509/jm.15.0413</b:DOI>
    <b:RefOrder>23</b:RefOrder>
  </b:Source>
  <b:Source>
    <b:Tag>PKK17</b:Tag>
    <b:SourceType>JournalArticle</b:SourceType>
    <b:Guid>{E1A461D3-C60B-4AC9-B20A-314F5BA39144}</b:Guid>
    <b:Title>Digital marketing: A framework, review and research agenda</b:Title>
    <b:JournalName>International Journal of Research in Marketing</b:JournalName>
    <b:Year>2017</b:Year>
    <b:Pages>22-45</b:Pages>
    <b:Volume>34</b:Volume>
    <b:Issue>1</b:Issue>
    <b:Author>
      <b:Author>
        <b:NameList>
          <b:Person>
            <b:Last>Kannan</b:Last>
            <b:First>P.</b:First>
            <b:Middle>K.</b:Middle>
          </b:Person>
          <b:Person>
            <b:Last>Li</b:Last>
            <b:First>Hongshuang</b:First>
          </b:Person>
        </b:NameList>
      </b:Author>
    </b:Author>
    <b:URL>https://papers.ssrn.com/sol3/papers.cfm?abstract_id=3000712</b:URL>
    <b:DOI>10.1016/j.ijresmar.2016.11.006</b:DOI>
    <b:RefOrder>24</b:RefOrder>
  </b:Source>
  <b:Source>
    <b:Tag>Goo26</b:Tag>
    <b:SourceType>InternetSite</b:SourceType>
    <b:Guid>{026DE97A-D1C5-45C5-A8F7-E5E9322739A0}</b:Guid>
    <b:Title>Measure ecommerce</b:Title>
    <b:Year>2026</b:Year>
    <b:Author>
      <b:Author>
        <b:Corporate>Google</b:Corporate>
      </b:Author>
    </b:Author>
    <b:Month>August</b:Month>
    <b:Day>06</b:Day>
    <b:YearAccessed>2026</b:YearAccessed>
    <b:MonthAccessed>August</b:MonthAccessed>
    <b:DayAccessed>09</b:DayAccessed>
    <b:InternetSiteTitle>Google Analytics Developer Documentation</b:InternetSiteTitle>
    <b:URL>https://developers.google.com/analytics/devguides/collection/ga4/ecommerce</b:URL>
    <b:RefOrder>25</b:RefOrder>
  </b:Source>
  <b:Source>
    <b:Tag>Goo261</b:Tag>
    <b:SourceType>InternetSite</b:SourceType>
    <b:Guid>{CBC05998-C01B-48E2-AF1B-C1E23D97D022}</b:Guid>
    <b:Title>[GA4] Set up ecommerce events</b:Title>
    <b:Year>2026</b:Year>
    <b:YearAccessed>2026</b:YearAccessed>
    <b:MonthAccessed>August</b:MonthAccessed>
    <b:DayAccessed>09</b:DayAccessed>
    <b:URL>https://support.google.com/analytics/answer/12200568?hl=en</b:URL>
    <b:Author>
      <b:Author>
        <b:Corporate>Google</b:Corporate>
      </b:Author>
    </b:Author>
    <b:InternetSiteTitle>Google Analytics Hel</b:InternetSiteTitle>
    <b:RefOrder>26</b:RefOrder>
  </b:Source>
  <b:Source>
    <b:Tag>pan26</b:Tag>
    <b:SourceType>InternetSite</b:SourceType>
    <b:Guid>{033D1193-ABD3-42CF-BED8-512181191CFA}</b:Guid>
    <b:Title>pandas documentation</b:Title>
    <b:Year>2026</b:Year>
    <b:YearAccessed>2026</b:YearAccessed>
    <b:MonthAccessed>August</b:MonthAccessed>
    <b:DayAccessed>09</b:DayAccessed>
    <b:URL>https://pandas.pydata.org/docs/</b:URL>
    <b:Author>
      <b:Author>
        <b:Corporate>pandas development team</b:Corporate>
      </b:Author>
    </b:Author>
    <b:InternetSiteTitle>pandas</b:InternetSiteTitle>
    <b:RefOrder>27</b:RefOrder>
  </b:Source>
  <b:Source>
    <b:Tag>Pal26</b:Tag>
    <b:SourceType>InternetSite</b:SourceType>
    <b:Guid>{C5E8B4A4-B528-402C-8D4D-1AFB28679194}</b:Guid>
    <b:Title>Flask Documentation</b:Title>
    <b:YearAccessed>2026</b:YearAccessed>
    <b:MonthAccessed>August</b:MonthAccessed>
    <b:DayAccessed>09</b:DayAccessed>
    <b:URL>https://flask.palletsprojects.com/en/stable/</b:URL>
    <b:Author>
      <b:Author>
        <b:Corporate>Pallets</b:Corporate>
      </b:Author>
    </b:Author>
    <b:InternetSiteTitle>Flask</b:InternetSiteTitle>
    <b:Year>2026</b:Year>
    <b:RefOrder>28</b:RefOrder>
  </b:Source>
  <b:Source>
    <b:Tag>SQL25</b:Tag>
    <b:SourceType>InternetSite</b:SourceType>
    <b:Guid>{3D2244B9-FDE4-4720-BB05-5C58F4F27950}</b:Guid>
    <b:Title>About SQLite</b:Title>
    <b:Year>2025</b:Year>
    <b:Month>November</b:Month>
    <b:Day>13</b:Day>
    <b:YearAccessed>2026</b:YearAccessed>
    <b:MonthAccessed>August</b:MonthAccessed>
    <b:DayAccessed>09</b:DayAccessed>
    <b:URL>https://www.sqlite.org/about.html</b:URL>
    <b:Author>
      <b:Author>
        <b:Corporate>SQLite Consortium</b:Corporate>
      </b:Author>
    </b:Author>
    <b:InternetSiteTitle>SQLite</b:InternetSiteTitle>
    <b:RefOrder>29</b:RefOrder>
  </b:Source>
  <b:Source>
    <b:Tag>Mur09</b:Tag>
    <b:SourceType>JournalArticle</b:SourceType>
    <b:Guid>{7D9EFAF7-2DFF-4513-884D-CD48F53B5C6B}</b:Guid>
    <b:Title>Why is Assortment Planning so Difficult for Retailers? A Framework and Research Agenda</b:Title>
    <b:Year>2009</b:Year>
    <b:URL>https://www.sciencedirect.com/science/article/abs/pii/S0022435908000882</b:URL>
    <b:JournalName>Journal of Retailing</b:JournalName>
    <b:Pages>71-83</b:Pages>
    <b:Volume>85</b:Volume>
    <b:Issue>1</b:Issue>
    <b:Author>
      <b:Author>
        <b:NameList>
          <b:Person>
            <b:Last>Mantrala</b:Last>
            <b:First>Murali</b:First>
            <b:Middle>K.</b:Middle>
          </b:Person>
          <b:Person>
            <b:Last>Levy</b:Last>
            <b:First>Michael</b:First>
          </b:Person>
          <b:Person>
            <b:Last>Kahn</b:Last>
            <b:First>Barbara</b:First>
            <b:Middle>E.</b:Middle>
          </b:Person>
          <b:Person>
            <b:Last>Fox</b:Last>
            <b:First>Edward</b:First>
            <b:Middle>J.</b:Middle>
          </b:Person>
          <b:Person>
            <b:Last>Gaidarev</b:Last>
            <b:First>Peter</b:First>
          </b:Person>
          <b:Person>
            <b:Last>Dankworth</b:Last>
            <b:First>Bill</b:First>
          </b:Person>
          <b:Person>
            <b:Last>Shah</b:Last>
            <b:First>Dhruv</b:First>
          </b:Person>
        </b:NameList>
      </b:Author>
    </b:Author>
    <b:DOI>10.1016/j.jretai.2008.11.006</b:DOI>
    <b:RefOrder>21</b:RefOrder>
  </b:Source>
  <b:Source>
    <b:Tag>Ala04</b:Tag>
    <b:SourceType>JournalArticle</b:SourceType>
    <b:Guid>{50092E3D-32C6-4918-9004-1987396D7812}</b:Guid>
    <b:Title>Design Science in Information Systems Research</b:Title>
    <b:JournalName>MIS Quarterly</b:JournalName>
    <b:Year>2004</b:Year>
    <b:Pages>75-105</b:Pages>
    <b:Volume>28</b:Volume>
    <b:Issue>1</b:Issue>
    <b:Author>
      <b:Author>
        <b:NameList>
          <b:Person>
            <b:Last>Hevner</b:Last>
            <b:First>Alan</b:First>
            <b:Middle>R.</b:Middle>
          </b:Person>
          <b:Person>
            <b:Last>March</b:Last>
            <b:First>Salvatore</b:First>
            <b:Middle>T.</b:Middle>
          </b:Person>
          <b:Person>
            <b:Last>Park</b:Last>
            <b:First>Jinsoo</b:First>
          </b:Person>
          <b:Person>
            <b:Last>Ram</b:Last>
            <b:First>Sudha</b:First>
          </b:Person>
        </b:NameList>
      </b:Author>
    </b:Author>
    <b:URL>https://misq.umn.edu/misq/article-abstract/28/1/75/261/Design-Science-in-Information-Systems-Research1</b:URL>
    <b:DOI>10.2307/25148625</b:DOI>
    <b:RefOrder>30</b:RefOrder>
  </b:Source>
  <b:Source>
    <b:Tag>Ken07</b:Tag>
    <b:SourceType>JournalArticle</b:SourceType>
    <b:Guid>{C3A0F60C-C56B-4701-A856-AE876E6E6825}</b:Guid>
    <b:Title>A Design Science Research Methodology for Information Systems Research</b:Title>
    <b:JournalName>Journal of Management Information Systems</b:JournalName>
    <b:Year>2007</b:Year>
    <b:Pages>45-77</b:Pages>
    <b:Volume>24</b:Volume>
    <b:Issue>3</b:Issue>
    <b:Author>
      <b:Author>
        <b:NameList>
          <b:Person>
            <b:Last>Peffers</b:Last>
            <b:First>Ken</b:First>
          </b:Person>
          <b:Person>
            <b:Last>Tuunanen</b:Last>
            <b:First>Tuure</b:First>
          </b:Person>
          <b:Person>
            <b:Last>Rothenberger</b:Last>
            <b:First>Marcus</b:First>
            <b:Middle>A.</b:Middle>
          </b:Person>
          <b:Person>
            <b:Last>Chatterjee</b:Last>
            <b:First>Samir</b:First>
          </b:Person>
        </b:NameList>
      </b:Author>
    </b:Author>
    <b:URL>https://www.tandfonline.com/doi/abs/10.2753/MIS0742-1222240302</b:URL>
    <b:DOI>10.2753/MIS0742-1222240302</b:DOI>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AAD1B6-9752-456F-B655-F68C747DD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38</Pages>
  <Words>12141</Words>
  <Characters>69210</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Merchandising Decision Support System (MDSS) - Final Report</vt:lpstr>
    </vt:vector>
  </TitlesOfParts>
  <Company>2314622</Company>
  <LinksUpToDate>false</LinksUpToDate>
  <CharactersWithSpaces>81189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Merchandising Decision Support System (MDSS)</dc:title>
  <dc:subject>An Explainable Local Decision-Support Prototype Integrating Business Intelligence and Google Analytics 4 Data for Online Merchandising</dc:subject>
  <dc:creator>Federico Mossa</dc:creator>
  <cp:lastModifiedBy>Federico Mossa (2314622)</cp:lastModifiedBy>
  <cp:revision>49</cp:revision>
  <dcterms:created xsi:type="dcterms:W3CDTF">2026-08-08T15:26:00Z</dcterms:created>
  <dcterms:modified xsi:type="dcterms:W3CDTF">2026-08-10T12:25:00Z</dcterms:modified>
</cp:coreProperties>
</file>