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A72E91" w14:textId="77777777" w:rsidR="000F7B4D" w:rsidRPr="00CB2261" w:rsidRDefault="000F7B4D" w:rsidP="00A11B33">
      <w:pPr>
        <w:spacing w:line="360" w:lineRule="auto"/>
        <w:jc w:val="center"/>
        <w:rPr>
          <w:rFonts w:ascii="Arial" w:eastAsia="Times New Roman" w:hAnsi="Arial" w:cs="Arial"/>
          <w:b/>
          <w:bCs/>
          <w:kern w:val="36"/>
          <w:sz w:val="28"/>
          <w:szCs w:val="28"/>
        </w:rPr>
      </w:pPr>
      <w:r w:rsidRPr="00CB2261">
        <w:rPr>
          <w:rFonts w:ascii="Arial" w:eastAsia="Times New Roman" w:hAnsi="Arial" w:cs="Arial"/>
          <w:b/>
          <w:bCs/>
          <w:kern w:val="36"/>
          <w:sz w:val="28"/>
          <w:szCs w:val="28"/>
        </w:rPr>
        <w:t>Developing and Managing Individuals and Teams: Contemporary HR Challenges at Barclays PLC</w:t>
      </w:r>
    </w:p>
    <w:p w14:paraId="4B36E9CB" w14:textId="35CE256E" w:rsidR="000F7B4D" w:rsidRPr="00CB2261" w:rsidRDefault="000F7B4D" w:rsidP="00A11B33">
      <w:pPr>
        <w:spacing w:line="360" w:lineRule="auto"/>
        <w:jc w:val="both"/>
        <w:rPr>
          <w:rFonts w:ascii="Arial" w:eastAsia="Times New Roman" w:hAnsi="Arial" w:cs="Arial"/>
          <w:b/>
          <w:bCs/>
          <w:kern w:val="36"/>
          <w:sz w:val="24"/>
          <w:szCs w:val="24"/>
        </w:rPr>
      </w:pPr>
    </w:p>
    <w:p w14:paraId="407EAF6C" w14:textId="571CA07E" w:rsidR="000F7B4D" w:rsidRPr="00CB2261" w:rsidRDefault="000F7B4D" w:rsidP="00A11B33">
      <w:pPr>
        <w:spacing w:line="360" w:lineRule="auto"/>
        <w:jc w:val="both"/>
        <w:rPr>
          <w:rFonts w:ascii="Arial" w:eastAsia="Times New Roman" w:hAnsi="Arial" w:cs="Arial"/>
          <w:b/>
          <w:bCs/>
          <w:kern w:val="36"/>
          <w:sz w:val="24"/>
          <w:szCs w:val="24"/>
        </w:rPr>
      </w:pPr>
    </w:p>
    <w:p w14:paraId="0045EEF3" w14:textId="15EC8658" w:rsidR="000F7B4D" w:rsidRPr="00CB2261" w:rsidRDefault="000F7B4D" w:rsidP="00A11B33">
      <w:pPr>
        <w:spacing w:line="360" w:lineRule="auto"/>
        <w:jc w:val="both"/>
        <w:rPr>
          <w:rFonts w:ascii="Arial" w:eastAsia="Times New Roman" w:hAnsi="Arial" w:cs="Arial"/>
          <w:b/>
          <w:bCs/>
          <w:kern w:val="36"/>
          <w:sz w:val="24"/>
          <w:szCs w:val="24"/>
        </w:rPr>
      </w:pPr>
    </w:p>
    <w:p w14:paraId="2DEA9BF0" w14:textId="1C6D105A" w:rsidR="000F7B4D" w:rsidRPr="00CB2261" w:rsidRDefault="000F7B4D" w:rsidP="00A11B33">
      <w:pPr>
        <w:spacing w:line="360" w:lineRule="auto"/>
        <w:jc w:val="both"/>
        <w:rPr>
          <w:rFonts w:ascii="Arial" w:eastAsia="Times New Roman" w:hAnsi="Arial" w:cs="Arial"/>
          <w:b/>
          <w:bCs/>
          <w:kern w:val="36"/>
          <w:sz w:val="24"/>
          <w:szCs w:val="24"/>
        </w:rPr>
      </w:pPr>
    </w:p>
    <w:p w14:paraId="1F19014C" w14:textId="77777777" w:rsidR="000F7B4D" w:rsidRPr="00CB2261" w:rsidRDefault="000F7B4D" w:rsidP="00A11B33">
      <w:pPr>
        <w:spacing w:line="360" w:lineRule="auto"/>
        <w:jc w:val="both"/>
        <w:rPr>
          <w:rFonts w:ascii="Arial" w:eastAsia="Times New Roman" w:hAnsi="Arial" w:cs="Arial"/>
          <w:b/>
          <w:bCs/>
          <w:kern w:val="36"/>
          <w:sz w:val="24"/>
          <w:szCs w:val="24"/>
        </w:rPr>
      </w:pPr>
    </w:p>
    <w:p w14:paraId="565DA11A" w14:textId="77777777" w:rsidR="000F7B4D" w:rsidRPr="00CB2261" w:rsidRDefault="000F7B4D" w:rsidP="00A11B33">
      <w:pPr>
        <w:spacing w:line="360" w:lineRule="auto"/>
        <w:jc w:val="both"/>
        <w:rPr>
          <w:rFonts w:ascii="Arial" w:eastAsia="Times New Roman" w:hAnsi="Arial" w:cs="Arial"/>
          <w:b/>
          <w:bCs/>
          <w:kern w:val="36"/>
          <w:sz w:val="24"/>
          <w:szCs w:val="24"/>
        </w:rPr>
      </w:pPr>
    </w:p>
    <w:p w14:paraId="5C266BB6" w14:textId="128B14BA" w:rsidR="000F7B4D" w:rsidRPr="00CB2261" w:rsidRDefault="000F7B4D" w:rsidP="00A11B33">
      <w:pPr>
        <w:spacing w:line="360" w:lineRule="auto"/>
        <w:jc w:val="both"/>
        <w:rPr>
          <w:rFonts w:ascii="Arial" w:eastAsia="Times New Roman" w:hAnsi="Arial" w:cs="Arial"/>
          <w:b/>
          <w:bCs/>
          <w:kern w:val="36"/>
          <w:sz w:val="24"/>
          <w:szCs w:val="24"/>
        </w:rPr>
      </w:pPr>
      <w:r w:rsidRPr="00CB2261">
        <w:rPr>
          <w:rFonts w:ascii="Arial" w:eastAsia="Times New Roman" w:hAnsi="Arial" w:cs="Arial"/>
          <w:b/>
          <w:bCs/>
          <w:kern w:val="36"/>
          <w:sz w:val="24"/>
          <w:szCs w:val="24"/>
        </w:rPr>
        <w:t xml:space="preserve">Student </w:t>
      </w:r>
      <w:proofErr w:type="gramStart"/>
      <w:r w:rsidRPr="00CB2261">
        <w:rPr>
          <w:rFonts w:ascii="Arial" w:eastAsia="Times New Roman" w:hAnsi="Arial" w:cs="Arial"/>
          <w:b/>
          <w:bCs/>
          <w:kern w:val="36"/>
          <w:sz w:val="24"/>
          <w:szCs w:val="24"/>
        </w:rPr>
        <w:t>Name:</w:t>
      </w:r>
      <w:r w:rsidR="004D5E84">
        <w:rPr>
          <w:rFonts w:ascii="Arial" w:eastAsia="Times New Roman" w:hAnsi="Arial" w:cs="Arial"/>
          <w:b/>
          <w:bCs/>
          <w:kern w:val="36"/>
          <w:sz w:val="24"/>
          <w:szCs w:val="24"/>
        </w:rPr>
        <w:t>Blaga</w:t>
      </w:r>
      <w:proofErr w:type="gramEnd"/>
      <w:r w:rsidR="004D5E84">
        <w:rPr>
          <w:rFonts w:ascii="Arial" w:eastAsia="Times New Roman" w:hAnsi="Arial" w:cs="Arial"/>
          <w:b/>
          <w:bCs/>
          <w:kern w:val="36"/>
          <w:sz w:val="24"/>
          <w:szCs w:val="24"/>
        </w:rPr>
        <w:t xml:space="preserve"> Naydenova</w:t>
      </w:r>
    </w:p>
    <w:p w14:paraId="720983D0" w14:textId="32A58012" w:rsidR="000F7B4D" w:rsidRPr="00CB2261" w:rsidRDefault="000F7B4D" w:rsidP="00A11B33">
      <w:pPr>
        <w:spacing w:line="360" w:lineRule="auto"/>
        <w:jc w:val="both"/>
        <w:rPr>
          <w:rFonts w:ascii="Arial" w:eastAsia="Times New Roman" w:hAnsi="Arial" w:cs="Arial"/>
          <w:b/>
          <w:bCs/>
          <w:kern w:val="36"/>
          <w:sz w:val="24"/>
          <w:szCs w:val="24"/>
        </w:rPr>
      </w:pPr>
      <w:r w:rsidRPr="00CB2261">
        <w:rPr>
          <w:rFonts w:ascii="Arial" w:eastAsia="Times New Roman" w:hAnsi="Arial" w:cs="Arial"/>
          <w:b/>
          <w:bCs/>
          <w:kern w:val="36"/>
          <w:sz w:val="24"/>
          <w:szCs w:val="24"/>
        </w:rPr>
        <w:t>Student Number:</w:t>
      </w:r>
      <w:r w:rsidR="004D5E84">
        <w:rPr>
          <w:rFonts w:ascii="Arial" w:eastAsia="Times New Roman" w:hAnsi="Arial" w:cs="Arial"/>
          <w:b/>
          <w:bCs/>
          <w:kern w:val="36"/>
          <w:sz w:val="24"/>
          <w:szCs w:val="24"/>
        </w:rPr>
        <w:t>2424541</w:t>
      </w:r>
    </w:p>
    <w:p w14:paraId="6499ADF3" w14:textId="761A03E6" w:rsidR="00B67DFA" w:rsidRPr="00CB2261" w:rsidRDefault="000F7B4D" w:rsidP="00A11B33">
      <w:pPr>
        <w:spacing w:line="360" w:lineRule="auto"/>
        <w:jc w:val="both"/>
        <w:rPr>
          <w:rFonts w:ascii="Arial" w:eastAsia="Times New Roman" w:hAnsi="Arial" w:cs="Arial"/>
          <w:b/>
          <w:bCs/>
          <w:kern w:val="36"/>
          <w:sz w:val="24"/>
          <w:szCs w:val="24"/>
        </w:rPr>
      </w:pPr>
      <w:r w:rsidRPr="00CB2261">
        <w:rPr>
          <w:rFonts w:ascii="Arial" w:eastAsia="Times New Roman" w:hAnsi="Arial" w:cs="Arial"/>
          <w:b/>
          <w:bCs/>
          <w:kern w:val="36"/>
          <w:sz w:val="24"/>
          <w:szCs w:val="24"/>
        </w:rPr>
        <w:t xml:space="preserve">Module Leader / </w:t>
      </w:r>
      <w:proofErr w:type="gramStart"/>
      <w:r w:rsidRPr="00CB2261">
        <w:rPr>
          <w:rFonts w:ascii="Arial" w:eastAsia="Times New Roman" w:hAnsi="Arial" w:cs="Arial"/>
          <w:b/>
          <w:bCs/>
          <w:kern w:val="36"/>
          <w:sz w:val="24"/>
          <w:szCs w:val="24"/>
        </w:rPr>
        <w:t>Lecturer:</w:t>
      </w:r>
      <w:r w:rsidR="004D5E84">
        <w:rPr>
          <w:rFonts w:ascii="Arial" w:eastAsia="Times New Roman" w:hAnsi="Arial" w:cs="Arial"/>
          <w:b/>
          <w:bCs/>
          <w:kern w:val="36"/>
          <w:sz w:val="24"/>
          <w:szCs w:val="24"/>
        </w:rPr>
        <w:t>Mohammad</w:t>
      </w:r>
      <w:proofErr w:type="gramEnd"/>
      <w:r w:rsidR="004D5E84">
        <w:rPr>
          <w:rFonts w:ascii="Arial" w:eastAsia="Times New Roman" w:hAnsi="Arial" w:cs="Arial"/>
          <w:b/>
          <w:bCs/>
          <w:kern w:val="36"/>
          <w:sz w:val="24"/>
          <w:szCs w:val="24"/>
        </w:rPr>
        <w:t xml:space="preserve"> Rahman</w:t>
      </w:r>
      <w:r w:rsidR="00B67DFA" w:rsidRPr="00CB2261">
        <w:rPr>
          <w:rFonts w:ascii="Arial" w:eastAsia="Times New Roman" w:hAnsi="Arial" w:cs="Arial"/>
          <w:b/>
          <w:bCs/>
          <w:kern w:val="36"/>
          <w:sz w:val="24"/>
          <w:szCs w:val="24"/>
        </w:rPr>
        <w:br w:type="page"/>
      </w:r>
    </w:p>
    <w:sdt>
      <w:sdtPr>
        <w:rPr>
          <w:rFonts w:ascii="Arial" w:eastAsiaTheme="minorHAnsi" w:hAnsi="Arial" w:cs="Arial"/>
          <w:color w:val="auto"/>
          <w:sz w:val="22"/>
          <w:szCs w:val="22"/>
        </w:rPr>
        <w:id w:val="-619217902"/>
        <w:docPartObj>
          <w:docPartGallery w:val="Table of Contents"/>
          <w:docPartUnique/>
        </w:docPartObj>
      </w:sdtPr>
      <w:sdtEndPr>
        <w:rPr>
          <w:b/>
          <w:bCs/>
        </w:rPr>
      </w:sdtEndPr>
      <w:sdtContent>
        <w:p w14:paraId="7D4ACDCB" w14:textId="12E16FD8" w:rsidR="000F7B4D" w:rsidRPr="00CB2261" w:rsidRDefault="000F7B4D" w:rsidP="00A11B33">
          <w:pPr>
            <w:pStyle w:val="TOCHeading"/>
            <w:spacing w:line="360" w:lineRule="auto"/>
            <w:rPr>
              <w:rFonts w:ascii="Arial" w:hAnsi="Arial" w:cs="Arial"/>
            </w:rPr>
          </w:pPr>
          <w:r w:rsidRPr="00CB2261">
            <w:rPr>
              <w:rFonts w:ascii="Arial" w:hAnsi="Arial" w:cs="Arial"/>
            </w:rPr>
            <w:t>Table of Contents</w:t>
          </w:r>
        </w:p>
        <w:p w14:paraId="1F5C526C" w14:textId="29718A8C" w:rsidR="00EE6465" w:rsidRPr="00CB2261" w:rsidRDefault="000F7B4D" w:rsidP="00A11B33">
          <w:pPr>
            <w:pStyle w:val="TOC1"/>
            <w:tabs>
              <w:tab w:val="right" w:leader="dot" w:pos="9350"/>
            </w:tabs>
            <w:spacing w:line="360" w:lineRule="auto"/>
            <w:rPr>
              <w:rFonts w:ascii="Arial" w:eastAsiaTheme="minorEastAsia" w:hAnsi="Arial" w:cs="Arial"/>
            </w:rPr>
          </w:pPr>
          <w:r w:rsidRPr="00CB2261">
            <w:rPr>
              <w:rFonts w:ascii="Arial" w:hAnsi="Arial" w:cs="Arial"/>
            </w:rPr>
            <w:fldChar w:fldCharType="begin"/>
          </w:r>
          <w:r w:rsidRPr="00CB2261">
            <w:rPr>
              <w:rFonts w:ascii="Arial" w:hAnsi="Arial" w:cs="Arial"/>
            </w:rPr>
            <w:instrText xml:space="preserve"> TOC \o "1-3" \h \z \u </w:instrText>
          </w:r>
          <w:r w:rsidRPr="00CB2261">
            <w:rPr>
              <w:rFonts w:ascii="Arial" w:hAnsi="Arial" w:cs="Arial"/>
            </w:rPr>
            <w:fldChar w:fldCharType="separate"/>
          </w:r>
          <w:hyperlink w:anchor="_Toc237011860" w:history="1">
            <w:r w:rsidR="00EE6465" w:rsidRPr="00CB2261">
              <w:rPr>
                <w:rStyle w:val="Hyperlink"/>
                <w:rFonts w:ascii="Arial" w:hAnsi="Arial" w:cs="Arial"/>
              </w:rPr>
              <w:t>1. Introduction</w:t>
            </w:r>
            <w:r w:rsidR="00EE6465" w:rsidRPr="00CB2261">
              <w:rPr>
                <w:rFonts w:ascii="Arial" w:hAnsi="Arial" w:cs="Arial"/>
                <w:webHidden/>
              </w:rPr>
              <w:tab/>
            </w:r>
            <w:r w:rsidR="00EE6465" w:rsidRPr="00CB2261">
              <w:rPr>
                <w:rFonts w:ascii="Arial" w:hAnsi="Arial" w:cs="Arial"/>
                <w:webHidden/>
              </w:rPr>
              <w:fldChar w:fldCharType="begin"/>
            </w:r>
            <w:r w:rsidR="00EE6465" w:rsidRPr="00CB2261">
              <w:rPr>
                <w:rFonts w:ascii="Arial" w:hAnsi="Arial" w:cs="Arial"/>
                <w:webHidden/>
              </w:rPr>
              <w:instrText xml:space="preserve"> PAGEREF _Toc237011860 \h </w:instrText>
            </w:r>
            <w:r w:rsidR="00EE6465" w:rsidRPr="00CB2261">
              <w:rPr>
                <w:rFonts w:ascii="Arial" w:hAnsi="Arial" w:cs="Arial"/>
                <w:webHidden/>
              </w:rPr>
            </w:r>
            <w:r w:rsidR="00EE6465" w:rsidRPr="00CB2261">
              <w:rPr>
                <w:rFonts w:ascii="Arial" w:hAnsi="Arial" w:cs="Arial"/>
                <w:webHidden/>
              </w:rPr>
              <w:fldChar w:fldCharType="separate"/>
            </w:r>
            <w:r w:rsidR="00EE6465" w:rsidRPr="00CB2261">
              <w:rPr>
                <w:rFonts w:ascii="Arial" w:hAnsi="Arial" w:cs="Arial"/>
                <w:webHidden/>
              </w:rPr>
              <w:t>3</w:t>
            </w:r>
            <w:r w:rsidR="00EE6465" w:rsidRPr="00CB2261">
              <w:rPr>
                <w:rFonts w:ascii="Arial" w:hAnsi="Arial" w:cs="Arial"/>
                <w:webHidden/>
              </w:rPr>
              <w:fldChar w:fldCharType="end"/>
            </w:r>
          </w:hyperlink>
        </w:p>
        <w:p w14:paraId="33D2BDDF" w14:textId="7B905467" w:rsidR="00EE6465" w:rsidRPr="00CB2261" w:rsidRDefault="00EE6465" w:rsidP="00A11B33">
          <w:pPr>
            <w:pStyle w:val="TOC2"/>
            <w:tabs>
              <w:tab w:val="right" w:leader="dot" w:pos="9350"/>
            </w:tabs>
            <w:spacing w:line="360" w:lineRule="auto"/>
            <w:rPr>
              <w:rFonts w:ascii="Arial" w:eastAsiaTheme="minorEastAsia" w:hAnsi="Arial" w:cs="Arial"/>
            </w:rPr>
          </w:pPr>
          <w:hyperlink w:anchor="_Toc237011861" w:history="1">
            <w:r w:rsidRPr="00CB2261">
              <w:rPr>
                <w:rStyle w:val="Hyperlink"/>
                <w:rFonts w:ascii="Arial" w:hAnsi="Arial" w:cs="Arial"/>
              </w:rPr>
              <w:t>2. Key Contemporary HR Challenges at Barclays PLC</w:t>
            </w:r>
            <w:r w:rsidRPr="00CB2261">
              <w:rPr>
                <w:rFonts w:ascii="Arial" w:hAnsi="Arial" w:cs="Arial"/>
                <w:webHidden/>
              </w:rPr>
              <w:tab/>
            </w:r>
            <w:r w:rsidRPr="00CB2261">
              <w:rPr>
                <w:rFonts w:ascii="Arial" w:hAnsi="Arial" w:cs="Arial"/>
                <w:webHidden/>
              </w:rPr>
              <w:fldChar w:fldCharType="begin"/>
            </w:r>
            <w:r w:rsidRPr="00CB2261">
              <w:rPr>
                <w:rFonts w:ascii="Arial" w:hAnsi="Arial" w:cs="Arial"/>
                <w:webHidden/>
              </w:rPr>
              <w:instrText xml:space="preserve"> PAGEREF _Toc237011861 \h </w:instrText>
            </w:r>
            <w:r w:rsidRPr="00CB2261">
              <w:rPr>
                <w:rFonts w:ascii="Arial" w:hAnsi="Arial" w:cs="Arial"/>
                <w:webHidden/>
              </w:rPr>
            </w:r>
            <w:r w:rsidRPr="00CB2261">
              <w:rPr>
                <w:rFonts w:ascii="Arial" w:hAnsi="Arial" w:cs="Arial"/>
                <w:webHidden/>
              </w:rPr>
              <w:fldChar w:fldCharType="separate"/>
            </w:r>
            <w:r w:rsidRPr="00CB2261">
              <w:rPr>
                <w:rFonts w:ascii="Arial" w:hAnsi="Arial" w:cs="Arial"/>
                <w:webHidden/>
              </w:rPr>
              <w:t>3</w:t>
            </w:r>
            <w:r w:rsidRPr="00CB2261">
              <w:rPr>
                <w:rFonts w:ascii="Arial" w:hAnsi="Arial" w:cs="Arial"/>
                <w:webHidden/>
              </w:rPr>
              <w:fldChar w:fldCharType="end"/>
            </w:r>
          </w:hyperlink>
        </w:p>
        <w:p w14:paraId="36CAD62D" w14:textId="572DF465" w:rsidR="00EE6465" w:rsidRPr="00CB2261" w:rsidRDefault="00EE6465" w:rsidP="00A11B33">
          <w:pPr>
            <w:pStyle w:val="TOC3"/>
            <w:tabs>
              <w:tab w:val="right" w:leader="dot" w:pos="9350"/>
            </w:tabs>
            <w:spacing w:line="360" w:lineRule="auto"/>
            <w:rPr>
              <w:rFonts w:ascii="Arial" w:eastAsiaTheme="minorEastAsia" w:hAnsi="Arial" w:cs="Arial"/>
            </w:rPr>
          </w:pPr>
          <w:hyperlink w:anchor="_Toc237011862" w:history="1">
            <w:r w:rsidRPr="00CB2261">
              <w:rPr>
                <w:rStyle w:val="Hyperlink"/>
                <w:rFonts w:ascii="Arial" w:hAnsi="Arial" w:cs="Arial"/>
              </w:rPr>
              <w:t>Technological Advancement</w:t>
            </w:r>
            <w:r w:rsidRPr="00CB2261">
              <w:rPr>
                <w:rFonts w:ascii="Arial" w:hAnsi="Arial" w:cs="Arial"/>
                <w:webHidden/>
              </w:rPr>
              <w:tab/>
            </w:r>
            <w:r w:rsidRPr="00CB2261">
              <w:rPr>
                <w:rFonts w:ascii="Arial" w:hAnsi="Arial" w:cs="Arial"/>
                <w:webHidden/>
              </w:rPr>
              <w:fldChar w:fldCharType="begin"/>
            </w:r>
            <w:r w:rsidRPr="00CB2261">
              <w:rPr>
                <w:rFonts w:ascii="Arial" w:hAnsi="Arial" w:cs="Arial"/>
                <w:webHidden/>
              </w:rPr>
              <w:instrText xml:space="preserve"> PAGEREF _Toc237011862 \h </w:instrText>
            </w:r>
            <w:r w:rsidRPr="00CB2261">
              <w:rPr>
                <w:rFonts w:ascii="Arial" w:hAnsi="Arial" w:cs="Arial"/>
                <w:webHidden/>
              </w:rPr>
            </w:r>
            <w:r w:rsidRPr="00CB2261">
              <w:rPr>
                <w:rFonts w:ascii="Arial" w:hAnsi="Arial" w:cs="Arial"/>
                <w:webHidden/>
              </w:rPr>
              <w:fldChar w:fldCharType="separate"/>
            </w:r>
            <w:r w:rsidRPr="00CB2261">
              <w:rPr>
                <w:rFonts w:ascii="Arial" w:hAnsi="Arial" w:cs="Arial"/>
                <w:webHidden/>
              </w:rPr>
              <w:t>3</w:t>
            </w:r>
            <w:r w:rsidRPr="00CB2261">
              <w:rPr>
                <w:rFonts w:ascii="Arial" w:hAnsi="Arial" w:cs="Arial"/>
                <w:webHidden/>
              </w:rPr>
              <w:fldChar w:fldCharType="end"/>
            </w:r>
          </w:hyperlink>
        </w:p>
        <w:p w14:paraId="1E873EBD" w14:textId="3E270C22" w:rsidR="00EE6465" w:rsidRPr="00CB2261" w:rsidRDefault="00EE6465" w:rsidP="00A11B33">
          <w:pPr>
            <w:pStyle w:val="TOC3"/>
            <w:tabs>
              <w:tab w:val="right" w:leader="dot" w:pos="9350"/>
            </w:tabs>
            <w:spacing w:line="360" w:lineRule="auto"/>
            <w:rPr>
              <w:rFonts w:ascii="Arial" w:eastAsiaTheme="minorEastAsia" w:hAnsi="Arial" w:cs="Arial"/>
            </w:rPr>
          </w:pPr>
          <w:hyperlink w:anchor="_Toc237011863" w:history="1">
            <w:r w:rsidRPr="00CB2261">
              <w:rPr>
                <w:rStyle w:val="Hyperlink"/>
                <w:rFonts w:ascii="Arial" w:hAnsi="Arial" w:cs="Arial"/>
              </w:rPr>
              <w:t>Talent Acquisition and Retention</w:t>
            </w:r>
            <w:r w:rsidRPr="00CB2261">
              <w:rPr>
                <w:rFonts w:ascii="Arial" w:hAnsi="Arial" w:cs="Arial"/>
                <w:webHidden/>
              </w:rPr>
              <w:tab/>
            </w:r>
            <w:r w:rsidRPr="00CB2261">
              <w:rPr>
                <w:rFonts w:ascii="Arial" w:hAnsi="Arial" w:cs="Arial"/>
                <w:webHidden/>
              </w:rPr>
              <w:fldChar w:fldCharType="begin"/>
            </w:r>
            <w:r w:rsidRPr="00CB2261">
              <w:rPr>
                <w:rFonts w:ascii="Arial" w:hAnsi="Arial" w:cs="Arial"/>
                <w:webHidden/>
              </w:rPr>
              <w:instrText xml:space="preserve"> PAGEREF _Toc237011863 \h </w:instrText>
            </w:r>
            <w:r w:rsidRPr="00CB2261">
              <w:rPr>
                <w:rFonts w:ascii="Arial" w:hAnsi="Arial" w:cs="Arial"/>
                <w:webHidden/>
              </w:rPr>
            </w:r>
            <w:r w:rsidRPr="00CB2261">
              <w:rPr>
                <w:rFonts w:ascii="Arial" w:hAnsi="Arial" w:cs="Arial"/>
                <w:webHidden/>
              </w:rPr>
              <w:fldChar w:fldCharType="separate"/>
            </w:r>
            <w:r w:rsidRPr="00CB2261">
              <w:rPr>
                <w:rFonts w:ascii="Arial" w:hAnsi="Arial" w:cs="Arial"/>
                <w:webHidden/>
              </w:rPr>
              <w:t>4</w:t>
            </w:r>
            <w:r w:rsidRPr="00CB2261">
              <w:rPr>
                <w:rFonts w:ascii="Arial" w:hAnsi="Arial" w:cs="Arial"/>
                <w:webHidden/>
              </w:rPr>
              <w:fldChar w:fldCharType="end"/>
            </w:r>
          </w:hyperlink>
        </w:p>
        <w:p w14:paraId="457E8997" w14:textId="275D5542" w:rsidR="00EE6465" w:rsidRPr="00CB2261" w:rsidRDefault="00EE6465" w:rsidP="00A11B33">
          <w:pPr>
            <w:pStyle w:val="TOC3"/>
            <w:tabs>
              <w:tab w:val="right" w:leader="dot" w:pos="9350"/>
            </w:tabs>
            <w:spacing w:line="360" w:lineRule="auto"/>
            <w:rPr>
              <w:rFonts w:ascii="Arial" w:eastAsiaTheme="minorEastAsia" w:hAnsi="Arial" w:cs="Arial"/>
            </w:rPr>
          </w:pPr>
          <w:hyperlink w:anchor="_Toc237011864" w:history="1">
            <w:r w:rsidRPr="00CB2261">
              <w:rPr>
                <w:rStyle w:val="Hyperlink"/>
                <w:rFonts w:ascii="Arial" w:hAnsi="Arial" w:cs="Arial"/>
              </w:rPr>
              <w:t>Diversity, Equity and Inclusion</w:t>
            </w:r>
            <w:r w:rsidRPr="00CB2261">
              <w:rPr>
                <w:rFonts w:ascii="Arial" w:hAnsi="Arial" w:cs="Arial"/>
                <w:webHidden/>
              </w:rPr>
              <w:tab/>
            </w:r>
            <w:r w:rsidRPr="00CB2261">
              <w:rPr>
                <w:rFonts w:ascii="Arial" w:hAnsi="Arial" w:cs="Arial"/>
                <w:webHidden/>
              </w:rPr>
              <w:fldChar w:fldCharType="begin"/>
            </w:r>
            <w:r w:rsidRPr="00CB2261">
              <w:rPr>
                <w:rFonts w:ascii="Arial" w:hAnsi="Arial" w:cs="Arial"/>
                <w:webHidden/>
              </w:rPr>
              <w:instrText xml:space="preserve"> PAGEREF _Toc237011864 \h </w:instrText>
            </w:r>
            <w:r w:rsidRPr="00CB2261">
              <w:rPr>
                <w:rFonts w:ascii="Arial" w:hAnsi="Arial" w:cs="Arial"/>
                <w:webHidden/>
              </w:rPr>
            </w:r>
            <w:r w:rsidRPr="00CB2261">
              <w:rPr>
                <w:rFonts w:ascii="Arial" w:hAnsi="Arial" w:cs="Arial"/>
                <w:webHidden/>
              </w:rPr>
              <w:fldChar w:fldCharType="separate"/>
            </w:r>
            <w:r w:rsidRPr="00CB2261">
              <w:rPr>
                <w:rFonts w:ascii="Arial" w:hAnsi="Arial" w:cs="Arial"/>
                <w:webHidden/>
              </w:rPr>
              <w:t>4</w:t>
            </w:r>
            <w:r w:rsidRPr="00CB2261">
              <w:rPr>
                <w:rFonts w:ascii="Arial" w:hAnsi="Arial" w:cs="Arial"/>
                <w:webHidden/>
              </w:rPr>
              <w:fldChar w:fldCharType="end"/>
            </w:r>
          </w:hyperlink>
        </w:p>
        <w:p w14:paraId="227130C9" w14:textId="160B9FAA" w:rsidR="00EE6465" w:rsidRPr="00CB2261" w:rsidRDefault="00EE6465" w:rsidP="00A11B33">
          <w:pPr>
            <w:pStyle w:val="TOC2"/>
            <w:tabs>
              <w:tab w:val="right" w:leader="dot" w:pos="9350"/>
            </w:tabs>
            <w:spacing w:line="360" w:lineRule="auto"/>
            <w:rPr>
              <w:rFonts w:ascii="Arial" w:eastAsiaTheme="minorEastAsia" w:hAnsi="Arial" w:cs="Arial"/>
            </w:rPr>
          </w:pPr>
          <w:hyperlink w:anchor="_Toc237011865" w:history="1">
            <w:r w:rsidRPr="00CB2261">
              <w:rPr>
                <w:rStyle w:val="Hyperlink"/>
                <w:rFonts w:ascii="Arial" w:hAnsi="Arial" w:cs="Arial"/>
              </w:rPr>
              <w:t>3. Evaluation of Contemporary HR Practices</w:t>
            </w:r>
            <w:r w:rsidRPr="00CB2261">
              <w:rPr>
                <w:rFonts w:ascii="Arial" w:hAnsi="Arial" w:cs="Arial"/>
                <w:webHidden/>
              </w:rPr>
              <w:tab/>
            </w:r>
            <w:r w:rsidRPr="00CB2261">
              <w:rPr>
                <w:rFonts w:ascii="Arial" w:hAnsi="Arial" w:cs="Arial"/>
                <w:webHidden/>
              </w:rPr>
              <w:fldChar w:fldCharType="begin"/>
            </w:r>
            <w:r w:rsidRPr="00CB2261">
              <w:rPr>
                <w:rFonts w:ascii="Arial" w:hAnsi="Arial" w:cs="Arial"/>
                <w:webHidden/>
              </w:rPr>
              <w:instrText xml:space="preserve"> PAGEREF _Toc237011865 \h </w:instrText>
            </w:r>
            <w:r w:rsidRPr="00CB2261">
              <w:rPr>
                <w:rFonts w:ascii="Arial" w:hAnsi="Arial" w:cs="Arial"/>
                <w:webHidden/>
              </w:rPr>
            </w:r>
            <w:r w:rsidRPr="00CB2261">
              <w:rPr>
                <w:rFonts w:ascii="Arial" w:hAnsi="Arial" w:cs="Arial"/>
                <w:webHidden/>
              </w:rPr>
              <w:fldChar w:fldCharType="separate"/>
            </w:r>
            <w:r w:rsidRPr="00CB2261">
              <w:rPr>
                <w:rFonts w:ascii="Arial" w:hAnsi="Arial" w:cs="Arial"/>
                <w:webHidden/>
              </w:rPr>
              <w:t>5</w:t>
            </w:r>
            <w:r w:rsidRPr="00CB2261">
              <w:rPr>
                <w:rFonts w:ascii="Arial" w:hAnsi="Arial" w:cs="Arial"/>
                <w:webHidden/>
              </w:rPr>
              <w:fldChar w:fldCharType="end"/>
            </w:r>
          </w:hyperlink>
        </w:p>
        <w:p w14:paraId="6B695B12" w14:textId="21FBE134" w:rsidR="00EE6465" w:rsidRPr="00CB2261" w:rsidRDefault="00EE6465" w:rsidP="00A11B33">
          <w:pPr>
            <w:pStyle w:val="TOC2"/>
            <w:tabs>
              <w:tab w:val="right" w:leader="dot" w:pos="9350"/>
            </w:tabs>
            <w:spacing w:line="360" w:lineRule="auto"/>
            <w:rPr>
              <w:rFonts w:ascii="Arial" w:eastAsiaTheme="minorEastAsia" w:hAnsi="Arial" w:cs="Arial"/>
            </w:rPr>
          </w:pPr>
          <w:hyperlink w:anchor="_Toc237011866" w:history="1">
            <w:r w:rsidRPr="00CB2261">
              <w:rPr>
                <w:rStyle w:val="Hyperlink"/>
                <w:rFonts w:ascii="Arial" w:hAnsi="Arial" w:cs="Arial"/>
              </w:rPr>
              <w:t>4. Critical Evaluation of Managerial Implementation</w:t>
            </w:r>
            <w:r w:rsidRPr="00CB2261">
              <w:rPr>
                <w:rFonts w:ascii="Arial" w:hAnsi="Arial" w:cs="Arial"/>
                <w:webHidden/>
              </w:rPr>
              <w:tab/>
            </w:r>
            <w:r w:rsidRPr="00CB2261">
              <w:rPr>
                <w:rFonts w:ascii="Arial" w:hAnsi="Arial" w:cs="Arial"/>
                <w:webHidden/>
              </w:rPr>
              <w:fldChar w:fldCharType="begin"/>
            </w:r>
            <w:r w:rsidRPr="00CB2261">
              <w:rPr>
                <w:rFonts w:ascii="Arial" w:hAnsi="Arial" w:cs="Arial"/>
                <w:webHidden/>
              </w:rPr>
              <w:instrText xml:space="preserve"> PAGEREF _Toc237011866 \h </w:instrText>
            </w:r>
            <w:r w:rsidRPr="00CB2261">
              <w:rPr>
                <w:rFonts w:ascii="Arial" w:hAnsi="Arial" w:cs="Arial"/>
                <w:webHidden/>
              </w:rPr>
            </w:r>
            <w:r w:rsidRPr="00CB2261">
              <w:rPr>
                <w:rFonts w:ascii="Arial" w:hAnsi="Arial" w:cs="Arial"/>
                <w:webHidden/>
              </w:rPr>
              <w:fldChar w:fldCharType="separate"/>
            </w:r>
            <w:r w:rsidRPr="00CB2261">
              <w:rPr>
                <w:rFonts w:ascii="Arial" w:hAnsi="Arial" w:cs="Arial"/>
                <w:webHidden/>
              </w:rPr>
              <w:t>6</w:t>
            </w:r>
            <w:r w:rsidRPr="00CB2261">
              <w:rPr>
                <w:rFonts w:ascii="Arial" w:hAnsi="Arial" w:cs="Arial"/>
                <w:webHidden/>
              </w:rPr>
              <w:fldChar w:fldCharType="end"/>
            </w:r>
          </w:hyperlink>
        </w:p>
        <w:p w14:paraId="43D7A964" w14:textId="04933F03" w:rsidR="00EE6465" w:rsidRPr="00CB2261" w:rsidRDefault="00EE6465" w:rsidP="00A11B33">
          <w:pPr>
            <w:pStyle w:val="TOC2"/>
            <w:tabs>
              <w:tab w:val="right" w:leader="dot" w:pos="9350"/>
            </w:tabs>
            <w:spacing w:line="360" w:lineRule="auto"/>
            <w:rPr>
              <w:rFonts w:ascii="Arial" w:eastAsiaTheme="minorEastAsia" w:hAnsi="Arial" w:cs="Arial"/>
            </w:rPr>
          </w:pPr>
          <w:hyperlink w:anchor="_Toc237011867" w:history="1">
            <w:r w:rsidRPr="00CB2261">
              <w:rPr>
                <w:rStyle w:val="Hyperlink"/>
                <w:rFonts w:ascii="Arial" w:hAnsi="Arial" w:cs="Arial"/>
              </w:rPr>
              <w:t>5. Recommendations</w:t>
            </w:r>
            <w:r w:rsidRPr="00CB2261">
              <w:rPr>
                <w:rFonts w:ascii="Arial" w:hAnsi="Arial" w:cs="Arial"/>
                <w:webHidden/>
              </w:rPr>
              <w:tab/>
            </w:r>
            <w:r w:rsidRPr="00CB2261">
              <w:rPr>
                <w:rFonts w:ascii="Arial" w:hAnsi="Arial" w:cs="Arial"/>
                <w:webHidden/>
              </w:rPr>
              <w:fldChar w:fldCharType="begin"/>
            </w:r>
            <w:r w:rsidRPr="00CB2261">
              <w:rPr>
                <w:rFonts w:ascii="Arial" w:hAnsi="Arial" w:cs="Arial"/>
                <w:webHidden/>
              </w:rPr>
              <w:instrText xml:space="preserve"> PAGEREF _Toc237011867 \h </w:instrText>
            </w:r>
            <w:r w:rsidRPr="00CB2261">
              <w:rPr>
                <w:rFonts w:ascii="Arial" w:hAnsi="Arial" w:cs="Arial"/>
                <w:webHidden/>
              </w:rPr>
            </w:r>
            <w:r w:rsidRPr="00CB2261">
              <w:rPr>
                <w:rFonts w:ascii="Arial" w:hAnsi="Arial" w:cs="Arial"/>
                <w:webHidden/>
              </w:rPr>
              <w:fldChar w:fldCharType="separate"/>
            </w:r>
            <w:r w:rsidRPr="00CB2261">
              <w:rPr>
                <w:rFonts w:ascii="Arial" w:hAnsi="Arial" w:cs="Arial"/>
                <w:webHidden/>
              </w:rPr>
              <w:t>7</w:t>
            </w:r>
            <w:r w:rsidRPr="00CB2261">
              <w:rPr>
                <w:rFonts w:ascii="Arial" w:hAnsi="Arial" w:cs="Arial"/>
                <w:webHidden/>
              </w:rPr>
              <w:fldChar w:fldCharType="end"/>
            </w:r>
          </w:hyperlink>
        </w:p>
        <w:p w14:paraId="438A31E0" w14:textId="31B554EB" w:rsidR="00EE6465" w:rsidRPr="00CB2261" w:rsidRDefault="00EE6465" w:rsidP="00A11B33">
          <w:pPr>
            <w:pStyle w:val="TOC2"/>
            <w:tabs>
              <w:tab w:val="right" w:leader="dot" w:pos="9350"/>
            </w:tabs>
            <w:spacing w:line="360" w:lineRule="auto"/>
            <w:rPr>
              <w:rFonts w:ascii="Arial" w:eastAsiaTheme="minorEastAsia" w:hAnsi="Arial" w:cs="Arial"/>
            </w:rPr>
          </w:pPr>
          <w:hyperlink w:anchor="_Toc237011868" w:history="1">
            <w:r w:rsidRPr="00CB2261">
              <w:rPr>
                <w:rStyle w:val="Hyperlink"/>
                <w:rFonts w:ascii="Arial" w:hAnsi="Arial" w:cs="Arial"/>
              </w:rPr>
              <w:t>6. Conclusion</w:t>
            </w:r>
            <w:r w:rsidRPr="00CB2261">
              <w:rPr>
                <w:rFonts w:ascii="Arial" w:hAnsi="Arial" w:cs="Arial"/>
                <w:webHidden/>
              </w:rPr>
              <w:tab/>
            </w:r>
            <w:r w:rsidRPr="00CB2261">
              <w:rPr>
                <w:rFonts w:ascii="Arial" w:hAnsi="Arial" w:cs="Arial"/>
                <w:webHidden/>
              </w:rPr>
              <w:fldChar w:fldCharType="begin"/>
            </w:r>
            <w:r w:rsidRPr="00CB2261">
              <w:rPr>
                <w:rFonts w:ascii="Arial" w:hAnsi="Arial" w:cs="Arial"/>
                <w:webHidden/>
              </w:rPr>
              <w:instrText xml:space="preserve"> PAGEREF _Toc237011868 \h </w:instrText>
            </w:r>
            <w:r w:rsidRPr="00CB2261">
              <w:rPr>
                <w:rFonts w:ascii="Arial" w:hAnsi="Arial" w:cs="Arial"/>
                <w:webHidden/>
              </w:rPr>
            </w:r>
            <w:r w:rsidRPr="00CB2261">
              <w:rPr>
                <w:rFonts w:ascii="Arial" w:hAnsi="Arial" w:cs="Arial"/>
                <w:webHidden/>
              </w:rPr>
              <w:fldChar w:fldCharType="separate"/>
            </w:r>
            <w:r w:rsidRPr="00CB2261">
              <w:rPr>
                <w:rFonts w:ascii="Arial" w:hAnsi="Arial" w:cs="Arial"/>
                <w:webHidden/>
              </w:rPr>
              <w:t>7</w:t>
            </w:r>
            <w:r w:rsidRPr="00CB2261">
              <w:rPr>
                <w:rFonts w:ascii="Arial" w:hAnsi="Arial" w:cs="Arial"/>
                <w:webHidden/>
              </w:rPr>
              <w:fldChar w:fldCharType="end"/>
            </w:r>
          </w:hyperlink>
        </w:p>
        <w:p w14:paraId="27A84255" w14:textId="15072ECB" w:rsidR="00EE6465" w:rsidRPr="00CB2261" w:rsidRDefault="00EE6465" w:rsidP="00A11B33">
          <w:pPr>
            <w:pStyle w:val="TOC1"/>
            <w:tabs>
              <w:tab w:val="right" w:leader="dot" w:pos="9350"/>
            </w:tabs>
            <w:spacing w:line="360" w:lineRule="auto"/>
            <w:rPr>
              <w:rFonts w:ascii="Arial" w:eastAsiaTheme="minorEastAsia" w:hAnsi="Arial" w:cs="Arial"/>
            </w:rPr>
          </w:pPr>
          <w:hyperlink w:anchor="_Toc237011869" w:history="1">
            <w:r w:rsidRPr="00CB2261">
              <w:rPr>
                <w:rStyle w:val="Hyperlink"/>
                <w:rFonts w:ascii="Arial" w:hAnsi="Arial" w:cs="Arial"/>
              </w:rPr>
              <w:t>Reference</w:t>
            </w:r>
            <w:r w:rsidRPr="00CB2261">
              <w:rPr>
                <w:rFonts w:ascii="Arial" w:hAnsi="Arial" w:cs="Arial"/>
                <w:webHidden/>
              </w:rPr>
              <w:tab/>
            </w:r>
            <w:r w:rsidRPr="00CB2261">
              <w:rPr>
                <w:rFonts w:ascii="Arial" w:hAnsi="Arial" w:cs="Arial"/>
                <w:webHidden/>
              </w:rPr>
              <w:fldChar w:fldCharType="begin"/>
            </w:r>
            <w:r w:rsidRPr="00CB2261">
              <w:rPr>
                <w:rFonts w:ascii="Arial" w:hAnsi="Arial" w:cs="Arial"/>
                <w:webHidden/>
              </w:rPr>
              <w:instrText xml:space="preserve"> PAGEREF _Toc237011869 \h </w:instrText>
            </w:r>
            <w:r w:rsidRPr="00CB2261">
              <w:rPr>
                <w:rFonts w:ascii="Arial" w:hAnsi="Arial" w:cs="Arial"/>
                <w:webHidden/>
              </w:rPr>
            </w:r>
            <w:r w:rsidRPr="00CB2261">
              <w:rPr>
                <w:rFonts w:ascii="Arial" w:hAnsi="Arial" w:cs="Arial"/>
                <w:webHidden/>
              </w:rPr>
              <w:fldChar w:fldCharType="separate"/>
            </w:r>
            <w:r w:rsidRPr="00CB2261">
              <w:rPr>
                <w:rFonts w:ascii="Arial" w:hAnsi="Arial" w:cs="Arial"/>
                <w:webHidden/>
              </w:rPr>
              <w:t>8</w:t>
            </w:r>
            <w:r w:rsidRPr="00CB2261">
              <w:rPr>
                <w:rFonts w:ascii="Arial" w:hAnsi="Arial" w:cs="Arial"/>
                <w:webHidden/>
              </w:rPr>
              <w:fldChar w:fldCharType="end"/>
            </w:r>
          </w:hyperlink>
        </w:p>
        <w:p w14:paraId="39C5DD88" w14:textId="7D057631" w:rsidR="000F7B4D" w:rsidRPr="00CB2261" w:rsidRDefault="000F7B4D" w:rsidP="00A11B33">
          <w:pPr>
            <w:spacing w:line="360" w:lineRule="auto"/>
            <w:rPr>
              <w:rFonts w:ascii="Arial" w:hAnsi="Arial" w:cs="Arial"/>
            </w:rPr>
          </w:pPr>
          <w:r w:rsidRPr="00CB2261">
            <w:rPr>
              <w:rFonts w:ascii="Arial" w:hAnsi="Arial" w:cs="Arial"/>
              <w:b/>
              <w:bCs/>
            </w:rPr>
            <w:fldChar w:fldCharType="end"/>
          </w:r>
        </w:p>
      </w:sdtContent>
    </w:sdt>
    <w:p w14:paraId="288A5FC8" w14:textId="77777777" w:rsidR="000F7B4D" w:rsidRPr="00CB2261" w:rsidRDefault="000F7B4D" w:rsidP="00A11B33">
      <w:pPr>
        <w:spacing w:line="360" w:lineRule="auto"/>
        <w:rPr>
          <w:rFonts w:ascii="Arial" w:eastAsia="Times New Roman" w:hAnsi="Arial" w:cs="Arial"/>
          <w:b/>
          <w:bCs/>
          <w:kern w:val="36"/>
          <w:sz w:val="28"/>
          <w:szCs w:val="48"/>
        </w:rPr>
      </w:pPr>
      <w:r w:rsidRPr="00CB2261">
        <w:rPr>
          <w:rFonts w:ascii="Arial" w:hAnsi="Arial" w:cs="Arial"/>
        </w:rPr>
        <w:br w:type="page"/>
      </w:r>
    </w:p>
    <w:p w14:paraId="0CFFFA66" w14:textId="1D5387B8" w:rsidR="00CD2DC2" w:rsidRPr="00CB2261" w:rsidRDefault="00CD2DC2" w:rsidP="00A11B33">
      <w:pPr>
        <w:pStyle w:val="Heading1"/>
        <w:rPr>
          <w:rFonts w:ascii="Arial" w:hAnsi="Arial" w:cs="Arial"/>
          <w:sz w:val="26"/>
          <w:szCs w:val="26"/>
        </w:rPr>
      </w:pPr>
      <w:bookmarkStart w:id="0" w:name="_Toc237011860"/>
      <w:r w:rsidRPr="00CB2261">
        <w:rPr>
          <w:rFonts w:ascii="Arial" w:hAnsi="Arial" w:cs="Arial"/>
          <w:sz w:val="26"/>
          <w:szCs w:val="26"/>
        </w:rPr>
        <w:lastRenderedPageBreak/>
        <w:t>1. Introduction</w:t>
      </w:r>
      <w:bookmarkEnd w:id="0"/>
    </w:p>
    <w:p w14:paraId="5335C563" w14:textId="6F193B11" w:rsidR="00CD2DC2" w:rsidRPr="00CB2261" w:rsidRDefault="00CD2DC2" w:rsidP="00A11B33">
      <w:pPr>
        <w:pStyle w:val="NormalWeb"/>
        <w:spacing w:line="360" w:lineRule="auto"/>
        <w:jc w:val="both"/>
        <w:rPr>
          <w:rFonts w:ascii="Arial" w:hAnsi="Arial" w:cs="Arial"/>
          <w:sz w:val="22"/>
          <w:szCs w:val="22"/>
        </w:rPr>
      </w:pPr>
      <w:r w:rsidRPr="00CB2261">
        <w:rPr>
          <w:rFonts w:ascii="Arial" w:hAnsi="Arial" w:cs="Arial"/>
          <w:sz w:val="22"/>
          <w:szCs w:val="22"/>
        </w:rPr>
        <w:t xml:space="preserve">Human resource management </w:t>
      </w:r>
      <w:r w:rsidR="00690E34" w:rsidRPr="00CB2261">
        <w:rPr>
          <w:rFonts w:ascii="Arial" w:hAnsi="Arial" w:cs="Arial"/>
          <w:sz w:val="22"/>
          <w:szCs w:val="22"/>
        </w:rPr>
        <w:t xml:space="preserve">is a pivotal role in human resource development, team management and ensuring business sustainability. Technology has been making a difference and remodelling the banking sector in change – making diversity and inclusion a top priority and attracting competitive talent. One of the big financial institutions in </w:t>
      </w:r>
      <w:r w:rsidR="006A4E7E" w:rsidRPr="00CB2261">
        <w:rPr>
          <w:rFonts w:ascii="Arial" w:hAnsi="Arial" w:cs="Arial"/>
          <w:sz w:val="22"/>
          <w:szCs w:val="22"/>
        </w:rPr>
        <w:t>United Kingdom</w:t>
      </w:r>
      <w:r w:rsidR="00690E34" w:rsidRPr="00CB2261">
        <w:rPr>
          <w:rFonts w:ascii="Arial" w:hAnsi="Arial" w:cs="Arial"/>
          <w:sz w:val="22"/>
          <w:szCs w:val="22"/>
        </w:rPr>
        <w:t xml:space="preserve"> that operates in a highly competitive and </w:t>
      </w:r>
      <w:r w:rsidR="008F356D" w:rsidRPr="00CB2261">
        <w:rPr>
          <w:rFonts w:ascii="Arial" w:hAnsi="Arial" w:cs="Arial"/>
          <w:sz w:val="22"/>
          <w:szCs w:val="22"/>
        </w:rPr>
        <w:t>techno literate</w:t>
      </w:r>
      <w:r w:rsidR="00690E34" w:rsidRPr="00CB2261">
        <w:rPr>
          <w:rFonts w:ascii="Arial" w:hAnsi="Arial" w:cs="Arial"/>
          <w:sz w:val="22"/>
          <w:szCs w:val="22"/>
        </w:rPr>
        <w:t xml:space="preserve"> world is Barclays PLC. Thus, it is important the organisation consistently has good HR practices around their employee to provide them with the tools, incentive and setting to help confirm the organisational objective. There are three current HR challenges which Barclays is facing: Technology, Talent Acquisition &amp; Retention and Diversity, Equity &amp; Inclusion (DEI). It assesses suitable HR practices and takes consideration of the way in which the departmental manager can carry these out.</w:t>
      </w:r>
    </w:p>
    <w:p w14:paraId="50E258DB" w14:textId="77777777" w:rsidR="00CD2DC2" w:rsidRPr="00CB2261" w:rsidRDefault="00CD2DC2" w:rsidP="00A11B33">
      <w:pPr>
        <w:pStyle w:val="Heading2"/>
        <w:rPr>
          <w:rFonts w:ascii="Arial" w:hAnsi="Arial" w:cs="Arial"/>
        </w:rPr>
      </w:pPr>
      <w:bookmarkStart w:id="1" w:name="_Toc237011861"/>
      <w:r w:rsidRPr="00CB2261">
        <w:rPr>
          <w:rFonts w:ascii="Arial" w:hAnsi="Arial" w:cs="Arial"/>
        </w:rPr>
        <w:t>2. Key Contemporary HR Challenges at Barclays PLC</w:t>
      </w:r>
      <w:bookmarkEnd w:id="1"/>
    </w:p>
    <w:p w14:paraId="1677A6FF" w14:textId="77777777" w:rsidR="00CD2DC2" w:rsidRPr="00CB2261" w:rsidRDefault="00CD2DC2" w:rsidP="00A11B33">
      <w:pPr>
        <w:pStyle w:val="Heading3"/>
      </w:pPr>
      <w:bookmarkStart w:id="2" w:name="_Toc237011862"/>
      <w:r w:rsidRPr="00CB2261">
        <w:t>Technological Advancement</w:t>
      </w:r>
      <w:bookmarkEnd w:id="2"/>
    </w:p>
    <w:p w14:paraId="4196B779" w14:textId="4E9C394D" w:rsidR="00C415EF" w:rsidRPr="00CB2261" w:rsidRDefault="00C415EF" w:rsidP="00A11B33">
      <w:pPr>
        <w:pStyle w:val="NormalWeb"/>
        <w:spacing w:line="360" w:lineRule="auto"/>
        <w:jc w:val="both"/>
        <w:rPr>
          <w:rFonts w:ascii="Arial" w:hAnsi="Arial" w:cs="Arial"/>
          <w:sz w:val="22"/>
          <w:szCs w:val="22"/>
        </w:rPr>
      </w:pPr>
      <w:r w:rsidRPr="00CB2261">
        <w:rPr>
          <w:rFonts w:ascii="Arial" w:hAnsi="Arial" w:cs="Arial"/>
          <w:sz w:val="22"/>
          <w:szCs w:val="22"/>
        </w:rPr>
        <w:t xml:space="preserve">Technology is transforming the banking industry through digital banking, automation, artificial intelligence, data analytics and other emerging technologies. Technology for Barclays, could be a better means of improving the service, efficiency and </w:t>
      </w:r>
      <w:r w:rsidR="009C062D" w:rsidRPr="00CB2261">
        <w:rPr>
          <w:rFonts w:ascii="Arial" w:hAnsi="Arial" w:cs="Arial"/>
          <w:sz w:val="22"/>
          <w:szCs w:val="22"/>
        </w:rPr>
        <w:t>decision-making</w:t>
      </w:r>
      <w:r w:rsidRPr="00CB2261">
        <w:rPr>
          <w:rFonts w:ascii="Arial" w:hAnsi="Arial" w:cs="Arial"/>
          <w:sz w:val="22"/>
          <w:szCs w:val="22"/>
        </w:rPr>
        <w:t xml:space="preserve"> capabilities of their customers. It also brings huge HR issues as employees must also have new technical and digital competencies at all times (Kutaula et al., 2026).</w:t>
      </w:r>
    </w:p>
    <w:p w14:paraId="4E096F27" w14:textId="77777777" w:rsidR="00C415EF" w:rsidRPr="00CB2261" w:rsidRDefault="00C415EF" w:rsidP="00A11B33">
      <w:pPr>
        <w:pStyle w:val="NormalWeb"/>
        <w:spacing w:line="360" w:lineRule="auto"/>
        <w:jc w:val="both"/>
        <w:rPr>
          <w:rFonts w:ascii="Arial" w:hAnsi="Arial" w:cs="Arial"/>
          <w:sz w:val="22"/>
          <w:szCs w:val="22"/>
        </w:rPr>
      </w:pPr>
      <w:r w:rsidRPr="00CB2261">
        <w:rPr>
          <w:rFonts w:ascii="Arial" w:hAnsi="Arial" w:cs="Arial"/>
          <w:sz w:val="22"/>
          <w:szCs w:val="22"/>
        </w:rPr>
        <w:t>Some of the basic administrative duties can be automated, while there are others like data analysis, cybersecurity, digital technologies and Artificial Intelligence (AI) that will experience increased demand for employees (Luthia, 2023). It can confuse employees on the changes that technology will bring to their jobs and establish a workplace that can make workers feel they are left out. This might contribute to a lesser employee involvement and morale, in the event that the uncertainty is not addressed correctly.</w:t>
      </w:r>
    </w:p>
    <w:p w14:paraId="518C2653" w14:textId="2627645E" w:rsidR="00CD2DC2" w:rsidRPr="00CB2261" w:rsidRDefault="00C415EF" w:rsidP="00A11B33">
      <w:pPr>
        <w:pStyle w:val="NormalWeb"/>
        <w:spacing w:line="360" w:lineRule="auto"/>
        <w:jc w:val="both"/>
        <w:rPr>
          <w:rFonts w:ascii="Arial" w:hAnsi="Arial" w:cs="Arial"/>
          <w:sz w:val="22"/>
          <w:szCs w:val="22"/>
        </w:rPr>
      </w:pPr>
      <w:r w:rsidRPr="00CB2261">
        <w:rPr>
          <w:rFonts w:ascii="Arial" w:hAnsi="Arial" w:cs="Arial"/>
          <w:sz w:val="22"/>
          <w:szCs w:val="22"/>
        </w:rPr>
        <w:t xml:space="preserve">Technological change is therefore a </w:t>
      </w:r>
      <w:r w:rsidR="009C062D" w:rsidRPr="00CB2261">
        <w:rPr>
          <w:rFonts w:ascii="Arial" w:hAnsi="Arial" w:cs="Arial"/>
          <w:sz w:val="22"/>
          <w:szCs w:val="22"/>
        </w:rPr>
        <w:t>business-as-usual</w:t>
      </w:r>
      <w:r w:rsidRPr="00CB2261">
        <w:rPr>
          <w:rFonts w:ascii="Arial" w:hAnsi="Arial" w:cs="Arial"/>
          <w:sz w:val="22"/>
          <w:szCs w:val="22"/>
        </w:rPr>
        <w:t xml:space="preserve"> issue for Barclays – but also a people management issue as well. HR planning needs to foresee future skill requirements and match these with existing skills and capacities. Depending on this, custom training &amp; development should be designed and carried out for the employees. Effective management systems may also help </w:t>
      </w:r>
      <w:r w:rsidRPr="00CB2261">
        <w:rPr>
          <w:rFonts w:ascii="Arial" w:hAnsi="Arial" w:cs="Arial"/>
          <w:sz w:val="22"/>
          <w:szCs w:val="22"/>
        </w:rPr>
        <w:lastRenderedPageBreak/>
        <w:t>managers determine what areas a worker needs to improve upon and create objectives for this job growth. The real issue is to have a human investment on a par with the technological one.</w:t>
      </w:r>
    </w:p>
    <w:p w14:paraId="08A720B0" w14:textId="77777777" w:rsidR="00CD2DC2" w:rsidRPr="00CB2261" w:rsidRDefault="00CD2DC2" w:rsidP="00A11B33">
      <w:pPr>
        <w:pStyle w:val="Heading3"/>
      </w:pPr>
      <w:bookmarkStart w:id="3" w:name="_Toc237011863"/>
      <w:r w:rsidRPr="00CB2261">
        <w:t>Talent Acquisition and Retention</w:t>
      </w:r>
      <w:bookmarkEnd w:id="3"/>
    </w:p>
    <w:p w14:paraId="70C1BD26" w14:textId="77777777" w:rsidR="006D08BD" w:rsidRPr="00CB2261" w:rsidRDefault="006D08BD" w:rsidP="00A11B33">
      <w:pPr>
        <w:pStyle w:val="NormalWeb"/>
        <w:spacing w:line="360" w:lineRule="auto"/>
        <w:jc w:val="both"/>
        <w:rPr>
          <w:rFonts w:ascii="Arial" w:hAnsi="Arial" w:cs="Arial"/>
          <w:sz w:val="22"/>
          <w:szCs w:val="22"/>
        </w:rPr>
      </w:pPr>
      <w:r w:rsidRPr="00CB2261">
        <w:rPr>
          <w:rFonts w:ascii="Arial" w:hAnsi="Arial" w:cs="Arial"/>
          <w:sz w:val="22"/>
          <w:szCs w:val="22"/>
        </w:rPr>
        <w:t>Acquiring and keeping top talent is one of Barclays' challenges. Highly skilled employees may be drawn to the financial services industry by competition from technology firms, fintech firms and other financial institutions (Jaworek and Stuss, 2025). Staff who possess technological skills and knowledge, have strong background knowledge in finance, risk management, cybersecurity and data are instrumental assets for staff.</w:t>
      </w:r>
    </w:p>
    <w:p w14:paraId="538257A2" w14:textId="77777777" w:rsidR="006D08BD" w:rsidRPr="00CB2261" w:rsidRDefault="006D08BD" w:rsidP="00A11B33">
      <w:pPr>
        <w:pStyle w:val="NormalWeb"/>
        <w:spacing w:line="360" w:lineRule="auto"/>
        <w:jc w:val="both"/>
        <w:rPr>
          <w:rFonts w:ascii="Arial" w:hAnsi="Arial" w:cs="Arial"/>
          <w:sz w:val="22"/>
          <w:szCs w:val="22"/>
        </w:rPr>
      </w:pPr>
      <w:r w:rsidRPr="00CB2261">
        <w:rPr>
          <w:rFonts w:ascii="Arial" w:hAnsi="Arial" w:cs="Arial"/>
          <w:sz w:val="22"/>
          <w:szCs w:val="22"/>
        </w:rPr>
        <w:t>A failure to provide opportunities for employees to advance or feel managed in their jobs will result in their departure, as will poor management and job satisfaction. As a result, wherever possible, Barclays should be delivering a value proposition to employees that is sufficiently attractive to offer rewards and learning opportunities commensurate with the other attractive options on the market, growth, flexible working and a positive culture that befits such a large corporation (Hennekam et al., 2026).</w:t>
      </w:r>
    </w:p>
    <w:p w14:paraId="391D7B15" w14:textId="4A68D35E" w:rsidR="00CD2DC2" w:rsidRPr="00CB2261" w:rsidRDefault="006D08BD" w:rsidP="00A11B33">
      <w:pPr>
        <w:pStyle w:val="NormalWeb"/>
        <w:spacing w:line="360" w:lineRule="auto"/>
        <w:jc w:val="both"/>
        <w:rPr>
          <w:rFonts w:ascii="Arial" w:hAnsi="Arial" w:cs="Arial"/>
          <w:sz w:val="22"/>
          <w:szCs w:val="22"/>
        </w:rPr>
      </w:pPr>
      <w:r w:rsidRPr="00CB2261">
        <w:rPr>
          <w:rFonts w:ascii="Arial" w:hAnsi="Arial" w:cs="Arial"/>
          <w:sz w:val="22"/>
          <w:szCs w:val="22"/>
        </w:rPr>
        <w:t>Additional traits linked to effective performance administration are other worker retention. Provide frequent feedback, recognize employees' achievements and inform persons about the work done collaboratively to achieve the organization's goals. Effective ongoing employee training programs can engender loyalty and encourage talented employees to seek career advancement within the organization.</w:t>
      </w:r>
    </w:p>
    <w:p w14:paraId="3B07ADDE" w14:textId="77777777" w:rsidR="00CD2DC2" w:rsidRPr="00CB2261" w:rsidRDefault="00CD2DC2" w:rsidP="00A11B33">
      <w:pPr>
        <w:pStyle w:val="Heading3"/>
      </w:pPr>
      <w:bookmarkStart w:id="4" w:name="_Toc237011864"/>
      <w:r w:rsidRPr="00CB2261">
        <w:t>Diversity, Equity and Inclusion</w:t>
      </w:r>
      <w:bookmarkEnd w:id="4"/>
    </w:p>
    <w:p w14:paraId="72862DC2" w14:textId="31F3B98E" w:rsidR="008464DC" w:rsidRPr="00CB2261" w:rsidRDefault="008464DC" w:rsidP="00A11B33">
      <w:pPr>
        <w:pStyle w:val="NormalWeb"/>
        <w:spacing w:line="360" w:lineRule="auto"/>
        <w:jc w:val="both"/>
        <w:rPr>
          <w:rFonts w:ascii="Arial" w:hAnsi="Arial" w:cs="Arial"/>
          <w:sz w:val="22"/>
          <w:szCs w:val="22"/>
        </w:rPr>
      </w:pPr>
      <w:r w:rsidRPr="00CB2261">
        <w:rPr>
          <w:rFonts w:ascii="Arial" w:hAnsi="Arial" w:cs="Arial"/>
          <w:sz w:val="22"/>
          <w:szCs w:val="22"/>
        </w:rPr>
        <w:t xml:space="preserve">Organisations are increasingly operating in a complex and diverse world and it is increasingly important to have DEI in place. The prediction of areas where effective DEI practice can support was identified by Barclays (2024) as TEO and innovation in the </w:t>
      </w:r>
      <w:r w:rsidR="00E22F91" w:rsidRPr="00CB2261">
        <w:rPr>
          <w:rFonts w:ascii="Arial" w:hAnsi="Arial" w:cs="Arial"/>
          <w:sz w:val="22"/>
          <w:szCs w:val="22"/>
        </w:rPr>
        <w:t>workplace. Barclays</w:t>
      </w:r>
      <w:r w:rsidRPr="00CB2261">
        <w:rPr>
          <w:rFonts w:ascii="Arial" w:hAnsi="Arial" w:cs="Arial"/>
          <w:sz w:val="22"/>
          <w:szCs w:val="22"/>
        </w:rPr>
        <w:t xml:space="preserve"> believe that good DEI practice can support their overall employee engagement and innovation, the organization's reputation and access to opportunities, all while maintaining fairness in the organization (Pradhan et al, 2026). A diverse team of people with different experiences and points of view, can provide value in the </w:t>
      </w:r>
      <w:r w:rsidR="00E22F91" w:rsidRPr="00CB2261">
        <w:rPr>
          <w:rFonts w:ascii="Arial" w:hAnsi="Arial" w:cs="Arial"/>
          <w:sz w:val="22"/>
          <w:szCs w:val="22"/>
        </w:rPr>
        <w:t>decision-making</w:t>
      </w:r>
      <w:r w:rsidRPr="00CB2261">
        <w:rPr>
          <w:rFonts w:ascii="Arial" w:hAnsi="Arial" w:cs="Arial"/>
          <w:sz w:val="22"/>
          <w:szCs w:val="22"/>
        </w:rPr>
        <w:t xml:space="preserve"> process, for a financial services organization involving customers.</w:t>
      </w:r>
    </w:p>
    <w:p w14:paraId="209661CA" w14:textId="77777777" w:rsidR="008464DC" w:rsidRPr="00CB2261" w:rsidRDefault="008464DC" w:rsidP="00A11B33">
      <w:pPr>
        <w:pStyle w:val="NormalWeb"/>
        <w:spacing w:line="360" w:lineRule="auto"/>
        <w:jc w:val="both"/>
        <w:rPr>
          <w:rFonts w:ascii="Arial" w:hAnsi="Arial" w:cs="Arial"/>
          <w:sz w:val="22"/>
          <w:szCs w:val="22"/>
        </w:rPr>
      </w:pPr>
      <w:r w:rsidRPr="00CB2261">
        <w:rPr>
          <w:rFonts w:ascii="Arial" w:hAnsi="Arial" w:cs="Arial"/>
          <w:sz w:val="22"/>
          <w:szCs w:val="22"/>
        </w:rPr>
        <w:lastRenderedPageBreak/>
        <w:t>Diversity cannot be put into place with recruitment targets. It's also important that staff also experience a workplace that is inclusive, where people are respected, treated fairly and have opportunities for career development. Equality should also be observed in relation to recruiting and selection, performance management and promotion, development and succession planning of existing leaders and staff- in the case of Barclays.</w:t>
      </w:r>
    </w:p>
    <w:p w14:paraId="5026E252" w14:textId="44325507" w:rsidR="00CD2DC2" w:rsidRPr="00CB2261" w:rsidRDefault="008464DC" w:rsidP="00A11B33">
      <w:pPr>
        <w:pStyle w:val="NormalWeb"/>
        <w:spacing w:line="360" w:lineRule="auto"/>
        <w:jc w:val="both"/>
        <w:rPr>
          <w:rFonts w:ascii="Arial" w:hAnsi="Arial" w:cs="Arial"/>
          <w:sz w:val="22"/>
          <w:szCs w:val="22"/>
        </w:rPr>
      </w:pPr>
      <w:r w:rsidRPr="00CB2261">
        <w:rPr>
          <w:rFonts w:ascii="Arial" w:hAnsi="Arial" w:cs="Arial"/>
          <w:sz w:val="22"/>
          <w:szCs w:val="22"/>
        </w:rPr>
        <w:t>Managers need to be a key stakeholder in fostering inclusion as their experience of the culture through the people who they interact with, including managers, plays a strong and pivotal role in shaping how they feel. Bad management practises, lack of awareness of cultural differences or unequal opportunity to develop could hinder formal DEI polices.</w:t>
      </w:r>
    </w:p>
    <w:p w14:paraId="7EC54BB6" w14:textId="77777777" w:rsidR="00CD2DC2" w:rsidRPr="00CB2261" w:rsidRDefault="00CD2DC2" w:rsidP="00A11B33">
      <w:pPr>
        <w:pStyle w:val="Heading2"/>
        <w:rPr>
          <w:rFonts w:ascii="Arial" w:hAnsi="Arial" w:cs="Arial"/>
        </w:rPr>
      </w:pPr>
      <w:bookmarkStart w:id="5" w:name="_Toc237011865"/>
      <w:r w:rsidRPr="00CB2261">
        <w:rPr>
          <w:rFonts w:ascii="Arial" w:hAnsi="Arial" w:cs="Arial"/>
        </w:rPr>
        <w:t>3. Evaluation of Contemporary HR Practices</w:t>
      </w:r>
      <w:bookmarkEnd w:id="5"/>
    </w:p>
    <w:p w14:paraId="6262274D" w14:textId="77777777" w:rsidR="00A857E0" w:rsidRPr="00CB2261" w:rsidRDefault="00A857E0" w:rsidP="00A11B33">
      <w:pPr>
        <w:pStyle w:val="NormalWeb"/>
        <w:spacing w:line="360" w:lineRule="auto"/>
        <w:jc w:val="both"/>
        <w:rPr>
          <w:rFonts w:ascii="Arial" w:hAnsi="Arial" w:cs="Arial"/>
          <w:sz w:val="22"/>
          <w:szCs w:val="22"/>
        </w:rPr>
      </w:pPr>
      <w:r w:rsidRPr="00CB2261">
        <w:rPr>
          <w:rFonts w:ascii="Arial" w:hAnsi="Arial" w:cs="Arial"/>
          <w:sz w:val="22"/>
          <w:szCs w:val="22"/>
        </w:rPr>
        <w:t>In response to these challenges, Barclays can employ some of the modern HR practices to have options. One of the strategies that must be adopted is the digital HR system and workforce analytics. HR analytics can assist managers to recognise patterns in the workforce, lack of key skills, employee turnaround and talent development. This can help organisation's workforce planning and enable Barclays to base their HR decisions on evidence. However, when there is too much data, then there is a problem – it can prevent that awareness of the context of each employee moving through the work. (Rugg-Gunn 2023) That wouldn't be workforce analytics replacing managers' decision making; it would be allowing the information of workforce analytics to complete the managers' decision making.</w:t>
      </w:r>
    </w:p>
    <w:p w14:paraId="6A8AA1D7" w14:textId="0BAD4FC3" w:rsidR="00A857E0" w:rsidRPr="00CB2261" w:rsidRDefault="00A857E0" w:rsidP="00A11B33">
      <w:pPr>
        <w:pStyle w:val="NormalWeb"/>
        <w:spacing w:line="360" w:lineRule="auto"/>
        <w:jc w:val="both"/>
        <w:rPr>
          <w:rFonts w:ascii="Arial" w:hAnsi="Arial" w:cs="Arial"/>
          <w:sz w:val="22"/>
          <w:szCs w:val="22"/>
        </w:rPr>
      </w:pPr>
      <w:r w:rsidRPr="00CB2261">
        <w:rPr>
          <w:rFonts w:ascii="Arial" w:hAnsi="Arial" w:cs="Arial"/>
          <w:sz w:val="22"/>
          <w:szCs w:val="22"/>
        </w:rPr>
        <w:t xml:space="preserve">SWP is also relevant because it's crucial for Barclays to be well equipped with the appropriate skills in the future to run </w:t>
      </w:r>
      <w:r w:rsidR="0055793A" w:rsidRPr="00CB2261">
        <w:rPr>
          <w:rFonts w:ascii="Arial" w:hAnsi="Arial" w:cs="Arial"/>
          <w:sz w:val="22"/>
          <w:szCs w:val="22"/>
        </w:rPr>
        <w:t>its</w:t>
      </w:r>
      <w:r w:rsidRPr="00CB2261">
        <w:rPr>
          <w:rFonts w:ascii="Arial" w:hAnsi="Arial" w:cs="Arial"/>
          <w:sz w:val="22"/>
          <w:szCs w:val="22"/>
        </w:rPr>
        <w:t xml:space="preserve"> banking operations. Reskilling and upskilling of the current workforce could help the organisation to build up its workforce internally instead of investing in external recruitment. This can help to reduce skills gaps, and improve employee engagement (Lawton et al, 2024). Financial investment and time into employees are also required in training programmes and not all employees will work as quickly with new technology.</w:t>
      </w:r>
    </w:p>
    <w:p w14:paraId="636FB262" w14:textId="77777777" w:rsidR="00A857E0" w:rsidRPr="00CB2261" w:rsidRDefault="00A857E0" w:rsidP="00A11B33">
      <w:pPr>
        <w:pStyle w:val="NormalWeb"/>
        <w:spacing w:line="360" w:lineRule="auto"/>
        <w:jc w:val="both"/>
        <w:rPr>
          <w:rFonts w:ascii="Arial" w:hAnsi="Arial" w:cs="Arial"/>
          <w:sz w:val="22"/>
          <w:szCs w:val="22"/>
        </w:rPr>
      </w:pPr>
      <w:r w:rsidRPr="00CB2261">
        <w:rPr>
          <w:rFonts w:ascii="Arial" w:hAnsi="Arial" w:cs="Arial"/>
          <w:sz w:val="22"/>
          <w:szCs w:val="22"/>
        </w:rPr>
        <w:t xml:space="preserve">Employee Engagement and Retention strategies can also be put in place to further improve the Barclays' workforce. Employees can have a better sense of being dedicated when their communication, recognition, career development and flexible working conditions are in place, as are positive management practices. Hence, frequent dialogue with employees about their aims and growth is recommended for managers, instead of letting it come at the end of an employee's </w:t>
      </w:r>
      <w:r w:rsidRPr="00CB2261">
        <w:rPr>
          <w:rFonts w:ascii="Arial" w:hAnsi="Arial" w:cs="Arial"/>
          <w:sz w:val="22"/>
          <w:szCs w:val="22"/>
        </w:rPr>
        <w:lastRenderedPageBreak/>
        <w:t>performance reviewing time (Gaviyau and Godi, 2025). However, retention measures should be applied throughout with consistency as employees could feel singled out if the opportunities are only given to a specific group.</w:t>
      </w:r>
    </w:p>
    <w:p w14:paraId="4F1B4E6A" w14:textId="3D8237D2" w:rsidR="00A857E0" w:rsidRPr="00CB2261" w:rsidRDefault="00A857E0" w:rsidP="00A11B33">
      <w:pPr>
        <w:pStyle w:val="NormalWeb"/>
        <w:spacing w:line="360" w:lineRule="auto"/>
        <w:jc w:val="both"/>
        <w:rPr>
          <w:rFonts w:ascii="Arial" w:hAnsi="Arial" w:cs="Arial"/>
          <w:sz w:val="22"/>
          <w:szCs w:val="22"/>
        </w:rPr>
      </w:pPr>
      <w:r w:rsidRPr="00CB2261">
        <w:rPr>
          <w:rFonts w:ascii="Arial" w:hAnsi="Arial" w:cs="Arial"/>
          <w:sz w:val="22"/>
          <w:szCs w:val="22"/>
        </w:rPr>
        <w:t xml:space="preserve">There is inclusive recruitment, as well. Fair employment practices allow Barclays to recruit a more diverse population of people who could fit the job, via a structured selection </w:t>
      </w:r>
      <w:r w:rsidR="000F56DC" w:rsidRPr="00CB2261">
        <w:rPr>
          <w:rFonts w:ascii="Arial" w:hAnsi="Arial" w:cs="Arial"/>
          <w:sz w:val="22"/>
          <w:szCs w:val="22"/>
        </w:rPr>
        <w:t>criterion</w:t>
      </w:r>
      <w:r w:rsidRPr="00CB2261">
        <w:rPr>
          <w:rFonts w:ascii="Arial" w:hAnsi="Arial" w:cs="Arial"/>
          <w:sz w:val="22"/>
          <w:szCs w:val="22"/>
        </w:rPr>
        <w:t>. These practices can be used to reduce the likelihood of a bias in recruitment process. However, if employees do not receive equal opportunities to be promoted or there is a bad work atmosphere, the benefits will be negligible if there is no inclusive hiring. Thus, any action towards DEI should be a journey that is integrated into the employee lifecycle.</w:t>
      </w:r>
    </w:p>
    <w:p w14:paraId="1398F8F3" w14:textId="6382253F" w:rsidR="00CD2DC2" w:rsidRPr="00CB2261" w:rsidRDefault="00A857E0" w:rsidP="00A11B33">
      <w:pPr>
        <w:pStyle w:val="NormalWeb"/>
        <w:spacing w:line="360" w:lineRule="auto"/>
        <w:jc w:val="both"/>
        <w:rPr>
          <w:rFonts w:ascii="Arial" w:hAnsi="Arial" w:cs="Arial"/>
          <w:sz w:val="22"/>
          <w:szCs w:val="22"/>
        </w:rPr>
      </w:pPr>
      <w:r w:rsidRPr="00CB2261">
        <w:rPr>
          <w:rFonts w:ascii="Arial" w:hAnsi="Arial" w:cs="Arial"/>
          <w:sz w:val="22"/>
          <w:szCs w:val="22"/>
        </w:rPr>
        <w:t>Essential as well is leadership development. Training Management on Inclusive Leadership Concepts, Communication Concept, Employee Development Concept, dealing with technological changes (Chindasombatcharoen, 2026).</w:t>
      </w:r>
    </w:p>
    <w:p w14:paraId="6E934556" w14:textId="6382253F" w:rsidR="00CD2DC2" w:rsidRPr="00CB2261" w:rsidRDefault="00CD2DC2" w:rsidP="00A11B33">
      <w:pPr>
        <w:pStyle w:val="Heading2"/>
        <w:rPr>
          <w:rFonts w:ascii="Arial" w:hAnsi="Arial" w:cs="Arial"/>
        </w:rPr>
      </w:pPr>
      <w:bookmarkStart w:id="6" w:name="_Toc237011866"/>
      <w:r w:rsidRPr="00CB2261">
        <w:rPr>
          <w:rFonts w:ascii="Arial" w:hAnsi="Arial" w:cs="Arial"/>
        </w:rPr>
        <w:t>4. Critical Evaluation of Managerial Implementation</w:t>
      </w:r>
      <w:bookmarkEnd w:id="6"/>
    </w:p>
    <w:p w14:paraId="7AC215BD" w14:textId="7588819C" w:rsidR="00B52FC4" w:rsidRPr="00CB2261" w:rsidRDefault="00B52FC4" w:rsidP="00A11B33">
      <w:pPr>
        <w:pStyle w:val="NormalWeb"/>
        <w:spacing w:line="360" w:lineRule="auto"/>
        <w:jc w:val="both"/>
        <w:rPr>
          <w:rFonts w:ascii="Arial" w:hAnsi="Arial" w:cs="Arial"/>
          <w:sz w:val="22"/>
          <w:szCs w:val="22"/>
        </w:rPr>
      </w:pPr>
      <w:r w:rsidRPr="00CB2261">
        <w:rPr>
          <w:rFonts w:ascii="Arial" w:hAnsi="Arial" w:cs="Arial"/>
          <w:sz w:val="22"/>
          <w:szCs w:val="22"/>
        </w:rPr>
        <w:t xml:space="preserve">The truth is that one of the biggest challenges that Barclays is facing is due to the fact that technology is advancing at a rapid pace, and there are an increasing number of talent shortages along with the immense need for diversity, equity and inclusion (DEI). Here are challenges that have a direct impact on employee engagement, organizational sustainability and overall business performance. The digital transformation of the banking industry makes it crucial that Barclays' people have the skills, flexibility and passion on their own to stay competitive in an ever-changing business landscape. Meanwhile, the financial services sector has been virtually raiding talent, going to great lengths to recruit and retain top talent, since the go/no-go decision was made to plug skill </w:t>
      </w:r>
      <w:r w:rsidR="00890CDB" w:rsidRPr="00CB2261">
        <w:rPr>
          <w:rFonts w:ascii="Arial" w:hAnsi="Arial" w:cs="Arial"/>
          <w:sz w:val="22"/>
          <w:szCs w:val="22"/>
        </w:rPr>
        <w:t>gaps. Meanwhile</w:t>
      </w:r>
      <w:r w:rsidRPr="00CB2261">
        <w:rPr>
          <w:rFonts w:ascii="Arial" w:hAnsi="Arial" w:cs="Arial"/>
          <w:sz w:val="22"/>
          <w:szCs w:val="22"/>
        </w:rPr>
        <w:t>, with a fierce race on talent, it is more challenging for financial services companies to attract and retain top talent in order to fill the skill gaps.</w:t>
      </w:r>
    </w:p>
    <w:p w14:paraId="714BE219" w14:textId="72F0D8D7" w:rsidR="00B52FC4" w:rsidRPr="00CB2261" w:rsidRDefault="00B52FC4" w:rsidP="00A11B33">
      <w:pPr>
        <w:pStyle w:val="NormalWeb"/>
        <w:spacing w:line="360" w:lineRule="auto"/>
        <w:jc w:val="both"/>
        <w:rPr>
          <w:rFonts w:ascii="Arial" w:hAnsi="Arial" w:cs="Arial"/>
          <w:sz w:val="22"/>
          <w:szCs w:val="22"/>
        </w:rPr>
      </w:pPr>
      <w:r w:rsidRPr="00CB2261">
        <w:rPr>
          <w:rFonts w:ascii="Arial" w:hAnsi="Arial" w:cs="Arial"/>
          <w:sz w:val="22"/>
          <w:szCs w:val="22"/>
        </w:rPr>
        <w:t xml:space="preserve">In tandem, some of their challenges may be addressed with improved Digital HR tools, through innovative technology that will facilitate HR processes and give the employee experience a whole new dimension. Workforce data can be aggregated into a work truism (also called workforce analytics) that can be used to inform and guide intuitive decision making which can result in more valuable information on employee performance, engagement, turnover and planned workforce needs. The following table (Table 20: HR restructuring) offers a similar outlook to strategic </w:t>
      </w:r>
      <w:r w:rsidRPr="00CB2261">
        <w:rPr>
          <w:rFonts w:ascii="Arial" w:hAnsi="Arial" w:cs="Arial"/>
          <w:sz w:val="22"/>
          <w:szCs w:val="22"/>
        </w:rPr>
        <w:lastRenderedPageBreak/>
        <w:t>workforce planning on the potential for variation in skills requirements over the next 5 years in terms of variety, complexity, and the number of the required professions, trades and occupations.</w:t>
      </w:r>
    </w:p>
    <w:p w14:paraId="01FBF08B" w14:textId="3239EAC8" w:rsidR="00B52FC4" w:rsidRPr="00CB2261" w:rsidRDefault="00B52FC4" w:rsidP="00A11B33">
      <w:pPr>
        <w:pStyle w:val="NormalWeb"/>
        <w:spacing w:line="360" w:lineRule="auto"/>
        <w:jc w:val="both"/>
        <w:rPr>
          <w:rFonts w:ascii="Arial" w:hAnsi="Arial" w:cs="Arial"/>
          <w:sz w:val="22"/>
          <w:szCs w:val="22"/>
        </w:rPr>
      </w:pPr>
      <w:r w:rsidRPr="00CB2261">
        <w:rPr>
          <w:rFonts w:ascii="Arial" w:hAnsi="Arial" w:cs="Arial"/>
          <w:sz w:val="22"/>
          <w:szCs w:val="22"/>
        </w:rPr>
        <w:t>Continually advancing the skills of employees should stay a priority. Educational programs, refresher training on how to access digital technologies, leadership training, and career development initiatives will impart new skills to staff and help to reduce turnover as technology advances, while also keeping those crews more satisfied. Moreover, topped by Barclays Investment in Inclusive Recruitment and Leadership development programmes to support diverse, Equity and Inclusion in all layers of the organization, Barclays should continue on its good practice of supporting diversity, equity and inclusion. There are some individuals who are more inclined to think of innovative ideas; which helps in making better decisions and also the bank becomes high valued among the bank customers, shareholders etc.</w:t>
      </w:r>
    </w:p>
    <w:p w14:paraId="11B6E29F" w14:textId="2D79BC4F" w:rsidR="00B52FC4" w:rsidRPr="00CB2261" w:rsidRDefault="00B52FC4" w:rsidP="00A11B33">
      <w:pPr>
        <w:pStyle w:val="NormalWeb"/>
        <w:spacing w:line="360" w:lineRule="auto"/>
        <w:jc w:val="both"/>
        <w:rPr>
          <w:rFonts w:ascii="Arial" w:hAnsi="Arial" w:cs="Arial"/>
          <w:sz w:val="22"/>
          <w:szCs w:val="22"/>
        </w:rPr>
      </w:pPr>
      <w:r w:rsidRPr="00CB2261">
        <w:rPr>
          <w:rFonts w:ascii="Arial" w:hAnsi="Arial" w:cs="Arial"/>
          <w:sz w:val="22"/>
          <w:szCs w:val="22"/>
        </w:rPr>
        <w:t>But, just implementing these HR programmes is not enough. It's a matter of leadership and team in order to be successful. Business targets should not be the sole focus of the manager and they should also take on the role of supporting the wellbeing of any members of their staff and coaching them, consistently giving feedback and fostering opportunities for their professional development. There should be regular performance monitoring and targeted performance conversations which should be used to branch strengths, challenge areas for development and incentive for performance. It's a mix of the two and it works to foster trust with employees, and motivation and commitment.</w:t>
      </w:r>
    </w:p>
    <w:p w14:paraId="5B42E6F5" w14:textId="77777777" w:rsidR="00CD2DC2" w:rsidRPr="00CB2261" w:rsidRDefault="00CD2DC2" w:rsidP="00A11B33">
      <w:pPr>
        <w:pStyle w:val="Heading2"/>
        <w:rPr>
          <w:rFonts w:ascii="Arial" w:hAnsi="Arial" w:cs="Arial"/>
        </w:rPr>
      </w:pPr>
      <w:bookmarkStart w:id="7" w:name="_Toc237011867"/>
      <w:r w:rsidRPr="00CB2261">
        <w:rPr>
          <w:rFonts w:ascii="Arial" w:hAnsi="Arial" w:cs="Arial"/>
        </w:rPr>
        <w:t>5. Recommendations</w:t>
      </w:r>
      <w:bookmarkEnd w:id="7"/>
    </w:p>
    <w:p w14:paraId="30A32B0F" w14:textId="0BB16CFA" w:rsidR="00CD3726" w:rsidRPr="00CB2261" w:rsidRDefault="00CB36DC" w:rsidP="00A11B33">
      <w:pPr>
        <w:pStyle w:val="NormalWeb"/>
        <w:spacing w:line="360" w:lineRule="auto"/>
        <w:jc w:val="both"/>
        <w:rPr>
          <w:rFonts w:ascii="Arial" w:hAnsi="Arial" w:cs="Arial"/>
          <w:sz w:val="22"/>
          <w:szCs w:val="22"/>
        </w:rPr>
      </w:pPr>
      <w:r w:rsidRPr="00CB2261">
        <w:rPr>
          <w:rFonts w:ascii="Arial" w:hAnsi="Arial" w:cs="Arial"/>
          <w:sz w:val="22"/>
          <w:szCs w:val="22"/>
        </w:rPr>
        <w:t>Firstly, Barclays needs to implement regular reskilling training initiatives for its staff in digital skills to combat technological advancement and ease concerns about automation. Second, there should be a proactive continuous effort in the direction of anticipating future skill requirements and creating in-house skills "cupboards" or skill bands (Pradhan et al., 2026). Thirdly Barclays must provide opportunities for individual progression, mentoring, recognition and career development, to increase the number of employees staying on. Finally, it is essential for managers to have clear DEI goals and measurable results to ensure inclusion becomes part of the recruitment, performance management and promotion process.</w:t>
      </w:r>
    </w:p>
    <w:p w14:paraId="0BA673B4" w14:textId="2E075E3D" w:rsidR="00CD2DC2" w:rsidRPr="00CB2261" w:rsidRDefault="00CD3726" w:rsidP="00A11B33">
      <w:pPr>
        <w:spacing w:line="360" w:lineRule="auto"/>
        <w:rPr>
          <w:rFonts w:ascii="Arial" w:eastAsia="Times New Roman" w:hAnsi="Arial" w:cs="Arial"/>
        </w:rPr>
      </w:pPr>
      <w:r w:rsidRPr="00CB2261">
        <w:rPr>
          <w:rFonts w:ascii="Arial" w:hAnsi="Arial" w:cs="Arial"/>
        </w:rPr>
        <w:br w:type="page"/>
      </w:r>
    </w:p>
    <w:p w14:paraId="7EB7A10F" w14:textId="77777777" w:rsidR="00CD2DC2" w:rsidRPr="00CB2261" w:rsidRDefault="00CD2DC2" w:rsidP="00A11B33">
      <w:pPr>
        <w:pStyle w:val="Heading2"/>
        <w:rPr>
          <w:rFonts w:ascii="Arial" w:hAnsi="Arial" w:cs="Arial"/>
        </w:rPr>
      </w:pPr>
      <w:bookmarkStart w:id="8" w:name="_Toc237011868"/>
      <w:r w:rsidRPr="00CB2261">
        <w:rPr>
          <w:rFonts w:ascii="Arial" w:hAnsi="Arial" w:cs="Arial"/>
        </w:rPr>
        <w:lastRenderedPageBreak/>
        <w:t>6. Conclusion</w:t>
      </w:r>
      <w:bookmarkEnd w:id="8"/>
    </w:p>
    <w:p w14:paraId="65AAA8A5" w14:textId="7738BC8F" w:rsidR="00CD2DC2" w:rsidRPr="00CB2261" w:rsidRDefault="00FD5BC4" w:rsidP="00A11B33">
      <w:pPr>
        <w:pStyle w:val="NormalWeb"/>
        <w:spacing w:line="360" w:lineRule="auto"/>
        <w:jc w:val="both"/>
        <w:rPr>
          <w:rFonts w:ascii="Arial" w:hAnsi="Arial" w:cs="Arial"/>
          <w:sz w:val="22"/>
          <w:szCs w:val="22"/>
        </w:rPr>
      </w:pPr>
      <w:r w:rsidRPr="00CB2261">
        <w:rPr>
          <w:rFonts w:ascii="Arial" w:hAnsi="Arial" w:cs="Arial"/>
          <w:sz w:val="22"/>
          <w:szCs w:val="22"/>
        </w:rPr>
        <w:t>HR is one of Barclays's biggest challenges due to technological innovation, a talent shortage and the importance of DEI. These difficulties could directly impact staff engagement, future sustainability of the organization and its overall performance. Meaningful Solutions that can be provided by Digital HR, the workforce analytics, strategic workforce planning, employee development and inclusive recruitment and leadership development. However, effective management is key to good HR management. As a result, Barclays should be less inclined to combine being good managers with developing their staff along with regular tracking of employees' performance. A people centric approach to Technological and Organisational Change will give Barclays the opportunity to build capable, engaged and diverse teams to maintain a successful business.</w:t>
      </w:r>
    </w:p>
    <w:p w14:paraId="665DADAD" w14:textId="0D96F142" w:rsidR="000F7B4D" w:rsidRPr="00CB2261" w:rsidRDefault="000F7B4D" w:rsidP="00A11B33">
      <w:pPr>
        <w:spacing w:line="360" w:lineRule="auto"/>
        <w:rPr>
          <w:rFonts w:ascii="Arial" w:hAnsi="Arial" w:cs="Arial"/>
          <w:sz w:val="24"/>
          <w:szCs w:val="24"/>
        </w:rPr>
      </w:pPr>
      <w:r w:rsidRPr="00CB2261">
        <w:rPr>
          <w:rFonts w:ascii="Arial" w:hAnsi="Arial" w:cs="Arial"/>
          <w:sz w:val="24"/>
          <w:szCs w:val="24"/>
        </w:rPr>
        <w:br w:type="page"/>
      </w:r>
    </w:p>
    <w:p w14:paraId="72B220A1" w14:textId="247B1362" w:rsidR="00B8471C" w:rsidRPr="00CB2261" w:rsidRDefault="000F7B4D" w:rsidP="00A11B33">
      <w:pPr>
        <w:pStyle w:val="Heading1"/>
        <w:rPr>
          <w:rFonts w:ascii="Arial" w:hAnsi="Arial" w:cs="Arial"/>
          <w:sz w:val="26"/>
          <w:szCs w:val="26"/>
        </w:rPr>
      </w:pPr>
      <w:bookmarkStart w:id="9" w:name="_Toc237011869"/>
      <w:r w:rsidRPr="00CB2261">
        <w:rPr>
          <w:rFonts w:ascii="Arial" w:hAnsi="Arial" w:cs="Arial"/>
          <w:sz w:val="26"/>
          <w:szCs w:val="26"/>
        </w:rPr>
        <w:lastRenderedPageBreak/>
        <w:t>Reference</w:t>
      </w:r>
      <w:bookmarkEnd w:id="9"/>
      <w:r w:rsidRPr="00CB2261">
        <w:rPr>
          <w:rFonts w:ascii="Arial" w:hAnsi="Arial" w:cs="Arial"/>
          <w:sz w:val="26"/>
          <w:szCs w:val="26"/>
        </w:rPr>
        <w:t xml:space="preserve"> </w:t>
      </w:r>
    </w:p>
    <w:p w14:paraId="43A1C147" w14:textId="77777777" w:rsidR="00BC2C86" w:rsidRPr="00CB2261" w:rsidRDefault="00BC2C86" w:rsidP="00A11B33">
      <w:pPr>
        <w:spacing w:line="360" w:lineRule="auto"/>
        <w:rPr>
          <w:rFonts w:ascii="Arial" w:hAnsi="Arial" w:cs="Arial"/>
          <w:shd w:val="clear" w:color="auto" w:fill="FFFFFF"/>
        </w:rPr>
      </w:pPr>
      <w:r w:rsidRPr="00CB2261">
        <w:rPr>
          <w:rFonts w:ascii="Arial" w:hAnsi="Arial" w:cs="Arial"/>
          <w:shd w:val="clear" w:color="auto" w:fill="FFFFFF"/>
        </w:rPr>
        <w:t>Anekwe, K.R. and Igwe, C.P., 2025. The impact of organisational culture on employee performance and productivity in the uk financial sector. </w:t>
      </w:r>
      <w:r w:rsidRPr="00CB2261">
        <w:rPr>
          <w:rFonts w:ascii="Arial" w:hAnsi="Arial" w:cs="Arial"/>
          <w:i/>
          <w:iCs/>
          <w:shd w:val="clear" w:color="auto" w:fill="FFFFFF"/>
        </w:rPr>
        <w:t>International Journal of Business Research and Management</w:t>
      </w:r>
      <w:r w:rsidRPr="00CB2261">
        <w:rPr>
          <w:rFonts w:ascii="Arial" w:hAnsi="Arial" w:cs="Arial"/>
          <w:shd w:val="clear" w:color="auto" w:fill="FFFFFF"/>
        </w:rPr>
        <w:t>, </w:t>
      </w:r>
      <w:r w:rsidRPr="00CB2261">
        <w:rPr>
          <w:rFonts w:ascii="Arial" w:hAnsi="Arial" w:cs="Arial"/>
          <w:i/>
          <w:iCs/>
          <w:shd w:val="clear" w:color="auto" w:fill="FFFFFF"/>
        </w:rPr>
        <w:t>2</w:t>
      </w:r>
      <w:r w:rsidRPr="00CB2261">
        <w:rPr>
          <w:rFonts w:ascii="Arial" w:hAnsi="Arial" w:cs="Arial"/>
          <w:shd w:val="clear" w:color="auto" w:fill="FFFFFF"/>
        </w:rPr>
        <w:t>(3), pp.56-59.</w:t>
      </w:r>
    </w:p>
    <w:p w14:paraId="2F809055" w14:textId="77777777" w:rsidR="00BC2C86" w:rsidRPr="00CB2261" w:rsidRDefault="00BC2C86" w:rsidP="00A11B33">
      <w:pPr>
        <w:spacing w:line="360" w:lineRule="auto"/>
        <w:rPr>
          <w:rFonts w:ascii="Arial" w:hAnsi="Arial" w:cs="Arial"/>
          <w:shd w:val="clear" w:color="auto" w:fill="FFFFFF"/>
        </w:rPr>
      </w:pPr>
      <w:r w:rsidRPr="00CB2261">
        <w:rPr>
          <w:rFonts w:ascii="Arial" w:hAnsi="Arial" w:cs="Arial"/>
          <w:shd w:val="clear" w:color="auto" w:fill="FFFFFF"/>
        </w:rPr>
        <w:t>Chindasombatcharoen, P., Chatjuthamard, P., Denlertchaikul, N., Jiraporn, P. and Korphaibool, V., 2026. LGBTQ</w:t>
      </w:r>
      <w:r w:rsidRPr="00CB2261">
        <w:rPr>
          <w:rFonts w:ascii="Cambria Math" w:hAnsi="Cambria Math" w:cs="Cambria Math"/>
          <w:shd w:val="clear" w:color="auto" w:fill="FFFFFF"/>
        </w:rPr>
        <w:t>‐</w:t>
      </w:r>
      <w:r w:rsidRPr="00CB2261">
        <w:rPr>
          <w:rFonts w:ascii="Arial" w:hAnsi="Arial" w:cs="Arial"/>
          <w:shd w:val="clear" w:color="auto" w:fill="FFFFFF"/>
        </w:rPr>
        <w:t>Supportive Corporate Policies: A Contemporary Analysis of Impacts, Challenges, and Global Practices. </w:t>
      </w:r>
      <w:r w:rsidRPr="00CB2261">
        <w:rPr>
          <w:rFonts w:ascii="Arial" w:hAnsi="Arial" w:cs="Arial"/>
          <w:i/>
          <w:iCs/>
          <w:shd w:val="clear" w:color="auto" w:fill="FFFFFF"/>
        </w:rPr>
        <w:t>Journal of Economic Surveys</w:t>
      </w:r>
      <w:r w:rsidRPr="00CB2261">
        <w:rPr>
          <w:rFonts w:ascii="Arial" w:hAnsi="Arial" w:cs="Arial"/>
          <w:shd w:val="clear" w:color="auto" w:fill="FFFFFF"/>
        </w:rPr>
        <w:t>, </w:t>
      </w:r>
      <w:r w:rsidRPr="00CB2261">
        <w:rPr>
          <w:rFonts w:ascii="Arial" w:hAnsi="Arial" w:cs="Arial"/>
          <w:i/>
          <w:iCs/>
          <w:shd w:val="clear" w:color="auto" w:fill="FFFFFF"/>
        </w:rPr>
        <w:t>40</w:t>
      </w:r>
      <w:r w:rsidRPr="00CB2261">
        <w:rPr>
          <w:rFonts w:ascii="Arial" w:hAnsi="Arial" w:cs="Arial"/>
          <w:shd w:val="clear" w:color="auto" w:fill="FFFFFF"/>
        </w:rPr>
        <w:t>(3), pp.1151-1172.</w:t>
      </w:r>
    </w:p>
    <w:p w14:paraId="722DCC44" w14:textId="77777777" w:rsidR="00BC2C86" w:rsidRPr="00CB2261" w:rsidRDefault="00BC2C86" w:rsidP="00A11B33">
      <w:pPr>
        <w:spacing w:line="360" w:lineRule="auto"/>
        <w:rPr>
          <w:rFonts w:ascii="Arial" w:hAnsi="Arial" w:cs="Arial"/>
          <w:shd w:val="clear" w:color="auto" w:fill="FFFFFF"/>
        </w:rPr>
      </w:pPr>
      <w:r w:rsidRPr="00CB2261">
        <w:rPr>
          <w:rFonts w:ascii="Arial" w:hAnsi="Arial" w:cs="Arial"/>
          <w:shd w:val="clear" w:color="auto" w:fill="FFFFFF"/>
        </w:rPr>
        <w:t>Gaviyau, W. and Godi, J., 2025. Banking sector transformation: Disruptions, challenges and opportunities. </w:t>
      </w:r>
      <w:r w:rsidRPr="00CB2261">
        <w:rPr>
          <w:rFonts w:ascii="Arial" w:hAnsi="Arial" w:cs="Arial"/>
          <w:i/>
          <w:iCs/>
          <w:shd w:val="clear" w:color="auto" w:fill="FFFFFF"/>
        </w:rPr>
        <w:t>FinTech</w:t>
      </w:r>
      <w:r w:rsidRPr="00CB2261">
        <w:rPr>
          <w:rFonts w:ascii="Arial" w:hAnsi="Arial" w:cs="Arial"/>
          <w:shd w:val="clear" w:color="auto" w:fill="FFFFFF"/>
        </w:rPr>
        <w:t>, </w:t>
      </w:r>
      <w:r w:rsidRPr="00CB2261">
        <w:rPr>
          <w:rFonts w:ascii="Arial" w:hAnsi="Arial" w:cs="Arial"/>
          <w:i/>
          <w:iCs/>
          <w:shd w:val="clear" w:color="auto" w:fill="FFFFFF"/>
        </w:rPr>
        <w:t>4</w:t>
      </w:r>
      <w:r w:rsidRPr="00CB2261">
        <w:rPr>
          <w:rFonts w:ascii="Arial" w:hAnsi="Arial" w:cs="Arial"/>
          <w:shd w:val="clear" w:color="auto" w:fill="FFFFFF"/>
        </w:rPr>
        <w:t>(3), p.48.</w:t>
      </w:r>
    </w:p>
    <w:p w14:paraId="6202402A" w14:textId="77777777" w:rsidR="00BC2C86" w:rsidRPr="00CB2261" w:rsidRDefault="00BC2C86" w:rsidP="00A11B33">
      <w:pPr>
        <w:spacing w:line="360" w:lineRule="auto"/>
        <w:rPr>
          <w:rFonts w:ascii="Arial" w:hAnsi="Arial" w:cs="Arial"/>
          <w:shd w:val="clear" w:color="auto" w:fill="FFFFFF"/>
        </w:rPr>
      </w:pPr>
      <w:r w:rsidRPr="00CB2261">
        <w:rPr>
          <w:rFonts w:ascii="Arial" w:hAnsi="Arial" w:cs="Arial"/>
          <w:shd w:val="clear" w:color="auto" w:fill="FFFFFF"/>
        </w:rPr>
        <w:t>Hennekam, S., Beatty, J.E. and Follmer, K., 2026. Building mental health confidence: A three-step playbook for managers. </w:t>
      </w:r>
      <w:r w:rsidRPr="00CB2261">
        <w:rPr>
          <w:rFonts w:ascii="Arial" w:hAnsi="Arial" w:cs="Arial"/>
          <w:i/>
          <w:iCs/>
          <w:shd w:val="clear" w:color="auto" w:fill="FFFFFF"/>
        </w:rPr>
        <w:t>Organizational Dynamics</w:t>
      </w:r>
      <w:r w:rsidRPr="00CB2261">
        <w:rPr>
          <w:rFonts w:ascii="Arial" w:hAnsi="Arial" w:cs="Arial"/>
          <w:shd w:val="clear" w:color="auto" w:fill="FFFFFF"/>
        </w:rPr>
        <w:t>, </w:t>
      </w:r>
      <w:r w:rsidRPr="00CB2261">
        <w:rPr>
          <w:rFonts w:ascii="Arial" w:hAnsi="Arial" w:cs="Arial"/>
          <w:i/>
          <w:iCs/>
          <w:shd w:val="clear" w:color="auto" w:fill="FFFFFF"/>
        </w:rPr>
        <w:t>55</w:t>
      </w:r>
      <w:r w:rsidRPr="00CB2261">
        <w:rPr>
          <w:rFonts w:ascii="Arial" w:hAnsi="Arial" w:cs="Arial"/>
          <w:shd w:val="clear" w:color="auto" w:fill="FFFFFF"/>
        </w:rPr>
        <w:t>(3), p.101243.</w:t>
      </w:r>
    </w:p>
    <w:p w14:paraId="0B648804" w14:textId="77777777" w:rsidR="00BC2C86" w:rsidRPr="00CB2261" w:rsidRDefault="00BC2C86" w:rsidP="00A11B33">
      <w:pPr>
        <w:spacing w:line="360" w:lineRule="auto"/>
        <w:rPr>
          <w:rFonts w:ascii="Arial" w:hAnsi="Arial" w:cs="Arial"/>
          <w:shd w:val="clear" w:color="auto" w:fill="FFFFFF"/>
        </w:rPr>
      </w:pPr>
      <w:r w:rsidRPr="00CB2261">
        <w:rPr>
          <w:rFonts w:ascii="Arial" w:hAnsi="Arial" w:cs="Arial"/>
          <w:shd w:val="clear" w:color="auto" w:fill="FFFFFF"/>
        </w:rPr>
        <w:t>Jaworek, M. and Stuss, M.M., 2025. Artificial intelligence at HR departments: the dangers and opportunities. </w:t>
      </w:r>
      <w:r w:rsidRPr="00CB2261">
        <w:rPr>
          <w:rFonts w:ascii="Arial" w:hAnsi="Arial" w:cs="Arial"/>
          <w:i/>
          <w:iCs/>
          <w:shd w:val="clear" w:color="auto" w:fill="FFFFFF"/>
        </w:rPr>
        <w:t>International Journal of Contemporary Management</w:t>
      </w:r>
      <w:r w:rsidRPr="00CB2261">
        <w:rPr>
          <w:rFonts w:ascii="Arial" w:hAnsi="Arial" w:cs="Arial"/>
          <w:shd w:val="clear" w:color="auto" w:fill="FFFFFF"/>
        </w:rPr>
        <w:t>, </w:t>
      </w:r>
      <w:r w:rsidRPr="00CB2261">
        <w:rPr>
          <w:rFonts w:ascii="Arial" w:hAnsi="Arial" w:cs="Arial"/>
          <w:i/>
          <w:iCs/>
          <w:shd w:val="clear" w:color="auto" w:fill="FFFFFF"/>
        </w:rPr>
        <w:t>61</w:t>
      </w:r>
      <w:r w:rsidRPr="00CB2261">
        <w:rPr>
          <w:rFonts w:ascii="Arial" w:hAnsi="Arial" w:cs="Arial"/>
          <w:shd w:val="clear" w:color="auto" w:fill="FFFFFF"/>
        </w:rPr>
        <w:t>(1), pp.19-29.</w:t>
      </w:r>
    </w:p>
    <w:p w14:paraId="2AC2C57D" w14:textId="77777777" w:rsidR="00BC2C86" w:rsidRPr="00CB2261" w:rsidRDefault="00BC2C86" w:rsidP="00A11B33">
      <w:pPr>
        <w:spacing w:line="360" w:lineRule="auto"/>
        <w:rPr>
          <w:rFonts w:ascii="Arial" w:hAnsi="Arial" w:cs="Arial"/>
          <w:shd w:val="clear" w:color="auto" w:fill="FFFFFF"/>
        </w:rPr>
      </w:pPr>
      <w:r w:rsidRPr="00CB2261">
        <w:rPr>
          <w:rFonts w:ascii="Arial" w:hAnsi="Arial" w:cs="Arial"/>
          <w:shd w:val="clear" w:color="auto" w:fill="FFFFFF"/>
        </w:rPr>
        <w:t>Kutaula, S., Gillani, A. and Budhwar, P.S., 2026. Guest editorial: Psychological contract: issues and emerging developments. </w:t>
      </w:r>
      <w:r w:rsidRPr="00CB2261">
        <w:rPr>
          <w:rFonts w:ascii="Arial" w:hAnsi="Arial" w:cs="Arial"/>
          <w:i/>
          <w:iCs/>
          <w:shd w:val="clear" w:color="auto" w:fill="FFFFFF"/>
        </w:rPr>
        <w:t>Journal of Managerial Psychology</w:t>
      </w:r>
      <w:r w:rsidRPr="00CB2261">
        <w:rPr>
          <w:rFonts w:ascii="Arial" w:hAnsi="Arial" w:cs="Arial"/>
          <w:shd w:val="clear" w:color="auto" w:fill="FFFFFF"/>
        </w:rPr>
        <w:t>, </w:t>
      </w:r>
      <w:r w:rsidRPr="00CB2261">
        <w:rPr>
          <w:rFonts w:ascii="Arial" w:hAnsi="Arial" w:cs="Arial"/>
          <w:i/>
          <w:iCs/>
          <w:shd w:val="clear" w:color="auto" w:fill="FFFFFF"/>
        </w:rPr>
        <w:t>41</w:t>
      </w:r>
      <w:r w:rsidRPr="00CB2261">
        <w:rPr>
          <w:rFonts w:ascii="Arial" w:hAnsi="Arial" w:cs="Arial"/>
          <w:shd w:val="clear" w:color="auto" w:fill="FFFFFF"/>
        </w:rPr>
        <w:t>(2), pp.133-146.</w:t>
      </w:r>
    </w:p>
    <w:p w14:paraId="0D1F238E" w14:textId="77777777" w:rsidR="00BC2C86" w:rsidRPr="00CB2261" w:rsidRDefault="00BC2C86" w:rsidP="00A11B33">
      <w:pPr>
        <w:spacing w:line="360" w:lineRule="auto"/>
        <w:rPr>
          <w:rFonts w:ascii="Arial" w:hAnsi="Arial" w:cs="Arial"/>
          <w:shd w:val="clear" w:color="auto" w:fill="FFFFFF"/>
        </w:rPr>
      </w:pPr>
      <w:r w:rsidRPr="00CB2261">
        <w:rPr>
          <w:rFonts w:ascii="Arial" w:hAnsi="Arial" w:cs="Arial"/>
          <w:shd w:val="clear" w:color="auto" w:fill="FFFFFF"/>
        </w:rPr>
        <w:t>Lawton, T., Gorman, M. and Beecher, M., 2024. Human resource management practices on Irish dairy farms: an exploratory study. </w:t>
      </w:r>
      <w:r w:rsidRPr="00CB2261">
        <w:rPr>
          <w:rFonts w:ascii="Arial" w:hAnsi="Arial" w:cs="Arial"/>
          <w:i/>
          <w:iCs/>
          <w:shd w:val="clear" w:color="auto" w:fill="FFFFFF"/>
        </w:rPr>
        <w:t>Animal Production Science</w:t>
      </w:r>
      <w:r w:rsidRPr="00CB2261">
        <w:rPr>
          <w:rFonts w:ascii="Arial" w:hAnsi="Arial" w:cs="Arial"/>
          <w:shd w:val="clear" w:color="auto" w:fill="FFFFFF"/>
        </w:rPr>
        <w:t>, </w:t>
      </w:r>
      <w:r w:rsidRPr="00CB2261">
        <w:rPr>
          <w:rFonts w:ascii="Arial" w:hAnsi="Arial" w:cs="Arial"/>
          <w:i/>
          <w:iCs/>
          <w:shd w:val="clear" w:color="auto" w:fill="FFFFFF"/>
        </w:rPr>
        <w:t>64</w:t>
      </w:r>
      <w:r w:rsidRPr="00CB2261">
        <w:rPr>
          <w:rFonts w:ascii="Arial" w:hAnsi="Arial" w:cs="Arial"/>
          <w:shd w:val="clear" w:color="auto" w:fill="FFFFFF"/>
        </w:rPr>
        <w:t>(9), p.AN23255.</w:t>
      </w:r>
    </w:p>
    <w:p w14:paraId="7EA3BB93" w14:textId="77777777" w:rsidR="00BC2C86" w:rsidRPr="00CB2261" w:rsidRDefault="00BC2C86" w:rsidP="00A11B33">
      <w:pPr>
        <w:spacing w:line="360" w:lineRule="auto"/>
        <w:rPr>
          <w:rFonts w:ascii="Arial" w:hAnsi="Arial" w:cs="Arial"/>
          <w:shd w:val="clear" w:color="auto" w:fill="FFFFFF"/>
        </w:rPr>
      </w:pPr>
      <w:r w:rsidRPr="00CB2261">
        <w:rPr>
          <w:rFonts w:ascii="Arial" w:hAnsi="Arial" w:cs="Arial"/>
          <w:shd w:val="clear" w:color="auto" w:fill="FFFFFF"/>
        </w:rPr>
        <w:t>Luthia, M., 2023. Agile leadership in managing human capital in Industry 4.0. </w:t>
      </w:r>
      <w:r w:rsidRPr="00CB2261">
        <w:rPr>
          <w:rFonts w:ascii="Arial" w:hAnsi="Arial" w:cs="Arial"/>
          <w:i/>
          <w:iCs/>
          <w:shd w:val="clear" w:color="auto" w:fill="FFFFFF"/>
        </w:rPr>
        <w:t>Agile leadership for Industry 4.0: An indispensable approach for the digital era</w:t>
      </w:r>
      <w:r w:rsidRPr="00CB2261">
        <w:rPr>
          <w:rFonts w:ascii="Arial" w:hAnsi="Arial" w:cs="Arial"/>
          <w:shd w:val="clear" w:color="auto" w:fill="FFFFFF"/>
        </w:rPr>
        <w:t>.</w:t>
      </w:r>
    </w:p>
    <w:p w14:paraId="6A5FF10F" w14:textId="77777777" w:rsidR="00BC2C86" w:rsidRPr="00CB2261" w:rsidRDefault="00BC2C86" w:rsidP="00A11B33">
      <w:pPr>
        <w:spacing w:line="360" w:lineRule="auto"/>
        <w:rPr>
          <w:rFonts w:ascii="Arial" w:hAnsi="Arial" w:cs="Arial"/>
        </w:rPr>
      </w:pPr>
      <w:r w:rsidRPr="00CB2261">
        <w:rPr>
          <w:rFonts w:ascii="Arial" w:hAnsi="Arial" w:cs="Arial"/>
          <w:shd w:val="clear" w:color="auto" w:fill="FFFFFF"/>
        </w:rPr>
        <w:t>MacKenzie, C., 2022. Crisis, risk and human resource management.</w:t>
      </w:r>
    </w:p>
    <w:p w14:paraId="7DAFB39F" w14:textId="77777777" w:rsidR="00BC2C86" w:rsidRPr="00CB2261" w:rsidRDefault="00BC2C86" w:rsidP="00A11B33">
      <w:pPr>
        <w:spacing w:line="360" w:lineRule="auto"/>
        <w:rPr>
          <w:rFonts w:ascii="Arial" w:hAnsi="Arial" w:cs="Arial"/>
          <w:shd w:val="clear" w:color="auto" w:fill="FFFFFF"/>
        </w:rPr>
      </w:pPr>
      <w:r w:rsidRPr="00CB2261">
        <w:rPr>
          <w:rFonts w:ascii="Arial" w:hAnsi="Arial" w:cs="Arial"/>
          <w:shd w:val="clear" w:color="auto" w:fill="FFFFFF"/>
        </w:rPr>
        <w:t>Pradhan, A., Kondvilkar, R. and Pradhan, M., 2026. </w:t>
      </w:r>
      <w:r w:rsidRPr="00CB2261">
        <w:rPr>
          <w:rFonts w:ascii="Arial" w:hAnsi="Arial" w:cs="Arial"/>
          <w:i/>
          <w:iCs/>
          <w:shd w:val="clear" w:color="auto" w:fill="FFFFFF"/>
        </w:rPr>
        <w:t>Building Resilient Organizations: Thriving through change, disruption, and uncertainty (English Edition)</w:t>
      </w:r>
      <w:r w:rsidRPr="00CB2261">
        <w:rPr>
          <w:rFonts w:ascii="Arial" w:hAnsi="Arial" w:cs="Arial"/>
          <w:shd w:val="clear" w:color="auto" w:fill="FFFFFF"/>
        </w:rPr>
        <w:t>. BPB Publications.</w:t>
      </w:r>
    </w:p>
    <w:p w14:paraId="588ADF89" w14:textId="77777777" w:rsidR="00BC2C86" w:rsidRPr="00CB2261" w:rsidRDefault="00BC2C86" w:rsidP="00A11B33">
      <w:pPr>
        <w:spacing w:line="360" w:lineRule="auto"/>
        <w:rPr>
          <w:rFonts w:ascii="Arial" w:hAnsi="Arial" w:cs="Arial"/>
          <w:shd w:val="clear" w:color="auto" w:fill="FFFFFF"/>
        </w:rPr>
      </w:pPr>
      <w:r w:rsidRPr="00CB2261">
        <w:rPr>
          <w:rFonts w:ascii="Arial" w:hAnsi="Arial" w:cs="Arial"/>
          <w:shd w:val="clear" w:color="auto" w:fill="FFFFFF"/>
        </w:rPr>
        <w:t>Rugg-Gunn, M., 2023. </w:t>
      </w:r>
      <w:r w:rsidRPr="00CB2261">
        <w:rPr>
          <w:rFonts w:ascii="Arial" w:hAnsi="Arial" w:cs="Arial"/>
          <w:i/>
          <w:iCs/>
          <w:shd w:val="clear" w:color="auto" w:fill="FFFFFF"/>
        </w:rPr>
        <w:t>Managing talent: A short guide for the digital age</w:t>
      </w:r>
      <w:r w:rsidRPr="00CB2261">
        <w:rPr>
          <w:rFonts w:ascii="Arial" w:hAnsi="Arial" w:cs="Arial"/>
          <w:shd w:val="clear" w:color="auto" w:fill="FFFFFF"/>
        </w:rPr>
        <w:t>. Taylor &amp; Francis.</w:t>
      </w:r>
    </w:p>
    <w:sectPr w:rsidR="00BC2C86" w:rsidRPr="00CB2261">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5D5C4D" w14:textId="77777777" w:rsidR="001A5D03" w:rsidRDefault="001A5D03" w:rsidP="00CA0E99">
      <w:pPr>
        <w:spacing w:after="0" w:line="240" w:lineRule="auto"/>
      </w:pPr>
      <w:r>
        <w:separator/>
      </w:r>
    </w:p>
  </w:endnote>
  <w:endnote w:type="continuationSeparator" w:id="0">
    <w:p w14:paraId="3E109CFB" w14:textId="77777777" w:rsidR="001A5D03" w:rsidRDefault="001A5D03" w:rsidP="00CA0E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5598364"/>
      <w:docPartObj>
        <w:docPartGallery w:val="Page Numbers (Bottom of Page)"/>
        <w:docPartUnique/>
      </w:docPartObj>
    </w:sdtPr>
    <w:sdtEndPr>
      <w:rPr>
        <w:noProof/>
      </w:rPr>
    </w:sdtEndPr>
    <w:sdtContent>
      <w:p w14:paraId="0932C682" w14:textId="2DF9BD12" w:rsidR="00CA0E99" w:rsidRDefault="00CA0E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692B31" w14:textId="77777777" w:rsidR="00CA0E99" w:rsidRDefault="00CA0E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05C973" w14:textId="77777777" w:rsidR="001A5D03" w:rsidRDefault="001A5D03" w:rsidP="00CA0E99">
      <w:pPr>
        <w:spacing w:after="0" w:line="240" w:lineRule="auto"/>
      </w:pPr>
      <w:r>
        <w:separator/>
      </w:r>
    </w:p>
  </w:footnote>
  <w:footnote w:type="continuationSeparator" w:id="0">
    <w:p w14:paraId="49ADFB4E" w14:textId="77777777" w:rsidR="001A5D03" w:rsidRDefault="001A5D03" w:rsidP="00CA0E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105"/>
    <w:rsid w:val="000323BB"/>
    <w:rsid w:val="000436FC"/>
    <w:rsid w:val="00043EBB"/>
    <w:rsid w:val="000A497C"/>
    <w:rsid w:val="000C082C"/>
    <w:rsid w:val="000C6558"/>
    <w:rsid w:val="000E77BF"/>
    <w:rsid w:val="000F56DC"/>
    <w:rsid w:val="000F7B4D"/>
    <w:rsid w:val="00136E6A"/>
    <w:rsid w:val="0016140D"/>
    <w:rsid w:val="001A5D03"/>
    <w:rsid w:val="002F0035"/>
    <w:rsid w:val="00311CEF"/>
    <w:rsid w:val="003571FF"/>
    <w:rsid w:val="003A3D76"/>
    <w:rsid w:val="003E6E57"/>
    <w:rsid w:val="004C038E"/>
    <w:rsid w:val="004C04CB"/>
    <w:rsid w:val="004D5E84"/>
    <w:rsid w:val="00530574"/>
    <w:rsid w:val="00556E48"/>
    <w:rsid w:val="0055793A"/>
    <w:rsid w:val="006343FF"/>
    <w:rsid w:val="00641FA9"/>
    <w:rsid w:val="00690E34"/>
    <w:rsid w:val="006A4E7E"/>
    <w:rsid w:val="006D08BD"/>
    <w:rsid w:val="0072725C"/>
    <w:rsid w:val="007341F6"/>
    <w:rsid w:val="00795D11"/>
    <w:rsid w:val="00805831"/>
    <w:rsid w:val="008464DC"/>
    <w:rsid w:val="00890CDB"/>
    <w:rsid w:val="00892D26"/>
    <w:rsid w:val="008F2D3E"/>
    <w:rsid w:val="008F356D"/>
    <w:rsid w:val="00900E36"/>
    <w:rsid w:val="009371AD"/>
    <w:rsid w:val="009927AF"/>
    <w:rsid w:val="009C062D"/>
    <w:rsid w:val="00A11B33"/>
    <w:rsid w:val="00A857E0"/>
    <w:rsid w:val="00B1572F"/>
    <w:rsid w:val="00B25105"/>
    <w:rsid w:val="00B52FC4"/>
    <w:rsid w:val="00B67DFA"/>
    <w:rsid w:val="00B75E7D"/>
    <w:rsid w:val="00B83966"/>
    <w:rsid w:val="00B8471C"/>
    <w:rsid w:val="00B9017A"/>
    <w:rsid w:val="00BB0B13"/>
    <w:rsid w:val="00BC2C86"/>
    <w:rsid w:val="00C415EF"/>
    <w:rsid w:val="00CA0E99"/>
    <w:rsid w:val="00CB2261"/>
    <w:rsid w:val="00CB22C9"/>
    <w:rsid w:val="00CB36DC"/>
    <w:rsid w:val="00CD2DC2"/>
    <w:rsid w:val="00CD3726"/>
    <w:rsid w:val="00CD6573"/>
    <w:rsid w:val="00D24500"/>
    <w:rsid w:val="00D76ED4"/>
    <w:rsid w:val="00E208D8"/>
    <w:rsid w:val="00E22F91"/>
    <w:rsid w:val="00EB5CFF"/>
    <w:rsid w:val="00EE5D0D"/>
    <w:rsid w:val="00EE6465"/>
    <w:rsid w:val="00EF3562"/>
    <w:rsid w:val="00F96FF4"/>
    <w:rsid w:val="00FD5B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F42D1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autoRedefine/>
    <w:uiPriority w:val="9"/>
    <w:qFormat/>
    <w:rsid w:val="00EF3562"/>
    <w:pPr>
      <w:spacing w:before="100" w:beforeAutospacing="1" w:after="100" w:afterAutospacing="1" w:line="360" w:lineRule="auto"/>
      <w:jc w:val="both"/>
      <w:outlineLvl w:val="0"/>
    </w:pPr>
    <w:rPr>
      <w:rFonts w:ascii="Times New Roman" w:eastAsia="Times New Roman" w:hAnsi="Times New Roman" w:cs="Times New Roman"/>
      <w:b/>
      <w:bCs/>
      <w:kern w:val="36"/>
      <w:sz w:val="28"/>
      <w:szCs w:val="48"/>
    </w:rPr>
  </w:style>
  <w:style w:type="paragraph" w:styleId="Heading2">
    <w:name w:val="heading 2"/>
    <w:basedOn w:val="Normal"/>
    <w:link w:val="Heading2Char"/>
    <w:autoRedefine/>
    <w:uiPriority w:val="9"/>
    <w:qFormat/>
    <w:rsid w:val="00B75E7D"/>
    <w:pPr>
      <w:spacing w:before="100" w:beforeAutospacing="1" w:after="100" w:afterAutospacing="1" w:line="360" w:lineRule="auto"/>
      <w:jc w:val="both"/>
      <w:outlineLvl w:val="1"/>
    </w:pPr>
    <w:rPr>
      <w:rFonts w:ascii="Times New Roman" w:eastAsia="Times New Roman" w:hAnsi="Times New Roman" w:cs="Times New Roman"/>
      <w:b/>
      <w:bCs/>
      <w:sz w:val="26"/>
      <w:szCs w:val="28"/>
    </w:rPr>
  </w:style>
  <w:style w:type="paragraph" w:styleId="Heading3">
    <w:name w:val="heading 3"/>
    <w:basedOn w:val="Normal"/>
    <w:link w:val="Heading3Char"/>
    <w:autoRedefine/>
    <w:uiPriority w:val="9"/>
    <w:qFormat/>
    <w:rsid w:val="00B75E7D"/>
    <w:pPr>
      <w:spacing w:before="100" w:beforeAutospacing="1" w:after="100" w:afterAutospacing="1" w:line="360" w:lineRule="auto"/>
      <w:jc w:val="both"/>
      <w:outlineLvl w:val="2"/>
    </w:pPr>
    <w:rPr>
      <w:rFonts w:ascii="Arial" w:eastAsia="Times New Roman" w:hAnsi="Arial" w:cs="Arial"/>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75E7D"/>
    <w:rPr>
      <w:rFonts w:ascii="Times New Roman" w:eastAsia="Times New Roman" w:hAnsi="Times New Roman" w:cs="Times New Roman"/>
      <w:b/>
      <w:bCs/>
      <w:sz w:val="26"/>
      <w:szCs w:val="28"/>
    </w:rPr>
  </w:style>
  <w:style w:type="character" w:customStyle="1" w:styleId="Heading1Char">
    <w:name w:val="Heading 1 Char"/>
    <w:basedOn w:val="DefaultParagraphFont"/>
    <w:link w:val="Heading1"/>
    <w:uiPriority w:val="9"/>
    <w:rsid w:val="00EF3562"/>
    <w:rPr>
      <w:rFonts w:ascii="Times New Roman" w:eastAsia="Times New Roman" w:hAnsi="Times New Roman" w:cs="Times New Roman"/>
      <w:b/>
      <w:bCs/>
      <w:kern w:val="36"/>
      <w:sz w:val="28"/>
      <w:szCs w:val="48"/>
    </w:rPr>
  </w:style>
  <w:style w:type="character" w:customStyle="1" w:styleId="Heading3Char">
    <w:name w:val="Heading 3 Char"/>
    <w:basedOn w:val="DefaultParagraphFont"/>
    <w:link w:val="Heading3"/>
    <w:uiPriority w:val="9"/>
    <w:rsid w:val="00B75E7D"/>
    <w:rPr>
      <w:rFonts w:ascii="Arial" w:eastAsia="Times New Roman" w:hAnsi="Arial" w:cs="Arial"/>
      <w:b/>
      <w:bCs/>
      <w:sz w:val="24"/>
      <w:szCs w:val="24"/>
    </w:rPr>
  </w:style>
  <w:style w:type="paragraph" w:customStyle="1" w:styleId="isselectedend">
    <w:name w:val="isselectedend"/>
    <w:basedOn w:val="Normal"/>
    <w:rsid w:val="003E6E57"/>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3E6E57"/>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0F7B4D"/>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0F7B4D"/>
    <w:pPr>
      <w:spacing w:after="100"/>
    </w:pPr>
  </w:style>
  <w:style w:type="paragraph" w:styleId="TOC2">
    <w:name w:val="toc 2"/>
    <w:basedOn w:val="Normal"/>
    <w:next w:val="Normal"/>
    <w:autoRedefine/>
    <w:uiPriority w:val="39"/>
    <w:unhideWhenUsed/>
    <w:rsid w:val="000F7B4D"/>
    <w:pPr>
      <w:spacing w:after="100"/>
      <w:ind w:left="220"/>
    </w:pPr>
  </w:style>
  <w:style w:type="paragraph" w:styleId="TOC3">
    <w:name w:val="toc 3"/>
    <w:basedOn w:val="Normal"/>
    <w:next w:val="Normal"/>
    <w:autoRedefine/>
    <w:uiPriority w:val="39"/>
    <w:unhideWhenUsed/>
    <w:rsid w:val="000F7B4D"/>
    <w:pPr>
      <w:spacing w:after="100"/>
      <w:ind w:left="440"/>
    </w:pPr>
  </w:style>
  <w:style w:type="character" w:styleId="Hyperlink">
    <w:name w:val="Hyperlink"/>
    <w:basedOn w:val="DefaultParagraphFont"/>
    <w:uiPriority w:val="99"/>
    <w:unhideWhenUsed/>
    <w:rsid w:val="000F7B4D"/>
    <w:rPr>
      <w:color w:val="0563C1" w:themeColor="hyperlink"/>
      <w:u w:val="single"/>
    </w:rPr>
  </w:style>
  <w:style w:type="paragraph" w:styleId="ListParagraph">
    <w:name w:val="List Paragraph"/>
    <w:basedOn w:val="Normal"/>
    <w:uiPriority w:val="34"/>
    <w:qFormat/>
    <w:rsid w:val="0072725C"/>
    <w:pPr>
      <w:ind w:left="720"/>
      <w:contextualSpacing/>
    </w:pPr>
  </w:style>
  <w:style w:type="paragraph" w:styleId="Header">
    <w:name w:val="header"/>
    <w:basedOn w:val="Normal"/>
    <w:link w:val="HeaderChar"/>
    <w:uiPriority w:val="99"/>
    <w:unhideWhenUsed/>
    <w:rsid w:val="00CA0E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0E99"/>
  </w:style>
  <w:style w:type="paragraph" w:styleId="Footer">
    <w:name w:val="footer"/>
    <w:basedOn w:val="Normal"/>
    <w:link w:val="FooterChar"/>
    <w:uiPriority w:val="99"/>
    <w:unhideWhenUsed/>
    <w:rsid w:val="00CA0E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0E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767045">
      <w:bodyDiv w:val="1"/>
      <w:marLeft w:val="0"/>
      <w:marRight w:val="0"/>
      <w:marTop w:val="0"/>
      <w:marBottom w:val="0"/>
      <w:divBdr>
        <w:top w:val="none" w:sz="0" w:space="0" w:color="auto"/>
        <w:left w:val="none" w:sz="0" w:space="0" w:color="auto"/>
        <w:bottom w:val="none" w:sz="0" w:space="0" w:color="auto"/>
        <w:right w:val="none" w:sz="0" w:space="0" w:color="auto"/>
      </w:divBdr>
    </w:div>
    <w:div w:id="917402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4D69F9-12C5-4BD1-A837-DE2212EF0F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2390</Words>
  <Characters>13624</Characters>
  <Application>Microsoft Office Word</Application>
  <DocSecurity>0</DocSecurity>
  <Lines>113</Lines>
  <Paragraphs>31</Paragraphs>
  <ScaleCrop>false</ScaleCrop>
  <Company/>
  <LinksUpToDate>false</LinksUpToDate>
  <CharactersWithSpaces>15983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2026-08-07T10:27:00Z</dcterms:created>
  <dcterms:modified xsi:type="dcterms:W3CDTF">2026-08-09T21:56:00Z</dcterms:modified>
</cp:coreProperties>
</file>