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CECC6" w14:textId="03181150" w:rsidR="005417B9" w:rsidRPr="00B02191" w:rsidRDefault="00661FCC" w:rsidP="00481964">
      <w:pPr>
        <w:pStyle w:val="TOCHeading"/>
        <w:spacing w:line="360" w:lineRule="auto"/>
        <w:ind w:left="432"/>
        <w:rPr>
          <w:rFonts w:asciiTheme="minorBidi" w:eastAsiaTheme="minorEastAsia" w:hAnsiTheme="minorBidi" w:cstheme="minorBidi"/>
          <w:b/>
          <w:bCs/>
          <w:smallCaps/>
          <w:color w:val="auto"/>
          <w:sz w:val="24"/>
          <w:szCs w:val="24"/>
        </w:rPr>
      </w:pPr>
      <w:r>
        <w:rPr>
          <w:rFonts w:asciiTheme="minorBidi" w:eastAsiaTheme="minorEastAsia" w:hAnsiTheme="minorBidi" w:cstheme="minorBidi"/>
          <w:b/>
          <w:bCs/>
          <w:smallCaps/>
          <w:color w:val="auto"/>
          <w:sz w:val="24"/>
          <w:szCs w:val="24"/>
        </w:rPr>
        <w:t xml:space="preserve"> </w:t>
      </w:r>
    </w:p>
    <w:p w14:paraId="27B48973"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16D00B32"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2B2CA7BB"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4763E08C"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p>
    <w:p w14:paraId="5DAA3239"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Case Study Analysis Report</w:t>
      </w:r>
    </w:p>
    <w:p w14:paraId="6555ACF7" w14:textId="77777777" w:rsid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Health Care System Organisation and Leadership</w:t>
      </w:r>
    </w:p>
    <w:p w14:paraId="0C54E580" w14:textId="77777777" w:rsidR="00A1293E" w:rsidRDefault="00A1293E" w:rsidP="00A1293E">
      <w:pPr>
        <w:jc w:val="center"/>
        <w:rPr>
          <w:rFonts w:asciiTheme="minorBidi" w:hAnsiTheme="minorBidi"/>
          <w:b/>
          <w:bCs/>
          <w:sz w:val="28"/>
          <w:szCs w:val="28"/>
        </w:rPr>
      </w:pPr>
    </w:p>
    <w:p w14:paraId="6853B358" w14:textId="675D961E" w:rsidR="00A1293E" w:rsidRPr="005417B9" w:rsidRDefault="00A1293E" w:rsidP="00A1293E">
      <w:pPr>
        <w:jc w:val="center"/>
        <w:rPr>
          <w:rFonts w:asciiTheme="minorBidi" w:hAnsiTheme="minorBidi"/>
          <w:b/>
          <w:bCs/>
          <w:sz w:val="28"/>
          <w:szCs w:val="28"/>
          <w:u w:val="single"/>
        </w:rPr>
      </w:pPr>
      <w:r w:rsidRPr="00A1293E">
        <w:rPr>
          <w:rFonts w:asciiTheme="minorBidi" w:hAnsiTheme="minorBidi"/>
          <w:b/>
          <w:bCs/>
          <w:sz w:val="28"/>
          <w:szCs w:val="28"/>
          <w:u w:val="single"/>
        </w:rPr>
        <w:t>Chosen Case study: 2</w:t>
      </w:r>
    </w:p>
    <w:p w14:paraId="22D96E07"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p>
    <w:p w14:paraId="0A5EC469"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Student Name: Naima Amin</w:t>
      </w:r>
    </w:p>
    <w:p w14:paraId="70A196A8"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Student ID: 2222407</w:t>
      </w:r>
    </w:p>
    <w:p w14:paraId="021D92D0"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Module Name: LCHS7002 - Health Care System Organisation and Leadership</w:t>
      </w:r>
    </w:p>
    <w:p w14:paraId="4395D8B4" w14:textId="77777777" w:rsidR="005417B9" w:rsidRPr="005417B9" w:rsidRDefault="005417B9" w:rsidP="00A1293E">
      <w:pPr>
        <w:pStyle w:val="TOCHeading"/>
        <w:ind w:left="432"/>
        <w:jc w:val="center"/>
        <w:rPr>
          <w:rFonts w:asciiTheme="minorBidi" w:eastAsiaTheme="minorEastAsia" w:hAnsiTheme="minorBidi" w:cstheme="minorBidi"/>
          <w:b/>
          <w:bCs/>
          <w:color w:val="auto"/>
          <w:sz w:val="28"/>
          <w:szCs w:val="28"/>
        </w:rPr>
      </w:pPr>
      <w:r w:rsidRPr="005417B9">
        <w:rPr>
          <w:rFonts w:asciiTheme="minorBidi" w:eastAsiaTheme="minorEastAsia" w:hAnsiTheme="minorBidi" w:cstheme="minorBidi"/>
          <w:b/>
          <w:bCs/>
          <w:color w:val="auto"/>
          <w:sz w:val="28"/>
          <w:szCs w:val="28"/>
        </w:rPr>
        <w:t>Date of Submission: 27th March 2026</w:t>
      </w:r>
    </w:p>
    <w:p w14:paraId="7BBA962C"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2BD76BFA"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3CDCF5AF"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781F8A78"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1AFB5366" w14:textId="77777777" w:rsidR="005417B9" w:rsidRPr="00B02191" w:rsidRDefault="005417B9" w:rsidP="00481964">
      <w:pPr>
        <w:pStyle w:val="TOCHeading"/>
        <w:spacing w:line="360" w:lineRule="auto"/>
        <w:ind w:left="432"/>
        <w:rPr>
          <w:rFonts w:asciiTheme="minorBidi" w:eastAsiaTheme="minorEastAsia" w:hAnsiTheme="minorBidi" w:cstheme="minorBidi"/>
          <w:b/>
          <w:bCs/>
          <w:smallCaps/>
          <w:color w:val="auto"/>
          <w:sz w:val="24"/>
          <w:szCs w:val="24"/>
        </w:rPr>
      </w:pPr>
    </w:p>
    <w:p w14:paraId="466C86ED" w14:textId="77777777" w:rsidR="005417B9" w:rsidRPr="00B02191" w:rsidRDefault="005417B9" w:rsidP="00E11CA6">
      <w:pPr>
        <w:pStyle w:val="TOCHeading"/>
        <w:spacing w:line="360" w:lineRule="auto"/>
        <w:rPr>
          <w:rFonts w:asciiTheme="minorBidi" w:eastAsiaTheme="minorEastAsia" w:hAnsiTheme="minorBidi" w:cstheme="minorBidi"/>
          <w:b/>
          <w:bCs/>
          <w:smallCaps/>
          <w:color w:val="auto"/>
          <w:sz w:val="24"/>
          <w:szCs w:val="24"/>
        </w:rPr>
      </w:pPr>
    </w:p>
    <w:p w14:paraId="35727879" w14:textId="77777777" w:rsidR="00E11CA6" w:rsidRPr="00B02191" w:rsidRDefault="00E11CA6" w:rsidP="00E11CA6"/>
    <w:sdt>
      <w:sdtPr>
        <w:rPr>
          <w:rFonts w:asciiTheme="minorBidi" w:eastAsiaTheme="minorEastAsia" w:hAnsiTheme="minorBidi" w:cstheme="minorBidi"/>
          <w:b/>
          <w:bCs/>
          <w:smallCaps/>
          <w:color w:val="auto"/>
          <w:sz w:val="24"/>
          <w:szCs w:val="24"/>
        </w:rPr>
        <w:id w:val="1365335690"/>
        <w:docPartObj>
          <w:docPartGallery w:val="Table of Contents"/>
          <w:docPartUnique/>
        </w:docPartObj>
      </w:sdtPr>
      <w:sdtEndPr>
        <w:rPr>
          <w:b w:val="0"/>
          <w:bCs w:val="0"/>
          <w:smallCaps w:val="0"/>
          <w:noProof/>
        </w:rPr>
      </w:sdtEndPr>
      <w:sdtContent>
        <w:p w14:paraId="72A55902" w14:textId="6B841D7F" w:rsidR="006830C4" w:rsidRPr="00580264" w:rsidRDefault="006830C4" w:rsidP="00031EFC">
          <w:pPr>
            <w:pStyle w:val="TOCHeading"/>
            <w:spacing w:line="360" w:lineRule="auto"/>
            <w:ind w:left="432"/>
            <w:jc w:val="center"/>
            <w:rPr>
              <w:rFonts w:asciiTheme="minorBidi" w:hAnsiTheme="minorBidi" w:cstheme="minorBidi"/>
              <w:b/>
              <w:bCs/>
              <w:color w:val="auto"/>
              <w:sz w:val="24"/>
              <w:szCs w:val="24"/>
            </w:rPr>
          </w:pPr>
          <w:r w:rsidRPr="00580264">
            <w:rPr>
              <w:rFonts w:asciiTheme="minorBidi" w:hAnsiTheme="minorBidi" w:cstheme="minorBidi"/>
              <w:b/>
              <w:bCs/>
              <w:color w:val="auto"/>
              <w:sz w:val="24"/>
              <w:szCs w:val="24"/>
            </w:rPr>
            <w:t>Table of Contents</w:t>
          </w:r>
        </w:p>
        <w:p w14:paraId="771C8FAD" w14:textId="78F47CE9" w:rsidR="00031EFC" w:rsidRPr="00580264" w:rsidRDefault="006830C4" w:rsidP="00031EFC">
          <w:pPr>
            <w:pStyle w:val="TOC1"/>
            <w:spacing w:line="360" w:lineRule="auto"/>
            <w:rPr>
              <w:rFonts w:asciiTheme="minorBidi" w:hAnsiTheme="minorBidi"/>
              <w:kern w:val="2"/>
              <w:sz w:val="24"/>
              <w:szCs w:val="24"/>
              <w:lang w:val="de-DE" w:eastAsia="de-DE"/>
              <w14:ligatures w14:val="standardContextual"/>
            </w:rPr>
          </w:pPr>
          <w:r w:rsidRPr="00580264">
            <w:rPr>
              <w:rFonts w:asciiTheme="minorBidi" w:hAnsiTheme="minorBidi"/>
              <w:sz w:val="24"/>
              <w:szCs w:val="24"/>
            </w:rPr>
            <w:fldChar w:fldCharType="begin"/>
          </w:r>
          <w:r w:rsidRPr="00580264">
            <w:rPr>
              <w:rFonts w:asciiTheme="minorBidi" w:hAnsiTheme="minorBidi"/>
              <w:sz w:val="24"/>
              <w:szCs w:val="24"/>
            </w:rPr>
            <w:instrText xml:space="preserve"> TOC \o "1-3" \h \z \u </w:instrText>
          </w:r>
          <w:r w:rsidRPr="00580264">
            <w:rPr>
              <w:rFonts w:asciiTheme="minorBidi" w:hAnsiTheme="minorBidi"/>
              <w:sz w:val="24"/>
              <w:szCs w:val="24"/>
            </w:rPr>
            <w:fldChar w:fldCharType="separate"/>
          </w:r>
          <w:hyperlink w:anchor="_Toc224467182" w:history="1">
            <w:r w:rsidR="00031EFC" w:rsidRPr="00580264">
              <w:rPr>
                <w:rStyle w:val="Hyperlink"/>
                <w:rFonts w:asciiTheme="minorBidi" w:hAnsiTheme="minorBidi"/>
                <w:sz w:val="24"/>
                <w:szCs w:val="24"/>
              </w:rPr>
              <w:t>1.</w:t>
            </w:r>
            <w:r w:rsidR="00031EFC" w:rsidRPr="00580264">
              <w:rPr>
                <w:rFonts w:asciiTheme="minorBidi" w:hAnsiTheme="minorBidi"/>
                <w:kern w:val="2"/>
                <w:sz w:val="24"/>
                <w:szCs w:val="24"/>
                <w:lang w:val="de-DE" w:eastAsia="de-DE"/>
                <w14:ligatures w14:val="standardContextual"/>
              </w:rPr>
              <w:tab/>
            </w:r>
            <w:r w:rsidR="00031EFC" w:rsidRPr="00580264">
              <w:rPr>
                <w:rStyle w:val="Hyperlink"/>
                <w:rFonts w:asciiTheme="minorBidi" w:hAnsiTheme="minorBidi"/>
                <w:sz w:val="24"/>
                <w:szCs w:val="24"/>
              </w:rPr>
              <w:t>Introduction</w:t>
            </w:r>
            <w:r w:rsidR="00031EFC" w:rsidRPr="00580264">
              <w:rPr>
                <w:rFonts w:asciiTheme="minorBidi" w:hAnsiTheme="minorBidi"/>
                <w:webHidden/>
                <w:sz w:val="24"/>
                <w:szCs w:val="24"/>
              </w:rPr>
              <w:tab/>
            </w:r>
            <w:r w:rsidR="00031EFC" w:rsidRPr="00580264">
              <w:rPr>
                <w:rFonts w:asciiTheme="minorBidi" w:hAnsiTheme="minorBidi"/>
                <w:webHidden/>
                <w:sz w:val="24"/>
                <w:szCs w:val="24"/>
              </w:rPr>
              <w:fldChar w:fldCharType="begin"/>
            </w:r>
            <w:r w:rsidR="00031EFC" w:rsidRPr="00580264">
              <w:rPr>
                <w:rFonts w:asciiTheme="minorBidi" w:hAnsiTheme="minorBidi"/>
                <w:webHidden/>
                <w:sz w:val="24"/>
                <w:szCs w:val="24"/>
              </w:rPr>
              <w:instrText xml:space="preserve"> PAGEREF _Toc224467182 \h </w:instrText>
            </w:r>
            <w:r w:rsidR="00031EFC" w:rsidRPr="00580264">
              <w:rPr>
                <w:rFonts w:asciiTheme="minorBidi" w:hAnsiTheme="minorBidi"/>
                <w:webHidden/>
                <w:sz w:val="24"/>
                <w:szCs w:val="24"/>
              </w:rPr>
            </w:r>
            <w:r w:rsidR="00031EFC" w:rsidRPr="00580264">
              <w:rPr>
                <w:rFonts w:asciiTheme="minorBidi" w:hAnsiTheme="minorBidi"/>
                <w:webHidden/>
                <w:sz w:val="24"/>
                <w:szCs w:val="24"/>
              </w:rPr>
              <w:fldChar w:fldCharType="separate"/>
            </w:r>
            <w:r w:rsidR="00031EFC" w:rsidRPr="00580264">
              <w:rPr>
                <w:rFonts w:asciiTheme="minorBidi" w:hAnsiTheme="minorBidi"/>
                <w:webHidden/>
                <w:sz w:val="24"/>
                <w:szCs w:val="24"/>
              </w:rPr>
              <w:t>3</w:t>
            </w:r>
            <w:r w:rsidR="00031EFC" w:rsidRPr="00580264">
              <w:rPr>
                <w:rFonts w:asciiTheme="minorBidi" w:hAnsiTheme="minorBidi"/>
                <w:webHidden/>
                <w:sz w:val="24"/>
                <w:szCs w:val="24"/>
              </w:rPr>
              <w:fldChar w:fldCharType="end"/>
            </w:r>
          </w:hyperlink>
        </w:p>
        <w:p w14:paraId="1DC0D184" w14:textId="11EFCA4F"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83" w:history="1">
            <w:r w:rsidRPr="00580264">
              <w:rPr>
                <w:rStyle w:val="Hyperlink"/>
                <w:rFonts w:asciiTheme="minorBidi" w:hAnsiTheme="minorBidi"/>
                <w:sz w:val="24"/>
                <w:szCs w:val="24"/>
              </w:rPr>
              <w:t>2.</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Identifying the Problem &amp; System Context</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_Toc224467183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4</w:t>
            </w:r>
            <w:r w:rsidRPr="00580264">
              <w:rPr>
                <w:rFonts w:asciiTheme="minorBidi" w:hAnsiTheme="minorBidi"/>
                <w:webHidden/>
                <w:sz w:val="24"/>
                <w:szCs w:val="24"/>
              </w:rPr>
              <w:fldChar w:fldCharType="end"/>
            </w:r>
          </w:hyperlink>
        </w:p>
        <w:p w14:paraId="09327D90" w14:textId="6C205DA9"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4" w:history="1">
            <w:r w:rsidRPr="00580264">
              <w:rPr>
                <w:rStyle w:val="Hyperlink"/>
                <w:rFonts w:asciiTheme="minorBidi" w:hAnsiTheme="minorBidi"/>
                <w:b/>
                <w:bCs/>
                <w:noProof/>
                <w:sz w:val="24"/>
                <w:szCs w:val="24"/>
              </w:rPr>
              <w:t>2.1</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Defining the Core Problem</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_Toc224467184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4</w:t>
            </w:r>
            <w:r w:rsidRPr="00580264">
              <w:rPr>
                <w:rFonts w:asciiTheme="minorBidi" w:hAnsiTheme="minorBidi"/>
                <w:b/>
                <w:bCs/>
                <w:noProof/>
                <w:webHidden/>
                <w:sz w:val="24"/>
                <w:szCs w:val="24"/>
              </w:rPr>
              <w:fldChar w:fldCharType="end"/>
            </w:r>
          </w:hyperlink>
        </w:p>
        <w:p w14:paraId="7107B129" w14:textId="55D2C6FC"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5" w:history="1">
            <w:r w:rsidRPr="00580264">
              <w:rPr>
                <w:rStyle w:val="Hyperlink"/>
                <w:rFonts w:asciiTheme="minorBidi" w:hAnsiTheme="minorBidi"/>
                <w:b/>
                <w:bCs/>
                <w:noProof/>
                <w:sz w:val="24"/>
                <w:szCs w:val="24"/>
              </w:rPr>
              <w:t>2.2</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Global and National Context</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_Toc224467185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4</w:t>
            </w:r>
            <w:r w:rsidRPr="00580264">
              <w:rPr>
                <w:rFonts w:asciiTheme="minorBidi" w:hAnsiTheme="minorBidi"/>
                <w:b/>
                <w:bCs/>
                <w:noProof/>
                <w:webHidden/>
                <w:sz w:val="24"/>
                <w:szCs w:val="24"/>
              </w:rPr>
              <w:fldChar w:fldCharType="end"/>
            </w:r>
          </w:hyperlink>
        </w:p>
        <w:p w14:paraId="4F246668" w14:textId="3B04A948"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6" w:history="1">
            <w:r w:rsidRPr="00580264">
              <w:rPr>
                <w:rStyle w:val="Hyperlink"/>
                <w:rFonts w:asciiTheme="minorBidi" w:hAnsiTheme="minorBidi"/>
                <w:b/>
                <w:bCs/>
                <w:noProof/>
                <w:sz w:val="24"/>
                <w:szCs w:val="24"/>
              </w:rPr>
              <w:t>2.3</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National Context (UK)</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_Toc224467186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5</w:t>
            </w:r>
            <w:r w:rsidRPr="00580264">
              <w:rPr>
                <w:rFonts w:asciiTheme="minorBidi" w:hAnsiTheme="minorBidi"/>
                <w:b/>
                <w:bCs/>
                <w:noProof/>
                <w:webHidden/>
                <w:sz w:val="24"/>
                <w:szCs w:val="24"/>
              </w:rPr>
              <w:fldChar w:fldCharType="end"/>
            </w:r>
          </w:hyperlink>
        </w:p>
        <w:p w14:paraId="42798F01" w14:textId="51216A90"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7" w:history="1">
            <w:r w:rsidRPr="00580264">
              <w:rPr>
                <w:rStyle w:val="Hyperlink"/>
                <w:rFonts w:asciiTheme="minorBidi" w:hAnsiTheme="minorBidi"/>
                <w:b/>
                <w:bCs/>
                <w:noProof/>
                <w:sz w:val="24"/>
                <w:szCs w:val="24"/>
              </w:rPr>
              <w:t>2.4</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Root Causes Through Systems Thinking (SSM and CATWOE)</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_Toc224467187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5</w:t>
            </w:r>
            <w:r w:rsidRPr="00580264">
              <w:rPr>
                <w:rFonts w:asciiTheme="minorBidi" w:hAnsiTheme="minorBidi"/>
                <w:b/>
                <w:bCs/>
                <w:noProof/>
                <w:webHidden/>
                <w:sz w:val="24"/>
                <w:szCs w:val="24"/>
              </w:rPr>
              <w:fldChar w:fldCharType="end"/>
            </w:r>
          </w:hyperlink>
        </w:p>
        <w:p w14:paraId="4C6FF06E" w14:textId="0639076C"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8" w:history="1">
            <w:r w:rsidRPr="00580264">
              <w:rPr>
                <w:rStyle w:val="Hyperlink"/>
                <w:rFonts w:asciiTheme="minorBidi" w:hAnsiTheme="minorBidi"/>
                <w:b/>
                <w:bCs/>
                <w:noProof/>
                <w:sz w:val="24"/>
                <w:szCs w:val="24"/>
              </w:rPr>
              <w:t>2.5</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Rich Picture and Feedback Loops</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_Toc224467188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6</w:t>
            </w:r>
            <w:r w:rsidRPr="00580264">
              <w:rPr>
                <w:rFonts w:asciiTheme="minorBidi" w:hAnsiTheme="minorBidi"/>
                <w:b/>
                <w:bCs/>
                <w:noProof/>
                <w:webHidden/>
                <w:sz w:val="24"/>
                <w:szCs w:val="24"/>
              </w:rPr>
              <w:fldChar w:fldCharType="end"/>
            </w:r>
          </w:hyperlink>
        </w:p>
        <w:p w14:paraId="7D678858" w14:textId="75AD7F12" w:rsidR="00031EFC" w:rsidRPr="00580264" w:rsidRDefault="00031EFC" w:rsidP="00031EFC">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24467189" w:history="1">
            <w:r w:rsidRPr="00580264">
              <w:rPr>
                <w:rStyle w:val="Hyperlink"/>
                <w:rFonts w:asciiTheme="minorBidi" w:hAnsiTheme="minorBidi"/>
                <w:b/>
                <w:bCs/>
                <w:noProof/>
                <w:sz w:val="24"/>
                <w:szCs w:val="24"/>
              </w:rPr>
              <w:t>2.6</w:t>
            </w:r>
            <w:r w:rsidRPr="00580264">
              <w:rPr>
                <w:rFonts w:asciiTheme="minorBidi" w:hAnsiTheme="minorBidi"/>
                <w:b/>
                <w:bCs/>
                <w:noProof/>
                <w:kern w:val="2"/>
                <w:sz w:val="24"/>
                <w:szCs w:val="24"/>
                <w:lang w:val="de-DE" w:eastAsia="de-DE"/>
                <w14:ligatures w14:val="standardContextual"/>
              </w:rPr>
              <w:tab/>
            </w:r>
            <w:r w:rsidRPr="00580264">
              <w:rPr>
                <w:rStyle w:val="Hyperlink"/>
                <w:rFonts w:asciiTheme="minorBidi" w:hAnsiTheme="minorBidi"/>
                <w:b/>
                <w:bCs/>
                <w:noProof/>
                <w:sz w:val="24"/>
                <w:szCs w:val="24"/>
              </w:rPr>
              <w:t>Governance Level Analysis</w:t>
            </w:r>
            <w:r w:rsidRPr="00580264">
              <w:rPr>
                <w:rFonts w:asciiTheme="minorBidi" w:hAnsiTheme="minorBidi"/>
                <w:b/>
                <w:bCs/>
                <w:noProof/>
                <w:webHidden/>
                <w:sz w:val="24"/>
                <w:szCs w:val="24"/>
              </w:rPr>
              <w:tab/>
            </w:r>
            <w:r w:rsidRPr="00580264">
              <w:rPr>
                <w:rFonts w:asciiTheme="minorBidi" w:hAnsiTheme="minorBidi"/>
                <w:b/>
                <w:bCs/>
                <w:noProof/>
                <w:webHidden/>
                <w:sz w:val="24"/>
                <w:szCs w:val="24"/>
              </w:rPr>
              <w:fldChar w:fldCharType="begin"/>
            </w:r>
            <w:r w:rsidRPr="00580264">
              <w:rPr>
                <w:rFonts w:asciiTheme="minorBidi" w:hAnsiTheme="minorBidi"/>
                <w:b/>
                <w:bCs/>
                <w:noProof/>
                <w:webHidden/>
                <w:sz w:val="24"/>
                <w:szCs w:val="24"/>
              </w:rPr>
              <w:instrText xml:space="preserve"> PAGEREF _Toc224467189 \h </w:instrText>
            </w:r>
            <w:r w:rsidRPr="00580264">
              <w:rPr>
                <w:rFonts w:asciiTheme="minorBidi" w:hAnsiTheme="minorBidi"/>
                <w:b/>
                <w:bCs/>
                <w:noProof/>
                <w:webHidden/>
                <w:sz w:val="24"/>
                <w:szCs w:val="24"/>
              </w:rPr>
            </w:r>
            <w:r w:rsidRPr="00580264">
              <w:rPr>
                <w:rFonts w:asciiTheme="minorBidi" w:hAnsiTheme="minorBidi"/>
                <w:b/>
                <w:bCs/>
                <w:noProof/>
                <w:webHidden/>
                <w:sz w:val="24"/>
                <w:szCs w:val="24"/>
              </w:rPr>
              <w:fldChar w:fldCharType="separate"/>
            </w:r>
            <w:r w:rsidRPr="00580264">
              <w:rPr>
                <w:rFonts w:asciiTheme="minorBidi" w:hAnsiTheme="minorBidi"/>
                <w:b/>
                <w:bCs/>
                <w:noProof/>
                <w:webHidden/>
                <w:sz w:val="24"/>
                <w:szCs w:val="24"/>
              </w:rPr>
              <w:t>6</w:t>
            </w:r>
            <w:r w:rsidRPr="00580264">
              <w:rPr>
                <w:rFonts w:asciiTheme="minorBidi" w:hAnsiTheme="minorBidi"/>
                <w:b/>
                <w:bCs/>
                <w:noProof/>
                <w:webHidden/>
                <w:sz w:val="24"/>
                <w:szCs w:val="24"/>
              </w:rPr>
              <w:fldChar w:fldCharType="end"/>
            </w:r>
          </w:hyperlink>
        </w:p>
        <w:p w14:paraId="07E696C0" w14:textId="7D147C15"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0" w:history="1">
            <w:r w:rsidRPr="00580264">
              <w:rPr>
                <w:rStyle w:val="Hyperlink"/>
                <w:rFonts w:asciiTheme="minorBidi" w:hAnsiTheme="minorBidi"/>
                <w:sz w:val="24"/>
                <w:szCs w:val="24"/>
              </w:rPr>
              <w:t>3.</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Centralisation vs Decentralisation</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_Toc224467190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7</w:t>
            </w:r>
            <w:r w:rsidRPr="00580264">
              <w:rPr>
                <w:rFonts w:asciiTheme="minorBidi" w:hAnsiTheme="minorBidi"/>
                <w:webHidden/>
                <w:sz w:val="24"/>
                <w:szCs w:val="24"/>
              </w:rPr>
              <w:fldChar w:fldCharType="end"/>
            </w:r>
          </w:hyperlink>
        </w:p>
        <w:p w14:paraId="3432041D" w14:textId="2AD3D09D"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1" w:history="1">
            <w:r w:rsidRPr="00580264">
              <w:rPr>
                <w:rStyle w:val="Hyperlink"/>
                <w:rFonts w:asciiTheme="minorBidi" w:hAnsiTheme="minorBidi"/>
                <w:sz w:val="24"/>
                <w:szCs w:val="24"/>
              </w:rPr>
              <w:t>4.</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Leadership Theories</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_Toc224467191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9</w:t>
            </w:r>
            <w:r w:rsidRPr="00580264">
              <w:rPr>
                <w:rFonts w:asciiTheme="minorBidi" w:hAnsiTheme="minorBidi"/>
                <w:webHidden/>
                <w:sz w:val="24"/>
                <w:szCs w:val="24"/>
              </w:rPr>
              <w:fldChar w:fldCharType="end"/>
            </w:r>
          </w:hyperlink>
        </w:p>
        <w:p w14:paraId="7DD4A77F" w14:textId="0A3C6453"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2" w:history="1">
            <w:r w:rsidRPr="00580264">
              <w:rPr>
                <w:rStyle w:val="Hyperlink"/>
                <w:rFonts w:asciiTheme="minorBidi" w:hAnsiTheme="minorBidi"/>
                <w:sz w:val="24"/>
                <w:szCs w:val="24"/>
              </w:rPr>
              <w:t>5.</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Improvement &amp; Lessons Learned</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_Toc224467192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12</w:t>
            </w:r>
            <w:r w:rsidRPr="00580264">
              <w:rPr>
                <w:rFonts w:asciiTheme="minorBidi" w:hAnsiTheme="minorBidi"/>
                <w:webHidden/>
                <w:sz w:val="24"/>
                <w:szCs w:val="24"/>
              </w:rPr>
              <w:fldChar w:fldCharType="end"/>
            </w:r>
          </w:hyperlink>
        </w:p>
        <w:p w14:paraId="622AA09B" w14:textId="693B92B8"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3" w:history="1">
            <w:r w:rsidRPr="00580264">
              <w:rPr>
                <w:rStyle w:val="Hyperlink"/>
                <w:rFonts w:asciiTheme="minorBidi" w:hAnsiTheme="minorBidi"/>
                <w:sz w:val="24"/>
                <w:szCs w:val="24"/>
              </w:rPr>
              <w:t>6.</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Recommendations</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_Toc224467193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14</w:t>
            </w:r>
            <w:r w:rsidRPr="00580264">
              <w:rPr>
                <w:rFonts w:asciiTheme="minorBidi" w:hAnsiTheme="minorBidi"/>
                <w:webHidden/>
                <w:sz w:val="24"/>
                <w:szCs w:val="24"/>
              </w:rPr>
              <w:fldChar w:fldCharType="end"/>
            </w:r>
          </w:hyperlink>
        </w:p>
        <w:p w14:paraId="186042B0" w14:textId="04EBE108"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4" w:history="1">
            <w:r w:rsidRPr="00580264">
              <w:rPr>
                <w:rStyle w:val="Hyperlink"/>
                <w:rFonts w:asciiTheme="minorBidi" w:hAnsiTheme="minorBidi"/>
                <w:sz w:val="24"/>
                <w:szCs w:val="24"/>
              </w:rPr>
              <w:t>7.</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Conclusion</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_Toc224467194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16</w:t>
            </w:r>
            <w:r w:rsidRPr="00580264">
              <w:rPr>
                <w:rFonts w:asciiTheme="minorBidi" w:hAnsiTheme="minorBidi"/>
                <w:webHidden/>
                <w:sz w:val="24"/>
                <w:szCs w:val="24"/>
              </w:rPr>
              <w:fldChar w:fldCharType="end"/>
            </w:r>
          </w:hyperlink>
        </w:p>
        <w:p w14:paraId="3FEB0E63" w14:textId="5E32B414" w:rsidR="00031EFC" w:rsidRPr="00580264" w:rsidRDefault="00031EFC" w:rsidP="00031EFC">
          <w:pPr>
            <w:pStyle w:val="TOC1"/>
            <w:spacing w:line="360" w:lineRule="auto"/>
            <w:rPr>
              <w:rFonts w:asciiTheme="minorBidi" w:hAnsiTheme="minorBidi"/>
              <w:kern w:val="2"/>
              <w:sz w:val="24"/>
              <w:szCs w:val="24"/>
              <w:lang w:val="de-DE" w:eastAsia="de-DE"/>
              <w14:ligatures w14:val="standardContextual"/>
            </w:rPr>
          </w:pPr>
          <w:hyperlink w:anchor="_Toc224467195" w:history="1">
            <w:r w:rsidRPr="00580264">
              <w:rPr>
                <w:rStyle w:val="Hyperlink"/>
                <w:rFonts w:asciiTheme="minorBidi" w:hAnsiTheme="minorBidi"/>
                <w:sz w:val="24"/>
                <w:szCs w:val="24"/>
              </w:rPr>
              <w:t>8.</w:t>
            </w:r>
            <w:r w:rsidRPr="00580264">
              <w:rPr>
                <w:rFonts w:asciiTheme="minorBidi" w:hAnsiTheme="minorBidi"/>
                <w:kern w:val="2"/>
                <w:sz w:val="24"/>
                <w:szCs w:val="24"/>
                <w:lang w:val="de-DE" w:eastAsia="de-DE"/>
                <w14:ligatures w14:val="standardContextual"/>
              </w:rPr>
              <w:tab/>
            </w:r>
            <w:r w:rsidRPr="00580264">
              <w:rPr>
                <w:rStyle w:val="Hyperlink"/>
                <w:rFonts w:asciiTheme="minorBidi" w:hAnsiTheme="minorBidi"/>
                <w:sz w:val="24"/>
                <w:szCs w:val="24"/>
              </w:rPr>
              <w:t>Reference list</w:t>
            </w:r>
            <w:r w:rsidRPr="00580264">
              <w:rPr>
                <w:rFonts w:asciiTheme="minorBidi" w:hAnsiTheme="minorBidi"/>
                <w:webHidden/>
                <w:sz w:val="24"/>
                <w:szCs w:val="24"/>
              </w:rPr>
              <w:tab/>
            </w:r>
            <w:r w:rsidRPr="00580264">
              <w:rPr>
                <w:rFonts w:asciiTheme="minorBidi" w:hAnsiTheme="minorBidi"/>
                <w:webHidden/>
                <w:sz w:val="24"/>
                <w:szCs w:val="24"/>
              </w:rPr>
              <w:fldChar w:fldCharType="begin"/>
            </w:r>
            <w:r w:rsidRPr="00580264">
              <w:rPr>
                <w:rFonts w:asciiTheme="minorBidi" w:hAnsiTheme="minorBidi"/>
                <w:webHidden/>
                <w:sz w:val="24"/>
                <w:szCs w:val="24"/>
              </w:rPr>
              <w:instrText xml:space="preserve"> PAGEREF _Toc224467195 \h </w:instrText>
            </w:r>
            <w:r w:rsidRPr="00580264">
              <w:rPr>
                <w:rFonts w:asciiTheme="minorBidi" w:hAnsiTheme="minorBidi"/>
                <w:webHidden/>
                <w:sz w:val="24"/>
                <w:szCs w:val="24"/>
              </w:rPr>
            </w:r>
            <w:r w:rsidRPr="00580264">
              <w:rPr>
                <w:rFonts w:asciiTheme="minorBidi" w:hAnsiTheme="minorBidi"/>
                <w:webHidden/>
                <w:sz w:val="24"/>
                <w:szCs w:val="24"/>
              </w:rPr>
              <w:fldChar w:fldCharType="separate"/>
            </w:r>
            <w:r w:rsidRPr="00580264">
              <w:rPr>
                <w:rFonts w:asciiTheme="minorBidi" w:hAnsiTheme="minorBidi"/>
                <w:webHidden/>
                <w:sz w:val="24"/>
                <w:szCs w:val="24"/>
              </w:rPr>
              <w:t>18</w:t>
            </w:r>
            <w:r w:rsidRPr="00580264">
              <w:rPr>
                <w:rFonts w:asciiTheme="minorBidi" w:hAnsiTheme="minorBidi"/>
                <w:webHidden/>
                <w:sz w:val="24"/>
                <w:szCs w:val="24"/>
              </w:rPr>
              <w:fldChar w:fldCharType="end"/>
            </w:r>
          </w:hyperlink>
        </w:p>
        <w:p w14:paraId="4C54A29A" w14:textId="3793CB80" w:rsidR="006830C4" w:rsidRPr="00B02191" w:rsidRDefault="006830C4" w:rsidP="00031EFC">
          <w:pPr>
            <w:spacing w:line="360" w:lineRule="auto"/>
            <w:rPr>
              <w:rFonts w:asciiTheme="minorBidi" w:hAnsiTheme="minorBidi"/>
              <w:sz w:val="24"/>
              <w:szCs w:val="24"/>
            </w:rPr>
          </w:pPr>
          <w:r w:rsidRPr="00580264">
            <w:rPr>
              <w:rFonts w:asciiTheme="minorBidi" w:hAnsiTheme="minorBidi"/>
              <w:b/>
              <w:bCs/>
              <w:noProof/>
              <w:sz w:val="24"/>
              <w:szCs w:val="24"/>
            </w:rPr>
            <w:fldChar w:fldCharType="end"/>
          </w:r>
        </w:p>
      </w:sdtContent>
    </w:sdt>
    <w:p w14:paraId="4805F137" w14:textId="2703A6EB" w:rsidR="006830C4" w:rsidRPr="00B02191" w:rsidRDefault="006830C4" w:rsidP="00481964">
      <w:pPr>
        <w:spacing w:after="160" w:line="360" w:lineRule="auto"/>
        <w:rPr>
          <w:rFonts w:asciiTheme="minorBidi" w:hAnsiTheme="minorBidi"/>
          <w:sz w:val="24"/>
          <w:szCs w:val="24"/>
        </w:rPr>
      </w:pPr>
      <w:r w:rsidRPr="00B02191">
        <w:rPr>
          <w:rFonts w:asciiTheme="minorBidi" w:hAnsiTheme="minorBidi"/>
          <w:sz w:val="24"/>
          <w:szCs w:val="24"/>
        </w:rPr>
        <w:br w:type="page"/>
      </w:r>
    </w:p>
    <w:p w14:paraId="3918F956" w14:textId="48698E99" w:rsidR="00C042FC" w:rsidRPr="00B02191" w:rsidRDefault="00F9483C" w:rsidP="00F9483C">
      <w:pPr>
        <w:pStyle w:val="Heading1"/>
        <w:numPr>
          <w:ilvl w:val="0"/>
          <w:numId w:val="5"/>
        </w:numPr>
        <w:spacing w:line="360" w:lineRule="auto"/>
        <w:rPr>
          <w:rFonts w:asciiTheme="minorBidi" w:hAnsiTheme="minorBidi" w:cstheme="minorBidi"/>
          <w:b/>
          <w:bCs/>
          <w:color w:val="auto"/>
          <w:sz w:val="24"/>
          <w:szCs w:val="24"/>
        </w:rPr>
      </w:pPr>
      <w:bookmarkStart w:id="0" w:name="_Toc224467182"/>
      <w:r w:rsidRPr="00B02191">
        <w:rPr>
          <w:rFonts w:asciiTheme="minorBidi" w:hAnsiTheme="minorBidi" w:cstheme="minorBidi"/>
          <w:b/>
          <w:bCs/>
          <w:color w:val="auto"/>
          <w:sz w:val="24"/>
          <w:szCs w:val="24"/>
        </w:rPr>
        <w:lastRenderedPageBreak/>
        <w:t>Introduction</w:t>
      </w:r>
      <w:bookmarkEnd w:id="0"/>
    </w:p>
    <w:p w14:paraId="4D71F903" w14:textId="62B93FBF" w:rsidR="000E49BE" w:rsidRPr="00B02191" w:rsidRDefault="000E49BE" w:rsidP="00481964">
      <w:pPr>
        <w:spacing w:line="360" w:lineRule="auto"/>
        <w:rPr>
          <w:rFonts w:asciiTheme="minorBidi" w:hAnsiTheme="minorBidi"/>
          <w:sz w:val="24"/>
          <w:szCs w:val="24"/>
        </w:rPr>
      </w:pPr>
      <w:r w:rsidRPr="00B02191">
        <w:rPr>
          <w:rFonts w:asciiTheme="minorBidi" w:hAnsiTheme="minorBidi"/>
          <w:sz w:val="24"/>
          <w:szCs w:val="24"/>
        </w:rPr>
        <w:t xml:space="preserve">The clinical history of an 89-year-old man with Charcot-Marie-Tooth disease (CMT), Len, demonstrates how serious medication safety mistakes in the complicated healthcare systems can be. Len took morphine oral solution orally as pain reliever after he suffered a fall and had two visits to the hospital. He took a lot more than the recommended dosage because of the misconception of the dosage directions. Later, he was taken to a hospital with a possible morphine overdose, pneumonia as well as a worsening of his overall health that he died soon after. According to the investigation by the Healthcare Safety Investigation Branch (HSSIB), it was not the consequences of a single human error but rather the manifestation of systemic deficiencies of prescribing practices, communication processes and medication </w:t>
      </w:r>
      <w:r w:rsidR="004E7479" w:rsidRPr="00B02191">
        <w:rPr>
          <w:rFonts w:asciiTheme="minorBidi" w:hAnsiTheme="minorBidi"/>
          <w:sz w:val="24"/>
          <w:szCs w:val="24"/>
        </w:rPr>
        <w:t>labelling</w:t>
      </w:r>
      <w:r w:rsidRPr="00B02191">
        <w:rPr>
          <w:rFonts w:asciiTheme="minorBidi" w:hAnsiTheme="minorBidi"/>
          <w:sz w:val="24"/>
          <w:szCs w:val="24"/>
        </w:rPr>
        <w:t xml:space="preserve"> in healthcare systems (Hibbert et al., 2023). The case thus serves a valuable purpose in </w:t>
      </w:r>
      <w:r w:rsidR="004E7479" w:rsidRPr="00B02191">
        <w:rPr>
          <w:rFonts w:asciiTheme="minorBidi" w:hAnsiTheme="minorBidi"/>
          <w:sz w:val="24"/>
          <w:szCs w:val="24"/>
        </w:rPr>
        <w:t>analysing</w:t>
      </w:r>
      <w:r w:rsidRPr="00B02191">
        <w:rPr>
          <w:rFonts w:asciiTheme="minorBidi" w:hAnsiTheme="minorBidi"/>
          <w:sz w:val="24"/>
          <w:szCs w:val="24"/>
        </w:rPr>
        <w:t xml:space="preserve"> the issue of leadership, governance, and system design concerning patient safety.</w:t>
      </w:r>
    </w:p>
    <w:p w14:paraId="24C3A06F" w14:textId="0A44138F" w:rsidR="000E49BE" w:rsidRPr="00B02191" w:rsidRDefault="000E49BE" w:rsidP="00481964">
      <w:pPr>
        <w:spacing w:line="360" w:lineRule="auto"/>
        <w:rPr>
          <w:rFonts w:asciiTheme="minorBidi" w:hAnsiTheme="minorBidi"/>
          <w:sz w:val="24"/>
          <w:szCs w:val="24"/>
        </w:rPr>
      </w:pPr>
      <w:r w:rsidRPr="00B02191">
        <w:rPr>
          <w:rFonts w:asciiTheme="minorBidi" w:hAnsiTheme="minorBidi"/>
          <w:sz w:val="24"/>
          <w:szCs w:val="24"/>
        </w:rPr>
        <w:t>Health and social care leadership can be defined as the power to influence people and organisations to provide high-quality care that is safe. Good leadership is important when it comes to building patient safety cultures, enhancing communication, and maintaining responsibility in complicated clinical settings (</w:t>
      </w:r>
      <w:proofErr w:type="spellStart"/>
      <w:r w:rsidRPr="00B02191">
        <w:rPr>
          <w:rFonts w:asciiTheme="minorBidi" w:hAnsiTheme="minorBidi"/>
          <w:sz w:val="24"/>
          <w:szCs w:val="24"/>
        </w:rPr>
        <w:t>Althobaiti</w:t>
      </w:r>
      <w:proofErr w:type="spellEnd"/>
      <w:r w:rsidRPr="00B02191">
        <w:rPr>
          <w:rFonts w:asciiTheme="minorBidi" w:hAnsiTheme="minorBidi"/>
          <w:sz w:val="24"/>
          <w:szCs w:val="24"/>
        </w:rPr>
        <w:t>, 2026). The National Health Service (NHS) has a hybrid form, a combination of centralised and decentralised. Centralisation is the process where the decision making is concentrated at a higher level of the organisation i.e. national policy and standards of regulations. Conversely, decentralisation enables operational decisions such as prescribing practices and clinical judgement to be made at local organisational or professional levels. This national control and local autonomy greatly affect the safety of the patient, coordination, and the decisions made in the healthcare system.</w:t>
      </w:r>
    </w:p>
    <w:p w14:paraId="078D33AA" w14:textId="26FE2498" w:rsidR="00C042FC" w:rsidRPr="00B02191" w:rsidRDefault="000E49BE" w:rsidP="00481964">
      <w:pPr>
        <w:spacing w:line="360" w:lineRule="auto"/>
        <w:rPr>
          <w:rFonts w:asciiTheme="minorBidi" w:hAnsiTheme="minorBidi"/>
          <w:sz w:val="24"/>
          <w:szCs w:val="24"/>
        </w:rPr>
      </w:pPr>
      <w:r w:rsidRPr="00B02191">
        <w:rPr>
          <w:rFonts w:asciiTheme="minorBidi" w:hAnsiTheme="minorBidi"/>
          <w:sz w:val="24"/>
          <w:szCs w:val="24"/>
        </w:rPr>
        <w:t xml:space="preserve">The Len case has been examined in this report using concepts of leadership theories such as the Tannenbaum and Schmidt leadership continuum, autocratic and democratic leadership styles, behavioural leadership theory and the Theory X and Theory Y of McGregor which is closely supported by the contingency theory of leaders as developed by Fiedler. The application of systems thinking will also be to comprehend healthcare as a complex adaptive system with interdependent actors, feedback loops, and organisational processes (Thelen et al., 2023). At the beginning, </w:t>
      </w:r>
      <w:r w:rsidRPr="00B02191">
        <w:rPr>
          <w:rFonts w:asciiTheme="minorBidi" w:hAnsiTheme="minorBidi"/>
          <w:sz w:val="24"/>
          <w:szCs w:val="24"/>
        </w:rPr>
        <w:lastRenderedPageBreak/>
        <w:t xml:space="preserve">a rich picture will be employed to depict the systemic context of the incident. The report will then critically </w:t>
      </w:r>
      <w:r w:rsidR="00661FCC" w:rsidRPr="00B02191">
        <w:rPr>
          <w:rFonts w:asciiTheme="minorBidi" w:hAnsiTheme="minorBidi"/>
          <w:sz w:val="24"/>
          <w:szCs w:val="24"/>
        </w:rPr>
        <w:t>investigate</w:t>
      </w:r>
      <w:r w:rsidRPr="00B02191">
        <w:rPr>
          <w:rFonts w:asciiTheme="minorBidi" w:hAnsiTheme="minorBidi"/>
          <w:sz w:val="24"/>
          <w:szCs w:val="24"/>
        </w:rPr>
        <w:t xml:space="preserve"> governance structures, leadership effectiveness, and organisational decision-making and come up with evidence-based suggestions that enhance patient safety and eliminate similar incidents in the future.</w:t>
      </w:r>
    </w:p>
    <w:p w14:paraId="1D5C69FB" w14:textId="3BD67A45" w:rsidR="00C042FC" w:rsidRPr="00EA6514" w:rsidRDefault="008B7A0C" w:rsidP="00EA6514">
      <w:pPr>
        <w:pStyle w:val="Heading1"/>
        <w:numPr>
          <w:ilvl w:val="0"/>
          <w:numId w:val="5"/>
        </w:numPr>
        <w:spacing w:line="360" w:lineRule="auto"/>
        <w:rPr>
          <w:rFonts w:asciiTheme="minorBidi" w:hAnsiTheme="minorBidi" w:cstheme="minorBidi"/>
          <w:b/>
          <w:bCs/>
          <w:color w:val="auto"/>
          <w:sz w:val="24"/>
          <w:szCs w:val="24"/>
        </w:rPr>
      </w:pPr>
      <w:bookmarkStart w:id="1" w:name="_Toc224467183"/>
      <w:r w:rsidRPr="00EA6514">
        <w:rPr>
          <w:rFonts w:asciiTheme="minorBidi" w:hAnsiTheme="minorBidi" w:cstheme="minorBidi"/>
          <w:b/>
          <w:bCs/>
          <w:color w:val="auto"/>
          <w:sz w:val="24"/>
          <w:szCs w:val="24"/>
        </w:rPr>
        <w:t xml:space="preserve">Identifying </w:t>
      </w:r>
      <w:r>
        <w:rPr>
          <w:rFonts w:asciiTheme="minorBidi" w:hAnsiTheme="minorBidi" w:cstheme="minorBidi"/>
          <w:b/>
          <w:bCs/>
          <w:color w:val="auto"/>
          <w:sz w:val="24"/>
          <w:szCs w:val="24"/>
        </w:rPr>
        <w:t>t</w:t>
      </w:r>
      <w:r w:rsidRPr="00EA6514">
        <w:rPr>
          <w:rFonts w:asciiTheme="minorBidi" w:hAnsiTheme="minorBidi" w:cstheme="minorBidi"/>
          <w:b/>
          <w:bCs/>
          <w:color w:val="auto"/>
          <w:sz w:val="24"/>
          <w:szCs w:val="24"/>
        </w:rPr>
        <w:t xml:space="preserve">he </w:t>
      </w:r>
      <w:r w:rsidR="003A1692">
        <w:rPr>
          <w:rFonts w:asciiTheme="minorBidi" w:hAnsiTheme="minorBidi" w:cstheme="minorBidi"/>
          <w:b/>
          <w:bCs/>
          <w:color w:val="auto"/>
          <w:sz w:val="24"/>
          <w:szCs w:val="24"/>
        </w:rPr>
        <w:t>P</w:t>
      </w:r>
      <w:r w:rsidRPr="00EA6514">
        <w:rPr>
          <w:rFonts w:asciiTheme="minorBidi" w:hAnsiTheme="minorBidi" w:cstheme="minorBidi"/>
          <w:b/>
          <w:bCs/>
          <w:color w:val="auto"/>
          <w:sz w:val="24"/>
          <w:szCs w:val="24"/>
        </w:rPr>
        <w:t xml:space="preserve">roblem &amp; </w:t>
      </w:r>
      <w:r w:rsidR="003A1692">
        <w:rPr>
          <w:rFonts w:asciiTheme="minorBidi" w:hAnsiTheme="minorBidi" w:cstheme="minorBidi"/>
          <w:b/>
          <w:bCs/>
          <w:color w:val="auto"/>
          <w:sz w:val="24"/>
          <w:szCs w:val="24"/>
        </w:rPr>
        <w:t>S</w:t>
      </w:r>
      <w:r w:rsidRPr="00EA6514">
        <w:rPr>
          <w:rFonts w:asciiTheme="minorBidi" w:hAnsiTheme="minorBidi" w:cstheme="minorBidi"/>
          <w:b/>
          <w:bCs/>
          <w:color w:val="auto"/>
          <w:sz w:val="24"/>
          <w:szCs w:val="24"/>
        </w:rPr>
        <w:t xml:space="preserve">ystem </w:t>
      </w:r>
      <w:r w:rsidR="003A1692">
        <w:rPr>
          <w:rFonts w:asciiTheme="minorBidi" w:hAnsiTheme="minorBidi" w:cstheme="minorBidi"/>
          <w:b/>
          <w:bCs/>
          <w:color w:val="auto"/>
          <w:sz w:val="24"/>
          <w:szCs w:val="24"/>
        </w:rPr>
        <w:t>C</w:t>
      </w:r>
      <w:r w:rsidRPr="00EA6514">
        <w:rPr>
          <w:rFonts w:asciiTheme="minorBidi" w:hAnsiTheme="minorBidi" w:cstheme="minorBidi"/>
          <w:b/>
          <w:bCs/>
          <w:color w:val="auto"/>
          <w:sz w:val="24"/>
          <w:szCs w:val="24"/>
        </w:rPr>
        <w:t>ontext</w:t>
      </w:r>
      <w:bookmarkEnd w:id="1"/>
    </w:p>
    <w:p w14:paraId="45CC6C9A" w14:textId="3DB0AA3B" w:rsidR="00C042FC" w:rsidRPr="00DA528C" w:rsidRDefault="00DA528C" w:rsidP="00481964">
      <w:pPr>
        <w:pStyle w:val="Heading2"/>
        <w:spacing w:line="360" w:lineRule="auto"/>
        <w:rPr>
          <w:rFonts w:asciiTheme="minorBidi" w:hAnsiTheme="minorBidi" w:cstheme="minorBidi"/>
          <w:b/>
          <w:bCs/>
          <w:color w:val="auto"/>
          <w:sz w:val="24"/>
          <w:szCs w:val="24"/>
        </w:rPr>
      </w:pPr>
      <w:bookmarkStart w:id="2" w:name="_Toc224467184"/>
      <w:r w:rsidRPr="00DA528C">
        <w:rPr>
          <w:rFonts w:asciiTheme="minorBidi" w:hAnsiTheme="minorBidi" w:cstheme="minorBidi"/>
          <w:b/>
          <w:bCs/>
          <w:color w:val="auto"/>
          <w:sz w:val="24"/>
          <w:szCs w:val="24"/>
        </w:rPr>
        <w:t>2.1</w:t>
      </w:r>
      <w:r w:rsidRPr="00DA528C">
        <w:rPr>
          <w:rFonts w:asciiTheme="minorBidi" w:hAnsiTheme="minorBidi" w:cstheme="minorBidi"/>
          <w:b/>
          <w:bCs/>
          <w:color w:val="auto"/>
          <w:sz w:val="24"/>
          <w:szCs w:val="24"/>
        </w:rPr>
        <w:tab/>
      </w:r>
      <w:r w:rsidR="00C042FC" w:rsidRPr="00DA528C">
        <w:rPr>
          <w:rFonts w:asciiTheme="minorBidi" w:hAnsiTheme="minorBidi" w:cstheme="minorBidi"/>
          <w:b/>
          <w:bCs/>
          <w:color w:val="auto"/>
          <w:sz w:val="24"/>
          <w:szCs w:val="24"/>
        </w:rPr>
        <w:t>Defining the Core Problem</w:t>
      </w:r>
      <w:bookmarkEnd w:id="2"/>
    </w:p>
    <w:p w14:paraId="64DEE442" w14:textId="54C0D017" w:rsidR="006F460E" w:rsidRPr="00B02191" w:rsidRDefault="006F460E"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The morphine overdose Len is not to be explained as a mere label misunderstanding as this personalises the </w:t>
      </w:r>
      <w:r w:rsidR="00BB068D" w:rsidRPr="00B02191">
        <w:rPr>
          <w:rFonts w:asciiTheme="minorBidi" w:eastAsia="Times New Roman" w:hAnsiTheme="minorBidi"/>
          <w:sz w:val="24"/>
          <w:szCs w:val="24"/>
          <w:lang w:eastAsia="en-GB"/>
        </w:rPr>
        <w:t>mistake and</w:t>
      </w:r>
      <w:r w:rsidRPr="00B02191">
        <w:rPr>
          <w:rFonts w:asciiTheme="minorBidi" w:eastAsia="Times New Roman" w:hAnsiTheme="minorBidi"/>
          <w:sz w:val="24"/>
          <w:szCs w:val="24"/>
          <w:lang w:eastAsia="en-GB"/>
        </w:rPr>
        <w:t xml:space="preserve"> does not relate to the systemic conditions within which the incident happened. Its direct cause was over administration of oral morphine by a perplexed unawareness of the dosage and misunderstood checking. But the greater issue lay in the lack of formal safety measures in the task of prescribing, dispensing and communication. It was based on assumed patient knowledge, applied the linear handovers, and closed-loop communication was missing (Tariq et al., 2024). There was no clear accountability since the responsibility was divided among GP, hospital and pharmacy. That denotes systemic limitations in drug safety, especially when referring to high-risk opioids among older adults, and thus shows that there are corruption and inadequate governance and leadership instead of a personal mistake (Cheung, Bouvy and De Smet, 2009).</w:t>
      </w:r>
    </w:p>
    <w:p w14:paraId="74C91C08" w14:textId="5B828756" w:rsidR="00B73059" w:rsidRPr="008579BF" w:rsidRDefault="008579BF" w:rsidP="00481964">
      <w:pPr>
        <w:pStyle w:val="Heading2"/>
        <w:spacing w:line="360" w:lineRule="auto"/>
        <w:rPr>
          <w:rFonts w:asciiTheme="minorBidi" w:hAnsiTheme="minorBidi" w:cstheme="minorBidi"/>
          <w:b/>
          <w:bCs/>
          <w:color w:val="auto"/>
          <w:sz w:val="24"/>
          <w:szCs w:val="24"/>
        </w:rPr>
      </w:pPr>
      <w:bookmarkStart w:id="3" w:name="_Toc224467185"/>
      <w:r w:rsidRPr="008579BF">
        <w:rPr>
          <w:rFonts w:asciiTheme="minorBidi" w:hAnsiTheme="minorBidi" w:cstheme="minorBidi"/>
          <w:b/>
          <w:bCs/>
          <w:color w:val="auto"/>
          <w:sz w:val="24"/>
          <w:szCs w:val="24"/>
        </w:rPr>
        <w:t>2.2</w:t>
      </w:r>
      <w:r w:rsidRPr="008579BF">
        <w:rPr>
          <w:rFonts w:asciiTheme="minorBidi" w:hAnsiTheme="minorBidi" w:cstheme="minorBidi"/>
          <w:b/>
          <w:bCs/>
          <w:color w:val="auto"/>
          <w:sz w:val="24"/>
          <w:szCs w:val="24"/>
        </w:rPr>
        <w:tab/>
      </w:r>
      <w:r w:rsidR="00B73059" w:rsidRPr="008579BF">
        <w:rPr>
          <w:rFonts w:asciiTheme="minorBidi" w:hAnsiTheme="minorBidi" w:cstheme="minorBidi"/>
          <w:b/>
          <w:bCs/>
          <w:color w:val="auto"/>
          <w:sz w:val="24"/>
          <w:szCs w:val="24"/>
        </w:rPr>
        <w:t>Global and National Context</w:t>
      </w:r>
      <w:bookmarkEnd w:id="3"/>
    </w:p>
    <w:p w14:paraId="39ACBE9A" w14:textId="77777777" w:rsidR="006F460E" w:rsidRPr="00B02191" w:rsidRDefault="006F460E"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One of the most dangerous, but preventable, patient safety threats in the global context is medication-related harm. The World Health Organisation (WHO) estimates that medicine errors result in more than 1.3 million deaths per year and cost approximately USD 42 billion per year, almost 1% of the world's spending on health (WHO, 2022). These statistics demonstrate that unsafe medication practice is common in any healthcare system, regardless of its development level. Besides death, healthcare efficiency is compromised due to medication mistakes. </w:t>
      </w:r>
    </w:p>
    <w:p w14:paraId="17FFF9E3" w14:textId="419A8F82" w:rsidR="006F460E" w:rsidRPr="00B02191" w:rsidRDefault="006F460E"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Organisation for Economic Co-operation and Development (OECD) documents that patient-safety failures contribute approximately 15% of the hospital activity/ spending in high-income nations because of additional admissions, additional hospitalisation, and treatment to rectify preventable errors. This risk is additionally amplified by high-risk medicines, or opioids, more than 600,000 deaths per year across the globe continue to be identified with the utilisation of opioids, usually due to errors in </w:t>
      </w:r>
      <w:r w:rsidRPr="00B02191">
        <w:rPr>
          <w:rFonts w:asciiTheme="minorBidi" w:eastAsia="Times New Roman" w:hAnsiTheme="minorBidi"/>
          <w:sz w:val="24"/>
          <w:szCs w:val="24"/>
          <w:lang w:eastAsia="en-GB"/>
        </w:rPr>
        <w:lastRenderedPageBreak/>
        <w:t>prescribing, communication or a lack of understanding of the dosage instructions (World Health Organization, 2025).</w:t>
      </w:r>
    </w:p>
    <w:p w14:paraId="61803A34" w14:textId="6ADC3F00" w:rsidR="00EE0DE8" w:rsidRPr="00702787" w:rsidRDefault="00702787" w:rsidP="00481964">
      <w:pPr>
        <w:pStyle w:val="Heading2"/>
        <w:spacing w:line="360" w:lineRule="auto"/>
        <w:rPr>
          <w:rFonts w:asciiTheme="minorBidi" w:hAnsiTheme="minorBidi" w:cstheme="minorBidi"/>
          <w:b/>
          <w:bCs/>
          <w:color w:val="auto"/>
          <w:sz w:val="24"/>
          <w:szCs w:val="24"/>
        </w:rPr>
      </w:pPr>
      <w:bookmarkStart w:id="4" w:name="_Toc222551445"/>
      <w:bookmarkStart w:id="5" w:name="_Toc224467186"/>
      <w:r w:rsidRPr="00702787">
        <w:rPr>
          <w:rFonts w:asciiTheme="minorBidi" w:hAnsiTheme="minorBidi" w:cstheme="minorBidi"/>
          <w:b/>
          <w:bCs/>
          <w:color w:val="auto"/>
          <w:sz w:val="24"/>
          <w:szCs w:val="24"/>
        </w:rPr>
        <w:t>2.3</w:t>
      </w:r>
      <w:r w:rsidRPr="00702787">
        <w:rPr>
          <w:rFonts w:asciiTheme="minorBidi" w:hAnsiTheme="minorBidi" w:cstheme="minorBidi"/>
          <w:b/>
          <w:bCs/>
          <w:color w:val="auto"/>
          <w:sz w:val="24"/>
          <w:szCs w:val="24"/>
        </w:rPr>
        <w:tab/>
      </w:r>
      <w:r w:rsidR="00EE0DE8" w:rsidRPr="00702787">
        <w:rPr>
          <w:rFonts w:asciiTheme="minorBidi" w:hAnsiTheme="minorBidi" w:cstheme="minorBidi"/>
          <w:b/>
          <w:bCs/>
          <w:color w:val="auto"/>
          <w:sz w:val="24"/>
          <w:szCs w:val="24"/>
        </w:rPr>
        <w:t>National Context (UK)</w:t>
      </w:r>
      <w:bookmarkEnd w:id="4"/>
      <w:bookmarkEnd w:id="5"/>
    </w:p>
    <w:p w14:paraId="52223F39" w14:textId="77777777" w:rsidR="006F460E" w:rsidRPr="00B02191" w:rsidRDefault="006F460E"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Mediation safety is a significant issue in the United Kingdom. According to NHS data, in England alone, there are an estimated 237 million medication errors each year, resulting in an estimated 1,700-22,000 deaths each year (Camacho et al., 2024). In England and Wales, there are over 4,000 opioid-related deaths, which is an indication of the dangers of poor prescribing and communication.</w:t>
      </w:r>
    </w:p>
    <w:p w14:paraId="06E04BAC" w14:textId="77777777" w:rsidR="006F460E" w:rsidRPr="00B02191" w:rsidRDefault="006F460E"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Despite the NHS Patient Safety Strategy, which is to minimise harm by reporting, learning and enhanced communication, the Healthcare Safety Investigation Branch (HSSIB) still ensure that investigations have detected poor labelling, deficient standardisation and inadequate confirmation of patient understanding. Poor feedback system and under-reporting also hamper the organisational learning, which indicates that the primary issue is not the absence of policy but rather inconsistent application in the daily clinical practice (Wolf and Hughes, 2020).</w:t>
      </w:r>
    </w:p>
    <w:p w14:paraId="29275027" w14:textId="0E2553C8" w:rsidR="00C042FC" w:rsidRPr="00CD7F5F" w:rsidRDefault="00CD7F5F" w:rsidP="00481964">
      <w:pPr>
        <w:pStyle w:val="Heading2"/>
        <w:spacing w:line="360" w:lineRule="auto"/>
        <w:rPr>
          <w:rFonts w:asciiTheme="minorBidi" w:hAnsiTheme="minorBidi" w:cstheme="minorBidi"/>
          <w:b/>
          <w:bCs/>
          <w:sz w:val="24"/>
          <w:szCs w:val="24"/>
        </w:rPr>
      </w:pPr>
      <w:bookmarkStart w:id="6" w:name="_Toc224467187"/>
      <w:r w:rsidRPr="00CD7F5F">
        <w:rPr>
          <w:rFonts w:asciiTheme="minorBidi" w:hAnsiTheme="minorBidi" w:cstheme="minorBidi"/>
          <w:b/>
          <w:bCs/>
          <w:color w:val="auto"/>
          <w:sz w:val="24"/>
          <w:szCs w:val="24"/>
        </w:rPr>
        <w:t>2.4</w:t>
      </w:r>
      <w:r w:rsidRPr="00CD7F5F">
        <w:rPr>
          <w:rFonts w:asciiTheme="minorBidi" w:hAnsiTheme="minorBidi" w:cstheme="minorBidi"/>
          <w:b/>
          <w:bCs/>
          <w:color w:val="auto"/>
          <w:sz w:val="24"/>
          <w:szCs w:val="24"/>
        </w:rPr>
        <w:tab/>
      </w:r>
      <w:r w:rsidR="00C042FC" w:rsidRPr="00CD7F5F">
        <w:rPr>
          <w:rFonts w:asciiTheme="minorBidi" w:hAnsiTheme="minorBidi" w:cstheme="minorBidi"/>
          <w:b/>
          <w:bCs/>
          <w:color w:val="auto"/>
          <w:sz w:val="24"/>
          <w:szCs w:val="24"/>
        </w:rPr>
        <w:t>Root Causes Through Systems Thinking (SSM and CATWOE)</w:t>
      </w:r>
      <w:bookmarkEnd w:id="6"/>
    </w:p>
    <w:p w14:paraId="16049269"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Applying Soft Systems Methodology reveals multiple interacting elements:</w:t>
      </w:r>
    </w:p>
    <w:p w14:paraId="3F7F91E7" w14:textId="7EEFECA4"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Customers:</w:t>
      </w:r>
      <w:r w:rsidRPr="00B02191">
        <w:rPr>
          <w:rFonts w:asciiTheme="minorBidi" w:hAnsiTheme="minorBidi"/>
          <w:sz w:val="24"/>
          <w:szCs w:val="24"/>
        </w:rPr>
        <w:t xml:space="preserve"> The family of Len and his family, who suffered the damage.</w:t>
      </w:r>
    </w:p>
    <w:p w14:paraId="7E863D70" w14:textId="77777777"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Actors:</w:t>
      </w:r>
      <w:r w:rsidRPr="00B02191">
        <w:rPr>
          <w:rFonts w:asciiTheme="minorBidi" w:hAnsiTheme="minorBidi"/>
          <w:sz w:val="24"/>
          <w:szCs w:val="24"/>
        </w:rPr>
        <w:t xml:space="preserve"> GP, clinicians of the hospital, pharmacists, and perhaps community nurses.</w:t>
      </w:r>
    </w:p>
    <w:p w14:paraId="22113135" w14:textId="77777777"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Transformation:</w:t>
      </w:r>
      <w:r w:rsidRPr="00B02191">
        <w:rPr>
          <w:rFonts w:asciiTheme="minorBidi" w:hAnsiTheme="minorBidi"/>
          <w:sz w:val="24"/>
          <w:szCs w:val="24"/>
        </w:rPr>
        <w:t xml:space="preserve"> Off-label safe medication management to egregious relief; offence to terminal overdose.</w:t>
      </w:r>
    </w:p>
    <w:p w14:paraId="5C790EEF" w14:textId="77777777"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Worldview:</w:t>
      </w:r>
      <w:r w:rsidRPr="00B02191">
        <w:rPr>
          <w:rFonts w:asciiTheme="minorBidi" w:hAnsiTheme="minorBidi"/>
          <w:sz w:val="24"/>
          <w:szCs w:val="24"/>
        </w:rPr>
        <w:t xml:space="preserve"> The assumption that safe medication use can be done with the help of written instructions.</w:t>
      </w:r>
    </w:p>
    <w:p w14:paraId="374EA37E" w14:textId="77777777"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Owner:</w:t>
      </w:r>
      <w:r w:rsidRPr="00B02191">
        <w:rPr>
          <w:rFonts w:asciiTheme="minorBidi" w:hAnsiTheme="minorBidi"/>
          <w:sz w:val="24"/>
          <w:szCs w:val="24"/>
        </w:rPr>
        <w:t xml:space="preserve"> NHS governance bodies that have standards of medication safety.</w:t>
      </w:r>
    </w:p>
    <w:p w14:paraId="713720D2" w14:textId="4A86FAC1" w:rsidR="00C042FC" w:rsidRPr="00B02191" w:rsidRDefault="00C042FC" w:rsidP="00481964">
      <w:pPr>
        <w:pStyle w:val="ListParagraph"/>
        <w:numPr>
          <w:ilvl w:val="0"/>
          <w:numId w:val="1"/>
        </w:numPr>
        <w:spacing w:line="360" w:lineRule="auto"/>
        <w:rPr>
          <w:rFonts w:asciiTheme="minorBidi" w:hAnsiTheme="minorBidi"/>
          <w:sz w:val="24"/>
          <w:szCs w:val="24"/>
        </w:rPr>
      </w:pPr>
      <w:r w:rsidRPr="00B02191">
        <w:rPr>
          <w:rFonts w:asciiTheme="minorBidi" w:hAnsiTheme="minorBidi"/>
          <w:b/>
          <w:bCs/>
          <w:sz w:val="24"/>
          <w:szCs w:val="24"/>
        </w:rPr>
        <w:t>Environment:</w:t>
      </w:r>
      <w:r w:rsidRPr="00B02191">
        <w:rPr>
          <w:rFonts w:asciiTheme="minorBidi" w:hAnsiTheme="minorBidi"/>
          <w:sz w:val="24"/>
          <w:szCs w:val="24"/>
        </w:rPr>
        <w:t xml:space="preserve"> Greying workforce, time-constrain, labour shortages, mounting opioid prescribing criticism.</w:t>
      </w:r>
    </w:p>
    <w:p w14:paraId="213339FF" w14:textId="2BE11150"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This change was not successful due to the low levels of verification. Transactional completion (prescription written, dispensed) was a priority of the worldview in practice, instead of relational assurance (understanding confirmed)</w:t>
      </w:r>
      <w:r w:rsidR="008D65D2" w:rsidRPr="00B02191">
        <w:rPr>
          <w:rFonts w:asciiTheme="minorBidi" w:hAnsiTheme="minorBidi"/>
          <w:sz w:val="24"/>
          <w:szCs w:val="24"/>
        </w:rPr>
        <w:t xml:space="preserve"> </w:t>
      </w:r>
      <w:r w:rsidR="008D65D2" w:rsidRPr="00B02191">
        <w:rPr>
          <w:rFonts w:asciiTheme="minorBidi" w:eastAsia="Times New Roman" w:hAnsiTheme="minorBidi"/>
          <w:sz w:val="24"/>
          <w:szCs w:val="24"/>
          <w:lang w:eastAsia="en-GB"/>
        </w:rPr>
        <w:t xml:space="preserve">(Kähkönen </w:t>
      </w:r>
      <w:r w:rsidR="008D65D2" w:rsidRPr="00B02191">
        <w:rPr>
          <w:rFonts w:asciiTheme="minorBidi" w:eastAsia="Times New Roman" w:hAnsiTheme="minorBidi"/>
          <w:i/>
          <w:iCs/>
          <w:sz w:val="24"/>
          <w:szCs w:val="24"/>
          <w:lang w:eastAsia="en-GB"/>
        </w:rPr>
        <w:t>et al.</w:t>
      </w:r>
      <w:r w:rsidR="008D65D2" w:rsidRPr="00B02191">
        <w:rPr>
          <w:rFonts w:asciiTheme="minorBidi" w:eastAsia="Times New Roman" w:hAnsiTheme="minorBidi"/>
          <w:sz w:val="24"/>
          <w:szCs w:val="24"/>
          <w:lang w:eastAsia="en-GB"/>
        </w:rPr>
        <w:t>, 2021)</w:t>
      </w:r>
      <w:r w:rsidRPr="00B02191">
        <w:rPr>
          <w:rFonts w:asciiTheme="minorBidi" w:hAnsiTheme="minorBidi"/>
          <w:sz w:val="24"/>
          <w:szCs w:val="24"/>
        </w:rPr>
        <w:t xml:space="preserve">. Pressures on the environment were likely to squeeze consultation time, leaving no possibility of educating patients comprehensively. Its root cause is then </w:t>
      </w:r>
      <w:r w:rsidRPr="00B02191">
        <w:rPr>
          <w:rFonts w:asciiTheme="minorBidi" w:hAnsiTheme="minorBidi"/>
          <w:sz w:val="24"/>
          <w:szCs w:val="24"/>
        </w:rPr>
        <w:lastRenderedPageBreak/>
        <w:t>the systemic malalignment between the high-risk medication governance and the front lines operation capability.</w:t>
      </w:r>
    </w:p>
    <w:p w14:paraId="12121191" w14:textId="23DF7451" w:rsidR="00C042FC" w:rsidRPr="00762CA7" w:rsidRDefault="00762CA7" w:rsidP="00481964">
      <w:pPr>
        <w:pStyle w:val="Heading2"/>
        <w:spacing w:line="360" w:lineRule="auto"/>
        <w:rPr>
          <w:rFonts w:asciiTheme="minorBidi" w:hAnsiTheme="minorBidi" w:cstheme="minorBidi"/>
          <w:b/>
          <w:bCs/>
          <w:color w:val="auto"/>
          <w:sz w:val="24"/>
          <w:szCs w:val="24"/>
        </w:rPr>
      </w:pPr>
      <w:bookmarkStart w:id="7" w:name="_Toc224467188"/>
      <w:r w:rsidRPr="00762CA7">
        <w:rPr>
          <w:rFonts w:asciiTheme="minorBidi" w:hAnsiTheme="minorBidi" w:cstheme="minorBidi"/>
          <w:b/>
          <w:bCs/>
          <w:color w:val="auto"/>
          <w:sz w:val="24"/>
          <w:szCs w:val="24"/>
        </w:rPr>
        <w:t>2.5</w:t>
      </w:r>
      <w:r w:rsidRPr="00762CA7">
        <w:rPr>
          <w:rFonts w:asciiTheme="minorBidi" w:hAnsiTheme="minorBidi" w:cstheme="minorBidi"/>
          <w:b/>
          <w:bCs/>
          <w:color w:val="auto"/>
          <w:sz w:val="24"/>
          <w:szCs w:val="24"/>
        </w:rPr>
        <w:tab/>
      </w:r>
      <w:r w:rsidR="00C042FC" w:rsidRPr="00762CA7">
        <w:rPr>
          <w:rFonts w:asciiTheme="minorBidi" w:hAnsiTheme="minorBidi" w:cstheme="minorBidi"/>
          <w:b/>
          <w:bCs/>
          <w:color w:val="auto"/>
          <w:sz w:val="24"/>
          <w:szCs w:val="24"/>
        </w:rPr>
        <w:t>Rich Picture and Feedback Loops</w:t>
      </w:r>
      <w:bookmarkEnd w:id="7"/>
    </w:p>
    <w:p w14:paraId="11B0C1F3" w14:textId="41A94839"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The Intersectional actors and processes would be exemplified in a Rich Picture of the case and would include GP prescribing decisions, discharge instructions at the hospital, pharma dispensing, GP labelling of the actions, patient understanding of the instructions, and governance by means of oversight</w:t>
      </w:r>
      <w:r w:rsidR="008D65D2" w:rsidRPr="00B02191">
        <w:rPr>
          <w:rFonts w:asciiTheme="minorBidi" w:hAnsiTheme="minorBidi"/>
          <w:sz w:val="24"/>
          <w:szCs w:val="24"/>
        </w:rPr>
        <w:t xml:space="preserve"> </w:t>
      </w:r>
      <w:r w:rsidR="008D65D2" w:rsidRPr="00B02191">
        <w:rPr>
          <w:rFonts w:asciiTheme="minorBidi" w:eastAsia="Times New Roman" w:hAnsiTheme="minorBidi"/>
          <w:sz w:val="24"/>
          <w:szCs w:val="24"/>
          <w:lang w:eastAsia="en-GB"/>
        </w:rPr>
        <w:t>(</w:t>
      </w:r>
      <w:proofErr w:type="spellStart"/>
      <w:r w:rsidR="008D65D2" w:rsidRPr="00B02191">
        <w:rPr>
          <w:rFonts w:asciiTheme="minorBidi" w:eastAsia="Times New Roman" w:hAnsiTheme="minorBidi"/>
          <w:sz w:val="24"/>
          <w:szCs w:val="24"/>
          <w:lang w:eastAsia="en-GB"/>
        </w:rPr>
        <w:t>Abyou</w:t>
      </w:r>
      <w:proofErr w:type="spellEnd"/>
      <w:r w:rsidR="008D65D2" w:rsidRPr="00B02191">
        <w:rPr>
          <w:rFonts w:asciiTheme="minorBidi" w:eastAsia="Times New Roman" w:hAnsiTheme="minorBidi"/>
          <w:sz w:val="24"/>
          <w:szCs w:val="24"/>
          <w:lang w:eastAsia="en-GB"/>
        </w:rPr>
        <w:t xml:space="preserve"> Seyfu Ambaye </w:t>
      </w:r>
      <w:r w:rsidR="008D65D2" w:rsidRPr="00B02191">
        <w:rPr>
          <w:rFonts w:asciiTheme="minorBidi" w:eastAsia="Times New Roman" w:hAnsiTheme="minorBidi"/>
          <w:i/>
          <w:iCs/>
          <w:sz w:val="24"/>
          <w:szCs w:val="24"/>
          <w:lang w:eastAsia="en-GB"/>
        </w:rPr>
        <w:t>et al.</w:t>
      </w:r>
      <w:r w:rsidR="008D65D2" w:rsidRPr="00B02191">
        <w:rPr>
          <w:rFonts w:asciiTheme="minorBidi" w:eastAsia="Times New Roman" w:hAnsiTheme="minorBidi"/>
          <w:sz w:val="24"/>
          <w:szCs w:val="24"/>
          <w:lang w:eastAsia="en-GB"/>
        </w:rPr>
        <w:t>, 2025)</w:t>
      </w:r>
      <w:r w:rsidRPr="00B02191">
        <w:rPr>
          <w:rFonts w:asciiTheme="minorBidi" w:hAnsiTheme="minorBidi"/>
          <w:sz w:val="24"/>
          <w:szCs w:val="24"/>
        </w:rPr>
        <w:t>. Fragile communication and lack of closed feedback would be demonstrated by arrows.</w:t>
      </w:r>
    </w:p>
    <w:p w14:paraId="21A4D0A2"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A reinforcing loop is evident:</w:t>
      </w:r>
    </w:p>
    <w:p w14:paraId="7AB349E0"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Inadequate communication → misunderstanding → overdose → hospitalisation → system strain → reduced time per patient → further communication gaps.</w:t>
      </w:r>
    </w:p>
    <w:p w14:paraId="378B1724"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Conversely, a potential balancing loop was absent:</w:t>
      </w:r>
    </w:p>
    <w:p w14:paraId="66909D48"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Enhanced education → teach-back confirmation → correct dosing → harm prevention → reduced admissions.</w:t>
      </w:r>
    </w:p>
    <w:p w14:paraId="4544BB23" w14:textId="19297595"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The lack of a balancing loop depicts that patient education did not take the form of an obligatory check in safety but rather a dispensable measure.</w:t>
      </w:r>
    </w:p>
    <w:p w14:paraId="2BC07698" w14:textId="5069DFCD" w:rsidR="00C042FC" w:rsidRPr="00BC249A" w:rsidRDefault="00BC249A" w:rsidP="00481964">
      <w:pPr>
        <w:pStyle w:val="Heading2"/>
        <w:spacing w:line="360" w:lineRule="auto"/>
        <w:rPr>
          <w:rFonts w:asciiTheme="minorBidi" w:hAnsiTheme="minorBidi" w:cstheme="minorBidi"/>
          <w:b/>
          <w:bCs/>
          <w:color w:val="auto"/>
          <w:sz w:val="24"/>
          <w:szCs w:val="24"/>
        </w:rPr>
      </w:pPr>
      <w:bookmarkStart w:id="8" w:name="_Toc224467189"/>
      <w:r w:rsidRPr="00BC249A">
        <w:rPr>
          <w:rFonts w:asciiTheme="minorBidi" w:hAnsiTheme="minorBidi" w:cstheme="minorBidi"/>
          <w:b/>
          <w:bCs/>
          <w:color w:val="auto"/>
          <w:sz w:val="24"/>
          <w:szCs w:val="24"/>
        </w:rPr>
        <w:t>2.6</w:t>
      </w:r>
      <w:r w:rsidRPr="00BC249A">
        <w:rPr>
          <w:rFonts w:asciiTheme="minorBidi" w:hAnsiTheme="minorBidi" w:cstheme="minorBidi"/>
          <w:b/>
          <w:bCs/>
          <w:color w:val="auto"/>
          <w:sz w:val="24"/>
          <w:szCs w:val="24"/>
        </w:rPr>
        <w:tab/>
      </w:r>
      <w:r w:rsidR="00C042FC" w:rsidRPr="00BC249A">
        <w:rPr>
          <w:rFonts w:asciiTheme="minorBidi" w:hAnsiTheme="minorBidi" w:cstheme="minorBidi"/>
          <w:b/>
          <w:bCs/>
          <w:color w:val="auto"/>
          <w:sz w:val="24"/>
          <w:szCs w:val="24"/>
        </w:rPr>
        <w:t>Governance Level Analysis</w:t>
      </w:r>
      <w:bookmarkEnd w:id="8"/>
    </w:p>
    <w:p w14:paraId="1DC42239" w14:textId="3D69385E" w:rsidR="00706306" w:rsidRPr="00B02191" w:rsidRDefault="00706306"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The NHS model of governance is extremely centralised in terms of healthcare policy and standards of </w:t>
      </w:r>
      <w:r w:rsidR="00BC249A" w:rsidRPr="00B02191">
        <w:rPr>
          <w:rFonts w:asciiTheme="minorBidi" w:eastAsia="Times New Roman" w:hAnsiTheme="minorBidi"/>
          <w:sz w:val="24"/>
          <w:szCs w:val="24"/>
          <w:lang w:eastAsia="en-GB"/>
        </w:rPr>
        <w:t>safety but</w:t>
      </w:r>
      <w:r w:rsidRPr="00B02191">
        <w:rPr>
          <w:rFonts w:asciiTheme="minorBidi" w:eastAsia="Times New Roman" w:hAnsiTheme="minorBidi"/>
          <w:sz w:val="24"/>
          <w:szCs w:val="24"/>
          <w:lang w:eastAsia="en-GB"/>
        </w:rPr>
        <w:t xml:space="preserve"> is decentralised at local levels in terms of clinical practice and prescribing decisions. Regulations are established by national bodies like NHS England, but the frontline professionals are left alone, forming a hybrid that seeks to balance between consistency and flexibility. This, however, brings one to the question of whether central governance is the answer to reducing safety measures that are generally consistent, including effective labelling of opioids and patient understanding (Khan et al., 2025). Even though there are national guidelines, there is local practice. Integrated Care Systems (ICS) enhance coordination, and it is up to the individual clinicians. CQC audits observe compliance, and the variation is still observed, and Len was a case of governance failure due to vague protection (</w:t>
      </w:r>
      <w:proofErr w:type="spellStart"/>
      <w:r w:rsidRPr="00B02191">
        <w:rPr>
          <w:rFonts w:asciiTheme="minorBidi" w:eastAsia="Times New Roman" w:hAnsiTheme="minorBidi"/>
          <w:sz w:val="24"/>
          <w:szCs w:val="24"/>
          <w:lang w:eastAsia="en-GB"/>
        </w:rPr>
        <w:t>Vayena</w:t>
      </w:r>
      <w:proofErr w:type="spellEnd"/>
      <w:r w:rsidRPr="00B02191">
        <w:rPr>
          <w:rFonts w:asciiTheme="minorBidi" w:eastAsia="Times New Roman" w:hAnsiTheme="minorBidi"/>
          <w:sz w:val="24"/>
          <w:szCs w:val="24"/>
          <w:lang w:eastAsia="en-GB"/>
        </w:rPr>
        <w:t xml:space="preserve">, </w:t>
      </w:r>
      <w:proofErr w:type="spellStart"/>
      <w:r w:rsidRPr="00B02191">
        <w:rPr>
          <w:rFonts w:asciiTheme="minorBidi" w:eastAsia="Times New Roman" w:hAnsiTheme="minorBidi"/>
          <w:sz w:val="24"/>
          <w:szCs w:val="24"/>
          <w:lang w:eastAsia="en-GB"/>
        </w:rPr>
        <w:t>Blasimme</w:t>
      </w:r>
      <w:proofErr w:type="spellEnd"/>
      <w:r w:rsidRPr="00B02191">
        <w:rPr>
          <w:rFonts w:asciiTheme="minorBidi" w:eastAsia="Times New Roman" w:hAnsiTheme="minorBidi"/>
          <w:sz w:val="24"/>
          <w:szCs w:val="24"/>
          <w:lang w:eastAsia="en-GB"/>
        </w:rPr>
        <w:t xml:space="preserve"> and Sugarman, 2023).</w:t>
      </w:r>
    </w:p>
    <w:p w14:paraId="54417DD7" w14:textId="62282091" w:rsidR="00C042FC" w:rsidRPr="00C537E4" w:rsidRDefault="00043AE8" w:rsidP="00C537E4">
      <w:pPr>
        <w:pStyle w:val="Heading1"/>
        <w:numPr>
          <w:ilvl w:val="0"/>
          <w:numId w:val="5"/>
        </w:numPr>
        <w:spacing w:line="360" w:lineRule="auto"/>
        <w:rPr>
          <w:rFonts w:asciiTheme="minorBidi" w:hAnsiTheme="minorBidi" w:cstheme="minorBidi"/>
          <w:b/>
          <w:bCs/>
          <w:color w:val="auto"/>
          <w:sz w:val="24"/>
          <w:szCs w:val="24"/>
        </w:rPr>
      </w:pPr>
      <w:bookmarkStart w:id="9" w:name="_Toc224467190"/>
      <w:r w:rsidRPr="00C537E4">
        <w:rPr>
          <w:rFonts w:asciiTheme="minorBidi" w:hAnsiTheme="minorBidi" w:cstheme="minorBidi"/>
          <w:b/>
          <w:bCs/>
          <w:color w:val="auto"/>
          <w:sz w:val="24"/>
          <w:szCs w:val="24"/>
        </w:rPr>
        <w:lastRenderedPageBreak/>
        <w:t xml:space="preserve">Centralisation </w:t>
      </w:r>
      <w:r w:rsidR="005613AE">
        <w:rPr>
          <w:rFonts w:asciiTheme="minorBidi" w:hAnsiTheme="minorBidi" w:cstheme="minorBidi"/>
          <w:b/>
          <w:bCs/>
          <w:color w:val="auto"/>
          <w:sz w:val="24"/>
          <w:szCs w:val="24"/>
        </w:rPr>
        <w:t>v</w:t>
      </w:r>
      <w:r w:rsidRPr="00C537E4">
        <w:rPr>
          <w:rFonts w:asciiTheme="minorBidi" w:hAnsiTheme="minorBidi" w:cstheme="minorBidi"/>
          <w:b/>
          <w:bCs/>
          <w:color w:val="auto"/>
          <w:sz w:val="24"/>
          <w:szCs w:val="24"/>
        </w:rPr>
        <w:t>s Decentralisation</w:t>
      </w:r>
      <w:bookmarkEnd w:id="9"/>
    </w:p>
    <w:p w14:paraId="7712C39A" w14:textId="5244270D"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The case organisational background of Len falls in the structural conflict between the NHS, which defines the structural tension of the case; it is a centrally funded, nationally regulated, but operationally decentralised decision-making around clinical issues. The mixture of these two structures makes it both strong and weak. Although the nationwide policy frameworks define the expectations of medication safety, local clinicians and organisations are responsible for the implementation of prescribing, the education of patients and follow-up</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(Hughes and Blegen, 2020)</w:t>
      </w:r>
      <w:r w:rsidRPr="00B02191">
        <w:rPr>
          <w:rFonts w:asciiTheme="minorBidi" w:hAnsiTheme="minorBidi"/>
          <w:sz w:val="24"/>
          <w:szCs w:val="24"/>
        </w:rPr>
        <w:t>. The morphine excess case reveals the risk posed in decentralised autonomy that lacks adequately strong centralised controls, creating ambiguity about accountability when high-risk prescribing is involved.</w:t>
      </w:r>
    </w:p>
    <w:p w14:paraId="3B0316E6" w14:textId="00E3C4C6"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Decision-making centralisation in a centralised system creates national-level decision-making authority, which allows standards of uniformity, a similar labelling procedure and compliance with safety provisions. Centralisation leads to improved standardisation, limited regional variation, and provides nations with a coordinated response in times of crisis. In high-risk contexts, including opioid use, centralisation may require the use of simpler templates of labelling, the mandatory element of understanding confirmation (e.g., some teach-back data), and combined digital prescribing notifications</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 xml:space="preserve">(Smith </w:t>
      </w:r>
      <w:r w:rsidR="00A806C7" w:rsidRPr="00B02191">
        <w:rPr>
          <w:rFonts w:asciiTheme="minorBidi" w:eastAsia="Times New Roman" w:hAnsiTheme="minorBidi"/>
          <w:i/>
          <w:iCs/>
          <w:sz w:val="24"/>
          <w:szCs w:val="24"/>
          <w:lang w:eastAsia="en-GB"/>
        </w:rPr>
        <w:t>et al.</w:t>
      </w:r>
      <w:r w:rsidR="00A806C7" w:rsidRPr="00B02191">
        <w:rPr>
          <w:rFonts w:asciiTheme="minorBidi" w:eastAsia="Times New Roman" w:hAnsiTheme="minorBidi"/>
          <w:sz w:val="24"/>
          <w:szCs w:val="24"/>
          <w:lang w:eastAsia="en-GB"/>
        </w:rPr>
        <w:t>, 2022)</w:t>
      </w:r>
      <w:r w:rsidRPr="00B02191">
        <w:rPr>
          <w:rFonts w:asciiTheme="minorBidi" w:hAnsiTheme="minorBidi"/>
          <w:sz w:val="24"/>
          <w:szCs w:val="24"/>
        </w:rPr>
        <w:t>. Decreased variability in safety processes and faster national safety alert implementation are also shown by evidence of health systems with more intense central medication regulation.</w:t>
      </w:r>
    </w:p>
    <w:p w14:paraId="579EB7B3" w14:textId="12836092"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The national requirements are not sensitive to the local demographic differences, labour force and the amount of resources. Over-standardisation may over-inhibit the process of professional judgement and the responsiveness to a context in complex adaptive systems</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(Khilji, 2003)</w:t>
      </w:r>
      <w:r w:rsidRPr="00B02191">
        <w:rPr>
          <w:rFonts w:asciiTheme="minorBidi" w:hAnsiTheme="minorBidi"/>
          <w:sz w:val="24"/>
          <w:szCs w:val="24"/>
        </w:rPr>
        <w:t>. Centralisation, therefore, is not inherently protective, but it will only work as a policy transferred into operational protective measures.</w:t>
      </w:r>
    </w:p>
    <w:p w14:paraId="625F826D" w14:textId="08DF3110"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On the other hand, decentralisation empowers local organisations and clinicians and enables them to react to the patient needs that are unique. Ideally, the autonomy of decentralised prescribing allows clinicians to personalise communication approaches to the elderly patients, including Len. It allows quick decision-making without necessarily having to wait to receive national directions</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 xml:space="preserve">(Smith </w:t>
      </w:r>
      <w:r w:rsidR="00A806C7" w:rsidRPr="00B02191">
        <w:rPr>
          <w:rFonts w:asciiTheme="minorBidi" w:eastAsia="Times New Roman" w:hAnsiTheme="minorBidi"/>
          <w:i/>
          <w:iCs/>
          <w:sz w:val="24"/>
          <w:szCs w:val="24"/>
          <w:lang w:eastAsia="en-GB"/>
        </w:rPr>
        <w:t>et al.</w:t>
      </w:r>
      <w:r w:rsidR="00A806C7" w:rsidRPr="00B02191">
        <w:rPr>
          <w:rFonts w:asciiTheme="minorBidi" w:eastAsia="Times New Roman" w:hAnsiTheme="minorBidi"/>
          <w:sz w:val="24"/>
          <w:szCs w:val="24"/>
          <w:lang w:eastAsia="en-GB"/>
        </w:rPr>
        <w:t>, 2019)</w:t>
      </w:r>
      <w:r w:rsidRPr="00B02191">
        <w:rPr>
          <w:rFonts w:asciiTheme="minorBidi" w:hAnsiTheme="minorBidi"/>
          <w:sz w:val="24"/>
          <w:szCs w:val="24"/>
        </w:rPr>
        <w:t xml:space="preserve">. But variation is also brought about by decentralisation. Unless there is obligatory </w:t>
      </w:r>
      <w:r w:rsidRPr="00B02191">
        <w:rPr>
          <w:rFonts w:asciiTheme="minorBidi" w:hAnsiTheme="minorBidi"/>
          <w:sz w:val="24"/>
          <w:szCs w:val="24"/>
        </w:rPr>
        <w:lastRenderedPageBreak/>
        <w:t>standardisation, safety will be the responsibility of clinician vigilance and not system design.</w:t>
      </w:r>
    </w:p>
    <w:p w14:paraId="72BCE5A8" w14:textId="17EA93CF"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Prescribing responsibility is a local responsibility in the UK, yet patient safety nationally is centrally formulated via the NHS Patient Safety Strategy and regulatory bodies. Irrespective of this, national data point to the fact that there are about 237 million medication errors each year in England, and opioids are always the high-risk agents</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(BMJ, 2020)</w:t>
      </w:r>
      <w:r w:rsidRPr="00B02191">
        <w:rPr>
          <w:rFonts w:asciiTheme="minorBidi" w:hAnsiTheme="minorBidi"/>
          <w:sz w:val="24"/>
          <w:szCs w:val="24"/>
        </w:rPr>
        <w:t>. This is an indication that decentralised operational practice has not been completely infiltrated by central safety frameworks. The fact that there is a national policy does not mean uniform practice. Systemic risk is concentrated at the point of disparity between the policies that are intended and the frontline delivery.</w:t>
      </w:r>
    </w:p>
    <w:p w14:paraId="7B533FED" w14:textId="1647394C"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The example of Len shows how decentralised clinical autonomy can easily chase away precise lines of responsibility. The GP prescribes, the hospital discharges, the pharmacy dispenses, but none of the actors would be in structural roles to ensure that the patient understood. Under decentralised models, there is a sharing of safety; even so, shared responsibility may degenerate to diffused responsibility</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w:t>
      </w:r>
      <w:proofErr w:type="spellStart"/>
      <w:r w:rsidR="00A806C7" w:rsidRPr="00B02191">
        <w:rPr>
          <w:rFonts w:asciiTheme="minorBidi" w:eastAsia="Times New Roman" w:hAnsiTheme="minorBidi"/>
          <w:sz w:val="24"/>
          <w:szCs w:val="24"/>
          <w:lang w:eastAsia="en-GB"/>
        </w:rPr>
        <w:t>LeBras</w:t>
      </w:r>
      <w:proofErr w:type="spellEnd"/>
      <w:r w:rsidR="00A806C7" w:rsidRPr="00B02191">
        <w:rPr>
          <w:rFonts w:asciiTheme="minorBidi" w:eastAsia="Times New Roman" w:hAnsiTheme="minorBidi"/>
          <w:sz w:val="24"/>
          <w:szCs w:val="24"/>
          <w:lang w:eastAsia="en-GB"/>
        </w:rPr>
        <w:t xml:space="preserve"> </w:t>
      </w:r>
      <w:r w:rsidR="00A806C7" w:rsidRPr="00B02191">
        <w:rPr>
          <w:rFonts w:asciiTheme="minorBidi" w:eastAsia="Times New Roman" w:hAnsiTheme="minorBidi"/>
          <w:i/>
          <w:iCs/>
          <w:sz w:val="24"/>
          <w:szCs w:val="24"/>
          <w:lang w:eastAsia="en-GB"/>
        </w:rPr>
        <w:t>et al.</w:t>
      </w:r>
      <w:r w:rsidR="00A806C7" w:rsidRPr="00B02191">
        <w:rPr>
          <w:rFonts w:asciiTheme="minorBidi" w:eastAsia="Times New Roman" w:hAnsiTheme="minorBidi"/>
          <w:sz w:val="24"/>
          <w:szCs w:val="24"/>
          <w:lang w:eastAsia="en-GB"/>
        </w:rPr>
        <w:t>, 2015)</w:t>
      </w:r>
      <w:r w:rsidRPr="00B02191">
        <w:rPr>
          <w:rFonts w:asciiTheme="minorBidi" w:hAnsiTheme="minorBidi"/>
          <w:sz w:val="24"/>
          <w:szCs w:val="24"/>
        </w:rPr>
        <w:t>. As there are no central decrees that stipulate the reporting of patient awareness on high-risk drugs, the validation is at will.</w:t>
      </w:r>
    </w:p>
    <w:p w14:paraId="3BBDE5EA" w14:textId="488E4DB0"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Integrated Care Systems (ICS) came into effect </w:t>
      </w:r>
      <w:proofErr w:type="gramStart"/>
      <w:r w:rsidRPr="00B02191">
        <w:rPr>
          <w:rFonts w:asciiTheme="minorBidi" w:hAnsiTheme="minorBidi"/>
          <w:sz w:val="24"/>
          <w:szCs w:val="24"/>
        </w:rPr>
        <w:t>in an attempt to</w:t>
      </w:r>
      <w:proofErr w:type="gramEnd"/>
      <w:r w:rsidRPr="00B02191">
        <w:rPr>
          <w:rFonts w:asciiTheme="minorBidi" w:hAnsiTheme="minorBidi"/>
          <w:sz w:val="24"/>
          <w:szCs w:val="24"/>
        </w:rPr>
        <w:t xml:space="preserve"> enhance coordination across organisational borders. Theoretically, the ICS integration ought to enhance accountability in primary, secondary, and community care. Nevertheless, structural integration need not necessarily bring about communicative integration. Unless ICS governance mechanisms encompass </w:t>
      </w:r>
      <w:proofErr w:type="gramStart"/>
      <w:r w:rsidRPr="00B02191">
        <w:rPr>
          <w:rFonts w:asciiTheme="minorBidi" w:hAnsiTheme="minorBidi"/>
          <w:sz w:val="24"/>
          <w:szCs w:val="24"/>
        </w:rPr>
        <w:t>particular opioid-safety</w:t>
      </w:r>
      <w:proofErr w:type="gramEnd"/>
      <w:r w:rsidRPr="00B02191">
        <w:rPr>
          <w:rFonts w:asciiTheme="minorBidi" w:hAnsiTheme="minorBidi"/>
          <w:sz w:val="24"/>
          <w:szCs w:val="24"/>
        </w:rPr>
        <w:t xml:space="preserve"> measures or cross-sector surveillance, the integration would only be symbolic and not functional</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w:t>
      </w:r>
      <w:proofErr w:type="spellStart"/>
      <w:r w:rsidR="00A806C7" w:rsidRPr="00B02191">
        <w:rPr>
          <w:rFonts w:asciiTheme="minorBidi" w:eastAsia="Times New Roman" w:hAnsiTheme="minorBidi"/>
          <w:sz w:val="24"/>
          <w:szCs w:val="24"/>
          <w:lang w:eastAsia="en-GB"/>
        </w:rPr>
        <w:t>Kerrissey</w:t>
      </w:r>
      <w:proofErr w:type="spellEnd"/>
      <w:r w:rsidR="00A806C7" w:rsidRPr="00B02191">
        <w:rPr>
          <w:rFonts w:asciiTheme="minorBidi" w:eastAsia="Times New Roman" w:hAnsiTheme="minorBidi"/>
          <w:sz w:val="24"/>
          <w:szCs w:val="24"/>
          <w:lang w:eastAsia="en-GB"/>
        </w:rPr>
        <w:t xml:space="preserve"> </w:t>
      </w:r>
      <w:r w:rsidR="00A806C7" w:rsidRPr="00B02191">
        <w:rPr>
          <w:rFonts w:asciiTheme="minorBidi" w:eastAsia="Times New Roman" w:hAnsiTheme="minorBidi"/>
          <w:i/>
          <w:iCs/>
          <w:sz w:val="24"/>
          <w:szCs w:val="24"/>
          <w:lang w:eastAsia="en-GB"/>
        </w:rPr>
        <w:t>et al.</w:t>
      </w:r>
      <w:r w:rsidR="00A806C7" w:rsidRPr="00B02191">
        <w:rPr>
          <w:rFonts w:asciiTheme="minorBidi" w:eastAsia="Times New Roman" w:hAnsiTheme="minorBidi"/>
          <w:sz w:val="24"/>
          <w:szCs w:val="24"/>
          <w:lang w:eastAsia="en-GB"/>
        </w:rPr>
        <w:t>, 2017)</w:t>
      </w:r>
      <w:r w:rsidRPr="00B02191">
        <w:rPr>
          <w:rFonts w:asciiTheme="minorBidi" w:hAnsiTheme="minorBidi"/>
          <w:sz w:val="24"/>
          <w:szCs w:val="24"/>
        </w:rPr>
        <w:t>.</w:t>
      </w:r>
    </w:p>
    <w:p w14:paraId="296FE9F4"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Whether it is centralisation or decentralisation that is better is not the key question, but how their combination influences risk. In the case of Len, the central governance covered the overall medication safety aspirations broadly, but the implementation was decentralised, creating room to have chaotic differences in labelling clearness and patient education habits. This special hybrid model produced a structural gap in national standards, but without any form of obligatory uniformity in the processes of high-risk prescribing.</w:t>
      </w:r>
    </w:p>
    <w:p w14:paraId="32A722DF" w14:textId="66BBAAA4"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lastRenderedPageBreak/>
        <w:t>Empirical comparisons of more centralised medication governance systems have demonstrated that standardised electronic prescribing prompts and compulsory discharge counselling documentation are less harmful than opioids</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w:t>
      </w:r>
      <w:proofErr w:type="spellStart"/>
      <w:r w:rsidR="00A806C7" w:rsidRPr="00B02191">
        <w:rPr>
          <w:rFonts w:asciiTheme="minorBidi" w:eastAsia="Times New Roman" w:hAnsiTheme="minorBidi"/>
          <w:sz w:val="24"/>
          <w:szCs w:val="24"/>
          <w:lang w:eastAsia="en-GB"/>
        </w:rPr>
        <w:t>Guilcher</w:t>
      </w:r>
      <w:proofErr w:type="spellEnd"/>
      <w:r w:rsidR="00A806C7" w:rsidRPr="00B02191">
        <w:rPr>
          <w:rFonts w:asciiTheme="minorBidi" w:eastAsia="Times New Roman" w:hAnsiTheme="minorBidi"/>
          <w:sz w:val="24"/>
          <w:szCs w:val="24"/>
          <w:lang w:eastAsia="en-GB"/>
        </w:rPr>
        <w:t xml:space="preserve"> </w:t>
      </w:r>
      <w:r w:rsidR="00A806C7" w:rsidRPr="00B02191">
        <w:rPr>
          <w:rFonts w:asciiTheme="minorBidi" w:eastAsia="Times New Roman" w:hAnsiTheme="minorBidi"/>
          <w:i/>
          <w:iCs/>
          <w:sz w:val="24"/>
          <w:szCs w:val="24"/>
          <w:lang w:eastAsia="en-GB"/>
        </w:rPr>
        <w:t>et al.</w:t>
      </w:r>
      <w:r w:rsidR="00A806C7" w:rsidRPr="00B02191">
        <w:rPr>
          <w:rFonts w:asciiTheme="minorBidi" w:eastAsia="Times New Roman" w:hAnsiTheme="minorBidi"/>
          <w:sz w:val="24"/>
          <w:szCs w:val="24"/>
          <w:lang w:eastAsia="en-GB"/>
        </w:rPr>
        <w:t>, 2023)</w:t>
      </w:r>
      <w:r w:rsidRPr="00B02191">
        <w:rPr>
          <w:rFonts w:asciiTheme="minorBidi" w:hAnsiTheme="minorBidi"/>
          <w:sz w:val="24"/>
          <w:szCs w:val="24"/>
        </w:rPr>
        <w:t>. The lack of such mechanisms as obligatory ones in the way of Len points at the fact of the absence of adequate central control over the functioning of decentralised discretions.</w:t>
      </w:r>
    </w:p>
    <w:p w14:paraId="47F43818" w14:textId="5B6AC2CF"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 xml:space="preserve">In this way, the system did not entirely utilise the advantages of centralisation (similar safeguards) or entirely achieve the advantages of decentralisation (context-sensitive checking). Rather, it had shown a structural imbalance: high-risk drugs were handled by a </w:t>
      </w:r>
      <w:r w:rsidR="007F6266" w:rsidRPr="00B02191">
        <w:rPr>
          <w:rFonts w:asciiTheme="minorBidi" w:hAnsiTheme="minorBidi"/>
          <w:sz w:val="24"/>
          <w:szCs w:val="24"/>
        </w:rPr>
        <w:t>loosely organized</w:t>
      </w:r>
      <w:r w:rsidRPr="00B02191">
        <w:rPr>
          <w:rFonts w:asciiTheme="minorBidi" w:hAnsiTheme="minorBidi"/>
          <w:sz w:val="24"/>
          <w:szCs w:val="24"/>
        </w:rPr>
        <w:t xml:space="preserve"> accountability system.</w:t>
      </w:r>
    </w:p>
    <w:p w14:paraId="57FE9D7B" w14:textId="073BFFC1"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In the case at hand, </w:t>
      </w:r>
      <w:proofErr w:type="gramStart"/>
      <w:r w:rsidRPr="00B02191">
        <w:rPr>
          <w:rFonts w:asciiTheme="minorBidi" w:hAnsiTheme="minorBidi"/>
          <w:sz w:val="24"/>
          <w:szCs w:val="24"/>
        </w:rPr>
        <w:t>it can be seen that decentralised</w:t>
      </w:r>
      <w:proofErr w:type="gramEnd"/>
      <w:r w:rsidRPr="00B02191">
        <w:rPr>
          <w:rFonts w:asciiTheme="minorBidi" w:hAnsiTheme="minorBidi"/>
          <w:sz w:val="24"/>
          <w:szCs w:val="24"/>
        </w:rPr>
        <w:t xml:space="preserve"> autonomy should be moderated with centralised safety architecture in the management of predictable high-impact risks. Where standardisation would pose a danger to safety, standardisation would be defensive and not inhibitory</w:t>
      </w:r>
      <w:r w:rsidR="00A806C7" w:rsidRPr="00B02191">
        <w:rPr>
          <w:rFonts w:asciiTheme="minorBidi" w:hAnsiTheme="minorBidi"/>
          <w:sz w:val="24"/>
          <w:szCs w:val="24"/>
        </w:rPr>
        <w:t xml:space="preserve"> </w:t>
      </w:r>
      <w:r w:rsidR="00A806C7" w:rsidRPr="00B02191">
        <w:rPr>
          <w:rFonts w:asciiTheme="minorBidi" w:eastAsia="Times New Roman" w:hAnsiTheme="minorBidi"/>
          <w:sz w:val="24"/>
          <w:szCs w:val="24"/>
          <w:lang w:eastAsia="en-GB"/>
        </w:rPr>
        <w:t>(Tavares, Vale and Costa, 2024)</w:t>
      </w:r>
      <w:r w:rsidRPr="00B02191">
        <w:rPr>
          <w:rFonts w:asciiTheme="minorBidi" w:hAnsiTheme="minorBidi"/>
          <w:sz w:val="24"/>
          <w:szCs w:val="24"/>
        </w:rPr>
        <w:t xml:space="preserve">. Decentralisation did not cause the morphine </w:t>
      </w:r>
      <w:proofErr w:type="gramStart"/>
      <w:r w:rsidRPr="00B02191">
        <w:rPr>
          <w:rFonts w:asciiTheme="minorBidi" w:hAnsiTheme="minorBidi"/>
          <w:sz w:val="24"/>
          <w:szCs w:val="24"/>
        </w:rPr>
        <w:t>overdose in itself, but</w:t>
      </w:r>
      <w:proofErr w:type="gramEnd"/>
      <w:r w:rsidRPr="00B02191">
        <w:rPr>
          <w:rFonts w:asciiTheme="minorBidi" w:hAnsiTheme="minorBidi"/>
          <w:sz w:val="24"/>
          <w:szCs w:val="24"/>
        </w:rPr>
        <w:t xml:space="preserve"> decentralisation working in the absence of central reinforcement in strategically chosen areas already known to be at risk nationwide.</w:t>
      </w:r>
    </w:p>
    <w:p w14:paraId="558EDA19" w14:textId="77777777"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Thus, the flexible structural arrangement of the NHS, however, avails flexibility, and needs intensified centralised control in high-risk prescribing areas. A lack of such controls is evidence of the fact that the design of governance plays a direct role in patient safety outcomes in a complex health system.</w:t>
      </w:r>
    </w:p>
    <w:p w14:paraId="4BE9781F" w14:textId="0F6321BF" w:rsidR="00C042FC" w:rsidRPr="005D3356" w:rsidRDefault="00A9777A" w:rsidP="005D3356">
      <w:pPr>
        <w:pStyle w:val="Heading1"/>
        <w:numPr>
          <w:ilvl w:val="0"/>
          <w:numId w:val="5"/>
        </w:numPr>
        <w:spacing w:line="360" w:lineRule="auto"/>
        <w:rPr>
          <w:rFonts w:asciiTheme="minorBidi" w:hAnsiTheme="minorBidi" w:cstheme="minorBidi"/>
          <w:b/>
          <w:bCs/>
          <w:color w:val="auto"/>
          <w:sz w:val="24"/>
          <w:szCs w:val="24"/>
        </w:rPr>
      </w:pPr>
      <w:bookmarkStart w:id="10" w:name="_Toc224467191"/>
      <w:r w:rsidRPr="005D3356">
        <w:rPr>
          <w:rFonts w:asciiTheme="minorBidi" w:hAnsiTheme="minorBidi" w:cstheme="minorBidi"/>
          <w:b/>
          <w:bCs/>
          <w:color w:val="auto"/>
          <w:sz w:val="24"/>
          <w:szCs w:val="24"/>
        </w:rPr>
        <w:t>Leadership Theories</w:t>
      </w:r>
      <w:bookmarkEnd w:id="10"/>
    </w:p>
    <w:p w14:paraId="1903D742" w14:textId="55221096" w:rsidR="00706306" w:rsidRPr="00B02191" w:rsidRDefault="00706306" w:rsidP="00481964">
      <w:pPr>
        <w:spacing w:line="360" w:lineRule="auto"/>
        <w:rPr>
          <w:rFonts w:asciiTheme="minorBidi" w:hAnsiTheme="minorBidi"/>
          <w:sz w:val="24"/>
          <w:szCs w:val="24"/>
          <w:lang w:eastAsia="en-GB"/>
        </w:rPr>
      </w:pPr>
      <w:r w:rsidRPr="00B02191">
        <w:rPr>
          <w:rFonts w:asciiTheme="minorBidi" w:hAnsiTheme="minorBidi"/>
          <w:sz w:val="24"/>
          <w:szCs w:val="24"/>
          <w:lang w:eastAsia="en-GB"/>
        </w:rPr>
        <w:t xml:space="preserve">Patient safety, governance and communication in healthcare systems all revolve around leadership. The fact that Len dies </w:t>
      </w:r>
      <w:r w:rsidR="000A1642" w:rsidRPr="00B02191">
        <w:rPr>
          <w:rFonts w:asciiTheme="minorBidi" w:hAnsiTheme="minorBidi"/>
          <w:sz w:val="24"/>
          <w:szCs w:val="24"/>
          <w:lang w:eastAsia="en-GB"/>
        </w:rPr>
        <w:t>portray</w:t>
      </w:r>
      <w:r w:rsidRPr="00B02191">
        <w:rPr>
          <w:rFonts w:asciiTheme="minorBidi" w:hAnsiTheme="minorBidi"/>
          <w:sz w:val="24"/>
          <w:szCs w:val="24"/>
          <w:lang w:eastAsia="en-GB"/>
        </w:rPr>
        <w:t xml:space="preserve"> the failures of the organisation and leadership, and not a single clinical error. Unsafe focus, weak communication processes, and weak leadership permit predictable risks like medication errors, and thus leadership theories can be used to analyse the decision-making and organisational culture (</w:t>
      </w:r>
      <w:proofErr w:type="spellStart"/>
      <w:r w:rsidRPr="00B02191">
        <w:rPr>
          <w:rFonts w:asciiTheme="minorBidi" w:hAnsiTheme="minorBidi"/>
          <w:sz w:val="24"/>
          <w:szCs w:val="24"/>
          <w:lang w:eastAsia="en-GB"/>
        </w:rPr>
        <w:t>Musaigwa</w:t>
      </w:r>
      <w:proofErr w:type="spellEnd"/>
      <w:r w:rsidRPr="00B02191">
        <w:rPr>
          <w:rFonts w:asciiTheme="minorBidi" w:hAnsiTheme="minorBidi"/>
          <w:sz w:val="24"/>
          <w:szCs w:val="24"/>
          <w:lang w:eastAsia="en-GB"/>
        </w:rPr>
        <w:t>, 2023; WHO, 2019).</w:t>
      </w:r>
    </w:p>
    <w:p w14:paraId="2BC7164C" w14:textId="77777777" w:rsidR="008E2A7F" w:rsidRPr="00B02191" w:rsidRDefault="008E2A7F" w:rsidP="00481964">
      <w:pPr>
        <w:spacing w:line="360" w:lineRule="auto"/>
        <w:rPr>
          <w:rFonts w:asciiTheme="minorBidi" w:hAnsiTheme="minorBidi"/>
          <w:sz w:val="24"/>
          <w:szCs w:val="24"/>
          <w:lang w:eastAsia="en-GB"/>
        </w:rPr>
      </w:pPr>
      <w:r w:rsidRPr="00B02191">
        <w:rPr>
          <w:rFonts w:asciiTheme="minorBidi" w:hAnsiTheme="minorBidi"/>
          <w:sz w:val="24"/>
          <w:szCs w:val="24"/>
          <w:lang w:eastAsia="en-GB"/>
        </w:rPr>
        <w:t xml:space="preserve">According to the Tannenbaum and Schmidt leadership continuum (1973), leadership has been described as a continuum between autocratic and democratic decision-making, which illustrates the sharing of power between staff and leaders. Patient safety needs to be effectively led, but at the same time, healthcare professionals </w:t>
      </w:r>
      <w:r w:rsidRPr="00B02191">
        <w:rPr>
          <w:rFonts w:asciiTheme="minorBidi" w:hAnsiTheme="minorBidi"/>
          <w:sz w:val="24"/>
          <w:szCs w:val="24"/>
          <w:lang w:eastAsia="en-GB"/>
        </w:rPr>
        <w:lastRenderedPageBreak/>
        <w:t>should be involved (Hamdan et al., 2024; Clark and Preto, 2018). The prescription and communication in the case of Len are routine processes as opposed to collaborative verification. The adoption of national medication policies was uneven, and the verification of understanding of patients remained in the hands of personal clinicians. This indicates a more directive stance in the continuum, in which there was authority but less defined multidisciplinary involvement that might have averted the misunderstanding of morphine dosage (</w:t>
      </w:r>
      <w:proofErr w:type="spellStart"/>
      <w:r w:rsidRPr="00B02191">
        <w:rPr>
          <w:rFonts w:asciiTheme="minorBidi" w:hAnsiTheme="minorBidi"/>
          <w:sz w:val="24"/>
          <w:szCs w:val="24"/>
          <w:lang w:eastAsia="en-GB"/>
        </w:rPr>
        <w:t>Ystaas</w:t>
      </w:r>
      <w:proofErr w:type="spellEnd"/>
      <w:r w:rsidRPr="00B02191">
        <w:rPr>
          <w:rFonts w:asciiTheme="minorBidi" w:hAnsiTheme="minorBidi"/>
          <w:sz w:val="24"/>
          <w:szCs w:val="24"/>
          <w:lang w:eastAsia="en-GB"/>
        </w:rPr>
        <w:t xml:space="preserve"> et al., 2023; </w:t>
      </w:r>
      <w:proofErr w:type="spellStart"/>
      <w:r w:rsidRPr="00B02191">
        <w:rPr>
          <w:rFonts w:asciiTheme="minorBidi" w:hAnsiTheme="minorBidi"/>
          <w:sz w:val="24"/>
          <w:szCs w:val="24"/>
          <w:lang w:eastAsia="en-GB"/>
        </w:rPr>
        <w:t>Kakemam</w:t>
      </w:r>
      <w:proofErr w:type="spellEnd"/>
      <w:r w:rsidRPr="00B02191">
        <w:rPr>
          <w:rFonts w:asciiTheme="minorBidi" w:hAnsiTheme="minorBidi"/>
          <w:sz w:val="24"/>
          <w:szCs w:val="24"/>
          <w:lang w:eastAsia="en-GB"/>
        </w:rPr>
        <w:t xml:space="preserve"> et al., 2025).</w:t>
      </w:r>
    </w:p>
    <w:p w14:paraId="77FE5F18" w14:textId="701142A2" w:rsidR="00433897" w:rsidRPr="00B02191" w:rsidRDefault="00433897"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The second type is </w:t>
      </w:r>
      <w:r w:rsidRPr="00B02191">
        <w:rPr>
          <w:rFonts w:asciiTheme="minorBidi" w:eastAsia="Times New Roman" w:hAnsiTheme="minorBidi"/>
          <w:b/>
          <w:sz w:val="24"/>
          <w:szCs w:val="24"/>
          <w:lang w:eastAsia="en-GB"/>
        </w:rPr>
        <w:t>autocratic leadership</w:t>
      </w:r>
      <w:r w:rsidRPr="00B02191">
        <w:rPr>
          <w:rFonts w:asciiTheme="minorBidi" w:eastAsia="Times New Roman" w:hAnsiTheme="minorBidi"/>
          <w:sz w:val="24"/>
          <w:szCs w:val="24"/>
          <w:lang w:eastAsia="en-GB"/>
        </w:rPr>
        <w:t xml:space="preserve"> that is characterised by centralisation where decisions are made by leaders on their own with little or no participation of the rest. This leadership style may also be used to make a quick decision and direction in some cases, especially during emergencies. Nevertheless, the overuse of autocracy as the form of leadership within the medical setting can undermine communication and professional discussion that can inhibit the possibility of staff to voice safety concerns (Hamed et al., 2025; Phillips, Ford and Bonnie, 2017). The quality of medication safety in the case of Len was primarily reliant on how routine the prescribing and dispensing practices were, instead of collaborative oversight. The lack of rigid measures that would have forced clinicians or pharmacists to check the level of knowledge about dosing instructions that the patient has implies that the measures were not implemented with enough safeguarding participatory measures. These circumstances can also inadvertently decrease the chances of the possible risks being challenged or re-evaluated by medical personnel (who deal with patient care) (Al-</w:t>
      </w:r>
      <w:proofErr w:type="spellStart"/>
      <w:r w:rsidRPr="00B02191">
        <w:rPr>
          <w:rFonts w:asciiTheme="minorBidi" w:eastAsia="Times New Roman" w:hAnsiTheme="minorBidi"/>
          <w:sz w:val="24"/>
          <w:szCs w:val="24"/>
          <w:lang w:eastAsia="en-GB"/>
        </w:rPr>
        <w:t>Rjoub</w:t>
      </w:r>
      <w:proofErr w:type="spellEnd"/>
      <w:r w:rsidRPr="00B02191">
        <w:rPr>
          <w:rFonts w:asciiTheme="minorBidi" w:eastAsia="Times New Roman" w:hAnsiTheme="minorBidi"/>
          <w:sz w:val="24"/>
          <w:szCs w:val="24"/>
          <w:lang w:eastAsia="en-GB"/>
        </w:rPr>
        <w:t xml:space="preserve"> et al., 2024).</w:t>
      </w:r>
    </w:p>
    <w:p w14:paraId="46C06B3A" w14:textId="57303940" w:rsidR="00433897" w:rsidRPr="00B02191" w:rsidRDefault="00433897"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b/>
          <w:sz w:val="24"/>
          <w:szCs w:val="24"/>
          <w:lang w:eastAsia="en-GB"/>
        </w:rPr>
        <w:t>Democratic leadership</w:t>
      </w:r>
      <w:r w:rsidRPr="00B02191">
        <w:rPr>
          <w:rFonts w:asciiTheme="minorBidi" w:eastAsia="Times New Roman" w:hAnsiTheme="minorBidi"/>
          <w:sz w:val="24"/>
          <w:szCs w:val="24"/>
          <w:lang w:eastAsia="en-GB"/>
        </w:rPr>
        <w:t xml:space="preserve"> on the other hand encourages involvement, consultation and joint decision making by the team members. The democratic leaders are very active in engaging the staff in discussions and promoting open communication and professional expertise in the team. Democratic leadership is usually advantageous to healthcare organisations since frontline professionals have essential clinical data that helps to avoid patient harm and risk detection (</w:t>
      </w:r>
      <w:proofErr w:type="spellStart"/>
      <w:r w:rsidRPr="00B02191">
        <w:rPr>
          <w:rFonts w:asciiTheme="minorBidi" w:eastAsia="Times New Roman" w:hAnsiTheme="minorBidi"/>
          <w:sz w:val="24"/>
          <w:szCs w:val="24"/>
          <w:lang w:eastAsia="en-GB"/>
        </w:rPr>
        <w:t>Azpiroz</w:t>
      </w:r>
      <w:proofErr w:type="spellEnd"/>
      <w:r w:rsidRPr="00B02191">
        <w:rPr>
          <w:rFonts w:asciiTheme="minorBidi" w:eastAsia="Times New Roman" w:hAnsiTheme="minorBidi"/>
          <w:sz w:val="24"/>
          <w:szCs w:val="24"/>
          <w:lang w:eastAsia="en-GB"/>
        </w:rPr>
        <w:t xml:space="preserve"> et al., 2024; Murphy, Patel and Barrett, 2025). Intense democratic leadership practices could have played out in a more active state in the care pathway of Len, since the clinicians and pharmacists could have been more active in making sure the patient fully understood the morphine dosage instructions. Teamwork among healthcare providers and </w:t>
      </w:r>
      <w:r w:rsidRPr="00B02191">
        <w:rPr>
          <w:rFonts w:asciiTheme="minorBidi" w:eastAsia="Times New Roman" w:hAnsiTheme="minorBidi"/>
          <w:sz w:val="24"/>
          <w:szCs w:val="24"/>
          <w:lang w:eastAsia="en-GB"/>
        </w:rPr>
        <w:lastRenderedPageBreak/>
        <w:t>systematic education of the patients could also have helped to minimize the risks of misinterpreting the medication dose. Democratic leadership hence underlines the significance of establishing organisational conditions in which the healthcare professionals jointly play a role in enhancing patient safety (Salsabila et al., 2025).</w:t>
      </w:r>
    </w:p>
    <w:p w14:paraId="17860AD1" w14:textId="4BC81DE8" w:rsidR="00433897" w:rsidRPr="00B02191" w:rsidRDefault="00433897"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The </w:t>
      </w:r>
      <w:r w:rsidRPr="00B02191">
        <w:rPr>
          <w:rFonts w:asciiTheme="minorBidi" w:eastAsia="Times New Roman" w:hAnsiTheme="minorBidi"/>
          <w:b/>
          <w:sz w:val="24"/>
          <w:szCs w:val="24"/>
          <w:lang w:eastAsia="en-GB"/>
        </w:rPr>
        <w:t>theory of behavioural leadership</w:t>
      </w:r>
      <w:r w:rsidRPr="00B02191">
        <w:rPr>
          <w:rFonts w:asciiTheme="minorBidi" w:eastAsia="Times New Roman" w:hAnsiTheme="minorBidi"/>
          <w:sz w:val="24"/>
          <w:szCs w:val="24"/>
          <w:lang w:eastAsia="en-GB"/>
        </w:rPr>
        <w:t xml:space="preserve"> also lays stress on the behaviour and actions of leaders and not on their character. According to this theory, there is the task-oriented leadership, which is procedure-oriented, policy-oriented and monitoring performance; and people-oriented leadership, which is communication-oriented, supportive and interpersonal relationships (Lim, 2026). The balance between the two approaches usually forms the elements of effective healthcare leadership. Task-oriented behaviours guarantee adherence to governance norms and safety standards, whereas the people-oriented behaviours enhance communication with patients and the staff. The </w:t>
      </w:r>
      <w:proofErr w:type="gramStart"/>
      <w:r w:rsidRPr="00B02191">
        <w:rPr>
          <w:rFonts w:asciiTheme="minorBidi" w:eastAsia="Times New Roman" w:hAnsiTheme="minorBidi"/>
          <w:sz w:val="24"/>
          <w:szCs w:val="24"/>
          <w:lang w:eastAsia="en-GB"/>
        </w:rPr>
        <w:t>aforementioned situation</w:t>
      </w:r>
      <w:proofErr w:type="gramEnd"/>
      <w:r w:rsidRPr="00B02191">
        <w:rPr>
          <w:rFonts w:asciiTheme="minorBidi" w:eastAsia="Times New Roman" w:hAnsiTheme="minorBidi"/>
          <w:sz w:val="24"/>
          <w:szCs w:val="24"/>
          <w:lang w:eastAsia="en-GB"/>
        </w:rPr>
        <w:t xml:space="preserve"> in the case of Len indicates that his leadership behaviour was rather based on routine procedural practice than proactive communication with the patient. The prescription can have complied with clinical guidelines but lack of focus on patient education and understanding verification undermined the safety process (Talevski et al., 2020).</w:t>
      </w:r>
    </w:p>
    <w:p w14:paraId="5BAB447C" w14:textId="77777777" w:rsidR="00706306" w:rsidRPr="00B02191" w:rsidRDefault="00433897" w:rsidP="00481964">
      <w:pPr>
        <w:spacing w:line="360" w:lineRule="auto"/>
        <w:rPr>
          <w:rFonts w:asciiTheme="minorBidi" w:eastAsia="Times New Roman" w:hAnsiTheme="minorBidi"/>
          <w:sz w:val="24"/>
          <w:szCs w:val="24"/>
          <w:lang w:eastAsia="en-GB"/>
        </w:rPr>
      </w:pPr>
      <w:r w:rsidRPr="00B02191">
        <w:rPr>
          <w:rFonts w:asciiTheme="minorBidi" w:eastAsia="Times New Roman" w:hAnsiTheme="minorBidi"/>
          <w:sz w:val="24"/>
          <w:szCs w:val="24"/>
          <w:lang w:eastAsia="en-GB"/>
        </w:rPr>
        <w:t xml:space="preserve">The </w:t>
      </w:r>
      <w:r w:rsidRPr="00B02191">
        <w:rPr>
          <w:rFonts w:asciiTheme="minorBidi" w:eastAsia="Times New Roman" w:hAnsiTheme="minorBidi"/>
          <w:b/>
          <w:sz w:val="24"/>
          <w:szCs w:val="24"/>
          <w:lang w:eastAsia="en-GB"/>
        </w:rPr>
        <w:t>Theory X and Theory Y by McGregor</w:t>
      </w:r>
      <w:r w:rsidRPr="00B02191">
        <w:rPr>
          <w:rFonts w:asciiTheme="minorBidi" w:eastAsia="Times New Roman" w:hAnsiTheme="minorBidi"/>
          <w:sz w:val="24"/>
          <w:szCs w:val="24"/>
          <w:lang w:eastAsia="en-GB"/>
        </w:rPr>
        <w:t xml:space="preserve"> is another assumption of leadership in an organisation. Theory X presupposes that the employees need to be controlled and supervised, Theory Y presupposes that the employees are responsible, capable, and motivated to play their part in making the organisation better. Theory Y strategies can be linked with more robust safety cultures in healthcare settings since employees are likely to raise concerns and engage in decision-making (</w:t>
      </w:r>
      <w:proofErr w:type="spellStart"/>
      <w:r w:rsidRPr="00B02191">
        <w:rPr>
          <w:rFonts w:asciiTheme="minorBidi" w:eastAsia="Times New Roman" w:hAnsiTheme="minorBidi"/>
          <w:sz w:val="24"/>
          <w:szCs w:val="24"/>
          <w:lang w:eastAsia="en-GB"/>
        </w:rPr>
        <w:t>Langaufova</w:t>
      </w:r>
      <w:proofErr w:type="spellEnd"/>
      <w:r w:rsidRPr="00B02191">
        <w:rPr>
          <w:rFonts w:asciiTheme="minorBidi" w:eastAsia="Times New Roman" w:hAnsiTheme="minorBidi"/>
          <w:sz w:val="24"/>
          <w:szCs w:val="24"/>
          <w:lang w:eastAsia="en-GB"/>
        </w:rPr>
        <w:t xml:space="preserve"> et al., 2025). The systems based on procedural adherence and not promoting the involvement of staff might unintentionally restrain the proactive safety interventions. According to the situation of Len, medication safety practices seemed to be based on the routine professional behaviour but not collaboration in verification among healthcare professionals. Better Theory Y may have been used to promote the collective responsibility of the clinicians and pharmacists </w:t>
      </w:r>
      <w:proofErr w:type="gramStart"/>
      <w:r w:rsidRPr="00B02191">
        <w:rPr>
          <w:rFonts w:asciiTheme="minorBidi" w:eastAsia="Times New Roman" w:hAnsiTheme="minorBidi"/>
          <w:sz w:val="24"/>
          <w:szCs w:val="24"/>
          <w:lang w:eastAsia="en-GB"/>
        </w:rPr>
        <w:t>in order to</w:t>
      </w:r>
      <w:proofErr w:type="gramEnd"/>
      <w:r w:rsidRPr="00B02191">
        <w:rPr>
          <w:rFonts w:asciiTheme="minorBidi" w:eastAsia="Times New Roman" w:hAnsiTheme="minorBidi"/>
          <w:sz w:val="24"/>
          <w:szCs w:val="24"/>
          <w:lang w:eastAsia="en-GB"/>
        </w:rPr>
        <w:t xml:space="preserve"> make sure that serious medications were properly comprehended by the patients prior to their use (</w:t>
      </w:r>
      <w:proofErr w:type="spellStart"/>
      <w:r w:rsidRPr="00B02191">
        <w:rPr>
          <w:rFonts w:asciiTheme="minorBidi" w:eastAsia="Times New Roman" w:hAnsiTheme="minorBidi"/>
          <w:sz w:val="24"/>
          <w:szCs w:val="24"/>
          <w:lang w:eastAsia="en-GB"/>
        </w:rPr>
        <w:t>Gadgeesh</w:t>
      </w:r>
      <w:proofErr w:type="spellEnd"/>
      <w:r w:rsidRPr="00B02191">
        <w:rPr>
          <w:rFonts w:asciiTheme="minorBidi" w:eastAsia="Times New Roman" w:hAnsiTheme="minorBidi"/>
          <w:sz w:val="24"/>
          <w:szCs w:val="24"/>
          <w:lang w:eastAsia="en-GB"/>
        </w:rPr>
        <w:t xml:space="preserve"> et al., 2025).</w:t>
      </w:r>
    </w:p>
    <w:p w14:paraId="1D96009C" w14:textId="5EA0D8D5" w:rsidR="00706306" w:rsidRPr="00B02191" w:rsidRDefault="00706306"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contingency theory of leadership by Fiedler concluded that the effectiveness of leadership would be determined by the degree of fit between the leadership style </w:t>
      </w:r>
      <w:r w:rsidRPr="00B02191">
        <w:rPr>
          <w:rFonts w:asciiTheme="minorBidi" w:hAnsiTheme="minorBidi"/>
          <w:sz w:val="24"/>
          <w:szCs w:val="24"/>
        </w:rPr>
        <w:lastRenderedPageBreak/>
        <w:t>and the situation. The best style does not exist; the leadership needs to be flexible and change depending on risk, urgency, and complexity (Lindhout and Reniers, 2021). Clinical situations that are at risk must be supervised and communicated, and safety processes must be organised in a stronger way. Len was in a vulnerable group due to his advanced age and chronic neurological condition, and more precautions were supposed to be used when opioids were prescribed. But leadership and governance workings did not adapt to this increased measure of risk, and a control of patient comprehension was not conducted adequately. This is a mismatch between the leadership approach and clinical risk, which helped to fuel the incident. All in all, the case reveals that leadership flaws, ineffective communication, and the absence of shared responsibility enabled an avoidable mistake that happened, which shows that effective leadership should guarantee that safety policies are applied in practice consistently.</w:t>
      </w:r>
    </w:p>
    <w:p w14:paraId="3322270B" w14:textId="0008F162" w:rsidR="008237BF" w:rsidRPr="00B6589F" w:rsidRDefault="00B6589F" w:rsidP="00B6589F">
      <w:pPr>
        <w:pStyle w:val="Heading1"/>
        <w:numPr>
          <w:ilvl w:val="0"/>
          <w:numId w:val="5"/>
        </w:numPr>
        <w:spacing w:line="360" w:lineRule="auto"/>
        <w:rPr>
          <w:rFonts w:asciiTheme="minorBidi" w:hAnsiTheme="minorBidi" w:cstheme="minorBidi"/>
          <w:b/>
          <w:bCs/>
          <w:color w:val="auto"/>
          <w:sz w:val="24"/>
          <w:szCs w:val="24"/>
        </w:rPr>
      </w:pPr>
      <w:bookmarkStart w:id="11" w:name="_Toc224467192"/>
      <w:r w:rsidRPr="00B6589F">
        <w:rPr>
          <w:rFonts w:asciiTheme="minorBidi" w:hAnsiTheme="minorBidi" w:cstheme="minorBidi"/>
          <w:b/>
          <w:bCs/>
          <w:color w:val="auto"/>
          <w:sz w:val="24"/>
          <w:szCs w:val="24"/>
        </w:rPr>
        <w:t>Improvement &amp; Lessons Learned</w:t>
      </w:r>
      <w:bookmarkEnd w:id="11"/>
    </w:p>
    <w:p w14:paraId="4040B088"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death of Len is not a solitary event of wrong prescription but a foreseeable combination of structural designing flaws, lack of communication, and ineffectiveness of the process of governance. The moral of the story here is that high-risk medication safety cannot be based upon individual competence, as it should be an engineered process, with enforceable measures. Although national awareness about opioid-related harm has long been established, its transfer into mandatory frontline safeguards is very sporadic </w:t>
      </w:r>
      <w:r w:rsidRPr="00B02191">
        <w:rPr>
          <w:rFonts w:asciiTheme="minorBidi" w:eastAsia="Times New Roman" w:hAnsiTheme="minorBidi"/>
          <w:sz w:val="24"/>
          <w:szCs w:val="24"/>
          <w:lang w:eastAsia="en-GB"/>
        </w:rPr>
        <w:t>(WHO, 2019)</w:t>
      </w:r>
      <w:r w:rsidRPr="00B02191">
        <w:rPr>
          <w:rFonts w:asciiTheme="minorBidi" w:hAnsiTheme="minorBidi"/>
          <w:sz w:val="24"/>
          <w:szCs w:val="24"/>
        </w:rPr>
        <w:t>. Here, morphine oral solution, which was considered a high-risk agent nationally, was handled in the usual procedures and not in superior protective procedures. The information which was not implemented brought up a weakness.</w:t>
      </w:r>
    </w:p>
    <w:p w14:paraId="0CC11B97" w14:textId="32011025"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lack of balancing feedback loops is an important critical systems understanding. The medication route was linear because the prescription was issued, the drug was dispensed, and comprehension was assumed. Closed-loop testing was not done to check whether Len understood dosing guidelines. The concept of system thinking shows that redundancy and feedback create safety in complex adaptive systems, not solitary expertise </w:t>
      </w:r>
      <w:r w:rsidRPr="00B02191">
        <w:rPr>
          <w:rFonts w:asciiTheme="minorBidi" w:eastAsia="Times New Roman" w:hAnsiTheme="minorBidi"/>
          <w:sz w:val="24"/>
          <w:szCs w:val="24"/>
          <w:lang w:eastAsia="en-GB"/>
        </w:rPr>
        <w:t>(</w:t>
      </w:r>
      <w:proofErr w:type="spellStart"/>
      <w:r w:rsidRPr="00B02191">
        <w:rPr>
          <w:rFonts w:asciiTheme="minorBidi" w:eastAsia="Times New Roman" w:hAnsiTheme="minorBidi"/>
          <w:sz w:val="24"/>
          <w:szCs w:val="24"/>
          <w:lang w:eastAsia="en-GB"/>
        </w:rPr>
        <w:t>Kakemam</w:t>
      </w:r>
      <w:proofErr w:type="spellEnd"/>
      <w:r w:rsidRPr="00B02191">
        <w:rPr>
          <w:rFonts w:asciiTheme="minorBidi" w:eastAsia="Times New Roman" w:hAnsiTheme="minorBidi"/>
          <w:sz w:val="24"/>
          <w:szCs w:val="24"/>
          <w:lang w:eastAsia="en-GB"/>
        </w:rPr>
        <w:t xml:space="preserve"> </w:t>
      </w:r>
      <w:r w:rsidRPr="00B02191">
        <w:rPr>
          <w:rFonts w:asciiTheme="minorBidi" w:eastAsia="Times New Roman" w:hAnsiTheme="minorBidi"/>
          <w:i/>
          <w:iCs/>
          <w:sz w:val="24"/>
          <w:szCs w:val="24"/>
          <w:lang w:eastAsia="en-GB"/>
        </w:rPr>
        <w:t>et al.</w:t>
      </w:r>
      <w:r w:rsidRPr="00B02191">
        <w:rPr>
          <w:rFonts w:asciiTheme="minorBidi" w:eastAsia="Times New Roman" w:hAnsiTheme="minorBidi"/>
          <w:sz w:val="24"/>
          <w:szCs w:val="24"/>
          <w:lang w:eastAsia="en-GB"/>
        </w:rPr>
        <w:t>, 2025)</w:t>
      </w:r>
      <w:r w:rsidRPr="00B02191">
        <w:rPr>
          <w:rFonts w:asciiTheme="minorBidi" w:hAnsiTheme="minorBidi"/>
          <w:sz w:val="24"/>
          <w:szCs w:val="24"/>
        </w:rPr>
        <w:t xml:space="preserve">. The balancing mechanisms, comprising teach-back verification, a requirement to document comprehension and electronic dose prompts, serve the purpose of stabilising risk before it starts increasing. They </w:t>
      </w:r>
      <w:r w:rsidRPr="00B02191">
        <w:rPr>
          <w:rFonts w:asciiTheme="minorBidi" w:hAnsiTheme="minorBidi"/>
          <w:sz w:val="24"/>
          <w:szCs w:val="24"/>
        </w:rPr>
        <w:lastRenderedPageBreak/>
        <w:t xml:space="preserve">are </w:t>
      </w:r>
      <w:r w:rsidR="007B6147" w:rsidRPr="00B02191">
        <w:rPr>
          <w:rFonts w:asciiTheme="minorBidi" w:hAnsiTheme="minorBidi"/>
          <w:sz w:val="24"/>
          <w:szCs w:val="24"/>
        </w:rPr>
        <w:t>absent,</w:t>
      </w:r>
      <w:r w:rsidRPr="00B02191">
        <w:rPr>
          <w:rFonts w:asciiTheme="minorBidi" w:hAnsiTheme="minorBidi"/>
          <w:sz w:val="24"/>
          <w:szCs w:val="24"/>
        </w:rPr>
        <w:t xml:space="preserve"> lack of structural under-design. The system presupposed knowledge as opposed to validating it.</w:t>
      </w:r>
    </w:p>
    <w:p w14:paraId="674C1C96"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Vulnerability was aggravated by the reinforcing loop that existed in the system. The miscommunication caused misunderstanding; misunderstanding caused admission in hospitals; strain on the system caused by overdose; and less time caused by increased miscommunication resulted in more communication shortcuts. Such dynamics normalise risk without conscious interrupt. Safety design necessitates prediction of risk nodes probable at a location, i.e., high-risk opioid discharge, and the stabilising controls at that location </w:t>
      </w:r>
      <w:r w:rsidRPr="00B02191">
        <w:rPr>
          <w:rFonts w:asciiTheme="minorBidi" w:eastAsia="Times New Roman" w:hAnsiTheme="minorBidi"/>
          <w:sz w:val="24"/>
          <w:szCs w:val="24"/>
          <w:lang w:eastAsia="en-GB"/>
        </w:rPr>
        <w:t>(Phillips, Ford and Bonnie, 2017)</w:t>
      </w:r>
      <w:r w:rsidRPr="00B02191">
        <w:rPr>
          <w:rFonts w:asciiTheme="minorBidi" w:hAnsiTheme="minorBidi"/>
          <w:sz w:val="24"/>
          <w:szCs w:val="24"/>
        </w:rPr>
        <w:t>.</w:t>
      </w:r>
    </w:p>
    <w:p w14:paraId="6DF19130"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analysis of governance points out tension in the hybrid structure of the NHS. Centrally controlled and locally operationalised, prescribing is based in the local centres. Decentralised freedom permits flexibility in context, but opioid drugs represent a high alert category in which standardisation is protective and not restrictive. This may be indicated by the lack of nationally prescribed forms of plain-language labelling or the lack of mandatory remedy documentation, which would indicate a focus on governance that is more on the articulation of policies rather than the enforcement of the procedures involved </w:t>
      </w:r>
      <w:r w:rsidRPr="00B02191">
        <w:rPr>
          <w:rFonts w:asciiTheme="minorBidi" w:eastAsia="Times New Roman" w:hAnsiTheme="minorBidi"/>
          <w:sz w:val="24"/>
          <w:szCs w:val="24"/>
          <w:lang w:eastAsia="en-GB"/>
        </w:rPr>
        <w:t>(</w:t>
      </w:r>
      <w:proofErr w:type="spellStart"/>
      <w:r w:rsidRPr="00B02191">
        <w:rPr>
          <w:rFonts w:asciiTheme="minorBidi" w:eastAsia="Times New Roman" w:hAnsiTheme="minorBidi"/>
          <w:sz w:val="24"/>
          <w:szCs w:val="24"/>
          <w:lang w:eastAsia="en-GB"/>
        </w:rPr>
        <w:t>Langaufova</w:t>
      </w:r>
      <w:proofErr w:type="spellEnd"/>
      <w:r w:rsidRPr="00B02191">
        <w:rPr>
          <w:rFonts w:asciiTheme="minorBidi" w:eastAsia="Times New Roman" w:hAnsiTheme="minorBidi"/>
          <w:sz w:val="24"/>
          <w:szCs w:val="24"/>
          <w:lang w:eastAsia="en-GB"/>
        </w:rPr>
        <w:t xml:space="preserve"> </w:t>
      </w:r>
      <w:r w:rsidRPr="00B02191">
        <w:rPr>
          <w:rFonts w:asciiTheme="minorBidi" w:eastAsia="Times New Roman" w:hAnsiTheme="minorBidi"/>
          <w:i/>
          <w:iCs/>
          <w:sz w:val="24"/>
          <w:szCs w:val="24"/>
          <w:lang w:eastAsia="en-GB"/>
        </w:rPr>
        <w:t>et al.</w:t>
      </w:r>
      <w:r w:rsidRPr="00B02191">
        <w:rPr>
          <w:rFonts w:asciiTheme="minorBidi" w:eastAsia="Times New Roman" w:hAnsiTheme="minorBidi"/>
          <w:sz w:val="24"/>
          <w:szCs w:val="24"/>
          <w:lang w:eastAsia="en-GB"/>
        </w:rPr>
        <w:t>, 2025)</w:t>
      </w:r>
      <w:r w:rsidRPr="00B02191">
        <w:rPr>
          <w:rFonts w:asciiTheme="minorBidi" w:hAnsiTheme="minorBidi"/>
          <w:sz w:val="24"/>
          <w:szCs w:val="24"/>
        </w:rPr>
        <w:t>. Variation in high-impact risk areas raises the exposure. It follows that it needs to be improved by a recalibration of the balance between flexibility and uniformity: high-risk medication safety architecture, centralised and contextualised delivery.</w:t>
      </w:r>
    </w:p>
    <w:p w14:paraId="675BD173"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Learning about leadership is also educative. Transformational leadership often advances safety culture, but the cultural aspiration that has no structural support would not be reliable. Leaders should transform commitment to quantifiable controls. The variability and the institutionalisation of reliability are mitigated through transactional mechanisms, including the implementation of regular opioid audits, mandatory documentation of the understanding, and the achievement of electronic prescription warnings </w:t>
      </w:r>
      <w:r w:rsidRPr="00B02191">
        <w:rPr>
          <w:rFonts w:asciiTheme="minorBidi" w:eastAsia="Times New Roman" w:hAnsiTheme="minorBidi"/>
          <w:sz w:val="24"/>
          <w:szCs w:val="24"/>
          <w:lang w:eastAsia="en-GB"/>
        </w:rPr>
        <w:t>(</w:t>
      </w:r>
      <w:proofErr w:type="spellStart"/>
      <w:r w:rsidRPr="00B02191">
        <w:rPr>
          <w:rFonts w:asciiTheme="minorBidi" w:eastAsia="Times New Roman" w:hAnsiTheme="minorBidi"/>
          <w:sz w:val="24"/>
          <w:szCs w:val="24"/>
          <w:lang w:eastAsia="en-GB"/>
        </w:rPr>
        <w:t>Gadgeesh</w:t>
      </w:r>
      <w:proofErr w:type="spellEnd"/>
      <w:r w:rsidRPr="00B02191">
        <w:rPr>
          <w:rFonts w:asciiTheme="minorBidi" w:eastAsia="Times New Roman" w:hAnsiTheme="minorBidi"/>
          <w:sz w:val="24"/>
          <w:szCs w:val="24"/>
          <w:lang w:eastAsia="en-GB"/>
        </w:rPr>
        <w:t xml:space="preserve"> </w:t>
      </w:r>
      <w:r w:rsidRPr="00B02191">
        <w:rPr>
          <w:rFonts w:asciiTheme="minorBidi" w:eastAsia="Times New Roman" w:hAnsiTheme="minorBidi"/>
          <w:i/>
          <w:iCs/>
          <w:sz w:val="24"/>
          <w:szCs w:val="24"/>
          <w:lang w:eastAsia="en-GB"/>
        </w:rPr>
        <w:t>et al.</w:t>
      </w:r>
      <w:r w:rsidRPr="00B02191">
        <w:rPr>
          <w:rFonts w:asciiTheme="minorBidi" w:eastAsia="Times New Roman" w:hAnsiTheme="minorBidi"/>
          <w:sz w:val="24"/>
          <w:szCs w:val="24"/>
          <w:lang w:eastAsia="en-GB"/>
        </w:rPr>
        <w:t>, 2025)</w:t>
      </w:r>
      <w:r w:rsidRPr="00B02191">
        <w:rPr>
          <w:rFonts w:asciiTheme="minorBidi" w:hAnsiTheme="minorBidi"/>
          <w:sz w:val="24"/>
          <w:szCs w:val="24"/>
        </w:rPr>
        <w:t>. This situation was responsible for the case of Len, where the use of professional discretion over and above imposed safeguards meant that predictable dangers went unchecked.</w:t>
      </w:r>
    </w:p>
    <w:p w14:paraId="487F2216"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Situational leadership also highlights the inability to prioritise the risk. Len was an old man with multiple morbidities and taking a high-risk opioid. However, there is no improved communication protocol to have been instigated. The concept of </w:t>
      </w:r>
      <w:r w:rsidRPr="00B02191">
        <w:rPr>
          <w:rFonts w:asciiTheme="minorBidi" w:hAnsiTheme="minorBidi"/>
          <w:sz w:val="24"/>
          <w:szCs w:val="24"/>
        </w:rPr>
        <w:lastRenderedPageBreak/>
        <w:t xml:space="preserve">vulnerability was not instituted as a systems determinant. This means it needs to improve by including risk-level prescribing programmes where drugs with higher risk adjust more defensive mechanisms: simplified labels, documentation, and follow-up checks </w:t>
      </w:r>
      <w:r w:rsidRPr="00B02191">
        <w:rPr>
          <w:rFonts w:asciiTheme="minorBidi" w:eastAsia="Times New Roman" w:hAnsiTheme="minorBidi"/>
          <w:sz w:val="24"/>
          <w:szCs w:val="24"/>
          <w:lang w:eastAsia="en-GB"/>
        </w:rPr>
        <w:t>(Clark and Preto, 2018)</w:t>
      </w:r>
      <w:r w:rsidRPr="00B02191">
        <w:rPr>
          <w:rFonts w:asciiTheme="minorBidi" w:hAnsiTheme="minorBidi"/>
          <w:sz w:val="24"/>
          <w:szCs w:val="24"/>
        </w:rPr>
        <w:t>.</w:t>
      </w:r>
    </w:p>
    <w:p w14:paraId="504B82C1" w14:textId="77777777" w:rsidR="008237BF" w:rsidRPr="00B02191" w:rsidRDefault="008237BF" w:rsidP="00481964">
      <w:pPr>
        <w:spacing w:line="360" w:lineRule="auto"/>
        <w:rPr>
          <w:rFonts w:asciiTheme="minorBidi" w:hAnsiTheme="minorBidi"/>
          <w:sz w:val="24"/>
          <w:szCs w:val="24"/>
        </w:rPr>
      </w:pPr>
      <w:r w:rsidRPr="00B02191">
        <w:rPr>
          <w:rFonts w:asciiTheme="minorBidi" w:hAnsiTheme="minorBidi"/>
          <w:sz w:val="24"/>
          <w:szCs w:val="24"/>
        </w:rPr>
        <w:t>The purpose of Integrated Care Systems (ICS) is to improve coordination, although integration should not be limited to the structural alignment, but also to the operational monitoring. There should be shared opioid-safety dashboards with GP practices, pharmacies and hospitals, which would increase the visibility of high-risk prescribing patterns. Recurrent communication failures may be identified by cross-boundary audits. In the absence of common performance indicators, integration will be symbolic, but not operational.</w:t>
      </w:r>
    </w:p>
    <w:p w14:paraId="7BE3FB01" w14:textId="77777777"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Operational protection must be non-discretionary: electronic notifications about morphine oral solution, the requirement to check-in with the patient before dispensing, easy-to-understand dosing protocols, and follow-up calls in the case of aged patients in specific intervals. These add the concept of redundancy, which is characteristic of resilient systems </w:t>
      </w:r>
      <w:r w:rsidRPr="00B02191">
        <w:rPr>
          <w:rFonts w:asciiTheme="minorBidi" w:eastAsia="Times New Roman" w:hAnsiTheme="minorBidi"/>
          <w:sz w:val="24"/>
          <w:szCs w:val="24"/>
          <w:lang w:eastAsia="en-GB"/>
        </w:rPr>
        <w:t>(Murphy, Patel and Barrett, 2025)</w:t>
      </w:r>
      <w:r w:rsidRPr="00B02191">
        <w:rPr>
          <w:rFonts w:asciiTheme="minorBidi" w:hAnsiTheme="minorBidi"/>
          <w:sz w:val="24"/>
          <w:szCs w:val="24"/>
        </w:rPr>
        <w:t>. Mental safety should also be increased through cultural reform. Communication issues and near misses are to be normalised. Weaknesses in the feedback loops of underreporting and slow corrective learning. An organisational culture of just-in-time would aid in the timely early detection of weak signals prior to the explosion.</w:t>
      </w:r>
    </w:p>
    <w:p w14:paraId="74214DD8" w14:textId="5D7C7AE0" w:rsidR="008237BF" w:rsidRPr="00B02191" w:rsidRDefault="008237BF"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efficacy supports the argument of reform. There is a big financial burden on the medication-related admissions. Prophylaxis measures can cost more in the short-term but less in the long-term of emergency room visits and lawsuits. Therefore, ethical and economic imperatives are in line with safety engineering. Finally, the death of Len proves safety is ineffective when there is a mismatch of leadership intent, design of governance and system of operations </w:t>
      </w:r>
      <w:r w:rsidRPr="00B02191">
        <w:rPr>
          <w:rFonts w:asciiTheme="minorBidi" w:eastAsia="Times New Roman" w:hAnsiTheme="minorBidi"/>
          <w:sz w:val="24"/>
          <w:szCs w:val="24"/>
          <w:lang w:eastAsia="en-GB"/>
        </w:rPr>
        <w:t>(Lindhout and Reniers, 2021)</w:t>
      </w:r>
      <w:r w:rsidRPr="00B02191">
        <w:rPr>
          <w:rFonts w:asciiTheme="minorBidi" w:hAnsiTheme="minorBidi"/>
          <w:sz w:val="24"/>
          <w:szCs w:val="24"/>
        </w:rPr>
        <w:t xml:space="preserve">. Resilience is not premised on how competent it is supposed to </w:t>
      </w:r>
      <w:r w:rsidR="00550A1B" w:rsidRPr="00B02191">
        <w:rPr>
          <w:rFonts w:asciiTheme="minorBidi" w:hAnsiTheme="minorBidi"/>
          <w:sz w:val="24"/>
          <w:szCs w:val="24"/>
        </w:rPr>
        <w:t>be but</w:t>
      </w:r>
      <w:r w:rsidRPr="00B02191">
        <w:rPr>
          <w:rFonts w:asciiTheme="minorBidi" w:hAnsiTheme="minorBidi"/>
          <w:sz w:val="24"/>
          <w:szCs w:val="24"/>
        </w:rPr>
        <w:t xml:space="preserve"> rather meant to be practised through constructive architecture in expected high-risk areas.</w:t>
      </w:r>
    </w:p>
    <w:p w14:paraId="4C7293EB" w14:textId="4D6DCE4F" w:rsidR="009F4F1E" w:rsidRPr="00550A1B" w:rsidRDefault="00550A1B" w:rsidP="00550A1B">
      <w:pPr>
        <w:pStyle w:val="Heading1"/>
        <w:numPr>
          <w:ilvl w:val="0"/>
          <w:numId w:val="5"/>
        </w:numPr>
        <w:spacing w:line="360" w:lineRule="auto"/>
        <w:rPr>
          <w:rFonts w:asciiTheme="minorBidi" w:hAnsiTheme="minorBidi" w:cstheme="minorBidi"/>
          <w:b/>
          <w:bCs/>
          <w:color w:val="auto"/>
          <w:sz w:val="24"/>
          <w:szCs w:val="24"/>
        </w:rPr>
      </w:pPr>
      <w:bookmarkStart w:id="12" w:name="_Toc224467193"/>
      <w:r w:rsidRPr="00550A1B">
        <w:rPr>
          <w:rFonts w:asciiTheme="minorBidi" w:hAnsiTheme="minorBidi" w:cstheme="minorBidi"/>
          <w:b/>
          <w:bCs/>
          <w:color w:val="auto"/>
          <w:sz w:val="24"/>
          <w:szCs w:val="24"/>
        </w:rPr>
        <w:t>Recommendations</w:t>
      </w:r>
      <w:bookmarkEnd w:id="12"/>
    </w:p>
    <w:p w14:paraId="6F561B2C" w14:textId="77777777" w:rsidR="009F4F1E" w:rsidRPr="00B02191" w:rsidRDefault="00C042FC" w:rsidP="00481964">
      <w:pPr>
        <w:pStyle w:val="ListParagraph"/>
        <w:numPr>
          <w:ilvl w:val="0"/>
          <w:numId w:val="2"/>
        </w:numPr>
        <w:spacing w:line="360" w:lineRule="auto"/>
        <w:rPr>
          <w:rFonts w:asciiTheme="minorBidi" w:hAnsiTheme="minorBidi"/>
          <w:b/>
          <w:bCs/>
          <w:sz w:val="24"/>
          <w:szCs w:val="24"/>
        </w:rPr>
      </w:pPr>
      <w:r w:rsidRPr="00B02191">
        <w:rPr>
          <w:rFonts w:asciiTheme="minorBidi" w:hAnsiTheme="minorBidi"/>
          <w:b/>
          <w:bCs/>
          <w:sz w:val="24"/>
          <w:szCs w:val="24"/>
        </w:rPr>
        <w:t>Leadership Model Recommendation</w:t>
      </w:r>
    </w:p>
    <w:p w14:paraId="5A7FF1D2" w14:textId="76AD074C" w:rsidR="009F4F1E"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The implementation of a hybrid leadership model is needed to avoid repeat cases of high-risk opioid harm. Transformational leadership must also clearly position </w:t>
      </w:r>
      <w:r w:rsidRPr="00B02191">
        <w:rPr>
          <w:rFonts w:asciiTheme="minorBidi" w:hAnsiTheme="minorBidi"/>
          <w:sz w:val="24"/>
          <w:szCs w:val="24"/>
        </w:rPr>
        <w:lastRenderedPageBreak/>
        <w:t>morphine prescribing as a high-risk practice where a teach-back confirmation is a must-have requirement when patients are aged, such as Len. Nonetheless, the cultural commitment should be enhanced with the help of transactional restraints: mandatory recording of dose explanation, Electronic prescribing warnings of morphine oral solution, and frequent opioid-safety auditing among GP practices and pharmacies</w:t>
      </w:r>
      <w:r w:rsidR="000D33CD" w:rsidRPr="00B02191">
        <w:rPr>
          <w:rFonts w:asciiTheme="minorBidi" w:hAnsiTheme="minorBidi"/>
          <w:sz w:val="24"/>
          <w:szCs w:val="24"/>
        </w:rPr>
        <w:t xml:space="preserve"> </w:t>
      </w:r>
      <w:r w:rsidR="000D33CD" w:rsidRPr="00B02191">
        <w:rPr>
          <w:rFonts w:asciiTheme="minorBidi" w:eastAsia="Times New Roman" w:hAnsiTheme="minorBidi"/>
          <w:sz w:val="24"/>
          <w:szCs w:val="24"/>
          <w:lang w:eastAsia="en-GB"/>
        </w:rPr>
        <w:t>(Phillips, Ford and Bonnie, 2020)</w:t>
      </w:r>
      <w:r w:rsidRPr="00B02191">
        <w:rPr>
          <w:rFonts w:asciiTheme="minorBidi" w:hAnsiTheme="minorBidi"/>
          <w:sz w:val="24"/>
          <w:szCs w:val="24"/>
        </w:rPr>
        <w:t>. Distributed leadership should also be able to define accountability- a named clinician should make sure that the understanding is understood before dispensing. In ICS structures, the opioid safety measures are to be discussed on a quarterly basis to ensure the cross-sector control and responsibility dispersion.</w:t>
      </w:r>
    </w:p>
    <w:p w14:paraId="03AE77F3" w14:textId="77777777" w:rsidR="009F4F1E" w:rsidRPr="00B02191" w:rsidRDefault="00C042FC" w:rsidP="00481964">
      <w:pPr>
        <w:pStyle w:val="ListParagraph"/>
        <w:numPr>
          <w:ilvl w:val="0"/>
          <w:numId w:val="2"/>
        </w:numPr>
        <w:spacing w:line="360" w:lineRule="auto"/>
        <w:rPr>
          <w:rFonts w:asciiTheme="minorBidi" w:hAnsiTheme="minorBidi"/>
          <w:b/>
          <w:bCs/>
          <w:sz w:val="24"/>
          <w:szCs w:val="24"/>
        </w:rPr>
      </w:pPr>
      <w:r w:rsidRPr="00B02191">
        <w:rPr>
          <w:rFonts w:asciiTheme="minorBidi" w:hAnsiTheme="minorBidi"/>
          <w:b/>
          <w:bCs/>
          <w:sz w:val="24"/>
          <w:szCs w:val="24"/>
        </w:rPr>
        <w:t>Governance Strengthening</w:t>
      </w:r>
    </w:p>
    <w:p w14:paraId="4ADD0506" w14:textId="77777777" w:rsidR="009F4F1E"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The structure of governance needs to change the whimsical policy to standardisation in risky areas that are enforceable. A national standard of opioid safety needs to be centralised with simplified and plain language label templates of morphine oral solution and other high-category pills. Standardisation lessens the ambiguity of interpretations and safeguards the susceptible patients.</w:t>
      </w:r>
    </w:p>
    <w:p w14:paraId="3935ED2F" w14:textId="13F8E3DB"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Additionally, ICS arrangements need to incorporate opioid safety measures into the performance dashboard, where the high-risk prescribing trends are followed across the sector. The regulatory bodies should insist when inspecting regulatory bodies on the establishment of demonstrably verifiable protocols of comprehension</w:t>
      </w:r>
      <w:r w:rsidR="006830C4" w:rsidRPr="00B02191">
        <w:rPr>
          <w:rFonts w:asciiTheme="minorBidi" w:hAnsiTheme="minorBidi"/>
          <w:sz w:val="24"/>
          <w:szCs w:val="24"/>
        </w:rPr>
        <w:t xml:space="preserve"> </w:t>
      </w:r>
      <w:r w:rsidR="006830C4" w:rsidRPr="00B02191">
        <w:rPr>
          <w:rFonts w:asciiTheme="minorBidi" w:eastAsia="Times New Roman" w:hAnsiTheme="minorBidi"/>
          <w:sz w:val="24"/>
          <w:szCs w:val="24"/>
          <w:lang w:eastAsia="en-GB"/>
        </w:rPr>
        <w:t xml:space="preserve">(Russell </w:t>
      </w:r>
      <w:r w:rsidR="006830C4" w:rsidRPr="00B02191">
        <w:rPr>
          <w:rFonts w:asciiTheme="minorBidi" w:eastAsia="Times New Roman" w:hAnsiTheme="minorBidi"/>
          <w:i/>
          <w:iCs/>
          <w:sz w:val="24"/>
          <w:szCs w:val="24"/>
          <w:lang w:eastAsia="en-GB"/>
        </w:rPr>
        <w:t>et al.</w:t>
      </w:r>
      <w:r w:rsidR="006830C4" w:rsidRPr="00B02191">
        <w:rPr>
          <w:rFonts w:asciiTheme="minorBidi" w:eastAsia="Times New Roman" w:hAnsiTheme="minorBidi"/>
          <w:sz w:val="24"/>
          <w:szCs w:val="24"/>
          <w:lang w:eastAsia="en-GB"/>
        </w:rPr>
        <w:t>, 2025)</w:t>
      </w:r>
      <w:r w:rsidRPr="00B02191">
        <w:rPr>
          <w:rFonts w:asciiTheme="minorBidi" w:hAnsiTheme="minorBidi"/>
          <w:sz w:val="24"/>
          <w:szCs w:val="24"/>
        </w:rPr>
        <w:t>. Variation in high-impact safety areas should not be a matter of choice but a measure that is controlled by nationally imposed protective measures.</w:t>
      </w:r>
    </w:p>
    <w:p w14:paraId="2388AFCB" w14:textId="77777777" w:rsidR="009F4F1E" w:rsidRPr="00B02191" w:rsidRDefault="00C042FC" w:rsidP="00481964">
      <w:pPr>
        <w:pStyle w:val="ListParagraph"/>
        <w:numPr>
          <w:ilvl w:val="0"/>
          <w:numId w:val="2"/>
        </w:numPr>
        <w:spacing w:line="360" w:lineRule="auto"/>
        <w:rPr>
          <w:rFonts w:asciiTheme="minorBidi" w:hAnsiTheme="minorBidi"/>
          <w:b/>
          <w:bCs/>
          <w:sz w:val="24"/>
          <w:szCs w:val="24"/>
        </w:rPr>
      </w:pPr>
      <w:r w:rsidRPr="00B02191">
        <w:rPr>
          <w:rFonts w:asciiTheme="minorBidi" w:hAnsiTheme="minorBidi"/>
          <w:b/>
          <w:bCs/>
          <w:sz w:val="24"/>
          <w:szCs w:val="24"/>
        </w:rPr>
        <w:t>Efficiency Improvement</w:t>
      </w:r>
    </w:p>
    <w:p w14:paraId="70C60BE1" w14:textId="441C4ECF" w:rsidR="00C042FC"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Enhancement in medication safety is both ethical in nature and efficiency. Technically, the prevention of opioid-related harm determines the avoidance of preventable self-hospitalisation, critical care usage, and emergency treatment. </w:t>
      </w:r>
      <w:r w:rsidR="00560A49" w:rsidRPr="00B02191">
        <w:rPr>
          <w:rFonts w:asciiTheme="minorBidi" w:hAnsiTheme="minorBidi"/>
          <w:sz w:val="24"/>
          <w:szCs w:val="24"/>
        </w:rPr>
        <w:t>Compulsory</w:t>
      </w:r>
      <w:r w:rsidRPr="00B02191">
        <w:rPr>
          <w:rFonts w:asciiTheme="minorBidi" w:hAnsiTheme="minorBidi"/>
          <w:sz w:val="24"/>
          <w:szCs w:val="24"/>
        </w:rPr>
        <w:t xml:space="preserve"> digital prescribing would involve and built in computerized health record warnings that would add low-cost, high-effect safeguards.</w:t>
      </w:r>
      <w:r w:rsidRPr="00B02191">
        <w:rPr>
          <w:rFonts w:asciiTheme="minorBidi" w:hAnsiTheme="minorBidi"/>
          <w:sz w:val="24"/>
          <w:szCs w:val="24"/>
        </w:rPr>
        <w:br/>
        <w:t>In terms of allocative efficiency, the resources are to be directed towards the high-risk populations, especially the elderly patients with comorbidities and polypharmacy</w:t>
      </w:r>
      <w:r w:rsidR="006830C4" w:rsidRPr="00B02191">
        <w:rPr>
          <w:rFonts w:asciiTheme="minorBidi" w:hAnsiTheme="minorBidi"/>
          <w:sz w:val="24"/>
          <w:szCs w:val="24"/>
        </w:rPr>
        <w:t xml:space="preserve"> </w:t>
      </w:r>
      <w:r w:rsidR="006830C4" w:rsidRPr="00B02191">
        <w:rPr>
          <w:rFonts w:asciiTheme="minorBidi" w:eastAsia="Times New Roman" w:hAnsiTheme="minorBidi"/>
          <w:sz w:val="24"/>
          <w:szCs w:val="24"/>
          <w:lang w:eastAsia="en-GB"/>
        </w:rPr>
        <w:t xml:space="preserve">(Porterfield, Engelbert and </w:t>
      </w:r>
      <w:proofErr w:type="spellStart"/>
      <w:r w:rsidR="006830C4" w:rsidRPr="00B02191">
        <w:rPr>
          <w:rFonts w:asciiTheme="minorBidi" w:eastAsia="Times New Roman" w:hAnsiTheme="minorBidi"/>
          <w:sz w:val="24"/>
          <w:szCs w:val="24"/>
          <w:lang w:eastAsia="en-GB"/>
        </w:rPr>
        <w:t>Coustasse</w:t>
      </w:r>
      <w:proofErr w:type="spellEnd"/>
      <w:r w:rsidR="006830C4" w:rsidRPr="00B02191">
        <w:rPr>
          <w:rFonts w:asciiTheme="minorBidi" w:eastAsia="Times New Roman" w:hAnsiTheme="minorBidi"/>
          <w:sz w:val="24"/>
          <w:szCs w:val="24"/>
          <w:lang w:eastAsia="en-GB"/>
        </w:rPr>
        <w:t>, 2014)</w:t>
      </w:r>
      <w:r w:rsidRPr="00B02191">
        <w:rPr>
          <w:rFonts w:asciiTheme="minorBidi" w:hAnsiTheme="minorBidi"/>
          <w:sz w:val="24"/>
          <w:szCs w:val="24"/>
        </w:rPr>
        <w:t xml:space="preserve">. The priority of the risk-stratified prescribing pathways would be focused on more education and follow-up of the </w:t>
      </w:r>
      <w:r w:rsidRPr="00B02191">
        <w:rPr>
          <w:rFonts w:asciiTheme="minorBidi" w:hAnsiTheme="minorBidi"/>
          <w:sz w:val="24"/>
          <w:szCs w:val="24"/>
        </w:rPr>
        <w:lastRenderedPageBreak/>
        <w:t>vulnerable populations, distributing the resources to those in need more efficiently and avoiding downstream spending on adverse events.</w:t>
      </w:r>
    </w:p>
    <w:p w14:paraId="7A73B498" w14:textId="77777777" w:rsidR="009F4F1E" w:rsidRPr="00B02191" w:rsidRDefault="00C042FC" w:rsidP="00481964">
      <w:pPr>
        <w:pStyle w:val="ListParagraph"/>
        <w:numPr>
          <w:ilvl w:val="0"/>
          <w:numId w:val="2"/>
        </w:numPr>
        <w:spacing w:line="360" w:lineRule="auto"/>
        <w:rPr>
          <w:rFonts w:asciiTheme="minorBidi" w:hAnsiTheme="minorBidi"/>
          <w:b/>
          <w:bCs/>
          <w:sz w:val="24"/>
          <w:szCs w:val="24"/>
        </w:rPr>
      </w:pPr>
      <w:r w:rsidRPr="00B02191">
        <w:rPr>
          <w:rFonts w:asciiTheme="minorBidi" w:hAnsiTheme="minorBidi"/>
          <w:b/>
          <w:bCs/>
          <w:sz w:val="24"/>
          <w:szCs w:val="24"/>
        </w:rPr>
        <w:t>Continuous Learning</w:t>
      </w:r>
    </w:p>
    <w:p w14:paraId="62ABB741" w14:textId="31DA7DF9" w:rsidR="009F4F1E" w:rsidRPr="00B02191" w:rsidRDefault="00C042FC" w:rsidP="00481964">
      <w:pPr>
        <w:spacing w:line="360" w:lineRule="auto"/>
        <w:rPr>
          <w:rFonts w:asciiTheme="minorBidi" w:eastAsia="Times New Roman" w:hAnsiTheme="minorBidi"/>
          <w:sz w:val="24"/>
          <w:szCs w:val="24"/>
          <w:lang w:eastAsia="en-GB"/>
        </w:rPr>
      </w:pPr>
      <w:r w:rsidRPr="00B02191">
        <w:rPr>
          <w:rFonts w:asciiTheme="minorBidi" w:hAnsiTheme="minorBidi"/>
          <w:sz w:val="24"/>
          <w:szCs w:val="24"/>
        </w:rPr>
        <w:t xml:space="preserve">Institutionalised feedback mechanisms are essential </w:t>
      </w:r>
      <w:proofErr w:type="gramStart"/>
      <w:r w:rsidRPr="00B02191">
        <w:rPr>
          <w:rFonts w:asciiTheme="minorBidi" w:hAnsiTheme="minorBidi"/>
          <w:sz w:val="24"/>
          <w:szCs w:val="24"/>
        </w:rPr>
        <w:t>in order to</w:t>
      </w:r>
      <w:proofErr w:type="gramEnd"/>
      <w:r w:rsidRPr="00B02191">
        <w:rPr>
          <w:rFonts w:asciiTheme="minorBidi" w:hAnsiTheme="minorBidi"/>
          <w:sz w:val="24"/>
          <w:szCs w:val="24"/>
        </w:rPr>
        <w:t xml:space="preserve"> achieve sustainable improvement. Digital incident reporting systems need to be fortified </w:t>
      </w:r>
      <w:proofErr w:type="gramStart"/>
      <w:r w:rsidRPr="00B02191">
        <w:rPr>
          <w:rFonts w:asciiTheme="minorBidi" w:hAnsiTheme="minorBidi"/>
          <w:sz w:val="24"/>
          <w:szCs w:val="24"/>
        </w:rPr>
        <w:t>in order to</w:t>
      </w:r>
      <w:proofErr w:type="gramEnd"/>
      <w:r w:rsidRPr="00B02191">
        <w:rPr>
          <w:rFonts w:asciiTheme="minorBidi" w:hAnsiTheme="minorBidi"/>
          <w:sz w:val="24"/>
          <w:szCs w:val="24"/>
        </w:rPr>
        <w:t xml:space="preserve"> detect near-misses and communication failures. Root cause analyses must stop being individual and become systemic</w:t>
      </w:r>
      <w:r w:rsidR="006830C4" w:rsidRPr="00B02191">
        <w:rPr>
          <w:rFonts w:asciiTheme="minorBidi" w:hAnsiTheme="minorBidi"/>
          <w:sz w:val="24"/>
          <w:szCs w:val="24"/>
        </w:rPr>
        <w:t xml:space="preserve"> </w:t>
      </w:r>
      <w:r w:rsidR="006830C4" w:rsidRPr="00B02191">
        <w:rPr>
          <w:rFonts w:asciiTheme="minorBidi" w:eastAsia="Times New Roman" w:hAnsiTheme="minorBidi"/>
          <w:sz w:val="24"/>
          <w:szCs w:val="24"/>
          <w:lang w:eastAsia="en-GB"/>
        </w:rPr>
        <w:t xml:space="preserve">(Kumah </w:t>
      </w:r>
      <w:r w:rsidR="006830C4" w:rsidRPr="00B02191">
        <w:rPr>
          <w:rFonts w:asciiTheme="minorBidi" w:eastAsia="Times New Roman" w:hAnsiTheme="minorBidi"/>
          <w:i/>
          <w:iCs/>
          <w:sz w:val="24"/>
          <w:szCs w:val="24"/>
          <w:lang w:eastAsia="en-GB"/>
        </w:rPr>
        <w:t>et al.</w:t>
      </w:r>
      <w:r w:rsidR="006830C4" w:rsidRPr="00B02191">
        <w:rPr>
          <w:rFonts w:asciiTheme="minorBidi" w:eastAsia="Times New Roman" w:hAnsiTheme="minorBidi"/>
          <w:sz w:val="24"/>
          <w:szCs w:val="24"/>
          <w:lang w:eastAsia="en-GB"/>
        </w:rPr>
        <w:t>, 2024)</w:t>
      </w:r>
      <w:r w:rsidRPr="00B02191">
        <w:rPr>
          <w:rFonts w:asciiTheme="minorBidi" w:hAnsiTheme="minorBidi"/>
          <w:sz w:val="24"/>
          <w:szCs w:val="24"/>
        </w:rPr>
        <w:t>. Measurable accountability would be offered by quarterly safety audits with a specific focus on high-risk drugs.</w:t>
      </w:r>
    </w:p>
    <w:p w14:paraId="5F6CFEAE" w14:textId="2248ECA8" w:rsidR="00C042FC"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Lastly, the production of medications in collaboration with patients and carers should inform medication safety. When patient literacy views are incorporated in labelling templates and discharges, it is certain that the safety mechanisms are a representation of the lived experience, not a professional assumption. Ongoing learning incorporated in governing and leadership systems will increase the resilience of the system and avoid a repeat.</w:t>
      </w:r>
    </w:p>
    <w:p w14:paraId="065EB2AE" w14:textId="4453CA5A" w:rsidR="009F4F1E" w:rsidRPr="00680F11" w:rsidRDefault="00680F11" w:rsidP="00680F11">
      <w:pPr>
        <w:pStyle w:val="Heading1"/>
        <w:numPr>
          <w:ilvl w:val="0"/>
          <w:numId w:val="5"/>
        </w:numPr>
        <w:spacing w:line="360" w:lineRule="auto"/>
        <w:rPr>
          <w:rFonts w:asciiTheme="minorBidi" w:hAnsiTheme="minorBidi" w:cstheme="minorBidi"/>
          <w:b/>
          <w:bCs/>
          <w:color w:val="auto"/>
          <w:sz w:val="24"/>
          <w:szCs w:val="24"/>
        </w:rPr>
      </w:pPr>
      <w:bookmarkStart w:id="13" w:name="_Toc224467194"/>
      <w:r w:rsidRPr="00680F11">
        <w:rPr>
          <w:rFonts w:asciiTheme="minorBidi" w:hAnsiTheme="minorBidi" w:cstheme="minorBidi"/>
          <w:b/>
          <w:bCs/>
          <w:color w:val="auto"/>
          <w:sz w:val="24"/>
          <w:szCs w:val="24"/>
        </w:rPr>
        <w:t>Conclusion</w:t>
      </w:r>
      <w:bookmarkEnd w:id="13"/>
    </w:p>
    <w:p w14:paraId="67DA2794" w14:textId="77777777" w:rsidR="009F4F1E"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The death of Len demonstrates that medication error is not a single clinical failure; instead, it is a sign of system vulnerability that is sewn into the organisational design and administrative approach and structure. The morphine overdose was not due to lack of knowledge concerning opioid dangers but rather the lack of good verification methods, lack of accountability and no stringent safeguards. The incident, in this manner, reveals dysfunction in a hybrid structure where decentralised autonomy is a working system that lacks central protection, which is regularly being strengthened in high-risk areas.</w:t>
      </w:r>
    </w:p>
    <w:p w14:paraId="643E8446" w14:textId="77777777" w:rsidR="009F4F1E"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t xml:space="preserve">The decision between aspirational and operational safety is made by leadership. Transactional enforcement and shared responsibility </w:t>
      </w:r>
      <w:proofErr w:type="gramStart"/>
      <w:r w:rsidRPr="00B02191">
        <w:rPr>
          <w:rFonts w:asciiTheme="minorBidi" w:hAnsiTheme="minorBidi"/>
          <w:sz w:val="24"/>
          <w:szCs w:val="24"/>
        </w:rPr>
        <w:t>have to</w:t>
      </w:r>
      <w:proofErr w:type="gramEnd"/>
      <w:r w:rsidRPr="00B02191">
        <w:rPr>
          <w:rFonts w:asciiTheme="minorBidi" w:hAnsiTheme="minorBidi"/>
          <w:sz w:val="24"/>
          <w:szCs w:val="24"/>
        </w:rPr>
        <w:t xml:space="preserve"> reinforce transformational commitment to patient safety. Safety culture will be made rhetorical without quantifiable standards and a clear ownership of the comprehension verification. This case shows that leadership performance does not lie in the presentation of policy but in the consistency of the controls at the frontline to avoid the anticipated damage.</w:t>
      </w:r>
    </w:p>
    <w:p w14:paraId="61E72173" w14:textId="77777777" w:rsidR="009F4F1E" w:rsidRPr="00B02191" w:rsidRDefault="00C042FC" w:rsidP="00481964">
      <w:pPr>
        <w:spacing w:line="360" w:lineRule="auto"/>
        <w:rPr>
          <w:rFonts w:asciiTheme="minorBidi" w:hAnsiTheme="minorBidi"/>
          <w:sz w:val="24"/>
          <w:szCs w:val="24"/>
        </w:rPr>
      </w:pPr>
      <w:r w:rsidRPr="00B02191">
        <w:rPr>
          <w:rFonts w:asciiTheme="minorBidi" w:hAnsiTheme="minorBidi"/>
          <w:sz w:val="24"/>
          <w:szCs w:val="24"/>
        </w:rPr>
        <w:lastRenderedPageBreak/>
        <w:t xml:space="preserve">Accountability transparency is also affected by governance structure. The central policy and local implementation model of the NHS can provide greater flexibility, but this model can also just spread responsibility at the time of non-standardisation of the safeguards. Unsafe medications should also have a high-risk architecture that limits unsafe variation </w:t>
      </w:r>
      <w:proofErr w:type="gramStart"/>
      <w:r w:rsidRPr="00B02191">
        <w:rPr>
          <w:rFonts w:asciiTheme="minorBidi" w:hAnsiTheme="minorBidi"/>
          <w:sz w:val="24"/>
          <w:szCs w:val="24"/>
        </w:rPr>
        <w:t>and also</w:t>
      </w:r>
      <w:proofErr w:type="gramEnd"/>
      <w:r w:rsidRPr="00B02191">
        <w:rPr>
          <w:rFonts w:asciiTheme="minorBidi" w:hAnsiTheme="minorBidi"/>
          <w:sz w:val="24"/>
          <w:szCs w:val="24"/>
        </w:rPr>
        <w:t xml:space="preserve"> allows delivery context-specifically.</w:t>
      </w:r>
    </w:p>
    <w:p w14:paraId="58058E14" w14:textId="7AFB268B" w:rsidR="00C042FC" w:rsidRDefault="00C042FC" w:rsidP="00481964">
      <w:pPr>
        <w:spacing w:line="360" w:lineRule="auto"/>
        <w:rPr>
          <w:rFonts w:asciiTheme="minorBidi" w:hAnsiTheme="minorBidi"/>
          <w:sz w:val="24"/>
          <w:szCs w:val="24"/>
        </w:rPr>
      </w:pPr>
      <w:r w:rsidRPr="00B02191">
        <w:rPr>
          <w:rFonts w:asciiTheme="minorBidi" w:hAnsiTheme="minorBidi"/>
          <w:sz w:val="24"/>
          <w:szCs w:val="24"/>
        </w:rPr>
        <w:t>Finally, systems thinking offers the analysis lens that is required in prevention. Through embracing the interdependency, feedback mechanisms and latent conditions, healthcare organisations can move towards a non-investigative reaction but instead a proactive design strategy. The resilience of the future will be based on the nature of the integrated leadership, supplemented by the improvement of governance and the developed safety procedures, all of which mitigate vulnerability into reliability.</w:t>
      </w:r>
    </w:p>
    <w:p w14:paraId="03FA3841" w14:textId="77777777" w:rsidR="005F72A9" w:rsidRDefault="005F72A9" w:rsidP="00481964">
      <w:pPr>
        <w:spacing w:line="360" w:lineRule="auto"/>
        <w:rPr>
          <w:rFonts w:asciiTheme="minorBidi" w:hAnsiTheme="minorBidi"/>
          <w:sz w:val="24"/>
          <w:szCs w:val="24"/>
        </w:rPr>
      </w:pPr>
    </w:p>
    <w:p w14:paraId="6A6961EA" w14:textId="77777777" w:rsidR="005F72A9" w:rsidRDefault="005F72A9" w:rsidP="00481964">
      <w:pPr>
        <w:spacing w:line="360" w:lineRule="auto"/>
        <w:rPr>
          <w:rFonts w:asciiTheme="minorBidi" w:hAnsiTheme="minorBidi"/>
          <w:sz w:val="24"/>
          <w:szCs w:val="24"/>
        </w:rPr>
      </w:pPr>
    </w:p>
    <w:p w14:paraId="20781B35" w14:textId="77777777" w:rsidR="005F72A9" w:rsidRDefault="005F72A9" w:rsidP="00481964">
      <w:pPr>
        <w:spacing w:line="360" w:lineRule="auto"/>
        <w:rPr>
          <w:rFonts w:asciiTheme="minorBidi" w:hAnsiTheme="minorBidi"/>
          <w:sz w:val="24"/>
          <w:szCs w:val="24"/>
        </w:rPr>
      </w:pPr>
    </w:p>
    <w:p w14:paraId="682C5A2E" w14:textId="77777777" w:rsidR="005F72A9" w:rsidRDefault="005F72A9" w:rsidP="00481964">
      <w:pPr>
        <w:spacing w:line="360" w:lineRule="auto"/>
        <w:rPr>
          <w:rFonts w:asciiTheme="minorBidi" w:hAnsiTheme="minorBidi"/>
          <w:sz w:val="24"/>
          <w:szCs w:val="24"/>
        </w:rPr>
      </w:pPr>
    </w:p>
    <w:p w14:paraId="37B150E7" w14:textId="77777777" w:rsidR="005F72A9" w:rsidRDefault="005F72A9" w:rsidP="00481964">
      <w:pPr>
        <w:spacing w:line="360" w:lineRule="auto"/>
        <w:rPr>
          <w:rFonts w:asciiTheme="minorBidi" w:hAnsiTheme="minorBidi"/>
          <w:sz w:val="24"/>
          <w:szCs w:val="24"/>
        </w:rPr>
      </w:pPr>
    </w:p>
    <w:p w14:paraId="0322C6FA" w14:textId="77777777" w:rsidR="005F72A9" w:rsidRDefault="005F72A9" w:rsidP="00481964">
      <w:pPr>
        <w:spacing w:line="360" w:lineRule="auto"/>
        <w:rPr>
          <w:rFonts w:asciiTheme="minorBidi" w:hAnsiTheme="minorBidi"/>
          <w:sz w:val="24"/>
          <w:szCs w:val="24"/>
        </w:rPr>
      </w:pPr>
    </w:p>
    <w:p w14:paraId="6165641D" w14:textId="77777777" w:rsidR="005F72A9" w:rsidRDefault="005F72A9" w:rsidP="00481964">
      <w:pPr>
        <w:spacing w:line="360" w:lineRule="auto"/>
        <w:rPr>
          <w:rFonts w:asciiTheme="minorBidi" w:hAnsiTheme="minorBidi"/>
          <w:sz w:val="24"/>
          <w:szCs w:val="24"/>
        </w:rPr>
      </w:pPr>
    </w:p>
    <w:p w14:paraId="1290E8D3" w14:textId="77777777" w:rsidR="005F72A9" w:rsidRDefault="005F72A9" w:rsidP="00481964">
      <w:pPr>
        <w:spacing w:line="360" w:lineRule="auto"/>
        <w:rPr>
          <w:rFonts w:asciiTheme="minorBidi" w:hAnsiTheme="minorBidi"/>
          <w:sz w:val="24"/>
          <w:szCs w:val="24"/>
        </w:rPr>
      </w:pPr>
    </w:p>
    <w:p w14:paraId="78B14BD4" w14:textId="77777777" w:rsidR="005F72A9" w:rsidRDefault="005F72A9" w:rsidP="00481964">
      <w:pPr>
        <w:spacing w:line="360" w:lineRule="auto"/>
        <w:rPr>
          <w:rFonts w:asciiTheme="minorBidi" w:hAnsiTheme="minorBidi"/>
          <w:sz w:val="24"/>
          <w:szCs w:val="24"/>
        </w:rPr>
      </w:pPr>
    </w:p>
    <w:p w14:paraId="240F0632" w14:textId="77777777" w:rsidR="005F72A9" w:rsidRDefault="005F72A9" w:rsidP="00481964">
      <w:pPr>
        <w:spacing w:line="360" w:lineRule="auto"/>
        <w:rPr>
          <w:rFonts w:asciiTheme="minorBidi" w:hAnsiTheme="minorBidi"/>
          <w:sz w:val="24"/>
          <w:szCs w:val="24"/>
        </w:rPr>
      </w:pPr>
    </w:p>
    <w:p w14:paraId="3FC5E319" w14:textId="77777777" w:rsidR="005F72A9" w:rsidRDefault="005F72A9" w:rsidP="00481964">
      <w:pPr>
        <w:spacing w:line="360" w:lineRule="auto"/>
        <w:rPr>
          <w:rFonts w:asciiTheme="minorBidi" w:hAnsiTheme="minorBidi"/>
          <w:sz w:val="24"/>
          <w:szCs w:val="24"/>
        </w:rPr>
      </w:pPr>
    </w:p>
    <w:p w14:paraId="1C96F721" w14:textId="77777777" w:rsidR="005F72A9" w:rsidRDefault="005F72A9" w:rsidP="00481964">
      <w:pPr>
        <w:spacing w:line="360" w:lineRule="auto"/>
        <w:rPr>
          <w:rFonts w:asciiTheme="minorBidi" w:hAnsiTheme="minorBidi"/>
          <w:sz w:val="24"/>
          <w:szCs w:val="24"/>
        </w:rPr>
      </w:pPr>
    </w:p>
    <w:p w14:paraId="13760AA3" w14:textId="77777777" w:rsidR="005F72A9" w:rsidRDefault="005F72A9" w:rsidP="00481964">
      <w:pPr>
        <w:spacing w:line="360" w:lineRule="auto"/>
        <w:rPr>
          <w:rFonts w:asciiTheme="minorBidi" w:hAnsiTheme="minorBidi"/>
          <w:sz w:val="24"/>
          <w:szCs w:val="24"/>
        </w:rPr>
      </w:pPr>
    </w:p>
    <w:p w14:paraId="4EDC0451" w14:textId="77777777" w:rsidR="005F72A9" w:rsidRPr="00B02191" w:rsidRDefault="005F72A9" w:rsidP="00481964">
      <w:pPr>
        <w:spacing w:line="360" w:lineRule="auto"/>
        <w:rPr>
          <w:rFonts w:asciiTheme="minorBidi" w:hAnsiTheme="minorBidi"/>
          <w:sz w:val="24"/>
          <w:szCs w:val="24"/>
        </w:rPr>
      </w:pPr>
    </w:p>
    <w:p w14:paraId="186BAFA7" w14:textId="77777777" w:rsidR="001D2685" w:rsidRPr="005F72A9" w:rsidRDefault="001D2685" w:rsidP="005F72A9">
      <w:pPr>
        <w:pStyle w:val="Heading1"/>
        <w:numPr>
          <w:ilvl w:val="0"/>
          <w:numId w:val="5"/>
        </w:numPr>
        <w:spacing w:line="360" w:lineRule="auto"/>
        <w:rPr>
          <w:rFonts w:asciiTheme="minorBidi" w:hAnsiTheme="minorBidi" w:cstheme="minorBidi"/>
          <w:b/>
          <w:bCs/>
          <w:color w:val="auto"/>
          <w:sz w:val="24"/>
          <w:szCs w:val="24"/>
        </w:rPr>
      </w:pPr>
      <w:bookmarkStart w:id="14" w:name="_Toc224467195"/>
      <w:r w:rsidRPr="005F72A9">
        <w:rPr>
          <w:rFonts w:asciiTheme="minorBidi" w:hAnsiTheme="minorBidi" w:cstheme="minorBidi"/>
          <w:b/>
          <w:bCs/>
          <w:color w:val="auto"/>
          <w:sz w:val="24"/>
          <w:szCs w:val="24"/>
        </w:rPr>
        <w:lastRenderedPageBreak/>
        <w:t>Reference list</w:t>
      </w:r>
      <w:bookmarkEnd w:id="14"/>
    </w:p>
    <w:p w14:paraId="763E5AC7"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Abbas, M. and Ali, R. (2023) ‘Transformational versus transactional leadership styles and project success: A meta-analytic review’, </w:t>
      </w:r>
      <w:r w:rsidRPr="00B02191">
        <w:rPr>
          <w:rFonts w:asciiTheme="minorBidi" w:hAnsiTheme="minorBidi" w:cstheme="minorBidi"/>
          <w:i/>
          <w:iCs/>
          <w:sz w:val="24"/>
        </w:rPr>
        <w:t>European Management Journal</w:t>
      </w:r>
      <w:r w:rsidRPr="00B02191">
        <w:rPr>
          <w:rFonts w:asciiTheme="minorBidi" w:hAnsiTheme="minorBidi" w:cstheme="minorBidi"/>
          <w:sz w:val="24"/>
        </w:rPr>
        <w:t>, 41(1), pp. 125–142. Available at: https://doi.org/10.1016/j.emj.2021.10.011.</w:t>
      </w:r>
    </w:p>
    <w:p w14:paraId="512D7E93"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Abyou</w:t>
      </w:r>
      <w:proofErr w:type="spellEnd"/>
      <w:r w:rsidRPr="00B02191">
        <w:rPr>
          <w:rFonts w:asciiTheme="minorBidi" w:hAnsiTheme="minorBidi" w:cstheme="minorBidi"/>
          <w:sz w:val="24"/>
        </w:rPr>
        <w:t xml:space="preserve"> Seyfu Ambaye </w:t>
      </w:r>
      <w:r w:rsidRPr="00B02191">
        <w:rPr>
          <w:rFonts w:asciiTheme="minorBidi" w:hAnsiTheme="minorBidi" w:cstheme="minorBidi"/>
          <w:i/>
          <w:iCs/>
          <w:sz w:val="24"/>
        </w:rPr>
        <w:t>et al.</w:t>
      </w:r>
      <w:r w:rsidRPr="00B02191">
        <w:rPr>
          <w:rFonts w:asciiTheme="minorBidi" w:hAnsiTheme="minorBidi" w:cstheme="minorBidi"/>
          <w:sz w:val="24"/>
        </w:rPr>
        <w:t xml:space="preserve"> (2025) ‘Assessment of dispensing practices and patient’s knowledge of dispensed medicines in a hospital pharmacy, Ethiopia’, </w:t>
      </w:r>
      <w:r w:rsidRPr="00B02191">
        <w:rPr>
          <w:rFonts w:asciiTheme="minorBidi" w:hAnsiTheme="minorBidi" w:cstheme="minorBidi"/>
          <w:i/>
          <w:iCs/>
          <w:sz w:val="24"/>
        </w:rPr>
        <w:t>Scientific Reports</w:t>
      </w:r>
      <w:r w:rsidRPr="00B02191">
        <w:rPr>
          <w:rFonts w:asciiTheme="minorBidi" w:hAnsiTheme="minorBidi" w:cstheme="minorBidi"/>
          <w:sz w:val="24"/>
        </w:rPr>
        <w:t>, 15(1). Available at: https://doi.org/10.1038/s41598-025-13826-2.</w:t>
      </w:r>
    </w:p>
    <w:p w14:paraId="595DB80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Al-</w:t>
      </w:r>
      <w:proofErr w:type="spellStart"/>
      <w:r w:rsidRPr="00B02191">
        <w:rPr>
          <w:rFonts w:asciiTheme="minorBidi" w:hAnsiTheme="minorBidi" w:cstheme="minorBidi"/>
          <w:sz w:val="24"/>
        </w:rPr>
        <w:t>Rjoub</w:t>
      </w:r>
      <w:proofErr w:type="spellEnd"/>
      <w:r w:rsidRPr="00B02191">
        <w:rPr>
          <w:rFonts w:asciiTheme="minorBidi" w:hAnsiTheme="minorBidi" w:cstheme="minorBidi"/>
          <w:sz w:val="24"/>
        </w:rPr>
        <w:t xml:space="preserve">, S. </w:t>
      </w:r>
      <w:r w:rsidRPr="00B02191">
        <w:rPr>
          <w:rFonts w:asciiTheme="minorBidi" w:hAnsiTheme="minorBidi" w:cstheme="minorBidi"/>
          <w:i/>
          <w:iCs/>
          <w:sz w:val="24"/>
        </w:rPr>
        <w:t>et al.</w:t>
      </w:r>
      <w:r w:rsidRPr="00B02191">
        <w:rPr>
          <w:rFonts w:asciiTheme="minorBidi" w:hAnsiTheme="minorBidi" w:cstheme="minorBidi"/>
          <w:sz w:val="24"/>
        </w:rPr>
        <w:t xml:space="preserve"> (2024) ‘Exploring the Impact of Transformational and Transactional Style of Leadership on Nursing Care Performance and Patient Outcomes’, </w:t>
      </w:r>
      <w:r w:rsidRPr="00B02191">
        <w:rPr>
          <w:rFonts w:asciiTheme="minorBidi" w:hAnsiTheme="minorBidi" w:cstheme="minorBidi"/>
          <w:i/>
          <w:iCs/>
          <w:sz w:val="24"/>
        </w:rPr>
        <w:t>Journal of Healthcare Leadership</w:t>
      </w:r>
      <w:r w:rsidRPr="00B02191">
        <w:rPr>
          <w:rFonts w:asciiTheme="minorBidi" w:hAnsiTheme="minorBidi" w:cstheme="minorBidi"/>
          <w:sz w:val="24"/>
        </w:rPr>
        <w:t>, 16(16), pp. 557–568. Available at: https://doi.org/10.2147/jhl.s496266.</w:t>
      </w:r>
    </w:p>
    <w:p w14:paraId="7B69AA39"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Althobaiti</w:t>
      </w:r>
      <w:proofErr w:type="spellEnd"/>
      <w:r w:rsidRPr="00B02191">
        <w:rPr>
          <w:rFonts w:asciiTheme="minorBidi" w:hAnsiTheme="minorBidi" w:cstheme="minorBidi"/>
          <w:sz w:val="24"/>
        </w:rPr>
        <w:t xml:space="preserve">, F.M. (2026) ‘The effects of leadership on patient safety culture in health care: a systematic review’, </w:t>
      </w:r>
      <w:r w:rsidRPr="00B02191">
        <w:rPr>
          <w:rFonts w:asciiTheme="minorBidi" w:hAnsiTheme="minorBidi" w:cstheme="minorBidi"/>
          <w:i/>
          <w:iCs/>
          <w:sz w:val="24"/>
        </w:rPr>
        <w:t>BMC nursing</w:t>
      </w:r>
      <w:r w:rsidRPr="00B02191">
        <w:rPr>
          <w:rFonts w:asciiTheme="minorBidi" w:hAnsiTheme="minorBidi" w:cstheme="minorBidi"/>
          <w:sz w:val="24"/>
        </w:rPr>
        <w:t>, pp. 10.1186/s12912-02504263-7. Available at: https://doi.org/10.1186/s12912-025-04263-7.</w:t>
      </w:r>
    </w:p>
    <w:p w14:paraId="1FB44A10"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Azpiroz, I. </w:t>
      </w:r>
      <w:r w:rsidRPr="00B02191">
        <w:rPr>
          <w:rFonts w:asciiTheme="minorBidi" w:hAnsiTheme="minorBidi" w:cstheme="minorBidi"/>
          <w:i/>
          <w:iCs/>
          <w:sz w:val="24"/>
        </w:rPr>
        <w:t>et al.</w:t>
      </w:r>
      <w:r w:rsidRPr="00B02191">
        <w:rPr>
          <w:rFonts w:asciiTheme="minorBidi" w:hAnsiTheme="minorBidi" w:cstheme="minorBidi"/>
          <w:sz w:val="24"/>
        </w:rPr>
        <w:t xml:space="preserve"> (2024) ‘White Paper on Adaptive Situational Awareness Enhancing Augmented Reality Interface Design on First Responders in Rescue Tasks’, </w:t>
      </w:r>
      <w:r w:rsidRPr="00B02191">
        <w:rPr>
          <w:rFonts w:asciiTheme="minorBidi" w:hAnsiTheme="minorBidi" w:cstheme="minorBidi"/>
          <w:i/>
          <w:iCs/>
          <w:sz w:val="24"/>
        </w:rPr>
        <w:t>Applied Sciences</w:t>
      </w:r>
      <w:r w:rsidRPr="00B02191">
        <w:rPr>
          <w:rFonts w:asciiTheme="minorBidi" w:hAnsiTheme="minorBidi" w:cstheme="minorBidi"/>
          <w:sz w:val="24"/>
        </w:rPr>
        <w:t>, 14(18), p. 8282. Available at: https://doi.org/10.3390/app14188282.</w:t>
      </w:r>
    </w:p>
    <w:p w14:paraId="628A1D4E"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BMJ (2020) </w:t>
      </w:r>
      <w:r w:rsidRPr="00B02191">
        <w:rPr>
          <w:rFonts w:asciiTheme="minorBidi" w:hAnsiTheme="minorBidi" w:cstheme="minorBidi"/>
          <w:i/>
          <w:iCs/>
          <w:sz w:val="24"/>
        </w:rPr>
        <w:t>237+ million medication errors made every year in England - BMJ Group</w:t>
      </w:r>
      <w:r w:rsidRPr="00B02191">
        <w:rPr>
          <w:rFonts w:asciiTheme="minorBidi" w:hAnsiTheme="minorBidi" w:cstheme="minorBidi"/>
          <w:sz w:val="24"/>
        </w:rPr>
        <w:t xml:space="preserve">, </w:t>
      </w:r>
      <w:r w:rsidRPr="00B02191">
        <w:rPr>
          <w:rFonts w:asciiTheme="minorBidi" w:hAnsiTheme="minorBidi" w:cstheme="minorBidi"/>
          <w:i/>
          <w:iCs/>
          <w:sz w:val="24"/>
        </w:rPr>
        <w:t>BMJ</w:t>
      </w:r>
      <w:r w:rsidRPr="00B02191">
        <w:rPr>
          <w:rFonts w:asciiTheme="minorBidi" w:hAnsiTheme="minorBidi" w:cstheme="minorBidi"/>
          <w:sz w:val="24"/>
        </w:rPr>
        <w:t>. Available at: https://www.bmj.com/company/%20newsroom/237-million-medication-errors-made-every-year-in-england/ (Accessed: 21 February 2026).</w:t>
      </w:r>
    </w:p>
    <w:p w14:paraId="67931CD7"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Camacho, E.M. </w:t>
      </w:r>
      <w:r w:rsidRPr="00B02191">
        <w:rPr>
          <w:rFonts w:asciiTheme="minorBidi" w:hAnsiTheme="minorBidi" w:cstheme="minorBidi"/>
          <w:i/>
          <w:iCs/>
          <w:sz w:val="24"/>
        </w:rPr>
        <w:t>et al.</w:t>
      </w:r>
      <w:r w:rsidRPr="00B02191">
        <w:rPr>
          <w:rFonts w:asciiTheme="minorBidi" w:hAnsiTheme="minorBidi" w:cstheme="minorBidi"/>
          <w:sz w:val="24"/>
        </w:rPr>
        <w:t xml:space="preserve"> (2024) ‘Estimating the impact on patient safety of enabling the digital transfer of patients’ prescription information in the English NHS’, </w:t>
      </w:r>
      <w:r w:rsidRPr="00B02191">
        <w:rPr>
          <w:rFonts w:asciiTheme="minorBidi" w:hAnsiTheme="minorBidi" w:cstheme="minorBidi"/>
          <w:i/>
          <w:iCs/>
          <w:sz w:val="24"/>
        </w:rPr>
        <w:t>BMJ Quality &amp; Safety</w:t>
      </w:r>
      <w:r w:rsidRPr="00B02191">
        <w:rPr>
          <w:rFonts w:asciiTheme="minorBidi" w:hAnsiTheme="minorBidi" w:cstheme="minorBidi"/>
          <w:sz w:val="24"/>
        </w:rPr>
        <w:t>, 33(11). Available at: https://doi.org/10.1136/bmjqs-2023-016675.</w:t>
      </w:r>
    </w:p>
    <w:p w14:paraId="11C64657"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Cheung, K.-C., Bouvy, M.L. and De Smet, P.A.G.M. (2009) ‘Medication errors: the importance of safe dispensing’, </w:t>
      </w:r>
      <w:r w:rsidRPr="00B02191">
        <w:rPr>
          <w:rFonts w:asciiTheme="minorBidi" w:hAnsiTheme="minorBidi" w:cstheme="minorBidi"/>
          <w:i/>
          <w:iCs/>
          <w:sz w:val="24"/>
        </w:rPr>
        <w:t>British Journal of Clinical Pharmacology</w:t>
      </w:r>
      <w:r w:rsidRPr="00B02191">
        <w:rPr>
          <w:rFonts w:asciiTheme="minorBidi" w:hAnsiTheme="minorBidi" w:cstheme="minorBidi"/>
          <w:sz w:val="24"/>
        </w:rPr>
        <w:t>, 67(6), pp. 676–680. Available at: https://doi.org/10.1111/j.1365-2125.2009.03428.x.</w:t>
      </w:r>
    </w:p>
    <w:p w14:paraId="7E853019"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Clark, B. and Preto, N. (2018) ‘Exploring the concept of vulnerability in health care’, </w:t>
      </w:r>
      <w:r w:rsidRPr="00B02191">
        <w:rPr>
          <w:rFonts w:asciiTheme="minorBidi" w:hAnsiTheme="minorBidi" w:cstheme="minorBidi"/>
          <w:i/>
          <w:iCs/>
          <w:sz w:val="24"/>
        </w:rPr>
        <w:t>Canadian Medical Association Journal</w:t>
      </w:r>
      <w:r w:rsidRPr="00B02191">
        <w:rPr>
          <w:rFonts w:asciiTheme="minorBidi" w:hAnsiTheme="minorBidi" w:cstheme="minorBidi"/>
          <w:sz w:val="24"/>
        </w:rPr>
        <w:t>, 190(11), pp. 308–309. Available at: https://doi.org/10.1503/cmaj.180242.</w:t>
      </w:r>
    </w:p>
    <w:p w14:paraId="56932DA3"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lastRenderedPageBreak/>
        <w:t>Gadgeesh</w:t>
      </w:r>
      <w:proofErr w:type="spellEnd"/>
      <w:r w:rsidRPr="00B02191">
        <w:rPr>
          <w:rFonts w:asciiTheme="minorBidi" w:hAnsiTheme="minorBidi" w:cstheme="minorBidi"/>
          <w:sz w:val="24"/>
        </w:rPr>
        <w:t xml:space="preserve">, P.B. </w:t>
      </w:r>
      <w:r w:rsidRPr="00B02191">
        <w:rPr>
          <w:rFonts w:asciiTheme="minorBidi" w:hAnsiTheme="minorBidi" w:cstheme="minorBidi"/>
          <w:i/>
          <w:iCs/>
          <w:sz w:val="24"/>
        </w:rPr>
        <w:t>et al.</w:t>
      </w:r>
      <w:r w:rsidRPr="00B02191">
        <w:rPr>
          <w:rFonts w:asciiTheme="minorBidi" w:hAnsiTheme="minorBidi" w:cstheme="minorBidi"/>
          <w:sz w:val="24"/>
        </w:rPr>
        <w:t xml:space="preserve"> (2025) ‘Prescription Audit as a Quality Improvement Tool: Impact of Repeated Interventions in Paediatric Outpatient Department (OPD) and Inpatient Department (IPD) Settings’, </w:t>
      </w:r>
      <w:proofErr w:type="spellStart"/>
      <w:r w:rsidRPr="00B02191">
        <w:rPr>
          <w:rFonts w:asciiTheme="minorBidi" w:hAnsiTheme="minorBidi" w:cstheme="minorBidi"/>
          <w:i/>
          <w:iCs/>
          <w:sz w:val="24"/>
        </w:rPr>
        <w:t>Cureus</w:t>
      </w:r>
      <w:proofErr w:type="spellEnd"/>
      <w:r w:rsidRPr="00B02191">
        <w:rPr>
          <w:rFonts w:asciiTheme="minorBidi" w:hAnsiTheme="minorBidi" w:cstheme="minorBidi"/>
          <w:sz w:val="24"/>
        </w:rPr>
        <w:t xml:space="preserve"> [Preprint]. Available at: https://doi.org/10.7759/cureus.98960.</w:t>
      </w:r>
    </w:p>
    <w:p w14:paraId="674A981C"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Guilcher</w:t>
      </w:r>
      <w:proofErr w:type="spellEnd"/>
      <w:r w:rsidRPr="00B02191">
        <w:rPr>
          <w:rFonts w:asciiTheme="minorBidi" w:hAnsiTheme="minorBidi" w:cstheme="minorBidi"/>
          <w:sz w:val="24"/>
        </w:rPr>
        <w:t xml:space="preserve">, S.J.T. </w:t>
      </w:r>
      <w:r w:rsidRPr="00B02191">
        <w:rPr>
          <w:rFonts w:asciiTheme="minorBidi" w:hAnsiTheme="minorBidi" w:cstheme="minorBidi"/>
          <w:i/>
          <w:iCs/>
          <w:sz w:val="24"/>
        </w:rPr>
        <w:t>et al.</w:t>
      </w:r>
      <w:r w:rsidRPr="00B02191">
        <w:rPr>
          <w:rFonts w:asciiTheme="minorBidi" w:hAnsiTheme="minorBidi" w:cstheme="minorBidi"/>
          <w:sz w:val="24"/>
        </w:rPr>
        <w:t xml:space="preserve"> (2023) ‘Experiences and Outcomes of Using e-Prescribing for Opioids: Rapid Scoping Review’, </w:t>
      </w:r>
      <w:r w:rsidRPr="00B02191">
        <w:rPr>
          <w:rFonts w:asciiTheme="minorBidi" w:hAnsiTheme="minorBidi" w:cstheme="minorBidi"/>
          <w:i/>
          <w:iCs/>
          <w:sz w:val="24"/>
        </w:rPr>
        <w:t>Journal of Medical Internet Research</w:t>
      </w:r>
      <w:r w:rsidRPr="00B02191">
        <w:rPr>
          <w:rFonts w:asciiTheme="minorBidi" w:hAnsiTheme="minorBidi" w:cstheme="minorBidi"/>
          <w:sz w:val="24"/>
        </w:rPr>
        <w:t>, 25(1), p. e49173. Available at: https://doi.org/10.2196/49173.</w:t>
      </w:r>
    </w:p>
    <w:p w14:paraId="33BA5878"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Hamdan, M. </w:t>
      </w:r>
      <w:r w:rsidRPr="00B02191">
        <w:rPr>
          <w:rFonts w:asciiTheme="minorBidi" w:hAnsiTheme="minorBidi" w:cstheme="minorBidi"/>
          <w:i/>
          <w:iCs/>
          <w:sz w:val="24"/>
        </w:rPr>
        <w:t>et al.</w:t>
      </w:r>
      <w:r w:rsidRPr="00B02191">
        <w:rPr>
          <w:rFonts w:asciiTheme="minorBidi" w:hAnsiTheme="minorBidi" w:cstheme="minorBidi"/>
          <w:sz w:val="24"/>
        </w:rPr>
        <w:t xml:space="preserve"> (2024) ‘The Association of Transformational Leadership on Safety Practices Among Nurses: The Mediating Role of Patient Safety Culture’, </w:t>
      </w:r>
      <w:r w:rsidRPr="00B02191">
        <w:rPr>
          <w:rFonts w:asciiTheme="minorBidi" w:hAnsiTheme="minorBidi" w:cstheme="minorBidi"/>
          <w:i/>
          <w:iCs/>
          <w:sz w:val="24"/>
        </w:rPr>
        <w:t>Risk management and healthcare policy</w:t>
      </w:r>
      <w:r w:rsidRPr="00B02191">
        <w:rPr>
          <w:rFonts w:asciiTheme="minorBidi" w:hAnsiTheme="minorBidi" w:cstheme="minorBidi"/>
          <w:sz w:val="24"/>
        </w:rPr>
        <w:t>, Volume 17(1), pp. 1687–1700. Available at: https://doi.org/10.2147/rmhp.s458505.</w:t>
      </w:r>
    </w:p>
    <w:p w14:paraId="0EE0B57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Hamed, N. </w:t>
      </w:r>
      <w:r w:rsidRPr="00B02191">
        <w:rPr>
          <w:rFonts w:asciiTheme="minorBidi" w:hAnsiTheme="minorBidi" w:cstheme="minorBidi"/>
          <w:i/>
          <w:iCs/>
          <w:sz w:val="24"/>
        </w:rPr>
        <w:t>et al.</w:t>
      </w:r>
      <w:r w:rsidRPr="00B02191">
        <w:rPr>
          <w:rFonts w:asciiTheme="minorBidi" w:hAnsiTheme="minorBidi" w:cstheme="minorBidi"/>
          <w:sz w:val="24"/>
        </w:rPr>
        <w:t xml:space="preserve"> (2025) ‘Understanding the challenges of medicine optimisation among older people (aged 60 years and above) from ethnic minority communities with polypharmacy in primary care: a realist review protocol’, </w:t>
      </w:r>
      <w:r w:rsidRPr="00B02191">
        <w:rPr>
          <w:rFonts w:asciiTheme="minorBidi" w:hAnsiTheme="minorBidi" w:cstheme="minorBidi"/>
          <w:i/>
          <w:iCs/>
          <w:sz w:val="24"/>
        </w:rPr>
        <w:t>Systematic Reviews</w:t>
      </w:r>
      <w:r w:rsidRPr="00B02191">
        <w:rPr>
          <w:rFonts w:asciiTheme="minorBidi" w:hAnsiTheme="minorBidi" w:cstheme="minorBidi"/>
          <w:sz w:val="24"/>
        </w:rPr>
        <w:t>, 14(1). Available at: https://doi.org/10.1186/s13643-025-02920-1.</w:t>
      </w:r>
    </w:p>
    <w:p w14:paraId="5D9E1661"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Hibbert, P.D. </w:t>
      </w:r>
      <w:r w:rsidRPr="00B02191">
        <w:rPr>
          <w:rFonts w:asciiTheme="minorBidi" w:hAnsiTheme="minorBidi" w:cstheme="minorBidi"/>
          <w:i/>
          <w:iCs/>
          <w:sz w:val="24"/>
        </w:rPr>
        <w:t>et al.</w:t>
      </w:r>
      <w:r w:rsidRPr="00B02191">
        <w:rPr>
          <w:rFonts w:asciiTheme="minorBidi" w:hAnsiTheme="minorBidi" w:cstheme="minorBidi"/>
          <w:sz w:val="24"/>
        </w:rPr>
        <w:t xml:space="preserve"> (2023) ‘Improving Patient Safety Governance And systems through Learning from Successes and failures: Qualitative Surveys And interviews with International Experts’, </w:t>
      </w:r>
      <w:r w:rsidRPr="00B02191">
        <w:rPr>
          <w:rFonts w:asciiTheme="minorBidi" w:hAnsiTheme="minorBidi" w:cstheme="minorBidi"/>
          <w:i/>
          <w:iCs/>
          <w:sz w:val="24"/>
        </w:rPr>
        <w:t>International Journal for Quality in Health Care</w:t>
      </w:r>
      <w:r w:rsidRPr="00B02191">
        <w:rPr>
          <w:rFonts w:asciiTheme="minorBidi" w:hAnsiTheme="minorBidi" w:cstheme="minorBidi"/>
          <w:sz w:val="24"/>
        </w:rPr>
        <w:t>, 35(4). Available at: https://doi.org/10.1093/intqhc/mzad088.</w:t>
      </w:r>
    </w:p>
    <w:p w14:paraId="14CD6F04"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Hughes, R.G. and Blegen, M.A. (2020) </w:t>
      </w:r>
      <w:r w:rsidRPr="00B02191">
        <w:rPr>
          <w:rFonts w:asciiTheme="minorBidi" w:hAnsiTheme="minorBidi" w:cstheme="minorBidi"/>
          <w:i/>
          <w:iCs/>
          <w:sz w:val="24"/>
        </w:rPr>
        <w:t>Medication administration safety</w:t>
      </w:r>
      <w:r w:rsidRPr="00B02191">
        <w:rPr>
          <w:rFonts w:asciiTheme="minorBidi" w:hAnsiTheme="minorBidi" w:cstheme="minorBidi"/>
          <w:sz w:val="24"/>
        </w:rPr>
        <w:t xml:space="preserve">, </w:t>
      </w:r>
      <w:r w:rsidRPr="00B02191">
        <w:rPr>
          <w:rFonts w:asciiTheme="minorBidi" w:hAnsiTheme="minorBidi" w:cstheme="minorBidi"/>
          <w:i/>
          <w:iCs/>
          <w:sz w:val="24"/>
        </w:rPr>
        <w:t>Nih.gov</w:t>
      </w:r>
      <w:r w:rsidRPr="00B02191">
        <w:rPr>
          <w:rFonts w:asciiTheme="minorBidi" w:hAnsiTheme="minorBidi" w:cstheme="minorBidi"/>
          <w:sz w:val="24"/>
        </w:rPr>
        <w:t>. Agency for Healthcare Research and Quality (US). Available at: https://www.ncbi.nlm.nih.gov/books/NBK2656/ (Accessed: 21 February 2026).</w:t>
      </w:r>
    </w:p>
    <w:p w14:paraId="2828B5E2"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Kähkönen, A. </w:t>
      </w:r>
      <w:r w:rsidRPr="00B02191">
        <w:rPr>
          <w:rFonts w:asciiTheme="minorBidi" w:hAnsiTheme="minorBidi" w:cstheme="minorBidi"/>
          <w:i/>
          <w:iCs/>
          <w:sz w:val="24"/>
        </w:rPr>
        <w:t>et al.</w:t>
      </w:r>
      <w:r w:rsidRPr="00B02191">
        <w:rPr>
          <w:rFonts w:asciiTheme="minorBidi" w:hAnsiTheme="minorBidi" w:cstheme="minorBidi"/>
          <w:sz w:val="24"/>
        </w:rPr>
        <w:t xml:space="preserve"> (2021) ‘A pilot study about methods to reduce prescription errors in a chemotherapy day unit – Aspects to consider in pharmacist verification process’, </w:t>
      </w:r>
      <w:r w:rsidRPr="00B02191">
        <w:rPr>
          <w:rFonts w:asciiTheme="minorBidi" w:hAnsiTheme="minorBidi" w:cstheme="minorBidi"/>
          <w:i/>
          <w:iCs/>
          <w:sz w:val="24"/>
        </w:rPr>
        <w:t>Journal of Oncology Pharmacy Practice</w:t>
      </w:r>
      <w:r w:rsidRPr="00B02191">
        <w:rPr>
          <w:rFonts w:asciiTheme="minorBidi" w:hAnsiTheme="minorBidi" w:cstheme="minorBidi"/>
          <w:sz w:val="24"/>
        </w:rPr>
        <w:t>, p. 107815522110665. Available at: https://doi.org/10.1177/10781552211066500.</w:t>
      </w:r>
    </w:p>
    <w:p w14:paraId="3CD6793E"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Kakemam</w:t>
      </w:r>
      <w:proofErr w:type="spellEnd"/>
      <w:r w:rsidRPr="00B02191">
        <w:rPr>
          <w:rFonts w:asciiTheme="minorBidi" w:hAnsiTheme="minorBidi" w:cstheme="minorBidi"/>
          <w:sz w:val="24"/>
        </w:rPr>
        <w:t xml:space="preserve">, E. </w:t>
      </w:r>
      <w:r w:rsidRPr="00B02191">
        <w:rPr>
          <w:rFonts w:asciiTheme="minorBidi" w:hAnsiTheme="minorBidi" w:cstheme="minorBidi"/>
          <w:i/>
          <w:iCs/>
          <w:sz w:val="24"/>
        </w:rPr>
        <w:t>et al.</w:t>
      </w:r>
      <w:r w:rsidRPr="00B02191">
        <w:rPr>
          <w:rFonts w:asciiTheme="minorBidi" w:hAnsiTheme="minorBidi" w:cstheme="minorBidi"/>
          <w:sz w:val="24"/>
        </w:rPr>
        <w:t xml:space="preserve"> (2025) ‘The impact of nurses’ perceptions of systems thinking on patient safety competencies: a cross-sectional study’, </w:t>
      </w:r>
      <w:r w:rsidRPr="00B02191">
        <w:rPr>
          <w:rFonts w:asciiTheme="minorBidi" w:hAnsiTheme="minorBidi" w:cstheme="minorBidi"/>
          <w:i/>
          <w:iCs/>
          <w:sz w:val="24"/>
        </w:rPr>
        <w:t>BMC Health Services Research</w:t>
      </w:r>
      <w:r w:rsidRPr="00B02191">
        <w:rPr>
          <w:rFonts w:asciiTheme="minorBidi" w:hAnsiTheme="minorBidi" w:cstheme="minorBidi"/>
          <w:sz w:val="24"/>
        </w:rPr>
        <w:t>, 25(1). Available at: https://doi.org/10.1186/s12913-025-13456-4.</w:t>
      </w:r>
    </w:p>
    <w:p w14:paraId="0AF606B5"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lastRenderedPageBreak/>
        <w:t>Kerrissey</w:t>
      </w:r>
      <w:proofErr w:type="spellEnd"/>
      <w:r w:rsidRPr="00B02191">
        <w:rPr>
          <w:rFonts w:asciiTheme="minorBidi" w:hAnsiTheme="minorBidi" w:cstheme="minorBidi"/>
          <w:sz w:val="24"/>
        </w:rPr>
        <w:t xml:space="preserve">, M.J. </w:t>
      </w:r>
      <w:r w:rsidRPr="00B02191">
        <w:rPr>
          <w:rFonts w:asciiTheme="minorBidi" w:hAnsiTheme="minorBidi" w:cstheme="minorBidi"/>
          <w:i/>
          <w:iCs/>
          <w:sz w:val="24"/>
        </w:rPr>
        <w:t>et al.</w:t>
      </w:r>
      <w:r w:rsidRPr="00B02191">
        <w:rPr>
          <w:rFonts w:asciiTheme="minorBidi" w:hAnsiTheme="minorBidi" w:cstheme="minorBidi"/>
          <w:sz w:val="24"/>
        </w:rPr>
        <w:t xml:space="preserve"> (2017) ‘Medical Group Structural Integration May Not Ensure That Care Is Integrated, From The Patient’s Perspective’, </w:t>
      </w:r>
      <w:r w:rsidRPr="00B02191">
        <w:rPr>
          <w:rFonts w:asciiTheme="minorBidi" w:hAnsiTheme="minorBidi" w:cstheme="minorBidi"/>
          <w:i/>
          <w:iCs/>
          <w:sz w:val="24"/>
        </w:rPr>
        <w:t>Health Affairs</w:t>
      </w:r>
      <w:r w:rsidRPr="00B02191">
        <w:rPr>
          <w:rFonts w:asciiTheme="minorBidi" w:hAnsiTheme="minorBidi" w:cstheme="minorBidi"/>
          <w:sz w:val="24"/>
        </w:rPr>
        <w:t>, 36(5), pp. 885–892. Available at: https://doi.org/10.1377/hlthaff.2016.0909.</w:t>
      </w:r>
    </w:p>
    <w:p w14:paraId="1B6C16A9"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Khan, S. </w:t>
      </w:r>
      <w:r w:rsidRPr="00B02191">
        <w:rPr>
          <w:rFonts w:asciiTheme="minorBidi" w:hAnsiTheme="minorBidi" w:cstheme="minorBidi"/>
          <w:i/>
          <w:iCs/>
          <w:sz w:val="24"/>
        </w:rPr>
        <w:t>et al.</w:t>
      </w:r>
      <w:r w:rsidRPr="00B02191">
        <w:rPr>
          <w:rFonts w:asciiTheme="minorBidi" w:hAnsiTheme="minorBidi" w:cstheme="minorBidi"/>
          <w:sz w:val="24"/>
        </w:rPr>
        <w:t xml:space="preserve"> (2025) ‘Understanding the regulatory landscape to prevent opioid-related harm in the United States’. Available at: https://doi.org/10.3768/rtipress.2025.op.0097.2504.</w:t>
      </w:r>
    </w:p>
    <w:p w14:paraId="1CAE211F"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Khilji, S.E. (2003) ‘`To Adapt or Not to Adapt’’, </w:t>
      </w:r>
      <w:r w:rsidRPr="00B02191">
        <w:rPr>
          <w:rFonts w:asciiTheme="minorBidi" w:hAnsiTheme="minorBidi" w:cstheme="minorBidi"/>
          <w:i/>
          <w:iCs/>
          <w:sz w:val="24"/>
        </w:rPr>
        <w:t xml:space="preserve">International Journal of </w:t>
      </w:r>
      <w:proofErr w:type="gramStart"/>
      <w:r w:rsidRPr="00B02191">
        <w:rPr>
          <w:rFonts w:asciiTheme="minorBidi" w:hAnsiTheme="minorBidi" w:cstheme="minorBidi"/>
          <w:i/>
          <w:iCs/>
          <w:sz w:val="24"/>
        </w:rPr>
        <w:t>Cross Cultural</w:t>
      </w:r>
      <w:proofErr w:type="gramEnd"/>
      <w:r w:rsidRPr="00B02191">
        <w:rPr>
          <w:rFonts w:asciiTheme="minorBidi" w:hAnsiTheme="minorBidi" w:cstheme="minorBidi"/>
          <w:i/>
          <w:iCs/>
          <w:sz w:val="24"/>
        </w:rPr>
        <w:t xml:space="preserve"> Management</w:t>
      </w:r>
      <w:r w:rsidRPr="00B02191">
        <w:rPr>
          <w:rFonts w:asciiTheme="minorBidi" w:hAnsiTheme="minorBidi" w:cstheme="minorBidi"/>
          <w:sz w:val="24"/>
        </w:rPr>
        <w:t>, 3(1), pp. 109–132. Available at: https://doi.org/10.1177/147059580331006.</w:t>
      </w:r>
    </w:p>
    <w:p w14:paraId="5F395FED"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Kumah, A. </w:t>
      </w:r>
      <w:r w:rsidRPr="00B02191">
        <w:rPr>
          <w:rFonts w:asciiTheme="minorBidi" w:hAnsiTheme="minorBidi" w:cstheme="minorBidi"/>
          <w:i/>
          <w:iCs/>
          <w:sz w:val="24"/>
        </w:rPr>
        <w:t>et al.</w:t>
      </w:r>
      <w:r w:rsidRPr="00B02191">
        <w:rPr>
          <w:rFonts w:asciiTheme="minorBidi" w:hAnsiTheme="minorBidi" w:cstheme="minorBidi"/>
          <w:sz w:val="24"/>
        </w:rPr>
        <w:t xml:space="preserve"> (2024) ‘Using Incident Reporting Systems to Improve Patient Safety and Quality of Care’, </w:t>
      </w:r>
      <w:r w:rsidRPr="00B02191">
        <w:rPr>
          <w:rFonts w:asciiTheme="minorBidi" w:hAnsiTheme="minorBidi" w:cstheme="minorBidi"/>
          <w:i/>
          <w:iCs/>
          <w:sz w:val="24"/>
        </w:rPr>
        <w:t>Global Journal on Quality and Safety in Healthcare</w:t>
      </w:r>
      <w:r w:rsidRPr="00B02191">
        <w:rPr>
          <w:rFonts w:asciiTheme="minorBidi" w:hAnsiTheme="minorBidi" w:cstheme="minorBidi"/>
          <w:sz w:val="24"/>
        </w:rPr>
        <w:t>, 7(4). Available at: https://doi.org/10.36401/jqsh-23-39.</w:t>
      </w:r>
    </w:p>
    <w:p w14:paraId="3721F3BF"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Langaufova</w:t>
      </w:r>
      <w:proofErr w:type="spellEnd"/>
      <w:r w:rsidRPr="00B02191">
        <w:rPr>
          <w:rFonts w:asciiTheme="minorBidi" w:hAnsiTheme="minorBidi" w:cstheme="minorBidi"/>
          <w:sz w:val="24"/>
        </w:rPr>
        <w:t xml:space="preserve">, A. </w:t>
      </w:r>
      <w:r w:rsidRPr="00B02191">
        <w:rPr>
          <w:rFonts w:asciiTheme="minorBidi" w:hAnsiTheme="minorBidi" w:cstheme="minorBidi"/>
          <w:i/>
          <w:iCs/>
          <w:sz w:val="24"/>
        </w:rPr>
        <w:t>et al.</w:t>
      </w:r>
      <w:r w:rsidRPr="00B02191">
        <w:rPr>
          <w:rFonts w:asciiTheme="minorBidi" w:hAnsiTheme="minorBidi" w:cstheme="minorBidi"/>
          <w:sz w:val="24"/>
        </w:rPr>
        <w:t xml:space="preserve"> (2025) ‘Processes for Developing Plain Language Versions of Guidelines Recommendations: A Scoping Review’, </w:t>
      </w:r>
      <w:r w:rsidRPr="00B02191">
        <w:rPr>
          <w:rFonts w:asciiTheme="minorBidi" w:hAnsiTheme="minorBidi" w:cstheme="minorBidi"/>
          <w:i/>
          <w:iCs/>
          <w:sz w:val="24"/>
        </w:rPr>
        <w:t>Journal of Evaluation in Clinical Practice</w:t>
      </w:r>
      <w:r w:rsidRPr="00B02191">
        <w:rPr>
          <w:rFonts w:asciiTheme="minorBidi" w:hAnsiTheme="minorBidi" w:cstheme="minorBidi"/>
          <w:sz w:val="24"/>
        </w:rPr>
        <w:t>, 31(6). Available at: https://doi.org/10.1111/jep.70256.</w:t>
      </w:r>
    </w:p>
    <w:p w14:paraId="2C90A86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LeBras</w:t>
      </w:r>
      <w:proofErr w:type="spellEnd"/>
      <w:r w:rsidRPr="00B02191">
        <w:rPr>
          <w:rFonts w:asciiTheme="minorBidi" w:hAnsiTheme="minorBidi" w:cstheme="minorBidi"/>
          <w:sz w:val="24"/>
        </w:rPr>
        <w:t xml:space="preserve">, M. </w:t>
      </w:r>
      <w:r w:rsidRPr="00B02191">
        <w:rPr>
          <w:rFonts w:asciiTheme="minorBidi" w:hAnsiTheme="minorBidi" w:cstheme="minorBidi"/>
          <w:i/>
          <w:iCs/>
          <w:sz w:val="24"/>
        </w:rPr>
        <w:t>et al.</w:t>
      </w:r>
      <w:r w:rsidRPr="00B02191">
        <w:rPr>
          <w:rFonts w:asciiTheme="minorBidi" w:hAnsiTheme="minorBidi" w:cstheme="minorBidi"/>
          <w:sz w:val="24"/>
        </w:rPr>
        <w:t xml:space="preserve"> (2015) ‘Are Decentralized Pharmacy Services the Preferred Model of Pharmacy Service Delivery within a Hospital?’, </w:t>
      </w:r>
      <w:r w:rsidRPr="00B02191">
        <w:rPr>
          <w:rFonts w:asciiTheme="minorBidi" w:hAnsiTheme="minorBidi" w:cstheme="minorBidi"/>
          <w:i/>
          <w:iCs/>
          <w:sz w:val="24"/>
        </w:rPr>
        <w:t>The Canadian Journal of Hospital Pharmacy</w:t>
      </w:r>
      <w:r w:rsidRPr="00B02191">
        <w:rPr>
          <w:rFonts w:asciiTheme="minorBidi" w:hAnsiTheme="minorBidi" w:cstheme="minorBidi"/>
          <w:sz w:val="24"/>
        </w:rPr>
        <w:t>, 68(2). Available at: https://doi.org/10.4212/cjhp.v68i2.1444.</w:t>
      </w:r>
    </w:p>
    <w:p w14:paraId="44992BDE"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Lim, G. (2026) </w:t>
      </w:r>
      <w:r w:rsidRPr="00B02191">
        <w:rPr>
          <w:rFonts w:asciiTheme="minorBidi" w:hAnsiTheme="minorBidi" w:cstheme="minorBidi"/>
          <w:i/>
          <w:iCs/>
          <w:sz w:val="24"/>
        </w:rPr>
        <w:t>A Generative AI-Driven Reliability Layer for Action-Oriented Disaster Resilience</w:t>
      </w:r>
      <w:r w:rsidRPr="00B02191">
        <w:rPr>
          <w:rFonts w:asciiTheme="minorBidi" w:hAnsiTheme="minorBidi" w:cstheme="minorBidi"/>
          <w:sz w:val="24"/>
        </w:rPr>
        <w:t>. Available at: https://doi.org/10.48550/arXiv.2601.18308.</w:t>
      </w:r>
    </w:p>
    <w:p w14:paraId="4334C32F"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Lindhout, P. and Reniers, G. (2021) ‘Involving Moral and Ethical Principles in Safety Management Systems’, </w:t>
      </w:r>
      <w:r w:rsidRPr="00B02191">
        <w:rPr>
          <w:rFonts w:asciiTheme="minorBidi" w:hAnsiTheme="minorBidi" w:cstheme="minorBidi"/>
          <w:i/>
          <w:iCs/>
          <w:sz w:val="24"/>
        </w:rPr>
        <w:t>International Journal of Environmental Research and Public Health</w:t>
      </w:r>
      <w:r w:rsidRPr="00B02191">
        <w:rPr>
          <w:rFonts w:asciiTheme="minorBidi" w:hAnsiTheme="minorBidi" w:cstheme="minorBidi"/>
          <w:sz w:val="24"/>
        </w:rPr>
        <w:t>, 18(16), p. 8511. Available at: https://www.ncbi.nlm.nih.gov/pmc/articles/PMC8394682/ (Accessed: 21 February 2026).</w:t>
      </w:r>
    </w:p>
    <w:p w14:paraId="5A30AC41"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Murphy, P.B., Patel, P. and Barrett, M.J. (2025) </w:t>
      </w:r>
      <w:r w:rsidRPr="00B02191">
        <w:rPr>
          <w:rFonts w:asciiTheme="minorBidi" w:hAnsiTheme="minorBidi" w:cstheme="minorBidi"/>
          <w:i/>
          <w:iCs/>
          <w:sz w:val="24"/>
        </w:rPr>
        <w:t>Morphine</w:t>
      </w:r>
      <w:r w:rsidRPr="00B02191">
        <w:rPr>
          <w:rFonts w:asciiTheme="minorBidi" w:hAnsiTheme="minorBidi" w:cstheme="minorBidi"/>
          <w:sz w:val="24"/>
        </w:rPr>
        <w:t xml:space="preserve">, </w:t>
      </w:r>
      <w:r w:rsidRPr="00B02191">
        <w:rPr>
          <w:rFonts w:asciiTheme="minorBidi" w:hAnsiTheme="minorBidi" w:cstheme="minorBidi"/>
          <w:i/>
          <w:iCs/>
          <w:sz w:val="24"/>
        </w:rPr>
        <w:t>National Library of Medicine</w:t>
      </w:r>
      <w:r w:rsidRPr="00B02191">
        <w:rPr>
          <w:rFonts w:asciiTheme="minorBidi" w:hAnsiTheme="minorBidi" w:cstheme="minorBidi"/>
          <w:sz w:val="24"/>
        </w:rPr>
        <w:t xml:space="preserve">. </w:t>
      </w:r>
      <w:proofErr w:type="spellStart"/>
      <w:r w:rsidRPr="00B02191">
        <w:rPr>
          <w:rFonts w:asciiTheme="minorBidi" w:hAnsiTheme="minorBidi" w:cstheme="minorBidi"/>
          <w:sz w:val="24"/>
        </w:rPr>
        <w:t>StatPearls</w:t>
      </w:r>
      <w:proofErr w:type="spellEnd"/>
      <w:r w:rsidRPr="00B02191">
        <w:rPr>
          <w:rFonts w:asciiTheme="minorBidi" w:hAnsiTheme="minorBidi" w:cstheme="minorBidi"/>
          <w:sz w:val="24"/>
        </w:rPr>
        <w:t xml:space="preserve"> Publishing. Available at: https://www.ncbi.nlm.nih.gov/books/NBK526115/ (Accessed: 21 February 2026).</w:t>
      </w:r>
    </w:p>
    <w:p w14:paraId="184D0CB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lastRenderedPageBreak/>
        <w:t xml:space="preserve">Musaigwa, M. (2023) </w:t>
      </w:r>
      <w:r w:rsidRPr="00B02191">
        <w:rPr>
          <w:rFonts w:asciiTheme="minorBidi" w:hAnsiTheme="minorBidi" w:cstheme="minorBidi"/>
          <w:i/>
          <w:iCs/>
          <w:sz w:val="24"/>
        </w:rPr>
        <w:t>The Role of Leadership in Managing Change</w:t>
      </w:r>
      <w:r w:rsidRPr="00B02191">
        <w:rPr>
          <w:rFonts w:asciiTheme="minorBidi" w:hAnsiTheme="minorBidi" w:cstheme="minorBidi"/>
          <w:sz w:val="24"/>
        </w:rPr>
        <w:t xml:space="preserve">, </w:t>
      </w:r>
      <w:r w:rsidRPr="00B02191">
        <w:rPr>
          <w:rFonts w:asciiTheme="minorBidi" w:hAnsiTheme="minorBidi" w:cstheme="minorBidi"/>
          <w:i/>
          <w:iCs/>
          <w:sz w:val="24"/>
        </w:rPr>
        <w:t>ResearchGate</w:t>
      </w:r>
      <w:r w:rsidRPr="00B02191">
        <w:rPr>
          <w:rFonts w:asciiTheme="minorBidi" w:hAnsiTheme="minorBidi" w:cstheme="minorBidi"/>
          <w:sz w:val="24"/>
        </w:rPr>
        <w:t xml:space="preserve">. </w:t>
      </w:r>
      <w:proofErr w:type="spellStart"/>
      <w:r w:rsidRPr="00B02191">
        <w:rPr>
          <w:rFonts w:asciiTheme="minorBidi" w:hAnsiTheme="minorBidi" w:cstheme="minorBidi"/>
          <w:sz w:val="24"/>
        </w:rPr>
        <w:t>EconJournals</w:t>
      </w:r>
      <w:proofErr w:type="spellEnd"/>
      <w:r w:rsidRPr="00B02191">
        <w:rPr>
          <w:rFonts w:asciiTheme="minorBidi" w:hAnsiTheme="minorBidi" w:cstheme="minorBidi"/>
          <w:sz w:val="24"/>
        </w:rPr>
        <w:t>. Available at: https://www.researchgate.net/publication/375562628_The_Role_of_Leadership_in_Managing_Change (Accessed: 21 February 2026).</w:t>
      </w:r>
    </w:p>
    <w:p w14:paraId="5EED6673"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Phillips, J.K., Ford, M.A. and Bonnie, R.J. (2017) </w:t>
      </w:r>
      <w:r w:rsidRPr="00B02191">
        <w:rPr>
          <w:rFonts w:asciiTheme="minorBidi" w:hAnsiTheme="minorBidi" w:cstheme="minorBidi"/>
          <w:i/>
          <w:iCs/>
          <w:sz w:val="24"/>
        </w:rPr>
        <w:t>Progress and Future Directions in Research on Pain and Opioid Use Disorder</w:t>
      </w:r>
      <w:r w:rsidRPr="00B02191">
        <w:rPr>
          <w:rFonts w:asciiTheme="minorBidi" w:hAnsiTheme="minorBidi" w:cstheme="minorBidi"/>
          <w:sz w:val="24"/>
        </w:rPr>
        <w:t xml:space="preserve">, </w:t>
      </w:r>
      <w:r w:rsidRPr="00B02191">
        <w:rPr>
          <w:rFonts w:asciiTheme="minorBidi" w:hAnsiTheme="minorBidi" w:cstheme="minorBidi"/>
          <w:i/>
          <w:iCs/>
          <w:sz w:val="24"/>
        </w:rPr>
        <w:t>www.ncbi.nlm.nih.gov</w:t>
      </w:r>
      <w:r w:rsidRPr="00B02191">
        <w:rPr>
          <w:rFonts w:asciiTheme="minorBidi" w:hAnsiTheme="minorBidi" w:cstheme="minorBidi"/>
          <w:sz w:val="24"/>
        </w:rPr>
        <w:t>. National Academies Press (US). Available at: https://www.ncbi.nlm.nih.gov/books/NBK458656/ (Accessed: 21 February 2026).</w:t>
      </w:r>
    </w:p>
    <w:p w14:paraId="54803CCB"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Phillips, J.K., Ford, M.A. and Bonnie, R.J. (2020) </w:t>
      </w:r>
      <w:r w:rsidRPr="00B02191">
        <w:rPr>
          <w:rFonts w:asciiTheme="minorBidi" w:hAnsiTheme="minorBidi" w:cstheme="minorBidi"/>
          <w:i/>
          <w:iCs/>
          <w:sz w:val="24"/>
        </w:rPr>
        <w:t>Evidence on Strategies for Addressing the Opioid Epidemic</w:t>
      </w:r>
      <w:r w:rsidRPr="00B02191">
        <w:rPr>
          <w:rFonts w:asciiTheme="minorBidi" w:hAnsiTheme="minorBidi" w:cstheme="minorBidi"/>
          <w:sz w:val="24"/>
        </w:rPr>
        <w:t xml:space="preserve">, </w:t>
      </w:r>
      <w:r w:rsidRPr="00B02191">
        <w:rPr>
          <w:rFonts w:asciiTheme="minorBidi" w:hAnsiTheme="minorBidi" w:cstheme="minorBidi"/>
          <w:i/>
          <w:iCs/>
          <w:sz w:val="24"/>
        </w:rPr>
        <w:t>Nih.gov</w:t>
      </w:r>
      <w:r w:rsidRPr="00B02191">
        <w:rPr>
          <w:rFonts w:asciiTheme="minorBidi" w:hAnsiTheme="minorBidi" w:cstheme="minorBidi"/>
          <w:sz w:val="24"/>
        </w:rPr>
        <w:t>. National Academies Press (US). Available at: https://www.ncbi.nlm.nih.gov/books/NBK458653/ (Accessed: 21 February 2026).</w:t>
      </w:r>
    </w:p>
    <w:p w14:paraId="56A90A9E"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Porterfield, A., Engelbert, K. and </w:t>
      </w:r>
      <w:proofErr w:type="spellStart"/>
      <w:r w:rsidRPr="00B02191">
        <w:rPr>
          <w:rFonts w:asciiTheme="minorBidi" w:hAnsiTheme="minorBidi" w:cstheme="minorBidi"/>
          <w:sz w:val="24"/>
        </w:rPr>
        <w:t>Coustasse</w:t>
      </w:r>
      <w:proofErr w:type="spellEnd"/>
      <w:r w:rsidRPr="00B02191">
        <w:rPr>
          <w:rFonts w:asciiTheme="minorBidi" w:hAnsiTheme="minorBidi" w:cstheme="minorBidi"/>
          <w:sz w:val="24"/>
        </w:rPr>
        <w:t xml:space="preserve">, A. (2014) ‘Electronic Prescribing: Improving the Efficiency and Accuracy of Prescribing in the Ambulatory Care Setting’, </w:t>
      </w:r>
      <w:r w:rsidRPr="00B02191">
        <w:rPr>
          <w:rFonts w:asciiTheme="minorBidi" w:hAnsiTheme="minorBidi" w:cstheme="minorBidi"/>
          <w:i/>
          <w:iCs/>
          <w:sz w:val="24"/>
        </w:rPr>
        <w:t>Perspectives in Health Information Management</w:t>
      </w:r>
      <w:r w:rsidRPr="00B02191">
        <w:rPr>
          <w:rFonts w:asciiTheme="minorBidi" w:hAnsiTheme="minorBidi" w:cstheme="minorBidi"/>
          <w:sz w:val="24"/>
        </w:rPr>
        <w:t>, 11(Spring), p. 1g. Available at: https://pmc.ncbi.nlm.nih.gov/articles/PMC3995494/ (Accessed: 21 February 2026).</w:t>
      </w:r>
    </w:p>
    <w:p w14:paraId="2E092531"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Russell, A. </w:t>
      </w:r>
      <w:r w:rsidRPr="00B02191">
        <w:rPr>
          <w:rFonts w:asciiTheme="minorBidi" w:hAnsiTheme="minorBidi" w:cstheme="minorBidi"/>
          <w:i/>
          <w:iCs/>
          <w:sz w:val="24"/>
        </w:rPr>
        <w:t>et al.</w:t>
      </w:r>
      <w:r w:rsidRPr="00B02191">
        <w:rPr>
          <w:rFonts w:asciiTheme="minorBidi" w:hAnsiTheme="minorBidi" w:cstheme="minorBidi"/>
          <w:sz w:val="24"/>
        </w:rPr>
        <w:t xml:space="preserve"> (2025) ‘Implementation of Opioid Safety Dashboards and Associated Primary Care Clinicians’ Attitudes and Usage’, </w:t>
      </w:r>
      <w:r w:rsidRPr="00B02191">
        <w:rPr>
          <w:rFonts w:asciiTheme="minorBidi" w:hAnsiTheme="minorBidi" w:cstheme="minorBidi"/>
          <w:i/>
          <w:iCs/>
          <w:sz w:val="24"/>
        </w:rPr>
        <w:t>Journal of Patient Safety</w:t>
      </w:r>
      <w:r w:rsidRPr="00B02191">
        <w:rPr>
          <w:rFonts w:asciiTheme="minorBidi" w:hAnsiTheme="minorBidi" w:cstheme="minorBidi"/>
          <w:sz w:val="24"/>
        </w:rPr>
        <w:t>, 22(1), pp. 15–21. Available at: https://doi.org/10.1097/pts.0000000000001408.</w:t>
      </w:r>
    </w:p>
    <w:p w14:paraId="2FE4A1D1"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Salsabila, A.F. </w:t>
      </w:r>
      <w:r w:rsidRPr="00B02191">
        <w:rPr>
          <w:rFonts w:asciiTheme="minorBidi" w:hAnsiTheme="minorBidi" w:cstheme="minorBidi"/>
          <w:i/>
          <w:iCs/>
          <w:sz w:val="24"/>
        </w:rPr>
        <w:t>et al.</w:t>
      </w:r>
      <w:r w:rsidRPr="00B02191">
        <w:rPr>
          <w:rFonts w:asciiTheme="minorBidi" w:hAnsiTheme="minorBidi" w:cstheme="minorBidi"/>
          <w:sz w:val="24"/>
        </w:rPr>
        <w:t xml:space="preserve"> (2025) ‘The Role of Effective Communication in Leadership: A Literature Review’, </w:t>
      </w:r>
      <w:proofErr w:type="spellStart"/>
      <w:r w:rsidRPr="00B02191">
        <w:rPr>
          <w:rFonts w:asciiTheme="minorBidi" w:hAnsiTheme="minorBidi" w:cstheme="minorBidi"/>
          <w:i/>
          <w:iCs/>
          <w:sz w:val="24"/>
        </w:rPr>
        <w:t>Klabat</w:t>
      </w:r>
      <w:proofErr w:type="spellEnd"/>
      <w:r w:rsidRPr="00B02191">
        <w:rPr>
          <w:rFonts w:asciiTheme="minorBidi" w:hAnsiTheme="minorBidi" w:cstheme="minorBidi"/>
          <w:i/>
          <w:iCs/>
          <w:sz w:val="24"/>
        </w:rPr>
        <w:t xml:space="preserve"> Journal of Management</w:t>
      </w:r>
      <w:r w:rsidRPr="00B02191">
        <w:rPr>
          <w:rFonts w:asciiTheme="minorBidi" w:hAnsiTheme="minorBidi" w:cstheme="minorBidi"/>
          <w:sz w:val="24"/>
        </w:rPr>
        <w:t>, 6(1), p. 40. Available at: https://doi.org/10.60090/kjm.v6i1.1232.40-49.</w:t>
      </w:r>
    </w:p>
    <w:p w14:paraId="7120A0AB"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Shoemaker-Hunt, S.J., Sheedy, C. and Wyant, B. (2020) </w:t>
      </w:r>
      <w:r w:rsidRPr="00B02191">
        <w:rPr>
          <w:rFonts w:asciiTheme="minorBidi" w:hAnsiTheme="minorBidi" w:cstheme="minorBidi"/>
          <w:i/>
          <w:iCs/>
          <w:sz w:val="24"/>
        </w:rPr>
        <w:t>Harms Due to Opioids</w:t>
      </w:r>
      <w:r w:rsidRPr="00B02191">
        <w:rPr>
          <w:rFonts w:asciiTheme="minorBidi" w:hAnsiTheme="minorBidi" w:cstheme="minorBidi"/>
          <w:sz w:val="24"/>
        </w:rPr>
        <w:t xml:space="preserve">, </w:t>
      </w:r>
      <w:r w:rsidRPr="00B02191">
        <w:rPr>
          <w:rFonts w:asciiTheme="minorBidi" w:hAnsiTheme="minorBidi" w:cstheme="minorBidi"/>
          <w:i/>
          <w:iCs/>
          <w:sz w:val="24"/>
        </w:rPr>
        <w:t>www.ncbi.nlm.nih.gov</w:t>
      </w:r>
      <w:r w:rsidRPr="00B02191">
        <w:rPr>
          <w:rFonts w:asciiTheme="minorBidi" w:hAnsiTheme="minorBidi" w:cstheme="minorBidi"/>
          <w:sz w:val="24"/>
        </w:rPr>
        <w:t>. Agency for Healthcare Research and Quality (US). Available at: https://www.ncbi.nlm.nih.gov/books/NBK555507/ (Accessed: 21 February 2026).</w:t>
      </w:r>
    </w:p>
    <w:p w14:paraId="0BC0C6D8"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Smith, H. </w:t>
      </w:r>
      <w:r w:rsidRPr="00B02191">
        <w:rPr>
          <w:rFonts w:asciiTheme="minorBidi" w:hAnsiTheme="minorBidi" w:cstheme="minorBidi"/>
          <w:i/>
          <w:iCs/>
          <w:sz w:val="24"/>
        </w:rPr>
        <w:t>et al.</w:t>
      </w:r>
      <w:r w:rsidRPr="00B02191">
        <w:rPr>
          <w:rFonts w:asciiTheme="minorBidi" w:hAnsiTheme="minorBidi" w:cstheme="minorBidi"/>
          <w:sz w:val="24"/>
        </w:rPr>
        <w:t xml:space="preserve"> (2019) ‘Person-Centred Care Including Deprescribing for Older People’, </w:t>
      </w:r>
      <w:r w:rsidRPr="00B02191">
        <w:rPr>
          <w:rFonts w:asciiTheme="minorBidi" w:hAnsiTheme="minorBidi" w:cstheme="minorBidi"/>
          <w:i/>
          <w:iCs/>
          <w:sz w:val="24"/>
        </w:rPr>
        <w:t>Pharmacy</w:t>
      </w:r>
      <w:r w:rsidRPr="00B02191">
        <w:rPr>
          <w:rFonts w:asciiTheme="minorBidi" w:hAnsiTheme="minorBidi" w:cstheme="minorBidi"/>
          <w:sz w:val="24"/>
        </w:rPr>
        <w:t>, 7(3), p. 101. Available at: https://doi.org/10.3390/pharmacy7030101.</w:t>
      </w:r>
    </w:p>
    <w:p w14:paraId="7D9916B8"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lastRenderedPageBreak/>
        <w:t xml:space="preserve">Smith, R.W. </w:t>
      </w:r>
      <w:r w:rsidRPr="00B02191">
        <w:rPr>
          <w:rFonts w:asciiTheme="minorBidi" w:hAnsiTheme="minorBidi" w:cstheme="minorBidi"/>
          <w:i/>
          <w:iCs/>
          <w:sz w:val="24"/>
        </w:rPr>
        <w:t>et al.</w:t>
      </w:r>
      <w:r w:rsidRPr="00B02191">
        <w:rPr>
          <w:rFonts w:asciiTheme="minorBidi" w:hAnsiTheme="minorBidi" w:cstheme="minorBidi"/>
          <w:sz w:val="24"/>
        </w:rPr>
        <w:t xml:space="preserve"> (2022) ‘Centralization and integration of public health systems: Perspectives of public health leaders on factors facilitating and impeding COVID-19 responses in three Canadian provinces’, </w:t>
      </w:r>
      <w:r w:rsidRPr="00B02191">
        <w:rPr>
          <w:rFonts w:asciiTheme="minorBidi" w:hAnsiTheme="minorBidi" w:cstheme="minorBidi"/>
          <w:i/>
          <w:iCs/>
          <w:sz w:val="24"/>
        </w:rPr>
        <w:t>Health Policy</w:t>
      </w:r>
      <w:r w:rsidRPr="00B02191">
        <w:rPr>
          <w:rFonts w:asciiTheme="minorBidi" w:hAnsiTheme="minorBidi" w:cstheme="minorBidi"/>
          <w:sz w:val="24"/>
        </w:rPr>
        <w:t>, 127, pp. 19–28. Available at: https://doi.org/10.1016/j.healthpol.2022.11.011.</w:t>
      </w:r>
    </w:p>
    <w:p w14:paraId="75099145"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Talevski, J. </w:t>
      </w:r>
      <w:r w:rsidRPr="00B02191">
        <w:rPr>
          <w:rFonts w:asciiTheme="minorBidi" w:hAnsiTheme="minorBidi" w:cstheme="minorBidi"/>
          <w:i/>
          <w:iCs/>
          <w:sz w:val="24"/>
        </w:rPr>
        <w:t>et al.</w:t>
      </w:r>
      <w:r w:rsidRPr="00B02191">
        <w:rPr>
          <w:rFonts w:asciiTheme="minorBidi" w:hAnsiTheme="minorBidi" w:cstheme="minorBidi"/>
          <w:sz w:val="24"/>
        </w:rPr>
        <w:t xml:space="preserve"> (2020) ‘Teach-back: a Systematic Review of Implementation and Impacts’, </w:t>
      </w:r>
      <w:r w:rsidRPr="00B02191">
        <w:rPr>
          <w:rFonts w:asciiTheme="minorBidi" w:hAnsiTheme="minorBidi" w:cstheme="minorBidi"/>
          <w:i/>
          <w:iCs/>
          <w:sz w:val="24"/>
        </w:rPr>
        <w:t>PLOS ONE</w:t>
      </w:r>
      <w:r w:rsidRPr="00B02191">
        <w:rPr>
          <w:rFonts w:asciiTheme="minorBidi" w:hAnsiTheme="minorBidi" w:cstheme="minorBidi"/>
          <w:sz w:val="24"/>
        </w:rPr>
        <w:t>. Edited by T. Mathes, 15(4), pp. 1–18. Available at: https://doi.org/10.1371/journal.pone.0231350.</w:t>
      </w:r>
    </w:p>
    <w:p w14:paraId="0B16EACC"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Tariq, R. </w:t>
      </w:r>
      <w:r w:rsidRPr="00B02191">
        <w:rPr>
          <w:rFonts w:asciiTheme="minorBidi" w:hAnsiTheme="minorBidi" w:cstheme="minorBidi"/>
          <w:i/>
          <w:iCs/>
          <w:sz w:val="24"/>
        </w:rPr>
        <w:t>et al.</w:t>
      </w:r>
      <w:r w:rsidRPr="00B02191">
        <w:rPr>
          <w:rFonts w:asciiTheme="minorBidi" w:hAnsiTheme="minorBidi" w:cstheme="minorBidi"/>
          <w:sz w:val="24"/>
        </w:rPr>
        <w:t xml:space="preserve"> (2024) </w:t>
      </w:r>
      <w:r w:rsidRPr="00B02191">
        <w:rPr>
          <w:rFonts w:asciiTheme="minorBidi" w:hAnsiTheme="minorBidi" w:cstheme="minorBidi"/>
          <w:i/>
          <w:iCs/>
          <w:sz w:val="24"/>
        </w:rPr>
        <w:t>Medication dispensing errors and prevention</w:t>
      </w:r>
      <w:r w:rsidRPr="00B02191">
        <w:rPr>
          <w:rFonts w:asciiTheme="minorBidi" w:hAnsiTheme="minorBidi" w:cstheme="minorBidi"/>
          <w:sz w:val="24"/>
        </w:rPr>
        <w:t xml:space="preserve">, </w:t>
      </w:r>
      <w:r w:rsidRPr="00B02191">
        <w:rPr>
          <w:rFonts w:asciiTheme="minorBidi" w:hAnsiTheme="minorBidi" w:cstheme="minorBidi"/>
          <w:i/>
          <w:iCs/>
          <w:sz w:val="24"/>
        </w:rPr>
        <w:t>National Library of Medicine</w:t>
      </w:r>
      <w:r w:rsidRPr="00B02191">
        <w:rPr>
          <w:rFonts w:asciiTheme="minorBidi" w:hAnsiTheme="minorBidi" w:cstheme="minorBidi"/>
          <w:sz w:val="24"/>
        </w:rPr>
        <w:t xml:space="preserve">. </w:t>
      </w:r>
      <w:proofErr w:type="spellStart"/>
      <w:r w:rsidRPr="00B02191">
        <w:rPr>
          <w:rFonts w:asciiTheme="minorBidi" w:hAnsiTheme="minorBidi" w:cstheme="minorBidi"/>
          <w:sz w:val="24"/>
        </w:rPr>
        <w:t>StatPearls</w:t>
      </w:r>
      <w:proofErr w:type="spellEnd"/>
      <w:r w:rsidRPr="00B02191">
        <w:rPr>
          <w:rFonts w:asciiTheme="minorBidi" w:hAnsiTheme="minorBidi" w:cstheme="minorBidi"/>
          <w:sz w:val="24"/>
        </w:rPr>
        <w:t xml:space="preserve"> Publishing. Available at: https://www.ncbi.nlm.nih.gov/books/NBK519065/ (Accessed: 21 February 2026).</w:t>
      </w:r>
    </w:p>
    <w:p w14:paraId="093A48CA"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Tavares, M.C., Vale, J. and Costa, A. (2024) ‘The Role of Decentralised Managers in Decision-Making in a Large Industrial Company’, </w:t>
      </w:r>
      <w:r w:rsidRPr="00B02191">
        <w:rPr>
          <w:rFonts w:asciiTheme="minorBidi" w:hAnsiTheme="minorBidi" w:cstheme="minorBidi"/>
          <w:i/>
          <w:iCs/>
          <w:sz w:val="24"/>
        </w:rPr>
        <w:t>Administrative Sciences</w:t>
      </w:r>
      <w:r w:rsidRPr="00B02191">
        <w:rPr>
          <w:rFonts w:asciiTheme="minorBidi" w:hAnsiTheme="minorBidi" w:cstheme="minorBidi"/>
          <w:sz w:val="24"/>
        </w:rPr>
        <w:t>, 14(9), pp. 202–202. Available at: https://doi.org/10.3390/admsci14090202.</w:t>
      </w:r>
    </w:p>
    <w:p w14:paraId="1C071519"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Thelen, J. </w:t>
      </w:r>
      <w:r w:rsidRPr="00B02191">
        <w:rPr>
          <w:rFonts w:asciiTheme="minorBidi" w:hAnsiTheme="minorBidi" w:cstheme="minorBidi"/>
          <w:i/>
          <w:iCs/>
          <w:sz w:val="24"/>
        </w:rPr>
        <w:t>et al.</w:t>
      </w:r>
      <w:r w:rsidRPr="00B02191">
        <w:rPr>
          <w:rFonts w:asciiTheme="minorBidi" w:hAnsiTheme="minorBidi" w:cstheme="minorBidi"/>
          <w:sz w:val="24"/>
        </w:rPr>
        <w:t xml:space="preserve"> (2023) ‘Development of the systems thinking for health actions framework: A literature review and a case study’, </w:t>
      </w:r>
      <w:r w:rsidRPr="00B02191">
        <w:rPr>
          <w:rFonts w:asciiTheme="minorBidi" w:hAnsiTheme="minorBidi" w:cstheme="minorBidi"/>
          <w:i/>
          <w:iCs/>
          <w:sz w:val="24"/>
        </w:rPr>
        <w:t>BMJ Global Health</w:t>
      </w:r>
      <w:r w:rsidRPr="00B02191">
        <w:rPr>
          <w:rFonts w:asciiTheme="minorBidi" w:hAnsiTheme="minorBidi" w:cstheme="minorBidi"/>
          <w:sz w:val="24"/>
        </w:rPr>
        <w:t>, 8(3), pp. 1–10. Available at: https://doi.org/10.1136/bmjgh-2022-010191.</w:t>
      </w:r>
    </w:p>
    <w:p w14:paraId="56C11DE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Vayena</w:t>
      </w:r>
      <w:proofErr w:type="spellEnd"/>
      <w:r w:rsidRPr="00B02191">
        <w:rPr>
          <w:rFonts w:asciiTheme="minorBidi" w:hAnsiTheme="minorBidi" w:cstheme="minorBidi"/>
          <w:sz w:val="24"/>
        </w:rPr>
        <w:t xml:space="preserve">, E., </w:t>
      </w:r>
      <w:proofErr w:type="spellStart"/>
      <w:r w:rsidRPr="00B02191">
        <w:rPr>
          <w:rFonts w:asciiTheme="minorBidi" w:hAnsiTheme="minorBidi" w:cstheme="minorBidi"/>
          <w:sz w:val="24"/>
        </w:rPr>
        <w:t>Blasimme</w:t>
      </w:r>
      <w:proofErr w:type="spellEnd"/>
      <w:r w:rsidRPr="00B02191">
        <w:rPr>
          <w:rFonts w:asciiTheme="minorBidi" w:hAnsiTheme="minorBidi" w:cstheme="minorBidi"/>
          <w:sz w:val="24"/>
        </w:rPr>
        <w:t xml:space="preserve">, A. and Sugarman, J. (2023) ‘Decentralised clinical trials: ethical opportunities and challenges’, </w:t>
      </w:r>
      <w:r w:rsidRPr="00B02191">
        <w:rPr>
          <w:rFonts w:asciiTheme="minorBidi" w:hAnsiTheme="minorBidi" w:cstheme="minorBidi"/>
          <w:i/>
          <w:iCs/>
          <w:sz w:val="24"/>
        </w:rPr>
        <w:t>The Lancet Digital Health</w:t>
      </w:r>
      <w:r w:rsidRPr="00B02191">
        <w:rPr>
          <w:rFonts w:asciiTheme="minorBidi" w:hAnsiTheme="minorBidi" w:cstheme="minorBidi"/>
          <w:sz w:val="24"/>
        </w:rPr>
        <w:t>, 5(6). Available at: https://doi.org/10.1016/s2589-7500(23)00052-3.</w:t>
      </w:r>
    </w:p>
    <w:p w14:paraId="49A4D4C6"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WHO (2019) </w:t>
      </w:r>
      <w:r w:rsidRPr="00B02191">
        <w:rPr>
          <w:rFonts w:asciiTheme="minorBidi" w:hAnsiTheme="minorBidi" w:cstheme="minorBidi"/>
          <w:i/>
          <w:iCs/>
          <w:sz w:val="24"/>
        </w:rPr>
        <w:t>Medication safety in high-risk situations</w:t>
      </w:r>
      <w:r w:rsidRPr="00B02191">
        <w:rPr>
          <w:rFonts w:asciiTheme="minorBidi" w:hAnsiTheme="minorBidi" w:cstheme="minorBidi"/>
          <w:sz w:val="24"/>
        </w:rPr>
        <w:t xml:space="preserve">, </w:t>
      </w:r>
      <w:r w:rsidRPr="00B02191">
        <w:rPr>
          <w:rFonts w:asciiTheme="minorBidi" w:hAnsiTheme="minorBidi" w:cstheme="minorBidi"/>
          <w:i/>
          <w:iCs/>
          <w:sz w:val="24"/>
        </w:rPr>
        <w:t>Who.int</w:t>
      </w:r>
      <w:r w:rsidRPr="00B02191">
        <w:rPr>
          <w:rFonts w:asciiTheme="minorBidi" w:hAnsiTheme="minorBidi" w:cstheme="minorBidi"/>
          <w:sz w:val="24"/>
        </w:rPr>
        <w:t>. Available at: https://www.who.int/publications-detail-redirect/medication-safety-in-high-risk-situations (Accessed: 21 February 2026).</w:t>
      </w:r>
    </w:p>
    <w:p w14:paraId="53839010"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WHO (2022) </w:t>
      </w:r>
      <w:r w:rsidRPr="00B02191">
        <w:rPr>
          <w:rFonts w:asciiTheme="minorBidi" w:hAnsiTheme="minorBidi" w:cstheme="minorBidi"/>
          <w:i/>
          <w:iCs/>
          <w:sz w:val="24"/>
        </w:rPr>
        <w:t>Medication without harm</w:t>
      </w:r>
      <w:r w:rsidRPr="00B02191">
        <w:rPr>
          <w:rFonts w:asciiTheme="minorBidi" w:hAnsiTheme="minorBidi" w:cstheme="minorBidi"/>
          <w:sz w:val="24"/>
        </w:rPr>
        <w:t xml:space="preserve">, </w:t>
      </w:r>
      <w:r w:rsidRPr="00B02191">
        <w:rPr>
          <w:rFonts w:asciiTheme="minorBidi" w:hAnsiTheme="minorBidi" w:cstheme="minorBidi"/>
          <w:i/>
          <w:iCs/>
          <w:sz w:val="24"/>
        </w:rPr>
        <w:t>World Health Organization</w:t>
      </w:r>
      <w:r w:rsidRPr="00B02191">
        <w:rPr>
          <w:rFonts w:asciiTheme="minorBidi" w:hAnsiTheme="minorBidi" w:cstheme="minorBidi"/>
          <w:sz w:val="24"/>
        </w:rPr>
        <w:t>. Available at: https://www.who.int/initiatives/medication-without-harm (Accessed: 21 February 2026).</w:t>
      </w:r>
    </w:p>
    <w:p w14:paraId="793A915F"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t xml:space="preserve">Wolf, Z.R. and Hughes, R.G. (2020) </w:t>
      </w:r>
      <w:r w:rsidRPr="00B02191">
        <w:rPr>
          <w:rFonts w:asciiTheme="minorBidi" w:hAnsiTheme="minorBidi" w:cstheme="minorBidi"/>
          <w:i/>
          <w:iCs/>
          <w:sz w:val="24"/>
        </w:rPr>
        <w:t>Error Reporting and Disclosure</w:t>
      </w:r>
      <w:r w:rsidRPr="00B02191">
        <w:rPr>
          <w:rFonts w:asciiTheme="minorBidi" w:hAnsiTheme="minorBidi" w:cstheme="minorBidi"/>
          <w:sz w:val="24"/>
        </w:rPr>
        <w:t xml:space="preserve">, </w:t>
      </w:r>
      <w:r w:rsidRPr="00B02191">
        <w:rPr>
          <w:rFonts w:asciiTheme="minorBidi" w:hAnsiTheme="minorBidi" w:cstheme="minorBidi"/>
          <w:i/>
          <w:iCs/>
          <w:sz w:val="24"/>
        </w:rPr>
        <w:t>National Library of Medicine</w:t>
      </w:r>
      <w:r w:rsidRPr="00B02191">
        <w:rPr>
          <w:rFonts w:asciiTheme="minorBidi" w:hAnsiTheme="minorBidi" w:cstheme="minorBidi"/>
          <w:sz w:val="24"/>
        </w:rPr>
        <w:t>. Agency for Healthcare Research and Quality (US). Available at: https://www.ncbi.nlm.nih.gov/books/NBK2652/ (Accessed: 21 February 2026).</w:t>
      </w:r>
    </w:p>
    <w:p w14:paraId="56E7E85D"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r w:rsidRPr="00B02191">
        <w:rPr>
          <w:rFonts w:asciiTheme="minorBidi" w:hAnsiTheme="minorBidi" w:cstheme="minorBidi"/>
          <w:sz w:val="24"/>
        </w:rPr>
        <w:lastRenderedPageBreak/>
        <w:t xml:space="preserve">World Health Organization (2025) </w:t>
      </w:r>
      <w:r w:rsidRPr="00B02191">
        <w:rPr>
          <w:rFonts w:asciiTheme="minorBidi" w:hAnsiTheme="minorBidi" w:cstheme="minorBidi"/>
          <w:i/>
          <w:iCs/>
          <w:sz w:val="24"/>
        </w:rPr>
        <w:t>Opioid overdose</w:t>
      </w:r>
      <w:r w:rsidRPr="00B02191">
        <w:rPr>
          <w:rFonts w:asciiTheme="minorBidi" w:hAnsiTheme="minorBidi" w:cstheme="minorBidi"/>
          <w:sz w:val="24"/>
        </w:rPr>
        <w:t xml:space="preserve">, </w:t>
      </w:r>
      <w:r w:rsidRPr="00B02191">
        <w:rPr>
          <w:rFonts w:asciiTheme="minorBidi" w:hAnsiTheme="minorBidi" w:cstheme="minorBidi"/>
          <w:i/>
          <w:iCs/>
          <w:sz w:val="24"/>
        </w:rPr>
        <w:t>World Health Organization</w:t>
      </w:r>
      <w:r w:rsidRPr="00B02191">
        <w:rPr>
          <w:rFonts w:asciiTheme="minorBidi" w:hAnsiTheme="minorBidi" w:cstheme="minorBidi"/>
          <w:sz w:val="24"/>
        </w:rPr>
        <w:t>. Available at: https://www.who.int/news-room/fact-sheets/detail/opioid-overdose (Accessed: 21 February 2026).</w:t>
      </w:r>
    </w:p>
    <w:p w14:paraId="19CA258F" w14:textId="77777777" w:rsidR="001D2685" w:rsidRPr="00B02191" w:rsidRDefault="001D2685" w:rsidP="00481964">
      <w:pPr>
        <w:pStyle w:val="NormalWeb"/>
        <w:spacing w:before="0" w:beforeAutospacing="0" w:after="240" w:afterAutospacing="0" w:line="360" w:lineRule="auto"/>
        <w:rPr>
          <w:rFonts w:asciiTheme="minorBidi" w:hAnsiTheme="minorBidi" w:cstheme="minorBidi"/>
          <w:sz w:val="24"/>
        </w:rPr>
      </w:pPr>
      <w:proofErr w:type="spellStart"/>
      <w:r w:rsidRPr="00B02191">
        <w:rPr>
          <w:rFonts w:asciiTheme="minorBidi" w:hAnsiTheme="minorBidi" w:cstheme="minorBidi"/>
          <w:sz w:val="24"/>
        </w:rPr>
        <w:t>Ystaas</w:t>
      </w:r>
      <w:proofErr w:type="spellEnd"/>
      <w:r w:rsidRPr="00B02191">
        <w:rPr>
          <w:rFonts w:asciiTheme="minorBidi" w:hAnsiTheme="minorBidi" w:cstheme="minorBidi"/>
          <w:sz w:val="24"/>
        </w:rPr>
        <w:t xml:space="preserve">, L.M.K. </w:t>
      </w:r>
      <w:r w:rsidRPr="00B02191">
        <w:rPr>
          <w:rFonts w:asciiTheme="minorBidi" w:hAnsiTheme="minorBidi" w:cstheme="minorBidi"/>
          <w:i/>
          <w:iCs/>
          <w:sz w:val="24"/>
        </w:rPr>
        <w:t>et al.</w:t>
      </w:r>
      <w:r w:rsidRPr="00B02191">
        <w:rPr>
          <w:rFonts w:asciiTheme="minorBidi" w:hAnsiTheme="minorBidi" w:cstheme="minorBidi"/>
          <w:sz w:val="24"/>
        </w:rPr>
        <w:t xml:space="preserve"> (2023) ‘The impact of transformational leadership in the nursing work environment and patients’ outcomes: A systematic review’, </w:t>
      </w:r>
      <w:r w:rsidRPr="00B02191">
        <w:rPr>
          <w:rFonts w:asciiTheme="minorBidi" w:hAnsiTheme="minorBidi" w:cstheme="minorBidi"/>
          <w:i/>
          <w:iCs/>
          <w:sz w:val="24"/>
        </w:rPr>
        <w:t>Nursing Reports</w:t>
      </w:r>
      <w:r w:rsidRPr="00B02191">
        <w:rPr>
          <w:rFonts w:asciiTheme="minorBidi" w:hAnsiTheme="minorBidi" w:cstheme="minorBidi"/>
          <w:sz w:val="24"/>
        </w:rPr>
        <w:t>, 13(3), pp. 1271–1290. Available at: https://doi.org/10.3390/nursrep13030108.</w:t>
      </w:r>
    </w:p>
    <w:p w14:paraId="27E847C0" w14:textId="77777777" w:rsidR="001D2685" w:rsidRPr="00B02191" w:rsidRDefault="001D2685" w:rsidP="00481964">
      <w:pPr>
        <w:spacing w:line="360" w:lineRule="auto"/>
        <w:rPr>
          <w:rFonts w:asciiTheme="minorBidi" w:hAnsiTheme="minorBidi"/>
          <w:sz w:val="24"/>
          <w:szCs w:val="24"/>
        </w:rPr>
      </w:pPr>
    </w:p>
    <w:sectPr w:rsidR="001D2685" w:rsidRPr="00B02191" w:rsidSect="00614F0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C32B7" w14:textId="77777777" w:rsidR="00DC1921" w:rsidRDefault="00DC1921" w:rsidP="001D2685">
      <w:pPr>
        <w:spacing w:after="0" w:line="240" w:lineRule="auto"/>
      </w:pPr>
      <w:r>
        <w:separator/>
      </w:r>
    </w:p>
  </w:endnote>
  <w:endnote w:type="continuationSeparator" w:id="0">
    <w:p w14:paraId="5241B08F" w14:textId="77777777" w:rsidR="00DC1921" w:rsidRDefault="00DC1921" w:rsidP="001D2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3540598"/>
      <w:docPartObj>
        <w:docPartGallery w:val="Page Numbers (Bottom of Page)"/>
        <w:docPartUnique/>
      </w:docPartObj>
    </w:sdtPr>
    <w:sdtEndPr>
      <w:rPr>
        <w:noProof/>
      </w:rPr>
    </w:sdtEndPr>
    <w:sdtContent>
      <w:p w14:paraId="1A8F305D" w14:textId="2573E4FA" w:rsidR="001D2685" w:rsidRDefault="001D26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48176A" w14:textId="77777777" w:rsidR="001D2685" w:rsidRDefault="001D2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A72ED" w14:textId="77777777" w:rsidR="00DC1921" w:rsidRDefault="00DC1921" w:rsidP="001D2685">
      <w:pPr>
        <w:spacing w:after="0" w:line="240" w:lineRule="auto"/>
      </w:pPr>
      <w:r>
        <w:separator/>
      </w:r>
    </w:p>
  </w:footnote>
  <w:footnote w:type="continuationSeparator" w:id="0">
    <w:p w14:paraId="5A1B9FD0" w14:textId="77777777" w:rsidR="00DC1921" w:rsidRDefault="00DC1921" w:rsidP="001D2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72F118A"/>
    <w:multiLevelType w:val="multilevel"/>
    <w:tmpl w:val="861A2858"/>
    <w:lvl w:ilvl="0">
      <w:start w:val="1"/>
      <w:numFmt w:val="decimal"/>
      <w:lvlText w:val="%1."/>
      <w:lvlJc w:val="left"/>
      <w:pPr>
        <w:ind w:left="567" w:hanging="567"/>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 w15:restartNumberingAfterBreak="0">
    <w:nsid w:val="23C44C7F"/>
    <w:multiLevelType w:val="hybridMultilevel"/>
    <w:tmpl w:val="FCD651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755C70"/>
    <w:multiLevelType w:val="hybridMultilevel"/>
    <w:tmpl w:val="08BEE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2688182">
    <w:abstractNumId w:val="3"/>
  </w:num>
  <w:num w:numId="2" w16cid:durableId="919945319">
    <w:abstractNumId w:val="2"/>
  </w:num>
  <w:num w:numId="3" w16cid:durableId="1675305041">
    <w:abstractNumId w:val="0"/>
  </w:num>
  <w:num w:numId="4" w16cid:durableId="5334208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15486837">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B5E"/>
    <w:rsid w:val="00031EFC"/>
    <w:rsid w:val="00043AE8"/>
    <w:rsid w:val="00070669"/>
    <w:rsid w:val="000A1642"/>
    <w:rsid w:val="000D33CD"/>
    <w:rsid w:val="000E49BE"/>
    <w:rsid w:val="000F705B"/>
    <w:rsid w:val="0018169D"/>
    <w:rsid w:val="001C21ED"/>
    <w:rsid w:val="001D2685"/>
    <w:rsid w:val="00274B4A"/>
    <w:rsid w:val="002E70ED"/>
    <w:rsid w:val="002F3482"/>
    <w:rsid w:val="0034361F"/>
    <w:rsid w:val="00344ED4"/>
    <w:rsid w:val="0038669F"/>
    <w:rsid w:val="003A1692"/>
    <w:rsid w:val="00433897"/>
    <w:rsid w:val="00481964"/>
    <w:rsid w:val="004C4112"/>
    <w:rsid w:val="004E7479"/>
    <w:rsid w:val="005417B9"/>
    <w:rsid w:val="00547151"/>
    <w:rsid w:val="00550A1B"/>
    <w:rsid w:val="00560A49"/>
    <w:rsid w:val="005613AE"/>
    <w:rsid w:val="00580264"/>
    <w:rsid w:val="005D2103"/>
    <w:rsid w:val="005D3356"/>
    <w:rsid w:val="005F72A9"/>
    <w:rsid w:val="006042B2"/>
    <w:rsid w:val="00614F0E"/>
    <w:rsid w:val="00661FCC"/>
    <w:rsid w:val="00680F11"/>
    <w:rsid w:val="006830C4"/>
    <w:rsid w:val="006C2122"/>
    <w:rsid w:val="006F460E"/>
    <w:rsid w:val="00702787"/>
    <w:rsid w:val="00706306"/>
    <w:rsid w:val="00762CA7"/>
    <w:rsid w:val="007B6147"/>
    <w:rsid w:val="007F6266"/>
    <w:rsid w:val="008237BF"/>
    <w:rsid w:val="008252B2"/>
    <w:rsid w:val="008579BF"/>
    <w:rsid w:val="00877DDD"/>
    <w:rsid w:val="0089390E"/>
    <w:rsid w:val="008B7A0C"/>
    <w:rsid w:val="008D65D2"/>
    <w:rsid w:val="008E2A7F"/>
    <w:rsid w:val="009334D8"/>
    <w:rsid w:val="009F4F1E"/>
    <w:rsid w:val="00A1293E"/>
    <w:rsid w:val="00A62726"/>
    <w:rsid w:val="00A806C7"/>
    <w:rsid w:val="00A9777A"/>
    <w:rsid w:val="00B02191"/>
    <w:rsid w:val="00B6589F"/>
    <w:rsid w:val="00B73059"/>
    <w:rsid w:val="00B86DDE"/>
    <w:rsid w:val="00BB068D"/>
    <w:rsid w:val="00BC1B5E"/>
    <w:rsid w:val="00BC249A"/>
    <w:rsid w:val="00BF3DA2"/>
    <w:rsid w:val="00C042FC"/>
    <w:rsid w:val="00C1044D"/>
    <w:rsid w:val="00C537E4"/>
    <w:rsid w:val="00C930D3"/>
    <w:rsid w:val="00CD7F5F"/>
    <w:rsid w:val="00CE4BD4"/>
    <w:rsid w:val="00D47E11"/>
    <w:rsid w:val="00DA528C"/>
    <w:rsid w:val="00DC1921"/>
    <w:rsid w:val="00E11CA6"/>
    <w:rsid w:val="00EA6514"/>
    <w:rsid w:val="00EA69B0"/>
    <w:rsid w:val="00EE0DE8"/>
    <w:rsid w:val="00F3194F"/>
    <w:rsid w:val="00F3207C"/>
    <w:rsid w:val="00F40316"/>
    <w:rsid w:val="00F7087D"/>
    <w:rsid w:val="00F9483C"/>
    <w:rsid w:val="00FA5279"/>
    <w:rsid w:val="00FC70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F2C53"/>
  <w15:chartTrackingRefBased/>
  <w15:docId w15:val="{A231A39E-76E5-4C3C-9EB5-4BDF5E53C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F0E"/>
  </w:style>
  <w:style w:type="paragraph" w:styleId="Heading1">
    <w:name w:val="heading 1"/>
    <w:basedOn w:val="Normal"/>
    <w:next w:val="Normal"/>
    <w:link w:val="Heading1Char"/>
    <w:uiPriority w:val="9"/>
    <w:qFormat/>
    <w:rsid w:val="00614F0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F0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614F0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14F0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14F0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14F0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14F0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14F0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14F0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F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F0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614F0E"/>
    <w:rPr>
      <w:rFonts w:asciiTheme="majorHAnsi" w:eastAsiaTheme="majorEastAsia" w:hAnsiTheme="majorHAnsi" w:cstheme="majorBidi"/>
      <w:color w:val="44546A" w:themeColor="text2"/>
      <w:sz w:val="24"/>
      <w:szCs w:val="24"/>
    </w:rPr>
  </w:style>
  <w:style w:type="paragraph" w:styleId="NormalWeb">
    <w:name w:val="Normal (Web)"/>
    <w:basedOn w:val="Normal"/>
    <w:uiPriority w:val="99"/>
    <w:semiHidden/>
    <w:unhideWhenUsed/>
    <w:rsid w:val="006C212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614F0E"/>
    <w:rPr>
      <w:b/>
      <w:bCs/>
    </w:rPr>
  </w:style>
  <w:style w:type="paragraph" w:styleId="z-TopofForm">
    <w:name w:val="HTML Top of Form"/>
    <w:basedOn w:val="Normal"/>
    <w:next w:val="Normal"/>
    <w:link w:val="z-TopofFormChar"/>
    <w:hidden/>
    <w:uiPriority w:val="99"/>
    <w:semiHidden/>
    <w:unhideWhenUsed/>
    <w:rsid w:val="006C2122"/>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C212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C2122"/>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6C2122"/>
    <w:rPr>
      <w:rFonts w:ascii="Arial" w:eastAsia="Times New Roman" w:hAnsi="Arial" w:cs="Arial"/>
      <w:vanish/>
      <w:sz w:val="16"/>
      <w:szCs w:val="16"/>
    </w:rPr>
  </w:style>
  <w:style w:type="paragraph" w:styleId="ListParagraph">
    <w:name w:val="List Paragraph"/>
    <w:basedOn w:val="Normal"/>
    <w:uiPriority w:val="34"/>
    <w:qFormat/>
    <w:rsid w:val="006C2122"/>
    <w:pPr>
      <w:ind w:left="720"/>
      <w:contextualSpacing/>
    </w:pPr>
  </w:style>
  <w:style w:type="paragraph" w:customStyle="1" w:styleId="placeholder">
    <w:name w:val="placeholder"/>
    <w:basedOn w:val="Normal"/>
    <w:rsid w:val="001C21ED"/>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614F0E"/>
    <w:pPr>
      <w:spacing w:after="0" w:line="240" w:lineRule="auto"/>
    </w:pPr>
  </w:style>
  <w:style w:type="character" w:customStyle="1" w:styleId="Heading4Char">
    <w:name w:val="Heading 4 Char"/>
    <w:basedOn w:val="DefaultParagraphFont"/>
    <w:link w:val="Heading4"/>
    <w:uiPriority w:val="9"/>
    <w:semiHidden/>
    <w:rsid w:val="00614F0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14F0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14F0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14F0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14F0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14F0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14F0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14F0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14F0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14F0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14F0E"/>
    <w:rPr>
      <w:rFonts w:asciiTheme="majorHAnsi" w:eastAsiaTheme="majorEastAsia" w:hAnsiTheme="majorHAnsi" w:cstheme="majorBidi"/>
      <w:sz w:val="24"/>
      <w:szCs w:val="24"/>
    </w:rPr>
  </w:style>
  <w:style w:type="character" w:styleId="Emphasis">
    <w:name w:val="Emphasis"/>
    <w:basedOn w:val="DefaultParagraphFont"/>
    <w:uiPriority w:val="20"/>
    <w:qFormat/>
    <w:rsid w:val="00614F0E"/>
    <w:rPr>
      <w:i/>
      <w:iCs/>
    </w:rPr>
  </w:style>
  <w:style w:type="paragraph" w:styleId="Quote">
    <w:name w:val="Quote"/>
    <w:basedOn w:val="Normal"/>
    <w:next w:val="Normal"/>
    <w:link w:val="QuoteChar"/>
    <w:uiPriority w:val="29"/>
    <w:qFormat/>
    <w:rsid w:val="00614F0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14F0E"/>
    <w:rPr>
      <w:i/>
      <w:iCs/>
      <w:color w:val="404040" w:themeColor="text1" w:themeTint="BF"/>
    </w:rPr>
  </w:style>
  <w:style w:type="paragraph" w:styleId="IntenseQuote">
    <w:name w:val="Intense Quote"/>
    <w:basedOn w:val="Normal"/>
    <w:next w:val="Normal"/>
    <w:link w:val="IntenseQuoteChar"/>
    <w:uiPriority w:val="30"/>
    <w:qFormat/>
    <w:rsid w:val="00614F0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14F0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14F0E"/>
    <w:rPr>
      <w:i/>
      <w:iCs/>
      <w:color w:val="404040" w:themeColor="text1" w:themeTint="BF"/>
    </w:rPr>
  </w:style>
  <w:style w:type="character" w:styleId="IntenseEmphasis">
    <w:name w:val="Intense Emphasis"/>
    <w:basedOn w:val="DefaultParagraphFont"/>
    <w:uiPriority w:val="21"/>
    <w:qFormat/>
    <w:rsid w:val="00614F0E"/>
    <w:rPr>
      <w:b/>
      <w:bCs/>
      <w:i/>
      <w:iCs/>
    </w:rPr>
  </w:style>
  <w:style w:type="character" w:styleId="SubtleReference">
    <w:name w:val="Subtle Reference"/>
    <w:basedOn w:val="DefaultParagraphFont"/>
    <w:uiPriority w:val="31"/>
    <w:qFormat/>
    <w:rsid w:val="00614F0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14F0E"/>
    <w:rPr>
      <w:b/>
      <w:bCs/>
      <w:smallCaps/>
      <w:spacing w:val="5"/>
      <w:u w:val="single"/>
    </w:rPr>
  </w:style>
  <w:style w:type="character" w:styleId="BookTitle">
    <w:name w:val="Book Title"/>
    <w:basedOn w:val="DefaultParagraphFont"/>
    <w:uiPriority w:val="33"/>
    <w:qFormat/>
    <w:rsid w:val="00614F0E"/>
    <w:rPr>
      <w:b/>
      <w:bCs/>
      <w:smallCaps/>
    </w:rPr>
  </w:style>
  <w:style w:type="paragraph" w:styleId="TOCHeading">
    <w:name w:val="TOC Heading"/>
    <w:basedOn w:val="Heading1"/>
    <w:next w:val="Normal"/>
    <w:uiPriority w:val="39"/>
    <w:unhideWhenUsed/>
    <w:qFormat/>
    <w:rsid w:val="00614F0E"/>
    <w:pPr>
      <w:outlineLvl w:val="9"/>
    </w:pPr>
  </w:style>
  <w:style w:type="paragraph" w:styleId="TOC1">
    <w:name w:val="toc 1"/>
    <w:basedOn w:val="Normal"/>
    <w:next w:val="Normal"/>
    <w:autoRedefine/>
    <w:uiPriority w:val="39"/>
    <w:unhideWhenUsed/>
    <w:rsid w:val="006830C4"/>
    <w:pPr>
      <w:tabs>
        <w:tab w:val="left" w:pos="480"/>
        <w:tab w:val="right" w:leader="dot" w:pos="9016"/>
      </w:tabs>
      <w:spacing w:after="100"/>
    </w:pPr>
    <w:rPr>
      <w:b/>
      <w:bCs/>
      <w:noProof/>
    </w:rPr>
  </w:style>
  <w:style w:type="paragraph" w:styleId="TOC2">
    <w:name w:val="toc 2"/>
    <w:basedOn w:val="Normal"/>
    <w:next w:val="Normal"/>
    <w:autoRedefine/>
    <w:uiPriority w:val="39"/>
    <w:unhideWhenUsed/>
    <w:rsid w:val="006830C4"/>
    <w:pPr>
      <w:spacing w:after="100"/>
      <w:ind w:left="240"/>
    </w:pPr>
  </w:style>
  <w:style w:type="character" w:styleId="Hyperlink">
    <w:name w:val="Hyperlink"/>
    <w:basedOn w:val="DefaultParagraphFont"/>
    <w:uiPriority w:val="99"/>
    <w:unhideWhenUsed/>
    <w:rsid w:val="006830C4"/>
    <w:rPr>
      <w:color w:val="0563C1" w:themeColor="hyperlink"/>
      <w:u w:val="single"/>
    </w:rPr>
  </w:style>
  <w:style w:type="paragraph" w:styleId="Header">
    <w:name w:val="header"/>
    <w:basedOn w:val="Normal"/>
    <w:link w:val="HeaderChar"/>
    <w:uiPriority w:val="99"/>
    <w:unhideWhenUsed/>
    <w:rsid w:val="001D26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2685"/>
    <w:rPr>
      <w:rFonts w:ascii="Times New Roman" w:hAnsi="Times New Roman"/>
      <w:sz w:val="24"/>
    </w:rPr>
  </w:style>
  <w:style w:type="paragraph" w:styleId="Footer">
    <w:name w:val="footer"/>
    <w:basedOn w:val="Normal"/>
    <w:link w:val="FooterChar"/>
    <w:uiPriority w:val="99"/>
    <w:unhideWhenUsed/>
    <w:rsid w:val="001D26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268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279869">
      <w:bodyDiv w:val="1"/>
      <w:marLeft w:val="0"/>
      <w:marRight w:val="0"/>
      <w:marTop w:val="0"/>
      <w:marBottom w:val="0"/>
      <w:divBdr>
        <w:top w:val="none" w:sz="0" w:space="0" w:color="auto"/>
        <w:left w:val="none" w:sz="0" w:space="0" w:color="auto"/>
        <w:bottom w:val="none" w:sz="0" w:space="0" w:color="auto"/>
        <w:right w:val="none" w:sz="0" w:space="0" w:color="auto"/>
      </w:divBdr>
    </w:div>
    <w:div w:id="478420416">
      <w:bodyDiv w:val="1"/>
      <w:marLeft w:val="0"/>
      <w:marRight w:val="0"/>
      <w:marTop w:val="0"/>
      <w:marBottom w:val="0"/>
      <w:divBdr>
        <w:top w:val="none" w:sz="0" w:space="0" w:color="auto"/>
        <w:left w:val="none" w:sz="0" w:space="0" w:color="auto"/>
        <w:bottom w:val="none" w:sz="0" w:space="0" w:color="auto"/>
        <w:right w:val="none" w:sz="0" w:space="0" w:color="auto"/>
      </w:divBdr>
    </w:div>
    <w:div w:id="505562388">
      <w:bodyDiv w:val="1"/>
      <w:marLeft w:val="0"/>
      <w:marRight w:val="0"/>
      <w:marTop w:val="0"/>
      <w:marBottom w:val="0"/>
      <w:divBdr>
        <w:top w:val="none" w:sz="0" w:space="0" w:color="auto"/>
        <w:left w:val="none" w:sz="0" w:space="0" w:color="auto"/>
        <w:bottom w:val="none" w:sz="0" w:space="0" w:color="auto"/>
        <w:right w:val="none" w:sz="0" w:space="0" w:color="auto"/>
      </w:divBdr>
    </w:div>
    <w:div w:id="628048368">
      <w:bodyDiv w:val="1"/>
      <w:marLeft w:val="0"/>
      <w:marRight w:val="0"/>
      <w:marTop w:val="0"/>
      <w:marBottom w:val="0"/>
      <w:divBdr>
        <w:top w:val="none" w:sz="0" w:space="0" w:color="auto"/>
        <w:left w:val="none" w:sz="0" w:space="0" w:color="auto"/>
        <w:bottom w:val="none" w:sz="0" w:space="0" w:color="auto"/>
        <w:right w:val="none" w:sz="0" w:space="0" w:color="auto"/>
      </w:divBdr>
    </w:div>
    <w:div w:id="669723086">
      <w:bodyDiv w:val="1"/>
      <w:marLeft w:val="0"/>
      <w:marRight w:val="0"/>
      <w:marTop w:val="0"/>
      <w:marBottom w:val="0"/>
      <w:divBdr>
        <w:top w:val="none" w:sz="0" w:space="0" w:color="auto"/>
        <w:left w:val="none" w:sz="0" w:space="0" w:color="auto"/>
        <w:bottom w:val="none" w:sz="0" w:space="0" w:color="auto"/>
        <w:right w:val="none" w:sz="0" w:space="0" w:color="auto"/>
      </w:divBdr>
    </w:div>
    <w:div w:id="967010930">
      <w:bodyDiv w:val="1"/>
      <w:marLeft w:val="0"/>
      <w:marRight w:val="0"/>
      <w:marTop w:val="0"/>
      <w:marBottom w:val="0"/>
      <w:divBdr>
        <w:top w:val="none" w:sz="0" w:space="0" w:color="auto"/>
        <w:left w:val="none" w:sz="0" w:space="0" w:color="auto"/>
        <w:bottom w:val="none" w:sz="0" w:space="0" w:color="auto"/>
        <w:right w:val="none" w:sz="0" w:space="0" w:color="auto"/>
      </w:divBdr>
    </w:div>
    <w:div w:id="1532840749">
      <w:bodyDiv w:val="1"/>
      <w:marLeft w:val="0"/>
      <w:marRight w:val="0"/>
      <w:marTop w:val="0"/>
      <w:marBottom w:val="0"/>
      <w:divBdr>
        <w:top w:val="none" w:sz="0" w:space="0" w:color="auto"/>
        <w:left w:val="none" w:sz="0" w:space="0" w:color="auto"/>
        <w:bottom w:val="none" w:sz="0" w:space="0" w:color="auto"/>
        <w:right w:val="none" w:sz="0" w:space="0" w:color="auto"/>
      </w:divBdr>
      <w:divsChild>
        <w:div w:id="1670402498">
          <w:marLeft w:val="0"/>
          <w:marRight w:val="0"/>
          <w:marTop w:val="0"/>
          <w:marBottom w:val="0"/>
          <w:divBdr>
            <w:top w:val="none" w:sz="0" w:space="0" w:color="auto"/>
            <w:left w:val="none" w:sz="0" w:space="0" w:color="auto"/>
            <w:bottom w:val="none" w:sz="0" w:space="0" w:color="auto"/>
            <w:right w:val="none" w:sz="0" w:space="0" w:color="auto"/>
          </w:divBdr>
          <w:divsChild>
            <w:div w:id="1694263533">
              <w:marLeft w:val="0"/>
              <w:marRight w:val="0"/>
              <w:marTop w:val="0"/>
              <w:marBottom w:val="0"/>
              <w:divBdr>
                <w:top w:val="none" w:sz="0" w:space="0" w:color="auto"/>
                <w:left w:val="none" w:sz="0" w:space="0" w:color="auto"/>
                <w:bottom w:val="none" w:sz="0" w:space="0" w:color="auto"/>
                <w:right w:val="none" w:sz="0" w:space="0" w:color="auto"/>
              </w:divBdr>
              <w:divsChild>
                <w:div w:id="879561031">
                  <w:marLeft w:val="0"/>
                  <w:marRight w:val="0"/>
                  <w:marTop w:val="0"/>
                  <w:marBottom w:val="0"/>
                  <w:divBdr>
                    <w:top w:val="none" w:sz="0" w:space="0" w:color="auto"/>
                    <w:left w:val="none" w:sz="0" w:space="0" w:color="auto"/>
                    <w:bottom w:val="none" w:sz="0" w:space="0" w:color="auto"/>
                    <w:right w:val="none" w:sz="0" w:space="0" w:color="auto"/>
                  </w:divBdr>
                  <w:divsChild>
                    <w:div w:id="648678916">
                      <w:marLeft w:val="0"/>
                      <w:marRight w:val="0"/>
                      <w:marTop w:val="0"/>
                      <w:marBottom w:val="0"/>
                      <w:divBdr>
                        <w:top w:val="none" w:sz="0" w:space="0" w:color="auto"/>
                        <w:left w:val="none" w:sz="0" w:space="0" w:color="auto"/>
                        <w:bottom w:val="none" w:sz="0" w:space="0" w:color="auto"/>
                        <w:right w:val="none" w:sz="0" w:space="0" w:color="auto"/>
                      </w:divBdr>
                      <w:divsChild>
                        <w:div w:id="760377576">
                          <w:marLeft w:val="0"/>
                          <w:marRight w:val="0"/>
                          <w:marTop w:val="0"/>
                          <w:marBottom w:val="0"/>
                          <w:divBdr>
                            <w:top w:val="none" w:sz="0" w:space="0" w:color="auto"/>
                            <w:left w:val="none" w:sz="0" w:space="0" w:color="auto"/>
                            <w:bottom w:val="none" w:sz="0" w:space="0" w:color="auto"/>
                            <w:right w:val="none" w:sz="0" w:space="0" w:color="auto"/>
                          </w:divBdr>
                          <w:divsChild>
                            <w:div w:id="744450724">
                              <w:marLeft w:val="0"/>
                              <w:marRight w:val="0"/>
                              <w:marTop w:val="0"/>
                              <w:marBottom w:val="0"/>
                              <w:divBdr>
                                <w:top w:val="none" w:sz="0" w:space="0" w:color="auto"/>
                                <w:left w:val="none" w:sz="0" w:space="0" w:color="auto"/>
                                <w:bottom w:val="none" w:sz="0" w:space="0" w:color="auto"/>
                                <w:right w:val="none" w:sz="0" w:space="0" w:color="auto"/>
                              </w:divBdr>
                              <w:divsChild>
                                <w:div w:id="1571578838">
                                  <w:marLeft w:val="0"/>
                                  <w:marRight w:val="0"/>
                                  <w:marTop w:val="0"/>
                                  <w:marBottom w:val="0"/>
                                  <w:divBdr>
                                    <w:top w:val="none" w:sz="0" w:space="0" w:color="auto"/>
                                    <w:left w:val="none" w:sz="0" w:space="0" w:color="auto"/>
                                    <w:bottom w:val="none" w:sz="0" w:space="0" w:color="auto"/>
                                    <w:right w:val="none" w:sz="0" w:space="0" w:color="auto"/>
                                  </w:divBdr>
                                  <w:divsChild>
                                    <w:div w:id="151915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8456320">
          <w:marLeft w:val="0"/>
          <w:marRight w:val="0"/>
          <w:marTop w:val="0"/>
          <w:marBottom w:val="0"/>
          <w:divBdr>
            <w:top w:val="none" w:sz="0" w:space="0" w:color="auto"/>
            <w:left w:val="none" w:sz="0" w:space="0" w:color="auto"/>
            <w:bottom w:val="none" w:sz="0" w:space="0" w:color="auto"/>
            <w:right w:val="none" w:sz="0" w:space="0" w:color="auto"/>
          </w:divBdr>
          <w:divsChild>
            <w:div w:id="1382050651">
              <w:marLeft w:val="0"/>
              <w:marRight w:val="0"/>
              <w:marTop w:val="0"/>
              <w:marBottom w:val="0"/>
              <w:divBdr>
                <w:top w:val="none" w:sz="0" w:space="0" w:color="auto"/>
                <w:left w:val="none" w:sz="0" w:space="0" w:color="auto"/>
                <w:bottom w:val="none" w:sz="0" w:space="0" w:color="auto"/>
                <w:right w:val="none" w:sz="0" w:space="0" w:color="auto"/>
              </w:divBdr>
              <w:divsChild>
                <w:div w:id="1395469724">
                  <w:marLeft w:val="0"/>
                  <w:marRight w:val="0"/>
                  <w:marTop w:val="0"/>
                  <w:marBottom w:val="0"/>
                  <w:divBdr>
                    <w:top w:val="none" w:sz="0" w:space="0" w:color="auto"/>
                    <w:left w:val="none" w:sz="0" w:space="0" w:color="auto"/>
                    <w:bottom w:val="none" w:sz="0" w:space="0" w:color="auto"/>
                    <w:right w:val="none" w:sz="0" w:space="0" w:color="auto"/>
                  </w:divBdr>
                  <w:divsChild>
                    <w:div w:id="649597565">
                      <w:marLeft w:val="0"/>
                      <w:marRight w:val="0"/>
                      <w:marTop w:val="0"/>
                      <w:marBottom w:val="0"/>
                      <w:divBdr>
                        <w:top w:val="none" w:sz="0" w:space="0" w:color="auto"/>
                        <w:left w:val="none" w:sz="0" w:space="0" w:color="auto"/>
                        <w:bottom w:val="none" w:sz="0" w:space="0" w:color="auto"/>
                        <w:right w:val="none" w:sz="0" w:space="0" w:color="auto"/>
                      </w:divBdr>
                      <w:divsChild>
                        <w:div w:id="219026528">
                          <w:marLeft w:val="0"/>
                          <w:marRight w:val="0"/>
                          <w:marTop w:val="0"/>
                          <w:marBottom w:val="0"/>
                          <w:divBdr>
                            <w:top w:val="none" w:sz="0" w:space="0" w:color="auto"/>
                            <w:left w:val="none" w:sz="0" w:space="0" w:color="auto"/>
                            <w:bottom w:val="none" w:sz="0" w:space="0" w:color="auto"/>
                            <w:right w:val="none" w:sz="0" w:space="0" w:color="auto"/>
                          </w:divBdr>
                          <w:divsChild>
                            <w:div w:id="824515206">
                              <w:marLeft w:val="0"/>
                              <w:marRight w:val="0"/>
                              <w:marTop w:val="0"/>
                              <w:marBottom w:val="0"/>
                              <w:divBdr>
                                <w:top w:val="none" w:sz="0" w:space="0" w:color="auto"/>
                                <w:left w:val="none" w:sz="0" w:space="0" w:color="auto"/>
                                <w:bottom w:val="none" w:sz="0" w:space="0" w:color="auto"/>
                                <w:right w:val="none" w:sz="0" w:space="0" w:color="auto"/>
                              </w:divBdr>
                              <w:divsChild>
                                <w:div w:id="1900480020">
                                  <w:marLeft w:val="0"/>
                                  <w:marRight w:val="0"/>
                                  <w:marTop w:val="0"/>
                                  <w:marBottom w:val="0"/>
                                  <w:divBdr>
                                    <w:top w:val="none" w:sz="0" w:space="0" w:color="auto"/>
                                    <w:left w:val="none" w:sz="0" w:space="0" w:color="auto"/>
                                    <w:bottom w:val="none" w:sz="0" w:space="0" w:color="auto"/>
                                    <w:right w:val="none" w:sz="0" w:space="0" w:color="auto"/>
                                  </w:divBdr>
                                  <w:divsChild>
                                    <w:div w:id="1070615757">
                                      <w:marLeft w:val="0"/>
                                      <w:marRight w:val="0"/>
                                      <w:marTop w:val="0"/>
                                      <w:marBottom w:val="0"/>
                                      <w:divBdr>
                                        <w:top w:val="none" w:sz="0" w:space="0" w:color="auto"/>
                                        <w:left w:val="none" w:sz="0" w:space="0" w:color="auto"/>
                                        <w:bottom w:val="none" w:sz="0" w:space="0" w:color="auto"/>
                                        <w:right w:val="none" w:sz="0" w:space="0" w:color="auto"/>
                                      </w:divBdr>
                                      <w:divsChild>
                                        <w:div w:id="60542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0706223">
      <w:bodyDiv w:val="1"/>
      <w:marLeft w:val="0"/>
      <w:marRight w:val="0"/>
      <w:marTop w:val="0"/>
      <w:marBottom w:val="0"/>
      <w:divBdr>
        <w:top w:val="none" w:sz="0" w:space="0" w:color="auto"/>
        <w:left w:val="none" w:sz="0" w:space="0" w:color="auto"/>
        <w:bottom w:val="none" w:sz="0" w:space="0" w:color="auto"/>
        <w:right w:val="none" w:sz="0" w:space="0" w:color="auto"/>
      </w:divBdr>
      <w:divsChild>
        <w:div w:id="1538932643">
          <w:marLeft w:val="0"/>
          <w:marRight w:val="0"/>
          <w:marTop w:val="0"/>
          <w:marBottom w:val="0"/>
          <w:divBdr>
            <w:top w:val="none" w:sz="0" w:space="0" w:color="auto"/>
            <w:left w:val="none" w:sz="0" w:space="0" w:color="auto"/>
            <w:bottom w:val="none" w:sz="0" w:space="0" w:color="auto"/>
            <w:right w:val="none" w:sz="0" w:space="0" w:color="auto"/>
          </w:divBdr>
          <w:divsChild>
            <w:div w:id="1612930200">
              <w:marLeft w:val="0"/>
              <w:marRight w:val="0"/>
              <w:marTop w:val="0"/>
              <w:marBottom w:val="0"/>
              <w:divBdr>
                <w:top w:val="none" w:sz="0" w:space="0" w:color="auto"/>
                <w:left w:val="none" w:sz="0" w:space="0" w:color="auto"/>
                <w:bottom w:val="none" w:sz="0" w:space="0" w:color="auto"/>
                <w:right w:val="none" w:sz="0" w:space="0" w:color="auto"/>
              </w:divBdr>
              <w:divsChild>
                <w:div w:id="300233123">
                  <w:marLeft w:val="0"/>
                  <w:marRight w:val="0"/>
                  <w:marTop w:val="0"/>
                  <w:marBottom w:val="0"/>
                  <w:divBdr>
                    <w:top w:val="none" w:sz="0" w:space="0" w:color="auto"/>
                    <w:left w:val="none" w:sz="0" w:space="0" w:color="auto"/>
                    <w:bottom w:val="none" w:sz="0" w:space="0" w:color="auto"/>
                    <w:right w:val="none" w:sz="0" w:space="0" w:color="auto"/>
                  </w:divBdr>
                  <w:divsChild>
                    <w:div w:id="1814247648">
                      <w:marLeft w:val="0"/>
                      <w:marRight w:val="0"/>
                      <w:marTop w:val="0"/>
                      <w:marBottom w:val="0"/>
                      <w:divBdr>
                        <w:top w:val="none" w:sz="0" w:space="0" w:color="auto"/>
                        <w:left w:val="none" w:sz="0" w:space="0" w:color="auto"/>
                        <w:bottom w:val="none" w:sz="0" w:space="0" w:color="auto"/>
                        <w:right w:val="none" w:sz="0" w:space="0" w:color="auto"/>
                      </w:divBdr>
                      <w:divsChild>
                        <w:div w:id="203907021">
                          <w:marLeft w:val="0"/>
                          <w:marRight w:val="0"/>
                          <w:marTop w:val="0"/>
                          <w:marBottom w:val="0"/>
                          <w:divBdr>
                            <w:top w:val="none" w:sz="0" w:space="0" w:color="auto"/>
                            <w:left w:val="none" w:sz="0" w:space="0" w:color="auto"/>
                            <w:bottom w:val="none" w:sz="0" w:space="0" w:color="auto"/>
                            <w:right w:val="none" w:sz="0" w:space="0" w:color="auto"/>
                          </w:divBdr>
                          <w:divsChild>
                            <w:div w:id="617834423">
                              <w:marLeft w:val="0"/>
                              <w:marRight w:val="0"/>
                              <w:marTop w:val="0"/>
                              <w:marBottom w:val="0"/>
                              <w:divBdr>
                                <w:top w:val="none" w:sz="0" w:space="0" w:color="auto"/>
                                <w:left w:val="none" w:sz="0" w:space="0" w:color="auto"/>
                                <w:bottom w:val="none" w:sz="0" w:space="0" w:color="auto"/>
                                <w:right w:val="none" w:sz="0" w:space="0" w:color="auto"/>
                              </w:divBdr>
                              <w:divsChild>
                                <w:div w:id="1571117710">
                                  <w:marLeft w:val="0"/>
                                  <w:marRight w:val="0"/>
                                  <w:marTop w:val="0"/>
                                  <w:marBottom w:val="0"/>
                                  <w:divBdr>
                                    <w:top w:val="none" w:sz="0" w:space="0" w:color="auto"/>
                                    <w:left w:val="none" w:sz="0" w:space="0" w:color="auto"/>
                                    <w:bottom w:val="none" w:sz="0" w:space="0" w:color="auto"/>
                                    <w:right w:val="none" w:sz="0" w:space="0" w:color="auto"/>
                                  </w:divBdr>
                                  <w:divsChild>
                                    <w:div w:id="1467625526">
                                      <w:marLeft w:val="0"/>
                                      <w:marRight w:val="0"/>
                                      <w:marTop w:val="0"/>
                                      <w:marBottom w:val="0"/>
                                      <w:divBdr>
                                        <w:top w:val="none" w:sz="0" w:space="0" w:color="auto"/>
                                        <w:left w:val="none" w:sz="0" w:space="0" w:color="auto"/>
                                        <w:bottom w:val="none" w:sz="0" w:space="0" w:color="auto"/>
                                        <w:right w:val="none" w:sz="0" w:space="0" w:color="auto"/>
                                      </w:divBdr>
                                      <w:divsChild>
                                        <w:div w:id="1809861416">
                                          <w:marLeft w:val="0"/>
                                          <w:marRight w:val="0"/>
                                          <w:marTop w:val="0"/>
                                          <w:marBottom w:val="0"/>
                                          <w:divBdr>
                                            <w:top w:val="none" w:sz="0" w:space="0" w:color="auto"/>
                                            <w:left w:val="none" w:sz="0" w:space="0" w:color="auto"/>
                                            <w:bottom w:val="none" w:sz="0" w:space="0" w:color="auto"/>
                                            <w:right w:val="none" w:sz="0" w:space="0" w:color="auto"/>
                                          </w:divBdr>
                                          <w:divsChild>
                                            <w:div w:id="604924938">
                                              <w:marLeft w:val="0"/>
                                              <w:marRight w:val="0"/>
                                              <w:marTop w:val="0"/>
                                              <w:marBottom w:val="0"/>
                                              <w:divBdr>
                                                <w:top w:val="none" w:sz="0" w:space="0" w:color="auto"/>
                                                <w:left w:val="none" w:sz="0" w:space="0" w:color="auto"/>
                                                <w:bottom w:val="none" w:sz="0" w:space="0" w:color="auto"/>
                                                <w:right w:val="none" w:sz="0" w:space="0" w:color="auto"/>
                                              </w:divBdr>
                                              <w:divsChild>
                                                <w:div w:id="1801725645">
                                                  <w:marLeft w:val="0"/>
                                                  <w:marRight w:val="0"/>
                                                  <w:marTop w:val="0"/>
                                                  <w:marBottom w:val="0"/>
                                                  <w:divBdr>
                                                    <w:top w:val="none" w:sz="0" w:space="0" w:color="auto"/>
                                                    <w:left w:val="none" w:sz="0" w:space="0" w:color="auto"/>
                                                    <w:bottom w:val="none" w:sz="0" w:space="0" w:color="auto"/>
                                                    <w:right w:val="none" w:sz="0" w:space="0" w:color="auto"/>
                                                  </w:divBdr>
                                                  <w:divsChild>
                                                    <w:div w:id="2133746751">
                                                      <w:marLeft w:val="0"/>
                                                      <w:marRight w:val="0"/>
                                                      <w:marTop w:val="0"/>
                                                      <w:marBottom w:val="0"/>
                                                      <w:divBdr>
                                                        <w:top w:val="none" w:sz="0" w:space="0" w:color="auto"/>
                                                        <w:left w:val="none" w:sz="0" w:space="0" w:color="auto"/>
                                                        <w:bottom w:val="none" w:sz="0" w:space="0" w:color="auto"/>
                                                        <w:right w:val="none" w:sz="0" w:space="0" w:color="auto"/>
                                                      </w:divBdr>
                                                      <w:divsChild>
                                                        <w:div w:id="634724885">
                                                          <w:marLeft w:val="0"/>
                                                          <w:marRight w:val="0"/>
                                                          <w:marTop w:val="0"/>
                                                          <w:marBottom w:val="0"/>
                                                          <w:divBdr>
                                                            <w:top w:val="none" w:sz="0" w:space="0" w:color="auto"/>
                                                            <w:left w:val="none" w:sz="0" w:space="0" w:color="auto"/>
                                                            <w:bottom w:val="none" w:sz="0" w:space="0" w:color="auto"/>
                                                            <w:right w:val="none" w:sz="0" w:space="0" w:color="auto"/>
                                                          </w:divBdr>
                                                          <w:divsChild>
                                                            <w:div w:id="655304377">
                                                              <w:marLeft w:val="0"/>
                                                              <w:marRight w:val="0"/>
                                                              <w:marTop w:val="0"/>
                                                              <w:marBottom w:val="0"/>
                                                              <w:divBdr>
                                                                <w:top w:val="none" w:sz="0" w:space="0" w:color="auto"/>
                                                                <w:left w:val="none" w:sz="0" w:space="0" w:color="auto"/>
                                                                <w:bottom w:val="none" w:sz="0" w:space="0" w:color="auto"/>
                                                                <w:right w:val="none" w:sz="0" w:space="0" w:color="auto"/>
                                                              </w:divBdr>
                                                              <w:divsChild>
                                                                <w:div w:id="138911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091992">
                                      <w:marLeft w:val="0"/>
                                      <w:marRight w:val="0"/>
                                      <w:marTop w:val="0"/>
                                      <w:marBottom w:val="0"/>
                                      <w:divBdr>
                                        <w:top w:val="none" w:sz="0" w:space="0" w:color="auto"/>
                                        <w:left w:val="none" w:sz="0" w:space="0" w:color="auto"/>
                                        <w:bottom w:val="none" w:sz="0" w:space="0" w:color="auto"/>
                                        <w:right w:val="none" w:sz="0" w:space="0" w:color="auto"/>
                                      </w:divBdr>
                                      <w:divsChild>
                                        <w:div w:id="321853934">
                                          <w:marLeft w:val="0"/>
                                          <w:marRight w:val="0"/>
                                          <w:marTop w:val="0"/>
                                          <w:marBottom w:val="0"/>
                                          <w:divBdr>
                                            <w:top w:val="none" w:sz="0" w:space="0" w:color="auto"/>
                                            <w:left w:val="none" w:sz="0" w:space="0" w:color="auto"/>
                                            <w:bottom w:val="none" w:sz="0" w:space="0" w:color="auto"/>
                                            <w:right w:val="none" w:sz="0" w:space="0" w:color="auto"/>
                                          </w:divBdr>
                                          <w:divsChild>
                                            <w:div w:id="1858883547">
                                              <w:marLeft w:val="0"/>
                                              <w:marRight w:val="0"/>
                                              <w:marTop w:val="0"/>
                                              <w:marBottom w:val="0"/>
                                              <w:divBdr>
                                                <w:top w:val="none" w:sz="0" w:space="0" w:color="auto"/>
                                                <w:left w:val="none" w:sz="0" w:space="0" w:color="auto"/>
                                                <w:bottom w:val="none" w:sz="0" w:space="0" w:color="auto"/>
                                                <w:right w:val="none" w:sz="0" w:space="0" w:color="auto"/>
                                              </w:divBdr>
                                              <w:divsChild>
                                                <w:div w:id="1065377665">
                                                  <w:marLeft w:val="0"/>
                                                  <w:marRight w:val="0"/>
                                                  <w:marTop w:val="0"/>
                                                  <w:marBottom w:val="0"/>
                                                  <w:divBdr>
                                                    <w:top w:val="none" w:sz="0" w:space="0" w:color="auto"/>
                                                    <w:left w:val="none" w:sz="0" w:space="0" w:color="auto"/>
                                                    <w:bottom w:val="none" w:sz="0" w:space="0" w:color="auto"/>
                                                    <w:right w:val="none" w:sz="0" w:space="0" w:color="auto"/>
                                                  </w:divBdr>
                                                  <w:divsChild>
                                                    <w:div w:id="1660226405">
                                                      <w:marLeft w:val="0"/>
                                                      <w:marRight w:val="0"/>
                                                      <w:marTop w:val="0"/>
                                                      <w:marBottom w:val="0"/>
                                                      <w:divBdr>
                                                        <w:top w:val="none" w:sz="0" w:space="0" w:color="auto"/>
                                                        <w:left w:val="none" w:sz="0" w:space="0" w:color="auto"/>
                                                        <w:bottom w:val="none" w:sz="0" w:space="0" w:color="auto"/>
                                                        <w:right w:val="none" w:sz="0" w:space="0" w:color="auto"/>
                                                      </w:divBdr>
                                                      <w:divsChild>
                                                        <w:div w:id="178128455">
                                                          <w:marLeft w:val="0"/>
                                                          <w:marRight w:val="0"/>
                                                          <w:marTop w:val="0"/>
                                                          <w:marBottom w:val="0"/>
                                                          <w:divBdr>
                                                            <w:top w:val="none" w:sz="0" w:space="0" w:color="auto"/>
                                                            <w:left w:val="none" w:sz="0" w:space="0" w:color="auto"/>
                                                            <w:bottom w:val="none" w:sz="0" w:space="0" w:color="auto"/>
                                                            <w:right w:val="none" w:sz="0" w:space="0" w:color="auto"/>
                                                          </w:divBdr>
                                                          <w:divsChild>
                                                            <w:div w:id="565385668">
                                                              <w:marLeft w:val="0"/>
                                                              <w:marRight w:val="0"/>
                                                              <w:marTop w:val="0"/>
                                                              <w:marBottom w:val="0"/>
                                                              <w:divBdr>
                                                                <w:top w:val="none" w:sz="0" w:space="0" w:color="auto"/>
                                                                <w:left w:val="none" w:sz="0" w:space="0" w:color="auto"/>
                                                                <w:bottom w:val="none" w:sz="0" w:space="0" w:color="auto"/>
                                                                <w:right w:val="none" w:sz="0" w:space="0" w:color="auto"/>
                                                              </w:divBdr>
                                                              <w:divsChild>
                                                                <w:div w:id="1161655729">
                                                                  <w:marLeft w:val="0"/>
                                                                  <w:marRight w:val="0"/>
                                                                  <w:marTop w:val="0"/>
                                                                  <w:marBottom w:val="0"/>
                                                                  <w:divBdr>
                                                                    <w:top w:val="none" w:sz="0" w:space="0" w:color="auto"/>
                                                                    <w:left w:val="none" w:sz="0" w:space="0" w:color="auto"/>
                                                                    <w:bottom w:val="none" w:sz="0" w:space="0" w:color="auto"/>
                                                                    <w:right w:val="none" w:sz="0" w:space="0" w:color="auto"/>
                                                                  </w:divBdr>
                                                                  <w:divsChild>
                                                                    <w:div w:id="333800256">
                                                                      <w:marLeft w:val="0"/>
                                                                      <w:marRight w:val="0"/>
                                                                      <w:marTop w:val="0"/>
                                                                      <w:marBottom w:val="0"/>
                                                                      <w:divBdr>
                                                                        <w:top w:val="none" w:sz="0" w:space="0" w:color="auto"/>
                                                                        <w:left w:val="none" w:sz="0" w:space="0" w:color="auto"/>
                                                                        <w:bottom w:val="none" w:sz="0" w:space="0" w:color="auto"/>
                                                                        <w:right w:val="none" w:sz="0" w:space="0" w:color="auto"/>
                                                                      </w:divBdr>
                                                                      <w:divsChild>
                                                                        <w:div w:id="30955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5625953">
      <w:bodyDiv w:val="1"/>
      <w:marLeft w:val="0"/>
      <w:marRight w:val="0"/>
      <w:marTop w:val="0"/>
      <w:marBottom w:val="0"/>
      <w:divBdr>
        <w:top w:val="none" w:sz="0" w:space="0" w:color="auto"/>
        <w:left w:val="none" w:sz="0" w:space="0" w:color="auto"/>
        <w:bottom w:val="none" w:sz="0" w:space="0" w:color="auto"/>
        <w:right w:val="none" w:sz="0" w:space="0" w:color="auto"/>
      </w:divBdr>
      <w:divsChild>
        <w:div w:id="379288854">
          <w:marLeft w:val="0"/>
          <w:marRight w:val="0"/>
          <w:marTop w:val="0"/>
          <w:marBottom w:val="0"/>
          <w:divBdr>
            <w:top w:val="none" w:sz="0" w:space="0" w:color="auto"/>
            <w:left w:val="none" w:sz="0" w:space="0" w:color="auto"/>
            <w:bottom w:val="none" w:sz="0" w:space="0" w:color="auto"/>
            <w:right w:val="none" w:sz="0" w:space="0" w:color="auto"/>
          </w:divBdr>
          <w:divsChild>
            <w:div w:id="1578828530">
              <w:marLeft w:val="0"/>
              <w:marRight w:val="0"/>
              <w:marTop w:val="0"/>
              <w:marBottom w:val="0"/>
              <w:divBdr>
                <w:top w:val="none" w:sz="0" w:space="0" w:color="auto"/>
                <w:left w:val="none" w:sz="0" w:space="0" w:color="auto"/>
                <w:bottom w:val="none" w:sz="0" w:space="0" w:color="auto"/>
                <w:right w:val="none" w:sz="0" w:space="0" w:color="auto"/>
              </w:divBdr>
              <w:divsChild>
                <w:div w:id="311983395">
                  <w:marLeft w:val="0"/>
                  <w:marRight w:val="0"/>
                  <w:marTop w:val="0"/>
                  <w:marBottom w:val="0"/>
                  <w:divBdr>
                    <w:top w:val="none" w:sz="0" w:space="0" w:color="auto"/>
                    <w:left w:val="none" w:sz="0" w:space="0" w:color="auto"/>
                    <w:bottom w:val="none" w:sz="0" w:space="0" w:color="auto"/>
                    <w:right w:val="none" w:sz="0" w:space="0" w:color="auto"/>
                  </w:divBdr>
                  <w:divsChild>
                    <w:div w:id="825824828">
                      <w:marLeft w:val="0"/>
                      <w:marRight w:val="0"/>
                      <w:marTop w:val="0"/>
                      <w:marBottom w:val="0"/>
                      <w:divBdr>
                        <w:top w:val="none" w:sz="0" w:space="0" w:color="auto"/>
                        <w:left w:val="none" w:sz="0" w:space="0" w:color="auto"/>
                        <w:bottom w:val="none" w:sz="0" w:space="0" w:color="auto"/>
                        <w:right w:val="none" w:sz="0" w:space="0" w:color="auto"/>
                      </w:divBdr>
                      <w:divsChild>
                        <w:div w:id="1102797775">
                          <w:marLeft w:val="0"/>
                          <w:marRight w:val="0"/>
                          <w:marTop w:val="0"/>
                          <w:marBottom w:val="0"/>
                          <w:divBdr>
                            <w:top w:val="none" w:sz="0" w:space="0" w:color="auto"/>
                            <w:left w:val="none" w:sz="0" w:space="0" w:color="auto"/>
                            <w:bottom w:val="none" w:sz="0" w:space="0" w:color="auto"/>
                            <w:right w:val="none" w:sz="0" w:space="0" w:color="auto"/>
                          </w:divBdr>
                          <w:divsChild>
                            <w:div w:id="592326678">
                              <w:marLeft w:val="0"/>
                              <w:marRight w:val="0"/>
                              <w:marTop w:val="0"/>
                              <w:marBottom w:val="0"/>
                              <w:divBdr>
                                <w:top w:val="none" w:sz="0" w:space="0" w:color="auto"/>
                                <w:left w:val="none" w:sz="0" w:space="0" w:color="auto"/>
                                <w:bottom w:val="none" w:sz="0" w:space="0" w:color="auto"/>
                                <w:right w:val="none" w:sz="0" w:space="0" w:color="auto"/>
                              </w:divBdr>
                              <w:divsChild>
                                <w:div w:id="289749290">
                                  <w:marLeft w:val="0"/>
                                  <w:marRight w:val="0"/>
                                  <w:marTop w:val="0"/>
                                  <w:marBottom w:val="0"/>
                                  <w:divBdr>
                                    <w:top w:val="none" w:sz="0" w:space="0" w:color="auto"/>
                                    <w:left w:val="none" w:sz="0" w:space="0" w:color="auto"/>
                                    <w:bottom w:val="none" w:sz="0" w:space="0" w:color="auto"/>
                                    <w:right w:val="none" w:sz="0" w:space="0" w:color="auto"/>
                                  </w:divBdr>
                                  <w:divsChild>
                                    <w:div w:id="778061669">
                                      <w:marLeft w:val="0"/>
                                      <w:marRight w:val="0"/>
                                      <w:marTop w:val="0"/>
                                      <w:marBottom w:val="0"/>
                                      <w:divBdr>
                                        <w:top w:val="none" w:sz="0" w:space="0" w:color="auto"/>
                                        <w:left w:val="none" w:sz="0" w:space="0" w:color="auto"/>
                                        <w:bottom w:val="none" w:sz="0" w:space="0" w:color="auto"/>
                                        <w:right w:val="none" w:sz="0" w:space="0" w:color="auto"/>
                                      </w:divBdr>
                                      <w:divsChild>
                                        <w:div w:id="235819145">
                                          <w:marLeft w:val="0"/>
                                          <w:marRight w:val="0"/>
                                          <w:marTop w:val="0"/>
                                          <w:marBottom w:val="0"/>
                                          <w:divBdr>
                                            <w:top w:val="none" w:sz="0" w:space="0" w:color="auto"/>
                                            <w:left w:val="none" w:sz="0" w:space="0" w:color="auto"/>
                                            <w:bottom w:val="none" w:sz="0" w:space="0" w:color="auto"/>
                                            <w:right w:val="none" w:sz="0" w:space="0" w:color="auto"/>
                                          </w:divBdr>
                                          <w:divsChild>
                                            <w:div w:id="1968316652">
                                              <w:marLeft w:val="0"/>
                                              <w:marRight w:val="0"/>
                                              <w:marTop w:val="0"/>
                                              <w:marBottom w:val="0"/>
                                              <w:divBdr>
                                                <w:top w:val="none" w:sz="0" w:space="0" w:color="auto"/>
                                                <w:left w:val="none" w:sz="0" w:space="0" w:color="auto"/>
                                                <w:bottom w:val="none" w:sz="0" w:space="0" w:color="auto"/>
                                                <w:right w:val="none" w:sz="0" w:space="0" w:color="auto"/>
                                              </w:divBdr>
                                              <w:divsChild>
                                                <w:div w:id="105538476">
                                                  <w:marLeft w:val="0"/>
                                                  <w:marRight w:val="0"/>
                                                  <w:marTop w:val="0"/>
                                                  <w:marBottom w:val="0"/>
                                                  <w:divBdr>
                                                    <w:top w:val="none" w:sz="0" w:space="0" w:color="auto"/>
                                                    <w:left w:val="none" w:sz="0" w:space="0" w:color="auto"/>
                                                    <w:bottom w:val="none" w:sz="0" w:space="0" w:color="auto"/>
                                                    <w:right w:val="none" w:sz="0" w:space="0" w:color="auto"/>
                                                  </w:divBdr>
                                                  <w:divsChild>
                                                    <w:div w:id="1093818918">
                                                      <w:marLeft w:val="0"/>
                                                      <w:marRight w:val="0"/>
                                                      <w:marTop w:val="0"/>
                                                      <w:marBottom w:val="0"/>
                                                      <w:divBdr>
                                                        <w:top w:val="none" w:sz="0" w:space="0" w:color="auto"/>
                                                        <w:left w:val="none" w:sz="0" w:space="0" w:color="auto"/>
                                                        <w:bottom w:val="none" w:sz="0" w:space="0" w:color="auto"/>
                                                        <w:right w:val="none" w:sz="0" w:space="0" w:color="auto"/>
                                                      </w:divBdr>
                                                      <w:divsChild>
                                                        <w:div w:id="1057170543">
                                                          <w:marLeft w:val="0"/>
                                                          <w:marRight w:val="0"/>
                                                          <w:marTop w:val="0"/>
                                                          <w:marBottom w:val="0"/>
                                                          <w:divBdr>
                                                            <w:top w:val="none" w:sz="0" w:space="0" w:color="auto"/>
                                                            <w:left w:val="none" w:sz="0" w:space="0" w:color="auto"/>
                                                            <w:bottom w:val="none" w:sz="0" w:space="0" w:color="auto"/>
                                                            <w:right w:val="none" w:sz="0" w:space="0" w:color="auto"/>
                                                          </w:divBdr>
                                                          <w:divsChild>
                                                            <w:div w:id="38209478">
                                                              <w:marLeft w:val="0"/>
                                                              <w:marRight w:val="0"/>
                                                              <w:marTop w:val="0"/>
                                                              <w:marBottom w:val="0"/>
                                                              <w:divBdr>
                                                                <w:top w:val="none" w:sz="0" w:space="0" w:color="auto"/>
                                                                <w:left w:val="none" w:sz="0" w:space="0" w:color="auto"/>
                                                                <w:bottom w:val="none" w:sz="0" w:space="0" w:color="auto"/>
                                                                <w:right w:val="none" w:sz="0" w:space="0" w:color="auto"/>
                                                              </w:divBdr>
                                                              <w:divsChild>
                                                                <w:div w:id="201676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0907851">
                                      <w:marLeft w:val="0"/>
                                      <w:marRight w:val="0"/>
                                      <w:marTop w:val="0"/>
                                      <w:marBottom w:val="0"/>
                                      <w:divBdr>
                                        <w:top w:val="none" w:sz="0" w:space="0" w:color="auto"/>
                                        <w:left w:val="none" w:sz="0" w:space="0" w:color="auto"/>
                                        <w:bottom w:val="none" w:sz="0" w:space="0" w:color="auto"/>
                                        <w:right w:val="none" w:sz="0" w:space="0" w:color="auto"/>
                                      </w:divBdr>
                                      <w:divsChild>
                                        <w:div w:id="1828129167">
                                          <w:marLeft w:val="0"/>
                                          <w:marRight w:val="0"/>
                                          <w:marTop w:val="0"/>
                                          <w:marBottom w:val="0"/>
                                          <w:divBdr>
                                            <w:top w:val="none" w:sz="0" w:space="0" w:color="auto"/>
                                            <w:left w:val="none" w:sz="0" w:space="0" w:color="auto"/>
                                            <w:bottom w:val="none" w:sz="0" w:space="0" w:color="auto"/>
                                            <w:right w:val="none" w:sz="0" w:space="0" w:color="auto"/>
                                          </w:divBdr>
                                          <w:divsChild>
                                            <w:div w:id="1127747558">
                                              <w:marLeft w:val="0"/>
                                              <w:marRight w:val="0"/>
                                              <w:marTop w:val="0"/>
                                              <w:marBottom w:val="0"/>
                                              <w:divBdr>
                                                <w:top w:val="none" w:sz="0" w:space="0" w:color="auto"/>
                                                <w:left w:val="none" w:sz="0" w:space="0" w:color="auto"/>
                                                <w:bottom w:val="none" w:sz="0" w:space="0" w:color="auto"/>
                                                <w:right w:val="none" w:sz="0" w:space="0" w:color="auto"/>
                                              </w:divBdr>
                                              <w:divsChild>
                                                <w:div w:id="1686519213">
                                                  <w:marLeft w:val="0"/>
                                                  <w:marRight w:val="0"/>
                                                  <w:marTop w:val="0"/>
                                                  <w:marBottom w:val="0"/>
                                                  <w:divBdr>
                                                    <w:top w:val="none" w:sz="0" w:space="0" w:color="auto"/>
                                                    <w:left w:val="none" w:sz="0" w:space="0" w:color="auto"/>
                                                    <w:bottom w:val="none" w:sz="0" w:space="0" w:color="auto"/>
                                                    <w:right w:val="none" w:sz="0" w:space="0" w:color="auto"/>
                                                  </w:divBdr>
                                                  <w:divsChild>
                                                    <w:div w:id="577594364">
                                                      <w:marLeft w:val="0"/>
                                                      <w:marRight w:val="0"/>
                                                      <w:marTop w:val="0"/>
                                                      <w:marBottom w:val="0"/>
                                                      <w:divBdr>
                                                        <w:top w:val="none" w:sz="0" w:space="0" w:color="auto"/>
                                                        <w:left w:val="none" w:sz="0" w:space="0" w:color="auto"/>
                                                        <w:bottom w:val="none" w:sz="0" w:space="0" w:color="auto"/>
                                                        <w:right w:val="none" w:sz="0" w:space="0" w:color="auto"/>
                                                      </w:divBdr>
                                                      <w:divsChild>
                                                        <w:div w:id="2140493851">
                                                          <w:marLeft w:val="0"/>
                                                          <w:marRight w:val="0"/>
                                                          <w:marTop w:val="0"/>
                                                          <w:marBottom w:val="0"/>
                                                          <w:divBdr>
                                                            <w:top w:val="none" w:sz="0" w:space="0" w:color="auto"/>
                                                            <w:left w:val="none" w:sz="0" w:space="0" w:color="auto"/>
                                                            <w:bottom w:val="none" w:sz="0" w:space="0" w:color="auto"/>
                                                            <w:right w:val="none" w:sz="0" w:space="0" w:color="auto"/>
                                                          </w:divBdr>
                                                          <w:divsChild>
                                                            <w:div w:id="520314086">
                                                              <w:marLeft w:val="0"/>
                                                              <w:marRight w:val="0"/>
                                                              <w:marTop w:val="0"/>
                                                              <w:marBottom w:val="0"/>
                                                              <w:divBdr>
                                                                <w:top w:val="none" w:sz="0" w:space="0" w:color="auto"/>
                                                                <w:left w:val="none" w:sz="0" w:space="0" w:color="auto"/>
                                                                <w:bottom w:val="none" w:sz="0" w:space="0" w:color="auto"/>
                                                                <w:right w:val="none" w:sz="0" w:space="0" w:color="auto"/>
                                                              </w:divBdr>
                                                              <w:divsChild>
                                                                <w:div w:id="1017652814">
                                                                  <w:marLeft w:val="0"/>
                                                                  <w:marRight w:val="0"/>
                                                                  <w:marTop w:val="0"/>
                                                                  <w:marBottom w:val="0"/>
                                                                  <w:divBdr>
                                                                    <w:top w:val="none" w:sz="0" w:space="0" w:color="auto"/>
                                                                    <w:left w:val="none" w:sz="0" w:space="0" w:color="auto"/>
                                                                    <w:bottom w:val="none" w:sz="0" w:space="0" w:color="auto"/>
                                                                    <w:right w:val="none" w:sz="0" w:space="0" w:color="auto"/>
                                                                  </w:divBdr>
                                                                  <w:divsChild>
                                                                    <w:div w:id="2042167828">
                                                                      <w:marLeft w:val="0"/>
                                                                      <w:marRight w:val="0"/>
                                                                      <w:marTop w:val="0"/>
                                                                      <w:marBottom w:val="0"/>
                                                                      <w:divBdr>
                                                                        <w:top w:val="none" w:sz="0" w:space="0" w:color="auto"/>
                                                                        <w:left w:val="none" w:sz="0" w:space="0" w:color="auto"/>
                                                                        <w:bottom w:val="none" w:sz="0" w:space="0" w:color="auto"/>
                                                                        <w:right w:val="none" w:sz="0" w:space="0" w:color="auto"/>
                                                                      </w:divBdr>
                                                                      <w:divsChild>
                                                                        <w:div w:id="9491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2763103">
      <w:bodyDiv w:val="1"/>
      <w:marLeft w:val="0"/>
      <w:marRight w:val="0"/>
      <w:marTop w:val="0"/>
      <w:marBottom w:val="0"/>
      <w:divBdr>
        <w:top w:val="none" w:sz="0" w:space="0" w:color="auto"/>
        <w:left w:val="none" w:sz="0" w:space="0" w:color="auto"/>
        <w:bottom w:val="none" w:sz="0" w:space="0" w:color="auto"/>
        <w:right w:val="none" w:sz="0" w:space="0" w:color="auto"/>
      </w:divBdr>
    </w:div>
    <w:div w:id="168894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D4CA2-190F-485A-916B-A72B352AC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6939</Words>
  <Characters>39558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Amin</dc:creator>
  <cp:keywords/>
  <dc:description/>
  <cp:lastModifiedBy>Naima Amin (2222407)</cp:lastModifiedBy>
  <cp:revision>2</cp:revision>
  <dcterms:created xsi:type="dcterms:W3CDTF">2026-03-15T14:42:00Z</dcterms:created>
  <dcterms:modified xsi:type="dcterms:W3CDTF">2026-03-15T14:42:00Z</dcterms:modified>
</cp:coreProperties>
</file>