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360" w:lineRule="auto"/>
        <w:rPr/>
      </w:pPr>
      <w:r w:rsidDel="00000000" w:rsidR="00000000" w:rsidRPr="00000000">
        <w:rPr>
          <w:rtl w:val="0"/>
        </w:rPr>
        <w:t xml:space="preserve">In </w:t>
      </w:r>
      <w:r w:rsidDel="00000000" w:rsidR="00000000" w:rsidRPr="00000000">
        <w:rPr>
          <w:i w:val="1"/>
          <w:rtl w:val="0"/>
        </w:rPr>
        <w:t xml:space="preserve">Successful Futures</w:t>
      </w:r>
      <w:r w:rsidDel="00000000" w:rsidR="00000000" w:rsidRPr="00000000">
        <w:rPr>
          <w:rtl w:val="0"/>
        </w:rPr>
        <w:t xml:space="preserve">, </w:t>
      </w:r>
      <w:r w:rsidDel="00000000" w:rsidR="00000000" w:rsidRPr="00000000">
        <w:rPr>
          <w:rtl w:val="0"/>
        </w:rPr>
        <w:t xml:space="preserve">Graham Donaldson (2015)</w:t>
      </w:r>
      <w:r w:rsidDel="00000000" w:rsidR="00000000" w:rsidRPr="00000000">
        <w:rPr>
          <w:rtl w:val="0"/>
        </w:rPr>
        <w:t xml:space="preserve"> highlights the historical consensus that a curriculum centred around subject knowledge is recognised as being the ‘best path’ to a thriving education. The relationship between teacher subject knowledge and effective learning and teaching in the primary school is, naturally, far from arbitrary; as stated by </w:t>
      </w:r>
      <w:r w:rsidDel="00000000" w:rsidR="00000000" w:rsidRPr="00000000">
        <w:rPr>
          <w:rtl w:val="0"/>
        </w:rPr>
        <w:t xml:space="preserve">Ofsted (2009)</w:t>
      </w:r>
      <w:r w:rsidDel="00000000" w:rsidR="00000000" w:rsidRPr="00000000">
        <w:rPr>
          <w:rtl w:val="0"/>
        </w:rPr>
        <w:t xml:space="preserve">, teacher subject knowledge has a momentous connection to the standards and achievements of pupils. Of course, it is widely agreed that subject knowledge is not the sole contribution to a functioning teaching and learning environment; thus, it is essential to consider what supports teacher subject knowledge in order to maximise this environment. </w:t>
      </w:r>
    </w:p>
    <w:p w:rsidR="00000000" w:rsidDel="00000000" w:rsidP="00000000" w:rsidRDefault="00000000" w:rsidRPr="00000000" w14:paraId="00000001">
      <w:pPr>
        <w:spacing w:line="360" w:lineRule="auto"/>
        <w:rPr/>
      </w:pPr>
      <w:r w:rsidDel="00000000" w:rsidR="00000000" w:rsidRPr="00000000">
        <w:rPr>
          <w:rtl w:val="0"/>
        </w:rPr>
      </w:r>
    </w:p>
    <w:p w:rsidR="00000000" w:rsidDel="00000000" w:rsidP="00000000" w:rsidRDefault="00000000" w:rsidRPr="00000000" w14:paraId="00000002">
      <w:pPr>
        <w:spacing w:line="360" w:lineRule="auto"/>
        <w:rPr/>
      </w:pPr>
      <w:r w:rsidDel="00000000" w:rsidR="00000000" w:rsidRPr="00000000">
        <w:rPr>
          <w:rtl w:val="0"/>
        </w:rPr>
        <w:t xml:space="preserve">In the first part of this paper, I will review three texts which explore teacher subject knowledge. Within this, I intend to highlight the implications of their content with regard to the relationship between knowledge, teaching and learning in the primary school. In the second part of this paper, I will evaluate my own teaching experience in relation to my review and other important frameworks: I believe Donaldson’s curriculum reform reflects this need for an accessible, versatile, multi-dimensional approach to the sharing of subject knowledge between teacher and pupil; I will therefore make reference to </w:t>
      </w:r>
      <w:r w:rsidDel="00000000" w:rsidR="00000000" w:rsidRPr="00000000">
        <w:rPr>
          <w:i w:val="1"/>
          <w:rtl w:val="0"/>
        </w:rPr>
        <w:t xml:space="preserve">Successful Futures </w:t>
      </w:r>
      <w:r w:rsidDel="00000000" w:rsidR="00000000" w:rsidRPr="00000000">
        <w:rPr>
          <w:rtl w:val="0"/>
        </w:rPr>
        <w:t xml:space="preserve">throughout this essay to contextualise this relationship and highlight its relevance. My essay will also be underpinned by Lee Shulman’s </w:t>
      </w:r>
      <w:r w:rsidDel="00000000" w:rsidR="00000000" w:rsidRPr="00000000">
        <w:rPr>
          <w:i w:val="1"/>
          <w:rtl w:val="0"/>
        </w:rPr>
        <w:t xml:space="preserve">Knowledge Base</w:t>
      </w:r>
      <w:r w:rsidDel="00000000" w:rsidR="00000000" w:rsidRPr="00000000">
        <w:rPr>
          <w:rtl w:val="0"/>
        </w:rPr>
        <w:t xml:space="preserve"> as a framework for exploring the connection between subject knowledge and effective learning and teaching in the primary school. By analysing this relationship, I hope to obtain a more coherent grasp of how my own teacher subject knowledge can be improved in its execution and reception. </w:t>
      </w:r>
    </w:p>
    <w:p w:rsidR="00000000" w:rsidDel="00000000" w:rsidP="00000000" w:rsidRDefault="00000000" w:rsidRPr="00000000" w14:paraId="00000003">
      <w:pPr>
        <w:spacing w:line="360" w:lineRule="auto"/>
        <w:rPr/>
      </w:pP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rtl w:val="0"/>
        </w:rPr>
        <w:t xml:space="preserve">It is undeniable that a solid understanding of subject knowledge is a mandatory requirement of a primary school teacher. In recent years, the media has criticised newly qualified teachers due to a lack of sound subject knowledge, emphasising its importance in tackling the misconceptions inevitably expressed by pupils (Richardson, 2016). </w:t>
      </w:r>
    </w:p>
    <w:p w:rsidR="00000000" w:rsidDel="00000000" w:rsidP="00000000" w:rsidRDefault="00000000" w:rsidRPr="00000000" w14:paraId="00000005">
      <w:pPr>
        <w:spacing w:line="360" w:lineRule="auto"/>
        <w:rPr/>
      </w:pPr>
      <w:r w:rsidDel="00000000" w:rsidR="00000000" w:rsidRPr="00000000">
        <w:rPr>
          <w:rtl w:val="0"/>
        </w:rPr>
      </w:r>
    </w:p>
    <w:p w:rsidR="00000000" w:rsidDel="00000000" w:rsidP="00000000" w:rsidRDefault="00000000" w:rsidRPr="00000000" w14:paraId="00000006">
      <w:pPr>
        <w:spacing w:line="360" w:lineRule="auto"/>
        <w:rPr/>
      </w:pPr>
      <w:r w:rsidDel="00000000" w:rsidR="00000000" w:rsidRPr="00000000">
        <w:rPr>
          <w:rtl w:val="0"/>
        </w:rPr>
        <w:t xml:space="preserve">Grigg (2010) proposes that it is an overly simplistic presumption that an outstanding teacher is one who is more knowledgeable in all subject areas. If this is the case, what is it that constitutes an outstanding teacher in terms of subject knowledge? Grigg goes on to make reference to Shulman’s (1987) seminal teaching reform centred around a ‘knowledge base’, a framework consisting of seven categories of knowledge that can inform a teacher’s pedagogical practice. Shulman’s concept of the knowledge base has informed many studies of the effectiveness of teacher subject knowledge, and is therefore a useful text to begin with. He begins by critiquing previous research that has been carried out to measure effective teaching, highlighting the contradiction of acceptable research strategies that were considered inappropriate policies for teacher evaluation. Considering this limitation, Shulman instead offers his knowledge base framework which proposes a more extensive list of sources for a teacher’s subject knowledge. In this, he suggests that a teacher’s knowledge base is a continuum that is ever growing and developing.</w:t>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t xml:space="preserve">Crucially, Grigg highlights three factors that form the essence of what Shulman’s knowledge base offers in a teacher-pupil relationship: </w:t>
      </w:r>
      <w:r w:rsidDel="00000000" w:rsidR="00000000" w:rsidRPr="00000000">
        <w:rPr>
          <w:rtl w:val="0"/>
        </w:rPr>
        <w:t xml:space="preserve">representation, communication and accessibility. </w:t>
      </w:r>
      <w:r w:rsidDel="00000000" w:rsidR="00000000" w:rsidRPr="00000000">
        <w:rPr>
          <w:rtl w:val="0"/>
        </w:rPr>
        <w:t xml:space="preserve"> These are elements that Grigg believes form the most significant of Shulman’s categories in the knowledge base, known as the pedagogical content knowledge (PCK). The other categories include content knowledge, general pedagogical knowledge, curriculum knowledge, knowledge of learners and characteristics, knowledge of educational contexts and knowledge of educational purposes. However, Shulman describes the PCK as the amalgamation of content knowledge and pedagogy that enable a teacher to effectively organise, present and adapt topics for a diverse range of pupils; he too acknowledges this category to be of ‘special interest’. An analysis of how a teacher with good pedagogical content knowledge is able to effectively share subject knowledge with pupils therefore bears great significance. </w:t>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line="360" w:lineRule="auto"/>
        <w:rPr/>
      </w:pPr>
      <w:r w:rsidDel="00000000" w:rsidR="00000000" w:rsidRPr="00000000">
        <w:rPr>
          <w:rtl w:val="0"/>
        </w:rPr>
        <w:t xml:space="preserve">Primarily, pedagogical content knowledge is distinguished from content knowledge by how the information is represented (Brooks, 2016). Grigg acknowledges this, and states that subject specific knowledge is only made valuable when that knowledge is represented effectively by the teacher. Supporting this is Hattie’s (2012) checklist of ‘visible learning’, which touches upon the necessity of  subject representation as presented by a teacher. In his study, he suggests that the ‘expert teacher’ is defined less by their subject knowledge but more by how the knowledge is integrated in the classroom. Hattie highlights that the ‘expert teacher’ combines new knowledge with the children’s existing knowledge, meaning that the teacher is able to appropriately adapt their teaching and, accordingly, meet the needs of each individual pupil. In doing this, Hattie refers to a ‘uniqueness’ to a teacher’s learning style and lessons which correlates with Shulman’s definition of pedagogical content knowledge that he considers to be ‘uniquely the province of teachers, their own special form of professional understanding’. </w:t>
      </w:r>
    </w:p>
    <w:p w:rsidR="00000000" w:rsidDel="00000000" w:rsidP="00000000" w:rsidRDefault="00000000" w:rsidRPr="00000000" w14:paraId="0000000B">
      <w:pPr>
        <w:spacing w:line="360" w:lineRule="auto"/>
        <w:rPr/>
      </w:pP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t xml:space="preserve">Accordingly, an effective teacher demonstrates this professional understanding through their creativity and adaptability. By nature, a classroom can be unpredictable and contingent in both its environment, circumstance and the behaviour of its pupils. Hattie goes on to describe exactly how a teacher’s unique pedagogical content knowledge can be advantageous in a teacher-pupil relationship. In addition to subject knowledge, a knowledge of the classroom’s dynamics and context is necessary in order to grasp potential thought processes of the pupils. It is therefore crucial for a teacher to be able to evaluate the children’s methods of thinking as well as their own for effective teaching and learning (Coe et al., 2014). The implications of considering all collaborative thought processes can help a teacher understand how and why pupils achieve learning objectives; a better understanding of this can therefore lead to successful outcomes for children, as subject knowledge can be communicated in a way that is personalised to the individual. Essentially, Hattie highlights this kind of representation as a crucial aspect of preparation for contingency; by knowing their classroom and pupils extensively, the teacher is able to predict what errors and misconceptions the children may demonstrate and be more responsive. Notably, the representation element of pedagogical content knowledge resonates with other categories of the knowledge base: knowledge of learners and characteristics and knowledge of educational contexts.</w:t>
      </w: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t xml:space="preserve">In relation to this is Grigg’s second factor, communication. Cremin and Arthur (2014) provide an extensive list of how knowledge can be effectively communicated, stressing the importance of teachers knowing how to bring the knowledge to life. This may include what experiments to carry out, what stories and examples to use, how to explain concepts and, of course, how to relate it to the children’s lives and interests. In this way, the communication aspect of pedagogical content knowledge fundamentally refers to the specific methods that the teacher uses to represent knowledge. Again, this refers to other categories of the knowledge base including knowledge of context and learners. Grigg also draws on this element, using the example of well-chosen literature which can ‘engage the interests of children from a young age’.</w:t>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t xml:space="preserve">As an example, Kerry’s (2015) case study of a primary school teacher highlights the improved pupil motivation elicited from the teacher’s ‘responsive planning’ as well as their own planning. Although this case study is centred around scientific interest as opposed to the literature that Grigg suggests, the principle still applies. The teacher Kerry analyses had aimed to plan a lesson about understanding how to respect the environment, and started by planning a science experiment based on an interest in insects demonstrated by a group of four boys in the class.  Notably, this individual interest became a ‘shared interest’ among the class. Kerry observes ‘as the children’s interests developed, their knowledge and purposes became more refined’.  The case study is a significant example in observing the positive effect of contextualising and adapting learning to increase pupil engagement, motivation and thus subject knowledge. </w:t>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t xml:space="preserve">Alongside effective representation and communication then comes Grigg’s final emphasised aspect of pedagogical content knowledge: accessibility. Grigg emphasises the need for teachers to dispel myths and negative preconceptions in order to make a subject accessible for all children in one way or another. Informing pupils of the lesson objective and relating learning to real life situations is key to accessible learning (Cockburn and Hanscomb, 2006). The former provides a greater sense of inclusion of children in their own learning. Fundamentally, this makes knowledge more accessible as it provides pupils with a clearer delineation of exactly what is required of them; thus, it is easier for children to maintain a focus and digest information. In </w:t>
      </w:r>
      <w:r w:rsidDel="00000000" w:rsidR="00000000" w:rsidRPr="00000000">
        <w:rPr>
          <w:i w:val="1"/>
          <w:rtl w:val="0"/>
        </w:rPr>
        <w:t xml:space="preserve">Successful Futures</w:t>
      </w:r>
      <w:r w:rsidDel="00000000" w:rsidR="00000000" w:rsidRPr="00000000">
        <w:rPr>
          <w:rtl w:val="0"/>
        </w:rPr>
        <w:t xml:space="preserve">, Donaldson emphasises the importance for this, stating that children should have access to ‘descriptions of expected achievement’ which should provide ‘headroom for those who master skills and knowledge earlier and support and intervention for those whose progress is slower’.  Additionally, Donaldson places a vast emphasis on making knowledge and learning relevant in the new ‘future-proof’ curriculum. Notably, Grigg also acknowledges the need for relevance in learning, stating that teachers must use ‘new vocabulary in suitable contexts, such as real and relevant objects’ within lessons. The effect this has on a teacher-pupil relationship is significant, highlighted by Hattie who states that expert teachers can ‘detect and concentrate more on information that has most relevance’, which results in more time efficient and productive lessons. The ability for a teacher to make knowledge relevant thus makes knowledge accessible for pupils, enhancing their engagement and progression with the subject. Shulman’s other categories ‘knowledge of educational outcomes’ and ‘knowledge of educational contexts’ - although theoretically separate from PCK - intrinsically exist within PCK, or as a result of PCK. A teacher with effective pedagogical content knowledge will make subject knowledge accessible to pupils through making lessons relevant and by articulating the educational outcome. Accessibility is therefore a central aspect to pedagogical content knowledge, as a teacher must possess a holistic grasp of how to transfer the knowledge as well as an expertise for the subject knowledge itself. </w:t>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rPr/>
      </w:pPr>
      <w:r w:rsidDel="00000000" w:rsidR="00000000" w:rsidRPr="00000000">
        <w:rPr>
          <w:rtl w:val="0"/>
        </w:rPr>
        <w:t xml:space="preserve">In essence, pedagogical content knowledge is arguably central to Shulman’s knowledge base as it informs and contributes towards all the other categories within it (Loughran and Hamilton, 2016). However, Shulman highlights how studies that has informed the knowledge base and many other forms of contributing research can be limited as case studies often take place in conventional classroom environments; In observations and case studies, Shulman also warns that children’s thought and behaviour processes can sometimes be generalised. Although Grigg’s analysis on teacher content knowledge is very subject specific (maths, literacy, science and other topics are all explored separately), Shulman believes that thorough research on subject specific knowledge can be just as useful. In the next part of my essay, I will take these limitations into consideration whilst analysing my own teaching experiences and my pupil outcomes to draw conclusions. I will take caution, however, and remember that whilst subject specific research may be transferable, there will inevitably be variables to take into consideration. </w:t>
      </w:r>
    </w:p>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t xml:space="preserve">My analysis and evaluation is based on my professional teaching experience in a Reception class with 31 pupils aged between 4-5. I will maintain professionalism and confidentiality in accordance with the BERA (2011) guidelines, protecting the identity of the school and its pupils by keeping them anonymous. My placement school was a 3-16 ‘super school’ situated in an urban location in South Wales. Within the entire primary phase were 201 pupils, with 33.1% eligible for free school meals and less than 2% who speak English as an additional language. Reception had an open-plan classroom which was shared with Nursery, and the class teacher was assisted by two teaching assistants. In detail, I will evaluate lessons I delivered in the areas of language, literacy and communication and mathematical development. I will then discuss the other five areas of learning in </w:t>
      </w:r>
      <w:r w:rsidDel="00000000" w:rsidR="00000000" w:rsidRPr="00000000">
        <w:rPr>
          <w:i w:val="1"/>
          <w:rtl w:val="0"/>
        </w:rPr>
        <w:t xml:space="preserve">Successful Futures </w:t>
      </w:r>
      <w:r w:rsidDel="00000000" w:rsidR="00000000" w:rsidRPr="00000000">
        <w:rPr>
          <w:rtl w:val="0"/>
        </w:rPr>
        <w:t xml:space="preserve">in relation to my teaching experience, evaluating how subject knowledge affected my teaching and learning on placement. </w:t>
      </w:r>
    </w:p>
    <w:p w:rsidR="00000000" w:rsidDel="00000000" w:rsidP="00000000" w:rsidRDefault="00000000" w:rsidRPr="00000000" w14:paraId="00000018">
      <w:pPr>
        <w:spacing w:line="360" w:lineRule="auto"/>
        <w:rPr>
          <w:u w:val="single"/>
        </w:rPr>
      </w:pPr>
      <w:r w:rsidDel="00000000" w:rsidR="00000000" w:rsidRPr="00000000">
        <w:rPr>
          <w:rtl w:val="0"/>
        </w:rPr>
      </w:r>
    </w:p>
    <w:p w:rsidR="00000000" w:rsidDel="00000000" w:rsidP="00000000" w:rsidRDefault="00000000" w:rsidRPr="00000000" w14:paraId="00000019">
      <w:pPr>
        <w:spacing w:line="360" w:lineRule="auto"/>
        <w:rPr/>
      </w:pPr>
      <w:r w:rsidDel="00000000" w:rsidR="00000000" w:rsidRPr="00000000">
        <w:rPr>
          <w:rtl w:val="0"/>
        </w:rPr>
        <w:t xml:space="preserve">Mathematical development is an area of learning that is admittedly my weakest in terms of subject knowledge. Due to my placement being in a Reception class, however, the knowledge of maths I needed was in its most simple form. Although this may have been the case, it was not necessarily a subject I found easy to teach for a number of reasons. A particular example I will evaluate in relation to this was a lesson I taught on ‘adding one more’ </w:t>
      </w:r>
      <w:r w:rsidDel="00000000" w:rsidR="00000000" w:rsidRPr="00000000">
        <w:rPr>
          <w:rtl w:val="0"/>
        </w:rPr>
        <w:t xml:space="preserve">(see appendix 1)</w:t>
      </w:r>
      <w:r w:rsidDel="00000000" w:rsidR="00000000" w:rsidRPr="00000000">
        <w:rPr>
          <w:rtl w:val="0"/>
        </w:rPr>
        <w:t xml:space="preserve">. This lesson was one which exhibited both strengths and weaknesses.</w:t>
      </w:r>
    </w:p>
    <w:p w:rsidR="00000000" w:rsidDel="00000000" w:rsidP="00000000" w:rsidRDefault="00000000" w:rsidRPr="00000000" w14:paraId="0000001A">
      <w:pPr>
        <w:spacing w:line="360" w:lineRule="auto"/>
        <w:rPr/>
      </w:pPr>
      <w:r w:rsidDel="00000000" w:rsidR="00000000" w:rsidRPr="00000000">
        <w:rPr>
          <w:rtl w:val="0"/>
        </w:rPr>
      </w:r>
    </w:p>
    <w:p w:rsidR="00000000" w:rsidDel="00000000" w:rsidP="00000000" w:rsidRDefault="00000000" w:rsidRPr="00000000" w14:paraId="0000001B">
      <w:pPr>
        <w:spacing w:line="360" w:lineRule="auto"/>
        <w:rPr/>
      </w:pPr>
      <w:r w:rsidDel="00000000" w:rsidR="00000000" w:rsidRPr="00000000">
        <w:rPr>
          <w:rtl w:val="0"/>
        </w:rPr>
        <w:t xml:space="preserve">Upon reflection, I discovered that the strengths of this lesson were apparent in my lesson input and in two of the focused tasks. When putting together my lesson plan, I started with the learning objective and then decided to base the lesson on an area of interest that the children had recently demonstrated. Likewise to Kerry’s case study previously mentioned, I noticed that the children in my class expressed a significant interest in Christmas trees; In class, they enjoyed sharing their news about their Christmas trees at home and would draw them or make play dough models of them. Observations of foundation phase classrooms have found that children respond positively to tasks (particularly in maths) if the children’s interests have been taken into account (Estyn, 2017) which is what I aimed to achieve through my input. I therefore brought in a Christmas tree for my introduction the the lesson, which the children decorated with number stars. Through this, my intention was to provide the children with a task which was able to sustain their immediate interest in order to focus on the content knowledge - in this case, adding ‘one more’. Pratt (2009) states that it is not the task itself, but the thinking the takes place during the task which supports the acquisition of knowledge. They did this by working together to find out what ‘comes after one’ and is therefore ‘one more’, with the help of a number line I provided to scaffold their learning. I believe this input to the lesson demonstrates the advantages of ‘knowledge of learners’ from Shulman’s knowledge base. The implications of my input were positive, as the children were engaged and participated accordingly due to their interest in Christmas trees being incorporated into the lesson in a ‘hands on’ way. </w:t>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spacing w:line="360" w:lineRule="auto"/>
        <w:rPr/>
      </w:pPr>
      <w:r w:rsidDel="00000000" w:rsidR="00000000" w:rsidRPr="00000000">
        <w:rPr>
          <w:rtl w:val="0"/>
        </w:rPr>
        <w:t xml:space="preserve">In a similar sense, one of my planned focused tasks - which involved a game of ‘pass the parcel’ with number cards inside - was an effective way of teaching and learning subject knowledge as it was practical and it achieved the learning objective; In this lesson’s case, the whole class learning objective was to ‘understand and use the concept of ‘one more’ in their play’. </w:t>
      </w:r>
    </w:p>
    <w:p w:rsidR="00000000" w:rsidDel="00000000" w:rsidP="00000000" w:rsidRDefault="00000000" w:rsidRPr="00000000" w14:paraId="0000001E">
      <w:pPr>
        <w:spacing w:line="360" w:lineRule="auto"/>
        <w:rPr/>
      </w:pPr>
      <w:r w:rsidDel="00000000" w:rsidR="00000000" w:rsidRPr="00000000">
        <w:rPr>
          <w:rtl w:val="0"/>
        </w:rPr>
      </w:r>
    </w:p>
    <w:p w:rsidR="00000000" w:rsidDel="00000000" w:rsidP="00000000" w:rsidRDefault="00000000" w:rsidRPr="00000000" w14:paraId="0000001F">
      <w:pPr>
        <w:spacing w:line="360" w:lineRule="auto"/>
        <w:rPr/>
      </w:pPr>
      <w:r w:rsidDel="00000000" w:rsidR="00000000" w:rsidRPr="00000000">
        <w:rPr>
          <w:rtl w:val="0"/>
        </w:rPr>
        <w:t xml:space="preserve">However, the benefits of practical knowledge acquisition was not sustained in my lesson. The focused task in which the children had to make their own number lines proved to be an activity that was unappealing and difficult. Before the introduction of the foundation phase framework in Wales, teachers were criticised for introducing formal learning too soon, and did not provide enough opportunities for practical and play based activities (Thomas and Lewis, 2016). I believe this is where my planning was flawed, in that this activity abandoned the play aspect, and the learning objective as a result. In stark contrast to the lesson input and other focus tasks, the knowledge of ‘adding one more’ in the number line activity was not represented in a way that was accessible to the children. As a result, the children were distracted and unmotivated, and the relationship between teaching, learning and subject knowledge was consequently hindered. Both the strengths and weaknesses in this lesson were ultimately to do with pedagogical content knowledge, and how it was used in order to transfer the knowledge of how to add one more. Although my teacher subject knowledge was not in question, my pedagogical content knowledge was not sufficient enough to anticipate the problems that would arise in providing the children with a task such as this.</w:t>
      </w:r>
    </w:p>
    <w:p w:rsidR="00000000" w:rsidDel="00000000" w:rsidP="00000000" w:rsidRDefault="00000000" w:rsidRPr="00000000" w14:paraId="00000020">
      <w:pPr>
        <w:spacing w:line="360" w:lineRule="auto"/>
        <w:rPr/>
      </w:pPr>
      <w:r w:rsidDel="00000000" w:rsidR="00000000" w:rsidRPr="00000000">
        <w:rPr>
          <w:rtl w:val="0"/>
        </w:rPr>
      </w:r>
    </w:p>
    <w:p w:rsidR="00000000" w:rsidDel="00000000" w:rsidP="00000000" w:rsidRDefault="00000000" w:rsidRPr="00000000" w14:paraId="00000021">
      <w:pPr>
        <w:spacing w:line="360" w:lineRule="auto"/>
        <w:rPr/>
      </w:pPr>
      <w:r w:rsidDel="00000000" w:rsidR="00000000" w:rsidRPr="00000000">
        <w:rPr>
          <w:rtl w:val="0"/>
        </w:rPr>
        <w:t xml:space="preserve">Similarly to maths, a strength in my example lesson for language, literacy and communication </w:t>
      </w:r>
      <w:r w:rsidDel="00000000" w:rsidR="00000000" w:rsidRPr="00000000">
        <w:rPr>
          <w:rtl w:val="0"/>
        </w:rPr>
        <w:t xml:space="preserve">(see appendix 2)</w:t>
      </w:r>
      <w:r w:rsidDel="00000000" w:rsidR="00000000" w:rsidRPr="00000000">
        <w:rPr>
          <w:rtl w:val="0"/>
        </w:rPr>
        <w:t xml:space="preserve"> was the input to my lesson. The theme of learning for the term was ‘bears’, and the children had previously looked at </w:t>
      </w:r>
      <w:r w:rsidDel="00000000" w:rsidR="00000000" w:rsidRPr="00000000">
        <w:rPr>
          <w:i w:val="1"/>
          <w:rtl w:val="0"/>
        </w:rPr>
        <w:t xml:space="preserve">Goldilocks and the Three Bears </w:t>
      </w:r>
      <w:r w:rsidDel="00000000" w:rsidR="00000000" w:rsidRPr="00000000">
        <w:rPr>
          <w:rtl w:val="0"/>
        </w:rPr>
        <w:t xml:space="preserve">and </w:t>
      </w:r>
      <w:r w:rsidDel="00000000" w:rsidR="00000000" w:rsidRPr="00000000">
        <w:rPr>
          <w:i w:val="1"/>
          <w:rtl w:val="0"/>
        </w:rPr>
        <w:t xml:space="preserve">We’re Going on a Bear Hunt</w:t>
      </w:r>
      <w:r w:rsidDel="00000000" w:rsidR="00000000" w:rsidRPr="00000000">
        <w:rPr>
          <w:rtl w:val="0"/>
        </w:rPr>
        <w:t xml:space="preserve">. Prior to the lesson, I built a ‘bear cave’ - I put a tent in the reading corner, and decorated it with blankets, plastic animals, torches and a sound effects machine. In creating a landscape for language, children must be ‘explorers in their classroom’ (Chamberlain, 2014). Dramatic events for them to discover - such as the bear breaking into the school and building a cave - can aid the production of language, which was therefore appropriate for learning as the oracy based lesson objective was for learners to ‘use appropriate, increasing vocabulary in and through play activities’. Additionally, pretending not to know the answer or matching the children’s sense of awe encourages active thinking (Newell, 2017) which proved successful in this lesson as children regarded the cave as something to be explored, thus actively seeking knowledge and answers. As previously mentioned, the cave also relates to Hattie’s integration of knowledge into the classroom environment; thus, I believe I used the ‘knowledge of educational context and learners’ categories effectively to represent and contextualise the subject knowledge within the lesson. The children were able to use the visual learning and representation of knowledge to express words to describe the cave’s appearance effectively. </w:t>
      </w:r>
    </w:p>
    <w:p w:rsidR="00000000" w:rsidDel="00000000" w:rsidP="00000000" w:rsidRDefault="00000000" w:rsidRPr="00000000" w14:paraId="00000022">
      <w:pPr>
        <w:spacing w:line="360" w:lineRule="auto"/>
        <w:rPr/>
      </w:pPr>
      <w:r w:rsidDel="00000000" w:rsidR="00000000" w:rsidRPr="00000000">
        <w:rPr>
          <w:rtl w:val="0"/>
        </w:rPr>
      </w:r>
    </w:p>
    <w:p w:rsidR="00000000" w:rsidDel="00000000" w:rsidP="00000000" w:rsidRDefault="00000000" w:rsidRPr="00000000" w14:paraId="00000023">
      <w:pPr>
        <w:spacing w:line="360" w:lineRule="auto"/>
        <w:rPr/>
      </w:pPr>
      <w:r w:rsidDel="00000000" w:rsidR="00000000" w:rsidRPr="00000000">
        <w:rPr>
          <w:rtl w:val="0"/>
        </w:rPr>
        <w:t xml:space="preserve">However, upon reflection and feedback from my tutor </w:t>
      </w:r>
      <w:r w:rsidDel="00000000" w:rsidR="00000000" w:rsidRPr="00000000">
        <w:rPr>
          <w:rtl w:val="0"/>
        </w:rPr>
        <w:t xml:space="preserve">(see appendix 3)</w:t>
      </w:r>
      <w:r w:rsidDel="00000000" w:rsidR="00000000" w:rsidRPr="00000000">
        <w:rPr>
          <w:rtl w:val="0"/>
        </w:rPr>
        <w:t xml:space="preserve">, I realised that I limited the children’s accessibility to knowledge as I did not keep a record of the vocabulary they were producing. If I were to do the lesson again, I would feedback the words elicited from the groups to the class and create a word bank. This would be a way of facilitating communication between learners and sharing knowledge, and to encourage children to realise that their peers can be a ‘valuable source of new thinking’ (Dawes, 2012).</w:t>
      </w:r>
    </w:p>
    <w:p w:rsidR="00000000" w:rsidDel="00000000" w:rsidP="00000000" w:rsidRDefault="00000000" w:rsidRPr="00000000" w14:paraId="00000024">
      <w:pPr>
        <w:spacing w:line="360" w:lineRule="auto"/>
        <w:rPr>
          <w:u w:val="single"/>
        </w:rPr>
      </w:pPr>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t xml:space="preserve">Although a ‘hands-on’ approach is essential in all subject areas within constructivist teaching methodology - a school of teaching and learning I support and strive to adopt - Ovens (2000) believes it is particularly necessary for scientific subjects; In Donaldson’s </w:t>
      </w:r>
      <w:r w:rsidDel="00000000" w:rsidR="00000000" w:rsidRPr="00000000">
        <w:rPr>
          <w:i w:val="1"/>
          <w:rtl w:val="0"/>
        </w:rPr>
        <w:t xml:space="preserve">Successful Futures</w:t>
      </w:r>
      <w:r w:rsidDel="00000000" w:rsidR="00000000" w:rsidRPr="00000000">
        <w:rPr>
          <w:rtl w:val="0"/>
        </w:rPr>
        <w:t xml:space="preserve">, we refer to this as the knowledge and understanding of the world which also may include humanities and other subjects. Teachers must be able to apply knowledge in a way that is physically or visually represented. </w:t>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pPr>
      <w:r w:rsidDel="00000000" w:rsidR="00000000" w:rsidRPr="00000000">
        <w:rPr>
          <w:rtl w:val="0"/>
        </w:rPr>
        <w:t xml:space="preserve">Furthermore, digital competency has become an immensely important skill which Donaldson greatly encourages due to its increasing relevance in educational applications and the workplace. Koehler and Mishra (2008) have adapted Shulman’s knowledge base in a technological context, to introduce the ‘technological pedagogical content knowledge’, otherwise known as the TPCK </w:t>
      </w:r>
      <w:r w:rsidDel="00000000" w:rsidR="00000000" w:rsidRPr="00000000">
        <w:rPr>
          <w:rtl w:val="0"/>
        </w:rPr>
        <w:t xml:space="preserve">(see appendix 4)</w:t>
      </w:r>
      <w:r w:rsidDel="00000000" w:rsidR="00000000" w:rsidRPr="00000000">
        <w:rPr>
          <w:rtl w:val="0"/>
        </w:rPr>
        <w:t xml:space="preserve">. This is a framework that focuses on transferring technological content knowledge, but also how technology can be used to enhance teaching and learning. It is noted that teaching digital competency:</w:t>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t xml:space="preserve">‘...should not primarily be predicated on rapidly changing technologies, but should focus on pedagogy, deeper skill development, transferability, and understanding, as well as potential application of these competencies’ (Donaldson, 2015)</w:t>
      </w:r>
    </w:p>
    <w:p w:rsidR="00000000" w:rsidDel="00000000" w:rsidP="00000000" w:rsidRDefault="00000000" w:rsidRPr="00000000" w14:paraId="0000002A">
      <w:pPr>
        <w:spacing w:line="360" w:lineRule="auto"/>
        <w:rPr/>
      </w:pPr>
      <w:r w:rsidDel="00000000" w:rsidR="00000000" w:rsidRPr="00000000">
        <w:rPr>
          <w:rtl w:val="0"/>
        </w:rPr>
      </w:r>
    </w:p>
    <w:p w:rsidR="00000000" w:rsidDel="00000000" w:rsidP="00000000" w:rsidRDefault="00000000" w:rsidRPr="00000000" w14:paraId="0000002B">
      <w:pPr>
        <w:spacing w:line="360" w:lineRule="auto"/>
        <w:rPr>
          <w:u w:val="single"/>
        </w:rPr>
      </w:pPr>
      <w:r w:rsidDel="00000000" w:rsidR="00000000" w:rsidRPr="00000000">
        <w:rPr>
          <w:rtl w:val="0"/>
        </w:rPr>
        <w:t xml:space="preserve">As digital competency is a crucial skill to many aspects of life, it should accordingly be taught in many contexts; thus, a teacher must have a sound knowledge of educational contexts when presenting it. Accordingly, the application of presenting - in essence, the TPCK - therefore proves to be the most valuable area of the knowledge base when it comes to digital competence, as it can make a significant difference to the quality of children’s lessons and the transmission of knowledge.</w:t>
      </w:r>
      <w:r w:rsidDel="00000000" w:rsidR="00000000" w:rsidRPr="00000000">
        <w:rPr>
          <w:rtl w:val="0"/>
        </w:rPr>
      </w:r>
    </w:p>
    <w:p w:rsidR="00000000" w:rsidDel="00000000" w:rsidP="00000000" w:rsidRDefault="00000000" w:rsidRPr="00000000" w14:paraId="0000002C">
      <w:pPr>
        <w:spacing w:line="360" w:lineRule="auto"/>
        <w:rPr>
          <w:u w:val="single"/>
        </w:rPr>
      </w:pPr>
      <w:r w:rsidDel="00000000" w:rsidR="00000000" w:rsidRPr="00000000">
        <w:rPr>
          <w:rtl w:val="0"/>
        </w:rPr>
      </w:r>
    </w:p>
    <w:p w:rsidR="00000000" w:rsidDel="00000000" w:rsidP="00000000" w:rsidRDefault="00000000" w:rsidRPr="00000000" w14:paraId="0000002D">
      <w:pPr>
        <w:spacing w:line="360" w:lineRule="auto"/>
        <w:rPr>
          <w:u w:val="single"/>
        </w:rPr>
      </w:pPr>
      <w:r w:rsidDel="00000000" w:rsidR="00000000" w:rsidRPr="00000000">
        <w:rPr>
          <w:i w:val="1"/>
          <w:rtl w:val="0"/>
        </w:rPr>
        <w:t xml:space="preserve">Successful Futures </w:t>
      </w:r>
      <w:r w:rsidDel="00000000" w:rsidR="00000000" w:rsidRPr="00000000">
        <w:rPr>
          <w:rtl w:val="0"/>
        </w:rPr>
        <w:t xml:space="preserve">also highlights the need for an understanding of Welsh language and culture incorporated across the curriculum. Prior to commencing my placement, I decided to practise my Welsh vocabulary in order to prepare myself for any Welsh learning I might teach. In hindsight, I realise that the content of Welsh I spent the time to teach myself was not necessarily useful. In foundation phase particularly, incidental Welsh appeared to be much more prevalent than ‘topic’ Welsh. For example, the Welsh knowledge I had learnt in my own time such as pets and clothes was not as relevant as instructions in Welsh, such as ‘hands up’ or ‘line up’. This is not to say that topic Welsh is not valuable information; However, context and contingency (as mentioned previously) is a crucial element of pedagogical content knowledge in order to efficiently present relevant knowledge. Brooks (2016) highlights that a teacher with good pedagogical content knowledge is able to organise subject knowledge in such a way that it is selected and contextualised appropriately. In future, I will aim to do this throughout all teaching, but in the case of Welsh language, I aim to improve my incidental Welsh to make it more relevant to the classroom environment. I would hope this expands my knowledge of educational contexts and demonstrates relevant Welsh knowledge in practice, so my pupils can use it and apply it to real life. </w:t>
      </w:r>
      <w:r w:rsidDel="00000000" w:rsidR="00000000" w:rsidRPr="00000000">
        <w:rPr>
          <w:rtl w:val="0"/>
        </w:rPr>
      </w:r>
    </w:p>
    <w:p w:rsidR="00000000" w:rsidDel="00000000" w:rsidP="00000000" w:rsidRDefault="00000000" w:rsidRPr="00000000" w14:paraId="0000002E">
      <w:pPr>
        <w:spacing w:line="360" w:lineRule="auto"/>
        <w:rPr>
          <w:u w:val="single"/>
        </w:rPr>
      </w:pPr>
      <w:r w:rsidDel="00000000" w:rsidR="00000000" w:rsidRPr="00000000">
        <w:rPr>
          <w:rtl w:val="0"/>
        </w:rPr>
      </w:r>
    </w:p>
    <w:p w:rsidR="00000000" w:rsidDel="00000000" w:rsidP="00000000" w:rsidRDefault="00000000" w:rsidRPr="00000000" w14:paraId="0000002F">
      <w:pPr>
        <w:spacing w:line="360" w:lineRule="auto"/>
        <w:rPr/>
      </w:pPr>
      <w:r w:rsidDel="00000000" w:rsidR="00000000" w:rsidRPr="00000000">
        <w:rPr>
          <w:rtl w:val="0"/>
        </w:rPr>
        <w:t xml:space="preserve">The final two areas of learning in </w:t>
      </w:r>
      <w:r w:rsidDel="00000000" w:rsidR="00000000" w:rsidRPr="00000000">
        <w:rPr>
          <w:i w:val="1"/>
          <w:rtl w:val="0"/>
        </w:rPr>
        <w:t xml:space="preserve">Successful Futures </w:t>
      </w:r>
      <w:r w:rsidDel="00000000" w:rsidR="00000000" w:rsidRPr="00000000">
        <w:rPr>
          <w:rtl w:val="0"/>
        </w:rPr>
        <w:t xml:space="preserve">- creative development and personal and social development - are areas in which content knowledge is arguably less important. </w:t>
      </w:r>
    </w:p>
    <w:p w:rsidR="00000000" w:rsidDel="00000000" w:rsidP="00000000" w:rsidRDefault="00000000" w:rsidRPr="00000000" w14:paraId="00000030">
      <w:pPr>
        <w:spacing w:line="360" w:lineRule="auto"/>
        <w:rPr>
          <w:u w:val="single"/>
        </w:rPr>
      </w:pPr>
      <w:r w:rsidDel="00000000" w:rsidR="00000000" w:rsidRPr="00000000">
        <w:rPr>
          <w:rtl w:val="0"/>
        </w:rPr>
      </w:r>
    </w:p>
    <w:p w:rsidR="00000000" w:rsidDel="00000000" w:rsidP="00000000" w:rsidRDefault="00000000" w:rsidRPr="00000000" w14:paraId="00000031">
      <w:pPr>
        <w:spacing w:line="360" w:lineRule="auto"/>
        <w:rPr/>
      </w:pPr>
      <w:r w:rsidDel="00000000" w:rsidR="00000000" w:rsidRPr="00000000">
        <w:rPr>
          <w:rtl w:val="0"/>
        </w:rPr>
        <w:t xml:space="preserve">In order for creativity to flourish, children need a balance between structure and freedom (Jesson, 2012). Despite being an area of learning which is naturally interpretive, areas of the knowledge base are still vital in order for effective teaching and learning to take place. Children need an appropriate environment and materials in order to pursue creativity, and it is the role of the teacher to provide this. I feel I exhibit good subject knowledge in certain areas of creative development such as music and drama, but there are other areas in which my knowledge lacks, such as art.  </w:t>
      </w:r>
    </w:p>
    <w:p w:rsidR="00000000" w:rsidDel="00000000" w:rsidP="00000000" w:rsidRDefault="00000000" w:rsidRPr="00000000" w14:paraId="00000032">
      <w:pPr>
        <w:spacing w:line="360" w:lineRule="auto"/>
        <w:rPr/>
      </w:pPr>
      <w:r w:rsidDel="00000000" w:rsidR="00000000" w:rsidRPr="00000000">
        <w:rPr>
          <w:rtl w:val="0"/>
        </w:rPr>
      </w:r>
    </w:p>
    <w:p w:rsidR="00000000" w:rsidDel="00000000" w:rsidP="00000000" w:rsidRDefault="00000000" w:rsidRPr="00000000" w14:paraId="00000033">
      <w:pPr>
        <w:spacing w:line="360" w:lineRule="auto"/>
        <w:rPr/>
      </w:pPr>
      <w:r w:rsidDel="00000000" w:rsidR="00000000" w:rsidRPr="00000000">
        <w:rPr>
          <w:rtl w:val="0"/>
        </w:rPr>
        <w:t xml:space="preserve">Whilst I do not doubt a sound grasp of art-based content knowledge would be needed for certain lessons (particularly within Key Stage 2), a grasp on the other areas of knowledge in Shulman’s knowledge base is essential. A way in which I achieved this on placement was a creative task I planned (</w:t>
      </w:r>
      <w:r w:rsidDel="00000000" w:rsidR="00000000" w:rsidRPr="00000000">
        <w:rPr>
          <w:rtl w:val="0"/>
        </w:rPr>
        <w:t xml:space="preserve">see appendix 5)</w:t>
      </w:r>
      <w:r w:rsidDel="00000000" w:rsidR="00000000" w:rsidRPr="00000000">
        <w:rPr>
          <w:rtl w:val="0"/>
        </w:rPr>
        <w:t xml:space="preserve"> which provided children with a wide range of materials to create their own ‘bear faces’. As an example, ‘knowledge of educational outcomes’ was a category of knowledge I had to draw upon when planning this task, as the overall lesson objective was for the children to use and widen their vocabulary. The constructivist freedom of selecting materials allowed the children to make sense of their own learning, making choices they felt appropriate from what existing knowledge they had of a bear’s appearance.</w:t>
      </w:r>
    </w:p>
    <w:p w:rsidR="00000000" w:rsidDel="00000000" w:rsidP="00000000" w:rsidRDefault="00000000" w:rsidRPr="00000000" w14:paraId="00000034">
      <w:pPr>
        <w:spacing w:line="360" w:lineRule="auto"/>
        <w:rPr>
          <w:u w:val="single"/>
        </w:rPr>
      </w:pPr>
      <w:r w:rsidDel="00000000" w:rsidR="00000000" w:rsidRPr="00000000">
        <w:rPr>
          <w:rtl w:val="0"/>
        </w:rPr>
        <w:t xml:space="preserve">Furthermore, it can be argued that personal and social development is entirely concerned with knowledge of educational outcomes (Buck et al., 2005). It is not an area of learning in which knowledge can invariably be transferred; Rather, teachers should model emotionally literacy throughout lessons (Sheppy, 2012) with praise, demonstrating respectful behaviour such as how to share and so forth. Although this area of learning is not academic as such, the relationship between effective teaching and learning is significantly affected by a teacher’s pedagogical content practice in this field. Buck and Inman further suggest that personal and social development provide knowledge and skills a human purpose. This refers to knowledge being transferable into real life situations, relationships and the way in which our emotional and social awareness can aid our academic learning.</w:t>
      </w:r>
      <w:r w:rsidDel="00000000" w:rsidR="00000000" w:rsidRPr="00000000">
        <w:rPr>
          <w:rtl w:val="0"/>
        </w:rPr>
      </w:r>
    </w:p>
    <w:p w:rsidR="00000000" w:rsidDel="00000000" w:rsidP="00000000" w:rsidRDefault="00000000" w:rsidRPr="00000000" w14:paraId="00000035">
      <w:pPr>
        <w:spacing w:line="360" w:lineRule="auto"/>
        <w:rPr>
          <w:u w:val="single"/>
        </w:rPr>
      </w:pPr>
      <w:r w:rsidDel="00000000" w:rsidR="00000000" w:rsidRPr="00000000">
        <w:rPr>
          <w:rtl w:val="0"/>
        </w:rPr>
      </w:r>
    </w:p>
    <w:p w:rsidR="00000000" w:rsidDel="00000000" w:rsidP="00000000" w:rsidRDefault="00000000" w:rsidRPr="00000000" w14:paraId="00000036">
      <w:pPr>
        <w:spacing w:line="360" w:lineRule="auto"/>
        <w:rPr/>
      </w:pPr>
      <w:r w:rsidDel="00000000" w:rsidR="00000000" w:rsidRPr="00000000">
        <w:rPr>
          <w:rtl w:val="0"/>
        </w:rPr>
        <w:t xml:space="preserve">In conclusion, the analysis of my literature review and the evaluation of my professional teaching experience has adjusted my perspective of teacher subject knowledge. Whilst I acknowledge its inherent significance in education, I now feel more aware of the other levels of knowledge that aid successful teaching. </w:t>
      </w:r>
    </w:p>
    <w:p w:rsidR="00000000" w:rsidDel="00000000" w:rsidP="00000000" w:rsidRDefault="00000000" w:rsidRPr="00000000" w14:paraId="00000037">
      <w:pPr>
        <w:spacing w:line="360" w:lineRule="auto"/>
        <w:rPr/>
      </w:pPr>
      <w:r w:rsidDel="00000000" w:rsidR="00000000" w:rsidRPr="00000000">
        <w:rPr>
          <w:rtl w:val="0"/>
        </w:rPr>
      </w:r>
    </w:p>
    <w:p w:rsidR="00000000" w:rsidDel="00000000" w:rsidP="00000000" w:rsidRDefault="00000000" w:rsidRPr="00000000" w14:paraId="00000038">
      <w:pPr>
        <w:spacing w:line="360" w:lineRule="auto"/>
        <w:rPr/>
      </w:pPr>
      <w:r w:rsidDel="00000000" w:rsidR="00000000" w:rsidRPr="00000000">
        <w:rPr>
          <w:rtl w:val="0"/>
        </w:rPr>
        <w:t xml:space="preserve">Shulman’s knowledge base fundamentally proves that teacher subject knowledge is a key component of effective teaching and learning in the primary school. However, there are other types of knowledge that are essential to consider if a teacher is going to transfer subject knowledge to their class in a way that is appropriate and constructive.</w:t>
      </w:r>
    </w:p>
    <w:p w:rsidR="00000000" w:rsidDel="00000000" w:rsidP="00000000" w:rsidRDefault="00000000" w:rsidRPr="00000000" w14:paraId="00000039">
      <w:pPr>
        <w:spacing w:line="360" w:lineRule="auto"/>
        <w:rPr/>
      </w:pPr>
      <w:r w:rsidDel="00000000" w:rsidR="00000000" w:rsidRPr="00000000">
        <w:rPr>
          <w:rtl w:val="0"/>
        </w:rPr>
      </w:r>
    </w:p>
    <w:p w:rsidR="00000000" w:rsidDel="00000000" w:rsidP="00000000" w:rsidRDefault="00000000" w:rsidRPr="00000000" w14:paraId="0000003A">
      <w:pPr>
        <w:spacing w:line="360" w:lineRule="auto"/>
        <w:rPr/>
      </w:pPr>
      <w:r w:rsidDel="00000000" w:rsidR="00000000" w:rsidRPr="00000000">
        <w:rPr>
          <w:rtl w:val="0"/>
        </w:rPr>
        <w:t xml:space="preserve">Ultimately, pedagogical content knowledge is at the heart of the knowledge base as it correlates with the remaining categories of Shulman’s framework. Of course, it consists of the simultaneous use of content knowledge and pedagogical knowledge in a way that informs the teacher’s methods of </w:t>
      </w:r>
      <w:r w:rsidDel="00000000" w:rsidR="00000000" w:rsidRPr="00000000">
        <w:rPr>
          <w:i w:val="1"/>
          <w:rtl w:val="0"/>
        </w:rPr>
        <w:t xml:space="preserve">how </w:t>
      </w:r>
      <w:r w:rsidDel="00000000" w:rsidR="00000000" w:rsidRPr="00000000">
        <w:rPr>
          <w:rtl w:val="0"/>
        </w:rPr>
        <w:t xml:space="preserve">knowledge is represented to the class. Within this scope exists the teacher’s knowledge of learners, considering the unique aspects of each child’s personality and interests in order to make the knowledge relevant and engaging. Subsequently, the ability to achieve relevance and engagement extends to the teacher’s knowledge of educational contexts; in other words, the effect of how a teacher comprehends the learning environment to appropriately present knowledge and demonstrate how it can be applicable to real life situations. Finally, understanding the need of application of knowledge in real life demonstrates a knowledge of the upcoming curriculum (</w:t>
      </w:r>
      <w:r w:rsidDel="00000000" w:rsidR="00000000" w:rsidRPr="00000000">
        <w:rPr>
          <w:i w:val="1"/>
          <w:rtl w:val="0"/>
        </w:rPr>
        <w:t xml:space="preserve">Successful Futures </w:t>
      </w:r>
      <w:r w:rsidDel="00000000" w:rsidR="00000000" w:rsidRPr="00000000">
        <w:rPr>
          <w:rtl w:val="0"/>
        </w:rPr>
        <w:t xml:space="preserve">stresses this aspect throughout) and, by extension, a knowledge of the outcomes of learning. Thus, all elements of Shulman’s knowledge base are required in order to achieve holistic, effective teaching and learning in the primary school - an excellent grasp of teacher subject knowledge alone is not sufficient. </w:t>
      </w:r>
    </w:p>
    <w:p w:rsidR="00000000" w:rsidDel="00000000" w:rsidP="00000000" w:rsidRDefault="00000000" w:rsidRPr="00000000" w14:paraId="0000003B">
      <w:pPr>
        <w:rPr>
          <w:u w:val="single"/>
        </w:rPr>
      </w:pPr>
      <w:r w:rsidDel="00000000" w:rsidR="00000000" w:rsidRPr="00000000">
        <w:rPr>
          <w:rtl w:val="0"/>
        </w:rPr>
      </w:r>
    </w:p>
    <w:p w:rsidR="00000000" w:rsidDel="00000000" w:rsidP="00000000" w:rsidRDefault="00000000" w:rsidRPr="00000000" w14:paraId="0000003C">
      <w:pPr>
        <w:rPr>
          <w:u w:val="single"/>
        </w:rPr>
      </w:pPr>
      <w:r w:rsidDel="00000000" w:rsidR="00000000" w:rsidRPr="00000000">
        <w:rPr>
          <w:rtl w:val="0"/>
        </w:rPr>
      </w:r>
    </w:p>
    <w:p w:rsidR="00000000" w:rsidDel="00000000" w:rsidP="00000000" w:rsidRDefault="00000000" w:rsidRPr="00000000" w14:paraId="0000003D">
      <w:pPr>
        <w:rPr>
          <w:u w:val="single"/>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spacing w:after="260" w:lineRule="auto"/>
        <w:rPr/>
      </w:pPr>
      <w:r w:rsidDel="00000000" w:rsidR="00000000" w:rsidRPr="00000000">
        <w:rPr>
          <w:rtl w:val="0"/>
        </w:rPr>
      </w:r>
    </w:p>
    <w:p w:rsidR="00000000" w:rsidDel="00000000" w:rsidP="00000000" w:rsidRDefault="00000000" w:rsidRPr="00000000" w14:paraId="00000061">
      <w:pPr>
        <w:spacing w:after="260" w:lineRule="auto"/>
        <w:rPr>
          <w:rFonts w:ascii="Times New Roman" w:cs="Times New Roman" w:eastAsia="Times New Roman" w:hAnsi="Times New Roman"/>
          <w:sz w:val="36"/>
          <w:szCs w:val="36"/>
          <w:u w:val="single"/>
        </w:rPr>
      </w:pPr>
      <w:r w:rsidDel="00000000" w:rsidR="00000000" w:rsidRPr="00000000">
        <w:rPr>
          <w:rFonts w:ascii="Times New Roman" w:cs="Times New Roman" w:eastAsia="Times New Roman" w:hAnsi="Times New Roman"/>
          <w:sz w:val="36"/>
          <w:szCs w:val="36"/>
          <w:u w:val="single"/>
          <w:rtl w:val="0"/>
        </w:rPr>
        <w:t xml:space="preserve">References</w:t>
      </w:r>
    </w:p>
    <w:p w:rsidR="00000000" w:rsidDel="00000000" w:rsidP="00000000" w:rsidRDefault="00000000" w:rsidRPr="00000000" w14:paraId="00000062">
      <w:pPr>
        <w:spacing w:after="340" w:line="360" w:lineRule="auto"/>
        <w:rPr>
          <w:sz w:val="20"/>
          <w:szCs w:val="20"/>
          <w:highlight w:val="white"/>
        </w:rPr>
      </w:pPr>
      <w:r w:rsidDel="00000000" w:rsidR="00000000" w:rsidRPr="00000000">
        <w:rPr>
          <w:rFonts w:ascii="Times New Roman" w:cs="Times New Roman" w:eastAsia="Times New Roman" w:hAnsi="Times New Roman"/>
          <w:sz w:val="24"/>
          <w:szCs w:val="24"/>
          <w:rtl w:val="0"/>
        </w:rPr>
        <w:t xml:space="preserve">BERA, </w:t>
      </w:r>
      <w:r w:rsidDel="00000000" w:rsidR="00000000" w:rsidRPr="00000000">
        <w:rPr>
          <w:i w:val="1"/>
          <w:sz w:val="20"/>
          <w:szCs w:val="20"/>
          <w:highlight w:val="white"/>
          <w:rtl w:val="0"/>
        </w:rPr>
        <w:t xml:space="preserve">Ethical Guidelines for Educational Research</w:t>
      </w:r>
      <w:r w:rsidDel="00000000" w:rsidR="00000000" w:rsidRPr="00000000">
        <w:rPr>
          <w:sz w:val="20"/>
          <w:szCs w:val="20"/>
          <w:highlight w:val="white"/>
          <w:rtl w:val="0"/>
        </w:rPr>
        <w:t xml:space="preserve"> (2014) </w:t>
      </w:r>
    </w:p>
    <w:p w:rsidR="00000000" w:rsidDel="00000000" w:rsidP="00000000" w:rsidRDefault="00000000" w:rsidRPr="00000000" w14:paraId="00000063">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Brooks, C. (2016). </w:t>
      </w:r>
      <w:r w:rsidDel="00000000" w:rsidR="00000000" w:rsidRPr="00000000">
        <w:rPr>
          <w:rFonts w:ascii="Times New Roman" w:cs="Times New Roman" w:eastAsia="Times New Roman" w:hAnsi="Times New Roman"/>
          <w:i w:val="1"/>
          <w:sz w:val="24"/>
          <w:szCs w:val="24"/>
          <w:rtl w:val="0"/>
        </w:rPr>
        <w:t xml:space="preserve">Teacher Subject Identity in Professional Practice: Teaching with a professional compass</w:t>
      </w:r>
      <w:r w:rsidDel="00000000" w:rsidR="00000000" w:rsidRPr="00000000">
        <w:rPr>
          <w:rFonts w:ascii="Times New Roman" w:cs="Times New Roman" w:eastAsia="Times New Roman" w:hAnsi="Times New Roman"/>
          <w:sz w:val="24"/>
          <w:szCs w:val="24"/>
          <w:rtl w:val="0"/>
        </w:rPr>
        <w:t xml:space="preserve">. London: Routledge. p.51</w:t>
      </w:r>
    </w:p>
    <w:p w:rsidR="00000000" w:rsidDel="00000000" w:rsidP="00000000" w:rsidRDefault="00000000" w:rsidRPr="00000000" w14:paraId="00000064">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Buck, M., Burke, H. and Inman, S. (2005). </w:t>
      </w:r>
      <w:r w:rsidDel="00000000" w:rsidR="00000000" w:rsidRPr="00000000">
        <w:rPr>
          <w:rFonts w:ascii="Times New Roman" w:cs="Times New Roman" w:eastAsia="Times New Roman" w:hAnsi="Times New Roman"/>
          <w:i w:val="1"/>
          <w:sz w:val="24"/>
          <w:szCs w:val="24"/>
          <w:rtl w:val="0"/>
        </w:rPr>
        <w:t xml:space="preserve">Assessing Children's Personal And Social Development: Measuring the Unmeasurable</w:t>
      </w:r>
      <w:r w:rsidDel="00000000" w:rsidR="00000000" w:rsidRPr="00000000">
        <w:rPr>
          <w:rFonts w:ascii="Times New Roman" w:cs="Times New Roman" w:eastAsia="Times New Roman" w:hAnsi="Times New Roman"/>
          <w:sz w:val="24"/>
          <w:szCs w:val="24"/>
          <w:rtl w:val="0"/>
        </w:rPr>
        <w:t xml:space="preserve">. London: Routledge. pp.9-49</w:t>
      </w:r>
    </w:p>
    <w:p w:rsidR="00000000" w:rsidDel="00000000" w:rsidP="00000000" w:rsidRDefault="00000000" w:rsidRPr="00000000" w14:paraId="00000065">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Chamberlain, L. (2014). Creativity and Literacy. In: A. Wilson, ed., </w:t>
      </w:r>
      <w:r w:rsidDel="00000000" w:rsidR="00000000" w:rsidRPr="00000000">
        <w:rPr>
          <w:rFonts w:ascii="Times New Roman" w:cs="Times New Roman" w:eastAsia="Times New Roman" w:hAnsi="Times New Roman"/>
          <w:i w:val="1"/>
          <w:sz w:val="24"/>
          <w:szCs w:val="24"/>
          <w:rtl w:val="0"/>
        </w:rPr>
        <w:t xml:space="preserve">Creativity in Primary Education</w:t>
      </w:r>
      <w:r w:rsidDel="00000000" w:rsidR="00000000" w:rsidRPr="00000000">
        <w:rPr>
          <w:rFonts w:ascii="Times New Roman" w:cs="Times New Roman" w:eastAsia="Times New Roman" w:hAnsi="Times New Roman"/>
          <w:sz w:val="24"/>
          <w:szCs w:val="24"/>
          <w:rtl w:val="0"/>
        </w:rPr>
        <w:t xml:space="preserve">, 3rd ed. London: Sage Publications. p.86</w:t>
      </w:r>
    </w:p>
    <w:p w:rsidR="00000000" w:rsidDel="00000000" w:rsidP="00000000" w:rsidRDefault="00000000" w:rsidRPr="00000000" w14:paraId="00000066">
      <w:pPr>
        <w:spacing w:after="340" w:line="360" w:lineRule="auto"/>
        <w:rPr/>
      </w:pPr>
      <w:r w:rsidDel="00000000" w:rsidR="00000000" w:rsidRPr="00000000">
        <w:rPr>
          <w:rFonts w:ascii="Times New Roman" w:cs="Times New Roman" w:eastAsia="Times New Roman" w:hAnsi="Times New Roman"/>
          <w:sz w:val="24"/>
          <w:szCs w:val="24"/>
          <w:rtl w:val="0"/>
        </w:rPr>
        <w:t xml:space="preserve">Cockburn, A. and Handscomb, G. (2006). </w:t>
      </w:r>
      <w:r w:rsidDel="00000000" w:rsidR="00000000" w:rsidRPr="00000000">
        <w:rPr>
          <w:rFonts w:ascii="Times New Roman" w:cs="Times New Roman" w:eastAsia="Times New Roman" w:hAnsi="Times New Roman"/>
          <w:i w:val="1"/>
          <w:sz w:val="24"/>
          <w:szCs w:val="24"/>
          <w:rtl w:val="0"/>
        </w:rPr>
        <w:t xml:space="preserve">Teaching children 3-11</w:t>
      </w:r>
      <w:r w:rsidDel="00000000" w:rsidR="00000000" w:rsidRPr="00000000">
        <w:rPr>
          <w:rFonts w:ascii="Times New Roman" w:cs="Times New Roman" w:eastAsia="Times New Roman" w:hAnsi="Times New Roman"/>
          <w:sz w:val="24"/>
          <w:szCs w:val="24"/>
          <w:rtl w:val="0"/>
        </w:rPr>
        <w:t xml:space="preserve">. Los Angeles, Calif.: SAGE.</w:t>
      </w:r>
      <w:r w:rsidDel="00000000" w:rsidR="00000000" w:rsidRPr="00000000">
        <w:rPr>
          <w:rtl w:val="0"/>
        </w:rPr>
      </w:r>
    </w:p>
    <w:p w:rsidR="00000000" w:rsidDel="00000000" w:rsidP="00000000" w:rsidRDefault="00000000" w:rsidRPr="00000000" w14:paraId="00000067">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Coe, R., Aloisi, C., Higgins, S., and Major, L.E (2014). </w:t>
      </w:r>
      <w:r w:rsidDel="00000000" w:rsidR="00000000" w:rsidRPr="00000000">
        <w:rPr>
          <w:rFonts w:ascii="Times New Roman" w:cs="Times New Roman" w:eastAsia="Times New Roman" w:hAnsi="Times New Roman"/>
          <w:i w:val="1"/>
          <w:sz w:val="24"/>
          <w:szCs w:val="24"/>
          <w:rtl w:val="0"/>
        </w:rPr>
        <w:t xml:space="preserve">What Makes Great Teaching?</w:t>
      </w:r>
      <w:r w:rsidDel="00000000" w:rsidR="00000000" w:rsidRPr="00000000">
        <w:rPr>
          <w:rFonts w:ascii="Times New Roman" w:cs="Times New Roman" w:eastAsia="Times New Roman" w:hAnsi="Times New Roman"/>
          <w:sz w:val="24"/>
          <w:szCs w:val="24"/>
          <w:rtl w:val="0"/>
        </w:rPr>
        <w:t xml:space="preserve"> Durham University: Durham: The Sutton Trust. p.2</w:t>
      </w:r>
    </w:p>
    <w:p w:rsidR="00000000" w:rsidDel="00000000" w:rsidP="00000000" w:rsidRDefault="00000000" w:rsidRPr="00000000" w14:paraId="00000068">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Cremin, T. and Arthur, J. (2014). </w:t>
      </w:r>
      <w:r w:rsidDel="00000000" w:rsidR="00000000" w:rsidRPr="00000000">
        <w:rPr>
          <w:rFonts w:ascii="Times New Roman" w:cs="Times New Roman" w:eastAsia="Times New Roman" w:hAnsi="Times New Roman"/>
          <w:i w:val="1"/>
          <w:sz w:val="24"/>
          <w:szCs w:val="24"/>
          <w:rtl w:val="0"/>
        </w:rPr>
        <w:t xml:space="preserve">Learning to Teach in the Primary School</w:t>
      </w:r>
      <w:r w:rsidDel="00000000" w:rsidR="00000000" w:rsidRPr="00000000">
        <w:rPr>
          <w:rFonts w:ascii="Times New Roman" w:cs="Times New Roman" w:eastAsia="Times New Roman" w:hAnsi="Times New Roman"/>
          <w:sz w:val="24"/>
          <w:szCs w:val="24"/>
          <w:rtl w:val="0"/>
        </w:rPr>
        <w:t xml:space="preserve">. London: Routledge. p.15</w:t>
      </w:r>
    </w:p>
    <w:p w:rsidR="00000000" w:rsidDel="00000000" w:rsidP="00000000" w:rsidRDefault="00000000" w:rsidRPr="00000000" w14:paraId="00000069">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Dawes, L. (2012). </w:t>
      </w:r>
      <w:r w:rsidDel="00000000" w:rsidR="00000000" w:rsidRPr="00000000">
        <w:rPr>
          <w:rFonts w:ascii="Times New Roman" w:cs="Times New Roman" w:eastAsia="Times New Roman" w:hAnsi="Times New Roman"/>
          <w:i w:val="1"/>
          <w:sz w:val="24"/>
          <w:szCs w:val="24"/>
          <w:rtl w:val="0"/>
        </w:rPr>
        <w:t xml:space="preserve">Talking Points: Discussion Activities in the Primary Classroom</w:t>
      </w:r>
      <w:r w:rsidDel="00000000" w:rsidR="00000000" w:rsidRPr="00000000">
        <w:rPr>
          <w:rFonts w:ascii="Times New Roman" w:cs="Times New Roman" w:eastAsia="Times New Roman" w:hAnsi="Times New Roman"/>
          <w:sz w:val="24"/>
          <w:szCs w:val="24"/>
          <w:rtl w:val="0"/>
        </w:rPr>
        <w:t xml:space="preserve">. London: Routledge. p.2</w:t>
      </w:r>
    </w:p>
    <w:p w:rsidR="00000000" w:rsidDel="00000000" w:rsidP="00000000" w:rsidRDefault="00000000" w:rsidRPr="00000000" w14:paraId="0000006A">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Donaldson, G. Welsh Government (2015). </w:t>
      </w:r>
      <w:r w:rsidDel="00000000" w:rsidR="00000000" w:rsidRPr="00000000">
        <w:rPr>
          <w:rFonts w:ascii="Times New Roman" w:cs="Times New Roman" w:eastAsia="Times New Roman" w:hAnsi="Times New Roman"/>
          <w:i w:val="1"/>
          <w:sz w:val="24"/>
          <w:szCs w:val="24"/>
          <w:rtl w:val="0"/>
        </w:rPr>
        <w:t xml:space="preserve">Successful Futures</w:t>
      </w:r>
      <w:r w:rsidDel="00000000" w:rsidR="00000000" w:rsidRPr="00000000">
        <w:rPr>
          <w:rFonts w:ascii="Times New Roman" w:cs="Times New Roman" w:eastAsia="Times New Roman" w:hAnsi="Times New Roman"/>
          <w:sz w:val="24"/>
          <w:szCs w:val="24"/>
          <w:rtl w:val="0"/>
        </w:rPr>
        <w:t xml:space="preserve">. OGL.</w:t>
      </w:r>
    </w:p>
    <w:p w:rsidR="00000000" w:rsidDel="00000000" w:rsidP="00000000" w:rsidRDefault="00000000" w:rsidRPr="00000000" w14:paraId="0000006B">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Estyn.gov.wales. (2017). </w:t>
      </w:r>
      <w:r w:rsidDel="00000000" w:rsidR="00000000" w:rsidRPr="00000000">
        <w:rPr>
          <w:rFonts w:ascii="Times New Roman" w:cs="Times New Roman" w:eastAsia="Times New Roman" w:hAnsi="Times New Roman"/>
          <w:i w:val="1"/>
          <w:sz w:val="24"/>
          <w:szCs w:val="24"/>
          <w:rtl w:val="0"/>
        </w:rPr>
        <w:t xml:space="preserve">Embracing Children’s Interests to Inspire Mathematical Development</w:t>
      </w:r>
      <w:r w:rsidDel="00000000" w:rsidR="00000000" w:rsidRPr="00000000">
        <w:rPr>
          <w:rFonts w:ascii="Times New Roman" w:cs="Times New Roman" w:eastAsia="Times New Roman" w:hAnsi="Times New Roman"/>
          <w:sz w:val="24"/>
          <w:szCs w:val="24"/>
          <w:rtl w:val="0"/>
        </w:rPr>
        <w:t xml:space="preserve">. [online] Available at: https://www.estyn.gov.wales/effective-practice/embracing-children%E2%80%99s-interests-inspire-mathematical-development [Accessed 6 Jan. 2019].</w:t>
      </w:r>
    </w:p>
    <w:p w:rsidR="00000000" w:rsidDel="00000000" w:rsidP="00000000" w:rsidRDefault="00000000" w:rsidRPr="00000000" w14:paraId="0000006C">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Grigg, R. (2010). </w:t>
      </w:r>
      <w:r w:rsidDel="00000000" w:rsidR="00000000" w:rsidRPr="00000000">
        <w:rPr>
          <w:rFonts w:ascii="Times New Roman" w:cs="Times New Roman" w:eastAsia="Times New Roman" w:hAnsi="Times New Roman"/>
          <w:i w:val="1"/>
          <w:sz w:val="24"/>
          <w:szCs w:val="24"/>
          <w:rtl w:val="0"/>
        </w:rPr>
        <w:t xml:space="preserve">Becoming an Outstanding Primary School Teacher</w:t>
      </w:r>
      <w:r w:rsidDel="00000000" w:rsidR="00000000" w:rsidRPr="00000000">
        <w:rPr>
          <w:rFonts w:ascii="Times New Roman" w:cs="Times New Roman" w:eastAsia="Times New Roman" w:hAnsi="Times New Roman"/>
          <w:sz w:val="24"/>
          <w:szCs w:val="24"/>
          <w:rtl w:val="0"/>
        </w:rPr>
        <w:t xml:space="preserve">. Essex: Routledge.</w:t>
      </w:r>
    </w:p>
    <w:p w:rsidR="00000000" w:rsidDel="00000000" w:rsidP="00000000" w:rsidRDefault="00000000" w:rsidRPr="00000000" w14:paraId="0000006D">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Hattie, J. (2012). </w:t>
      </w:r>
      <w:r w:rsidDel="00000000" w:rsidR="00000000" w:rsidRPr="00000000">
        <w:rPr>
          <w:rFonts w:ascii="Times New Roman" w:cs="Times New Roman" w:eastAsia="Times New Roman" w:hAnsi="Times New Roman"/>
          <w:i w:val="1"/>
          <w:sz w:val="24"/>
          <w:szCs w:val="24"/>
          <w:rtl w:val="0"/>
        </w:rPr>
        <w:t xml:space="preserve">Visible Learning for Teachers: Maximising Impact on Learning</w:t>
      </w:r>
      <w:r w:rsidDel="00000000" w:rsidR="00000000" w:rsidRPr="00000000">
        <w:rPr>
          <w:rFonts w:ascii="Times New Roman" w:cs="Times New Roman" w:eastAsia="Times New Roman" w:hAnsi="Times New Roman"/>
          <w:sz w:val="24"/>
          <w:szCs w:val="24"/>
          <w:rtl w:val="0"/>
        </w:rPr>
        <w:t xml:space="preserve">. New York: Routledge.</w:t>
      </w:r>
    </w:p>
    <w:p w:rsidR="00000000" w:rsidDel="00000000" w:rsidP="00000000" w:rsidRDefault="00000000" w:rsidRPr="00000000" w14:paraId="0000006E">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Jesson, J. (2012). </w:t>
      </w:r>
      <w:r w:rsidDel="00000000" w:rsidR="00000000" w:rsidRPr="00000000">
        <w:rPr>
          <w:rFonts w:ascii="Times New Roman" w:cs="Times New Roman" w:eastAsia="Times New Roman" w:hAnsi="Times New Roman"/>
          <w:i w:val="1"/>
          <w:sz w:val="24"/>
          <w:szCs w:val="24"/>
          <w:rtl w:val="0"/>
        </w:rPr>
        <w:t xml:space="preserve">Developing Creativity In The Primary School</w:t>
      </w:r>
      <w:r w:rsidDel="00000000" w:rsidR="00000000" w:rsidRPr="00000000">
        <w:rPr>
          <w:rFonts w:ascii="Times New Roman" w:cs="Times New Roman" w:eastAsia="Times New Roman" w:hAnsi="Times New Roman"/>
          <w:sz w:val="24"/>
          <w:szCs w:val="24"/>
          <w:rtl w:val="0"/>
        </w:rPr>
        <w:t xml:space="preserve">. Berkshire: McGraw-Hill Education. p.102</w:t>
      </w:r>
    </w:p>
    <w:p w:rsidR="00000000" w:rsidDel="00000000" w:rsidP="00000000" w:rsidRDefault="00000000" w:rsidRPr="00000000" w14:paraId="0000006F">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Kerry, T. (2015). </w:t>
      </w:r>
      <w:r w:rsidDel="00000000" w:rsidR="00000000" w:rsidRPr="00000000">
        <w:rPr>
          <w:rFonts w:ascii="Times New Roman" w:cs="Times New Roman" w:eastAsia="Times New Roman" w:hAnsi="Times New Roman"/>
          <w:i w:val="1"/>
          <w:sz w:val="24"/>
          <w:szCs w:val="24"/>
          <w:rtl w:val="0"/>
        </w:rPr>
        <w:t xml:space="preserve">Cross-Curricular Teaching in the Primary School: Planning and Facilitating Imaginative Lessons</w:t>
      </w:r>
      <w:r w:rsidDel="00000000" w:rsidR="00000000" w:rsidRPr="00000000">
        <w:rPr>
          <w:rFonts w:ascii="Times New Roman" w:cs="Times New Roman" w:eastAsia="Times New Roman" w:hAnsi="Times New Roman"/>
          <w:sz w:val="24"/>
          <w:szCs w:val="24"/>
          <w:rtl w:val="0"/>
        </w:rPr>
        <w:t xml:space="preserve">. London: Routledge. p.51</w:t>
      </w:r>
    </w:p>
    <w:p w:rsidR="00000000" w:rsidDel="00000000" w:rsidP="00000000" w:rsidRDefault="00000000" w:rsidRPr="00000000" w14:paraId="00000070">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Koehler, M.J. and Mishra, P. (2008) in Charoula Angeli. and Nicos Valanides’ </w:t>
      </w:r>
      <w:r w:rsidDel="00000000" w:rsidR="00000000" w:rsidRPr="00000000">
        <w:rPr>
          <w:rFonts w:ascii="Times New Roman" w:cs="Times New Roman" w:eastAsia="Times New Roman" w:hAnsi="Times New Roman"/>
          <w:i w:val="1"/>
          <w:sz w:val="24"/>
          <w:szCs w:val="24"/>
          <w:rtl w:val="0"/>
        </w:rPr>
        <w:t xml:space="preserve">Technological Pedagogical Content Knowledge: Exploring, Developing and Assessing TPCK</w:t>
      </w:r>
      <w:r w:rsidDel="00000000" w:rsidR="00000000" w:rsidRPr="00000000">
        <w:rPr>
          <w:rFonts w:ascii="Times New Roman" w:cs="Times New Roman" w:eastAsia="Times New Roman" w:hAnsi="Times New Roman"/>
          <w:sz w:val="24"/>
          <w:szCs w:val="24"/>
          <w:rtl w:val="0"/>
        </w:rPr>
        <w:t xml:space="preserve">. (2014) London: Springer. p.16</w:t>
      </w:r>
    </w:p>
    <w:p w:rsidR="00000000" w:rsidDel="00000000" w:rsidP="00000000" w:rsidRDefault="00000000" w:rsidRPr="00000000" w14:paraId="00000071">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Loughran, J. and Hamilton, M. (2016). </w:t>
      </w:r>
      <w:r w:rsidDel="00000000" w:rsidR="00000000" w:rsidRPr="00000000">
        <w:rPr>
          <w:rFonts w:ascii="Times New Roman" w:cs="Times New Roman" w:eastAsia="Times New Roman" w:hAnsi="Times New Roman"/>
          <w:i w:val="1"/>
          <w:sz w:val="24"/>
          <w:szCs w:val="24"/>
          <w:rtl w:val="0"/>
        </w:rPr>
        <w:t xml:space="preserve">International Handbook of Teacher Education</w:t>
      </w:r>
      <w:r w:rsidDel="00000000" w:rsidR="00000000" w:rsidRPr="00000000">
        <w:rPr>
          <w:rFonts w:ascii="Times New Roman" w:cs="Times New Roman" w:eastAsia="Times New Roman" w:hAnsi="Times New Roman"/>
          <w:sz w:val="24"/>
          <w:szCs w:val="24"/>
          <w:rtl w:val="0"/>
        </w:rPr>
        <w:t xml:space="preserve">. New York: Springer. p.358</w:t>
      </w:r>
    </w:p>
    <w:p w:rsidR="00000000" w:rsidDel="00000000" w:rsidP="00000000" w:rsidRDefault="00000000" w:rsidRPr="00000000" w14:paraId="00000072">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Newell, R. (2017). </w:t>
      </w:r>
      <w:r w:rsidDel="00000000" w:rsidR="00000000" w:rsidRPr="00000000">
        <w:rPr>
          <w:rFonts w:ascii="Times New Roman" w:cs="Times New Roman" w:eastAsia="Times New Roman" w:hAnsi="Times New Roman"/>
          <w:i w:val="1"/>
          <w:sz w:val="24"/>
          <w:szCs w:val="24"/>
          <w:rtl w:val="0"/>
        </w:rPr>
        <w:t xml:space="preserve">Big Ideas in Primary Mathematics</w:t>
      </w:r>
      <w:r w:rsidDel="00000000" w:rsidR="00000000" w:rsidRPr="00000000">
        <w:rPr>
          <w:rFonts w:ascii="Times New Roman" w:cs="Times New Roman" w:eastAsia="Times New Roman" w:hAnsi="Times New Roman"/>
          <w:sz w:val="24"/>
          <w:szCs w:val="24"/>
          <w:rtl w:val="0"/>
        </w:rPr>
        <w:t xml:space="preserve">. London: Sage Publications. p.50</w:t>
      </w:r>
    </w:p>
    <w:p w:rsidR="00000000" w:rsidDel="00000000" w:rsidP="00000000" w:rsidRDefault="00000000" w:rsidRPr="00000000" w14:paraId="00000073">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Ofsted (2009). </w:t>
      </w:r>
      <w:r w:rsidDel="00000000" w:rsidR="00000000" w:rsidRPr="00000000">
        <w:rPr>
          <w:rFonts w:ascii="Times New Roman" w:cs="Times New Roman" w:eastAsia="Times New Roman" w:hAnsi="Times New Roman"/>
          <w:i w:val="1"/>
          <w:sz w:val="24"/>
          <w:szCs w:val="24"/>
          <w:rtl w:val="0"/>
        </w:rPr>
        <w:t xml:space="preserve">Improving Primary Teachers' Subject Knowledge Across the Curriculum</w:t>
      </w:r>
      <w:r w:rsidDel="00000000" w:rsidR="00000000" w:rsidRPr="00000000">
        <w:rPr>
          <w:rFonts w:ascii="Times New Roman" w:cs="Times New Roman" w:eastAsia="Times New Roman" w:hAnsi="Times New Roman"/>
          <w:sz w:val="24"/>
          <w:szCs w:val="24"/>
          <w:rtl w:val="0"/>
        </w:rPr>
        <w:t xml:space="preserve">. [online] London: Ofsted. p.15 Available at: https://dera.ioe.ac.uk/305/1/Improving%20primary%20teachers%20subject%20knowledge%20across%20the%20curriculum.pdf [Accessed 30 Dec. 2018].</w:t>
      </w:r>
    </w:p>
    <w:p w:rsidR="00000000" w:rsidDel="00000000" w:rsidP="00000000" w:rsidRDefault="00000000" w:rsidRPr="00000000" w14:paraId="00000074">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Ovens, P. (2000). </w:t>
      </w:r>
      <w:r w:rsidDel="00000000" w:rsidR="00000000" w:rsidRPr="00000000">
        <w:rPr>
          <w:rFonts w:ascii="Times New Roman" w:cs="Times New Roman" w:eastAsia="Times New Roman" w:hAnsi="Times New Roman"/>
          <w:i w:val="1"/>
          <w:sz w:val="24"/>
          <w:szCs w:val="24"/>
          <w:rtl w:val="0"/>
        </w:rPr>
        <w:t xml:space="preserve">Reflective Teacher Development in Primary Science</w:t>
      </w:r>
      <w:r w:rsidDel="00000000" w:rsidR="00000000" w:rsidRPr="00000000">
        <w:rPr>
          <w:rFonts w:ascii="Times New Roman" w:cs="Times New Roman" w:eastAsia="Times New Roman" w:hAnsi="Times New Roman"/>
          <w:sz w:val="24"/>
          <w:szCs w:val="24"/>
          <w:rtl w:val="0"/>
        </w:rPr>
        <w:t xml:space="preserve">. London: Routledge.</w:t>
      </w:r>
    </w:p>
    <w:p w:rsidR="00000000" w:rsidDel="00000000" w:rsidP="00000000" w:rsidRDefault="00000000" w:rsidRPr="00000000" w14:paraId="00000075">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Pratt, N. (2009). </w:t>
      </w:r>
      <w:r w:rsidDel="00000000" w:rsidR="00000000" w:rsidRPr="00000000">
        <w:rPr>
          <w:rFonts w:ascii="Times New Roman" w:cs="Times New Roman" w:eastAsia="Times New Roman" w:hAnsi="Times New Roman"/>
          <w:i w:val="1"/>
          <w:sz w:val="24"/>
          <w:szCs w:val="24"/>
          <w:rtl w:val="0"/>
        </w:rPr>
        <w:t xml:space="preserve">Interactive Maths Teaching in the Primary School</w:t>
      </w:r>
      <w:r w:rsidDel="00000000" w:rsidR="00000000" w:rsidRPr="00000000">
        <w:rPr>
          <w:rFonts w:ascii="Times New Roman" w:cs="Times New Roman" w:eastAsia="Times New Roman" w:hAnsi="Times New Roman"/>
          <w:sz w:val="24"/>
          <w:szCs w:val="24"/>
          <w:rtl w:val="0"/>
        </w:rPr>
        <w:t xml:space="preserve">. Los Angeles: Sage. p.2</w:t>
      </w:r>
    </w:p>
    <w:p w:rsidR="00000000" w:rsidDel="00000000" w:rsidP="00000000" w:rsidRDefault="00000000" w:rsidRPr="00000000" w14:paraId="00000076">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Richardson, H. (2019). [online] Available at: https://www.bbc.co.uk/news/education-36480071 [Accessed 30 Dec. 2018].</w:t>
      </w:r>
    </w:p>
    <w:p w:rsidR="00000000" w:rsidDel="00000000" w:rsidP="00000000" w:rsidRDefault="00000000" w:rsidRPr="00000000" w14:paraId="00000077">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Sheppy, S. (2012). </w:t>
      </w:r>
      <w:r w:rsidDel="00000000" w:rsidR="00000000" w:rsidRPr="00000000">
        <w:rPr>
          <w:rFonts w:ascii="Times New Roman" w:cs="Times New Roman" w:eastAsia="Times New Roman" w:hAnsi="Times New Roman"/>
          <w:i w:val="1"/>
          <w:sz w:val="24"/>
          <w:szCs w:val="24"/>
          <w:rtl w:val="0"/>
        </w:rPr>
        <w:t xml:space="preserve">Personal, Social and Emotional Development in the Early Years Foundation Stage</w:t>
      </w:r>
      <w:r w:rsidDel="00000000" w:rsidR="00000000" w:rsidRPr="00000000">
        <w:rPr>
          <w:rFonts w:ascii="Times New Roman" w:cs="Times New Roman" w:eastAsia="Times New Roman" w:hAnsi="Times New Roman"/>
          <w:sz w:val="24"/>
          <w:szCs w:val="24"/>
          <w:rtl w:val="0"/>
        </w:rPr>
        <w:t xml:space="preserve">. London: Routledge. p</w:t>
      </w:r>
    </w:p>
    <w:p w:rsidR="00000000" w:rsidDel="00000000" w:rsidP="00000000" w:rsidRDefault="00000000" w:rsidRPr="00000000" w14:paraId="00000078">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Shulman, L. (1987). Knowledge and Teaching: Foundations of the New Reform. </w:t>
      </w:r>
      <w:r w:rsidDel="00000000" w:rsidR="00000000" w:rsidRPr="00000000">
        <w:rPr>
          <w:rFonts w:ascii="Times New Roman" w:cs="Times New Roman" w:eastAsia="Times New Roman" w:hAnsi="Times New Roman"/>
          <w:i w:val="1"/>
          <w:sz w:val="24"/>
          <w:szCs w:val="24"/>
          <w:rtl w:val="0"/>
        </w:rPr>
        <w:t xml:space="preserve">Harvard Educational Review</w:t>
      </w:r>
      <w:r w:rsidDel="00000000" w:rsidR="00000000" w:rsidRPr="00000000">
        <w:rPr>
          <w:rFonts w:ascii="Times New Roman" w:cs="Times New Roman" w:eastAsia="Times New Roman" w:hAnsi="Times New Roman"/>
          <w:sz w:val="24"/>
          <w:szCs w:val="24"/>
          <w:rtl w:val="0"/>
        </w:rPr>
        <w:t xml:space="preserve">, 57(1), pp.1-23.</w:t>
      </w:r>
    </w:p>
    <w:p w:rsidR="00000000" w:rsidDel="00000000" w:rsidP="00000000" w:rsidRDefault="00000000" w:rsidRPr="00000000" w14:paraId="00000079">
      <w:pPr>
        <w:spacing w:after="3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Thomas, A. and Lewis, A. (2016). </w:t>
      </w:r>
      <w:r w:rsidDel="00000000" w:rsidR="00000000" w:rsidRPr="00000000">
        <w:rPr>
          <w:rFonts w:ascii="Times New Roman" w:cs="Times New Roman" w:eastAsia="Times New Roman" w:hAnsi="Times New Roman"/>
          <w:i w:val="1"/>
          <w:sz w:val="24"/>
          <w:szCs w:val="24"/>
          <w:rtl w:val="0"/>
        </w:rPr>
        <w:t xml:space="preserve">An Introduction to the Foundation Phase: Early Years Curriculum in Wales</w:t>
      </w:r>
      <w:r w:rsidDel="00000000" w:rsidR="00000000" w:rsidRPr="00000000">
        <w:rPr>
          <w:rFonts w:ascii="Times New Roman" w:cs="Times New Roman" w:eastAsia="Times New Roman" w:hAnsi="Times New Roman"/>
          <w:sz w:val="24"/>
          <w:szCs w:val="24"/>
          <w:rtl w:val="0"/>
        </w:rPr>
        <w:t xml:space="preserve">. London: Bloomsbury Publishing. p.17</w:t>
      </w:r>
    </w:p>
    <w:p w:rsidR="00000000" w:rsidDel="00000000" w:rsidP="00000000" w:rsidRDefault="00000000" w:rsidRPr="00000000" w14:paraId="0000007A">
      <w:pPr>
        <w:spacing w:after="3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jc w:val="center"/>
        <w:rPr>
          <w:b w:val="1"/>
          <w:u w:val="single"/>
        </w:rPr>
      </w:pPr>
      <w:r w:rsidDel="00000000" w:rsidR="00000000" w:rsidRPr="00000000">
        <w:rPr>
          <w:b w:val="1"/>
          <w:u w:val="single"/>
          <w:rtl w:val="0"/>
        </w:rPr>
        <w:t xml:space="preserve">Appendices</w:t>
      </w:r>
    </w:p>
    <w:p w:rsidR="00000000" w:rsidDel="00000000" w:rsidP="00000000" w:rsidRDefault="00000000" w:rsidRPr="00000000" w14:paraId="00000098">
      <w:pPr>
        <w:jc w:val="center"/>
        <w:rPr>
          <w:b w:val="1"/>
          <w:u w:val="single"/>
        </w:rPr>
      </w:pPr>
      <w:r w:rsidDel="00000000" w:rsidR="00000000" w:rsidRPr="00000000">
        <w:rPr>
          <w:rtl w:val="0"/>
        </w:rPr>
      </w:r>
    </w:p>
    <w:p w:rsidR="00000000" w:rsidDel="00000000" w:rsidP="00000000" w:rsidRDefault="00000000" w:rsidRPr="00000000" w14:paraId="00000099">
      <w:pPr>
        <w:rPr>
          <w:b w:val="1"/>
          <w:u w:val="single"/>
        </w:rPr>
      </w:pPr>
      <w:r w:rsidDel="00000000" w:rsidR="00000000" w:rsidRPr="00000000">
        <w:rPr>
          <w:b w:val="1"/>
          <w:u w:val="single"/>
          <w:rtl w:val="0"/>
        </w:rPr>
        <w:t xml:space="preserve">Appendix 1</w:t>
      </w:r>
    </w:p>
    <w:p w:rsidR="00000000" w:rsidDel="00000000" w:rsidP="00000000" w:rsidRDefault="00000000" w:rsidRPr="00000000" w14:paraId="0000009A">
      <w:pPr>
        <w:rPr>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-542924</wp:posOffset>
            </wp:positionH>
            <wp:positionV relativeFrom="paragraph">
              <wp:posOffset>4143375</wp:posOffset>
            </wp:positionV>
            <wp:extent cx="7015163" cy="3188710"/>
            <wp:effectExtent b="0" l="0" r="0" t="0"/>
            <wp:wrapSquare wrapText="bothSides" distB="114300" distT="114300" distL="114300" distR="114300"/>
            <wp:docPr id="8" name="image10.png"/>
            <a:graphic>
              <a:graphicData uri="http://schemas.openxmlformats.org/drawingml/2006/picture">
                <pic:pic>
                  <pic:nvPicPr>
                    <pic:cNvPr id="0" name="image10.png"/>
                    <pic:cNvPicPr preferRelativeResize="0"/>
                  </pic:nvPicPr>
                  <pic:blipFill>
                    <a:blip r:embed="rId6"/>
                    <a:srcRect b="35042" l="24358" r="25320" t="24501"/>
                    <a:stretch>
                      <a:fillRect/>
                    </a:stretch>
                  </pic:blipFill>
                  <pic:spPr>
                    <a:xfrm>
                      <a:off x="0" y="0"/>
                      <a:ext cx="7015163" cy="318871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-638174</wp:posOffset>
            </wp:positionH>
            <wp:positionV relativeFrom="paragraph">
              <wp:posOffset>228600</wp:posOffset>
            </wp:positionV>
            <wp:extent cx="6724650" cy="3543300"/>
            <wp:effectExtent b="0" l="0" r="0" t="0"/>
            <wp:wrapSquare wrapText="bothSides" distB="114300" distT="114300" distL="114300" distR="114300"/>
            <wp:docPr id="1" name="image7.png"/>
            <a:graphic>
              <a:graphicData uri="http://schemas.openxmlformats.org/drawingml/2006/picture">
                <pic:pic>
                  <pic:nvPicPr>
                    <pic:cNvPr id="0" name="image7.png"/>
                    <pic:cNvPicPr preferRelativeResize="0"/>
                  </pic:nvPicPr>
                  <pic:blipFill>
                    <a:blip r:embed="rId7"/>
                    <a:srcRect b="26322" l="23829" r="25033" t="25806"/>
                    <a:stretch>
                      <a:fillRect/>
                    </a:stretch>
                  </pic:blipFill>
                  <pic:spPr>
                    <a:xfrm>
                      <a:off x="0" y="0"/>
                      <a:ext cx="6724650" cy="3543300"/>
                    </a:xfrm>
                    <a:prstGeom prst="rect"/>
                    <a:ln/>
                  </pic:spPr>
                </pic:pic>
              </a:graphicData>
            </a:graphic>
          </wp:anchor>
        </w:drawing>
      </w:r>
    </w:p>
    <w:p w:rsidR="00000000" w:rsidDel="00000000" w:rsidP="00000000" w:rsidRDefault="00000000" w:rsidRPr="00000000" w14:paraId="0000009B">
      <w:pPr>
        <w:rPr>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-647699</wp:posOffset>
            </wp:positionH>
            <wp:positionV relativeFrom="paragraph">
              <wp:posOffset>114300</wp:posOffset>
            </wp:positionV>
            <wp:extent cx="6796088" cy="7053759"/>
            <wp:effectExtent b="0" l="0" r="0" t="0"/>
            <wp:wrapSquare wrapText="bothSides" distB="114300" distT="114300" distL="114300" distR="114300"/>
            <wp:docPr id="7" name="image9.png"/>
            <a:graphic>
              <a:graphicData uri="http://schemas.openxmlformats.org/drawingml/2006/picture">
                <pic:pic>
                  <pic:nvPicPr>
                    <pic:cNvPr id="0" name="image9.png"/>
                    <pic:cNvPicPr preferRelativeResize="0"/>
                  </pic:nvPicPr>
                  <pic:blipFill>
                    <a:blip r:embed="rId8"/>
                    <a:srcRect b="8547" l="35897" r="24519" t="18233"/>
                    <a:stretch>
                      <a:fillRect/>
                    </a:stretch>
                  </pic:blipFill>
                  <pic:spPr>
                    <a:xfrm>
                      <a:off x="0" y="0"/>
                      <a:ext cx="6796088" cy="7053759"/>
                    </a:xfrm>
                    <a:prstGeom prst="rect"/>
                    <a:ln/>
                  </pic:spPr>
                </pic:pic>
              </a:graphicData>
            </a:graphic>
          </wp:anchor>
        </w:drawing>
      </w:r>
    </w:p>
    <w:p w:rsidR="00000000" w:rsidDel="00000000" w:rsidP="00000000" w:rsidRDefault="00000000" w:rsidRPr="00000000" w14:paraId="0000009C">
      <w:pPr>
        <w:rPr>
          <w:u w:val="single"/>
        </w:rPr>
      </w:pPr>
      <w:r w:rsidDel="00000000" w:rsidR="00000000" w:rsidRPr="00000000">
        <w:rPr>
          <w:rtl w:val="0"/>
        </w:rPr>
      </w:r>
    </w:p>
    <w:p w:rsidR="00000000" w:rsidDel="00000000" w:rsidP="00000000" w:rsidRDefault="00000000" w:rsidRPr="00000000" w14:paraId="0000009D">
      <w:pPr>
        <w:rPr>
          <w:u w:val="single"/>
        </w:rPr>
      </w:pPr>
      <w:r w:rsidDel="00000000" w:rsidR="00000000" w:rsidRPr="00000000">
        <w:rPr>
          <w:rtl w:val="0"/>
        </w:rPr>
      </w:r>
    </w:p>
    <w:p w:rsidR="00000000" w:rsidDel="00000000" w:rsidP="00000000" w:rsidRDefault="00000000" w:rsidRPr="00000000" w14:paraId="0000009E">
      <w:pPr>
        <w:rPr>
          <w:u w:val="single"/>
        </w:rPr>
      </w:pPr>
      <w:r w:rsidDel="00000000" w:rsidR="00000000" w:rsidRPr="00000000">
        <w:rPr>
          <w:rtl w:val="0"/>
        </w:rPr>
      </w:r>
    </w:p>
    <w:p w:rsidR="00000000" w:rsidDel="00000000" w:rsidP="00000000" w:rsidRDefault="00000000" w:rsidRPr="00000000" w14:paraId="0000009F">
      <w:pPr>
        <w:rPr>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-761999</wp:posOffset>
            </wp:positionH>
            <wp:positionV relativeFrom="paragraph">
              <wp:posOffset>114300</wp:posOffset>
            </wp:positionV>
            <wp:extent cx="7466421" cy="5014913"/>
            <wp:effectExtent b="0" l="0" r="0" t="0"/>
            <wp:wrapSquare wrapText="bothSides" distB="114300" distT="114300" distL="114300" distR="114300"/>
            <wp:docPr id="4" name="image14.png"/>
            <a:graphic>
              <a:graphicData uri="http://schemas.openxmlformats.org/drawingml/2006/picture">
                <pic:pic>
                  <pic:nvPicPr>
                    <pic:cNvPr id="0" name="image14.png"/>
                    <pic:cNvPicPr preferRelativeResize="0"/>
                  </pic:nvPicPr>
                  <pic:blipFill>
                    <a:blip r:embed="rId9"/>
                    <a:srcRect b="11680" l="23878" r="24839" t="27065"/>
                    <a:stretch>
                      <a:fillRect/>
                    </a:stretch>
                  </pic:blipFill>
                  <pic:spPr>
                    <a:xfrm>
                      <a:off x="0" y="0"/>
                      <a:ext cx="7466421" cy="5014913"/>
                    </a:xfrm>
                    <a:prstGeom prst="rect"/>
                    <a:ln/>
                  </pic:spPr>
                </pic:pic>
              </a:graphicData>
            </a:graphic>
          </wp:anchor>
        </w:drawing>
      </w:r>
    </w:p>
    <w:p w:rsidR="00000000" w:rsidDel="00000000" w:rsidP="00000000" w:rsidRDefault="00000000" w:rsidRPr="00000000" w14:paraId="000000A0">
      <w:pPr>
        <w:rPr>
          <w:u w:val="single"/>
        </w:rPr>
      </w:pPr>
      <w:r w:rsidDel="00000000" w:rsidR="00000000" w:rsidRPr="00000000">
        <w:rPr>
          <w:rtl w:val="0"/>
        </w:rPr>
      </w:r>
    </w:p>
    <w:p w:rsidR="00000000" w:rsidDel="00000000" w:rsidP="00000000" w:rsidRDefault="00000000" w:rsidRPr="00000000" w14:paraId="000000A1">
      <w:pPr>
        <w:rPr>
          <w:u w:val="single"/>
        </w:rPr>
      </w:pPr>
      <w:r w:rsidDel="00000000" w:rsidR="00000000" w:rsidRPr="00000000">
        <w:rPr>
          <w:rtl w:val="0"/>
        </w:rPr>
      </w:r>
    </w:p>
    <w:p w:rsidR="00000000" w:rsidDel="00000000" w:rsidP="00000000" w:rsidRDefault="00000000" w:rsidRPr="00000000" w14:paraId="000000A2">
      <w:pPr>
        <w:rPr>
          <w:u w:val="single"/>
        </w:rPr>
      </w:pPr>
      <w:r w:rsidDel="00000000" w:rsidR="00000000" w:rsidRPr="00000000">
        <w:rPr>
          <w:rtl w:val="0"/>
        </w:rPr>
      </w:r>
    </w:p>
    <w:p w:rsidR="00000000" w:rsidDel="00000000" w:rsidP="00000000" w:rsidRDefault="00000000" w:rsidRPr="00000000" w14:paraId="000000A3">
      <w:pPr>
        <w:rPr>
          <w:u w:val="single"/>
        </w:rPr>
      </w:pPr>
      <w:r w:rsidDel="00000000" w:rsidR="00000000" w:rsidRPr="00000000">
        <w:rPr>
          <w:rtl w:val="0"/>
        </w:rPr>
      </w:r>
    </w:p>
    <w:p w:rsidR="00000000" w:rsidDel="00000000" w:rsidP="00000000" w:rsidRDefault="00000000" w:rsidRPr="00000000" w14:paraId="000000A4">
      <w:pPr>
        <w:rPr>
          <w:u w:val="single"/>
        </w:rPr>
      </w:pPr>
      <w:r w:rsidDel="00000000" w:rsidR="00000000" w:rsidRPr="00000000">
        <w:rPr>
          <w:rtl w:val="0"/>
        </w:rPr>
      </w:r>
    </w:p>
    <w:p w:rsidR="00000000" w:rsidDel="00000000" w:rsidP="00000000" w:rsidRDefault="00000000" w:rsidRPr="00000000" w14:paraId="000000A5">
      <w:pPr>
        <w:rPr>
          <w:u w:val="single"/>
        </w:rPr>
      </w:pPr>
      <w:r w:rsidDel="00000000" w:rsidR="00000000" w:rsidRPr="00000000">
        <w:rPr>
          <w:rtl w:val="0"/>
        </w:rPr>
      </w:r>
    </w:p>
    <w:p w:rsidR="00000000" w:rsidDel="00000000" w:rsidP="00000000" w:rsidRDefault="00000000" w:rsidRPr="00000000" w14:paraId="000000A6">
      <w:pPr>
        <w:rPr>
          <w:u w:val="single"/>
        </w:rPr>
      </w:pPr>
      <w:r w:rsidDel="00000000" w:rsidR="00000000" w:rsidRPr="00000000">
        <w:rPr>
          <w:rtl w:val="0"/>
        </w:rPr>
      </w:r>
    </w:p>
    <w:p w:rsidR="00000000" w:rsidDel="00000000" w:rsidP="00000000" w:rsidRDefault="00000000" w:rsidRPr="00000000" w14:paraId="000000A7">
      <w:pPr>
        <w:rPr>
          <w:u w:val="single"/>
        </w:rPr>
      </w:pPr>
      <w:r w:rsidDel="00000000" w:rsidR="00000000" w:rsidRPr="00000000">
        <w:rPr>
          <w:rtl w:val="0"/>
        </w:rPr>
      </w:r>
    </w:p>
    <w:p w:rsidR="00000000" w:rsidDel="00000000" w:rsidP="00000000" w:rsidRDefault="00000000" w:rsidRPr="00000000" w14:paraId="000000A8">
      <w:pPr>
        <w:rPr>
          <w:u w:val="single"/>
        </w:rPr>
      </w:pPr>
      <w:r w:rsidDel="00000000" w:rsidR="00000000" w:rsidRPr="00000000">
        <w:rPr>
          <w:rtl w:val="0"/>
        </w:rPr>
      </w:r>
    </w:p>
    <w:p w:rsidR="00000000" w:rsidDel="00000000" w:rsidP="00000000" w:rsidRDefault="00000000" w:rsidRPr="00000000" w14:paraId="000000A9">
      <w:pPr>
        <w:rPr>
          <w:u w:val="single"/>
        </w:rPr>
      </w:pPr>
      <w:r w:rsidDel="00000000" w:rsidR="00000000" w:rsidRPr="00000000">
        <w:rPr>
          <w:rtl w:val="0"/>
        </w:rPr>
      </w:r>
    </w:p>
    <w:p w:rsidR="00000000" w:rsidDel="00000000" w:rsidP="00000000" w:rsidRDefault="00000000" w:rsidRPr="00000000" w14:paraId="000000AA">
      <w:pPr>
        <w:rPr>
          <w:u w:val="single"/>
        </w:rPr>
      </w:pPr>
      <w:r w:rsidDel="00000000" w:rsidR="00000000" w:rsidRPr="00000000">
        <w:rPr>
          <w:rtl w:val="0"/>
        </w:rPr>
      </w:r>
    </w:p>
    <w:p w:rsidR="00000000" w:rsidDel="00000000" w:rsidP="00000000" w:rsidRDefault="00000000" w:rsidRPr="00000000" w14:paraId="000000AB">
      <w:pPr>
        <w:rPr>
          <w:u w:val="single"/>
        </w:rPr>
      </w:pPr>
      <w:r w:rsidDel="00000000" w:rsidR="00000000" w:rsidRPr="00000000">
        <w:rPr>
          <w:rtl w:val="0"/>
        </w:rPr>
      </w:r>
    </w:p>
    <w:p w:rsidR="00000000" w:rsidDel="00000000" w:rsidP="00000000" w:rsidRDefault="00000000" w:rsidRPr="00000000" w14:paraId="000000AC">
      <w:pPr>
        <w:rPr>
          <w:u w:val="single"/>
        </w:rPr>
      </w:pPr>
      <w:r w:rsidDel="00000000" w:rsidR="00000000" w:rsidRPr="00000000">
        <w:rPr>
          <w:rtl w:val="0"/>
        </w:rPr>
      </w:r>
    </w:p>
    <w:p w:rsidR="00000000" w:rsidDel="00000000" w:rsidP="00000000" w:rsidRDefault="00000000" w:rsidRPr="00000000" w14:paraId="000000AD">
      <w:pPr>
        <w:rPr>
          <w:u w:val="single"/>
        </w:rPr>
      </w:pPr>
      <w:r w:rsidDel="00000000" w:rsidR="00000000" w:rsidRPr="00000000">
        <w:rPr>
          <w:rtl w:val="0"/>
        </w:rPr>
      </w:r>
    </w:p>
    <w:p w:rsidR="00000000" w:rsidDel="00000000" w:rsidP="00000000" w:rsidRDefault="00000000" w:rsidRPr="00000000" w14:paraId="000000AE">
      <w:pPr>
        <w:rPr>
          <w:b w:val="1"/>
          <w:u w:val="single"/>
        </w:rPr>
      </w:pPr>
      <w:r w:rsidDel="00000000" w:rsidR="00000000" w:rsidRPr="00000000">
        <w:rPr>
          <w:b w:val="1"/>
          <w:u w:val="single"/>
          <w:rtl w:val="0"/>
        </w:rPr>
        <w:t xml:space="preserve">Appendix 2</w:t>
      </w:r>
    </w:p>
    <w:p w:rsidR="00000000" w:rsidDel="00000000" w:rsidP="00000000" w:rsidRDefault="00000000" w:rsidRPr="00000000" w14:paraId="000000AF">
      <w:pPr>
        <w:rPr>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-685799</wp:posOffset>
            </wp:positionH>
            <wp:positionV relativeFrom="paragraph">
              <wp:posOffset>161925</wp:posOffset>
            </wp:positionV>
            <wp:extent cx="7111878" cy="3424238"/>
            <wp:effectExtent b="0" l="0" r="0" t="0"/>
            <wp:wrapSquare wrapText="bothSides" distB="114300" distT="114300" distL="114300" distR="114300"/>
            <wp:docPr id="13" name="image8.png"/>
            <a:graphic>
              <a:graphicData uri="http://schemas.openxmlformats.org/drawingml/2006/picture">
                <pic:pic>
                  <pic:nvPicPr>
                    <pic:cNvPr id="0" name="image8.png"/>
                    <pic:cNvPicPr preferRelativeResize="0"/>
                  </pic:nvPicPr>
                  <pic:blipFill>
                    <a:blip r:embed="rId10"/>
                    <a:srcRect b="18233" l="17948" r="19070" t="27920"/>
                    <a:stretch>
                      <a:fillRect/>
                    </a:stretch>
                  </pic:blipFill>
                  <pic:spPr>
                    <a:xfrm>
                      <a:off x="0" y="0"/>
                      <a:ext cx="7111878" cy="342423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-728662</wp:posOffset>
            </wp:positionH>
            <wp:positionV relativeFrom="paragraph">
              <wp:posOffset>3324225</wp:posOffset>
            </wp:positionV>
            <wp:extent cx="7201624" cy="4291013"/>
            <wp:effectExtent b="0" l="0" r="0" t="0"/>
            <wp:wrapSquare wrapText="bothSides" distB="114300" distT="114300" distL="114300" distR="114300"/>
            <wp:docPr id="5" name="image5.png"/>
            <a:graphic>
              <a:graphicData uri="http://schemas.openxmlformats.org/drawingml/2006/picture">
                <pic:pic>
                  <pic:nvPicPr>
                    <pic:cNvPr id="0" name="image5.png"/>
                    <pic:cNvPicPr preferRelativeResize="0"/>
                  </pic:nvPicPr>
                  <pic:blipFill>
                    <a:blip r:embed="rId11"/>
                    <a:srcRect b="8831" l="17948" r="18910" t="24216"/>
                    <a:stretch>
                      <a:fillRect/>
                    </a:stretch>
                  </pic:blipFill>
                  <pic:spPr>
                    <a:xfrm>
                      <a:off x="0" y="0"/>
                      <a:ext cx="7201624" cy="4291013"/>
                    </a:xfrm>
                    <a:prstGeom prst="rect"/>
                    <a:ln/>
                  </pic:spPr>
                </pic:pic>
              </a:graphicData>
            </a:graphic>
          </wp:anchor>
        </w:drawing>
      </w:r>
    </w:p>
    <w:p w:rsidR="00000000" w:rsidDel="00000000" w:rsidP="00000000" w:rsidRDefault="00000000" w:rsidRPr="00000000" w14:paraId="000000B0">
      <w:pPr>
        <w:rPr>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3562350</wp:posOffset>
            </wp:positionH>
            <wp:positionV relativeFrom="paragraph">
              <wp:posOffset>114300</wp:posOffset>
            </wp:positionV>
            <wp:extent cx="3029246" cy="6643688"/>
            <wp:effectExtent b="0" l="0" r="0" t="0"/>
            <wp:wrapSquare wrapText="bothSides" distB="114300" distT="114300" distL="114300" distR="114300"/>
            <wp:docPr id="14" name="image11.png"/>
            <a:graphic>
              <a:graphicData uri="http://schemas.openxmlformats.org/drawingml/2006/picture">
                <pic:pic>
                  <pic:nvPicPr>
                    <pic:cNvPr id="0" name="image11.png"/>
                    <pic:cNvPicPr preferRelativeResize="0"/>
                  </pic:nvPicPr>
                  <pic:blipFill>
                    <a:blip r:embed="rId12"/>
                    <a:srcRect b="19088" l="35897" r="50000" t="25925"/>
                    <a:stretch>
                      <a:fillRect/>
                    </a:stretch>
                  </pic:blipFill>
                  <pic:spPr>
                    <a:xfrm>
                      <a:off x="0" y="0"/>
                      <a:ext cx="3029246" cy="664368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-723899</wp:posOffset>
            </wp:positionH>
            <wp:positionV relativeFrom="paragraph">
              <wp:posOffset>114300</wp:posOffset>
            </wp:positionV>
            <wp:extent cx="4086225" cy="6391275"/>
            <wp:effectExtent b="0" l="0" r="0" t="0"/>
            <wp:wrapSquare wrapText="bothSides" distB="114300" distT="114300" distL="114300" distR="114300"/>
            <wp:docPr id="9" name="image4.png"/>
            <a:graphic>
              <a:graphicData uri="http://schemas.openxmlformats.org/drawingml/2006/picture">
                <pic:pic>
                  <pic:nvPicPr>
                    <pic:cNvPr id="0" name="image4.png"/>
                    <pic:cNvPicPr preferRelativeResize="0"/>
                  </pic:nvPicPr>
                  <pic:blipFill>
                    <a:blip r:embed="rId13"/>
                    <a:srcRect b="9971" l="36903" r="37930" t="19943"/>
                    <a:stretch>
                      <a:fillRect/>
                    </a:stretch>
                  </pic:blipFill>
                  <pic:spPr>
                    <a:xfrm>
                      <a:off x="0" y="0"/>
                      <a:ext cx="4086225" cy="6391275"/>
                    </a:xfrm>
                    <a:prstGeom prst="rect"/>
                    <a:ln/>
                  </pic:spPr>
                </pic:pic>
              </a:graphicData>
            </a:graphic>
          </wp:anchor>
        </w:drawing>
      </w:r>
    </w:p>
    <w:p w:rsidR="00000000" w:rsidDel="00000000" w:rsidP="00000000" w:rsidRDefault="00000000" w:rsidRPr="00000000" w14:paraId="000000B1">
      <w:pPr>
        <w:rPr>
          <w:u w:val="single"/>
        </w:rPr>
      </w:pPr>
      <w:r w:rsidDel="00000000" w:rsidR="00000000" w:rsidRPr="00000000">
        <w:rPr>
          <w:rtl w:val="0"/>
        </w:rPr>
      </w:r>
    </w:p>
    <w:p w:rsidR="00000000" w:rsidDel="00000000" w:rsidP="00000000" w:rsidRDefault="00000000" w:rsidRPr="00000000" w14:paraId="000000B2">
      <w:pPr>
        <w:rPr>
          <w:u w:val="single"/>
        </w:rPr>
      </w:pPr>
      <w:r w:rsidDel="00000000" w:rsidR="00000000" w:rsidRPr="00000000">
        <w:rPr>
          <w:rtl w:val="0"/>
        </w:rPr>
      </w:r>
    </w:p>
    <w:p w:rsidR="00000000" w:rsidDel="00000000" w:rsidP="00000000" w:rsidRDefault="00000000" w:rsidRPr="00000000" w14:paraId="000000B3">
      <w:pPr>
        <w:rPr>
          <w:u w:val="single"/>
        </w:rPr>
      </w:pPr>
      <w:r w:rsidDel="00000000" w:rsidR="00000000" w:rsidRPr="00000000">
        <w:rPr>
          <w:rtl w:val="0"/>
        </w:rPr>
      </w:r>
    </w:p>
    <w:p w:rsidR="00000000" w:rsidDel="00000000" w:rsidP="00000000" w:rsidRDefault="00000000" w:rsidRPr="00000000" w14:paraId="000000B4">
      <w:pPr>
        <w:rPr>
          <w:u w:val="single"/>
        </w:rPr>
      </w:pPr>
      <w:r w:rsidDel="00000000" w:rsidR="00000000" w:rsidRPr="00000000">
        <w:rPr>
          <w:rtl w:val="0"/>
        </w:rPr>
      </w:r>
    </w:p>
    <w:p w:rsidR="00000000" w:rsidDel="00000000" w:rsidP="00000000" w:rsidRDefault="00000000" w:rsidRPr="00000000" w14:paraId="000000B5">
      <w:pPr>
        <w:rPr>
          <w:u w:val="single"/>
        </w:rPr>
      </w:pPr>
      <w:r w:rsidDel="00000000" w:rsidR="00000000" w:rsidRPr="00000000">
        <w:rPr>
          <w:rtl w:val="0"/>
        </w:rPr>
      </w:r>
    </w:p>
    <w:p w:rsidR="00000000" w:rsidDel="00000000" w:rsidP="00000000" w:rsidRDefault="00000000" w:rsidRPr="00000000" w14:paraId="000000B6">
      <w:pPr>
        <w:rPr>
          <w:u w:val="single"/>
        </w:rPr>
      </w:pPr>
      <w:r w:rsidDel="00000000" w:rsidR="00000000" w:rsidRPr="00000000">
        <w:rPr>
          <w:rtl w:val="0"/>
        </w:rPr>
      </w:r>
    </w:p>
    <w:p w:rsidR="00000000" w:rsidDel="00000000" w:rsidP="00000000" w:rsidRDefault="00000000" w:rsidRPr="00000000" w14:paraId="000000B7">
      <w:pPr>
        <w:rPr>
          <w:u w:val="single"/>
        </w:rPr>
      </w:pPr>
      <w:r w:rsidDel="00000000" w:rsidR="00000000" w:rsidRPr="00000000">
        <w:rPr>
          <w:rtl w:val="0"/>
        </w:rPr>
      </w:r>
    </w:p>
    <w:p w:rsidR="00000000" w:rsidDel="00000000" w:rsidP="00000000" w:rsidRDefault="00000000" w:rsidRPr="00000000" w14:paraId="000000B8">
      <w:pPr>
        <w:rPr>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-723899</wp:posOffset>
            </wp:positionH>
            <wp:positionV relativeFrom="paragraph">
              <wp:posOffset>114300</wp:posOffset>
            </wp:positionV>
            <wp:extent cx="7386638" cy="5748640"/>
            <wp:effectExtent b="0" l="0" r="0" t="0"/>
            <wp:wrapSquare wrapText="bothSides" distB="114300" distT="114300" distL="114300" distR="114300"/>
            <wp:docPr id="11" name="image12.png"/>
            <a:graphic>
              <a:graphicData uri="http://schemas.openxmlformats.org/drawingml/2006/picture">
                <pic:pic>
                  <pic:nvPicPr>
                    <pic:cNvPr id="0" name="image12.png"/>
                    <pic:cNvPicPr preferRelativeResize="0"/>
                  </pic:nvPicPr>
                  <pic:blipFill>
                    <a:blip r:embed="rId14"/>
                    <a:srcRect b="8831" l="23878" r="24839" t="20227"/>
                    <a:stretch>
                      <a:fillRect/>
                    </a:stretch>
                  </pic:blipFill>
                  <pic:spPr>
                    <a:xfrm>
                      <a:off x="0" y="0"/>
                      <a:ext cx="7386638" cy="5748640"/>
                    </a:xfrm>
                    <a:prstGeom prst="rect"/>
                    <a:ln/>
                  </pic:spPr>
                </pic:pic>
              </a:graphicData>
            </a:graphic>
          </wp:anchor>
        </w:drawing>
      </w:r>
    </w:p>
    <w:p w:rsidR="00000000" w:rsidDel="00000000" w:rsidP="00000000" w:rsidRDefault="00000000" w:rsidRPr="00000000" w14:paraId="000000B9">
      <w:pPr>
        <w:rPr>
          <w:u w:val="single"/>
        </w:rPr>
      </w:pPr>
      <w:r w:rsidDel="00000000" w:rsidR="00000000" w:rsidRPr="00000000">
        <w:rPr>
          <w:rtl w:val="0"/>
        </w:rPr>
      </w:r>
    </w:p>
    <w:p w:rsidR="00000000" w:rsidDel="00000000" w:rsidP="00000000" w:rsidRDefault="00000000" w:rsidRPr="00000000" w14:paraId="000000BA">
      <w:pPr>
        <w:rPr>
          <w:u w:val="single"/>
        </w:rPr>
      </w:pPr>
      <w:r w:rsidDel="00000000" w:rsidR="00000000" w:rsidRPr="00000000">
        <w:rPr>
          <w:rtl w:val="0"/>
        </w:rPr>
      </w:r>
    </w:p>
    <w:p w:rsidR="00000000" w:rsidDel="00000000" w:rsidP="00000000" w:rsidRDefault="00000000" w:rsidRPr="00000000" w14:paraId="000000BB">
      <w:pPr>
        <w:rPr>
          <w:u w:val="single"/>
        </w:rPr>
      </w:pPr>
      <w:r w:rsidDel="00000000" w:rsidR="00000000" w:rsidRPr="00000000">
        <w:rPr>
          <w:rtl w:val="0"/>
        </w:rPr>
      </w:r>
    </w:p>
    <w:p w:rsidR="00000000" w:rsidDel="00000000" w:rsidP="00000000" w:rsidRDefault="00000000" w:rsidRPr="00000000" w14:paraId="000000BC">
      <w:pPr>
        <w:rPr>
          <w:u w:val="single"/>
        </w:rPr>
      </w:pPr>
      <w:r w:rsidDel="00000000" w:rsidR="00000000" w:rsidRPr="00000000">
        <w:rPr>
          <w:rtl w:val="0"/>
        </w:rPr>
      </w:r>
    </w:p>
    <w:p w:rsidR="00000000" w:rsidDel="00000000" w:rsidP="00000000" w:rsidRDefault="00000000" w:rsidRPr="00000000" w14:paraId="000000BD">
      <w:pPr>
        <w:rPr>
          <w:u w:val="single"/>
        </w:rPr>
      </w:pPr>
      <w:r w:rsidDel="00000000" w:rsidR="00000000" w:rsidRPr="00000000">
        <w:rPr>
          <w:rtl w:val="0"/>
        </w:rPr>
      </w:r>
    </w:p>
    <w:p w:rsidR="00000000" w:rsidDel="00000000" w:rsidP="00000000" w:rsidRDefault="00000000" w:rsidRPr="00000000" w14:paraId="000000BE">
      <w:pPr>
        <w:rPr>
          <w:u w:val="single"/>
        </w:rPr>
      </w:pPr>
      <w:r w:rsidDel="00000000" w:rsidR="00000000" w:rsidRPr="00000000">
        <w:rPr>
          <w:rtl w:val="0"/>
        </w:rPr>
      </w:r>
    </w:p>
    <w:p w:rsidR="00000000" w:rsidDel="00000000" w:rsidP="00000000" w:rsidRDefault="00000000" w:rsidRPr="00000000" w14:paraId="000000BF">
      <w:pPr>
        <w:rPr>
          <w:u w:val="single"/>
        </w:rPr>
      </w:pPr>
      <w:r w:rsidDel="00000000" w:rsidR="00000000" w:rsidRPr="00000000">
        <w:rPr>
          <w:rtl w:val="0"/>
        </w:rPr>
      </w:r>
    </w:p>
    <w:p w:rsidR="00000000" w:rsidDel="00000000" w:rsidP="00000000" w:rsidRDefault="00000000" w:rsidRPr="00000000" w14:paraId="000000C0">
      <w:pPr>
        <w:rPr>
          <w:u w:val="single"/>
        </w:rPr>
      </w:pPr>
      <w:r w:rsidDel="00000000" w:rsidR="00000000" w:rsidRPr="00000000">
        <w:rPr>
          <w:rtl w:val="0"/>
        </w:rPr>
      </w:r>
    </w:p>
    <w:p w:rsidR="00000000" w:rsidDel="00000000" w:rsidP="00000000" w:rsidRDefault="00000000" w:rsidRPr="00000000" w14:paraId="000000C1">
      <w:pPr>
        <w:rPr>
          <w:u w:val="single"/>
        </w:rPr>
      </w:pPr>
      <w:r w:rsidDel="00000000" w:rsidR="00000000" w:rsidRPr="00000000">
        <w:rPr>
          <w:rtl w:val="0"/>
        </w:rPr>
      </w:r>
    </w:p>
    <w:p w:rsidR="00000000" w:rsidDel="00000000" w:rsidP="00000000" w:rsidRDefault="00000000" w:rsidRPr="00000000" w14:paraId="000000C2">
      <w:pPr>
        <w:rPr>
          <w:u w:val="single"/>
        </w:rPr>
      </w:pPr>
      <w:r w:rsidDel="00000000" w:rsidR="00000000" w:rsidRPr="00000000">
        <w:rPr>
          <w:rtl w:val="0"/>
        </w:rPr>
      </w:r>
    </w:p>
    <w:p w:rsidR="00000000" w:rsidDel="00000000" w:rsidP="00000000" w:rsidRDefault="00000000" w:rsidRPr="00000000" w14:paraId="000000C3">
      <w:pPr>
        <w:rPr>
          <w:b w:val="1"/>
          <w:u w:val="single"/>
        </w:rPr>
      </w:pPr>
      <w:r w:rsidDel="00000000" w:rsidR="00000000" w:rsidRPr="00000000">
        <w:rPr>
          <w:b w:val="1"/>
          <w:u w:val="single"/>
          <w:rtl w:val="0"/>
        </w:rPr>
        <w:t xml:space="preserve">Appendix 3</w:t>
      </w:r>
    </w:p>
    <w:p w:rsidR="00000000" w:rsidDel="00000000" w:rsidP="00000000" w:rsidRDefault="00000000" w:rsidRPr="00000000" w14:paraId="000000C4">
      <w:pPr>
        <w:rPr>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209550</wp:posOffset>
            </wp:positionV>
            <wp:extent cx="5624513" cy="6766121"/>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15"/>
                    <a:srcRect b="18803" l="20032" r="53205" t="23931"/>
                    <a:stretch>
                      <a:fillRect/>
                    </a:stretch>
                  </pic:blipFill>
                  <pic:spPr>
                    <a:xfrm>
                      <a:off x="0" y="0"/>
                      <a:ext cx="5624513" cy="6766121"/>
                    </a:xfrm>
                    <a:prstGeom prst="rect"/>
                    <a:ln/>
                  </pic:spPr>
                </pic:pic>
              </a:graphicData>
            </a:graphic>
          </wp:anchor>
        </w:drawing>
      </w:r>
    </w:p>
    <w:p w:rsidR="00000000" w:rsidDel="00000000" w:rsidP="00000000" w:rsidRDefault="00000000" w:rsidRPr="00000000" w14:paraId="000000C5">
      <w:pPr>
        <w:rPr>
          <w:u w:val="single"/>
        </w:rPr>
      </w:pPr>
      <w:r w:rsidDel="00000000" w:rsidR="00000000" w:rsidRPr="00000000">
        <w:rPr>
          <w:rtl w:val="0"/>
        </w:rPr>
      </w:r>
    </w:p>
    <w:p w:rsidR="00000000" w:rsidDel="00000000" w:rsidP="00000000" w:rsidRDefault="00000000" w:rsidRPr="00000000" w14:paraId="000000C6">
      <w:pPr>
        <w:rPr>
          <w:u w:val="single"/>
        </w:rPr>
      </w:pPr>
      <w:r w:rsidDel="00000000" w:rsidR="00000000" w:rsidRPr="00000000">
        <w:rPr>
          <w:rtl w:val="0"/>
        </w:rPr>
      </w:r>
    </w:p>
    <w:p w:rsidR="00000000" w:rsidDel="00000000" w:rsidP="00000000" w:rsidRDefault="00000000" w:rsidRPr="00000000" w14:paraId="000000C7">
      <w:pPr>
        <w:rPr>
          <w:u w:val="single"/>
        </w:rPr>
      </w:pPr>
      <w:r w:rsidDel="00000000" w:rsidR="00000000" w:rsidRPr="00000000">
        <w:rPr>
          <w:rtl w:val="0"/>
        </w:rPr>
      </w:r>
    </w:p>
    <w:p w:rsidR="00000000" w:rsidDel="00000000" w:rsidP="00000000" w:rsidRDefault="00000000" w:rsidRPr="00000000" w14:paraId="000000C8">
      <w:pPr>
        <w:rPr>
          <w:u w:val="single"/>
        </w:rPr>
      </w:pPr>
      <w:r w:rsidDel="00000000" w:rsidR="00000000" w:rsidRPr="00000000">
        <w:rPr>
          <w:rtl w:val="0"/>
        </w:rPr>
      </w:r>
    </w:p>
    <w:p w:rsidR="00000000" w:rsidDel="00000000" w:rsidP="00000000" w:rsidRDefault="00000000" w:rsidRPr="00000000" w14:paraId="000000C9">
      <w:pPr>
        <w:rPr>
          <w:u w:val="single"/>
        </w:rPr>
      </w:pPr>
      <w:r w:rsidDel="00000000" w:rsidR="00000000" w:rsidRPr="00000000">
        <w:rPr>
          <w:rtl w:val="0"/>
        </w:rPr>
      </w:r>
    </w:p>
    <w:p w:rsidR="00000000" w:rsidDel="00000000" w:rsidP="00000000" w:rsidRDefault="00000000" w:rsidRPr="00000000" w14:paraId="000000CA">
      <w:pPr>
        <w:rPr>
          <w:u w:val="single"/>
        </w:rPr>
      </w:pPr>
      <w:r w:rsidDel="00000000" w:rsidR="00000000" w:rsidRPr="00000000">
        <w:rPr>
          <w:rtl w:val="0"/>
        </w:rPr>
      </w:r>
    </w:p>
    <w:p w:rsidR="00000000" w:rsidDel="00000000" w:rsidP="00000000" w:rsidRDefault="00000000" w:rsidRPr="00000000" w14:paraId="000000CB">
      <w:pPr>
        <w:rPr>
          <w:u w:val="single"/>
        </w:rPr>
      </w:pPr>
      <w:r w:rsidDel="00000000" w:rsidR="00000000" w:rsidRPr="00000000">
        <w:rPr>
          <w:rtl w:val="0"/>
        </w:rPr>
      </w:r>
    </w:p>
    <w:p w:rsidR="00000000" w:rsidDel="00000000" w:rsidP="00000000" w:rsidRDefault="00000000" w:rsidRPr="00000000" w14:paraId="000000CC">
      <w:pPr>
        <w:rPr>
          <w:u w:val="single"/>
        </w:rPr>
      </w:pPr>
      <w:r w:rsidDel="00000000" w:rsidR="00000000" w:rsidRPr="00000000">
        <w:rPr>
          <w:rtl w:val="0"/>
        </w:rPr>
      </w:r>
    </w:p>
    <w:p w:rsidR="00000000" w:rsidDel="00000000" w:rsidP="00000000" w:rsidRDefault="00000000" w:rsidRPr="00000000" w14:paraId="000000CD">
      <w:pPr>
        <w:rPr>
          <w:u w:val="single"/>
        </w:rPr>
      </w:pPr>
      <w:r w:rsidDel="00000000" w:rsidR="00000000" w:rsidRPr="00000000">
        <w:rPr>
          <w:rtl w:val="0"/>
        </w:rPr>
      </w:r>
    </w:p>
    <w:p w:rsidR="00000000" w:rsidDel="00000000" w:rsidP="00000000" w:rsidRDefault="00000000" w:rsidRPr="00000000" w14:paraId="000000CE">
      <w:pPr>
        <w:rPr>
          <w:u w:val="single"/>
        </w:rPr>
      </w:pPr>
      <w:r w:rsidDel="00000000" w:rsidR="00000000" w:rsidRPr="00000000">
        <w:rPr>
          <w:rtl w:val="0"/>
        </w:rPr>
      </w:r>
    </w:p>
    <w:p w:rsidR="00000000" w:rsidDel="00000000" w:rsidP="00000000" w:rsidRDefault="00000000" w:rsidRPr="00000000" w14:paraId="000000CF">
      <w:pPr>
        <w:rPr>
          <w:u w:val="single"/>
        </w:rPr>
      </w:pPr>
      <w:r w:rsidDel="00000000" w:rsidR="00000000" w:rsidRPr="00000000">
        <w:rPr>
          <w:rtl w:val="0"/>
        </w:rPr>
      </w:r>
    </w:p>
    <w:p w:rsidR="00000000" w:rsidDel="00000000" w:rsidP="00000000" w:rsidRDefault="00000000" w:rsidRPr="00000000" w14:paraId="000000D0">
      <w:pPr>
        <w:rPr>
          <w:u w:val="single"/>
        </w:rPr>
      </w:pPr>
      <w:r w:rsidDel="00000000" w:rsidR="00000000" w:rsidRPr="00000000">
        <w:rPr>
          <w:rtl w:val="0"/>
        </w:rPr>
      </w:r>
    </w:p>
    <w:p w:rsidR="00000000" w:rsidDel="00000000" w:rsidP="00000000" w:rsidRDefault="00000000" w:rsidRPr="00000000" w14:paraId="000000D1">
      <w:pPr>
        <w:rPr>
          <w:u w:val="single"/>
        </w:rPr>
      </w:pPr>
      <w:r w:rsidDel="00000000" w:rsidR="00000000" w:rsidRPr="00000000">
        <w:rPr>
          <w:rtl w:val="0"/>
        </w:rPr>
      </w:r>
    </w:p>
    <w:p w:rsidR="00000000" w:rsidDel="00000000" w:rsidP="00000000" w:rsidRDefault="00000000" w:rsidRPr="00000000" w14:paraId="000000D2">
      <w:pPr>
        <w:rPr>
          <w:u w:val="single"/>
        </w:rPr>
      </w:pPr>
      <w:r w:rsidDel="00000000" w:rsidR="00000000" w:rsidRPr="00000000">
        <w:rPr>
          <w:rtl w:val="0"/>
        </w:rPr>
      </w:r>
    </w:p>
    <w:p w:rsidR="00000000" w:rsidDel="00000000" w:rsidP="00000000" w:rsidRDefault="00000000" w:rsidRPr="00000000" w14:paraId="000000D3">
      <w:pPr>
        <w:rPr>
          <w:u w:val="single"/>
        </w:rPr>
      </w:pPr>
      <w:r w:rsidDel="00000000" w:rsidR="00000000" w:rsidRPr="00000000">
        <w:rPr>
          <w:rtl w:val="0"/>
        </w:rPr>
      </w:r>
    </w:p>
    <w:p w:rsidR="00000000" w:rsidDel="00000000" w:rsidP="00000000" w:rsidRDefault="00000000" w:rsidRPr="00000000" w14:paraId="000000D4">
      <w:pPr>
        <w:rPr>
          <w:u w:val="single"/>
        </w:rPr>
      </w:pPr>
      <w:r w:rsidDel="00000000" w:rsidR="00000000" w:rsidRPr="00000000">
        <w:rPr>
          <w:rtl w:val="0"/>
        </w:rPr>
      </w:r>
    </w:p>
    <w:p w:rsidR="00000000" w:rsidDel="00000000" w:rsidP="00000000" w:rsidRDefault="00000000" w:rsidRPr="00000000" w14:paraId="000000D5">
      <w:pPr>
        <w:rPr>
          <w:u w:val="single"/>
        </w:rPr>
      </w:pPr>
      <w:r w:rsidDel="00000000" w:rsidR="00000000" w:rsidRPr="00000000">
        <w:rPr>
          <w:rtl w:val="0"/>
        </w:rPr>
      </w:r>
    </w:p>
    <w:p w:rsidR="00000000" w:rsidDel="00000000" w:rsidP="00000000" w:rsidRDefault="00000000" w:rsidRPr="00000000" w14:paraId="000000D6">
      <w:pPr>
        <w:rPr>
          <w:u w:val="single"/>
        </w:rPr>
      </w:pPr>
      <w:r w:rsidDel="00000000" w:rsidR="00000000" w:rsidRPr="00000000">
        <w:rPr>
          <w:rtl w:val="0"/>
        </w:rPr>
      </w:r>
    </w:p>
    <w:p w:rsidR="00000000" w:rsidDel="00000000" w:rsidP="00000000" w:rsidRDefault="00000000" w:rsidRPr="00000000" w14:paraId="000000D7">
      <w:pPr>
        <w:rPr>
          <w:u w:val="single"/>
        </w:rPr>
      </w:pPr>
      <w:r w:rsidDel="00000000" w:rsidR="00000000" w:rsidRPr="00000000">
        <w:rPr>
          <w:rtl w:val="0"/>
        </w:rPr>
      </w:r>
    </w:p>
    <w:p w:rsidR="00000000" w:rsidDel="00000000" w:rsidP="00000000" w:rsidRDefault="00000000" w:rsidRPr="00000000" w14:paraId="000000D8">
      <w:pPr>
        <w:rPr>
          <w:u w:val="single"/>
        </w:rPr>
      </w:pPr>
      <w:r w:rsidDel="00000000" w:rsidR="00000000" w:rsidRPr="00000000">
        <w:rPr>
          <w:rtl w:val="0"/>
        </w:rPr>
      </w:r>
    </w:p>
    <w:p w:rsidR="00000000" w:rsidDel="00000000" w:rsidP="00000000" w:rsidRDefault="00000000" w:rsidRPr="00000000" w14:paraId="000000D9">
      <w:pPr>
        <w:rPr>
          <w:u w:val="single"/>
        </w:rPr>
      </w:pPr>
      <w:r w:rsidDel="00000000" w:rsidR="00000000" w:rsidRPr="00000000">
        <w:rPr>
          <w:rtl w:val="0"/>
        </w:rPr>
      </w:r>
    </w:p>
    <w:p w:rsidR="00000000" w:rsidDel="00000000" w:rsidP="00000000" w:rsidRDefault="00000000" w:rsidRPr="00000000" w14:paraId="000000DA">
      <w:pPr>
        <w:rPr>
          <w:u w:val="single"/>
        </w:rPr>
      </w:pPr>
      <w:r w:rsidDel="00000000" w:rsidR="00000000" w:rsidRPr="00000000">
        <w:rPr>
          <w:rtl w:val="0"/>
        </w:rPr>
      </w:r>
    </w:p>
    <w:p w:rsidR="00000000" w:rsidDel="00000000" w:rsidP="00000000" w:rsidRDefault="00000000" w:rsidRPr="00000000" w14:paraId="000000DB">
      <w:pPr>
        <w:rPr>
          <w:u w:val="single"/>
        </w:rPr>
      </w:pPr>
      <w:r w:rsidDel="00000000" w:rsidR="00000000" w:rsidRPr="00000000">
        <w:rPr>
          <w:rtl w:val="0"/>
        </w:rPr>
      </w:r>
    </w:p>
    <w:p w:rsidR="00000000" w:rsidDel="00000000" w:rsidP="00000000" w:rsidRDefault="00000000" w:rsidRPr="00000000" w14:paraId="000000DC">
      <w:pPr>
        <w:rPr>
          <w:u w:val="single"/>
        </w:rPr>
      </w:pPr>
      <w:r w:rsidDel="00000000" w:rsidR="00000000" w:rsidRPr="00000000">
        <w:rPr>
          <w:rtl w:val="0"/>
        </w:rPr>
      </w:r>
    </w:p>
    <w:p w:rsidR="00000000" w:rsidDel="00000000" w:rsidP="00000000" w:rsidRDefault="00000000" w:rsidRPr="00000000" w14:paraId="000000DD">
      <w:pPr>
        <w:rPr>
          <w:u w:val="single"/>
        </w:rPr>
      </w:pPr>
      <w:r w:rsidDel="00000000" w:rsidR="00000000" w:rsidRPr="00000000">
        <w:rPr>
          <w:rtl w:val="0"/>
        </w:rPr>
      </w:r>
    </w:p>
    <w:p w:rsidR="00000000" w:rsidDel="00000000" w:rsidP="00000000" w:rsidRDefault="00000000" w:rsidRPr="00000000" w14:paraId="000000DE">
      <w:pPr>
        <w:rPr>
          <w:u w:val="single"/>
        </w:rPr>
      </w:pPr>
      <w:r w:rsidDel="00000000" w:rsidR="00000000" w:rsidRPr="00000000">
        <w:rPr>
          <w:rtl w:val="0"/>
        </w:rPr>
      </w:r>
    </w:p>
    <w:p w:rsidR="00000000" w:rsidDel="00000000" w:rsidP="00000000" w:rsidRDefault="00000000" w:rsidRPr="00000000" w14:paraId="000000DF">
      <w:pPr>
        <w:rPr>
          <w:u w:val="single"/>
        </w:rPr>
      </w:pPr>
      <w:r w:rsidDel="00000000" w:rsidR="00000000" w:rsidRPr="00000000">
        <w:rPr>
          <w:rtl w:val="0"/>
        </w:rPr>
      </w:r>
    </w:p>
    <w:p w:rsidR="00000000" w:rsidDel="00000000" w:rsidP="00000000" w:rsidRDefault="00000000" w:rsidRPr="00000000" w14:paraId="000000E0">
      <w:pPr>
        <w:rPr>
          <w:u w:val="single"/>
        </w:rPr>
      </w:pPr>
      <w:r w:rsidDel="00000000" w:rsidR="00000000" w:rsidRPr="00000000">
        <w:rPr>
          <w:rtl w:val="0"/>
        </w:rPr>
      </w:r>
    </w:p>
    <w:p w:rsidR="00000000" w:rsidDel="00000000" w:rsidP="00000000" w:rsidRDefault="00000000" w:rsidRPr="00000000" w14:paraId="000000E1">
      <w:pPr>
        <w:rPr>
          <w:u w:val="single"/>
        </w:rPr>
      </w:pPr>
      <w:r w:rsidDel="00000000" w:rsidR="00000000" w:rsidRPr="00000000">
        <w:rPr>
          <w:rtl w:val="0"/>
        </w:rPr>
      </w:r>
    </w:p>
    <w:p w:rsidR="00000000" w:rsidDel="00000000" w:rsidP="00000000" w:rsidRDefault="00000000" w:rsidRPr="00000000" w14:paraId="000000E2">
      <w:pPr>
        <w:rPr>
          <w:u w:val="single"/>
        </w:rPr>
      </w:pPr>
      <w:r w:rsidDel="00000000" w:rsidR="00000000" w:rsidRPr="00000000">
        <w:rPr>
          <w:rtl w:val="0"/>
        </w:rPr>
      </w:r>
    </w:p>
    <w:p w:rsidR="00000000" w:rsidDel="00000000" w:rsidP="00000000" w:rsidRDefault="00000000" w:rsidRPr="00000000" w14:paraId="000000E3">
      <w:pPr>
        <w:rPr>
          <w:u w:val="single"/>
        </w:rPr>
      </w:pPr>
      <w:r w:rsidDel="00000000" w:rsidR="00000000" w:rsidRPr="00000000">
        <w:rPr>
          <w:rtl w:val="0"/>
        </w:rPr>
      </w:r>
    </w:p>
    <w:p w:rsidR="00000000" w:rsidDel="00000000" w:rsidP="00000000" w:rsidRDefault="00000000" w:rsidRPr="00000000" w14:paraId="000000E4">
      <w:pPr>
        <w:rPr>
          <w:u w:val="single"/>
        </w:rPr>
      </w:pPr>
      <w:r w:rsidDel="00000000" w:rsidR="00000000" w:rsidRPr="00000000">
        <w:rPr>
          <w:rtl w:val="0"/>
        </w:rPr>
      </w:r>
    </w:p>
    <w:p w:rsidR="00000000" w:rsidDel="00000000" w:rsidP="00000000" w:rsidRDefault="00000000" w:rsidRPr="00000000" w14:paraId="000000E5">
      <w:pPr>
        <w:rPr>
          <w:u w:val="single"/>
        </w:rPr>
      </w:pPr>
      <w:r w:rsidDel="00000000" w:rsidR="00000000" w:rsidRPr="00000000">
        <w:rPr>
          <w:rtl w:val="0"/>
        </w:rPr>
      </w:r>
    </w:p>
    <w:p w:rsidR="00000000" w:rsidDel="00000000" w:rsidP="00000000" w:rsidRDefault="00000000" w:rsidRPr="00000000" w14:paraId="000000E6">
      <w:pPr>
        <w:rPr>
          <w:u w:val="single"/>
        </w:rPr>
      </w:pPr>
      <w:r w:rsidDel="00000000" w:rsidR="00000000" w:rsidRPr="00000000">
        <w:rPr>
          <w:rtl w:val="0"/>
        </w:rPr>
      </w:r>
    </w:p>
    <w:p w:rsidR="00000000" w:rsidDel="00000000" w:rsidP="00000000" w:rsidRDefault="00000000" w:rsidRPr="00000000" w14:paraId="000000E7">
      <w:pPr>
        <w:rPr>
          <w:u w:val="single"/>
        </w:rPr>
      </w:pPr>
      <w:r w:rsidDel="00000000" w:rsidR="00000000" w:rsidRPr="00000000">
        <w:rPr>
          <w:rtl w:val="0"/>
        </w:rPr>
      </w:r>
    </w:p>
    <w:p w:rsidR="00000000" w:rsidDel="00000000" w:rsidP="00000000" w:rsidRDefault="00000000" w:rsidRPr="00000000" w14:paraId="000000E8">
      <w:pPr>
        <w:rPr>
          <w:u w:val="single"/>
        </w:rPr>
      </w:pPr>
      <w:r w:rsidDel="00000000" w:rsidR="00000000" w:rsidRPr="00000000">
        <w:rPr>
          <w:rtl w:val="0"/>
        </w:rPr>
      </w:r>
    </w:p>
    <w:p w:rsidR="00000000" w:rsidDel="00000000" w:rsidP="00000000" w:rsidRDefault="00000000" w:rsidRPr="00000000" w14:paraId="000000E9">
      <w:pPr>
        <w:rPr>
          <w:u w:val="single"/>
        </w:rPr>
      </w:pPr>
      <w:r w:rsidDel="00000000" w:rsidR="00000000" w:rsidRPr="00000000">
        <w:rPr>
          <w:rtl w:val="0"/>
        </w:rPr>
      </w:r>
    </w:p>
    <w:p w:rsidR="00000000" w:rsidDel="00000000" w:rsidP="00000000" w:rsidRDefault="00000000" w:rsidRPr="00000000" w14:paraId="000000EA">
      <w:pPr>
        <w:rPr>
          <w:u w:val="single"/>
        </w:rPr>
      </w:pPr>
      <w:r w:rsidDel="00000000" w:rsidR="00000000" w:rsidRPr="00000000">
        <w:rPr>
          <w:rtl w:val="0"/>
        </w:rPr>
      </w:r>
    </w:p>
    <w:p w:rsidR="00000000" w:rsidDel="00000000" w:rsidP="00000000" w:rsidRDefault="00000000" w:rsidRPr="00000000" w14:paraId="000000EB">
      <w:pPr>
        <w:rPr>
          <w:u w:val="single"/>
        </w:rPr>
      </w:pPr>
      <w:r w:rsidDel="00000000" w:rsidR="00000000" w:rsidRPr="00000000">
        <w:rPr>
          <w:rtl w:val="0"/>
        </w:rPr>
      </w:r>
    </w:p>
    <w:p w:rsidR="00000000" w:rsidDel="00000000" w:rsidP="00000000" w:rsidRDefault="00000000" w:rsidRPr="00000000" w14:paraId="000000EC">
      <w:pPr>
        <w:rPr>
          <w:u w:val="single"/>
        </w:rPr>
      </w:pPr>
      <w:r w:rsidDel="00000000" w:rsidR="00000000" w:rsidRPr="00000000">
        <w:rPr>
          <w:rtl w:val="0"/>
        </w:rPr>
      </w:r>
    </w:p>
    <w:p w:rsidR="00000000" w:rsidDel="00000000" w:rsidP="00000000" w:rsidRDefault="00000000" w:rsidRPr="00000000" w14:paraId="000000ED">
      <w:pPr>
        <w:rPr>
          <w:u w:val="single"/>
        </w:rPr>
      </w:pPr>
      <w:r w:rsidDel="00000000" w:rsidR="00000000" w:rsidRPr="00000000">
        <w:rPr>
          <w:rtl w:val="0"/>
        </w:rPr>
      </w:r>
    </w:p>
    <w:p w:rsidR="00000000" w:rsidDel="00000000" w:rsidP="00000000" w:rsidRDefault="00000000" w:rsidRPr="00000000" w14:paraId="000000EE">
      <w:pPr>
        <w:rPr>
          <w:u w:val="single"/>
        </w:rPr>
      </w:pPr>
      <w:r w:rsidDel="00000000" w:rsidR="00000000" w:rsidRPr="00000000">
        <w:rPr>
          <w:u w:val="single"/>
          <w:rtl w:val="0"/>
        </w:rPr>
        <w:t xml:space="preserve">Appendix 4</w:t>
      </w:r>
      <w:r w:rsidDel="00000000" w:rsidR="00000000" w:rsidRPr="00000000">
        <w:drawing>
          <wp:anchor allowOverlap="1" behindDoc="0" distB="114300" distT="114300" distL="114300" distR="114300" hidden="0" layoutInCell="1" locked="0" relativeHeight="0" simplePos="0">
            <wp:simplePos x="0" y="0"/>
            <wp:positionH relativeFrom="column">
              <wp:posOffset>-314324</wp:posOffset>
            </wp:positionH>
            <wp:positionV relativeFrom="paragraph">
              <wp:posOffset>114300</wp:posOffset>
            </wp:positionV>
            <wp:extent cx="6253163" cy="4477573"/>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16"/>
                    <a:srcRect b="42735" l="52243" r="21794" t="24216"/>
                    <a:stretch>
                      <a:fillRect/>
                    </a:stretch>
                  </pic:blipFill>
                  <pic:spPr>
                    <a:xfrm>
                      <a:off x="0" y="0"/>
                      <a:ext cx="6253163" cy="4477573"/>
                    </a:xfrm>
                    <a:prstGeom prst="rect"/>
                    <a:ln/>
                  </pic:spPr>
                </pic:pic>
              </a:graphicData>
            </a:graphic>
          </wp:anchor>
        </w:drawing>
      </w:r>
    </w:p>
    <w:p w:rsidR="00000000" w:rsidDel="00000000" w:rsidP="00000000" w:rsidRDefault="00000000" w:rsidRPr="00000000" w14:paraId="000000EF">
      <w:pPr>
        <w:rPr>
          <w:u w:val="single"/>
        </w:rPr>
      </w:pPr>
      <w:r w:rsidDel="00000000" w:rsidR="00000000" w:rsidRPr="00000000">
        <w:rPr>
          <w:rtl w:val="0"/>
        </w:rPr>
      </w:r>
    </w:p>
    <w:p w:rsidR="00000000" w:rsidDel="00000000" w:rsidP="00000000" w:rsidRDefault="00000000" w:rsidRPr="00000000" w14:paraId="000000F0">
      <w:pPr>
        <w:rPr/>
      </w:pPr>
      <w:r w:rsidDel="00000000" w:rsidR="00000000" w:rsidRPr="00000000">
        <w:rPr/>
        <w:drawing>
          <wp:inline distB="114300" distT="114300" distL="114300" distR="114300">
            <wp:extent cx="5943600" cy="2552700"/>
            <wp:effectExtent b="0" l="0" r="0" t="0"/>
            <wp:docPr id="12" name="image13.png"/>
            <a:graphic>
              <a:graphicData uri="http://schemas.openxmlformats.org/drawingml/2006/picture">
                <pic:pic>
                  <pic:nvPicPr>
                    <pic:cNvPr id="0" name="image13.png"/>
                    <pic:cNvPicPr preferRelativeResize="0"/>
                  </pic:nvPicPr>
                  <pic:blipFill>
                    <a:blip r:embed="rId17"/>
                    <a:srcRect b="36467" l="38301" r="22756" t="33850"/>
                    <a:stretch>
                      <a:fillRect/>
                    </a:stretch>
                  </pic:blipFill>
                  <pic:spPr>
                    <a:xfrm>
                      <a:off x="0" y="0"/>
                      <a:ext cx="5943600"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b w:val="1"/>
          <w:u w:val="single"/>
        </w:rPr>
      </w:pPr>
      <w:r w:rsidDel="00000000" w:rsidR="00000000" w:rsidRPr="00000000">
        <w:rPr>
          <w:b w:val="1"/>
          <w:u w:val="single"/>
          <w:rtl w:val="0"/>
        </w:rPr>
        <w:t xml:space="preserve">Appendix 4</w:t>
      </w:r>
    </w:p>
    <w:p w:rsidR="00000000" w:rsidDel="00000000" w:rsidP="00000000" w:rsidRDefault="00000000" w:rsidRPr="00000000" w14:paraId="000000F4">
      <w:pPr>
        <w:rPr>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209550</wp:posOffset>
            </wp:positionV>
            <wp:extent cx="5672138" cy="7585630"/>
            <wp:effectExtent b="0" l="0" r="0" t="0"/>
            <wp:wrapSquare wrapText="bothSides" distB="114300" distT="114300" distL="114300" distR="114300"/>
            <wp:docPr id="10" name="image3.png"/>
            <a:graphic>
              <a:graphicData uri="http://schemas.openxmlformats.org/drawingml/2006/picture">
                <pic:pic>
                  <pic:nvPicPr>
                    <pic:cNvPr id="0" name="image3.png"/>
                    <pic:cNvPicPr preferRelativeResize="0"/>
                  </pic:nvPicPr>
                  <pic:blipFill>
                    <a:blip r:embed="rId18"/>
                    <a:srcRect b="14245" l="20673" r="52724" t="22507"/>
                    <a:stretch>
                      <a:fillRect/>
                    </a:stretch>
                  </pic:blipFill>
                  <pic:spPr>
                    <a:xfrm>
                      <a:off x="0" y="0"/>
                      <a:ext cx="5672138" cy="7585630"/>
                    </a:xfrm>
                    <a:prstGeom prst="rect"/>
                    <a:ln/>
                  </pic:spPr>
                </pic:pic>
              </a:graphicData>
            </a:graphic>
          </wp:anchor>
        </w:drawing>
      </w:r>
    </w:p>
    <w:p w:rsidR="00000000" w:rsidDel="00000000" w:rsidP="00000000" w:rsidRDefault="00000000" w:rsidRPr="00000000" w14:paraId="000000F5">
      <w:pPr>
        <w:rPr>
          <w:u w:val="single"/>
        </w:rPr>
      </w:pPr>
      <w:r w:rsidDel="00000000" w:rsidR="00000000" w:rsidRPr="00000000">
        <w:rPr>
          <w:rtl w:val="0"/>
        </w:rPr>
      </w:r>
    </w:p>
    <w:p w:rsidR="00000000" w:rsidDel="00000000" w:rsidP="00000000" w:rsidRDefault="00000000" w:rsidRPr="00000000" w14:paraId="000000F6">
      <w:pPr>
        <w:rPr>
          <w:u w:val="single"/>
        </w:rPr>
      </w:pPr>
      <w:r w:rsidDel="00000000" w:rsidR="00000000" w:rsidRPr="00000000">
        <w:rPr>
          <w:rtl w:val="0"/>
        </w:rPr>
      </w:r>
    </w:p>
    <w:p w:rsidR="00000000" w:rsidDel="00000000" w:rsidP="00000000" w:rsidRDefault="00000000" w:rsidRPr="00000000" w14:paraId="000000F7">
      <w:pPr>
        <w:rPr>
          <w:u w:val="single"/>
        </w:rPr>
      </w:pPr>
      <w:r w:rsidDel="00000000" w:rsidR="00000000" w:rsidRPr="00000000">
        <w:rPr>
          <w:rtl w:val="0"/>
        </w:rPr>
      </w:r>
    </w:p>
    <w:p w:rsidR="00000000" w:rsidDel="00000000" w:rsidP="00000000" w:rsidRDefault="00000000" w:rsidRPr="00000000" w14:paraId="000000F8">
      <w:pPr>
        <w:rPr>
          <w:u w:val="single"/>
        </w:rPr>
      </w:pPr>
      <w:r w:rsidDel="00000000" w:rsidR="00000000" w:rsidRPr="00000000">
        <w:rPr>
          <w:rtl w:val="0"/>
        </w:rPr>
      </w:r>
    </w:p>
    <w:p w:rsidR="00000000" w:rsidDel="00000000" w:rsidP="00000000" w:rsidRDefault="00000000" w:rsidRPr="00000000" w14:paraId="000000F9">
      <w:pPr>
        <w:rPr>
          <w:u w:val="single"/>
        </w:rPr>
      </w:pPr>
      <w:r w:rsidDel="00000000" w:rsidR="00000000" w:rsidRPr="00000000">
        <w:rPr>
          <w:rtl w:val="0"/>
        </w:rPr>
      </w:r>
    </w:p>
    <w:p w:rsidR="00000000" w:rsidDel="00000000" w:rsidP="00000000" w:rsidRDefault="00000000" w:rsidRPr="00000000" w14:paraId="000000FA">
      <w:pPr>
        <w:rPr>
          <w:u w:val="single"/>
        </w:rPr>
      </w:pPr>
      <w:r w:rsidDel="00000000" w:rsidR="00000000" w:rsidRPr="00000000">
        <w:rPr>
          <w:rtl w:val="0"/>
        </w:rPr>
      </w:r>
    </w:p>
    <w:p w:rsidR="00000000" w:rsidDel="00000000" w:rsidP="00000000" w:rsidRDefault="00000000" w:rsidRPr="00000000" w14:paraId="000000FB">
      <w:pPr>
        <w:rPr>
          <w:u w:val="single"/>
        </w:rPr>
      </w:pPr>
      <w:r w:rsidDel="00000000" w:rsidR="00000000" w:rsidRPr="00000000">
        <w:rPr>
          <w:rtl w:val="0"/>
        </w:rPr>
      </w:r>
    </w:p>
    <w:p w:rsidR="00000000" w:rsidDel="00000000" w:rsidP="00000000" w:rsidRDefault="00000000" w:rsidRPr="00000000" w14:paraId="000000FC">
      <w:pPr>
        <w:rPr>
          <w:u w:val="single"/>
        </w:rPr>
      </w:pPr>
      <w:r w:rsidDel="00000000" w:rsidR="00000000" w:rsidRPr="00000000">
        <w:rPr>
          <w:rtl w:val="0"/>
        </w:rPr>
      </w:r>
    </w:p>
    <w:p w:rsidR="00000000" w:rsidDel="00000000" w:rsidP="00000000" w:rsidRDefault="00000000" w:rsidRPr="00000000" w14:paraId="000000FD">
      <w:pPr>
        <w:rPr>
          <w:u w:val="single"/>
        </w:rPr>
      </w:pPr>
      <w:r w:rsidDel="00000000" w:rsidR="00000000" w:rsidRPr="00000000">
        <w:rPr>
          <w:rtl w:val="0"/>
        </w:rPr>
      </w:r>
    </w:p>
    <w:p w:rsidR="00000000" w:rsidDel="00000000" w:rsidP="00000000" w:rsidRDefault="00000000" w:rsidRPr="00000000" w14:paraId="000000FE">
      <w:pPr>
        <w:rPr>
          <w:u w:val="single"/>
        </w:rPr>
      </w:pPr>
      <w:r w:rsidDel="00000000" w:rsidR="00000000" w:rsidRPr="00000000">
        <w:rPr>
          <w:rtl w:val="0"/>
        </w:rPr>
      </w:r>
    </w:p>
    <w:p w:rsidR="00000000" w:rsidDel="00000000" w:rsidP="00000000" w:rsidRDefault="00000000" w:rsidRPr="00000000" w14:paraId="000000FF">
      <w:pPr>
        <w:rPr>
          <w:u w:val="single"/>
        </w:rPr>
      </w:pPr>
      <w:r w:rsidDel="00000000" w:rsidR="00000000" w:rsidRPr="00000000">
        <w:rPr>
          <w:rtl w:val="0"/>
        </w:rPr>
      </w:r>
    </w:p>
    <w:p w:rsidR="00000000" w:rsidDel="00000000" w:rsidP="00000000" w:rsidRDefault="00000000" w:rsidRPr="00000000" w14:paraId="00000100">
      <w:pPr>
        <w:rPr>
          <w:u w:val="single"/>
        </w:rPr>
      </w:pPr>
      <w:r w:rsidDel="00000000" w:rsidR="00000000" w:rsidRPr="00000000">
        <w:rPr>
          <w:rtl w:val="0"/>
        </w:rPr>
      </w:r>
    </w:p>
    <w:p w:rsidR="00000000" w:rsidDel="00000000" w:rsidP="00000000" w:rsidRDefault="00000000" w:rsidRPr="00000000" w14:paraId="00000101">
      <w:pPr>
        <w:rPr>
          <w:u w:val="single"/>
        </w:rPr>
      </w:pPr>
      <w:r w:rsidDel="00000000" w:rsidR="00000000" w:rsidRPr="00000000">
        <w:rPr>
          <w:rtl w:val="0"/>
        </w:rPr>
      </w:r>
    </w:p>
    <w:p w:rsidR="00000000" w:rsidDel="00000000" w:rsidP="00000000" w:rsidRDefault="00000000" w:rsidRPr="00000000" w14:paraId="00000102">
      <w:pPr>
        <w:rPr>
          <w:u w:val="single"/>
        </w:rPr>
      </w:pPr>
      <w:r w:rsidDel="00000000" w:rsidR="00000000" w:rsidRPr="00000000">
        <w:rPr>
          <w:rtl w:val="0"/>
        </w:rPr>
      </w:r>
    </w:p>
    <w:p w:rsidR="00000000" w:rsidDel="00000000" w:rsidP="00000000" w:rsidRDefault="00000000" w:rsidRPr="00000000" w14:paraId="00000103">
      <w:pPr>
        <w:rPr>
          <w:u w:val="single"/>
        </w:rPr>
      </w:pPr>
      <w:r w:rsidDel="00000000" w:rsidR="00000000" w:rsidRPr="00000000">
        <w:rPr>
          <w:rtl w:val="0"/>
        </w:rPr>
      </w:r>
    </w:p>
    <w:p w:rsidR="00000000" w:rsidDel="00000000" w:rsidP="00000000" w:rsidRDefault="00000000" w:rsidRPr="00000000" w14:paraId="00000104">
      <w:pPr>
        <w:rPr>
          <w:u w:val="single"/>
        </w:rPr>
      </w:pPr>
      <w:r w:rsidDel="00000000" w:rsidR="00000000" w:rsidRPr="00000000">
        <w:rPr>
          <w:rtl w:val="0"/>
        </w:rPr>
      </w:r>
    </w:p>
    <w:p w:rsidR="00000000" w:rsidDel="00000000" w:rsidP="00000000" w:rsidRDefault="00000000" w:rsidRPr="00000000" w14:paraId="00000105">
      <w:pPr>
        <w:rPr>
          <w:u w:val="single"/>
        </w:rPr>
      </w:pPr>
      <w:r w:rsidDel="00000000" w:rsidR="00000000" w:rsidRPr="00000000">
        <w:rPr>
          <w:rtl w:val="0"/>
        </w:rPr>
      </w:r>
    </w:p>
    <w:p w:rsidR="00000000" w:rsidDel="00000000" w:rsidP="00000000" w:rsidRDefault="00000000" w:rsidRPr="00000000" w14:paraId="00000106">
      <w:pPr>
        <w:rPr>
          <w:u w:val="single"/>
        </w:rPr>
      </w:pPr>
      <w:r w:rsidDel="00000000" w:rsidR="00000000" w:rsidRPr="00000000">
        <w:rPr>
          <w:rtl w:val="0"/>
        </w:rPr>
      </w:r>
    </w:p>
    <w:p w:rsidR="00000000" w:rsidDel="00000000" w:rsidP="00000000" w:rsidRDefault="00000000" w:rsidRPr="00000000" w14:paraId="00000107">
      <w:pPr>
        <w:rPr>
          <w:u w:val="single"/>
        </w:rPr>
      </w:pPr>
      <w:r w:rsidDel="00000000" w:rsidR="00000000" w:rsidRPr="00000000">
        <w:rPr>
          <w:rtl w:val="0"/>
        </w:rPr>
      </w:r>
    </w:p>
    <w:p w:rsidR="00000000" w:rsidDel="00000000" w:rsidP="00000000" w:rsidRDefault="00000000" w:rsidRPr="00000000" w14:paraId="00000108">
      <w:pPr>
        <w:rPr>
          <w:u w:val="single"/>
        </w:rPr>
      </w:pPr>
      <w:r w:rsidDel="00000000" w:rsidR="00000000" w:rsidRPr="00000000">
        <w:rPr>
          <w:rtl w:val="0"/>
        </w:rPr>
      </w:r>
    </w:p>
    <w:p w:rsidR="00000000" w:rsidDel="00000000" w:rsidP="00000000" w:rsidRDefault="00000000" w:rsidRPr="00000000" w14:paraId="00000109">
      <w:pPr>
        <w:rPr>
          <w:u w:val="single"/>
        </w:rPr>
      </w:pPr>
      <w:r w:rsidDel="00000000" w:rsidR="00000000" w:rsidRPr="00000000">
        <w:rPr>
          <w:rtl w:val="0"/>
        </w:rPr>
      </w:r>
    </w:p>
    <w:p w:rsidR="00000000" w:rsidDel="00000000" w:rsidP="00000000" w:rsidRDefault="00000000" w:rsidRPr="00000000" w14:paraId="0000010A">
      <w:pPr>
        <w:rPr>
          <w:u w:val="single"/>
        </w:rPr>
      </w:pPr>
      <w:r w:rsidDel="00000000" w:rsidR="00000000" w:rsidRPr="00000000">
        <w:rPr>
          <w:rtl w:val="0"/>
        </w:rPr>
      </w:r>
    </w:p>
    <w:p w:rsidR="00000000" w:rsidDel="00000000" w:rsidP="00000000" w:rsidRDefault="00000000" w:rsidRPr="00000000" w14:paraId="0000010B">
      <w:pPr>
        <w:rPr>
          <w:u w:val="single"/>
        </w:rPr>
      </w:pPr>
      <w:r w:rsidDel="00000000" w:rsidR="00000000" w:rsidRPr="00000000">
        <w:rPr>
          <w:rtl w:val="0"/>
        </w:rPr>
      </w:r>
    </w:p>
    <w:p w:rsidR="00000000" w:rsidDel="00000000" w:rsidP="00000000" w:rsidRDefault="00000000" w:rsidRPr="00000000" w14:paraId="0000010C">
      <w:pPr>
        <w:rPr>
          <w:u w:val="single"/>
        </w:rPr>
      </w:pPr>
      <w:r w:rsidDel="00000000" w:rsidR="00000000" w:rsidRPr="00000000">
        <w:rPr>
          <w:rtl w:val="0"/>
        </w:rPr>
      </w:r>
    </w:p>
    <w:p w:rsidR="00000000" w:rsidDel="00000000" w:rsidP="00000000" w:rsidRDefault="00000000" w:rsidRPr="00000000" w14:paraId="0000010D">
      <w:pPr>
        <w:rPr>
          <w:u w:val="single"/>
        </w:rPr>
      </w:pPr>
      <w:r w:rsidDel="00000000" w:rsidR="00000000" w:rsidRPr="00000000">
        <w:rPr>
          <w:rtl w:val="0"/>
        </w:rPr>
      </w:r>
    </w:p>
    <w:p w:rsidR="00000000" w:rsidDel="00000000" w:rsidP="00000000" w:rsidRDefault="00000000" w:rsidRPr="00000000" w14:paraId="0000010E">
      <w:pPr>
        <w:rPr>
          <w:u w:val="single"/>
        </w:rPr>
      </w:pPr>
      <w:r w:rsidDel="00000000" w:rsidR="00000000" w:rsidRPr="00000000">
        <w:rPr>
          <w:rtl w:val="0"/>
        </w:rPr>
      </w:r>
    </w:p>
    <w:p w:rsidR="00000000" w:rsidDel="00000000" w:rsidP="00000000" w:rsidRDefault="00000000" w:rsidRPr="00000000" w14:paraId="0000010F">
      <w:pPr>
        <w:rPr>
          <w:u w:val="single"/>
        </w:rPr>
      </w:pPr>
      <w:r w:rsidDel="00000000" w:rsidR="00000000" w:rsidRPr="00000000">
        <w:rPr>
          <w:rtl w:val="0"/>
        </w:rPr>
      </w:r>
    </w:p>
    <w:p w:rsidR="00000000" w:rsidDel="00000000" w:rsidP="00000000" w:rsidRDefault="00000000" w:rsidRPr="00000000" w14:paraId="00000110">
      <w:pPr>
        <w:rPr>
          <w:u w:val="single"/>
        </w:rPr>
      </w:pPr>
      <w:r w:rsidDel="00000000" w:rsidR="00000000" w:rsidRPr="00000000">
        <w:rPr>
          <w:rtl w:val="0"/>
        </w:rPr>
      </w:r>
    </w:p>
    <w:p w:rsidR="00000000" w:rsidDel="00000000" w:rsidP="00000000" w:rsidRDefault="00000000" w:rsidRPr="00000000" w14:paraId="00000111">
      <w:pPr>
        <w:rPr>
          <w:u w:val="single"/>
        </w:rPr>
      </w:pPr>
      <w:r w:rsidDel="00000000" w:rsidR="00000000" w:rsidRPr="00000000">
        <w:rPr>
          <w:rtl w:val="0"/>
        </w:rPr>
      </w:r>
    </w:p>
    <w:p w:rsidR="00000000" w:rsidDel="00000000" w:rsidP="00000000" w:rsidRDefault="00000000" w:rsidRPr="00000000" w14:paraId="00000112">
      <w:pPr>
        <w:rPr>
          <w:u w:val="single"/>
        </w:rPr>
      </w:pPr>
      <w:r w:rsidDel="00000000" w:rsidR="00000000" w:rsidRPr="00000000">
        <w:rPr>
          <w:rtl w:val="0"/>
        </w:rPr>
      </w:r>
    </w:p>
    <w:p w:rsidR="00000000" w:rsidDel="00000000" w:rsidP="00000000" w:rsidRDefault="00000000" w:rsidRPr="00000000" w14:paraId="00000113">
      <w:pPr>
        <w:rPr>
          <w:u w:val="single"/>
        </w:rPr>
      </w:pPr>
      <w:r w:rsidDel="00000000" w:rsidR="00000000" w:rsidRPr="00000000">
        <w:rPr>
          <w:rtl w:val="0"/>
        </w:rPr>
      </w:r>
    </w:p>
    <w:p w:rsidR="00000000" w:rsidDel="00000000" w:rsidP="00000000" w:rsidRDefault="00000000" w:rsidRPr="00000000" w14:paraId="00000114">
      <w:pPr>
        <w:rPr>
          <w:u w:val="single"/>
        </w:rPr>
      </w:pPr>
      <w:r w:rsidDel="00000000" w:rsidR="00000000" w:rsidRPr="00000000">
        <w:rPr>
          <w:rtl w:val="0"/>
        </w:rPr>
      </w:r>
    </w:p>
    <w:p w:rsidR="00000000" w:rsidDel="00000000" w:rsidP="00000000" w:rsidRDefault="00000000" w:rsidRPr="00000000" w14:paraId="00000115">
      <w:pPr>
        <w:rPr>
          <w:u w:val="single"/>
        </w:rPr>
      </w:pPr>
      <w:r w:rsidDel="00000000" w:rsidR="00000000" w:rsidRPr="00000000">
        <w:rPr>
          <w:rtl w:val="0"/>
        </w:rPr>
      </w:r>
    </w:p>
    <w:p w:rsidR="00000000" w:rsidDel="00000000" w:rsidP="00000000" w:rsidRDefault="00000000" w:rsidRPr="00000000" w14:paraId="00000116">
      <w:pPr>
        <w:rPr>
          <w:u w:val="single"/>
        </w:rPr>
      </w:pPr>
      <w:r w:rsidDel="00000000" w:rsidR="00000000" w:rsidRPr="00000000">
        <w:rPr>
          <w:rtl w:val="0"/>
        </w:rPr>
      </w:r>
    </w:p>
    <w:p w:rsidR="00000000" w:rsidDel="00000000" w:rsidP="00000000" w:rsidRDefault="00000000" w:rsidRPr="00000000" w14:paraId="00000117">
      <w:pPr>
        <w:rPr>
          <w:u w:val="single"/>
        </w:rPr>
      </w:pPr>
      <w:r w:rsidDel="00000000" w:rsidR="00000000" w:rsidRPr="00000000">
        <w:rPr>
          <w:rtl w:val="0"/>
        </w:rPr>
      </w:r>
    </w:p>
    <w:p w:rsidR="00000000" w:rsidDel="00000000" w:rsidP="00000000" w:rsidRDefault="00000000" w:rsidRPr="00000000" w14:paraId="00000118">
      <w:pPr>
        <w:rPr>
          <w:u w:val="single"/>
        </w:rPr>
      </w:pPr>
      <w:r w:rsidDel="00000000" w:rsidR="00000000" w:rsidRPr="00000000">
        <w:rPr>
          <w:rtl w:val="0"/>
        </w:rPr>
      </w:r>
    </w:p>
    <w:p w:rsidR="00000000" w:rsidDel="00000000" w:rsidP="00000000" w:rsidRDefault="00000000" w:rsidRPr="00000000" w14:paraId="00000119">
      <w:pPr>
        <w:rPr>
          <w:u w:val="single"/>
        </w:rPr>
      </w:pPr>
      <w:r w:rsidDel="00000000" w:rsidR="00000000" w:rsidRPr="00000000">
        <w:rPr>
          <w:rtl w:val="0"/>
        </w:rPr>
      </w:r>
    </w:p>
    <w:p w:rsidR="00000000" w:rsidDel="00000000" w:rsidP="00000000" w:rsidRDefault="00000000" w:rsidRPr="00000000" w14:paraId="0000011A">
      <w:pPr>
        <w:rPr>
          <w:u w:val="single"/>
        </w:rPr>
      </w:pPr>
      <w:r w:rsidDel="00000000" w:rsidR="00000000" w:rsidRPr="00000000">
        <w:rPr>
          <w:rtl w:val="0"/>
        </w:rPr>
      </w:r>
    </w:p>
    <w:p w:rsidR="00000000" w:rsidDel="00000000" w:rsidP="00000000" w:rsidRDefault="00000000" w:rsidRPr="00000000" w14:paraId="0000011B">
      <w:pPr>
        <w:rPr>
          <w:u w:val="single"/>
        </w:rPr>
      </w:pPr>
      <w:r w:rsidDel="00000000" w:rsidR="00000000" w:rsidRPr="00000000">
        <w:rPr>
          <w:rtl w:val="0"/>
        </w:rPr>
      </w:r>
    </w:p>
    <w:p w:rsidR="00000000" w:rsidDel="00000000" w:rsidP="00000000" w:rsidRDefault="00000000" w:rsidRPr="00000000" w14:paraId="0000011C">
      <w:pPr>
        <w:rPr>
          <w:u w:val="single"/>
        </w:rPr>
      </w:pPr>
      <w:r w:rsidDel="00000000" w:rsidR="00000000" w:rsidRPr="00000000">
        <w:rPr>
          <w:rtl w:val="0"/>
        </w:rPr>
      </w:r>
    </w:p>
    <w:p w:rsidR="00000000" w:rsidDel="00000000" w:rsidP="00000000" w:rsidRDefault="00000000" w:rsidRPr="00000000" w14:paraId="0000011D">
      <w:pPr>
        <w:rPr>
          <w:u w:val="single"/>
        </w:rPr>
      </w:pPr>
      <w:r w:rsidDel="00000000" w:rsidR="00000000" w:rsidRPr="00000000">
        <w:rPr>
          <w:rtl w:val="0"/>
        </w:rPr>
      </w:r>
    </w:p>
    <w:p w:rsidR="00000000" w:rsidDel="00000000" w:rsidP="00000000" w:rsidRDefault="00000000" w:rsidRPr="00000000" w14:paraId="0000011E">
      <w:pPr>
        <w:rPr>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5986463" cy="8029746"/>
            <wp:effectExtent b="0" l="0" r="0" t="0"/>
            <wp:wrapSquare wrapText="bothSides" distB="114300" distT="114300" distL="114300" distR="114300"/>
            <wp:docPr id="6" name="image6.png"/>
            <a:graphic>
              <a:graphicData uri="http://schemas.openxmlformats.org/drawingml/2006/picture">
                <pic:pic>
                  <pic:nvPicPr>
                    <pic:cNvPr id="0" name="image6.png"/>
                    <pic:cNvPicPr preferRelativeResize="0"/>
                  </pic:nvPicPr>
                  <pic:blipFill>
                    <a:blip r:embed="rId19"/>
                    <a:srcRect b="10541" l="51282" r="21955" t="25641"/>
                    <a:stretch>
                      <a:fillRect/>
                    </a:stretch>
                  </pic:blipFill>
                  <pic:spPr>
                    <a:xfrm>
                      <a:off x="0" y="0"/>
                      <a:ext cx="5986463" cy="8029746"/>
                    </a:xfrm>
                    <a:prstGeom prst="rect"/>
                    <a:ln/>
                  </pic:spPr>
                </pic:pic>
              </a:graphicData>
            </a:graphic>
          </wp:anchor>
        </w:drawing>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8.png"/><Relationship Id="rId13" Type="http://schemas.openxmlformats.org/officeDocument/2006/relationships/image" Target="media/image4.png"/><Relationship Id="rId12"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png"/><Relationship Id="rId15" Type="http://schemas.openxmlformats.org/officeDocument/2006/relationships/image" Target="media/image1.png"/><Relationship Id="rId14" Type="http://schemas.openxmlformats.org/officeDocument/2006/relationships/image" Target="media/image12.png"/><Relationship Id="rId17" Type="http://schemas.openxmlformats.org/officeDocument/2006/relationships/image" Target="media/image13.png"/><Relationship Id="rId16" Type="http://schemas.openxmlformats.org/officeDocument/2006/relationships/image" Target="media/image2.png"/><Relationship Id="rId5" Type="http://schemas.openxmlformats.org/officeDocument/2006/relationships/styles" Target="styles.xml"/><Relationship Id="rId19" Type="http://schemas.openxmlformats.org/officeDocument/2006/relationships/image" Target="media/image6.png"/><Relationship Id="rId6" Type="http://schemas.openxmlformats.org/officeDocument/2006/relationships/image" Target="media/image10.png"/><Relationship Id="rId18" Type="http://schemas.openxmlformats.org/officeDocument/2006/relationships/image" Target="media/image3.png"/><Relationship Id="rId7" Type="http://schemas.openxmlformats.org/officeDocument/2006/relationships/image" Target="media/image7.png"/><Relationship Id="rId8"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