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CBAFC" w14:textId="68D73A7D" w:rsidR="00F3279F" w:rsidRPr="00324482" w:rsidRDefault="00AF17F4" w:rsidP="00324482">
      <w:r w:rsidRPr="00324482">
        <w:t>Outline what is meant by the integrity of the evidence and by using a specific example, describe how this may be ensured.</w:t>
      </w:r>
    </w:p>
    <w:p w14:paraId="23EBB0B1" w14:textId="18389F1E" w:rsidR="00AF17F4" w:rsidRPr="00324482" w:rsidRDefault="00AF17F4" w:rsidP="00324482">
      <w:r w:rsidRPr="00324482">
        <w:t>In courts, the use of evidence is vital, as without supporting evidence, the claim of defence is highly likely to fail. To be admissible in court, the evidence must be relevant</w:t>
      </w:r>
      <w:r w:rsidR="00190BDD" w:rsidRPr="00324482">
        <w:t>. For the Evidence to be relevant, the facts which are subject to being proved or disproved must amount to facts in issue, relevant facts, or collateral facts. Facts in issue is when those which need to be proved by one party. Relevant facts are those which tend to prove the facts in issue. Collateral facts are facts that may question the credibility and/or competence of a witness.</w:t>
      </w:r>
      <w:r w:rsidR="00190BDD" w:rsidRPr="00324482">
        <w:footnoteReference w:id="1"/>
      </w:r>
      <w:r w:rsidR="00190BDD" w:rsidRPr="00324482">
        <w:t xml:space="preserve"> There are a range of evidence that is used in court</w:t>
      </w:r>
      <w:r w:rsidR="007948C7" w:rsidRPr="00324482">
        <w:t>. Oral testimony is an oral statement of a witness made on oath in open court and put forward as evidence of its truth. Witness statements and expert reports are statements and reports which are made in the proceedings as evidence. Real/tangible evidence is that is usually produced for inspection, so the court can make sure it exists or, so the court can make an opinion of its condition such as blood or ripped clothing. Hearsay evidence is a statement not made in oral evidence in the proceedings that is evidence of the matter stated. Documentary evidence are digital records such as camera or phone calls, and as such are presented to the court.</w:t>
      </w:r>
      <w:r w:rsidR="007948C7" w:rsidRPr="00324482">
        <w:footnoteReference w:id="2"/>
      </w:r>
      <w:r w:rsidR="007948C7" w:rsidRPr="00324482">
        <w:t xml:space="preserve"> On the other side we need to be able to discuss improperly handled evidence</w:t>
      </w:r>
      <w:r w:rsidR="008F63DD" w:rsidRPr="00324482">
        <w:t>, which brings into question its integrity. If it was properly collected, handled, and stored in a way that will ensure their integrity then there can be no doubt of its importance, by doing this it will be increasingly useful in court and useful information can be extracted by examination and the item will be considered admissible in court</w:t>
      </w:r>
      <w:r w:rsidR="000B500C" w:rsidRPr="00324482">
        <w:footnoteReference w:id="3"/>
      </w:r>
      <w:r w:rsidR="008F63DD" w:rsidRPr="00324482">
        <w:t>.</w:t>
      </w:r>
      <w:r w:rsidR="000B500C" w:rsidRPr="00324482">
        <w:t xml:space="preserve"> By understanding how evidence is handled and what specifically evidence is then we can better understand certain cases which have been thrown out, such as the O J Simpson murder case.</w:t>
      </w:r>
    </w:p>
    <w:p w14:paraId="6A7F6773" w14:textId="1B59F993" w:rsidR="000B500C" w:rsidRPr="00324482" w:rsidRDefault="00D77F8F" w:rsidP="00324482">
      <w:r w:rsidRPr="00324482">
        <w:t xml:space="preserve">For this essay I will be talking about the infamous OJ Simpson trial in which there had been many mistakes on the police to have made including not asking Simpson the relevant questions. What we know is that on June 12, 1994, Nicole Brown Simpson was brutally </w:t>
      </w:r>
      <w:r w:rsidR="00E401E8" w:rsidRPr="00324482">
        <w:t>slashed,</w:t>
      </w:r>
      <w:r w:rsidRPr="00324482">
        <w:t xml:space="preserve"> and Ronald Goldman was stabbed around 30 times. At which point just after midnight, Nicole’s’ Akita alerted neighbours to the crime and the ill-fated investigation began. By police testimony, when Simpson was first told that his wife had been killed, Simpson did not ask how, when, or by whom it had occurred, however in a later testimony himself Simpson says that he had cut his hand by smashing a glass out of grief. </w:t>
      </w:r>
      <w:r w:rsidR="00E401E8" w:rsidRPr="00324482">
        <w:t xml:space="preserve">The police asked Simpson many questions about the cut on his right hand, originally Simpson claimed to be unaware of how it was caused, later changing his claim to breaking a glass out of grief. From the standpoint of the police, the interview was inept, however the police officers did not ask obvious follow-up questions and areas of fruitful enquiries were ignored. Therefore, the interview at the police station became so unhelpful that neither side introduced it into court as evidence. Eventually however the police accumulated enough evidence indicating Simpsons guilt in the murders that they sought and obtained a warrant for his arrest. Simpson under agreement was supposed to go to the police station by 10am the next morning and turn himself in and didn’t. </w:t>
      </w:r>
      <w:proofErr w:type="gramStart"/>
      <w:r w:rsidR="00E401E8" w:rsidRPr="00324482">
        <w:t>Later on</w:t>
      </w:r>
      <w:proofErr w:type="gramEnd"/>
      <w:r w:rsidR="00E401E8" w:rsidRPr="00324482">
        <w:t>, that day it was found that Simpson had left a note in his home which appeared as a suicide letter, however Simpson was later found in someone else’s car and after a slow-motion chase arrested Simpson. A point of interest would be what was found in the car, $8,750 in cash, a false beard and moustache, a loaded gun, and a passport</w:t>
      </w:r>
      <w:r w:rsidR="00E401E8" w:rsidRPr="00324482">
        <w:footnoteReference w:id="4"/>
      </w:r>
      <w:r w:rsidR="00E401E8" w:rsidRPr="00324482">
        <w:t xml:space="preserve">. This may have been an indicator that Simpson had in fact done the crime as he was prepared to evade the police and his interviews that he had done were not flattering on him, as it looks like he did the crime in the interviews with his </w:t>
      </w:r>
      <w:r w:rsidR="00324482">
        <w:t>in</w:t>
      </w:r>
      <w:r w:rsidR="00E401E8" w:rsidRPr="00324482">
        <w:t>conclusive answers.</w:t>
      </w:r>
    </w:p>
    <w:p w14:paraId="35467D5C" w14:textId="4E6F6980" w:rsidR="00E401E8" w:rsidRDefault="00E401E8" w:rsidP="00324482">
      <w:r w:rsidRPr="00324482">
        <w:lastRenderedPageBreak/>
        <w:t xml:space="preserve">The biggest mistake of the trial may well have been that the trial took </w:t>
      </w:r>
      <w:r w:rsidR="0054593A" w:rsidRPr="00324482">
        <w:t>place in the downtown district, which by normal procedure is a dodgy move, as it is normal to have the trial in the district that the crime had taken place, which was Santa Monica. The decision does not make sense, the prosecution explained that it was an effort to reduce the commuting time of prosecutors and better accommodate the expected media crush. However, it is far more likely that it was a politically motivated, based on concerns that the jury in the Santa Monica district are majority white, which there were worries about that it may have sparked racial protests</w:t>
      </w:r>
      <w:r w:rsidR="0054593A" w:rsidRPr="00324482">
        <w:footnoteReference w:id="5"/>
      </w:r>
      <w:r w:rsidR="0054593A" w:rsidRPr="00324482">
        <w:t xml:space="preserve">. It could be that prosecutors believed that their case was so strong that no matter the jury it would be a conviction. Moving the place of the case was the first of many decisions that may well have cost the prosecutors the case. The </w:t>
      </w:r>
      <w:proofErr w:type="spellStart"/>
      <w:proofErr w:type="gramStart"/>
      <w:r w:rsidR="0054593A" w:rsidRPr="00324482">
        <w:t>prosecutors</w:t>
      </w:r>
      <w:proofErr w:type="spellEnd"/>
      <w:proofErr w:type="gramEnd"/>
      <w:r w:rsidR="0054593A" w:rsidRPr="00324482">
        <w:t xml:space="preserve"> decision of not seeking the death penalty cost them the advantage of “death-qualified” jury which would have far more likely convict Simpson. A death-qualified jury is a jury that all members oppose capital punishment </w:t>
      </w:r>
      <w:r w:rsidR="00143F3A" w:rsidRPr="00324482">
        <w:t>would be excluded. The prosecutors would also be criticized for not taking the advice of their own jury consultants as they advised the use of their peremptory challenges to exclude black and female potential jurors.</w:t>
      </w:r>
      <w:r w:rsidR="00143F3A" w:rsidRPr="00324482">
        <w:footnoteReference w:id="6"/>
      </w:r>
      <w:r w:rsidR="00143F3A" w:rsidRPr="00324482">
        <w:t xml:space="preserve"> Once the trial began there would be other mistakes by the prosecution, such as asking Simpson to try on the glove of the murder, this can be considered a mistake as it is argued that blood had made the gloves shrink, and that Simpson, according Mike Gilbert his agent, had stopped taking his arthritis medicine two weeks previous which had resulted in his hands swelling</w:t>
      </w:r>
      <w:r w:rsidR="000776C4" w:rsidRPr="00324482">
        <w:t>, another reason that was argues was that Simpson was also wearing rubber gloves underneath the evidence gloves</w:t>
      </w:r>
      <w:r w:rsidR="000776C4" w:rsidRPr="00324482">
        <w:footnoteReference w:id="7"/>
      </w:r>
      <w:r w:rsidR="000776C4" w:rsidRPr="00324482">
        <w:t>. Gol Garcetti who was a member of the Los Angeles district attorney</w:t>
      </w:r>
      <w:r w:rsidR="00656C24" w:rsidRPr="00324482">
        <w:t xml:space="preserve"> said that he wasn’t aware of Simpsons arthritis medicine and said afterwards “We were baited into perhaps even having him trying on the gloves in the first place. It was never supposed to happen.”</w:t>
      </w:r>
      <w:r w:rsidR="00656C24" w:rsidRPr="00324482">
        <w:footnoteReference w:id="8"/>
      </w:r>
      <w:r w:rsidR="00656C24" w:rsidRPr="00324482">
        <w:t xml:space="preserve"> Another mistake would be the decision to call Mark Fuhrman to the stand, it can be argued that the prosecution had no way of knowing what Mark Fuhrman was like however there is no denying that he damaged the case for the prosecution. Mark Fuhrman had under sworn testimony said that to the best of his recollection not said the N-word in the past 10 years. In the infamous Fuhrman </w:t>
      </w:r>
      <w:r w:rsidR="00324482" w:rsidRPr="00324482">
        <w:t>tapes,</w:t>
      </w:r>
      <w:r w:rsidR="00656C24" w:rsidRPr="00324482">
        <w:t xml:space="preserve"> he not only used the N-word, but described committing various acts of police brutality</w:t>
      </w:r>
      <w:r w:rsidR="00E718F7" w:rsidRPr="00324482">
        <w:footnoteReference w:id="9"/>
      </w:r>
      <w:r w:rsidR="00E718F7" w:rsidRPr="00324482">
        <w:t>. Another mistake was that the strategy of presenting so much evidence from so many witnesses over so many weeks meant that the case lost much of its force.</w:t>
      </w:r>
      <w:r w:rsidR="00E718F7" w:rsidRPr="00324482">
        <w:footnoteReference w:id="10"/>
      </w:r>
    </w:p>
    <w:p w14:paraId="2027870A" w14:textId="2652C358" w:rsidR="00324482" w:rsidRPr="00324482" w:rsidRDefault="00324482" w:rsidP="00324482">
      <w:r>
        <w:t xml:space="preserve">From this ‘trial of the century’ there has been a lot of learning achieved from it, such as how evidence is delivered in court and how the evidence is obtained. Not only this but a lesson that was learnt is to not let the jury sway to speculation and not evidence as a lot of what persuaded them was that of hearsay said by the defending team. In conclusion, however, there should have been enough evidence and doubt of Simpson himself to provide a </w:t>
      </w:r>
      <w:proofErr w:type="gramStart"/>
      <w:r>
        <w:t>conviction, but</w:t>
      </w:r>
      <w:proofErr w:type="gramEnd"/>
      <w:r>
        <w:t xml:space="preserve"> having wasted the opportunity to have a useful interview wasted before the initial trial proved that the prosecution were inept at delivering evidence at a necessary pace to provide a conviction. Therefore with a more skilled prosecution and the know how of how to deliver evidence this case</w:t>
      </w:r>
      <w:bookmarkStart w:id="0" w:name="_GoBack"/>
      <w:bookmarkEnd w:id="0"/>
      <w:r>
        <w:t xml:space="preserve"> may well have seen a different outcome.</w:t>
      </w:r>
    </w:p>
    <w:p w14:paraId="27921EA0" w14:textId="2BADB073" w:rsidR="00E718F7" w:rsidRPr="00324482" w:rsidRDefault="00E718F7" w:rsidP="00324482"/>
    <w:p w14:paraId="4156FAD4" w14:textId="40E162B2" w:rsidR="00E718F7" w:rsidRPr="00324482" w:rsidRDefault="00E718F7" w:rsidP="00324482"/>
    <w:p w14:paraId="21940BAD" w14:textId="4790AA7D" w:rsidR="00E718F7" w:rsidRPr="00324482" w:rsidRDefault="00E718F7" w:rsidP="00324482"/>
    <w:p w14:paraId="13E9518F" w14:textId="78EA8DBF" w:rsidR="00E718F7" w:rsidRPr="00324482" w:rsidRDefault="00E718F7" w:rsidP="00324482"/>
    <w:p w14:paraId="594CDE6F" w14:textId="74FE2083" w:rsidR="00E718F7" w:rsidRPr="00324482" w:rsidRDefault="00E718F7" w:rsidP="00324482"/>
    <w:p w14:paraId="543239C6" w14:textId="25DF4842" w:rsidR="00E718F7" w:rsidRPr="00324482" w:rsidRDefault="00E718F7" w:rsidP="00324482"/>
    <w:p w14:paraId="01E3D1F7" w14:textId="1BFA96DF" w:rsidR="00E718F7" w:rsidRPr="00324482" w:rsidRDefault="00E718F7" w:rsidP="00324482"/>
    <w:p w14:paraId="777AADF2" w14:textId="387011F4" w:rsidR="00E718F7" w:rsidRPr="00324482" w:rsidRDefault="00E718F7" w:rsidP="00324482"/>
    <w:p w14:paraId="3E6D8CFD" w14:textId="764C2C38" w:rsidR="00E718F7" w:rsidRPr="00324482" w:rsidRDefault="00E718F7" w:rsidP="00324482">
      <w:r w:rsidRPr="00324482">
        <w:t>References</w:t>
      </w:r>
    </w:p>
    <w:p w14:paraId="634959BA" w14:textId="2FF486C2" w:rsidR="005D24CD" w:rsidRPr="00324482" w:rsidRDefault="005D24CD" w:rsidP="00324482">
      <w:r w:rsidRPr="00324482">
        <w:t xml:space="preserve">User, S. (2018). The Trial of </w:t>
      </w:r>
      <w:proofErr w:type="spellStart"/>
      <w:r w:rsidRPr="00324482">
        <w:t>Orenthal</w:t>
      </w:r>
      <w:proofErr w:type="spellEnd"/>
      <w:r w:rsidRPr="00324482">
        <w:t xml:space="preserve"> James Simpson: An Account. [online] Famous-trials.com. Available at: http://famous-trials.com/simpson/1862-home [Accessed 20 Feb. 2018].</w:t>
      </w:r>
    </w:p>
    <w:p w14:paraId="6AF798D1" w14:textId="76098632" w:rsidR="005D24CD" w:rsidRPr="00324482" w:rsidRDefault="005D24CD" w:rsidP="00324482">
      <w:r w:rsidRPr="00324482">
        <w:t>InBrief.co.uk. (2018). Evidence: Types of Evidence Admissible in a Law Court - InBrief.co.uk. [online] Available at: https://www.inbrief.co.uk/court-proceedings/evidence/ [Accessed 20 Feb. 2018].</w:t>
      </w:r>
    </w:p>
    <w:p w14:paraId="666E27B8" w14:textId="2EC9974E" w:rsidR="005D24CD" w:rsidRPr="00324482" w:rsidRDefault="005D24CD" w:rsidP="00324482">
      <w:r w:rsidRPr="00324482">
        <w:t>Physical Evidence Handbook. (n.d.). [</w:t>
      </w:r>
      <w:proofErr w:type="spellStart"/>
      <w:r w:rsidRPr="00324482">
        <w:t>ebook</w:t>
      </w:r>
      <w:proofErr w:type="spellEnd"/>
      <w:r w:rsidRPr="00324482">
        <w:t>] pp.2-4. Available at: https://wilenet.org/html/crime-lab/physevbook/chapter1-evidence-integrity-2017.pdf [Accessed 20 Feb. 2018].</w:t>
      </w:r>
    </w:p>
    <w:p w14:paraId="06BE4FC0" w14:textId="63A9C7E0" w:rsidR="005D24CD" w:rsidRPr="00324482" w:rsidRDefault="005D24CD" w:rsidP="00324482">
      <w:r w:rsidRPr="00324482">
        <w:t>Physical Evidence Handbook. (n.d.). [</w:t>
      </w:r>
      <w:proofErr w:type="spellStart"/>
      <w:r w:rsidRPr="00324482">
        <w:t>ebook</w:t>
      </w:r>
      <w:proofErr w:type="spellEnd"/>
      <w:r w:rsidRPr="00324482">
        <w:t>] pp.2-4. Available at: https://wilenet.org/html/crime-lab/physevbook/chapter1-evidence-integrity-2017.pdf [Accessed 20 Feb. 2018].</w:t>
      </w:r>
    </w:p>
    <w:p w14:paraId="0365D4CA" w14:textId="6D46EDA5" w:rsidR="00324482" w:rsidRPr="00324482" w:rsidRDefault="00324482" w:rsidP="00324482">
      <w:proofErr w:type="spellStart"/>
      <w:r w:rsidRPr="00324482">
        <w:t>Guerrasio</w:t>
      </w:r>
      <w:proofErr w:type="spellEnd"/>
      <w:r w:rsidRPr="00324482">
        <w:t>, J. (2018). A new documentary reveals one reason why the gloves didn't fit O.J. Simpson. [online] Business Insider. Available at: http://uk.businessinsider.com/oj-simpson-glove-why-2016-6 [Accessed 20 Feb. 2018].</w:t>
      </w:r>
    </w:p>
    <w:p w14:paraId="5517C19C" w14:textId="4C5C559F" w:rsidR="00324482" w:rsidRPr="00324482" w:rsidRDefault="00324482" w:rsidP="00324482">
      <w:r w:rsidRPr="00324482">
        <w:t xml:space="preserve">Vulture. (2018). What Happened to Mark Fuhrman After the O.J. Simpson </w:t>
      </w:r>
      <w:proofErr w:type="gramStart"/>
      <w:r w:rsidRPr="00324482">
        <w:t>Trial?.</w:t>
      </w:r>
      <w:proofErr w:type="gramEnd"/>
      <w:r w:rsidRPr="00324482">
        <w:t xml:space="preserve"> [online] Available at: http://www.vulture.com/2016/03/mark-fuhrman-what-happened-after-oj-simpson-trial.html [Accessed 20 Feb. 2018].</w:t>
      </w:r>
    </w:p>
    <w:sectPr w:rsidR="00324482" w:rsidRPr="003244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2E355" w14:textId="77777777" w:rsidR="00D04195" w:rsidRDefault="00D04195" w:rsidP="00190BDD">
      <w:pPr>
        <w:spacing w:after="0" w:line="240" w:lineRule="auto"/>
      </w:pPr>
      <w:r>
        <w:separator/>
      </w:r>
    </w:p>
  </w:endnote>
  <w:endnote w:type="continuationSeparator" w:id="0">
    <w:p w14:paraId="3A0F3A7C" w14:textId="77777777" w:rsidR="00D04195" w:rsidRDefault="00D04195" w:rsidP="00190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3F453" w14:textId="77777777" w:rsidR="00D04195" w:rsidRDefault="00D04195" w:rsidP="00190BDD">
      <w:pPr>
        <w:spacing w:after="0" w:line="240" w:lineRule="auto"/>
      </w:pPr>
      <w:r>
        <w:separator/>
      </w:r>
    </w:p>
  </w:footnote>
  <w:footnote w:type="continuationSeparator" w:id="0">
    <w:p w14:paraId="0BA7986F" w14:textId="77777777" w:rsidR="00D04195" w:rsidRDefault="00D04195" w:rsidP="00190BDD">
      <w:pPr>
        <w:spacing w:after="0" w:line="240" w:lineRule="auto"/>
      </w:pPr>
      <w:r>
        <w:continuationSeparator/>
      </w:r>
    </w:p>
  </w:footnote>
  <w:footnote w:id="1">
    <w:p w14:paraId="1521D2CD" w14:textId="1137E7B7" w:rsidR="00190BDD" w:rsidRDefault="00190BDD">
      <w:pPr>
        <w:pStyle w:val="FootnoteText"/>
      </w:pPr>
      <w:r>
        <w:rPr>
          <w:rStyle w:val="FootnoteReference"/>
        </w:rPr>
        <w:footnoteRef/>
      </w:r>
      <w:r>
        <w:t xml:space="preserve"> </w:t>
      </w:r>
      <w:r w:rsidR="005D24CD">
        <w:rPr>
          <w:rFonts w:ascii="Arial" w:hAnsi="Arial" w:cs="Arial"/>
          <w:color w:val="666666"/>
          <w:shd w:val="clear" w:color="auto" w:fill="FFFFFF"/>
        </w:rPr>
        <w:t>(InBrief.co.uk, 2018)</w:t>
      </w:r>
    </w:p>
  </w:footnote>
  <w:footnote w:id="2">
    <w:p w14:paraId="7BAFAC1D" w14:textId="1000A073" w:rsidR="007948C7" w:rsidRDefault="007948C7">
      <w:pPr>
        <w:pStyle w:val="FootnoteText"/>
      </w:pPr>
      <w:r>
        <w:rPr>
          <w:rStyle w:val="FootnoteReference"/>
        </w:rPr>
        <w:footnoteRef/>
      </w:r>
      <w:r w:rsidR="005D24CD">
        <w:rPr>
          <w:rFonts w:ascii="Arial" w:hAnsi="Arial" w:cs="Arial"/>
          <w:color w:val="666666"/>
          <w:shd w:val="clear" w:color="auto" w:fill="FFFFFF"/>
        </w:rPr>
        <w:t xml:space="preserve"> </w:t>
      </w:r>
      <w:r w:rsidR="005D24CD">
        <w:rPr>
          <w:rFonts w:ascii="Arial" w:hAnsi="Arial" w:cs="Arial"/>
          <w:color w:val="666666"/>
          <w:shd w:val="clear" w:color="auto" w:fill="FFFFFF"/>
        </w:rPr>
        <w:t>(InBrief.co.uk, 2018)</w:t>
      </w:r>
    </w:p>
  </w:footnote>
  <w:footnote w:id="3">
    <w:p w14:paraId="4F3D02C9" w14:textId="0689C928" w:rsidR="000B500C" w:rsidRDefault="000B500C">
      <w:pPr>
        <w:pStyle w:val="FootnoteText"/>
      </w:pPr>
      <w:r>
        <w:rPr>
          <w:rStyle w:val="FootnoteReference"/>
        </w:rPr>
        <w:footnoteRef/>
      </w:r>
      <w:r>
        <w:t xml:space="preserve"> </w:t>
      </w:r>
      <w:r w:rsidR="005D24CD">
        <w:rPr>
          <w:rFonts w:ascii="Arial" w:hAnsi="Arial" w:cs="Arial"/>
          <w:color w:val="666666"/>
          <w:shd w:val="clear" w:color="auto" w:fill="FFFFFF"/>
        </w:rPr>
        <w:t>(Physical Evidence Handbook, n.d.)</w:t>
      </w:r>
    </w:p>
  </w:footnote>
  <w:footnote w:id="4">
    <w:p w14:paraId="0A970C81" w14:textId="15879A9F" w:rsidR="00E401E8" w:rsidRDefault="00E401E8">
      <w:pPr>
        <w:pStyle w:val="FootnoteText"/>
      </w:pPr>
      <w:r>
        <w:rPr>
          <w:rStyle w:val="FootnoteReference"/>
        </w:rPr>
        <w:footnoteRef/>
      </w:r>
      <w:r>
        <w:t xml:space="preserve"> </w:t>
      </w:r>
      <w:r w:rsidR="005D24CD">
        <w:rPr>
          <w:rFonts w:ascii="Arial" w:hAnsi="Arial" w:cs="Arial"/>
          <w:color w:val="666666"/>
          <w:shd w:val="clear" w:color="auto" w:fill="FFFFFF"/>
        </w:rPr>
        <w:t>(User, 2018)</w:t>
      </w:r>
    </w:p>
  </w:footnote>
  <w:footnote w:id="5">
    <w:p w14:paraId="705768DF" w14:textId="7A048333" w:rsidR="0054593A" w:rsidRDefault="0054593A">
      <w:pPr>
        <w:pStyle w:val="FootnoteText"/>
      </w:pPr>
      <w:r>
        <w:rPr>
          <w:rStyle w:val="FootnoteReference"/>
        </w:rPr>
        <w:footnoteRef/>
      </w:r>
      <w:r>
        <w:t xml:space="preserve"> </w:t>
      </w:r>
      <w:r w:rsidR="005D24CD">
        <w:rPr>
          <w:rFonts w:ascii="Arial" w:hAnsi="Arial" w:cs="Arial"/>
          <w:color w:val="666666"/>
          <w:shd w:val="clear" w:color="auto" w:fill="FFFFFF"/>
        </w:rPr>
        <w:t>(User, 2018)</w:t>
      </w:r>
    </w:p>
  </w:footnote>
  <w:footnote w:id="6">
    <w:p w14:paraId="7E0FA06D" w14:textId="15E8A60C" w:rsidR="00143F3A" w:rsidRDefault="00143F3A">
      <w:pPr>
        <w:pStyle w:val="FootnoteText"/>
      </w:pPr>
      <w:r>
        <w:rPr>
          <w:rStyle w:val="FootnoteReference"/>
        </w:rPr>
        <w:footnoteRef/>
      </w:r>
      <w:r>
        <w:t xml:space="preserve"> </w:t>
      </w:r>
      <w:r w:rsidR="005D24CD">
        <w:rPr>
          <w:rFonts w:ascii="Arial" w:hAnsi="Arial" w:cs="Arial"/>
          <w:color w:val="666666"/>
          <w:shd w:val="clear" w:color="auto" w:fill="FFFFFF"/>
        </w:rPr>
        <w:t>(User, 2018)</w:t>
      </w:r>
    </w:p>
  </w:footnote>
  <w:footnote w:id="7">
    <w:p w14:paraId="54A41421" w14:textId="50D1D372" w:rsidR="000776C4" w:rsidRDefault="000776C4">
      <w:pPr>
        <w:pStyle w:val="FootnoteText"/>
      </w:pPr>
      <w:r>
        <w:rPr>
          <w:rStyle w:val="FootnoteReference"/>
        </w:rPr>
        <w:footnoteRef/>
      </w:r>
      <w:r>
        <w:t xml:space="preserve"> </w:t>
      </w:r>
      <w:r w:rsidR="00324482">
        <w:rPr>
          <w:rFonts w:ascii="Arial" w:hAnsi="Arial" w:cs="Arial"/>
          <w:color w:val="666666"/>
          <w:shd w:val="clear" w:color="auto" w:fill="FFFFFF"/>
        </w:rPr>
        <w:t>(</w:t>
      </w:r>
      <w:proofErr w:type="spellStart"/>
      <w:r w:rsidR="00324482">
        <w:rPr>
          <w:rFonts w:ascii="Arial" w:hAnsi="Arial" w:cs="Arial"/>
          <w:color w:val="666666"/>
          <w:shd w:val="clear" w:color="auto" w:fill="FFFFFF"/>
        </w:rPr>
        <w:t>Guerrasio</w:t>
      </w:r>
      <w:proofErr w:type="spellEnd"/>
      <w:r w:rsidR="00324482">
        <w:rPr>
          <w:rFonts w:ascii="Arial" w:hAnsi="Arial" w:cs="Arial"/>
          <w:color w:val="666666"/>
          <w:shd w:val="clear" w:color="auto" w:fill="FFFFFF"/>
        </w:rPr>
        <w:t>, 2018)</w:t>
      </w:r>
    </w:p>
  </w:footnote>
  <w:footnote w:id="8">
    <w:p w14:paraId="138D3A61" w14:textId="6CFCE9FE" w:rsidR="00656C24" w:rsidRDefault="00656C24">
      <w:pPr>
        <w:pStyle w:val="FootnoteText"/>
      </w:pPr>
      <w:r>
        <w:rPr>
          <w:rStyle w:val="FootnoteReference"/>
        </w:rPr>
        <w:footnoteRef/>
      </w:r>
      <w:r>
        <w:t xml:space="preserve"> </w:t>
      </w:r>
      <w:r w:rsidR="00324482">
        <w:rPr>
          <w:rFonts w:ascii="Arial" w:hAnsi="Arial" w:cs="Arial"/>
          <w:color w:val="666666"/>
          <w:shd w:val="clear" w:color="auto" w:fill="FFFFFF"/>
        </w:rPr>
        <w:t>(</w:t>
      </w:r>
      <w:proofErr w:type="spellStart"/>
      <w:r w:rsidR="00324482">
        <w:rPr>
          <w:rFonts w:ascii="Arial" w:hAnsi="Arial" w:cs="Arial"/>
          <w:color w:val="666666"/>
          <w:shd w:val="clear" w:color="auto" w:fill="FFFFFF"/>
        </w:rPr>
        <w:t>Guerrasio</w:t>
      </w:r>
      <w:proofErr w:type="spellEnd"/>
      <w:r w:rsidR="00324482">
        <w:rPr>
          <w:rFonts w:ascii="Arial" w:hAnsi="Arial" w:cs="Arial"/>
          <w:color w:val="666666"/>
          <w:shd w:val="clear" w:color="auto" w:fill="FFFFFF"/>
        </w:rPr>
        <w:t>, 2018)</w:t>
      </w:r>
    </w:p>
  </w:footnote>
  <w:footnote w:id="9">
    <w:p w14:paraId="4DC59D0E" w14:textId="49731D51" w:rsidR="00E718F7" w:rsidRDefault="00E718F7">
      <w:pPr>
        <w:pStyle w:val="FootnoteText"/>
      </w:pPr>
      <w:r>
        <w:rPr>
          <w:rStyle w:val="FootnoteReference"/>
        </w:rPr>
        <w:footnoteRef/>
      </w:r>
      <w:r>
        <w:t xml:space="preserve"> </w:t>
      </w:r>
      <w:r w:rsidR="00324482">
        <w:rPr>
          <w:rFonts w:ascii="Arial" w:hAnsi="Arial" w:cs="Arial"/>
          <w:color w:val="666666"/>
          <w:shd w:val="clear" w:color="auto" w:fill="FFFFFF"/>
        </w:rPr>
        <w:t>(Vulture, 2018)</w:t>
      </w:r>
    </w:p>
  </w:footnote>
  <w:footnote w:id="10">
    <w:p w14:paraId="41231637" w14:textId="096B3FC1" w:rsidR="00E718F7" w:rsidRDefault="00E718F7">
      <w:pPr>
        <w:pStyle w:val="FootnoteText"/>
      </w:pPr>
      <w:r>
        <w:rPr>
          <w:rStyle w:val="FootnoteReference"/>
        </w:rPr>
        <w:footnoteRef/>
      </w:r>
      <w:r>
        <w:t xml:space="preserve"> </w:t>
      </w:r>
      <w:r w:rsidR="005D24CD">
        <w:rPr>
          <w:rFonts w:ascii="Arial" w:hAnsi="Arial" w:cs="Arial"/>
          <w:color w:val="666666"/>
          <w:shd w:val="clear" w:color="auto" w:fill="FFFFFF"/>
        </w:rPr>
        <w:t>(User,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7F4"/>
    <w:rsid w:val="000776C4"/>
    <w:rsid w:val="000B500C"/>
    <w:rsid w:val="00143F3A"/>
    <w:rsid w:val="00190BDD"/>
    <w:rsid w:val="00324482"/>
    <w:rsid w:val="0054593A"/>
    <w:rsid w:val="005D24CD"/>
    <w:rsid w:val="00656C24"/>
    <w:rsid w:val="006B59B8"/>
    <w:rsid w:val="0077223E"/>
    <w:rsid w:val="007948C7"/>
    <w:rsid w:val="008F63DD"/>
    <w:rsid w:val="00AF17F4"/>
    <w:rsid w:val="00D04195"/>
    <w:rsid w:val="00D77F8F"/>
    <w:rsid w:val="00E401E8"/>
    <w:rsid w:val="00E71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20A4D"/>
  <w15:chartTrackingRefBased/>
  <w15:docId w15:val="{95ED5FBD-D217-419D-8566-0C1D412B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90B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0BDD"/>
    <w:rPr>
      <w:sz w:val="20"/>
      <w:szCs w:val="20"/>
    </w:rPr>
  </w:style>
  <w:style w:type="character" w:styleId="FootnoteReference">
    <w:name w:val="footnote reference"/>
    <w:basedOn w:val="DefaultParagraphFont"/>
    <w:uiPriority w:val="99"/>
    <w:semiHidden/>
    <w:unhideWhenUsed/>
    <w:rsid w:val="00190B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B0258-9C05-4E44-9CFB-885F76989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Pages>
  <Words>1303</Words>
  <Characters>7432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Price (1600704)</dc:creator>
  <cp:keywords/>
  <dc:description/>
  <cp:lastModifiedBy>Adam Price (1600704)</cp:lastModifiedBy>
  <cp:revision>3</cp:revision>
  <dcterms:created xsi:type="dcterms:W3CDTF">2018-02-20T21:47:00Z</dcterms:created>
  <dcterms:modified xsi:type="dcterms:W3CDTF">2018-02-20T23:57:00Z</dcterms:modified>
</cp:coreProperties>
</file>