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5585" w:rsidRPr="00F45585" w:rsidRDefault="00F45585" w:rsidP="00F45585">
      <w:pPr>
        <w:pStyle w:val="Body"/>
        <w:spacing w:line="360" w:lineRule="auto"/>
        <w:jc w:val="both"/>
        <w:rPr>
          <w:b/>
          <w:bCs/>
          <w:sz w:val="24"/>
          <w:szCs w:val="24"/>
        </w:rPr>
      </w:pPr>
      <w:r w:rsidRPr="00F45585">
        <w:rPr>
          <w:b/>
          <w:bCs/>
          <w:sz w:val="24"/>
          <w:szCs w:val="24"/>
        </w:rPr>
        <w:t xml:space="preserve">[Note: the template used for this book review as from Springer: </w:t>
      </w:r>
      <w:proofErr w:type="spellStart"/>
      <w:r w:rsidRPr="00F45585">
        <w:rPr>
          <w:b/>
          <w:bCs/>
          <w:sz w:val="24"/>
          <w:szCs w:val="24"/>
        </w:rPr>
        <w:t>Int</w:t>
      </w:r>
      <w:proofErr w:type="spellEnd"/>
      <w:r w:rsidRPr="00F45585">
        <w:rPr>
          <w:b/>
          <w:bCs/>
          <w:sz w:val="24"/>
          <w:szCs w:val="24"/>
        </w:rPr>
        <w:t xml:space="preserve"> J </w:t>
      </w:r>
      <w:proofErr w:type="spellStart"/>
      <w:r w:rsidRPr="00F45585">
        <w:rPr>
          <w:b/>
          <w:bCs/>
          <w:sz w:val="24"/>
          <w:szCs w:val="24"/>
        </w:rPr>
        <w:t>Philos</w:t>
      </w:r>
      <w:proofErr w:type="spellEnd"/>
      <w:r w:rsidRPr="00F45585">
        <w:rPr>
          <w:b/>
          <w:bCs/>
          <w:sz w:val="24"/>
          <w:szCs w:val="24"/>
        </w:rPr>
        <w:t xml:space="preserve"> </w:t>
      </w:r>
      <w:proofErr w:type="spellStart"/>
      <w:r w:rsidRPr="00F45585">
        <w:rPr>
          <w:b/>
          <w:bCs/>
          <w:sz w:val="24"/>
          <w:szCs w:val="24"/>
        </w:rPr>
        <w:t>Relig</w:t>
      </w:r>
      <w:proofErr w:type="spellEnd"/>
      <w:r w:rsidRPr="00F45585">
        <w:rPr>
          <w:b/>
          <w:bCs/>
          <w:sz w:val="24"/>
          <w:szCs w:val="24"/>
        </w:rPr>
        <w:t xml:space="preserve"> (2017) 82:355-</w:t>
      </w:r>
      <w:proofErr w:type="gramStart"/>
      <w:r w:rsidRPr="00F45585">
        <w:rPr>
          <w:b/>
          <w:bCs/>
          <w:sz w:val="24"/>
          <w:szCs w:val="24"/>
        </w:rPr>
        <w:t>359 :</w:t>
      </w:r>
      <w:proofErr w:type="gramEnd"/>
      <w:r w:rsidRPr="00F45585">
        <w:rPr>
          <w:b/>
          <w:bCs/>
          <w:sz w:val="24"/>
          <w:szCs w:val="24"/>
        </w:rPr>
        <w:t xml:space="preserve"> Alternative concepts of God: essays on the </w:t>
      </w:r>
      <w:proofErr w:type="spellStart"/>
      <w:r w:rsidRPr="00F45585">
        <w:rPr>
          <w:b/>
          <w:bCs/>
          <w:sz w:val="24"/>
          <w:szCs w:val="24"/>
        </w:rPr>
        <w:t>meataphysics</w:t>
      </w:r>
      <w:proofErr w:type="spellEnd"/>
      <w:r w:rsidRPr="00F45585">
        <w:rPr>
          <w:b/>
          <w:bCs/>
          <w:sz w:val="24"/>
          <w:szCs w:val="24"/>
        </w:rPr>
        <w:t xml:space="preserve"> of the divine (Andrei A. </w:t>
      </w:r>
      <w:proofErr w:type="spellStart"/>
      <w:r w:rsidRPr="00F45585">
        <w:rPr>
          <w:b/>
          <w:bCs/>
          <w:sz w:val="24"/>
          <w:szCs w:val="24"/>
        </w:rPr>
        <w:t>Buckareff</w:t>
      </w:r>
      <w:proofErr w:type="spellEnd"/>
      <w:r w:rsidRPr="00F45585">
        <w:rPr>
          <w:b/>
          <w:bCs/>
          <w:sz w:val="24"/>
          <w:szCs w:val="24"/>
        </w:rPr>
        <w:t xml:space="preserve"> and </w:t>
      </w:r>
      <w:proofErr w:type="spellStart"/>
      <w:r w:rsidRPr="00F45585">
        <w:rPr>
          <w:b/>
          <w:bCs/>
          <w:sz w:val="24"/>
          <w:szCs w:val="24"/>
        </w:rPr>
        <w:t>Uyjin</w:t>
      </w:r>
      <w:proofErr w:type="spellEnd"/>
      <w:r w:rsidRPr="00F45585">
        <w:rPr>
          <w:b/>
          <w:bCs/>
          <w:sz w:val="24"/>
          <w:szCs w:val="24"/>
        </w:rPr>
        <w:t xml:space="preserve"> </w:t>
      </w:r>
      <w:proofErr w:type="spellStart"/>
      <w:r w:rsidRPr="00F45585">
        <w:rPr>
          <w:b/>
          <w:bCs/>
          <w:sz w:val="24"/>
          <w:szCs w:val="24"/>
        </w:rPr>
        <w:t>Nagasawa</w:t>
      </w:r>
      <w:proofErr w:type="spellEnd"/>
      <w:r w:rsidRPr="00F45585">
        <w:rPr>
          <w:b/>
          <w:bCs/>
          <w:sz w:val="24"/>
          <w:szCs w:val="24"/>
        </w:rPr>
        <w:t xml:space="preserve">) reviewed by Randy </w:t>
      </w:r>
      <w:proofErr w:type="spellStart"/>
      <w:r w:rsidRPr="00F45585">
        <w:rPr>
          <w:b/>
          <w:bCs/>
          <w:sz w:val="24"/>
          <w:szCs w:val="24"/>
        </w:rPr>
        <w:t>Everist</w:t>
      </w:r>
      <w:proofErr w:type="spellEnd"/>
      <w:r w:rsidRPr="00F45585">
        <w:rPr>
          <w:b/>
          <w:bCs/>
          <w:sz w:val="24"/>
          <w:szCs w:val="24"/>
        </w:rPr>
        <w:t>.]</w:t>
      </w:r>
    </w:p>
    <w:p w:rsidR="00F45585" w:rsidRPr="00F45585" w:rsidRDefault="00F45585">
      <w:pPr>
        <w:pStyle w:val="Body"/>
        <w:rPr>
          <w:b/>
          <w:bCs/>
          <w:sz w:val="24"/>
          <w:szCs w:val="24"/>
        </w:rPr>
      </w:pPr>
    </w:p>
    <w:p w:rsidR="00F45585" w:rsidRPr="00F45585" w:rsidRDefault="00F45585" w:rsidP="00F45585">
      <w:pPr>
        <w:pStyle w:val="Body"/>
        <w:ind w:left="720"/>
        <w:jc w:val="center"/>
        <w:rPr>
          <w:b/>
          <w:bCs/>
          <w:sz w:val="24"/>
          <w:szCs w:val="24"/>
        </w:rPr>
      </w:pPr>
      <w:r w:rsidRPr="00F45585">
        <w:rPr>
          <w:b/>
          <w:bCs/>
          <w:sz w:val="24"/>
          <w:szCs w:val="24"/>
        </w:rPr>
        <w:t>****</w:t>
      </w:r>
      <w:bookmarkStart w:id="0" w:name="_GoBack"/>
      <w:bookmarkEnd w:id="0"/>
    </w:p>
    <w:p w:rsidR="00F45585" w:rsidRPr="00F45585" w:rsidRDefault="00F45585">
      <w:pPr>
        <w:pStyle w:val="Body"/>
        <w:rPr>
          <w:b/>
          <w:bCs/>
          <w:sz w:val="24"/>
          <w:szCs w:val="24"/>
        </w:rPr>
      </w:pPr>
    </w:p>
    <w:p w:rsidR="00F45585" w:rsidRPr="00F45585" w:rsidRDefault="00F45585">
      <w:pPr>
        <w:pStyle w:val="Body"/>
        <w:rPr>
          <w:b/>
          <w:bCs/>
          <w:sz w:val="24"/>
          <w:szCs w:val="24"/>
        </w:rPr>
      </w:pPr>
    </w:p>
    <w:p w:rsidR="00F45585" w:rsidRPr="00F45585" w:rsidRDefault="00F45585">
      <w:pPr>
        <w:pStyle w:val="Body"/>
        <w:rPr>
          <w:b/>
          <w:bCs/>
          <w:sz w:val="24"/>
          <w:szCs w:val="24"/>
        </w:rPr>
      </w:pPr>
    </w:p>
    <w:p w:rsidR="00704A87" w:rsidRPr="00F45585" w:rsidRDefault="002178CE">
      <w:pPr>
        <w:pStyle w:val="Body"/>
        <w:rPr>
          <w:b/>
          <w:bCs/>
          <w:sz w:val="24"/>
          <w:szCs w:val="24"/>
        </w:rPr>
      </w:pPr>
      <w:r w:rsidRPr="00F45585">
        <w:rPr>
          <w:b/>
          <w:bCs/>
          <w:sz w:val="24"/>
          <w:szCs w:val="24"/>
        </w:rPr>
        <w:t>Book Review</w:t>
      </w:r>
    </w:p>
    <w:p w:rsidR="00704A87" w:rsidRPr="00F45585" w:rsidRDefault="00704A87">
      <w:pPr>
        <w:pStyle w:val="Body"/>
        <w:rPr>
          <w:b/>
          <w:bCs/>
          <w:sz w:val="24"/>
          <w:szCs w:val="24"/>
        </w:rPr>
      </w:pPr>
    </w:p>
    <w:p w:rsidR="00704A87" w:rsidRPr="00F45585" w:rsidRDefault="002178CE">
      <w:pPr>
        <w:pStyle w:val="Body"/>
        <w:rPr>
          <w:b/>
          <w:bCs/>
          <w:sz w:val="24"/>
          <w:szCs w:val="24"/>
        </w:rPr>
      </w:pPr>
      <w:r w:rsidRPr="00F45585">
        <w:rPr>
          <w:b/>
          <w:bCs/>
          <w:sz w:val="24"/>
          <w:szCs w:val="24"/>
        </w:rPr>
        <w:t xml:space="preserve">Fragmentation and Redemption: Essays on Gender and the Human Body in Medieval Religion </w:t>
      </w:r>
      <w:proofErr w:type="gramStart"/>
      <w:r w:rsidRPr="00F45585">
        <w:rPr>
          <w:b/>
          <w:bCs/>
          <w:sz w:val="24"/>
          <w:szCs w:val="24"/>
        </w:rPr>
        <w:t>( Carolyn</w:t>
      </w:r>
      <w:proofErr w:type="gramEnd"/>
      <w:r w:rsidRPr="00F45585">
        <w:rPr>
          <w:b/>
          <w:bCs/>
          <w:sz w:val="24"/>
          <w:szCs w:val="24"/>
        </w:rPr>
        <w:t xml:space="preserve"> Bynum)</w:t>
      </w:r>
    </w:p>
    <w:p w:rsidR="00704A87" w:rsidRPr="00F45585" w:rsidRDefault="00704A87">
      <w:pPr>
        <w:pStyle w:val="Body"/>
        <w:rPr>
          <w:b/>
          <w:bCs/>
          <w:sz w:val="24"/>
          <w:szCs w:val="24"/>
        </w:rPr>
      </w:pPr>
    </w:p>
    <w:p w:rsidR="00704A87" w:rsidRPr="00F45585" w:rsidRDefault="00704A87">
      <w:pPr>
        <w:pStyle w:val="Body"/>
        <w:rPr>
          <w:b/>
          <w:bCs/>
          <w:sz w:val="24"/>
          <w:szCs w:val="24"/>
        </w:rPr>
      </w:pPr>
    </w:p>
    <w:p w:rsidR="00704A87" w:rsidRPr="00F45585" w:rsidRDefault="002178CE">
      <w:pPr>
        <w:pStyle w:val="Body"/>
        <w:rPr>
          <w:b/>
          <w:bCs/>
          <w:sz w:val="24"/>
          <w:szCs w:val="24"/>
        </w:rPr>
      </w:pPr>
      <w:r w:rsidRPr="00F45585">
        <w:rPr>
          <w:b/>
          <w:bCs/>
          <w:sz w:val="24"/>
          <w:szCs w:val="24"/>
        </w:rPr>
        <w:t>Publisher: New York: Zone Books, 1991, 426 pp</w:t>
      </w:r>
    </w:p>
    <w:p w:rsidR="00704A87" w:rsidRPr="00F45585" w:rsidRDefault="00704A87">
      <w:pPr>
        <w:pStyle w:val="Body"/>
        <w:rPr>
          <w:b/>
          <w:bCs/>
          <w:sz w:val="24"/>
          <w:szCs w:val="24"/>
        </w:rPr>
      </w:pPr>
    </w:p>
    <w:p w:rsidR="00704A87" w:rsidRPr="00F45585" w:rsidRDefault="00704A87">
      <w:pPr>
        <w:pStyle w:val="Body"/>
        <w:rPr>
          <w:b/>
          <w:bCs/>
          <w:sz w:val="24"/>
          <w:szCs w:val="24"/>
        </w:rPr>
      </w:pPr>
    </w:p>
    <w:p w:rsidR="00704A87" w:rsidRPr="00F45585" w:rsidRDefault="002178CE">
      <w:pPr>
        <w:pStyle w:val="Body"/>
        <w:rPr>
          <w:b/>
          <w:bCs/>
          <w:sz w:val="24"/>
          <w:szCs w:val="24"/>
        </w:rPr>
      </w:pPr>
      <w:r w:rsidRPr="00F45585">
        <w:rPr>
          <w:b/>
          <w:bCs/>
          <w:sz w:val="24"/>
          <w:szCs w:val="24"/>
        </w:rPr>
        <w:t>Hayley Stevens</w:t>
      </w:r>
    </w:p>
    <w:p w:rsidR="00704A87" w:rsidRPr="00F45585" w:rsidRDefault="00704A87">
      <w:pPr>
        <w:pStyle w:val="Body"/>
        <w:rPr>
          <w:b/>
          <w:bCs/>
          <w:sz w:val="24"/>
          <w:szCs w:val="24"/>
        </w:rPr>
      </w:pP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American Medieval scholar, Carolyn Bynum addresses fragmentation and redemption in late medieval society in relationship to gender and the human body.   In order to understand the theme of fragmentation and redemption, Bynum sets out to redefine the context within which medieval women are understood using seven essays published between 1982 and 1989 on the subject of women’s religious practices, male and female attitudes toward the body and theological debates regarding resurrection and personhood.    </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There is not the space to review each essay, therefore I review the main themes and arguments of the three methodological essays separately as these set the context for the later essays. I briefly outline the themes of essays four to six which focus on gender and the final stand-alone essay focusing on the Resurrection.  I then offer a</w:t>
      </w:r>
      <w:r w:rsidRPr="00F45585">
        <w:rPr>
          <w:sz w:val="24"/>
          <w:szCs w:val="24"/>
          <w:lang w:val="fr-FR"/>
        </w:rPr>
        <w:t xml:space="preserve"> perspective</w:t>
      </w:r>
      <w:r w:rsidRPr="00F45585">
        <w:rPr>
          <w:sz w:val="24"/>
          <w:szCs w:val="24"/>
        </w:rPr>
        <w:t xml:space="preserve"> on the overarching theme: fragmentation and redemption.</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The first essay uses Victor Turner's social drama theory and in particular the theory of liminality and reversal to explore medieval texts of saints lives and experiences of the Eucharist. In applying Turner’s methodology to the lives of medieval religious women, Bynum identifies that unlike men, women’s spiritual growth was not achieved through reversal in gender characteristics but through integration, acceptance, and continuance of those characteristics already used to define women.  Bynum argues that women did not </w:t>
      </w:r>
      <w:r w:rsidRPr="00F45585">
        <w:rPr>
          <w:sz w:val="24"/>
          <w:szCs w:val="24"/>
        </w:rPr>
        <w:lastRenderedPageBreak/>
        <w:t xml:space="preserve">pass through the same process as men and therefore only men’s stories are full social dramas (49) as defined by Turner’s model.  </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In her second essay, the typologies of Max Weber and Ernst </w:t>
      </w:r>
      <w:proofErr w:type="spellStart"/>
      <w:r w:rsidRPr="00F45585">
        <w:rPr>
          <w:sz w:val="24"/>
          <w:szCs w:val="24"/>
        </w:rPr>
        <w:t>Troeltsch</w:t>
      </w:r>
      <w:proofErr w:type="spellEnd"/>
      <w:r w:rsidRPr="00F45585">
        <w:rPr>
          <w:sz w:val="24"/>
          <w:szCs w:val="24"/>
        </w:rPr>
        <w:t xml:space="preserve"> are applied to women’s religion between the 12th and 14th Century.   Using </w:t>
      </w:r>
      <w:proofErr w:type="spellStart"/>
      <w:r w:rsidRPr="00F45585">
        <w:rPr>
          <w:sz w:val="24"/>
          <w:szCs w:val="24"/>
        </w:rPr>
        <w:t>Troelt</w:t>
      </w:r>
      <w:r w:rsidRPr="00F45585">
        <w:rPr>
          <w:sz w:val="24"/>
          <w:szCs w:val="24"/>
          <w:lang w:val="de-DE"/>
        </w:rPr>
        <w:t>sch</w:t>
      </w:r>
      <w:proofErr w:type="spellEnd"/>
      <w:r w:rsidRPr="00F45585">
        <w:rPr>
          <w:sz w:val="24"/>
          <w:szCs w:val="24"/>
        </w:rPr>
        <w:t xml:space="preserve">’s typologies of church, sect, and mystic as different religious mentalities, she concludes that women’s practices in this period were predominantly mystical “free groups” (65).  Women came together to study and support each other in their spiritual path (beguines, tertiaries </w:t>
      </w:r>
      <w:proofErr w:type="spellStart"/>
      <w:r w:rsidRPr="00F45585">
        <w:rPr>
          <w:sz w:val="24"/>
          <w:szCs w:val="24"/>
        </w:rPr>
        <w:t>etc</w:t>
      </w:r>
      <w:proofErr w:type="spellEnd"/>
      <w:r w:rsidRPr="00F45585">
        <w:rPr>
          <w:sz w:val="24"/>
          <w:szCs w:val="24"/>
        </w:rPr>
        <w:t xml:space="preserve">) without forming structures and hierarchies typical of church mentality and without rejecting the sacramental power of the clergy indicative of a sectarian mentality.   The review of Weber's categories of asceticism, mysticism, inner-worldly and world fleeing results in medieval women being located on neither pole of this theory.  It is argued that these women embraced an asceticism and mysticism that was both world </w:t>
      </w:r>
      <w:proofErr w:type="gramStart"/>
      <w:r w:rsidRPr="00F45585">
        <w:rPr>
          <w:sz w:val="24"/>
          <w:szCs w:val="24"/>
        </w:rPr>
        <w:t>fleeing</w:t>
      </w:r>
      <w:proofErr w:type="gramEnd"/>
      <w:r w:rsidRPr="00F45585">
        <w:rPr>
          <w:sz w:val="24"/>
          <w:szCs w:val="24"/>
        </w:rPr>
        <w:t xml:space="preserve"> or world rejected and inner-worldly (70).  Their lives were both active service and contemplation something that </w:t>
      </w:r>
      <w:proofErr w:type="spellStart"/>
      <w:r w:rsidRPr="00F45585">
        <w:rPr>
          <w:sz w:val="24"/>
          <w:szCs w:val="24"/>
        </w:rPr>
        <w:t>Webers</w:t>
      </w:r>
      <w:proofErr w:type="spellEnd"/>
      <w:r w:rsidRPr="00F45585">
        <w:rPr>
          <w:sz w:val="24"/>
          <w:szCs w:val="24"/>
        </w:rPr>
        <w:t xml:space="preserve"> model, as he defines it, does not allow.  The key assertion is that if Weber and </w:t>
      </w:r>
      <w:r w:rsidRPr="00F45585">
        <w:rPr>
          <w:sz w:val="24"/>
          <w:szCs w:val="24"/>
          <w:lang w:val="nl-NL"/>
        </w:rPr>
        <w:t>Troel</w:t>
      </w:r>
      <w:proofErr w:type="spellStart"/>
      <w:r w:rsidRPr="00F45585">
        <w:rPr>
          <w:sz w:val="24"/>
          <w:szCs w:val="24"/>
        </w:rPr>
        <w:t>tstch</w:t>
      </w:r>
      <w:proofErr w:type="spellEnd"/>
      <w:r w:rsidRPr="00F45585">
        <w:rPr>
          <w:sz w:val="24"/>
          <w:szCs w:val="24"/>
        </w:rPr>
        <w:t xml:space="preserve"> had focused on women’s religious practices it may have changed their </w:t>
      </w:r>
      <w:proofErr w:type="spellStart"/>
      <w:r w:rsidRPr="00F45585">
        <w:rPr>
          <w:sz w:val="24"/>
          <w:szCs w:val="24"/>
        </w:rPr>
        <w:t>characterisation</w:t>
      </w:r>
      <w:proofErr w:type="spellEnd"/>
      <w:r w:rsidRPr="00F45585">
        <w:rPr>
          <w:sz w:val="24"/>
          <w:szCs w:val="24"/>
        </w:rPr>
        <w:t xml:space="preserve"> of the later Middle Ages and in doing so they may have </w:t>
      </w:r>
      <w:proofErr w:type="spellStart"/>
      <w:r w:rsidRPr="00F45585">
        <w:rPr>
          <w:sz w:val="24"/>
          <w:szCs w:val="24"/>
        </w:rPr>
        <w:t>recognised</w:t>
      </w:r>
      <w:proofErr w:type="spellEnd"/>
      <w:r w:rsidRPr="00F45585">
        <w:rPr>
          <w:sz w:val="24"/>
          <w:szCs w:val="24"/>
        </w:rPr>
        <w:t xml:space="preserve"> the contribution of medieval women in the development of Christianity and their influence on the Reformation (78). </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The third essay focuses on Leo Steinberg’s 1983 book ‘The Sexuality of Christ in Renaissance Art and Modern Oblivion’ to explore the body of Christ as it was perceived in literature and iconography of the late middle ages.  Bynum agrees with Steinberg’s assertion that medieval artwork has theological content but disagrees with his conclusion that artwork drawing attention to the genitals of baby Christ was a theological statement about the importance of male gender and sexuality.  Using different artwork, iconography and medieval theological texts she shows that another gender was often symbolically given to Christ’s body, that of “female, as lactating and giving birth” (82).</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Essays four to six build upon themes outlined in the previous three essays.  One main point underpinning these essays is that finding no route to union through gender women used their unique association with Christ’s humanity and their physical matter to access the divine.  The emphasis in essay four is how the reception of the Eucharist became increasingly literal for women - “simply to eat Christ is enough; it </w:t>
      </w:r>
      <w:r w:rsidRPr="00F45585">
        <w:rPr>
          <w:i/>
          <w:iCs/>
          <w:sz w:val="24"/>
          <w:szCs w:val="24"/>
        </w:rPr>
        <w:t>is</w:t>
      </w:r>
      <w:r w:rsidRPr="00F45585">
        <w:rPr>
          <w:sz w:val="24"/>
          <w:szCs w:val="24"/>
        </w:rPr>
        <w:t xml:space="preserve"> to achieve union” (126).   </w:t>
      </w:r>
      <w:r w:rsidRPr="00F45585">
        <w:rPr>
          <w:sz w:val="24"/>
          <w:szCs w:val="24"/>
        </w:rPr>
        <w:lastRenderedPageBreak/>
        <w:t xml:space="preserve">Essay five further </w:t>
      </w:r>
      <w:proofErr w:type="spellStart"/>
      <w:r w:rsidRPr="00F45585">
        <w:rPr>
          <w:sz w:val="24"/>
          <w:szCs w:val="24"/>
        </w:rPr>
        <w:t>contextualises</w:t>
      </w:r>
      <w:proofErr w:type="spellEnd"/>
      <w:r w:rsidRPr="00F45585">
        <w:rPr>
          <w:sz w:val="24"/>
          <w:szCs w:val="24"/>
        </w:rPr>
        <w:t xml:space="preserve"> female ascetic practices as a literal interpretation of “man signifies the divinity of the Son of God and woman his humanity”.  Bynum argues that ascetic practices were not, as modern medieval and feminist scholars have </w:t>
      </w:r>
      <w:proofErr w:type="spellStart"/>
      <w:r w:rsidRPr="00F45585">
        <w:rPr>
          <w:sz w:val="24"/>
          <w:szCs w:val="24"/>
        </w:rPr>
        <w:t>categorised</w:t>
      </w:r>
      <w:proofErr w:type="spellEnd"/>
      <w:r w:rsidRPr="00F45585">
        <w:rPr>
          <w:sz w:val="24"/>
          <w:szCs w:val="24"/>
        </w:rPr>
        <w:t xml:space="preserve"> them, self-punishment or rejection of their sex but the female path</w:t>
      </w:r>
      <w:r w:rsidRPr="00F45585">
        <w:rPr>
          <w:sz w:val="24"/>
          <w:szCs w:val="24"/>
          <w:lang w:val="it-IT"/>
        </w:rPr>
        <w:t xml:space="preserve"> to </w:t>
      </w:r>
      <w:proofErr w:type="spellStart"/>
      <w:r w:rsidRPr="00F45585">
        <w:rPr>
          <w:sz w:val="24"/>
          <w:szCs w:val="24"/>
          <w:lang w:val="it-IT"/>
        </w:rPr>
        <w:t>renunciation</w:t>
      </w:r>
      <w:proofErr w:type="spellEnd"/>
      <w:r w:rsidRPr="00F45585">
        <w:rPr>
          <w:sz w:val="24"/>
          <w:szCs w:val="24"/>
          <w:lang w:val="it-IT"/>
        </w:rPr>
        <w:t xml:space="preserve"> and </w:t>
      </w:r>
      <w:r w:rsidRPr="00F45585">
        <w:rPr>
          <w:sz w:val="24"/>
          <w:szCs w:val="24"/>
        </w:rPr>
        <w:t>ecstatic union.   Essay six continues the theme of gender reversal providing a context for understanding the ease with which medieval people mixed gender categories based upon the theological, philosophic and medical theories in this period.</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In her final essay, Bynum discusses fragmentation and redemption as it relates to the bodily aspect of the resurrection (“all rise again with their own individual bodies, that is, the bodies they now wear” (240)) and the ambivalence and contradictions in medieval society surrounding this doctrine.  She argues that Aristotle’s definition of soul as the form of the body (255) and Aquinas’ </w:t>
      </w:r>
      <w:proofErr w:type="spellStart"/>
      <w:r w:rsidRPr="00F45585">
        <w:rPr>
          <w:sz w:val="24"/>
          <w:szCs w:val="24"/>
        </w:rPr>
        <w:t>hylomorphic</w:t>
      </w:r>
      <w:proofErr w:type="spellEnd"/>
      <w:r w:rsidRPr="00F45585">
        <w:rPr>
          <w:sz w:val="24"/>
          <w:szCs w:val="24"/>
        </w:rPr>
        <w:t xml:space="preserve"> theory adopted in the 13th Century should have resolved these issues but the strength of the cult of relics which asserted that the part (of the saint; host) was the whole resulted in the full implications (258) of these theories being side-stepped.   </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In the introduction Bynum asserts that the historian’s task precludes wholeness, and only a supernatural power can reassemble fragments so completely that no particle of them is lost (14).  In the knowledge of this impossibility, Bynum gathers fragments to demonstrate the limitations of each methodological piece.   She challenges Turner’s assumptions that female experience is symmetrical with men’s and therefore asserted that gender reversal was applicable to </w:t>
      </w:r>
      <w:proofErr w:type="gramStart"/>
      <w:r w:rsidRPr="00F45585">
        <w:rPr>
          <w:sz w:val="24"/>
          <w:szCs w:val="24"/>
        </w:rPr>
        <w:t xml:space="preserve">them;  </w:t>
      </w:r>
      <w:proofErr w:type="spellStart"/>
      <w:r w:rsidRPr="00F45585">
        <w:rPr>
          <w:sz w:val="24"/>
          <w:szCs w:val="24"/>
        </w:rPr>
        <w:t>Troelstch’s</w:t>
      </w:r>
      <w:proofErr w:type="spellEnd"/>
      <w:proofErr w:type="gramEnd"/>
      <w:r w:rsidRPr="00F45585">
        <w:rPr>
          <w:sz w:val="24"/>
          <w:szCs w:val="24"/>
        </w:rPr>
        <w:t xml:space="preserve"> and </w:t>
      </w:r>
      <w:proofErr w:type="spellStart"/>
      <w:r w:rsidRPr="00F45585">
        <w:rPr>
          <w:sz w:val="24"/>
          <w:szCs w:val="24"/>
        </w:rPr>
        <w:t>Webers’</w:t>
      </w:r>
      <w:proofErr w:type="spellEnd"/>
      <w:r w:rsidRPr="00F45585">
        <w:rPr>
          <w:sz w:val="24"/>
          <w:szCs w:val="24"/>
        </w:rPr>
        <w:t xml:space="preserve"> conclusions that excluded all medieval mystics from their definition of mysticism and denied medieval women their world-oriented </w:t>
      </w:r>
      <w:proofErr w:type="spellStart"/>
      <w:r w:rsidRPr="00F45585">
        <w:rPr>
          <w:sz w:val="24"/>
          <w:szCs w:val="24"/>
        </w:rPr>
        <w:t>ascetism</w:t>
      </w:r>
      <w:proofErr w:type="spellEnd"/>
      <w:r w:rsidRPr="00F45585">
        <w:rPr>
          <w:sz w:val="24"/>
          <w:szCs w:val="24"/>
        </w:rPr>
        <w:t>; and Steinberg’s assertion that medieval and Renaissance artworks purpose was to emphasis Christ as fully male in gender and sexuality.</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proofErr w:type="spellStart"/>
      <w:r w:rsidRPr="00F45585">
        <w:rPr>
          <w:sz w:val="24"/>
          <w:szCs w:val="24"/>
          <w:lang w:val="pt-PT"/>
        </w:rPr>
        <w:t>Bynum</w:t>
      </w:r>
      <w:proofErr w:type="spellEnd"/>
      <w:r w:rsidRPr="00F45585">
        <w:rPr>
          <w:sz w:val="24"/>
          <w:szCs w:val="24"/>
          <w:lang w:val="pt-PT"/>
        </w:rPr>
        <w:t xml:space="preserve"> </w:t>
      </w:r>
      <w:proofErr w:type="spellStart"/>
      <w:r w:rsidRPr="00F45585">
        <w:rPr>
          <w:sz w:val="24"/>
          <w:szCs w:val="24"/>
          <w:lang w:val="pt-PT"/>
        </w:rPr>
        <w:t>challenges</w:t>
      </w:r>
      <w:proofErr w:type="spellEnd"/>
      <w:r w:rsidRPr="00F45585">
        <w:rPr>
          <w:sz w:val="24"/>
          <w:szCs w:val="24"/>
          <w:lang w:val="pt-PT"/>
        </w:rPr>
        <w:t xml:space="preserve"> </w:t>
      </w:r>
      <w:r w:rsidRPr="00F45585">
        <w:rPr>
          <w:sz w:val="24"/>
          <w:szCs w:val="24"/>
        </w:rPr>
        <w:t xml:space="preserve">the reader to look again at </w:t>
      </w:r>
      <w:proofErr w:type="spellStart"/>
      <w:r w:rsidRPr="00F45585">
        <w:rPr>
          <w:sz w:val="24"/>
          <w:szCs w:val="24"/>
        </w:rPr>
        <w:t>behaviour</w:t>
      </w:r>
      <w:proofErr w:type="spellEnd"/>
      <w:r w:rsidRPr="00F45585">
        <w:rPr>
          <w:sz w:val="24"/>
          <w:szCs w:val="24"/>
        </w:rPr>
        <w:t xml:space="preserve"> that we may label masochistic, pathological, repressed sexuality and instead ‘look with’ (47) rather than ‘look at’ medieval women.  This challenge is present in all her essays but particularly explicit in essays three and seven.   In essay three she challenges us not to see penis or breast as sexual organs or to </w:t>
      </w:r>
      <w:proofErr w:type="spellStart"/>
      <w:r w:rsidRPr="00F45585">
        <w:rPr>
          <w:sz w:val="24"/>
          <w:szCs w:val="24"/>
        </w:rPr>
        <w:t>eroticise</w:t>
      </w:r>
      <w:proofErr w:type="spellEnd"/>
      <w:r w:rsidRPr="00F45585">
        <w:rPr>
          <w:sz w:val="24"/>
          <w:szCs w:val="24"/>
        </w:rPr>
        <w:t xml:space="preserve"> stories such as “medieval nuns breathing deeply into their sisters’ mouths” (86) but to see the nurturing, suffering and regeneration that were their primary concerns.  In essay seven she draws a parallel between the seemingly bizarre questions medieval </w:t>
      </w:r>
      <w:r w:rsidRPr="00F45585">
        <w:rPr>
          <w:sz w:val="24"/>
          <w:szCs w:val="24"/>
        </w:rPr>
        <w:lastRenderedPageBreak/>
        <w:t xml:space="preserve">people asked about re-assemblage and reconstitution of body parts and modern debates about tele-transportation, brain/body transplant and alien body invasion (248 - 252).  Again, she challenges us to ‘look with’ so we might draw parallels between </w:t>
      </w:r>
      <w:proofErr w:type="spellStart"/>
      <w:r w:rsidRPr="00F45585">
        <w:rPr>
          <w:sz w:val="24"/>
          <w:szCs w:val="24"/>
          <w:lang w:val="fr-FR"/>
        </w:rPr>
        <w:t>our</w:t>
      </w:r>
      <w:proofErr w:type="spellEnd"/>
      <w:r w:rsidRPr="00F45585">
        <w:rPr>
          <w:sz w:val="24"/>
          <w:szCs w:val="24"/>
          <w:lang w:val="fr-FR"/>
        </w:rPr>
        <w:t xml:space="preserve"> </w:t>
      </w:r>
      <w:r w:rsidRPr="00F45585">
        <w:rPr>
          <w:sz w:val="24"/>
          <w:szCs w:val="24"/>
        </w:rPr>
        <w:t>modern concerns about personal identity and survival in their questions.</w:t>
      </w:r>
    </w:p>
    <w:p w:rsidR="00704A87" w:rsidRPr="00F45585" w:rsidRDefault="00704A87">
      <w:pPr>
        <w:pStyle w:val="Body"/>
        <w:spacing w:line="360" w:lineRule="auto"/>
        <w:jc w:val="both"/>
        <w:rPr>
          <w:sz w:val="24"/>
          <w:szCs w:val="24"/>
        </w:rPr>
      </w:pPr>
    </w:p>
    <w:p w:rsidR="00704A87" w:rsidRPr="00F45585" w:rsidRDefault="002178CE">
      <w:pPr>
        <w:pStyle w:val="Body"/>
        <w:spacing w:line="360" w:lineRule="auto"/>
        <w:jc w:val="both"/>
        <w:rPr>
          <w:sz w:val="24"/>
          <w:szCs w:val="24"/>
        </w:rPr>
      </w:pPr>
      <w:r w:rsidRPr="00F45585">
        <w:rPr>
          <w:sz w:val="24"/>
          <w:szCs w:val="24"/>
        </w:rPr>
        <w:t xml:space="preserve">In concluding this </w:t>
      </w:r>
      <w:proofErr w:type="gramStart"/>
      <w:r w:rsidRPr="00F45585">
        <w:rPr>
          <w:sz w:val="24"/>
          <w:szCs w:val="24"/>
        </w:rPr>
        <w:t>review</w:t>
      </w:r>
      <w:proofErr w:type="gramEnd"/>
      <w:r w:rsidRPr="00F45585">
        <w:rPr>
          <w:sz w:val="24"/>
          <w:szCs w:val="24"/>
        </w:rPr>
        <w:t xml:space="preserve"> I suggest that Bynum was reframing medieval religion and in particular, the practices of religious women to redeem them, from us, the modern theoretician, philosopher or layperson.  From our fragmented and distorted perspectives, that perceive medieval women’s ascetic practices as attempts to destroy or punish the body, to sublimate sexual feelings, as only world rejecting.   In doing so we miss these women’s self-determination, in the face of attitudes that deprived them of ecclesiastical roles they found power in their weakness, a power which meant they could </w:t>
      </w:r>
      <w:proofErr w:type="spellStart"/>
      <w:r w:rsidRPr="00F45585">
        <w:rPr>
          <w:sz w:val="24"/>
          <w:szCs w:val="24"/>
        </w:rPr>
        <w:t>criticise</w:t>
      </w:r>
      <w:proofErr w:type="spellEnd"/>
      <w:r w:rsidRPr="00F45585">
        <w:rPr>
          <w:sz w:val="24"/>
          <w:szCs w:val="24"/>
        </w:rPr>
        <w:t xml:space="preserve"> the clergy, that they could even inspire them and guide them.   That despite the misogynistic attitudes they came together in free groups and through their world-rejecting and world-embracing mysticism and ascetic practices they influenced both Christianity and the Reformation.  In showing these alternative perspectives a fuller picture emerges, one which is the possibility of redemption.</w:t>
      </w:r>
    </w:p>
    <w:p w:rsidR="006F05A1" w:rsidRPr="00F45585" w:rsidRDefault="006F05A1">
      <w:pPr>
        <w:pStyle w:val="Body"/>
        <w:spacing w:line="360" w:lineRule="auto"/>
        <w:jc w:val="both"/>
        <w:rPr>
          <w:sz w:val="24"/>
          <w:szCs w:val="24"/>
        </w:rPr>
      </w:pPr>
    </w:p>
    <w:p w:rsidR="006F05A1" w:rsidRPr="00F45585" w:rsidRDefault="006F05A1">
      <w:pPr>
        <w:pStyle w:val="Body"/>
        <w:spacing w:line="360" w:lineRule="auto"/>
        <w:jc w:val="both"/>
        <w:rPr>
          <w:sz w:val="24"/>
          <w:szCs w:val="24"/>
        </w:rPr>
      </w:pPr>
      <w:r w:rsidRPr="00F45585">
        <w:rPr>
          <w:sz w:val="24"/>
          <w:szCs w:val="24"/>
        </w:rPr>
        <w:t>1,254</w:t>
      </w:r>
    </w:p>
    <w:sectPr w:rsidR="006F05A1" w:rsidRPr="00F45585">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6DFF" w:rsidRDefault="00F26DFF">
      <w:r>
        <w:separator/>
      </w:r>
    </w:p>
  </w:endnote>
  <w:endnote w:type="continuationSeparator" w:id="0">
    <w:p w:rsidR="00F26DFF" w:rsidRDefault="00F26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0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4A87" w:rsidRDefault="00704A8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6DFF" w:rsidRDefault="00F26DFF">
      <w:r>
        <w:separator/>
      </w:r>
    </w:p>
  </w:footnote>
  <w:footnote w:type="continuationSeparator" w:id="0">
    <w:p w:rsidR="00F26DFF" w:rsidRDefault="00F26D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4A87" w:rsidRDefault="00704A8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3F7BB1"/>
    <w:multiLevelType w:val="hybridMultilevel"/>
    <w:tmpl w:val="07267FE0"/>
    <w:lvl w:ilvl="0" w:tplc="5DE0E81C">
      <w:numFmt w:val="bullet"/>
      <w:lvlText w:val=""/>
      <w:lvlJc w:val="left"/>
      <w:pPr>
        <w:ind w:left="720" w:hanging="360"/>
      </w:pPr>
      <w:rPr>
        <w:rFonts w:ascii="Symbol" w:eastAsia="Arial Unicode MS" w:hAnsi="Symbol" w:cs="Arial Unicode M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A87"/>
    <w:rsid w:val="002178CE"/>
    <w:rsid w:val="006F05A1"/>
    <w:rsid w:val="00704A87"/>
    <w:rsid w:val="00F26DFF"/>
    <w:rsid w:val="00F45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43961"/>
  <w15:docId w15:val="{01BAE90F-2792-BB47-9A02-FF13B3F21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1263</Words>
  <Characters>7203</Characters>
  <Application>Microsoft Office Word</Application>
  <DocSecurity>0</DocSecurity>
  <Lines>60</Lines>
  <Paragraphs>16</Paragraphs>
  <ScaleCrop>false</ScaleCrop>
  <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Hayley Stevens (1802900)</cp:lastModifiedBy>
  <cp:revision>3</cp:revision>
  <dcterms:created xsi:type="dcterms:W3CDTF">2018-03-27T14:04:00Z</dcterms:created>
  <dcterms:modified xsi:type="dcterms:W3CDTF">2018-03-27T14:10:00Z</dcterms:modified>
</cp:coreProperties>
</file>