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DBDDB" w14:textId="77777777" w:rsidR="009F60C4" w:rsidRDefault="009F60C4" w:rsidP="009F60C4">
      <w:r>
        <w:t>Does quasi-realism successfully account for the realist-seeming nature of our moral practices?</w:t>
      </w:r>
    </w:p>
    <w:p w14:paraId="43B97464" w14:textId="77777777" w:rsidR="009F60C4" w:rsidRDefault="009F60C4" w:rsidP="009F60C4"/>
    <w:p w14:paraId="3CB30781" w14:textId="77777777" w:rsidR="009F60C4" w:rsidRDefault="009F60C4" w:rsidP="009F60C4"/>
    <w:p w14:paraId="3B33BE46" w14:textId="5E0B51E8" w:rsidR="009F60C4" w:rsidRPr="007562D4" w:rsidRDefault="009F60C4" w:rsidP="009F60C4">
      <w:r w:rsidRPr="007562D4">
        <w:t xml:space="preserve">Quasi realism uses </w:t>
      </w:r>
      <w:proofErr w:type="gramStart"/>
      <w:r w:rsidRPr="007562D4">
        <w:t xml:space="preserve">non </w:t>
      </w:r>
      <w:r w:rsidR="00B00801" w:rsidRPr="007562D4">
        <w:t>cognitivism</w:t>
      </w:r>
      <w:proofErr w:type="gramEnd"/>
      <w:r w:rsidRPr="007562D4">
        <w:t xml:space="preserve"> as a starting point but what separates it’s aspirations to explain the realist features of our moral practices and how it is useful to think of a morality as if it were in fact, real whilst simultaneously recognising the metaphysical anti-realist sense in which morality really exists</w:t>
      </w:r>
      <w:r w:rsidR="00A45855">
        <w:rPr>
          <w:rStyle w:val="FootnoteReference"/>
        </w:rPr>
        <w:footnoteReference w:id="1"/>
      </w:r>
      <w:r w:rsidRPr="007562D4">
        <w:t xml:space="preserve">. It seeks to resemble realism without </w:t>
      </w:r>
      <w:proofErr w:type="gramStart"/>
      <w:r w:rsidRPr="007562D4">
        <w:t>actua</w:t>
      </w:r>
      <w:bookmarkStart w:id="0" w:name="_GoBack"/>
      <w:bookmarkEnd w:id="0"/>
      <w:r w:rsidRPr="007562D4">
        <w:t>lly being</w:t>
      </w:r>
      <w:proofErr w:type="gramEnd"/>
      <w:r w:rsidRPr="007562D4">
        <w:t xml:space="preserve"> realism. It believes that whenever we express a view with a moral point </w:t>
      </w:r>
      <w:proofErr w:type="gramStart"/>
      <w:r w:rsidRPr="007562D4">
        <w:t>of  view</w:t>
      </w:r>
      <w:proofErr w:type="gramEnd"/>
      <w:r w:rsidRPr="007562D4">
        <w:t>, we are merely expressing the way we feel, an emotion</w:t>
      </w:r>
      <w:r w:rsidR="00AD6F92">
        <w:t>.</w:t>
      </w:r>
      <w:r w:rsidRPr="007562D4">
        <w:t xml:space="preserve"> In this sense, it is identical to </w:t>
      </w:r>
      <w:r w:rsidR="00B00801" w:rsidRPr="007562D4">
        <w:t>non-cognitivism</w:t>
      </w:r>
      <w:r w:rsidR="00AD6F92">
        <w:rPr>
          <w:rStyle w:val="FootnoteReference"/>
        </w:rPr>
        <w:footnoteReference w:id="2"/>
      </w:r>
      <w:r w:rsidRPr="007562D4">
        <w:t>. Blackburn however recognised the ways in which our moral practices, encompassing our decision making and actions, seem to be based upon an objective sense in which the rightness or wrongness can be derived and seem real. Blackburn does not believe in the realness of morality in the sense of appealing to moral properties or even in in such a way that would point towards an expression of morality in empiricism.  The true form of realism was however to be rejected because of three main reasons.</w:t>
      </w:r>
    </w:p>
    <w:p w14:paraId="4B17582C" w14:textId="3CE344A7" w:rsidR="009F60C4" w:rsidRDefault="009F60C4" w:rsidP="009F60C4">
      <w:r>
        <w:t xml:space="preserve">The </w:t>
      </w:r>
      <w:proofErr w:type="spellStart"/>
      <w:r>
        <w:t>Frege</w:t>
      </w:r>
      <w:proofErr w:type="spellEnd"/>
      <w:r>
        <w:t xml:space="preserve"> </w:t>
      </w:r>
      <w:proofErr w:type="spellStart"/>
      <w:r>
        <w:t>Geach</w:t>
      </w:r>
      <w:proofErr w:type="spellEnd"/>
      <w:r>
        <w:t xml:space="preserve"> problem</w:t>
      </w:r>
      <w:r w:rsidR="00995B87">
        <w:t xml:space="preserve">, a classic challenge to </w:t>
      </w:r>
      <w:proofErr w:type="spellStart"/>
      <w:proofErr w:type="gramStart"/>
      <w:r w:rsidR="00995B87">
        <w:t xml:space="preserve">non </w:t>
      </w:r>
      <w:r w:rsidR="00B00801">
        <w:t>cognitivism</w:t>
      </w:r>
      <w:proofErr w:type="spellEnd"/>
      <w:proofErr w:type="gramEnd"/>
      <w:r>
        <w:t xml:space="preserve"> recognise</w:t>
      </w:r>
      <w:r w:rsidR="00995B87">
        <w:t>d the issue</w:t>
      </w:r>
      <w:r>
        <w:t xml:space="preserve"> </w:t>
      </w:r>
      <w:r w:rsidR="00995B87">
        <w:t>of</w:t>
      </w:r>
      <w:r>
        <w:t xml:space="preserve"> variation of moral terms depending on the assertion or </w:t>
      </w:r>
      <w:r w:rsidR="00B00801">
        <w:t>non-assertion</w:t>
      </w:r>
      <w:r>
        <w:t xml:space="preserve"> of the claims used. Instinctively here, however, we can already see a problem.  When we think and reflect upon how we do use morality in our everyday language, we can see that this variation does not occur because whether or not we express </w:t>
      </w:r>
      <w:r w:rsidR="00DF5C5A">
        <w:t>an attitude or feeling towards and action,</w:t>
      </w:r>
      <w:r>
        <w:t xml:space="preserve"> </w:t>
      </w:r>
      <w:r w:rsidR="00AD6F92">
        <w:t xml:space="preserve">not only </w:t>
      </w:r>
      <w:r>
        <w:t>does</w:t>
      </w:r>
      <w:r w:rsidR="00AD6F92">
        <w:t xml:space="preserve"> this</w:t>
      </w:r>
      <w:r>
        <w:t xml:space="preserve"> not change the status of a moral property, if such properties did exist</w:t>
      </w:r>
      <w:r w:rsidR="00AD6F92">
        <w:t xml:space="preserve"> bu</w:t>
      </w:r>
      <w:r>
        <w:t xml:space="preserve">t </w:t>
      </w:r>
      <w:r w:rsidR="00AD6F92">
        <w:t xml:space="preserve">it </w:t>
      </w:r>
      <w:r>
        <w:t xml:space="preserve">also simply runs the risk of seeming to imply that morality is dependent upon whether or not we assert a belief or vocalise out attitudes, even though this is not the </w:t>
      </w:r>
      <w:r w:rsidR="00B00801">
        <w:t>non-cognitivist</w:t>
      </w:r>
      <w:r>
        <w:t xml:space="preserve"> position</w:t>
      </w:r>
      <w:r w:rsidR="00AD6F92">
        <w:rPr>
          <w:rStyle w:val="FootnoteReference"/>
        </w:rPr>
        <w:footnoteReference w:id="3"/>
      </w:r>
      <w:r>
        <w:t xml:space="preserve">. The </w:t>
      </w:r>
      <w:proofErr w:type="spellStart"/>
      <w:proofErr w:type="gramStart"/>
      <w:r>
        <w:t>non cognitivist</w:t>
      </w:r>
      <w:proofErr w:type="spellEnd"/>
      <w:proofErr w:type="gramEnd"/>
      <w:r>
        <w:t xml:space="preserve"> believes that ethical sentences cannot be true or false and to know of morality objectively is somewhat impossible. If we hold tightly to </w:t>
      </w:r>
      <w:r w:rsidR="00DF5C5A">
        <w:t>the view that how we apply our moral senses has no relation to asserting anything,</w:t>
      </w:r>
      <w:r>
        <w:t xml:space="preserve"> then this would undermine non-cognitivism significantly</w:t>
      </w:r>
      <w:r w:rsidR="00AD6F92">
        <w:rPr>
          <w:rStyle w:val="FootnoteReference"/>
        </w:rPr>
        <w:footnoteReference w:id="4"/>
      </w:r>
      <w:r>
        <w:t xml:space="preserve">. </w:t>
      </w:r>
      <w:r w:rsidR="00DF5C5A">
        <w:t xml:space="preserve">We should at least be able to form </w:t>
      </w:r>
      <w:proofErr w:type="gramStart"/>
      <w:r w:rsidR="00DF5C5A">
        <w:t>some kind of consensus</w:t>
      </w:r>
      <w:proofErr w:type="gramEnd"/>
      <w:r w:rsidR="00DF5C5A">
        <w:t xml:space="preserve"> about the limitation of non -</w:t>
      </w:r>
      <w:r w:rsidR="00B00801">
        <w:t>cognitivism</w:t>
      </w:r>
      <w:r w:rsidR="00DF5C5A">
        <w:t xml:space="preserve"> in the context of </w:t>
      </w:r>
      <w:r w:rsidR="00B00801">
        <w:t>its</w:t>
      </w:r>
      <w:r w:rsidR="00DF5C5A">
        <w:t xml:space="preserve"> practical application. The </w:t>
      </w:r>
      <w:r w:rsidR="00B00801">
        <w:t>non-cognitivist</w:t>
      </w:r>
      <w:r w:rsidR="00DF5C5A">
        <w:t xml:space="preserve"> could perhaps dispute this and claim that the theory does not assume that morality is not real, simply that we can not find it and explain. </w:t>
      </w:r>
      <w:r w:rsidR="00FF4616">
        <w:t>There may indeed be no purpose to the attempt to explain it because to do so would be to reduce it to a set of abstractions or properties that are too “queer” or instead to other assumed premises that form the basis for the utilitarian view that whatever is pleasurable is good, as em</w:t>
      </w:r>
      <w:r w:rsidR="00560AE1">
        <w:t>p</w:t>
      </w:r>
      <w:r w:rsidR="00FF4616">
        <w:t>hasised by GE Moore’s open question argument</w:t>
      </w:r>
      <w:r w:rsidR="00AD6F92">
        <w:t>.</w:t>
      </w:r>
    </w:p>
    <w:p w14:paraId="599E7A88" w14:textId="0A60564B" w:rsidR="009F60C4" w:rsidRDefault="009F60C4" w:rsidP="009F60C4">
      <w:r>
        <w:lastRenderedPageBreak/>
        <w:t xml:space="preserve">Blackburn constantly revised his position to the </w:t>
      </w:r>
      <w:proofErr w:type="spellStart"/>
      <w:r>
        <w:t>Frege-Geach</w:t>
      </w:r>
      <w:proofErr w:type="spellEnd"/>
      <w:r>
        <w:t xml:space="preserve"> problem. One way in which he attempted to get around this problem was through the concept of sensibility</w:t>
      </w:r>
      <w:r w:rsidR="00AD6F92">
        <w:rPr>
          <w:rStyle w:val="FootnoteReference"/>
        </w:rPr>
        <w:footnoteReference w:id="5"/>
      </w:r>
      <w:r>
        <w:t>. He differentiates between sensibilities and attitudes. The main thrust of his argument is that what we would consider moral is dependent on whether our sensibilities allow for a set of attitudes that allow for consistency in somebody’s moral judgements.  He defines “the best possible set of attitudes” as what results from an active effort to improve our sensibilities</w:t>
      </w:r>
      <w:r w:rsidR="00C62DBC">
        <w:rPr>
          <w:rStyle w:val="FootnoteReference"/>
        </w:rPr>
        <w:footnoteReference w:id="6"/>
      </w:r>
      <w:r>
        <w:t xml:space="preserve">. Our sensibilities trigger our attitudes. A sensibility in which leads people to be consistent and non-contradictory in our reactions to situations is a morally desirable one.  One that is not consistent is what Blackburn called a “fractured sensibility”. For the </w:t>
      </w:r>
      <w:proofErr w:type="spellStart"/>
      <w:proofErr w:type="gramStart"/>
      <w:r>
        <w:t>non cognitivist</w:t>
      </w:r>
      <w:proofErr w:type="spellEnd"/>
      <w:proofErr w:type="gramEnd"/>
      <w:r>
        <w:t xml:space="preserve"> then, there is no need to justify morality, talk about morality with regards concepts like truth and validity</w:t>
      </w:r>
      <w:r w:rsidR="00560AE1">
        <w:t xml:space="preserve">, only to mental states. </w:t>
      </w:r>
      <w:r>
        <w:t xml:space="preserve">There is a certain kind of validity we can conceive of however, for Blackburn but it is a validity about having a </w:t>
      </w:r>
      <w:proofErr w:type="spellStart"/>
      <w:proofErr w:type="gramStart"/>
      <w:r>
        <w:t>non fractured</w:t>
      </w:r>
      <w:proofErr w:type="spellEnd"/>
      <w:proofErr w:type="gramEnd"/>
      <w:r>
        <w:t>, consistent moral sensibility</w:t>
      </w:r>
      <w:r w:rsidR="00AD6F92">
        <w:rPr>
          <w:rStyle w:val="FootnoteReference"/>
        </w:rPr>
        <w:footnoteReference w:id="7"/>
      </w:r>
      <w:r>
        <w:t>.</w:t>
      </w:r>
    </w:p>
    <w:p w14:paraId="2FCF987C" w14:textId="02A3CF37" w:rsidR="009F60C4" w:rsidRDefault="009F60C4" w:rsidP="009F60C4">
      <w:r>
        <w:t>The way that Blackburn attempts to account for his view to a realist account of morality on non-cognitive premises is through the development of moral predicates</w:t>
      </w:r>
      <w:r w:rsidR="00AD6F92">
        <w:t>. Such predicates were necessary features that quasi-realism needed to feature so that</w:t>
      </w:r>
      <w:r w:rsidR="00995B87">
        <w:t xml:space="preserve"> the expressivist language of non </w:t>
      </w:r>
      <w:proofErr w:type="spellStart"/>
      <w:r w:rsidR="00995B87">
        <w:t>cognitvism</w:t>
      </w:r>
      <w:proofErr w:type="spellEnd"/>
      <w:r w:rsidR="00995B87">
        <w:t xml:space="preserve"> could be associated with realism, to evolve it. </w:t>
      </w:r>
      <w:r w:rsidR="00AD6F92">
        <w:t>The broader</w:t>
      </w:r>
      <w:r w:rsidR="00995B87">
        <w:t>, more obvious</w:t>
      </w:r>
      <w:r w:rsidR="00AD6F92">
        <w:t xml:space="preserve"> point to be made here is that</w:t>
      </w:r>
      <w:r>
        <w:t xml:space="preserve"> </w:t>
      </w:r>
      <w:proofErr w:type="gramStart"/>
      <w:r w:rsidR="00AD6F92">
        <w:t>i</w:t>
      </w:r>
      <w:r>
        <w:t>n order for</w:t>
      </w:r>
      <w:proofErr w:type="gramEnd"/>
      <w:r>
        <w:t xml:space="preserve"> the way we use moral language to be somewhat legitimate in the sense that it must properly function, we must use realist language</w:t>
      </w:r>
      <w:r w:rsidR="00AD6F92">
        <w:rPr>
          <w:rStyle w:val="FootnoteReference"/>
        </w:rPr>
        <w:footnoteReference w:id="8"/>
      </w:r>
      <w:r>
        <w:t xml:space="preserve">. What Blackburn is appealing to here is the practical need to use language that relates to how we already experience the world. It is not useful in life to talk of morality as if it were an abstraction because this would detract from the how we really do perceive morality. We must talk of morality as </w:t>
      </w:r>
      <w:r w:rsidR="00AD6F92">
        <w:t xml:space="preserve">if it is </w:t>
      </w:r>
      <w:r>
        <w:t xml:space="preserve">real for us to function our conceptions of what is and not meaningful </w:t>
      </w:r>
      <w:r w:rsidR="00AD6F92">
        <w:t>in our own way</w:t>
      </w:r>
      <w:r>
        <w:t xml:space="preserve">. </w:t>
      </w:r>
    </w:p>
    <w:p w14:paraId="4A19A829" w14:textId="485DFF2B" w:rsidR="009F60C4" w:rsidRDefault="009F60C4" w:rsidP="009F60C4">
      <w:r>
        <w:t xml:space="preserve">One huge problem for realism is that there is an over reliance on moral properties and how we </w:t>
      </w:r>
      <w:proofErr w:type="gramStart"/>
      <w:r>
        <w:t>are able to</w:t>
      </w:r>
      <w:proofErr w:type="gramEnd"/>
      <w:r>
        <w:t xml:space="preserve"> conceive of them. This already reduces realism to being non-economical because contrasted to non-cognitivism, it does not over assume but </w:t>
      </w:r>
      <w:proofErr w:type="gramStart"/>
      <w:r>
        <w:t>non cognitivism</w:t>
      </w:r>
      <w:proofErr w:type="gramEnd"/>
      <w:r>
        <w:t xml:space="preserve"> only requires the world as it is, a natural world and people’s non cognitive states as a reactors to this natural world</w:t>
      </w:r>
      <w:r w:rsidR="00AD6F92">
        <w:rPr>
          <w:rStyle w:val="FootnoteReference"/>
        </w:rPr>
        <w:footnoteReference w:id="9"/>
      </w:r>
      <w:r>
        <w:t xml:space="preserve">. For the realist, it cannot simply be that humans do not operate on some communicate level that involves he/she </w:t>
      </w:r>
      <w:proofErr w:type="gramStart"/>
      <w:r>
        <w:t>inserting</w:t>
      </w:r>
      <w:proofErr w:type="gramEnd"/>
      <w:r>
        <w:t xml:space="preserve"> themselves into the world and forcing themselves into assuming a full, active role in the reciprocal nature of such moral actions and judgements. In some ways, this is preferable to realism in the sense there is not the problem that moral properties are there to be perceived not matte</w:t>
      </w:r>
      <w:r w:rsidR="00876870">
        <w:t>r</w:t>
      </w:r>
      <w:r>
        <w:t xml:space="preserve"> how abstract they appear to be. If these properties do exist, it makes more sense that we should be able to derive them and assume a view of a matter or situation that he/she would not have seen the same way had they not derived from these properties. But we know this is not the case since humans do ponder the nature of morality and don’t perceive in the same way. Blackburn wants to account for this flaw or drawback of realism hence why he does not subscribe to realism in it’s true </w:t>
      </w:r>
      <w:proofErr w:type="gramStart"/>
      <w:r>
        <w:t>form</w:t>
      </w:r>
      <w:proofErr w:type="gramEnd"/>
      <w:r>
        <w:t xml:space="preserve"> but he also does not wish to detract from the emotional force of an objective reality and it’s practical use and certainly acknowledges there are issues with assuming a passive natural world, in which all we do is react via non cognitive states, by the way of simple attitude expressing. </w:t>
      </w:r>
    </w:p>
    <w:p w14:paraId="65DB7736" w14:textId="414AEF95" w:rsidR="009F60C4" w:rsidRDefault="009F60C4" w:rsidP="009F60C4">
      <w:r>
        <w:lastRenderedPageBreak/>
        <w:t xml:space="preserve">The </w:t>
      </w:r>
      <w:proofErr w:type="spellStart"/>
      <w:proofErr w:type="gramStart"/>
      <w:r>
        <w:t>non cognitivist</w:t>
      </w:r>
      <w:proofErr w:type="spellEnd"/>
      <w:proofErr w:type="gramEnd"/>
      <w:r>
        <w:t xml:space="preserve"> has a position in regard to the role that both belief and desire play in moral decisions and how they relate to what motivates us</w:t>
      </w:r>
      <w:r w:rsidR="0033743F">
        <w:t xml:space="preserve"> that Blackburn also associates himself with.</w:t>
      </w:r>
      <w:r>
        <w:t xml:space="preserve"> Beliefs cannot entail desires and desires are what motivate us to act. Moral judgements are expressions of desires and therefore, we can believe something without being motivated to act. This is the case for motivational </w:t>
      </w:r>
      <w:proofErr w:type="spellStart"/>
      <w:r>
        <w:t>internalism</w:t>
      </w:r>
      <w:proofErr w:type="spellEnd"/>
      <w:r>
        <w:t>. Over realism, this cannot account for it</w:t>
      </w:r>
      <w:r w:rsidR="00C62DBC">
        <w:rPr>
          <w:rStyle w:val="FootnoteReference"/>
        </w:rPr>
        <w:footnoteReference w:id="10"/>
      </w:r>
      <w:r>
        <w:t>.</w:t>
      </w:r>
    </w:p>
    <w:p w14:paraId="26FB5C3E" w14:textId="54A13AEA" w:rsidR="006D7A10" w:rsidRDefault="009F60C4" w:rsidP="009F60C4">
      <w:proofErr w:type="spellStart"/>
      <w:r>
        <w:t>Supervenience</w:t>
      </w:r>
      <w:proofErr w:type="spellEnd"/>
      <w:r>
        <w:t xml:space="preserve">, for Blackburn, is essential for any moral system. This includes non-cognitivism if it is true but the argument for quasi-realism over realism or </w:t>
      </w:r>
      <w:proofErr w:type="spellStart"/>
      <w:r>
        <w:t>non cognitivism</w:t>
      </w:r>
      <w:proofErr w:type="spellEnd"/>
      <w:r>
        <w:t xml:space="preserve"> is dependent upon whether it can successfully explain it</w:t>
      </w:r>
      <w:r w:rsidR="00C62DBC">
        <w:t xml:space="preserve"> which Blackburn believed it could due to the constraints upon expressing a view</w:t>
      </w:r>
      <w:r w:rsidR="006D7A10">
        <w:t xml:space="preserve"> because in doing so, there is an intrinsic respect to </w:t>
      </w:r>
      <w:proofErr w:type="spellStart"/>
      <w:r w:rsidR="006D7A10">
        <w:t>supervenience</w:t>
      </w:r>
      <w:proofErr w:type="spellEnd"/>
      <w:r w:rsidR="006D7A10">
        <w:t xml:space="preserve"> because if there wasn’t, we would be treating cases which we would normally think of as the same as having differing moral value in the sense that different moral evaluative conclusions would be drawn</w:t>
      </w:r>
      <w:r w:rsidR="006D7A10">
        <w:rPr>
          <w:rStyle w:val="FootnoteReference"/>
        </w:rPr>
        <w:footnoteReference w:id="11"/>
      </w:r>
      <w:r w:rsidR="006D7A10">
        <w:t>.</w:t>
      </w:r>
    </w:p>
    <w:p w14:paraId="104DB66F" w14:textId="6F957798" w:rsidR="009F60C4" w:rsidRDefault="009F60C4" w:rsidP="009F60C4">
      <w:r>
        <w:t>Our moral sensibilities and reflections allow for us to project moral realities which for Blackburn is hugely important to ma</w:t>
      </w:r>
      <w:r w:rsidR="007D6901">
        <w:t>i</w:t>
      </w:r>
      <w:r>
        <w:t>ntain. Contrasted to Mackie’s error theory which seems to imply that the need for discussion, consensus and improvement of all sensibilities can simply be abandoned, these needs are regarded by quasi-realism as central to performing morality’s function</w:t>
      </w:r>
      <w:r w:rsidR="006D7A10">
        <w:rPr>
          <w:rStyle w:val="FootnoteReference"/>
        </w:rPr>
        <w:footnoteReference w:id="12"/>
      </w:r>
      <w:r>
        <w:t>. Despite this, Blackburn does retain the fundamental tenets of anti-realism but what makes Mackie’s more sophisticated is the difference between how Blackburn and Mackie consider the way in which are values are projected – Mackie was too hugely influenced by various psychological, social and biological phenomena which errors the way we evaluate our moral decisions</w:t>
      </w:r>
      <w:r w:rsidR="006D7A10">
        <w:rPr>
          <w:rStyle w:val="FootnoteReference"/>
        </w:rPr>
        <w:footnoteReference w:id="13"/>
      </w:r>
      <w:r>
        <w:t>.</w:t>
      </w:r>
    </w:p>
    <w:p w14:paraId="02F41802" w14:textId="687F7F57" w:rsidR="009F60C4" w:rsidRDefault="009F60C4" w:rsidP="009F60C4">
      <w:r>
        <w:t xml:space="preserve">It is helpful to explain the quasi realist position </w:t>
      </w:r>
      <w:proofErr w:type="gramStart"/>
      <w:r>
        <w:t>in reference to</w:t>
      </w:r>
      <w:proofErr w:type="gramEnd"/>
      <w:r>
        <w:t xml:space="preserve"> two levels of moral discourse the quasi realist supposedly takes, at least according t</w:t>
      </w:r>
      <w:r w:rsidR="00633FC0">
        <w:t>o David Ferguson</w:t>
      </w:r>
      <w:r w:rsidR="00876870">
        <w:rPr>
          <w:rStyle w:val="FootnoteReference"/>
        </w:rPr>
        <w:footnoteReference w:id="14"/>
      </w:r>
      <w:r w:rsidR="00633FC0">
        <w:t>.</w:t>
      </w:r>
      <w:r>
        <w:t xml:space="preserve"> At the first order level, there is a tendency in which intactness is reserved for realism but by the second order level, this is completely eschewed. Because Blackburn can appreciate the explanatory power that realism has, in the sense that it can account for why humans can feel so firmly grounded in their morality and values that they seem simply unbreakable, he wants to be able to harness this with the simplicity, the metaphysical simplicity of </w:t>
      </w:r>
      <w:proofErr w:type="spellStart"/>
      <w:r>
        <w:t>projectivism</w:t>
      </w:r>
      <w:proofErr w:type="spellEnd"/>
      <w:r w:rsidR="00876870">
        <w:rPr>
          <w:rStyle w:val="FootnoteReference"/>
        </w:rPr>
        <w:footnoteReference w:id="15"/>
      </w:r>
      <w:r>
        <w:t>. Contrasted with what</w:t>
      </w:r>
      <w:r w:rsidR="00633FC0">
        <w:t xml:space="preserve"> David Fergusson</w:t>
      </w:r>
      <w:r>
        <w:t xml:space="preserve"> considers the </w:t>
      </w:r>
      <w:r w:rsidR="00633FC0">
        <w:t>“</w:t>
      </w:r>
      <w:r>
        <w:t xml:space="preserve">metaphysical </w:t>
      </w:r>
      <w:r w:rsidR="00633FC0">
        <w:t>encumbrance”</w:t>
      </w:r>
      <w:r>
        <w:t xml:space="preserve"> of realism that is unnecessary, this seems to the quasi-realist to be a successful compatibilist theory that </w:t>
      </w:r>
      <w:r w:rsidR="00876870">
        <w:t xml:space="preserve">still somewhat manages to </w:t>
      </w:r>
      <w:r>
        <w:t>acknowledge the features of moral phenomenology that the realist wants to point towards</w:t>
      </w:r>
      <w:r w:rsidR="00876870">
        <w:t>.</w:t>
      </w:r>
    </w:p>
    <w:p w14:paraId="5BCBC60E" w14:textId="565B4762" w:rsidR="009F60C4" w:rsidRDefault="009F60C4" w:rsidP="009F60C4">
      <w:r>
        <w:t>Blackburn considered an essentially realist account of morality to be simply too obscure</w:t>
      </w:r>
      <w:r w:rsidR="00560AE1">
        <w:t xml:space="preserve">, </w:t>
      </w:r>
      <w:proofErr w:type="gramStart"/>
      <w:r w:rsidR="00560AE1">
        <w:t>similar to</w:t>
      </w:r>
      <w:proofErr w:type="gramEnd"/>
      <w:r w:rsidR="00560AE1">
        <w:t xml:space="preserve"> J </w:t>
      </w:r>
      <w:r w:rsidR="00B00801">
        <w:t>L</w:t>
      </w:r>
      <w:r w:rsidR="00560AE1">
        <w:t xml:space="preserve"> Mackie.</w:t>
      </w:r>
      <w:r>
        <w:t xml:space="preserve">  </w:t>
      </w:r>
      <w:proofErr w:type="gramStart"/>
      <w:r>
        <w:t>However</w:t>
      </w:r>
      <w:proofErr w:type="gramEnd"/>
      <w:r>
        <w:t xml:space="preserve"> if we could also level the same criticism at Hume – his subscription to </w:t>
      </w:r>
      <w:proofErr w:type="spellStart"/>
      <w:r>
        <w:t>projectivism</w:t>
      </w:r>
      <w:proofErr w:type="spellEnd"/>
      <w:r>
        <w:t xml:space="preserve"> would allow for too much influence over the mind</w:t>
      </w:r>
      <w:r w:rsidR="00633FC0">
        <w:t>, a</w:t>
      </w:r>
      <w:r>
        <w:t xml:space="preserve"> criticism</w:t>
      </w:r>
      <w:r w:rsidR="00633FC0">
        <w:t xml:space="preserve"> that</w:t>
      </w:r>
      <w:r>
        <w:t xml:space="preserve"> has been described </w:t>
      </w:r>
      <w:r>
        <w:lastRenderedPageBreak/>
        <w:t xml:space="preserve">as “staining and gliding with </w:t>
      </w:r>
      <w:r w:rsidR="00633FC0">
        <w:t>t</w:t>
      </w:r>
      <w:r>
        <w:t>he colours of the mind”</w:t>
      </w:r>
      <w:r w:rsidR="00876870">
        <w:rPr>
          <w:rStyle w:val="FootnoteReference"/>
        </w:rPr>
        <w:footnoteReference w:id="16"/>
      </w:r>
      <w:r>
        <w:t>. The idea is essentially that it is simply too clinical in describing the when, how and what relating to the processes in which moral decisions are undertaken</w:t>
      </w:r>
      <w:r w:rsidR="00633FC0">
        <w:t xml:space="preserve">, as is not </w:t>
      </w:r>
      <w:proofErr w:type="spellStart"/>
      <w:r w:rsidR="00633FC0">
        <w:t>suprising</w:t>
      </w:r>
      <w:proofErr w:type="spellEnd"/>
      <w:r w:rsidR="00633FC0">
        <w:t xml:space="preserve"> from Hume</w:t>
      </w:r>
      <w:r w:rsidR="00876870">
        <w:rPr>
          <w:rStyle w:val="FootnoteReference"/>
        </w:rPr>
        <w:footnoteReference w:id="17"/>
      </w:r>
      <w:r w:rsidR="00633FC0">
        <w:t>.</w:t>
      </w:r>
      <w:r>
        <w:t xml:space="preserve"> </w:t>
      </w:r>
      <w:r w:rsidR="007D6901">
        <w:t>However</w:t>
      </w:r>
      <w:r w:rsidR="00560AE1">
        <w:t xml:space="preserve"> </w:t>
      </w:r>
      <w:r>
        <w:t>Queer theory also undermines quasi realism since it too is loaded with components influenced by psychology combined with the social and biological ingredients and has the risk of appearing to be a reductive account of morality</w:t>
      </w:r>
      <w:r w:rsidR="00876870">
        <w:rPr>
          <w:rStyle w:val="FootnoteReference"/>
        </w:rPr>
        <w:footnoteReference w:id="18"/>
      </w:r>
      <w:r>
        <w:t xml:space="preserve">. This is </w:t>
      </w:r>
      <w:proofErr w:type="gramStart"/>
      <w:r>
        <w:t>similar to</w:t>
      </w:r>
      <w:proofErr w:type="gramEnd"/>
      <w:r>
        <w:t xml:space="preserve"> the free will debate – the argument is that if we simply allow these biological, social and psychological processes to overrule us, we somewhat become “victims of an illusion” by external forces beyond our control.</w:t>
      </w:r>
      <w:r w:rsidR="00B00801">
        <w:rPr>
          <w:rStyle w:val="FootnoteReference"/>
        </w:rPr>
        <w:footnoteReference w:id="19"/>
      </w:r>
      <w:r>
        <w:t xml:space="preserve"> </w:t>
      </w:r>
    </w:p>
    <w:p w14:paraId="5331BCF1" w14:textId="59CD42C5" w:rsidR="007C7B74" w:rsidRDefault="007C7B74" w:rsidP="009F60C4">
      <w:r>
        <w:t>The question of whether quasi-realism can successfully account for the tension between how things seem to us and what they are</w:t>
      </w:r>
      <w:r w:rsidR="00834667">
        <w:t xml:space="preserve"> can still be reasonably raised. To be able to imagine a logical space between ourselves as observers who are assumed capable of deriving moral truths and the moral value something like an action or a value has is what realism proposes and yet this is also necessary for quasi-realism to succeed if there is to be sensibility and discussion</w:t>
      </w:r>
      <w:r w:rsidR="00876870">
        <w:rPr>
          <w:rStyle w:val="FootnoteReference"/>
        </w:rPr>
        <w:footnoteReference w:id="20"/>
      </w:r>
      <w:r w:rsidR="00834667">
        <w:t xml:space="preserve">. </w:t>
      </w:r>
    </w:p>
    <w:p w14:paraId="6A94761A" w14:textId="3D062C12" w:rsidR="00E20E13" w:rsidRDefault="00834667" w:rsidP="009F60C4">
      <w:r>
        <w:t>To raise the significance of sensibilities for Blackburn is essential – within some of these for some people there could be defects, according to Blackburn</w:t>
      </w:r>
      <w:r w:rsidR="00876870">
        <w:rPr>
          <w:rStyle w:val="FootnoteReference"/>
        </w:rPr>
        <w:footnoteReference w:id="21"/>
      </w:r>
      <w:r>
        <w:t>. These defects could entail a person to</w:t>
      </w:r>
      <w:r w:rsidR="00A8226A">
        <w:t xml:space="preserve"> consider important what is important to God for example and thus this has a knock-on effect on the way they critically reflect the world and their very own thought process. There are realists that are still in a way bound to these defects in sensibilities which makes it impossible for them to objectively understand morality</w:t>
      </w:r>
      <w:r w:rsidR="008F05B8">
        <w:t xml:space="preserve"> and this applies to “realists”. </w:t>
      </w:r>
    </w:p>
    <w:p w14:paraId="4C916D2D" w14:textId="616C9F85" w:rsidR="00834667" w:rsidRDefault="008F05B8" w:rsidP="009F60C4">
      <w:r>
        <w:t xml:space="preserve">David Ferguson observes that this argument may </w:t>
      </w:r>
      <w:r w:rsidR="00E20E13">
        <w:t xml:space="preserve">ironically </w:t>
      </w:r>
      <w:r>
        <w:t>count as evident against the qua</w:t>
      </w:r>
      <w:r w:rsidR="00B00801">
        <w:t>s</w:t>
      </w:r>
      <w:r>
        <w:t xml:space="preserve">i-realist, because if one </w:t>
      </w:r>
      <w:r w:rsidR="00E20E13">
        <w:t>chooses not to be guided by any such authority felt by the realist, those who cannot believe in any subjective kind of morality, which seems to be sensible given that realists cannot rid themselves of such defective sensibilities, then does this not show how unstable the qua</w:t>
      </w:r>
      <w:r w:rsidR="00B00801">
        <w:t>s</w:t>
      </w:r>
      <w:r w:rsidR="00E20E13">
        <w:t>i-realist position is?</w:t>
      </w:r>
      <w:r w:rsidR="00876870">
        <w:rPr>
          <w:rStyle w:val="FootnoteReference"/>
        </w:rPr>
        <w:footnoteReference w:id="22"/>
      </w:r>
    </w:p>
    <w:p w14:paraId="2A43985A" w14:textId="7E387B0D" w:rsidR="002656E5" w:rsidRDefault="002656E5" w:rsidP="009F60C4"/>
    <w:p w14:paraId="57D59111" w14:textId="30D1B7CD" w:rsidR="002656E5" w:rsidRPr="00B00801" w:rsidRDefault="00B00801" w:rsidP="009F60C4">
      <w:pPr>
        <w:rPr>
          <w:b/>
        </w:rPr>
      </w:pPr>
      <w:r w:rsidRPr="00B00801">
        <w:rPr>
          <w:b/>
        </w:rPr>
        <w:lastRenderedPageBreak/>
        <w:t>Bibliography</w:t>
      </w:r>
    </w:p>
    <w:p w14:paraId="0A12574D" w14:textId="7CABE362" w:rsidR="002656E5" w:rsidRDefault="002656E5" w:rsidP="009F60C4"/>
    <w:p w14:paraId="693F3291" w14:textId="3883CA34" w:rsidR="002656E5" w:rsidRDefault="002656E5" w:rsidP="009F60C4"/>
    <w:p w14:paraId="32F10B74" w14:textId="64511D75" w:rsidR="002656E5" w:rsidRDefault="002656E5" w:rsidP="009F60C4"/>
    <w:p w14:paraId="23B1B0AA" w14:textId="7871D699" w:rsidR="002656E5" w:rsidRDefault="002656E5" w:rsidP="009F60C4">
      <w:bookmarkStart w:id="1" w:name="_Hlk505197285"/>
      <w:r>
        <w:t xml:space="preserve">Fergusson, </w:t>
      </w:r>
      <w:proofErr w:type="spellStart"/>
      <w:proofErr w:type="gramStart"/>
      <w:r w:rsidR="00B00801">
        <w:t>David</w:t>
      </w:r>
      <w:r>
        <w:t>“</w:t>
      </w:r>
      <w:proofErr w:type="gramEnd"/>
      <w:r>
        <w:t>Community</w:t>
      </w:r>
      <w:proofErr w:type="spellEnd"/>
      <w:r>
        <w:t>, liberalism and Christian Ethics” (Cambridge University Press: Cambridge 1998)</w:t>
      </w:r>
      <w:bookmarkStart w:id="2" w:name="_Hlk505198350"/>
      <w:bookmarkEnd w:id="1"/>
    </w:p>
    <w:p w14:paraId="06DCABBB" w14:textId="0A2106CD" w:rsidR="002656E5" w:rsidRDefault="00B00801" w:rsidP="009F60C4">
      <w:bookmarkStart w:id="3" w:name="_Hlk505196274"/>
      <w:bookmarkEnd w:id="2"/>
      <w:r>
        <w:t>Fisher, Andrew</w:t>
      </w:r>
      <w:r w:rsidR="002656E5">
        <w:t xml:space="preserve"> “Metaethics: An Introduction</w:t>
      </w:r>
      <w:r w:rsidR="00FD7C5E">
        <w:t>” (Routledge: New York 2011)</w:t>
      </w:r>
    </w:p>
    <w:bookmarkEnd w:id="3"/>
    <w:p w14:paraId="627955FE" w14:textId="56E1A891" w:rsidR="00FD7C5E" w:rsidRDefault="00B00801" w:rsidP="009F60C4">
      <w:r>
        <w:t>Joyce, Richard</w:t>
      </w:r>
      <w:r w:rsidR="00FD7C5E">
        <w:t xml:space="preserve"> “</w:t>
      </w:r>
      <w:proofErr w:type="spellStart"/>
      <w:r w:rsidR="00FD7C5E">
        <w:t>Projectivism</w:t>
      </w:r>
      <w:proofErr w:type="spellEnd"/>
      <w:r w:rsidR="00FD7C5E">
        <w:t xml:space="preserve"> and Quasi-Realism” Stanford </w:t>
      </w:r>
      <w:proofErr w:type="spellStart"/>
      <w:r w:rsidR="00FD7C5E">
        <w:t>Encylopedia</w:t>
      </w:r>
      <w:proofErr w:type="spellEnd"/>
      <w:r w:rsidR="00FD7C5E">
        <w:t xml:space="preserve"> of Philosophy, 30</w:t>
      </w:r>
      <w:r w:rsidR="00FD7C5E" w:rsidRPr="00FD7C5E">
        <w:rPr>
          <w:vertAlign w:val="superscript"/>
        </w:rPr>
        <w:t>th</w:t>
      </w:r>
      <w:r w:rsidR="00FD7C5E">
        <w:t xml:space="preserve"> July 2007, Stanford University </w:t>
      </w:r>
      <w:hyperlink r:id="rId7" w:history="1">
        <w:r w:rsidR="00FD7C5E" w:rsidRPr="009E0940">
          <w:rPr>
            <w:rStyle w:val="Hyperlink"/>
          </w:rPr>
          <w:t>https://plato.stanford.edu/entries/moral-anti-realism/index.html</w:t>
        </w:r>
      </w:hyperlink>
      <w:r w:rsidR="00FD7C5E">
        <w:t xml:space="preserve"> </w:t>
      </w:r>
      <w:r w:rsidR="007C7B74">
        <w:t>&gt; substantive revision 11</w:t>
      </w:r>
      <w:r w:rsidR="007C7B74" w:rsidRPr="007C7B74">
        <w:rPr>
          <w:vertAlign w:val="superscript"/>
        </w:rPr>
        <w:t>th</w:t>
      </w:r>
      <w:r w:rsidR="007C7B74">
        <w:t xml:space="preserve"> February 2015&gt;</w:t>
      </w:r>
    </w:p>
    <w:p w14:paraId="62EC3CD5" w14:textId="77777777" w:rsidR="00B00801" w:rsidRDefault="00B00801" w:rsidP="00B00801">
      <w:r>
        <w:t>McNaughton, David “Moral Vision: An Introduction to Ethics” (Basil Blackwell Ltd, Oxford 1988)</w:t>
      </w:r>
    </w:p>
    <w:p w14:paraId="2A0CA369" w14:textId="77777777" w:rsidR="00B00801" w:rsidRDefault="00B00801" w:rsidP="009F60C4"/>
    <w:p w14:paraId="1B85A148" w14:textId="77777777" w:rsidR="007C7B74" w:rsidRDefault="007C7B74" w:rsidP="009F60C4"/>
    <w:p w14:paraId="555501F0" w14:textId="5F233256" w:rsidR="00C95D44" w:rsidRDefault="00C95D44"/>
    <w:p w14:paraId="644EE727" w14:textId="77777777" w:rsidR="009F60C4" w:rsidRDefault="009F60C4"/>
    <w:sectPr w:rsidR="009F60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CAF1F" w14:textId="77777777" w:rsidR="0031338C" w:rsidRDefault="0031338C" w:rsidP="00A45855">
      <w:pPr>
        <w:spacing w:after="0" w:line="240" w:lineRule="auto"/>
      </w:pPr>
      <w:r>
        <w:separator/>
      </w:r>
    </w:p>
  </w:endnote>
  <w:endnote w:type="continuationSeparator" w:id="0">
    <w:p w14:paraId="6593A9D6" w14:textId="77777777" w:rsidR="0031338C" w:rsidRDefault="0031338C" w:rsidP="00A45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8FC65" w14:textId="77777777" w:rsidR="0031338C" w:rsidRDefault="0031338C" w:rsidP="00A45855">
      <w:pPr>
        <w:spacing w:after="0" w:line="240" w:lineRule="auto"/>
      </w:pPr>
      <w:r>
        <w:separator/>
      </w:r>
    </w:p>
  </w:footnote>
  <w:footnote w:type="continuationSeparator" w:id="0">
    <w:p w14:paraId="6182D409" w14:textId="77777777" w:rsidR="0031338C" w:rsidRDefault="0031338C" w:rsidP="00A45855">
      <w:pPr>
        <w:spacing w:after="0" w:line="240" w:lineRule="auto"/>
      </w:pPr>
      <w:r>
        <w:continuationSeparator/>
      </w:r>
    </w:p>
  </w:footnote>
  <w:footnote w:id="1">
    <w:p w14:paraId="3241EFD2" w14:textId="436A13BC" w:rsidR="00A45855" w:rsidRDefault="00A45855" w:rsidP="00C62DBC">
      <w:r>
        <w:rPr>
          <w:rStyle w:val="FootnoteReference"/>
        </w:rPr>
        <w:footnoteRef/>
      </w:r>
      <w:r>
        <w:t xml:space="preserve"> </w:t>
      </w:r>
      <w:r w:rsidR="00C62DBC">
        <w:t>Richard Joyce “</w:t>
      </w:r>
      <w:proofErr w:type="spellStart"/>
      <w:r w:rsidR="00C62DBC">
        <w:t>Projectivism</w:t>
      </w:r>
      <w:proofErr w:type="spellEnd"/>
      <w:r w:rsidR="00C62DBC">
        <w:t xml:space="preserve"> and Quasi-Realism” Stanford </w:t>
      </w:r>
      <w:proofErr w:type="spellStart"/>
      <w:r w:rsidR="00C62DBC">
        <w:t>Encylopedia</w:t>
      </w:r>
      <w:proofErr w:type="spellEnd"/>
      <w:r w:rsidR="00C62DBC">
        <w:t xml:space="preserve"> of Philosophy, 30</w:t>
      </w:r>
      <w:r w:rsidR="00C62DBC" w:rsidRPr="00FD7C5E">
        <w:rPr>
          <w:vertAlign w:val="superscript"/>
        </w:rPr>
        <w:t>th</w:t>
      </w:r>
      <w:r w:rsidR="00C62DBC">
        <w:t xml:space="preserve"> July 2007, Stanford University </w:t>
      </w:r>
      <w:hyperlink r:id="rId1" w:history="1">
        <w:r w:rsidR="00C62DBC" w:rsidRPr="009E0940">
          <w:rPr>
            <w:rStyle w:val="Hyperlink"/>
          </w:rPr>
          <w:t>https://plato.stanford.edu/entries/moral-anti-realism/index.html</w:t>
        </w:r>
      </w:hyperlink>
      <w:r w:rsidR="00C62DBC">
        <w:t xml:space="preserve"> &gt; substantive revision 11</w:t>
      </w:r>
      <w:r w:rsidR="00C62DBC" w:rsidRPr="007C7B74">
        <w:rPr>
          <w:vertAlign w:val="superscript"/>
        </w:rPr>
        <w:t>th</w:t>
      </w:r>
      <w:r w:rsidR="00C62DBC">
        <w:t xml:space="preserve"> February 2015&gt;</w:t>
      </w:r>
    </w:p>
  </w:footnote>
  <w:footnote w:id="2">
    <w:p w14:paraId="74AA4DFB" w14:textId="5783F8C9" w:rsidR="00AD6F92" w:rsidRDefault="00AD6F92" w:rsidP="00C62DBC">
      <w:r>
        <w:rPr>
          <w:rStyle w:val="FootnoteReference"/>
        </w:rPr>
        <w:footnoteRef/>
      </w:r>
      <w:r>
        <w:t xml:space="preserve"> </w:t>
      </w:r>
      <w:r w:rsidR="00C62DBC">
        <w:t>Richard Joyce “</w:t>
      </w:r>
      <w:proofErr w:type="spellStart"/>
      <w:r w:rsidR="00C62DBC">
        <w:t>Projectivism</w:t>
      </w:r>
      <w:proofErr w:type="spellEnd"/>
      <w:r w:rsidR="00C62DBC">
        <w:t xml:space="preserve"> and Quasi-Realism” Stanford </w:t>
      </w:r>
      <w:proofErr w:type="spellStart"/>
      <w:r w:rsidR="00C62DBC">
        <w:t>Encylopedia</w:t>
      </w:r>
      <w:proofErr w:type="spellEnd"/>
      <w:r w:rsidR="00C62DBC">
        <w:t xml:space="preserve"> of Philosophy, 30</w:t>
      </w:r>
      <w:r w:rsidR="00C62DBC" w:rsidRPr="00FD7C5E">
        <w:rPr>
          <w:vertAlign w:val="superscript"/>
        </w:rPr>
        <w:t>th</w:t>
      </w:r>
      <w:r w:rsidR="00C62DBC">
        <w:t xml:space="preserve"> July 2007, Stanford University </w:t>
      </w:r>
      <w:hyperlink r:id="rId2" w:history="1">
        <w:r w:rsidR="00C62DBC" w:rsidRPr="009E0940">
          <w:rPr>
            <w:rStyle w:val="Hyperlink"/>
          </w:rPr>
          <w:t>https://plato.stanford.edu/entries/moral-anti-realism/index.html</w:t>
        </w:r>
      </w:hyperlink>
      <w:r w:rsidR="00C62DBC">
        <w:t xml:space="preserve"> &gt; substantive revision 11</w:t>
      </w:r>
      <w:r w:rsidR="00C62DBC" w:rsidRPr="007C7B74">
        <w:rPr>
          <w:vertAlign w:val="superscript"/>
        </w:rPr>
        <w:t>th</w:t>
      </w:r>
      <w:r w:rsidR="00C62DBC">
        <w:t xml:space="preserve"> February 2015&gt;</w:t>
      </w:r>
    </w:p>
  </w:footnote>
  <w:footnote w:id="3">
    <w:p w14:paraId="2AB49261" w14:textId="7CEC2550" w:rsidR="00AD6F92" w:rsidRDefault="00AD6F92" w:rsidP="00C62DBC">
      <w:r>
        <w:rPr>
          <w:rStyle w:val="FootnoteReference"/>
        </w:rPr>
        <w:footnoteRef/>
      </w:r>
      <w:r>
        <w:t xml:space="preserve"> </w:t>
      </w:r>
      <w:r w:rsidR="00C62DBC">
        <w:t>Andrew Fisher “Metaethics: An Introduction” (Routledge: New York 2011)</w:t>
      </w:r>
    </w:p>
  </w:footnote>
  <w:footnote w:id="4">
    <w:p w14:paraId="2D8BD8C6" w14:textId="77777777" w:rsidR="00C62DBC" w:rsidRDefault="00AD6F92" w:rsidP="00C62DBC">
      <w:r>
        <w:rPr>
          <w:rStyle w:val="FootnoteReference"/>
        </w:rPr>
        <w:footnoteRef/>
      </w:r>
      <w:r>
        <w:t xml:space="preserve"> </w:t>
      </w:r>
      <w:r w:rsidR="00C62DBC">
        <w:t>Andrew Fisher “Metaethics: An Introduction” (Routledge: New York 2011)</w:t>
      </w:r>
    </w:p>
    <w:p w14:paraId="1C645582" w14:textId="08929745" w:rsidR="00AD6F92" w:rsidRDefault="00AD6F92">
      <w:pPr>
        <w:pStyle w:val="FootnoteText"/>
      </w:pPr>
    </w:p>
  </w:footnote>
  <w:footnote w:id="5">
    <w:p w14:paraId="4AAFEF59" w14:textId="48BA1ADD" w:rsidR="00AD6F92" w:rsidRDefault="00AD6F92" w:rsidP="00876870">
      <w:r>
        <w:rPr>
          <w:rStyle w:val="FootnoteReference"/>
        </w:rPr>
        <w:footnoteRef/>
      </w:r>
      <w:r>
        <w:t xml:space="preserve"> </w:t>
      </w:r>
      <w:r w:rsidR="00C62DBC">
        <w:t>Andrew Fisher “Metaethics: An Introduction” (Routledge: New York 2011)</w:t>
      </w:r>
    </w:p>
  </w:footnote>
  <w:footnote w:id="6">
    <w:p w14:paraId="2CDB21D6" w14:textId="5912FE7E" w:rsidR="00C62DBC" w:rsidRDefault="00C62DBC" w:rsidP="00876870">
      <w:r>
        <w:rPr>
          <w:rStyle w:val="FootnoteReference"/>
        </w:rPr>
        <w:footnoteRef/>
      </w:r>
      <w:r>
        <w:t xml:space="preserve"> </w:t>
      </w:r>
      <w:r>
        <w:t>David McNaughton “Moral Vision: An Introduction to Ethics” (Basil Blackwell Ltd, Oxford 1988)</w:t>
      </w:r>
    </w:p>
  </w:footnote>
  <w:footnote w:id="7">
    <w:p w14:paraId="13E3202F" w14:textId="06A40F24" w:rsidR="00AD6F92" w:rsidRDefault="00AD6F92">
      <w:pPr>
        <w:pStyle w:val="FootnoteText"/>
      </w:pPr>
      <w:r>
        <w:rPr>
          <w:rStyle w:val="FootnoteReference"/>
        </w:rPr>
        <w:footnoteRef/>
      </w:r>
      <w:r>
        <w:t xml:space="preserve"> </w:t>
      </w:r>
      <w:r w:rsidR="00C62DBC">
        <w:t>Andrew Fisher “Metaethics: An Introduction” (Routledge: New York 2011)</w:t>
      </w:r>
    </w:p>
  </w:footnote>
  <w:footnote w:id="8">
    <w:p w14:paraId="066AE82B" w14:textId="5EE58841" w:rsidR="00AD6F92" w:rsidRDefault="00AD6F92">
      <w:pPr>
        <w:pStyle w:val="FootnoteText"/>
      </w:pPr>
      <w:r>
        <w:rPr>
          <w:rStyle w:val="FootnoteReference"/>
        </w:rPr>
        <w:footnoteRef/>
      </w:r>
      <w:r>
        <w:t xml:space="preserve"> </w:t>
      </w:r>
      <w:r w:rsidR="00C62DBC">
        <w:t>Andrew Fisher “Metaethics: An Introduction” (Routledge: New York 2011)</w:t>
      </w:r>
    </w:p>
  </w:footnote>
  <w:footnote w:id="9">
    <w:p w14:paraId="65241207" w14:textId="26A91DF3" w:rsidR="00AD6F92" w:rsidRDefault="00AD6F92">
      <w:pPr>
        <w:pStyle w:val="FootnoteText"/>
      </w:pPr>
      <w:r>
        <w:rPr>
          <w:rStyle w:val="FootnoteReference"/>
        </w:rPr>
        <w:footnoteRef/>
      </w:r>
      <w:r>
        <w:t xml:space="preserve"> </w:t>
      </w:r>
      <w:r w:rsidR="00C62DBC">
        <w:t>Andrew Fisher “Metaethics: An Introduction” (Routledge: New York 2011)</w:t>
      </w:r>
    </w:p>
  </w:footnote>
  <w:footnote w:id="10">
    <w:p w14:paraId="72D60250" w14:textId="6CB89A26" w:rsidR="00C62DBC" w:rsidRDefault="00C62DBC" w:rsidP="006D7A10">
      <w:pPr>
        <w:tabs>
          <w:tab w:val="left" w:pos="825"/>
        </w:tabs>
      </w:pPr>
      <w:r>
        <w:rPr>
          <w:rStyle w:val="FootnoteReference"/>
        </w:rPr>
        <w:footnoteRef/>
      </w:r>
      <w:r>
        <w:t xml:space="preserve"> </w:t>
      </w:r>
      <w:r w:rsidR="006D7A10">
        <w:t>Andrew Fisher “Metaethics: An Introduction” (Routledge: New York 2011)</w:t>
      </w:r>
    </w:p>
  </w:footnote>
  <w:footnote w:id="11">
    <w:p w14:paraId="0CE7BB6B" w14:textId="3B13B669" w:rsidR="006D7A10" w:rsidRDefault="006D7A10">
      <w:pPr>
        <w:pStyle w:val="FootnoteText"/>
      </w:pPr>
      <w:r>
        <w:rPr>
          <w:rStyle w:val="FootnoteReference"/>
        </w:rPr>
        <w:footnoteRef/>
      </w:r>
      <w:r>
        <w:t xml:space="preserve"> </w:t>
      </w:r>
      <w:r>
        <w:t>Andrew Fisher “Metaethics: An Introduction” (Routledge: New York 2011)</w:t>
      </w:r>
    </w:p>
  </w:footnote>
  <w:footnote w:id="12">
    <w:p w14:paraId="164FC776" w14:textId="78C0297A" w:rsidR="006D7A10" w:rsidRDefault="006D7A10">
      <w:pPr>
        <w:pStyle w:val="FootnoteText"/>
      </w:pPr>
      <w:r>
        <w:rPr>
          <w:rStyle w:val="FootnoteReference"/>
        </w:rPr>
        <w:footnoteRef/>
      </w:r>
      <w:r>
        <w:t xml:space="preserve"> </w:t>
      </w:r>
      <w:r>
        <w:t>David Fergusson, “Community, liberalism and Christian Ethics” (Cambridge University Press: Cambridge 1998)</w:t>
      </w:r>
    </w:p>
  </w:footnote>
  <w:footnote w:id="13">
    <w:p w14:paraId="11D63838" w14:textId="7F042A4C" w:rsidR="006D7A10" w:rsidRDefault="006D7A10">
      <w:pPr>
        <w:pStyle w:val="FootnoteText"/>
      </w:pPr>
      <w:r>
        <w:rPr>
          <w:rStyle w:val="FootnoteReference"/>
        </w:rPr>
        <w:footnoteRef/>
      </w:r>
      <w:r>
        <w:t xml:space="preserve"> </w:t>
      </w:r>
      <w:r>
        <w:t>David Fergusson, “Community, liberalism and Christian Ethics” (Cambridge University Press: Cambridge 1998)</w:t>
      </w:r>
    </w:p>
  </w:footnote>
  <w:footnote w:id="14">
    <w:p w14:paraId="7B174C02" w14:textId="73068ADF" w:rsidR="00876870" w:rsidRDefault="00876870" w:rsidP="00876870">
      <w:r>
        <w:rPr>
          <w:rStyle w:val="FootnoteReference"/>
        </w:rPr>
        <w:footnoteRef/>
      </w:r>
      <w:r>
        <w:t xml:space="preserve"> </w:t>
      </w:r>
      <w:r>
        <w:t>David Fergusson, “Community, liberalism and Christian Ethics” (Cambridge University Press: Cambridge 1998)</w:t>
      </w:r>
    </w:p>
  </w:footnote>
  <w:footnote w:id="15">
    <w:p w14:paraId="6C78D815" w14:textId="77777777" w:rsidR="00876870" w:rsidRDefault="00876870" w:rsidP="00876870">
      <w:r>
        <w:rPr>
          <w:rStyle w:val="FootnoteReference"/>
        </w:rPr>
        <w:footnoteRef/>
      </w:r>
      <w:r>
        <w:t xml:space="preserve"> </w:t>
      </w:r>
      <w:r>
        <w:t>David Fergusson, “Community, liberalism and Christian Ethics” (Cambridge University Press: Cambridge 1998)</w:t>
      </w:r>
    </w:p>
    <w:p w14:paraId="59206952" w14:textId="709D958F" w:rsidR="00876870" w:rsidRDefault="00876870">
      <w:pPr>
        <w:pStyle w:val="FootnoteText"/>
      </w:pPr>
    </w:p>
  </w:footnote>
  <w:footnote w:id="16">
    <w:p w14:paraId="3BBB7691" w14:textId="2F7AA53F" w:rsidR="00876870" w:rsidRDefault="00876870" w:rsidP="00B00801">
      <w:r>
        <w:rPr>
          <w:rStyle w:val="FootnoteReference"/>
        </w:rPr>
        <w:footnoteRef/>
      </w:r>
      <w:r>
        <w:t xml:space="preserve"> </w:t>
      </w:r>
      <w:r w:rsidR="00B00801">
        <w:t>David Fergusson, “Community, liberalism and Christian Ethics” (Cambridge University Press: Cambridge 1998)</w:t>
      </w:r>
    </w:p>
  </w:footnote>
  <w:footnote w:id="17">
    <w:p w14:paraId="0C58F2F3" w14:textId="6A969FBA" w:rsidR="00876870" w:rsidRDefault="00876870" w:rsidP="00B00801">
      <w:r>
        <w:rPr>
          <w:rStyle w:val="FootnoteReference"/>
        </w:rPr>
        <w:footnoteRef/>
      </w:r>
      <w:r>
        <w:t xml:space="preserve"> </w:t>
      </w:r>
      <w:r w:rsidR="00B00801">
        <w:t>David Fergusson, “Community, liberalism and Christian Ethics” (Cambridge University Press: Cambridge 1998)</w:t>
      </w:r>
    </w:p>
  </w:footnote>
  <w:footnote w:id="18">
    <w:p w14:paraId="7B6CDBC0" w14:textId="4F7D2E2A" w:rsidR="00876870" w:rsidRDefault="00876870" w:rsidP="00876870">
      <w:r>
        <w:rPr>
          <w:rStyle w:val="FootnoteReference"/>
        </w:rPr>
        <w:footnoteRef/>
      </w:r>
      <w:r>
        <w:t xml:space="preserve"> </w:t>
      </w:r>
      <w:r>
        <w:t>David Fergusson, “Community, liberalism and Christian Ethics” (Cambridge University Press: Cambridge 1998)</w:t>
      </w:r>
    </w:p>
  </w:footnote>
  <w:footnote w:id="19">
    <w:p w14:paraId="299892AE" w14:textId="7BA07952" w:rsidR="00B00801" w:rsidRDefault="00B00801" w:rsidP="00B00801">
      <w:r>
        <w:rPr>
          <w:rStyle w:val="FootnoteReference"/>
        </w:rPr>
        <w:footnoteRef/>
      </w:r>
      <w:r>
        <w:t xml:space="preserve"> </w:t>
      </w:r>
      <w:r>
        <w:t>David Fergusson, “Community, liberalism and Christian Ethics” (Cambridge University Press: Cambridge 1998)</w:t>
      </w:r>
    </w:p>
  </w:footnote>
  <w:footnote w:id="20">
    <w:p w14:paraId="32875FDA" w14:textId="4B8885AD" w:rsidR="00876870" w:rsidRDefault="00876870" w:rsidP="00876870">
      <w:r>
        <w:rPr>
          <w:rStyle w:val="FootnoteReference"/>
        </w:rPr>
        <w:footnoteRef/>
      </w:r>
      <w:r>
        <w:t xml:space="preserve"> </w:t>
      </w:r>
      <w:r>
        <w:t>David Fergusson, “Community, liberalism and Christian Ethics” (Cambridge University Press: Cambridge 1998)</w:t>
      </w:r>
    </w:p>
  </w:footnote>
  <w:footnote w:id="21">
    <w:p w14:paraId="30D57E57" w14:textId="40CB1F9C" w:rsidR="00876870" w:rsidRDefault="00876870" w:rsidP="00876870">
      <w:r>
        <w:rPr>
          <w:rStyle w:val="FootnoteReference"/>
        </w:rPr>
        <w:footnoteRef/>
      </w:r>
      <w:r>
        <w:t xml:space="preserve"> </w:t>
      </w:r>
      <w:r>
        <w:t>David Fergusson, “Community, liberalism and Christian Ethics” (Cambridge University Press: Cambridge 1998)</w:t>
      </w:r>
    </w:p>
  </w:footnote>
  <w:footnote w:id="22">
    <w:p w14:paraId="0430020B" w14:textId="77777777" w:rsidR="00876870" w:rsidRDefault="00876870" w:rsidP="00876870">
      <w:r>
        <w:rPr>
          <w:rStyle w:val="FootnoteReference"/>
        </w:rPr>
        <w:footnoteRef/>
      </w:r>
      <w:r>
        <w:t xml:space="preserve"> </w:t>
      </w:r>
      <w:r>
        <w:t>David Fergusson, “Community, liberalism and Christian Ethics” (Cambridge University Press: Cambridge 1998)</w:t>
      </w:r>
    </w:p>
    <w:p w14:paraId="44F6F172" w14:textId="29049506" w:rsidR="00876870" w:rsidRDefault="0087687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0C4"/>
    <w:rsid w:val="0004687C"/>
    <w:rsid w:val="002656E5"/>
    <w:rsid w:val="0031338C"/>
    <w:rsid w:val="0033743F"/>
    <w:rsid w:val="00560AE1"/>
    <w:rsid w:val="00633FC0"/>
    <w:rsid w:val="006D7A10"/>
    <w:rsid w:val="007562D4"/>
    <w:rsid w:val="007C7B74"/>
    <w:rsid w:val="007D6901"/>
    <w:rsid w:val="00834667"/>
    <w:rsid w:val="00876870"/>
    <w:rsid w:val="008F05B8"/>
    <w:rsid w:val="00995B87"/>
    <w:rsid w:val="009F60C4"/>
    <w:rsid w:val="00A3590D"/>
    <w:rsid w:val="00A45855"/>
    <w:rsid w:val="00A8226A"/>
    <w:rsid w:val="00AD6F92"/>
    <w:rsid w:val="00B00801"/>
    <w:rsid w:val="00C62DBC"/>
    <w:rsid w:val="00C95D44"/>
    <w:rsid w:val="00DF5C5A"/>
    <w:rsid w:val="00E20E13"/>
    <w:rsid w:val="00F72B74"/>
    <w:rsid w:val="00FD7C5E"/>
    <w:rsid w:val="00FF4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16C60"/>
  <w15:chartTrackingRefBased/>
  <w15:docId w15:val="{57B051A5-5F75-4D0F-9B1D-BBBB22A2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0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C5E"/>
    <w:rPr>
      <w:color w:val="0563C1" w:themeColor="hyperlink"/>
      <w:u w:val="single"/>
    </w:rPr>
  </w:style>
  <w:style w:type="character" w:styleId="UnresolvedMention">
    <w:name w:val="Unresolved Mention"/>
    <w:basedOn w:val="DefaultParagraphFont"/>
    <w:uiPriority w:val="99"/>
    <w:semiHidden/>
    <w:unhideWhenUsed/>
    <w:rsid w:val="00FD7C5E"/>
    <w:rPr>
      <w:color w:val="808080"/>
      <w:shd w:val="clear" w:color="auto" w:fill="E6E6E6"/>
    </w:rPr>
  </w:style>
  <w:style w:type="paragraph" w:styleId="FootnoteText">
    <w:name w:val="footnote text"/>
    <w:basedOn w:val="Normal"/>
    <w:link w:val="FootnoteTextChar"/>
    <w:uiPriority w:val="99"/>
    <w:semiHidden/>
    <w:unhideWhenUsed/>
    <w:rsid w:val="00A458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5855"/>
    <w:rPr>
      <w:sz w:val="20"/>
      <w:szCs w:val="20"/>
    </w:rPr>
  </w:style>
  <w:style w:type="character" w:styleId="FootnoteReference">
    <w:name w:val="footnote reference"/>
    <w:basedOn w:val="DefaultParagraphFont"/>
    <w:uiPriority w:val="99"/>
    <w:semiHidden/>
    <w:unhideWhenUsed/>
    <w:rsid w:val="00A45855"/>
    <w:rPr>
      <w:vertAlign w:val="superscript"/>
    </w:rPr>
  </w:style>
  <w:style w:type="paragraph" w:styleId="Header">
    <w:name w:val="header"/>
    <w:basedOn w:val="Normal"/>
    <w:link w:val="HeaderChar"/>
    <w:uiPriority w:val="99"/>
    <w:unhideWhenUsed/>
    <w:rsid w:val="00B00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801"/>
  </w:style>
  <w:style w:type="paragraph" w:styleId="Footer">
    <w:name w:val="footer"/>
    <w:basedOn w:val="Normal"/>
    <w:link w:val="FooterChar"/>
    <w:uiPriority w:val="99"/>
    <w:unhideWhenUsed/>
    <w:rsid w:val="00B00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to.stanford.edu/entries/moral-anti-realism/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entries/moral-anti-realism/index.html" TargetMode="External"/><Relationship Id="rId1" Type="http://schemas.openxmlformats.org/officeDocument/2006/relationships/hyperlink" Target="https://plato.stanford.edu/entries/moral-anti-realism/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188F3-6448-4660-B615-6BA1A71A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1828</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 (1600497)</dc:creator>
  <cp:keywords/>
  <dc:description/>
  <cp:lastModifiedBy>Samuel Evans</cp:lastModifiedBy>
  <cp:revision>2</cp:revision>
  <dcterms:created xsi:type="dcterms:W3CDTF">2018-01-31T21:46:00Z</dcterms:created>
  <dcterms:modified xsi:type="dcterms:W3CDTF">2018-01-31T21:46:00Z</dcterms:modified>
</cp:coreProperties>
</file>