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16EBB" w14:textId="77777777" w:rsidR="00C9318C" w:rsidRDefault="00C9318C" w:rsidP="00C9318C">
      <w:pPr>
        <w:rPr>
          <w:b/>
          <w:bCs/>
        </w:rPr>
      </w:pPr>
    </w:p>
    <w:p w14:paraId="45FF464A" w14:textId="77777777" w:rsidR="00C9318C" w:rsidRDefault="00C9318C" w:rsidP="00C9318C">
      <w:pPr>
        <w:rPr>
          <w:b/>
          <w:bCs/>
        </w:rPr>
      </w:pPr>
    </w:p>
    <w:p w14:paraId="2565FE97" w14:textId="77777777" w:rsidR="00C9318C" w:rsidRPr="00A61EDB" w:rsidRDefault="00C9318C" w:rsidP="00C9318C">
      <w:pPr>
        <w:rPr>
          <w:b/>
          <w:bCs/>
          <w:sz w:val="32"/>
          <w:szCs w:val="32"/>
        </w:rPr>
      </w:pPr>
    </w:p>
    <w:p w14:paraId="632967B8" w14:textId="1107586F" w:rsidR="00C9318C" w:rsidRPr="00A61EDB" w:rsidRDefault="00C9318C" w:rsidP="00C9318C">
      <w:pPr>
        <w:jc w:val="center"/>
        <w:rPr>
          <w:rFonts w:ascii="Arial" w:hAnsi="Arial" w:cs="Arial"/>
          <w:sz w:val="32"/>
          <w:szCs w:val="32"/>
        </w:rPr>
      </w:pPr>
      <w:r w:rsidRPr="00A61EDB">
        <w:rPr>
          <w:rFonts w:ascii="Arial" w:hAnsi="Arial" w:cs="Arial"/>
          <w:b/>
          <w:bCs/>
          <w:sz w:val="32"/>
          <w:szCs w:val="32"/>
        </w:rPr>
        <w:t>Student Name:</w:t>
      </w:r>
      <w:r w:rsidRPr="00A61EDB">
        <w:rPr>
          <w:rFonts w:ascii="Arial" w:hAnsi="Arial" w:cs="Arial"/>
          <w:sz w:val="32"/>
          <w:szCs w:val="32"/>
        </w:rPr>
        <w:t xml:space="preserve"> Fatima Ali</w:t>
      </w:r>
    </w:p>
    <w:p w14:paraId="414D4D3B" w14:textId="1D440511" w:rsidR="00C9318C" w:rsidRPr="00A61EDB" w:rsidRDefault="00C9318C" w:rsidP="00C9318C">
      <w:pPr>
        <w:jc w:val="center"/>
        <w:rPr>
          <w:rFonts w:ascii="Arial" w:hAnsi="Arial" w:cs="Arial"/>
          <w:sz w:val="32"/>
          <w:szCs w:val="32"/>
        </w:rPr>
      </w:pPr>
      <w:r w:rsidRPr="00A61EDB">
        <w:rPr>
          <w:rFonts w:ascii="Arial" w:hAnsi="Arial" w:cs="Arial"/>
          <w:b/>
          <w:bCs/>
          <w:sz w:val="32"/>
          <w:szCs w:val="32"/>
        </w:rPr>
        <w:t xml:space="preserve">Student ID Number: </w:t>
      </w:r>
      <w:r w:rsidRPr="00A61EDB">
        <w:rPr>
          <w:rFonts w:ascii="Arial" w:hAnsi="Arial" w:cs="Arial"/>
          <w:sz w:val="32"/>
          <w:szCs w:val="32"/>
        </w:rPr>
        <w:t>2222409</w:t>
      </w:r>
    </w:p>
    <w:p w14:paraId="24613775" w14:textId="0E2602A0" w:rsidR="00C9318C" w:rsidRPr="00A61EDB" w:rsidRDefault="00C9318C" w:rsidP="00C9318C">
      <w:pPr>
        <w:jc w:val="center"/>
        <w:rPr>
          <w:rFonts w:ascii="Arial" w:hAnsi="Arial" w:cs="Arial"/>
          <w:sz w:val="32"/>
          <w:szCs w:val="32"/>
        </w:rPr>
      </w:pPr>
      <w:r w:rsidRPr="00A61EDB">
        <w:rPr>
          <w:rFonts w:ascii="Arial" w:hAnsi="Arial" w:cs="Arial"/>
          <w:b/>
          <w:bCs/>
          <w:sz w:val="32"/>
          <w:szCs w:val="32"/>
        </w:rPr>
        <w:t xml:space="preserve">Module Name: </w:t>
      </w:r>
      <w:r w:rsidRPr="00A61EDB">
        <w:rPr>
          <w:rFonts w:ascii="Arial" w:hAnsi="Arial" w:cs="Arial"/>
          <w:sz w:val="32"/>
          <w:szCs w:val="32"/>
        </w:rPr>
        <w:t>Health Care System Organisation and Leadership</w:t>
      </w:r>
    </w:p>
    <w:p w14:paraId="150B72E0" w14:textId="695BD7F5" w:rsidR="00C9318C" w:rsidRPr="00A61EDB" w:rsidRDefault="005C280E" w:rsidP="00C9318C">
      <w:pPr>
        <w:jc w:val="center"/>
        <w:rPr>
          <w:rFonts w:ascii="Arial" w:hAnsi="Arial" w:cs="Arial"/>
          <w:sz w:val="32"/>
          <w:szCs w:val="32"/>
        </w:rPr>
      </w:pPr>
      <w:r w:rsidRPr="00A61EDB">
        <w:rPr>
          <w:rFonts w:ascii="Arial" w:hAnsi="Arial" w:cs="Arial"/>
          <w:b/>
          <w:bCs/>
          <w:sz w:val="32"/>
          <w:szCs w:val="32"/>
        </w:rPr>
        <w:t xml:space="preserve">Module code: </w:t>
      </w:r>
      <w:r w:rsidRPr="00A61EDB">
        <w:rPr>
          <w:rFonts w:ascii="Arial" w:hAnsi="Arial" w:cs="Arial"/>
          <w:sz w:val="32"/>
          <w:szCs w:val="32"/>
        </w:rPr>
        <w:t>LCHS7002</w:t>
      </w:r>
    </w:p>
    <w:p w14:paraId="4B64A11A" w14:textId="38426E41" w:rsidR="005C280E" w:rsidRPr="00A61EDB" w:rsidRDefault="005C280E" w:rsidP="00C9318C">
      <w:pPr>
        <w:jc w:val="center"/>
        <w:rPr>
          <w:rFonts w:ascii="Arial" w:hAnsi="Arial" w:cs="Arial"/>
          <w:sz w:val="32"/>
          <w:szCs w:val="32"/>
        </w:rPr>
      </w:pPr>
      <w:r w:rsidRPr="00A61EDB">
        <w:rPr>
          <w:rFonts w:ascii="Arial" w:hAnsi="Arial" w:cs="Arial"/>
          <w:b/>
          <w:bCs/>
          <w:sz w:val="32"/>
          <w:szCs w:val="32"/>
        </w:rPr>
        <w:t xml:space="preserve">Lecturer Name: </w:t>
      </w:r>
      <w:r w:rsidRPr="00A61EDB">
        <w:rPr>
          <w:rFonts w:ascii="Arial" w:hAnsi="Arial" w:cs="Arial"/>
          <w:sz w:val="32"/>
          <w:szCs w:val="32"/>
        </w:rPr>
        <w:t>Dr Fahad Khan</w:t>
      </w:r>
    </w:p>
    <w:p w14:paraId="15215811" w14:textId="526EF41C" w:rsidR="005C280E" w:rsidRPr="00A61EDB" w:rsidRDefault="005C280E" w:rsidP="00C9318C">
      <w:pPr>
        <w:jc w:val="center"/>
        <w:rPr>
          <w:rFonts w:ascii="Arial" w:hAnsi="Arial" w:cs="Arial"/>
          <w:b/>
          <w:bCs/>
          <w:sz w:val="32"/>
          <w:szCs w:val="32"/>
        </w:rPr>
      </w:pPr>
      <w:r w:rsidRPr="00A61EDB">
        <w:rPr>
          <w:rFonts w:ascii="Arial" w:hAnsi="Arial" w:cs="Arial"/>
          <w:b/>
          <w:bCs/>
          <w:sz w:val="32"/>
          <w:szCs w:val="32"/>
        </w:rPr>
        <w:t xml:space="preserve">Assignment Title: </w:t>
      </w:r>
      <w:r w:rsidRPr="00A61EDB">
        <w:rPr>
          <w:rFonts w:ascii="Arial" w:hAnsi="Arial" w:cs="Arial"/>
          <w:sz w:val="32"/>
          <w:szCs w:val="32"/>
        </w:rPr>
        <w:t>Case Study Analysis Report</w:t>
      </w:r>
    </w:p>
    <w:p w14:paraId="64D883E9" w14:textId="77777777" w:rsidR="00C9318C" w:rsidRPr="005C280E" w:rsidRDefault="00C9318C" w:rsidP="00C9318C">
      <w:pPr>
        <w:jc w:val="center"/>
        <w:rPr>
          <w:sz w:val="28"/>
          <w:szCs w:val="28"/>
        </w:rPr>
      </w:pPr>
    </w:p>
    <w:p w14:paraId="4081CE31" w14:textId="77777777" w:rsidR="00C9318C" w:rsidRDefault="00C9318C" w:rsidP="00C9318C">
      <w:pPr>
        <w:rPr>
          <w:b/>
          <w:bCs/>
        </w:rPr>
      </w:pPr>
    </w:p>
    <w:p w14:paraId="1DCD6FBC" w14:textId="77777777" w:rsidR="00C9318C" w:rsidRDefault="00C9318C" w:rsidP="00C9318C">
      <w:pPr>
        <w:rPr>
          <w:b/>
          <w:bCs/>
        </w:rPr>
      </w:pPr>
    </w:p>
    <w:p w14:paraId="6F92C29D" w14:textId="77777777" w:rsidR="00C9318C" w:rsidRDefault="00C9318C" w:rsidP="00C9318C">
      <w:pPr>
        <w:rPr>
          <w:b/>
          <w:bCs/>
        </w:rPr>
      </w:pPr>
    </w:p>
    <w:p w14:paraId="10A08389" w14:textId="77777777" w:rsidR="00C9318C" w:rsidRDefault="00C9318C" w:rsidP="00C9318C">
      <w:pPr>
        <w:rPr>
          <w:b/>
          <w:bCs/>
        </w:rPr>
      </w:pPr>
    </w:p>
    <w:p w14:paraId="33E46750" w14:textId="77777777" w:rsidR="00C9318C" w:rsidRDefault="00C9318C" w:rsidP="00C9318C">
      <w:pPr>
        <w:rPr>
          <w:b/>
          <w:bCs/>
        </w:rPr>
      </w:pPr>
    </w:p>
    <w:p w14:paraId="5AA988F8" w14:textId="77777777" w:rsidR="00C9318C" w:rsidRDefault="00C9318C" w:rsidP="00C9318C">
      <w:pPr>
        <w:rPr>
          <w:b/>
          <w:bCs/>
        </w:rPr>
      </w:pPr>
    </w:p>
    <w:p w14:paraId="3934C2CA" w14:textId="77777777" w:rsidR="00C9318C" w:rsidRDefault="00C9318C" w:rsidP="00C9318C">
      <w:pPr>
        <w:rPr>
          <w:b/>
          <w:bCs/>
        </w:rPr>
      </w:pPr>
    </w:p>
    <w:p w14:paraId="7C5BED3D" w14:textId="77777777" w:rsidR="00C9318C" w:rsidRDefault="00C9318C" w:rsidP="00C9318C">
      <w:pPr>
        <w:rPr>
          <w:b/>
          <w:bCs/>
        </w:rPr>
      </w:pPr>
    </w:p>
    <w:p w14:paraId="0E0EC848" w14:textId="77777777" w:rsidR="00C9318C" w:rsidRDefault="00C9318C" w:rsidP="00C9318C">
      <w:pPr>
        <w:rPr>
          <w:b/>
          <w:bCs/>
        </w:rPr>
      </w:pPr>
    </w:p>
    <w:p w14:paraId="19CC518B" w14:textId="77777777" w:rsidR="00C9318C" w:rsidRDefault="00C9318C" w:rsidP="00C9318C">
      <w:pPr>
        <w:rPr>
          <w:b/>
          <w:bCs/>
        </w:rPr>
      </w:pPr>
    </w:p>
    <w:p w14:paraId="7C5D1B30" w14:textId="77777777" w:rsidR="00C9318C" w:rsidRDefault="00C9318C" w:rsidP="00C9318C">
      <w:pPr>
        <w:rPr>
          <w:b/>
          <w:bCs/>
        </w:rPr>
      </w:pPr>
    </w:p>
    <w:p w14:paraId="79A78FDB" w14:textId="77777777" w:rsidR="00C9318C" w:rsidRDefault="00C9318C" w:rsidP="00C9318C">
      <w:pPr>
        <w:rPr>
          <w:b/>
          <w:bCs/>
        </w:rPr>
      </w:pPr>
    </w:p>
    <w:p w14:paraId="2E28CA5B" w14:textId="77777777" w:rsidR="00C9318C" w:rsidRDefault="00C9318C" w:rsidP="00C9318C">
      <w:pPr>
        <w:rPr>
          <w:b/>
          <w:bCs/>
        </w:rPr>
      </w:pPr>
    </w:p>
    <w:p w14:paraId="6FF236AB" w14:textId="77777777" w:rsidR="00C9318C" w:rsidRDefault="00C9318C" w:rsidP="00C9318C">
      <w:pPr>
        <w:rPr>
          <w:b/>
          <w:bCs/>
        </w:rPr>
      </w:pPr>
    </w:p>
    <w:p w14:paraId="33819832" w14:textId="77777777" w:rsidR="00C9318C" w:rsidRDefault="00C9318C" w:rsidP="00C9318C">
      <w:pPr>
        <w:rPr>
          <w:b/>
          <w:bCs/>
        </w:rPr>
      </w:pPr>
    </w:p>
    <w:p w14:paraId="7AC73B8F" w14:textId="77777777" w:rsidR="00C9318C" w:rsidRDefault="00C9318C" w:rsidP="00C9318C">
      <w:pPr>
        <w:rPr>
          <w:b/>
          <w:bCs/>
        </w:rPr>
      </w:pPr>
    </w:p>
    <w:p w14:paraId="16188528" w14:textId="77777777" w:rsidR="00C9318C" w:rsidRDefault="00C9318C" w:rsidP="00C9318C">
      <w:pPr>
        <w:rPr>
          <w:b/>
          <w:bCs/>
        </w:rPr>
      </w:pPr>
    </w:p>
    <w:p w14:paraId="00364B11" w14:textId="77777777" w:rsidR="00A83205" w:rsidRDefault="00A83205" w:rsidP="00430DA6">
      <w:pPr>
        <w:spacing w:line="360" w:lineRule="auto"/>
        <w:rPr>
          <w:b/>
          <w:bCs/>
        </w:rPr>
      </w:pPr>
    </w:p>
    <w:p w14:paraId="75900243" w14:textId="77777777" w:rsidR="00B26C09" w:rsidRDefault="00B26C09" w:rsidP="00EE745B">
      <w:pPr>
        <w:spacing w:line="360" w:lineRule="auto"/>
        <w:rPr>
          <w:rFonts w:ascii="Arial" w:hAnsi="Arial" w:cs="Arial"/>
          <w:b/>
          <w:bCs/>
          <w:sz w:val="28"/>
          <w:szCs w:val="28"/>
        </w:rPr>
      </w:pPr>
    </w:p>
    <w:p w14:paraId="7826A13E" w14:textId="77777777" w:rsidR="00B26C09" w:rsidRDefault="00B26C09" w:rsidP="00EE745B">
      <w:pPr>
        <w:spacing w:line="360" w:lineRule="auto"/>
        <w:rPr>
          <w:rFonts w:ascii="Arial" w:hAnsi="Arial" w:cs="Arial"/>
          <w:b/>
          <w:bCs/>
          <w:sz w:val="28"/>
          <w:szCs w:val="28"/>
        </w:rPr>
      </w:pPr>
    </w:p>
    <w:sdt>
      <w:sdtPr>
        <w:rPr>
          <w:rFonts w:asciiTheme="minorHAnsi" w:eastAsiaTheme="minorHAnsi" w:hAnsiTheme="minorHAnsi" w:cstheme="minorBidi"/>
          <w:color w:val="auto"/>
          <w:kern w:val="2"/>
          <w:sz w:val="22"/>
          <w:szCs w:val="22"/>
          <w:lang w:val="en-GB"/>
          <w14:ligatures w14:val="standardContextual"/>
        </w:rPr>
        <w:id w:val="-463816834"/>
        <w:docPartObj>
          <w:docPartGallery w:val="Table of Contents"/>
          <w:docPartUnique/>
        </w:docPartObj>
      </w:sdtPr>
      <w:sdtEndPr>
        <w:rPr>
          <w:b/>
          <w:bCs/>
          <w:noProof/>
        </w:rPr>
      </w:sdtEndPr>
      <w:sdtContent>
        <w:p w14:paraId="67F928BC" w14:textId="14FABCE7" w:rsidR="00B72435" w:rsidRDefault="00B72435">
          <w:pPr>
            <w:pStyle w:val="TOCHeading"/>
          </w:pPr>
          <w:r>
            <w:t>Contents</w:t>
          </w:r>
        </w:p>
        <w:p w14:paraId="4F36DC8E" w14:textId="0A372ECF" w:rsidR="00935CAA" w:rsidRDefault="00B7243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4651840" w:history="1">
            <w:r w:rsidR="00935CAA" w:rsidRPr="004F3C9B">
              <w:rPr>
                <w:rStyle w:val="Hyperlink"/>
                <w:noProof/>
              </w:rPr>
              <w:t>Executive Summary</w:t>
            </w:r>
            <w:r w:rsidR="00935CAA">
              <w:rPr>
                <w:noProof/>
                <w:webHidden/>
              </w:rPr>
              <w:tab/>
            </w:r>
            <w:r w:rsidR="00935CAA">
              <w:rPr>
                <w:noProof/>
                <w:webHidden/>
              </w:rPr>
              <w:fldChar w:fldCharType="begin"/>
            </w:r>
            <w:r w:rsidR="00935CAA">
              <w:rPr>
                <w:noProof/>
                <w:webHidden/>
              </w:rPr>
              <w:instrText xml:space="preserve"> PAGEREF _Toc224651840 \h </w:instrText>
            </w:r>
            <w:r w:rsidR="00935CAA">
              <w:rPr>
                <w:noProof/>
                <w:webHidden/>
              </w:rPr>
            </w:r>
            <w:r w:rsidR="00935CAA">
              <w:rPr>
                <w:noProof/>
                <w:webHidden/>
              </w:rPr>
              <w:fldChar w:fldCharType="separate"/>
            </w:r>
            <w:r w:rsidR="00935CAA">
              <w:rPr>
                <w:noProof/>
                <w:webHidden/>
              </w:rPr>
              <w:t>3</w:t>
            </w:r>
            <w:r w:rsidR="00935CAA">
              <w:rPr>
                <w:noProof/>
                <w:webHidden/>
              </w:rPr>
              <w:fldChar w:fldCharType="end"/>
            </w:r>
          </w:hyperlink>
        </w:p>
        <w:p w14:paraId="06B81D2A" w14:textId="0BBE733B" w:rsidR="00935CAA" w:rsidRDefault="00935CAA">
          <w:pPr>
            <w:pStyle w:val="TOC1"/>
            <w:tabs>
              <w:tab w:val="right" w:leader="dot" w:pos="9016"/>
            </w:tabs>
            <w:rPr>
              <w:rFonts w:eastAsiaTheme="minorEastAsia"/>
              <w:noProof/>
              <w:sz w:val="24"/>
              <w:szCs w:val="24"/>
              <w:lang w:eastAsia="en-GB"/>
            </w:rPr>
          </w:pPr>
          <w:hyperlink w:anchor="_Toc224651841" w:history="1">
            <w:r w:rsidRPr="004F3C9B">
              <w:rPr>
                <w:rStyle w:val="Hyperlink"/>
                <w:noProof/>
              </w:rPr>
              <w:t>Introduction</w:t>
            </w:r>
            <w:r>
              <w:rPr>
                <w:noProof/>
                <w:webHidden/>
              </w:rPr>
              <w:tab/>
            </w:r>
            <w:r>
              <w:rPr>
                <w:noProof/>
                <w:webHidden/>
              </w:rPr>
              <w:fldChar w:fldCharType="begin"/>
            </w:r>
            <w:r>
              <w:rPr>
                <w:noProof/>
                <w:webHidden/>
              </w:rPr>
              <w:instrText xml:space="preserve"> PAGEREF _Toc224651841 \h </w:instrText>
            </w:r>
            <w:r>
              <w:rPr>
                <w:noProof/>
                <w:webHidden/>
              </w:rPr>
            </w:r>
            <w:r>
              <w:rPr>
                <w:noProof/>
                <w:webHidden/>
              </w:rPr>
              <w:fldChar w:fldCharType="separate"/>
            </w:r>
            <w:r>
              <w:rPr>
                <w:noProof/>
                <w:webHidden/>
              </w:rPr>
              <w:t>3</w:t>
            </w:r>
            <w:r>
              <w:rPr>
                <w:noProof/>
                <w:webHidden/>
              </w:rPr>
              <w:fldChar w:fldCharType="end"/>
            </w:r>
          </w:hyperlink>
        </w:p>
        <w:p w14:paraId="6043851C" w14:textId="446FC600" w:rsidR="00935CAA" w:rsidRDefault="00935CAA">
          <w:pPr>
            <w:pStyle w:val="TOC1"/>
            <w:tabs>
              <w:tab w:val="right" w:leader="dot" w:pos="9016"/>
            </w:tabs>
            <w:rPr>
              <w:rFonts w:eastAsiaTheme="minorEastAsia"/>
              <w:noProof/>
              <w:sz w:val="24"/>
              <w:szCs w:val="24"/>
              <w:lang w:eastAsia="en-GB"/>
            </w:rPr>
          </w:pPr>
          <w:hyperlink w:anchor="_Toc224651842" w:history="1">
            <w:r w:rsidRPr="004F3C9B">
              <w:rPr>
                <w:rStyle w:val="Hyperlink"/>
                <w:noProof/>
              </w:rPr>
              <w:t>Case Study Analysis: Leadership, Governance and Systems in the Lewis Blackman Case</w:t>
            </w:r>
            <w:r>
              <w:rPr>
                <w:noProof/>
                <w:webHidden/>
              </w:rPr>
              <w:tab/>
            </w:r>
            <w:r>
              <w:rPr>
                <w:noProof/>
                <w:webHidden/>
              </w:rPr>
              <w:fldChar w:fldCharType="begin"/>
            </w:r>
            <w:r>
              <w:rPr>
                <w:noProof/>
                <w:webHidden/>
              </w:rPr>
              <w:instrText xml:space="preserve"> PAGEREF _Toc224651842 \h </w:instrText>
            </w:r>
            <w:r>
              <w:rPr>
                <w:noProof/>
                <w:webHidden/>
              </w:rPr>
            </w:r>
            <w:r>
              <w:rPr>
                <w:noProof/>
                <w:webHidden/>
              </w:rPr>
              <w:fldChar w:fldCharType="separate"/>
            </w:r>
            <w:r>
              <w:rPr>
                <w:noProof/>
                <w:webHidden/>
              </w:rPr>
              <w:t>5</w:t>
            </w:r>
            <w:r>
              <w:rPr>
                <w:noProof/>
                <w:webHidden/>
              </w:rPr>
              <w:fldChar w:fldCharType="end"/>
            </w:r>
          </w:hyperlink>
        </w:p>
        <w:p w14:paraId="19566D7F" w14:textId="52759F72" w:rsidR="00935CAA" w:rsidRDefault="00935CAA">
          <w:pPr>
            <w:pStyle w:val="TOC2"/>
            <w:tabs>
              <w:tab w:val="right" w:leader="dot" w:pos="9016"/>
            </w:tabs>
            <w:rPr>
              <w:rFonts w:eastAsiaTheme="minorEastAsia"/>
              <w:noProof/>
              <w:sz w:val="24"/>
              <w:szCs w:val="24"/>
              <w:lang w:eastAsia="en-GB"/>
            </w:rPr>
          </w:pPr>
          <w:hyperlink w:anchor="_Toc224651843" w:history="1">
            <w:r w:rsidRPr="004F3C9B">
              <w:rPr>
                <w:rStyle w:val="Hyperlink"/>
                <w:noProof/>
              </w:rPr>
              <w:t>Identifying the Problem and Setting the System Context</w:t>
            </w:r>
            <w:r>
              <w:rPr>
                <w:noProof/>
                <w:webHidden/>
              </w:rPr>
              <w:tab/>
            </w:r>
            <w:r>
              <w:rPr>
                <w:noProof/>
                <w:webHidden/>
              </w:rPr>
              <w:fldChar w:fldCharType="begin"/>
            </w:r>
            <w:r>
              <w:rPr>
                <w:noProof/>
                <w:webHidden/>
              </w:rPr>
              <w:instrText xml:space="preserve"> PAGEREF _Toc224651843 \h </w:instrText>
            </w:r>
            <w:r>
              <w:rPr>
                <w:noProof/>
                <w:webHidden/>
              </w:rPr>
            </w:r>
            <w:r>
              <w:rPr>
                <w:noProof/>
                <w:webHidden/>
              </w:rPr>
              <w:fldChar w:fldCharType="separate"/>
            </w:r>
            <w:r>
              <w:rPr>
                <w:noProof/>
                <w:webHidden/>
              </w:rPr>
              <w:t>5</w:t>
            </w:r>
            <w:r>
              <w:rPr>
                <w:noProof/>
                <w:webHidden/>
              </w:rPr>
              <w:fldChar w:fldCharType="end"/>
            </w:r>
          </w:hyperlink>
        </w:p>
        <w:p w14:paraId="23B37150" w14:textId="1FBF5029" w:rsidR="00935CAA" w:rsidRDefault="00935CAA">
          <w:pPr>
            <w:pStyle w:val="TOC2"/>
            <w:tabs>
              <w:tab w:val="right" w:leader="dot" w:pos="9016"/>
            </w:tabs>
            <w:rPr>
              <w:rFonts w:eastAsiaTheme="minorEastAsia"/>
              <w:noProof/>
              <w:sz w:val="24"/>
              <w:szCs w:val="24"/>
              <w:lang w:eastAsia="en-GB"/>
            </w:rPr>
          </w:pPr>
          <w:hyperlink w:anchor="_Toc224651844" w:history="1">
            <w:r w:rsidRPr="004F3C9B">
              <w:rPr>
                <w:rStyle w:val="Hyperlink"/>
                <w:noProof/>
              </w:rPr>
              <w:t>Centralisation or Decentralisation within the Case Study</w:t>
            </w:r>
            <w:r>
              <w:rPr>
                <w:noProof/>
                <w:webHidden/>
              </w:rPr>
              <w:tab/>
            </w:r>
            <w:r>
              <w:rPr>
                <w:noProof/>
                <w:webHidden/>
              </w:rPr>
              <w:fldChar w:fldCharType="begin"/>
            </w:r>
            <w:r>
              <w:rPr>
                <w:noProof/>
                <w:webHidden/>
              </w:rPr>
              <w:instrText xml:space="preserve"> PAGEREF _Toc224651844 \h </w:instrText>
            </w:r>
            <w:r>
              <w:rPr>
                <w:noProof/>
                <w:webHidden/>
              </w:rPr>
            </w:r>
            <w:r>
              <w:rPr>
                <w:noProof/>
                <w:webHidden/>
              </w:rPr>
              <w:fldChar w:fldCharType="separate"/>
            </w:r>
            <w:r>
              <w:rPr>
                <w:noProof/>
                <w:webHidden/>
              </w:rPr>
              <w:t>8</w:t>
            </w:r>
            <w:r>
              <w:rPr>
                <w:noProof/>
                <w:webHidden/>
              </w:rPr>
              <w:fldChar w:fldCharType="end"/>
            </w:r>
          </w:hyperlink>
        </w:p>
        <w:p w14:paraId="360ECB2D" w14:textId="1D0C1F5A" w:rsidR="00935CAA" w:rsidRDefault="00935CAA">
          <w:pPr>
            <w:pStyle w:val="TOC2"/>
            <w:tabs>
              <w:tab w:val="right" w:leader="dot" w:pos="9016"/>
            </w:tabs>
            <w:rPr>
              <w:rFonts w:eastAsiaTheme="minorEastAsia"/>
              <w:noProof/>
              <w:sz w:val="24"/>
              <w:szCs w:val="24"/>
              <w:lang w:eastAsia="en-GB"/>
            </w:rPr>
          </w:pPr>
          <w:hyperlink w:anchor="_Toc224651845" w:history="1">
            <w:r w:rsidRPr="004F3C9B">
              <w:rPr>
                <w:rStyle w:val="Hyperlink"/>
                <w:noProof/>
              </w:rPr>
              <w:t>Leadership Theories and Application to the Case Study</w:t>
            </w:r>
            <w:r>
              <w:rPr>
                <w:noProof/>
                <w:webHidden/>
              </w:rPr>
              <w:tab/>
            </w:r>
            <w:r>
              <w:rPr>
                <w:noProof/>
                <w:webHidden/>
              </w:rPr>
              <w:fldChar w:fldCharType="begin"/>
            </w:r>
            <w:r>
              <w:rPr>
                <w:noProof/>
                <w:webHidden/>
              </w:rPr>
              <w:instrText xml:space="preserve"> PAGEREF _Toc224651845 \h </w:instrText>
            </w:r>
            <w:r>
              <w:rPr>
                <w:noProof/>
                <w:webHidden/>
              </w:rPr>
            </w:r>
            <w:r>
              <w:rPr>
                <w:noProof/>
                <w:webHidden/>
              </w:rPr>
              <w:fldChar w:fldCharType="separate"/>
            </w:r>
            <w:r>
              <w:rPr>
                <w:noProof/>
                <w:webHidden/>
              </w:rPr>
              <w:t>10</w:t>
            </w:r>
            <w:r>
              <w:rPr>
                <w:noProof/>
                <w:webHidden/>
              </w:rPr>
              <w:fldChar w:fldCharType="end"/>
            </w:r>
          </w:hyperlink>
        </w:p>
        <w:p w14:paraId="70955144" w14:textId="3BA7D36E" w:rsidR="00935CAA" w:rsidRDefault="00935CAA">
          <w:pPr>
            <w:pStyle w:val="TOC2"/>
            <w:tabs>
              <w:tab w:val="right" w:leader="dot" w:pos="9016"/>
            </w:tabs>
            <w:rPr>
              <w:rFonts w:eastAsiaTheme="minorEastAsia"/>
              <w:noProof/>
              <w:sz w:val="24"/>
              <w:szCs w:val="24"/>
              <w:lang w:eastAsia="en-GB"/>
            </w:rPr>
          </w:pPr>
          <w:hyperlink w:anchor="_Toc224651846" w:history="1">
            <w:r w:rsidRPr="004F3C9B">
              <w:rPr>
                <w:rStyle w:val="Hyperlink"/>
                <w:noProof/>
              </w:rPr>
              <w:t>Improvement and Lessons Learned</w:t>
            </w:r>
            <w:r>
              <w:rPr>
                <w:noProof/>
                <w:webHidden/>
              </w:rPr>
              <w:tab/>
            </w:r>
            <w:r>
              <w:rPr>
                <w:noProof/>
                <w:webHidden/>
              </w:rPr>
              <w:fldChar w:fldCharType="begin"/>
            </w:r>
            <w:r>
              <w:rPr>
                <w:noProof/>
                <w:webHidden/>
              </w:rPr>
              <w:instrText xml:space="preserve"> PAGEREF _Toc224651846 \h </w:instrText>
            </w:r>
            <w:r>
              <w:rPr>
                <w:noProof/>
                <w:webHidden/>
              </w:rPr>
            </w:r>
            <w:r>
              <w:rPr>
                <w:noProof/>
                <w:webHidden/>
              </w:rPr>
              <w:fldChar w:fldCharType="separate"/>
            </w:r>
            <w:r>
              <w:rPr>
                <w:noProof/>
                <w:webHidden/>
              </w:rPr>
              <w:t>14</w:t>
            </w:r>
            <w:r>
              <w:rPr>
                <w:noProof/>
                <w:webHidden/>
              </w:rPr>
              <w:fldChar w:fldCharType="end"/>
            </w:r>
          </w:hyperlink>
        </w:p>
        <w:p w14:paraId="2B5B8854" w14:textId="7853A948" w:rsidR="00935CAA" w:rsidRDefault="00935CAA">
          <w:pPr>
            <w:pStyle w:val="TOC1"/>
            <w:tabs>
              <w:tab w:val="right" w:leader="dot" w:pos="9016"/>
            </w:tabs>
            <w:rPr>
              <w:rFonts w:eastAsiaTheme="minorEastAsia"/>
              <w:noProof/>
              <w:sz w:val="24"/>
              <w:szCs w:val="24"/>
              <w:lang w:eastAsia="en-GB"/>
            </w:rPr>
          </w:pPr>
          <w:hyperlink w:anchor="_Toc224651847" w:history="1">
            <w:r w:rsidRPr="004F3C9B">
              <w:rPr>
                <w:rStyle w:val="Hyperlink"/>
                <w:noProof/>
              </w:rPr>
              <w:t>Recommendation</w:t>
            </w:r>
            <w:r>
              <w:rPr>
                <w:noProof/>
                <w:webHidden/>
              </w:rPr>
              <w:tab/>
            </w:r>
            <w:r>
              <w:rPr>
                <w:noProof/>
                <w:webHidden/>
              </w:rPr>
              <w:fldChar w:fldCharType="begin"/>
            </w:r>
            <w:r>
              <w:rPr>
                <w:noProof/>
                <w:webHidden/>
              </w:rPr>
              <w:instrText xml:space="preserve"> PAGEREF _Toc224651847 \h </w:instrText>
            </w:r>
            <w:r>
              <w:rPr>
                <w:noProof/>
                <w:webHidden/>
              </w:rPr>
            </w:r>
            <w:r>
              <w:rPr>
                <w:noProof/>
                <w:webHidden/>
              </w:rPr>
              <w:fldChar w:fldCharType="separate"/>
            </w:r>
            <w:r>
              <w:rPr>
                <w:noProof/>
                <w:webHidden/>
              </w:rPr>
              <w:t>18</w:t>
            </w:r>
            <w:r>
              <w:rPr>
                <w:noProof/>
                <w:webHidden/>
              </w:rPr>
              <w:fldChar w:fldCharType="end"/>
            </w:r>
          </w:hyperlink>
        </w:p>
        <w:p w14:paraId="7189C445" w14:textId="4E88F5AB" w:rsidR="00935CAA" w:rsidRDefault="00935CAA">
          <w:pPr>
            <w:pStyle w:val="TOC2"/>
            <w:tabs>
              <w:tab w:val="right" w:leader="dot" w:pos="9016"/>
            </w:tabs>
            <w:rPr>
              <w:rFonts w:eastAsiaTheme="minorEastAsia"/>
              <w:noProof/>
              <w:sz w:val="24"/>
              <w:szCs w:val="24"/>
              <w:lang w:eastAsia="en-GB"/>
            </w:rPr>
          </w:pPr>
          <w:hyperlink w:anchor="_Toc224651848" w:history="1">
            <w:r w:rsidRPr="004F3C9B">
              <w:rPr>
                <w:rStyle w:val="Hyperlink"/>
                <w:noProof/>
              </w:rPr>
              <w:t>Conclusion</w:t>
            </w:r>
            <w:r>
              <w:rPr>
                <w:noProof/>
                <w:webHidden/>
              </w:rPr>
              <w:tab/>
            </w:r>
            <w:r>
              <w:rPr>
                <w:noProof/>
                <w:webHidden/>
              </w:rPr>
              <w:fldChar w:fldCharType="begin"/>
            </w:r>
            <w:r>
              <w:rPr>
                <w:noProof/>
                <w:webHidden/>
              </w:rPr>
              <w:instrText xml:space="preserve"> PAGEREF _Toc224651848 \h </w:instrText>
            </w:r>
            <w:r>
              <w:rPr>
                <w:noProof/>
                <w:webHidden/>
              </w:rPr>
            </w:r>
            <w:r>
              <w:rPr>
                <w:noProof/>
                <w:webHidden/>
              </w:rPr>
              <w:fldChar w:fldCharType="separate"/>
            </w:r>
            <w:r>
              <w:rPr>
                <w:noProof/>
                <w:webHidden/>
              </w:rPr>
              <w:t>19</w:t>
            </w:r>
            <w:r>
              <w:rPr>
                <w:noProof/>
                <w:webHidden/>
              </w:rPr>
              <w:fldChar w:fldCharType="end"/>
            </w:r>
          </w:hyperlink>
        </w:p>
        <w:p w14:paraId="4D3B8F64" w14:textId="41D84687" w:rsidR="00935CAA" w:rsidRDefault="00935CAA">
          <w:pPr>
            <w:pStyle w:val="TOC1"/>
            <w:tabs>
              <w:tab w:val="right" w:leader="dot" w:pos="9016"/>
            </w:tabs>
            <w:rPr>
              <w:rFonts w:eastAsiaTheme="minorEastAsia"/>
              <w:noProof/>
              <w:sz w:val="24"/>
              <w:szCs w:val="24"/>
              <w:lang w:eastAsia="en-GB"/>
            </w:rPr>
          </w:pPr>
          <w:hyperlink w:anchor="_Toc224651849" w:history="1">
            <w:r w:rsidRPr="004F3C9B">
              <w:rPr>
                <w:rStyle w:val="Hyperlink"/>
                <w:noProof/>
              </w:rPr>
              <w:t>Reference List</w:t>
            </w:r>
            <w:r>
              <w:rPr>
                <w:noProof/>
                <w:webHidden/>
              </w:rPr>
              <w:tab/>
            </w:r>
            <w:r>
              <w:rPr>
                <w:noProof/>
                <w:webHidden/>
              </w:rPr>
              <w:fldChar w:fldCharType="begin"/>
            </w:r>
            <w:r>
              <w:rPr>
                <w:noProof/>
                <w:webHidden/>
              </w:rPr>
              <w:instrText xml:space="preserve"> PAGEREF _Toc224651849 \h </w:instrText>
            </w:r>
            <w:r>
              <w:rPr>
                <w:noProof/>
                <w:webHidden/>
              </w:rPr>
            </w:r>
            <w:r>
              <w:rPr>
                <w:noProof/>
                <w:webHidden/>
              </w:rPr>
              <w:fldChar w:fldCharType="separate"/>
            </w:r>
            <w:r>
              <w:rPr>
                <w:noProof/>
                <w:webHidden/>
              </w:rPr>
              <w:t>21</w:t>
            </w:r>
            <w:r>
              <w:rPr>
                <w:noProof/>
                <w:webHidden/>
              </w:rPr>
              <w:fldChar w:fldCharType="end"/>
            </w:r>
          </w:hyperlink>
        </w:p>
        <w:p w14:paraId="5C9C98ED" w14:textId="00F8C0C8" w:rsidR="00B72435" w:rsidRDefault="00B72435">
          <w:r>
            <w:rPr>
              <w:b/>
              <w:bCs/>
              <w:noProof/>
            </w:rPr>
            <w:fldChar w:fldCharType="end"/>
          </w:r>
        </w:p>
      </w:sdtContent>
    </w:sdt>
    <w:p w14:paraId="39A03137" w14:textId="77777777" w:rsidR="00B26C09" w:rsidRDefault="00B26C09" w:rsidP="00EE745B">
      <w:pPr>
        <w:spacing w:line="360" w:lineRule="auto"/>
        <w:rPr>
          <w:rFonts w:ascii="Arial" w:hAnsi="Arial" w:cs="Arial"/>
          <w:b/>
          <w:bCs/>
          <w:sz w:val="28"/>
          <w:szCs w:val="28"/>
        </w:rPr>
      </w:pPr>
    </w:p>
    <w:p w14:paraId="232DB53E" w14:textId="77777777" w:rsidR="00B26C09" w:rsidRDefault="00B26C09" w:rsidP="00EE745B">
      <w:pPr>
        <w:spacing w:line="360" w:lineRule="auto"/>
        <w:rPr>
          <w:rFonts w:ascii="Arial" w:hAnsi="Arial" w:cs="Arial"/>
          <w:b/>
          <w:bCs/>
          <w:sz w:val="28"/>
          <w:szCs w:val="28"/>
        </w:rPr>
      </w:pPr>
    </w:p>
    <w:p w14:paraId="201F5F35" w14:textId="77777777" w:rsidR="00B26C09" w:rsidRDefault="00B26C09" w:rsidP="00EE745B">
      <w:pPr>
        <w:spacing w:line="360" w:lineRule="auto"/>
        <w:rPr>
          <w:rFonts w:ascii="Arial" w:hAnsi="Arial" w:cs="Arial"/>
          <w:b/>
          <w:bCs/>
          <w:sz w:val="28"/>
          <w:szCs w:val="28"/>
        </w:rPr>
      </w:pPr>
    </w:p>
    <w:p w14:paraId="45AAF842" w14:textId="77777777" w:rsidR="00B26C09" w:rsidRDefault="00B26C09" w:rsidP="00EE745B">
      <w:pPr>
        <w:spacing w:line="360" w:lineRule="auto"/>
        <w:rPr>
          <w:rFonts w:ascii="Arial" w:hAnsi="Arial" w:cs="Arial"/>
          <w:b/>
          <w:bCs/>
          <w:sz w:val="28"/>
          <w:szCs w:val="28"/>
        </w:rPr>
      </w:pPr>
    </w:p>
    <w:p w14:paraId="491BEA37" w14:textId="77777777" w:rsidR="00B26C09" w:rsidRDefault="00B26C09" w:rsidP="00EE745B">
      <w:pPr>
        <w:spacing w:line="360" w:lineRule="auto"/>
        <w:rPr>
          <w:rFonts w:ascii="Arial" w:hAnsi="Arial" w:cs="Arial"/>
          <w:b/>
          <w:bCs/>
          <w:sz w:val="28"/>
          <w:szCs w:val="28"/>
        </w:rPr>
      </w:pPr>
    </w:p>
    <w:p w14:paraId="2C599A0C" w14:textId="77777777" w:rsidR="00B26C09" w:rsidRDefault="00B26C09" w:rsidP="00EE745B">
      <w:pPr>
        <w:spacing w:line="360" w:lineRule="auto"/>
        <w:rPr>
          <w:rFonts w:ascii="Arial" w:hAnsi="Arial" w:cs="Arial"/>
          <w:b/>
          <w:bCs/>
          <w:sz w:val="28"/>
          <w:szCs w:val="28"/>
        </w:rPr>
      </w:pPr>
    </w:p>
    <w:p w14:paraId="7A8CB467" w14:textId="77777777" w:rsidR="00B26C09" w:rsidRDefault="00B26C09" w:rsidP="00EE745B">
      <w:pPr>
        <w:spacing w:line="360" w:lineRule="auto"/>
        <w:rPr>
          <w:rFonts w:ascii="Arial" w:hAnsi="Arial" w:cs="Arial"/>
          <w:b/>
          <w:bCs/>
          <w:sz w:val="28"/>
          <w:szCs w:val="28"/>
        </w:rPr>
      </w:pPr>
    </w:p>
    <w:p w14:paraId="132502F1" w14:textId="77777777" w:rsidR="00B26C09" w:rsidRDefault="00B26C09" w:rsidP="00EE745B">
      <w:pPr>
        <w:spacing w:line="360" w:lineRule="auto"/>
        <w:rPr>
          <w:rFonts w:ascii="Arial" w:hAnsi="Arial" w:cs="Arial"/>
          <w:b/>
          <w:bCs/>
          <w:sz w:val="28"/>
          <w:szCs w:val="28"/>
        </w:rPr>
      </w:pPr>
    </w:p>
    <w:p w14:paraId="149D459B" w14:textId="77777777" w:rsidR="00B26C09" w:rsidRDefault="00B26C09" w:rsidP="00EE745B">
      <w:pPr>
        <w:spacing w:line="360" w:lineRule="auto"/>
        <w:rPr>
          <w:rFonts w:ascii="Arial" w:hAnsi="Arial" w:cs="Arial"/>
          <w:b/>
          <w:bCs/>
          <w:sz w:val="28"/>
          <w:szCs w:val="28"/>
        </w:rPr>
      </w:pPr>
    </w:p>
    <w:p w14:paraId="1658CE16" w14:textId="77777777" w:rsidR="00B26C09" w:rsidRDefault="00B26C09" w:rsidP="00EE745B">
      <w:pPr>
        <w:spacing w:line="360" w:lineRule="auto"/>
        <w:rPr>
          <w:rFonts w:ascii="Arial" w:hAnsi="Arial" w:cs="Arial"/>
          <w:b/>
          <w:bCs/>
          <w:sz w:val="28"/>
          <w:szCs w:val="28"/>
        </w:rPr>
      </w:pPr>
    </w:p>
    <w:p w14:paraId="1F139D32" w14:textId="77777777" w:rsidR="00B26C09" w:rsidRDefault="00B26C09" w:rsidP="00EE745B">
      <w:pPr>
        <w:spacing w:line="360" w:lineRule="auto"/>
        <w:rPr>
          <w:rFonts w:ascii="Arial" w:hAnsi="Arial" w:cs="Arial"/>
          <w:b/>
          <w:bCs/>
          <w:sz w:val="28"/>
          <w:szCs w:val="28"/>
        </w:rPr>
      </w:pPr>
    </w:p>
    <w:p w14:paraId="79B681B5" w14:textId="77777777" w:rsidR="00B26C09" w:rsidRDefault="00B26C09" w:rsidP="00EE745B">
      <w:pPr>
        <w:spacing w:line="360" w:lineRule="auto"/>
        <w:rPr>
          <w:rFonts w:ascii="Arial" w:hAnsi="Arial" w:cs="Arial"/>
          <w:b/>
          <w:bCs/>
          <w:sz w:val="28"/>
          <w:szCs w:val="28"/>
        </w:rPr>
      </w:pPr>
    </w:p>
    <w:p w14:paraId="28371E24" w14:textId="77777777" w:rsidR="00B26C09" w:rsidRDefault="00B26C09" w:rsidP="00EE745B">
      <w:pPr>
        <w:spacing w:line="360" w:lineRule="auto"/>
        <w:rPr>
          <w:rFonts w:ascii="Arial" w:hAnsi="Arial" w:cs="Arial"/>
          <w:b/>
          <w:bCs/>
          <w:sz w:val="28"/>
          <w:szCs w:val="28"/>
        </w:rPr>
      </w:pPr>
    </w:p>
    <w:p w14:paraId="3B0C66CB" w14:textId="6D8C1E58" w:rsidR="00F56D2C" w:rsidRDefault="004F111F" w:rsidP="00B550BD">
      <w:pPr>
        <w:pStyle w:val="Heading1"/>
      </w:pPr>
      <w:bookmarkStart w:id="0" w:name="_Toc224651840"/>
      <w:r>
        <w:t>Executive Summary</w:t>
      </w:r>
      <w:bookmarkEnd w:id="0"/>
    </w:p>
    <w:p w14:paraId="2C0A6CD7" w14:textId="255137C5" w:rsidR="004F111F" w:rsidRPr="004F111F" w:rsidRDefault="00E25F98" w:rsidP="004F111F">
      <w:r w:rsidRPr="00E25F98">
        <w:t>This case study critically examines the Lewis Blackman case to explore how failures in leadership, communication, and governance contributed to a preventable patient death. It applies systems thinking and key leadership theories to analyse how organisational structures and cultural factors influenced clinical decision-making and patient safety. The report identifies key lessons and provides evidence-based recommendations to improve leadership practices, strengthen governance, and enhance safety culture within healthcare systems.</w:t>
      </w:r>
    </w:p>
    <w:p w14:paraId="09F4DC55" w14:textId="0ACB79CD" w:rsidR="00EE745B" w:rsidRPr="00EE745B" w:rsidRDefault="00EE745B" w:rsidP="00B550BD">
      <w:pPr>
        <w:pStyle w:val="Heading1"/>
      </w:pPr>
      <w:bookmarkStart w:id="1" w:name="_Toc224651841"/>
      <w:r w:rsidRPr="00EE745B">
        <w:t>Introduction</w:t>
      </w:r>
      <w:bookmarkEnd w:id="1"/>
      <w:r w:rsidRPr="00EE745B">
        <w:t xml:space="preserve"> </w:t>
      </w:r>
    </w:p>
    <w:p w14:paraId="11B55F5B" w14:textId="77777777" w:rsidR="00EE745B" w:rsidRPr="00EE745B" w:rsidRDefault="00EE745B" w:rsidP="00EE745B">
      <w:pPr>
        <w:spacing w:line="360" w:lineRule="auto"/>
        <w:rPr>
          <w:rFonts w:ascii="Arial" w:hAnsi="Arial" w:cs="Arial"/>
        </w:rPr>
      </w:pPr>
      <w:r w:rsidRPr="00EE745B">
        <w:rPr>
          <w:rFonts w:ascii="Arial" w:hAnsi="Arial" w:cs="Arial"/>
        </w:rPr>
        <w:t>The Lewis Blackman case represents a significant example of medical malpractice and systemic failure within healthcare delivery. Lewis Blackman 15 years old, died in 2000 following a routine surgical procedure due to unidentified postoperative complications, inadequate monitoring, and poor communication between healthcare professionals (Haskell, 2015). His mother, Helen Haskell, later became a prominent patient safety advocate, arguing that the hospital environment prevented staff from escalating concerns effectively because of cognitive biases, hierarchical decision-making, and fragmented care delivery (Haskell, 2015). This case illustrates how failures in leadership, communication, and organisational culture can have severe consequences for patient safety and quality of care. Understanding how leadership approaches influence clinical decision-making and organisational behaviour is therefore essential for improving healthcare systems. This report analyses the Lewis Blackman case using leadership theory and systems thinking to explore how leadership failures contributed to the outcome.</w:t>
      </w:r>
    </w:p>
    <w:p w14:paraId="7617DB8E" w14:textId="77777777" w:rsidR="00EE745B" w:rsidRPr="00EE745B" w:rsidRDefault="00EE745B" w:rsidP="00EE745B">
      <w:pPr>
        <w:spacing w:line="360" w:lineRule="auto"/>
        <w:rPr>
          <w:rFonts w:ascii="Arial" w:hAnsi="Arial" w:cs="Arial"/>
        </w:rPr>
      </w:pPr>
      <w:r w:rsidRPr="00EE745B">
        <w:rPr>
          <w:rFonts w:ascii="Arial" w:hAnsi="Arial" w:cs="Arial"/>
        </w:rPr>
        <w:t>Leadership in health and social care can be defined as the process of influencing and motivating individuals or teams to achieve shared goals, particularly the delivery of safe, effective, and compassionate care (Northouse, 2021). In complex and high-risk healthcare environments, effective leadership is essential for promoting accountability, teamwork, and continuous improvement in clinical practice (West et al., 2015). Leaders play a crucial role in shaping organisational culture, communication processes, and staff confidence in raising concerns about patient safety. However, ineffective leadership can reinforce rigid hierarchies, discourage open communication, and prevent healthcare professionals from challenging unsafe decisions, thereby increasing the risk of adverse outcomes (</w:t>
      </w:r>
      <w:proofErr w:type="spellStart"/>
      <w:r w:rsidRPr="00EE745B">
        <w:rPr>
          <w:rFonts w:ascii="Arial" w:hAnsi="Arial" w:cs="Arial"/>
        </w:rPr>
        <w:t>Fernandopulle</w:t>
      </w:r>
      <w:proofErr w:type="spellEnd"/>
      <w:r w:rsidRPr="00EE745B">
        <w:rPr>
          <w:rFonts w:ascii="Arial" w:hAnsi="Arial" w:cs="Arial"/>
        </w:rPr>
        <w:t>, 2021)</w:t>
      </w:r>
    </w:p>
    <w:p w14:paraId="0C4ECAF4" w14:textId="77777777" w:rsidR="00EE745B" w:rsidRPr="00EE745B" w:rsidRDefault="00EE745B" w:rsidP="00EE745B">
      <w:pPr>
        <w:spacing w:line="360" w:lineRule="auto"/>
        <w:rPr>
          <w:rFonts w:ascii="Arial" w:hAnsi="Arial" w:cs="Arial"/>
        </w:rPr>
      </w:pPr>
      <w:r w:rsidRPr="00EE745B">
        <w:rPr>
          <w:rFonts w:ascii="Arial" w:hAnsi="Arial" w:cs="Arial"/>
        </w:rPr>
        <w:t xml:space="preserve">Organisational structure also significantly influences leadership effectiveness within healthcare systems. Centralisation refers to organisational structures where decision-making </w:t>
      </w:r>
      <w:r w:rsidRPr="00EE745B">
        <w:rPr>
          <w:rFonts w:ascii="Arial" w:hAnsi="Arial" w:cs="Arial"/>
        </w:rPr>
        <w:lastRenderedPageBreak/>
        <w:t>authority is concentrated at senior management levels, whereas decentralisation distributes authority across multiple levels of the organisation (</w:t>
      </w:r>
      <w:proofErr w:type="spellStart"/>
      <w:r w:rsidRPr="00EE745B">
        <w:rPr>
          <w:rFonts w:ascii="Arial" w:hAnsi="Arial" w:cs="Arial"/>
        </w:rPr>
        <w:t>Fernandopulle</w:t>
      </w:r>
      <w:proofErr w:type="spellEnd"/>
      <w:r w:rsidRPr="00EE745B">
        <w:rPr>
          <w:rFonts w:ascii="Arial" w:hAnsi="Arial" w:cs="Arial"/>
        </w:rPr>
        <w:t>, 2021). While centralised systems may provide clear accountability and consistent policies, excessive centralisation can delay critical clinical decisions. In contrast, decentralised structures may allow frontline healthcare professionals to respond more quickly to patient deterioration but may also create inconsistencies if governance mechanisms are weak.</w:t>
      </w:r>
    </w:p>
    <w:p w14:paraId="45CCA990" w14:textId="2C938253" w:rsidR="00EE745B" w:rsidRPr="00EE745B" w:rsidRDefault="00EE745B" w:rsidP="00EE745B">
      <w:pPr>
        <w:spacing w:line="360" w:lineRule="auto"/>
        <w:rPr>
          <w:rFonts w:ascii="Arial" w:hAnsi="Arial" w:cs="Arial"/>
        </w:rPr>
      </w:pPr>
      <w:r w:rsidRPr="00EE745B">
        <w:rPr>
          <w:rFonts w:ascii="Arial" w:hAnsi="Arial" w:cs="Arial"/>
        </w:rPr>
        <w:t xml:space="preserve">Several leadership theories provide useful frameworks for analysing leadership behaviour in healthcare settings. Behavioural leadership theory focuses on observable leadership actions and how they influence team performance (A Review of Leadership Theories in </w:t>
      </w:r>
      <w:r w:rsidR="00657279" w:rsidRPr="00EE745B">
        <w:rPr>
          <w:rFonts w:ascii="Arial" w:hAnsi="Arial" w:cs="Arial"/>
        </w:rPr>
        <w:t>Healthcare:</w:t>
      </w:r>
      <w:r w:rsidRPr="00EE745B">
        <w:rPr>
          <w:rFonts w:ascii="Arial" w:hAnsi="Arial" w:cs="Arial"/>
        </w:rPr>
        <w:t xml:space="preserve"> Journal of Pharmacy and </w:t>
      </w:r>
      <w:proofErr w:type="spellStart"/>
      <w:r w:rsidRPr="00EE745B">
        <w:rPr>
          <w:rFonts w:ascii="Arial" w:hAnsi="Arial" w:cs="Arial"/>
        </w:rPr>
        <w:t>Bioallied</w:t>
      </w:r>
      <w:proofErr w:type="spellEnd"/>
      <w:r w:rsidRPr="00EE745B">
        <w:rPr>
          <w:rFonts w:ascii="Arial" w:hAnsi="Arial" w:cs="Arial"/>
        </w:rPr>
        <w:t xml:space="preserve"> Sciences, 2025) Tannenbaum and Schmidt’s Leadership Continuum Theory suggests that leaders may adopt either authoritarian or democratic leadership styles depending on the context (Tannenbaum and Schmidt, 1958). McGregor’s Theory X and Theory Y explore managerial assumptions regarding employee motivation, with Theory Y promoting autonomy and engagement while Theory X emphasises control and supervision (Public Administration Institute, 2024). In addition, transformational leadership promotes shared vision and organisational change, transactional leadership focuses on performance monitoring and structured rewards, and situational leadership emphasises adapting leadership behaviour according to the needs of the situation (Bass and Riggio, 2006; Hersey, Blanchard and Johnson, 2013).</w:t>
      </w:r>
    </w:p>
    <w:p w14:paraId="5791D89F" w14:textId="77777777" w:rsidR="00EE745B" w:rsidRPr="00EE745B" w:rsidRDefault="00EE745B" w:rsidP="00EE745B">
      <w:pPr>
        <w:spacing w:line="360" w:lineRule="auto"/>
        <w:rPr>
          <w:rFonts w:ascii="Arial" w:hAnsi="Arial" w:cs="Arial"/>
        </w:rPr>
      </w:pPr>
    </w:p>
    <w:p w14:paraId="11302767" w14:textId="77777777" w:rsidR="00EE745B" w:rsidRPr="00EE745B" w:rsidRDefault="00EE745B" w:rsidP="00EE745B">
      <w:pPr>
        <w:spacing w:line="360" w:lineRule="auto"/>
        <w:rPr>
          <w:rFonts w:ascii="Arial" w:hAnsi="Arial" w:cs="Arial"/>
        </w:rPr>
      </w:pPr>
      <w:r w:rsidRPr="00EE745B">
        <w:rPr>
          <w:rFonts w:ascii="Arial" w:hAnsi="Arial" w:cs="Arial"/>
        </w:rPr>
        <w:t>Selecting the appropriate leadership style is particularly important during organisational change or crisis situations. Research suggests that compassionate and inclusive leadership improves safety culture, staff engagement, and patient outcomes within healthcare organisations (West et al., 2015). Therefore, this report critically examines the leadership failures in the Lewis Blackman case, with particular emphasis on how ineffective leadership, hierarchical barriers, and weak governance contributed to compromised patient safety. It analyses key leadership theories to explore how leadership influences clinical decision-making, communication, and organisational culture. The report also considers the impact of organisational structures and power dynamics on staff behaviour, particularly in limiting escalation and open communication. Furthermore, it evaluates how more effective and adaptive leadership approaches could have improved patient safety and prevented avoidable harm (West et al., 2015).</w:t>
      </w:r>
    </w:p>
    <w:p w14:paraId="7F645383" w14:textId="77777777" w:rsidR="00EE745B" w:rsidRPr="00EE745B" w:rsidRDefault="00EE745B" w:rsidP="00EE745B">
      <w:pPr>
        <w:spacing w:line="360" w:lineRule="auto"/>
        <w:rPr>
          <w:rFonts w:ascii="Arial" w:hAnsi="Arial" w:cs="Arial"/>
        </w:rPr>
      </w:pPr>
    </w:p>
    <w:p w14:paraId="68C0E4E7" w14:textId="77777777" w:rsidR="00B65F69" w:rsidRPr="00EE745B" w:rsidRDefault="00B65F69" w:rsidP="00EE745B">
      <w:pPr>
        <w:spacing w:line="360" w:lineRule="auto"/>
        <w:rPr>
          <w:rFonts w:ascii="Arial" w:hAnsi="Arial" w:cs="Arial"/>
        </w:rPr>
      </w:pPr>
    </w:p>
    <w:p w14:paraId="171B0827" w14:textId="77777777" w:rsidR="00EE745B" w:rsidRPr="00B550BD" w:rsidRDefault="00EE745B" w:rsidP="00B550BD">
      <w:pPr>
        <w:pStyle w:val="Heading1"/>
      </w:pPr>
      <w:bookmarkStart w:id="2" w:name="_Toc224651842"/>
      <w:r w:rsidRPr="00B550BD">
        <w:lastRenderedPageBreak/>
        <w:t>Case Study Analysis: Leadership, Governance and Systems in the Lewis Blackman Case</w:t>
      </w:r>
      <w:bookmarkEnd w:id="2"/>
    </w:p>
    <w:p w14:paraId="03148C39" w14:textId="5BFB813D" w:rsidR="00EE745B" w:rsidRPr="00EE745B" w:rsidRDefault="00EE745B" w:rsidP="00B550BD">
      <w:pPr>
        <w:pStyle w:val="Heading2"/>
      </w:pPr>
      <w:bookmarkStart w:id="3" w:name="_Toc224651843"/>
      <w:r w:rsidRPr="00EE745B">
        <w:t>Identifying the Problem and Setting the System Context</w:t>
      </w:r>
      <w:bookmarkEnd w:id="3"/>
      <w:r w:rsidRPr="00EE745B">
        <w:t xml:space="preserve"> </w:t>
      </w:r>
    </w:p>
    <w:p w14:paraId="46542832" w14:textId="77777777" w:rsidR="00EE745B" w:rsidRPr="00EE745B" w:rsidRDefault="00EE745B" w:rsidP="00EE745B">
      <w:pPr>
        <w:spacing w:line="360" w:lineRule="auto"/>
        <w:rPr>
          <w:rFonts w:ascii="Arial" w:hAnsi="Arial" w:cs="Arial"/>
        </w:rPr>
      </w:pPr>
      <w:r w:rsidRPr="00EE745B">
        <w:rPr>
          <w:rFonts w:ascii="Arial" w:hAnsi="Arial" w:cs="Arial"/>
        </w:rPr>
        <w:t xml:space="preserve">The central problem illustrated in the Lewis Blackman case was the failure of healthcare professionals to recognise and respond appropriately to a patient experiencing severe postoperative complications following routine surgery. Lewis Blackman, a 15-year-old patient, died after developing complications linked to internal bleeding and an undiagnosed perforated ulcer, despite repeated warnings from his mother regarding his deteriorating condition (Reason, 2000; </w:t>
      </w:r>
      <w:proofErr w:type="spellStart"/>
      <w:r w:rsidRPr="00EE745B">
        <w:rPr>
          <w:rFonts w:ascii="Arial" w:hAnsi="Arial" w:cs="Arial"/>
        </w:rPr>
        <w:t>Leape</w:t>
      </w:r>
      <w:proofErr w:type="spellEnd"/>
      <w:r w:rsidRPr="00EE745B">
        <w:rPr>
          <w:rFonts w:ascii="Arial" w:hAnsi="Arial" w:cs="Arial"/>
        </w:rPr>
        <w:t>, 2015). The clinical team failed to escalate concerns to senior medical staff, demonstrating weaknesses in supervision, communication and organisational accountability (</w:t>
      </w:r>
      <w:proofErr w:type="spellStart"/>
      <w:r w:rsidRPr="00EE745B">
        <w:rPr>
          <w:rFonts w:ascii="Arial" w:hAnsi="Arial" w:cs="Arial"/>
        </w:rPr>
        <w:t>Carayon</w:t>
      </w:r>
      <w:proofErr w:type="spellEnd"/>
      <w:r w:rsidRPr="00EE745B">
        <w:rPr>
          <w:rFonts w:ascii="Arial" w:hAnsi="Arial" w:cs="Arial"/>
        </w:rPr>
        <w:t xml:space="preserve"> et al., 2014; Manser, 2009). The absence of timely escalation highlights how junior healthcare professionals may feel constrained by organisational hierarchies and unclear governance structures, preventing them from seeking senior support when needed (Edmondson, 2018).</w:t>
      </w:r>
    </w:p>
    <w:p w14:paraId="2596D691" w14:textId="77777777" w:rsidR="00EE745B" w:rsidRPr="00EE745B" w:rsidRDefault="00EE745B" w:rsidP="00EE745B">
      <w:pPr>
        <w:spacing w:line="360" w:lineRule="auto"/>
        <w:rPr>
          <w:rFonts w:ascii="Arial" w:hAnsi="Arial" w:cs="Arial"/>
        </w:rPr>
      </w:pPr>
    </w:p>
    <w:p w14:paraId="26B23F56" w14:textId="77777777" w:rsidR="00EE745B" w:rsidRPr="00EE745B" w:rsidRDefault="00EE745B" w:rsidP="00EE745B">
      <w:pPr>
        <w:spacing w:line="360" w:lineRule="auto"/>
        <w:rPr>
          <w:rFonts w:ascii="Arial" w:hAnsi="Arial" w:cs="Arial"/>
        </w:rPr>
      </w:pPr>
      <w:r w:rsidRPr="00EE745B">
        <w:rPr>
          <w:rFonts w:ascii="Arial" w:hAnsi="Arial" w:cs="Arial"/>
        </w:rPr>
        <w:t>From a patient safety perspective, this case highlights how healthcare harm often occurs due to systemic failures rather than isolated individual mistakes. Systems thinking suggests that accidents occur when multiple organisational weaknesses align, creating conditions that allow errors to reach patients (Reason, 2000; Braithwaite, Wears and Hollnagel, 2015). In this case, failures in leadership oversight, communication between professionals, and escalation processes created a chain of events that ultimately resulted in patient harm (</w:t>
      </w:r>
      <w:proofErr w:type="spellStart"/>
      <w:r w:rsidRPr="00EE745B">
        <w:rPr>
          <w:rFonts w:ascii="Arial" w:hAnsi="Arial" w:cs="Arial"/>
        </w:rPr>
        <w:t>Leape</w:t>
      </w:r>
      <w:proofErr w:type="spellEnd"/>
      <w:r w:rsidRPr="00EE745B">
        <w:rPr>
          <w:rFonts w:ascii="Arial" w:hAnsi="Arial" w:cs="Arial"/>
        </w:rPr>
        <w:t>, 2015; Edmondson, 2018). Systems thinking emphasises that healthcare organisations function as complex systems where outcomes are shaped by interactions between people, processes, technologies and organisational culture. When these components are poorly coordinated, safety risks can accumulate and lead to serious consequences.</w:t>
      </w:r>
    </w:p>
    <w:p w14:paraId="1F3484BC" w14:textId="77777777" w:rsidR="00EE745B" w:rsidRPr="00EE745B" w:rsidRDefault="00EE745B" w:rsidP="00EE745B">
      <w:pPr>
        <w:spacing w:line="360" w:lineRule="auto"/>
        <w:rPr>
          <w:rFonts w:ascii="Arial" w:hAnsi="Arial" w:cs="Arial"/>
        </w:rPr>
      </w:pPr>
    </w:p>
    <w:p w14:paraId="3CD4E681" w14:textId="77777777" w:rsidR="00EE745B" w:rsidRPr="00EE745B" w:rsidRDefault="00EE745B" w:rsidP="00EE745B">
      <w:pPr>
        <w:spacing w:line="360" w:lineRule="auto"/>
        <w:rPr>
          <w:rFonts w:ascii="Arial" w:hAnsi="Arial" w:cs="Arial"/>
        </w:rPr>
      </w:pPr>
      <w:r w:rsidRPr="00EE745B">
        <w:rPr>
          <w:rFonts w:ascii="Arial" w:hAnsi="Arial" w:cs="Arial"/>
        </w:rPr>
        <w:t xml:space="preserve">Globally, patient safety failures represent a major healthcare challenge. The World Health Organization estimates that one in ten patients globally experience harm while receiving healthcare, with many incidents being preventable (World Health Organization, 2019; World Health Organization, 2021). Furthermore, unsafe healthcare contributes to approximately 2.6 million deaths each year, particularly in low- and middle-income countries where healthcare systems face structural challenges (World Health Organization, 2021; OECD, 2020). These </w:t>
      </w:r>
      <w:r w:rsidRPr="00EE745B">
        <w:rPr>
          <w:rFonts w:ascii="Arial" w:hAnsi="Arial" w:cs="Arial"/>
        </w:rPr>
        <w:lastRenderedPageBreak/>
        <w:t>statistics demonstrate that the issues present in the Lewis Blackman case reflect a broader global problem relating to patient safety and healthcare system design (Institute of Medicine, 2000; OECD, 2023). As healthcare systems become increasingly complex, the risk of patient harm increases if leadership structures and governance mechanisms are not strong enough to manage these challenges.</w:t>
      </w:r>
    </w:p>
    <w:p w14:paraId="4E9BC445" w14:textId="77777777" w:rsidR="00EE745B" w:rsidRPr="00EE745B" w:rsidRDefault="00EE745B" w:rsidP="00EE745B">
      <w:pPr>
        <w:spacing w:line="360" w:lineRule="auto"/>
        <w:rPr>
          <w:rFonts w:ascii="Arial" w:hAnsi="Arial" w:cs="Arial"/>
        </w:rPr>
      </w:pPr>
    </w:p>
    <w:p w14:paraId="48C56A00" w14:textId="77777777" w:rsidR="00EE745B" w:rsidRPr="00EE745B" w:rsidRDefault="00EE745B" w:rsidP="00EE745B">
      <w:pPr>
        <w:spacing w:line="360" w:lineRule="auto"/>
        <w:rPr>
          <w:rFonts w:ascii="Arial" w:hAnsi="Arial" w:cs="Arial"/>
        </w:rPr>
      </w:pPr>
      <w:r w:rsidRPr="00EE745B">
        <w:rPr>
          <w:rFonts w:ascii="Arial" w:hAnsi="Arial" w:cs="Arial"/>
        </w:rPr>
        <w:t>At a national level, similar patterns can be observed within developed healthcare systems such as the NHS. According to NHS England, over two million patient safety incidents are reported annually, with thousands resulting in severe harm or death (NHS England, 2023; Care Quality Commission, 2023). Studies suggest that a significant proportion of these incidents are linked to communication failures, delayed diagnosis and ineffective escalation procedures (Griffiths et al., 2018; Dixon-Woods et al., 2014). These findings reinforce the importance of leadership and governance in ensuring safe care delivery and highlight the relevance of the Lewis Blackman case to wider healthcare systems (West et al., 2020; Francis, 2013). Healthcare regulators have repeatedly emphasised that strong leadership, effective teamwork and open communication are essential for maintaining safe healthcare environments.</w:t>
      </w:r>
    </w:p>
    <w:p w14:paraId="58806128" w14:textId="77777777" w:rsidR="00EE745B" w:rsidRPr="00EE745B" w:rsidRDefault="00EE745B" w:rsidP="00EE745B">
      <w:pPr>
        <w:spacing w:line="360" w:lineRule="auto"/>
        <w:rPr>
          <w:rFonts w:ascii="Arial" w:hAnsi="Arial" w:cs="Arial"/>
        </w:rPr>
      </w:pPr>
    </w:p>
    <w:p w14:paraId="501C2F98" w14:textId="77777777" w:rsidR="00EE745B" w:rsidRPr="00EE745B" w:rsidRDefault="00EE745B" w:rsidP="00EE745B">
      <w:pPr>
        <w:spacing w:line="360" w:lineRule="auto"/>
        <w:rPr>
          <w:rFonts w:ascii="Arial" w:hAnsi="Arial" w:cs="Arial"/>
        </w:rPr>
      </w:pPr>
      <w:r w:rsidRPr="00EE745B">
        <w:rPr>
          <w:rFonts w:ascii="Arial" w:hAnsi="Arial" w:cs="Arial"/>
        </w:rPr>
        <w:t xml:space="preserve">Data from international organisations further emphasise the systemic nature of healthcare errors. The landmark report To Err is Human estimated that up to 98,000 deaths annually in the United States were associated with preventable medical errors, making healthcare harm a major public health issue (Institute of Medicine, 2000; </w:t>
      </w:r>
      <w:proofErr w:type="spellStart"/>
      <w:r w:rsidRPr="00EE745B">
        <w:rPr>
          <w:rFonts w:ascii="Arial" w:hAnsi="Arial" w:cs="Arial"/>
        </w:rPr>
        <w:t>Leape</w:t>
      </w:r>
      <w:proofErr w:type="spellEnd"/>
      <w:r w:rsidRPr="00EE745B">
        <w:rPr>
          <w:rFonts w:ascii="Arial" w:hAnsi="Arial" w:cs="Arial"/>
        </w:rPr>
        <w:t>, 2015). Subsequent research suggests the true figure may be even higher, reinforcing the need for stronger governance and leadership structures within healthcare systems (Helmreich, 2000; Wears and Hollnagel, 2015). The report also highlighted the importance of organisational learning, encouraging healthcare organisations to improve systems and processes rather than focusing solely on individual blame.</w:t>
      </w:r>
    </w:p>
    <w:p w14:paraId="645AC1EB" w14:textId="77777777" w:rsidR="00EE745B" w:rsidRPr="00EE745B" w:rsidRDefault="00EE745B" w:rsidP="00EE745B">
      <w:pPr>
        <w:spacing w:line="360" w:lineRule="auto"/>
        <w:rPr>
          <w:rFonts w:ascii="Arial" w:hAnsi="Arial" w:cs="Arial"/>
        </w:rPr>
      </w:pPr>
    </w:p>
    <w:p w14:paraId="08CE3D33" w14:textId="77777777" w:rsidR="00EE745B" w:rsidRPr="00EE745B" w:rsidRDefault="00EE745B" w:rsidP="00EE745B">
      <w:pPr>
        <w:spacing w:line="360" w:lineRule="auto"/>
        <w:rPr>
          <w:rFonts w:ascii="Arial" w:hAnsi="Arial" w:cs="Arial"/>
        </w:rPr>
      </w:pPr>
      <w:r w:rsidRPr="00EE745B">
        <w:rPr>
          <w:rFonts w:ascii="Arial" w:hAnsi="Arial" w:cs="Arial"/>
        </w:rPr>
        <w:t xml:space="preserve">From a systems thinking perspective, healthcare organisations function as complex adaptive systems composed of interacting stakeholders, processes and structures. Systems thinking emphasises the importance of understanding how organisational behaviours, communication pathways and leadership decisions interact to produce outcomes (Braithwaite, Wears and Hollnagel, 2015; </w:t>
      </w:r>
      <w:proofErr w:type="spellStart"/>
      <w:r w:rsidRPr="00EE745B">
        <w:rPr>
          <w:rFonts w:ascii="Arial" w:hAnsi="Arial" w:cs="Arial"/>
        </w:rPr>
        <w:t>Carayon</w:t>
      </w:r>
      <w:proofErr w:type="spellEnd"/>
      <w:r w:rsidRPr="00EE745B">
        <w:rPr>
          <w:rFonts w:ascii="Arial" w:hAnsi="Arial" w:cs="Arial"/>
        </w:rPr>
        <w:t xml:space="preserve"> et al., 2014). In the Lewis Blackman case, several systemic weaknesses were evident, including ineffective communication between staff and the </w:t>
      </w:r>
      <w:r w:rsidRPr="00EE745B">
        <w:rPr>
          <w:rFonts w:ascii="Arial" w:hAnsi="Arial" w:cs="Arial"/>
        </w:rPr>
        <w:lastRenderedPageBreak/>
        <w:t>patient’s family, inadequate supervision of junior doctors and weak escalation procedures (Manser, 2009; Edmondson, 2018). Organisational culture may also have contributed to the problem, as hierarchical environments can discourage junior staff from challenging decisions or seeking additional clinical advice.</w:t>
      </w:r>
    </w:p>
    <w:p w14:paraId="6B0E856C" w14:textId="77777777" w:rsidR="00EE745B" w:rsidRPr="00EE745B" w:rsidRDefault="00EE745B" w:rsidP="00EE745B">
      <w:pPr>
        <w:spacing w:line="360" w:lineRule="auto"/>
        <w:rPr>
          <w:rFonts w:ascii="Arial" w:hAnsi="Arial" w:cs="Arial"/>
        </w:rPr>
      </w:pPr>
    </w:p>
    <w:p w14:paraId="27216D68" w14:textId="77777777" w:rsidR="00EE745B" w:rsidRPr="00EE745B" w:rsidRDefault="00EE745B" w:rsidP="00EE745B">
      <w:pPr>
        <w:spacing w:line="360" w:lineRule="auto"/>
        <w:rPr>
          <w:rFonts w:ascii="Arial" w:hAnsi="Arial" w:cs="Arial"/>
        </w:rPr>
      </w:pPr>
      <w:r w:rsidRPr="00EE745B">
        <w:rPr>
          <w:rFonts w:ascii="Arial" w:hAnsi="Arial" w:cs="Arial"/>
        </w:rPr>
        <w:t>Governance structures also influenced the circumstances surrounding the incident. Healthcare governance operates at multiple levels including local hospital management, regional oversight bodies and national regulatory systems (Francis, 2013; Department of Health and Social Care, 2022). In this case, failures occurred primarily at the organisational level where hospital leadership did not ensure adequate supervision or implement robust patient safety policies (Berwick, 2013; West et al., 2014). Effective governance systems should provide clear accountability, strong leadership oversight and transparent reporting mechanisms to ensure that patient safety concerns are addressed quickly.</w:t>
      </w:r>
    </w:p>
    <w:p w14:paraId="486EFB48" w14:textId="77777777" w:rsidR="00EE745B" w:rsidRPr="00EE745B" w:rsidRDefault="00EE745B" w:rsidP="00EE745B">
      <w:pPr>
        <w:spacing w:line="360" w:lineRule="auto"/>
        <w:rPr>
          <w:rFonts w:ascii="Arial" w:hAnsi="Arial" w:cs="Arial"/>
        </w:rPr>
      </w:pPr>
    </w:p>
    <w:p w14:paraId="64AAE474" w14:textId="77777777" w:rsidR="00EE745B" w:rsidRPr="00EE745B" w:rsidRDefault="00EE745B" w:rsidP="00EE745B">
      <w:pPr>
        <w:spacing w:line="360" w:lineRule="auto"/>
        <w:rPr>
          <w:rFonts w:ascii="Arial" w:hAnsi="Arial" w:cs="Arial"/>
        </w:rPr>
      </w:pPr>
      <w:r w:rsidRPr="00EE745B">
        <w:rPr>
          <w:rFonts w:ascii="Arial" w:hAnsi="Arial" w:cs="Arial"/>
        </w:rPr>
        <w:t>Workforce pressures represent another important contextual factor influencing patient safety outcomes. Healthcare systems worldwide face shortages of trained staff, increasing workloads and resource constraints that may affect clinical decision-making and supervision (National Audit Office, 2020; The King’s Fund, 2022). Evidence suggests that hospitals experiencing staffing shortages often report higher rates of adverse patient outcomes and lower levels of staff engagement (Griffiths et al., 2018; West et al., 2020). High workloads may also contribute to communication breakdowns, fatigue and reduced capacity for clinical reflection. The complexity of this case will be examined; therefore, it will be analysed using the perspective of a Rich Picture.</w:t>
      </w:r>
    </w:p>
    <w:p w14:paraId="0B0B142E" w14:textId="77777777" w:rsidR="00EE745B" w:rsidRPr="00EE745B" w:rsidRDefault="00EE745B" w:rsidP="00EE745B">
      <w:pPr>
        <w:spacing w:line="360" w:lineRule="auto"/>
        <w:rPr>
          <w:rFonts w:ascii="Arial" w:hAnsi="Arial" w:cs="Arial"/>
        </w:rPr>
      </w:pPr>
    </w:p>
    <w:p w14:paraId="4311DA9D" w14:textId="77777777" w:rsidR="00EE745B" w:rsidRPr="00EE745B" w:rsidRDefault="00EE745B" w:rsidP="00EE745B">
      <w:pPr>
        <w:spacing w:line="360" w:lineRule="auto"/>
        <w:rPr>
          <w:rFonts w:ascii="Arial" w:hAnsi="Arial" w:cs="Arial"/>
        </w:rPr>
      </w:pPr>
      <w:r w:rsidRPr="00EE745B">
        <w:rPr>
          <w:rFonts w:ascii="Arial" w:hAnsi="Arial" w:cs="Arial"/>
        </w:rPr>
        <w:t>A Rich Picture is a systems thinking tool that can help visualise the complex relationships between stakeholders, processes and organisational structures within a healthcare system. In the Lewis Blackman case, the Rich Picture would include stakeholders such as the patient, family members, nurses, junior doctors, senior clinicians and hospital leadership (</w:t>
      </w:r>
      <w:proofErr w:type="spellStart"/>
      <w:r w:rsidRPr="00EE745B">
        <w:rPr>
          <w:rFonts w:ascii="Arial" w:hAnsi="Arial" w:cs="Arial"/>
        </w:rPr>
        <w:t>Checkland</w:t>
      </w:r>
      <w:proofErr w:type="spellEnd"/>
      <w:r w:rsidRPr="00EE745B">
        <w:rPr>
          <w:rFonts w:ascii="Arial" w:hAnsi="Arial" w:cs="Arial"/>
        </w:rPr>
        <w:t xml:space="preserve">, 1999; </w:t>
      </w:r>
      <w:proofErr w:type="spellStart"/>
      <w:r w:rsidRPr="00EE745B">
        <w:rPr>
          <w:rFonts w:ascii="Arial" w:hAnsi="Arial" w:cs="Arial"/>
        </w:rPr>
        <w:t>Carayon</w:t>
      </w:r>
      <w:proofErr w:type="spellEnd"/>
      <w:r w:rsidRPr="00EE745B">
        <w:rPr>
          <w:rFonts w:ascii="Arial" w:hAnsi="Arial" w:cs="Arial"/>
        </w:rPr>
        <w:t xml:space="preserve"> et al., 2014). It would illustrate communication pathways between these actors and highlight breakdowns in information sharing and escalation processes (Braithwaite, Wears and Hollnagel, 2015). The use of a Rich Picture is important because it enables a holistic understanding of how multiple elements within the healthcare system interact, rather than focusing solely on individual errors. By mapping relationships, communication flows and points of failure, it helps identify underlying systemic issues such </w:t>
      </w:r>
      <w:r w:rsidRPr="00EE745B">
        <w:rPr>
          <w:rFonts w:ascii="Arial" w:hAnsi="Arial" w:cs="Arial"/>
        </w:rPr>
        <w:lastRenderedPageBreak/>
        <w:t>as hierarchical barriers, unclear responsibilities and gaps in escalation processes, supporting deeper analysis and more effective system-wide improvements in patient safety (</w:t>
      </w:r>
      <w:proofErr w:type="spellStart"/>
      <w:r w:rsidRPr="00EE745B">
        <w:rPr>
          <w:rFonts w:ascii="Arial" w:hAnsi="Arial" w:cs="Arial"/>
        </w:rPr>
        <w:t>Checkland</w:t>
      </w:r>
      <w:proofErr w:type="spellEnd"/>
      <w:r w:rsidRPr="00EE745B">
        <w:rPr>
          <w:rFonts w:ascii="Arial" w:hAnsi="Arial" w:cs="Arial"/>
        </w:rPr>
        <w:t>, 1999).</w:t>
      </w:r>
    </w:p>
    <w:p w14:paraId="1EFC91D4" w14:textId="77777777" w:rsidR="00EE745B" w:rsidRPr="00EE745B" w:rsidRDefault="00EE745B" w:rsidP="00EE745B">
      <w:pPr>
        <w:spacing w:line="360" w:lineRule="auto"/>
        <w:rPr>
          <w:rFonts w:ascii="Arial" w:hAnsi="Arial" w:cs="Arial"/>
        </w:rPr>
      </w:pPr>
      <w:r w:rsidRPr="00EE745B">
        <w:rPr>
          <w:rFonts w:ascii="Arial" w:hAnsi="Arial" w:cs="Arial"/>
        </w:rPr>
        <w:t>The diagram would also identify feedback loops and organisational dependencies that influenced decision-making. For example, hierarchical structures may have discouraged junior doctors from escalating concerns, while poor communication between staff and family members prevented early recognition of clinical deterioration (Edmondson, 2018; Manser, 2009). By visualising these interactions, the Rich Picture highlights how systemic weaknesses contributed to the tragic outcome in this case.</w:t>
      </w:r>
    </w:p>
    <w:p w14:paraId="5A732EDB" w14:textId="77777777" w:rsidR="00EE745B" w:rsidRPr="00EE745B" w:rsidRDefault="00EE745B" w:rsidP="00EE745B">
      <w:pPr>
        <w:spacing w:line="360" w:lineRule="auto"/>
        <w:rPr>
          <w:rFonts w:ascii="Arial" w:hAnsi="Arial" w:cs="Arial"/>
        </w:rPr>
      </w:pPr>
    </w:p>
    <w:p w14:paraId="03955738" w14:textId="0FD97448" w:rsidR="00BD4458" w:rsidRPr="00F05E56" w:rsidRDefault="00EE745B" w:rsidP="00EE745B">
      <w:pPr>
        <w:spacing w:line="360" w:lineRule="auto"/>
        <w:rPr>
          <w:rFonts w:ascii="Arial" w:hAnsi="Arial" w:cs="Arial"/>
        </w:rPr>
      </w:pPr>
      <w:r w:rsidRPr="00EE745B">
        <w:rPr>
          <w:rFonts w:ascii="Arial" w:hAnsi="Arial" w:cs="Arial"/>
        </w:rPr>
        <w:t>The Lewis Blackman case demonstrates how patient harm emerges from interconnected organisational failures rather than isolated clinical mistakes. Systems thinking therefore provides a useful framework for understanding how leadership, governance and organisational culture influence patient safety outcomes (Reason, 2000; Braithwaite, Wears and Hollnagel, 2015).</w:t>
      </w:r>
    </w:p>
    <w:p w14:paraId="5F342A39" w14:textId="1F401F3E" w:rsidR="00F05E56" w:rsidRPr="00BD4458" w:rsidRDefault="00F05E56" w:rsidP="00313A2C">
      <w:pPr>
        <w:pStyle w:val="Heading2"/>
      </w:pPr>
      <w:bookmarkStart w:id="4" w:name="_Toc224651844"/>
      <w:r w:rsidRPr="00EB2461">
        <w:t>Centralisation or Decentralisation within the Case Study</w:t>
      </w:r>
      <w:bookmarkEnd w:id="4"/>
      <w:r w:rsidRPr="00EB2461">
        <w:t xml:space="preserve"> </w:t>
      </w:r>
    </w:p>
    <w:p w14:paraId="6F44A50C" w14:textId="77777777" w:rsidR="00F05E56" w:rsidRPr="00F05E56" w:rsidRDefault="00F05E56" w:rsidP="00F05E56">
      <w:pPr>
        <w:spacing w:line="360" w:lineRule="auto"/>
        <w:rPr>
          <w:rFonts w:ascii="Arial" w:hAnsi="Arial" w:cs="Arial"/>
        </w:rPr>
      </w:pPr>
      <w:r w:rsidRPr="00F05E56">
        <w:rPr>
          <w:rFonts w:ascii="Arial" w:hAnsi="Arial" w:cs="Arial"/>
        </w:rPr>
        <w:t>Healthcare organisations typically operate within governance structures that incorporate both centralised and decentralised decision-making processes. Centralisation refers to systems in which decision-making authority is concentrated at senior leadership levels, enabling consistent policies and organisational oversight (Mintzberg, 2009; McKee and Healy, 2002). In contrast, decentralisation distributes authority across departments or teams, allowing greater flexibility and responsiveness to local clinical needs (The King’s Fund, 2021; OECD, 2023).</w:t>
      </w:r>
    </w:p>
    <w:p w14:paraId="377C9D1E" w14:textId="77777777" w:rsidR="00F05E56" w:rsidRPr="00F05E56" w:rsidRDefault="00F05E56" w:rsidP="00F05E56">
      <w:pPr>
        <w:spacing w:line="360" w:lineRule="auto"/>
        <w:rPr>
          <w:rFonts w:ascii="Arial" w:hAnsi="Arial" w:cs="Arial"/>
        </w:rPr>
      </w:pPr>
    </w:p>
    <w:p w14:paraId="42A46722" w14:textId="77777777" w:rsidR="00F05E56" w:rsidRPr="00F05E56" w:rsidRDefault="00F05E56" w:rsidP="00F05E56">
      <w:pPr>
        <w:spacing w:line="360" w:lineRule="auto"/>
        <w:rPr>
          <w:rFonts w:ascii="Arial" w:hAnsi="Arial" w:cs="Arial"/>
        </w:rPr>
      </w:pPr>
      <w:r w:rsidRPr="00F05E56">
        <w:rPr>
          <w:rFonts w:ascii="Arial" w:hAnsi="Arial" w:cs="Arial"/>
        </w:rPr>
        <w:t>In the Lewis Blackman case, elements of centralisation were evident in the hierarchical clinical structure that governed decision-making. Junior doctors were responsible for patient care but lacked authority to make major clinical decisions independently, requiring escalation to senior clinicians (Edmondson, 2018; Manser, 2009). While such structures can ensure accountability and clinical oversight, they may also delay decision-making when escalation processes are unclear or when junior staff feel unable to challenge senior authority (Dixon-Woods et al., 2014; Kaplan et al., 2010).</w:t>
      </w:r>
    </w:p>
    <w:p w14:paraId="38155805" w14:textId="77777777" w:rsidR="00F05E56" w:rsidRPr="00F05E56" w:rsidRDefault="00F05E56" w:rsidP="00F05E56">
      <w:pPr>
        <w:spacing w:line="360" w:lineRule="auto"/>
        <w:rPr>
          <w:rFonts w:ascii="Arial" w:hAnsi="Arial" w:cs="Arial"/>
        </w:rPr>
      </w:pPr>
    </w:p>
    <w:p w14:paraId="25DE9B66" w14:textId="77777777" w:rsidR="00F05E56" w:rsidRPr="00F05E56" w:rsidRDefault="00F05E56" w:rsidP="00F05E56">
      <w:pPr>
        <w:spacing w:line="360" w:lineRule="auto"/>
        <w:rPr>
          <w:rFonts w:ascii="Arial" w:hAnsi="Arial" w:cs="Arial"/>
        </w:rPr>
      </w:pPr>
      <w:r w:rsidRPr="00F05E56">
        <w:rPr>
          <w:rFonts w:ascii="Arial" w:hAnsi="Arial" w:cs="Arial"/>
        </w:rPr>
        <w:lastRenderedPageBreak/>
        <w:t>Centralised healthcare systems offer several advantages. They allow organisations to standardise clinical protocols, maintain regulatory oversight and ensure consistent quality standards across healthcare services (Department of Health and Social Care, 2022; OECD, 2020). National health systems such as the NHS rely on centralised governance structures to implement patient safety strategies and clinical guidelines (NHS England, 2019; Care Quality Commission, 2023).</w:t>
      </w:r>
    </w:p>
    <w:p w14:paraId="67FC5AE3" w14:textId="77777777" w:rsidR="00F05E56" w:rsidRPr="00F05E56" w:rsidRDefault="00F05E56" w:rsidP="00F05E56">
      <w:pPr>
        <w:spacing w:line="360" w:lineRule="auto"/>
        <w:rPr>
          <w:rFonts w:ascii="Arial" w:hAnsi="Arial" w:cs="Arial"/>
        </w:rPr>
      </w:pPr>
    </w:p>
    <w:p w14:paraId="5737B791" w14:textId="77777777" w:rsidR="00F05E56" w:rsidRPr="00F05E56" w:rsidRDefault="00F05E56" w:rsidP="00F05E56">
      <w:pPr>
        <w:spacing w:line="360" w:lineRule="auto"/>
        <w:rPr>
          <w:rFonts w:ascii="Arial" w:hAnsi="Arial" w:cs="Arial"/>
        </w:rPr>
      </w:pPr>
      <w:r w:rsidRPr="00F05E56">
        <w:rPr>
          <w:rFonts w:ascii="Arial" w:hAnsi="Arial" w:cs="Arial"/>
        </w:rPr>
        <w:t>However, centralisation also has potential disadvantages, particularly in crisis situations requiring rapid decision-making. Bureaucratic hierarchies may slow responses to emerging clinical risks and create barriers to communication between frontline staff and senior leaders (Mintzberg, 2009; Francis, 2013). Evidence suggests that overly rigid hierarchies may discourage staff from raising concerns about patient safety, increasing the risk of adverse outcomes (Edmondson, 2018; West et al., 2020).</w:t>
      </w:r>
    </w:p>
    <w:p w14:paraId="0F8A0E3F" w14:textId="77777777" w:rsidR="00F05E56" w:rsidRPr="00F05E56" w:rsidRDefault="00F05E56" w:rsidP="00F05E56">
      <w:pPr>
        <w:spacing w:line="360" w:lineRule="auto"/>
        <w:rPr>
          <w:rFonts w:ascii="Arial" w:hAnsi="Arial" w:cs="Arial"/>
        </w:rPr>
      </w:pPr>
    </w:p>
    <w:p w14:paraId="3E512ED3" w14:textId="77777777" w:rsidR="00F05E56" w:rsidRPr="00F05E56" w:rsidRDefault="00F05E56" w:rsidP="00F05E56">
      <w:pPr>
        <w:spacing w:line="360" w:lineRule="auto"/>
        <w:rPr>
          <w:rFonts w:ascii="Arial" w:hAnsi="Arial" w:cs="Arial"/>
        </w:rPr>
      </w:pPr>
      <w:r w:rsidRPr="00F05E56">
        <w:rPr>
          <w:rFonts w:ascii="Arial" w:hAnsi="Arial" w:cs="Arial"/>
        </w:rPr>
        <w:t>Decentralised healthcare systems, by contrast, distribute decision-making authority to frontline clinicians and teams. This approach allows healthcare professionals to respond more quickly to patient needs and encourages local innovation in service delivery (The King’s Fund, 2021; Health Foundation, 2021). Decentralisation can also improve staff engagement by empowering clinicians to participate in organisational decision-making (West et al., 2014; Kaplan et al., 2010).</w:t>
      </w:r>
    </w:p>
    <w:p w14:paraId="4B7E275F" w14:textId="77777777" w:rsidR="00F05E56" w:rsidRPr="00F05E56" w:rsidRDefault="00F05E56" w:rsidP="00F05E56">
      <w:pPr>
        <w:spacing w:line="360" w:lineRule="auto"/>
        <w:rPr>
          <w:rFonts w:ascii="Arial" w:hAnsi="Arial" w:cs="Arial"/>
        </w:rPr>
      </w:pPr>
    </w:p>
    <w:p w14:paraId="41B955BB" w14:textId="77777777" w:rsidR="00F05E56" w:rsidRPr="00F05E56" w:rsidRDefault="00F05E56" w:rsidP="00F05E56">
      <w:pPr>
        <w:spacing w:line="360" w:lineRule="auto"/>
        <w:rPr>
          <w:rFonts w:ascii="Arial" w:hAnsi="Arial" w:cs="Arial"/>
        </w:rPr>
      </w:pPr>
      <w:r w:rsidRPr="00F05E56">
        <w:rPr>
          <w:rFonts w:ascii="Arial" w:hAnsi="Arial" w:cs="Arial"/>
        </w:rPr>
        <w:t>However, decentralised systems may also create challenges. Without strong governance frameworks, decentralisation can result in variability in clinical practice and inconsistent adherence to safety standards (</w:t>
      </w:r>
      <w:proofErr w:type="spellStart"/>
      <w:r w:rsidRPr="00F05E56">
        <w:rPr>
          <w:rFonts w:ascii="Arial" w:hAnsi="Arial" w:cs="Arial"/>
        </w:rPr>
        <w:t>Carayon</w:t>
      </w:r>
      <w:proofErr w:type="spellEnd"/>
      <w:r w:rsidRPr="00F05E56">
        <w:rPr>
          <w:rFonts w:ascii="Arial" w:hAnsi="Arial" w:cs="Arial"/>
        </w:rPr>
        <w:t xml:space="preserve"> et al., 2014; OECD, 2023). Effective decentralisation therefore requires clear leadership structures and accountability mechanisms to ensure patient safety (Braithwaite, Wears and Hollnagel, 2015).</w:t>
      </w:r>
    </w:p>
    <w:p w14:paraId="7E1AC830" w14:textId="77777777" w:rsidR="00F05E56" w:rsidRPr="00F05E56" w:rsidRDefault="00F05E56" w:rsidP="00F05E56">
      <w:pPr>
        <w:spacing w:line="360" w:lineRule="auto"/>
        <w:rPr>
          <w:rFonts w:ascii="Arial" w:hAnsi="Arial" w:cs="Arial"/>
        </w:rPr>
      </w:pPr>
    </w:p>
    <w:p w14:paraId="647ED0CC" w14:textId="77777777" w:rsidR="00F05E56" w:rsidRPr="00F05E56" w:rsidRDefault="00F05E56" w:rsidP="00F05E56">
      <w:pPr>
        <w:spacing w:line="360" w:lineRule="auto"/>
        <w:rPr>
          <w:rFonts w:ascii="Arial" w:hAnsi="Arial" w:cs="Arial"/>
        </w:rPr>
      </w:pPr>
      <w:r w:rsidRPr="00F05E56">
        <w:rPr>
          <w:rFonts w:ascii="Arial" w:hAnsi="Arial" w:cs="Arial"/>
        </w:rPr>
        <w:t xml:space="preserve">In the Lewis Blackman case, the organisational structure appeared to operate within a hybrid model combining elements of centralised governance and decentralised clinical practice. Junior doctors were responsible for daily patient management but lacked adequate supervision from senior clinicians, resulting in fragmented decision-making processes (Manser, 2009; </w:t>
      </w:r>
      <w:proofErr w:type="spellStart"/>
      <w:r w:rsidRPr="00F05E56">
        <w:rPr>
          <w:rFonts w:ascii="Arial" w:hAnsi="Arial" w:cs="Arial"/>
        </w:rPr>
        <w:t>Leape</w:t>
      </w:r>
      <w:proofErr w:type="spellEnd"/>
      <w:r w:rsidRPr="00F05E56">
        <w:rPr>
          <w:rFonts w:ascii="Arial" w:hAnsi="Arial" w:cs="Arial"/>
        </w:rPr>
        <w:t xml:space="preserve">, 2015). This fragmentation contributed to delayed recognition of the </w:t>
      </w:r>
      <w:r w:rsidRPr="00F05E56">
        <w:rPr>
          <w:rFonts w:ascii="Arial" w:hAnsi="Arial" w:cs="Arial"/>
        </w:rPr>
        <w:lastRenderedPageBreak/>
        <w:t>patient’s deteriorating condition and ultimately to the tragic outcome (Reason, 2000; Edmondson, 2018).</w:t>
      </w:r>
    </w:p>
    <w:p w14:paraId="701D0995" w14:textId="77777777" w:rsidR="00F05E56" w:rsidRPr="00F05E56" w:rsidRDefault="00F05E56" w:rsidP="00F05E56">
      <w:pPr>
        <w:spacing w:line="360" w:lineRule="auto"/>
        <w:rPr>
          <w:rFonts w:ascii="Arial" w:hAnsi="Arial" w:cs="Arial"/>
        </w:rPr>
      </w:pPr>
    </w:p>
    <w:p w14:paraId="2505936A" w14:textId="77777777" w:rsidR="00F05E56" w:rsidRPr="00F05E56" w:rsidRDefault="00F05E56" w:rsidP="00F05E56">
      <w:pPr>
        <w:spacing w:line="360" w:lineRule="auto"/>
        <w:rPr>
          <w:rFonts w:ascii="Arial" w:hAnsi="Arial" w:cs="Arial"/>
        </w:rPr>
      </w:pPr>
      <w:r w:rsidRPr="00F05E56">
        <w:rPr>
          <w:rFonts w:ascii="Arial" w:hAnsi="Arial" w:cs="Arial"/>
        </w:rPr>
        <w:t>Numerical evidence further demonstrates the importance of organisational structure in patient safety outcomes. Research has shown that hospitals with strong leadership engagement and clear governance frameworks experience lower rates of adverse events and higher levels of staff engagement (West et al., 2020; Kaplan et al., 2010). Similarly, the NHS Staff Survey consistently demonstrates that staff who feel supported by leadership and empowered to raise concerns are more likely to report patient safety issues (NHS England, 2022; The King’s Fund, 2022).</w:t>
      </w:r>
    </w:p>
    <w:p w14:paraId="61F50DC4" w14:textId="77777777" w:rsidR="00F05E56" w:rsidRPr="00F05E56" w:rsidRDefault="00F05E56" w:rsidP="00F05E56">
      <w:pPr>
        <w:spacing w:line="360" w:lineRule="auto"/>
        <w:rPr>
          <w:rFonts w:ascii="Arial" w:hAnsi="Arial" w:cs="Arial"/>
        </w:rPr>
      </w:pPr>
    </w:p>
    <w:p w14:paraId="111E0441" w14:textId="549208BE" w:rsidR="00F05E56" w:rsidRPr="00F05E56" w:rsidRDefault="00FF24DB" w:rsidP="00F05E56">
      <w:pPr>
        <w:spacing w:line="360" w:lineRule="auto"/>
        <w:rPr>
          <w:rFonts w:ascii="Arial" w:hAnsi="Arial" w:cs="Arial"/>
        </w:rPr>
      </w:pPr>
      <w:r>
        <w:rPr>
          <w:rFonts w:ascii="Arial" w:hAnsi="Arial" w:cs="Arial"/>
        </w:rPr>
        <w:t>T</w:t>
      </w:r>
      <w:r w:rsidR="00F05E56" w:rsidRPr="00F05E56">
        <w:rPr>
          <w:rFonts w:ascii="Arial" w:hAnsi="Arial" w:cs="Arial"/>
        </w:rPr>
        <w:t>he Lewis Blackman case demonstrates that both centralised and decentralised governance structures have strengths and limitations. Effective healthcare organisations must therefore balance strong leadership oversight with empowered frontline decision-making to ensure safe and responsive care delivery (Mintzberg, 2009; OECD, 2023).</w:t>
      </w:r>
    </w:p>
    <w:p w14:paraId="4795E23E" w14:textId="77777777" w:rsidR="00F05E56" w:rsidRPr="00967F43" w:rsidRDefault="00F05E56" w:rsidP="00F05E56">
      <w:pPr>
        <w:spacing w:line="360" w:lineRule="auto"/>
        <w:rPr>
          <w:rFonts w:ascii="Arial" w:hAnsi="Arial" w:cs="Arial"/>
          <w:sz w:val="28"/>
          <w:szCs w:val="28"/>
        </w:rPr>
      </w:pPr>
    </w:p>
    <w:p w14:paraId="5C1539F1" w14:textId="1F4FCDCA" w:rsidR="00F05E56" w:rsidRPr="00967F43" w:rsidRDefault="00F05E56" w:rsidP="00313A2C">
      <w:pPr>
        <w:pStyle w:val="Heading2"/>
      </w:pPr>
      <w:bookmarkStart w:id="5" w:name="_Toc224651845"/>
      <w:r w:rsidRPr="00967F43">
        <w:t>Leadership Theories and Application to the Case Study</w:t>
      </w:r>
      <w:bookmarkEnd w:id="5"/>
      <w:r w:rsidRPr="00967F43">
        <w:t xml:space="preserve"> </w:t>
      </w:r>
    </w:p>
    <w:p w14:paraId="14778CF1" w14:textId="77777777" w:rsidR="00363668" w:rsidRPr="00363668" w:rsidRDefault="00363668" w:rsidP="00363668">
      <w:pPr>
        <w:spacing w:line="360" w:lineRule="auto"/>
        <w:rPr>
          <w:rFonts w:ascii="Arial" w:hAnsi="Arial" w:cs="Arial"/>
        </w:rPr>
      </w:pPr>
      <w:r w:rsidRPr="00363668">
        <w:rPr>
          <w:rFonts w:ascii="Arial" w:hAnsi="Arial" w:cs="Arial"/>
        </w:rPr>
        <w:t>Leadership plays a critical role in shaping organisational culture, communication practices and patient safety outcomes within healthcare systems. Three leadership theories—transformational leadership, transactional leadership and situational leadership—provide useful frameworks for analysing how leadership behaviours influence healthcare performance (Bass and Riggio, 2006; Goleman, 2000).</w:t>
      </w:r>
    </w:p>
    <w:p w14:paraId="4966A4C9" w14:textId="77777777" w:rsidR="00363668" w:rsidRPr="00363668" w:rsidRDefault="00363668" w:rsidP="00363668">
      <w:pPr>
        <w:spacing w:line="360" w:lineRule="auto"/>
        <w:rPr>
          <w:rFonts w:ascii="Arial" w:hAnsi="Arial" w:cs="Arial"/>
        </w:rPr>
      </w:pPr>
    </w:p>
    <w:p w14:paraId="01CC8572" w14:textId="21AE70CD" w:rsidR="00363668" w:rsidRPr="00363668" w:rsidRDefault="00363668" w:rsidP="00363668">
      <w:pPr>
        <w:spacing w:line="360" w:lineRule="auto"/>
        <w:rPr>
          <w:rFonts w:ascii="Arial" w:hAnsi="Arial" w:cs="Arial"/>
        </w:rPr>
      </w:pPr>
      <w:r w:rsidRPr="00363668">
        <w:rPr>
          <w:rFonts w:ascii="Arial" w:hAnsi="Arial" w:cs="Arial"/>
        </w:rPr>
        <w:t xml:space="preserve">Transformational leadership focuses on inspiring staff to pursue a shared vision for improvement while encouraging innovation, collaboration and continuous learning (Bass and Riggio, 2006; West et al., </w:t>
      </w:r>
      <w:r w:rsidR="00C85CFF" w:rsidRPr="00363668">
        <w:rPr>
          <w:rFonts w:ascii="Arial" w:hAnsi="Arial" w:cs="Arial"/>
        </w:rPr>
        <w:t>2014</w:t>
      </w:r>
      <w:r w:rsidR="00C85CFF" w:rsidRPr="00E32318">
        <w:t>;</w:t>
      </w:r>
      <w:r w:rsidR="00E32318" w:rsidRPr="00E32318">
        <w:rPr>
          <w:rFonts w:ascii="Arial" w:hAnsi="Arial" w:cs="Arial"/>
        </w:rPr>
        <w:t xml:space="preserve"> Kotter, 1996</w:t>
      </w:r>
      <w:r w:rsidRPr="00363668">
        <w:rPr>
          <w:rFonts w:ascii="Arial" w:hAnsi="Arial" w:cs="Arial"/>
        </w:rPr>
        <w:t xml:space="preserve">). Transformational leaders foster psychological safety within teams, enabling staff to raise concerns about patient safety without fear of punishment (Edmondson, 2018; West et al., </w:t>
      </w:r>
      <w:r w:rsidR="00C85CFF" w:rsidRPr="00363668">
        <w:rPr>
          <w:rFonts w:ascii="Arial" w:hAnsi="Arial" w:cs="Arial"/>
        </w:rPr>
        <w:t>2020</w:t>
      </w:r>
      <w:r w:rsidR="00C85CFF" w:rsidRPr="00023233">
        <w:t>;</w:t>
      </w:r>
      <w:r w:rsidR="00023233" w:rsidRPr="00023233">
        <w:rPr>
          <w:rFonts w:ascii="Arial" w:hAnsi="Arial" w:cs="Arial"/>
        </w:rPr>
        <w:t xml:space="preserve"> Schein, 2010</w:t>
      </w:r>
      <w:r w:rsidRPr="00363668">
        <w:rPr>
          <w:rFonts w:ascii="Arial" w:hAnsi="Arial" w:cs="Arial"/>
        </w:rPr>
        <w:t>). Research has shown that healthcare organisations characterised by transformational leadership demonstrate higher staff engagement and improved patient outcomes (Kaplan et al., 2010; West et al., 2014).</w:t>
      </w:r>
    </w:p>
    <w:p w14:paraId="1E281266" w14:textId="77777777" w:rsidR="00363668" w:rsidRPr="00363668" w:rsidRDefault="00363668" w:rsidP="00363668">
      <w:pPr>
        <w:spacing w:line="360" w:lineRule="auto"/>
        <w:rPr>
          <w:rFonts w:ascii="Arial" w:hAnsi="Arial" w:cs="Arial"/>
        </w:rPr>
      </w:pPr>
    </w:p>
    <w:p w14:paraId="02569E70" w14:textId="77777777" w:rsidR="00363668" w:rsidRPr="00363668" w:rsidRDefault="00363668" w:rsidP="00363668">
      <w:pPr>
        <w:spacing w:line="360" w:lineRule="auto"/>
        <w:rPr>
          <w:rFonts w:ascii="Arial" w:hAnsi="Arial" w:cs="Arial"/>
        </w:rPr>
      </w:pPr>
      <w:r w:rsidRPr="00363668">
        <w:rPr>
          <w:rFonts w:ascii="Arial" w:hAnsi="Arial" w:cs="Arial"/>
        </w:rPr>
        <w:lastRenderedPageBreak/>
        <w:t>In the Lewis Blackman case, the absence of transformational leadership contributed to a culture in which staff did not feel empowered to question decisions or escalate concerns. Junior doctors appeared hesitant to challenge existing clinical assumptions, while communication between healthcare professionals and the patient’s family was limited (</w:t>
      </w:r>
      <w:proofErr w:type="spellStart"/>
      <w:r w:rsidRPr="00363668">
        <w:rPr>
          <w:rFonts w:ascii="Arial" w:hAnsi="Arial" w:cs="Arial"/>
        </w:rPr>
        <w:t>Leape</w:t>
      </w:r>
      <w:proofErr w:type="spellEnd"/>
      <w:r w:rsidRPr="00363668">
        <w:rPr>
          <w:rFonts w:ascii="Arial" w:hAnsi="Arial" w:cs="Arial"/>
        </w:rPr>
        <w:t>, 2015; Manser, 2009). A transformational leadership approach could have promoted open dialogue and collaborative decision-making, potentially allowing earlier recognition of the patient’s deteriorating condition (West et al., 2014; Edmondson, 2018).</w:t>
      </w:r>
    </w:p>
    <w:p w14:paraId="6255732F" w14:textId="77777777" w:rsidR="00EE745B" w:rsidRDefault="00EE745B" w:rsidP="00363668">
      <w:pPr>
        <w:spacing w:line="360" w:lineRule="auto"/>
        <w:rPr>
          <w:rFonts w:ascii="Arial" w:hAnsi="Arial" w:cs="Arial"/>
        </w:rPr>
      </w:pPr>
    </w:p>
    <w:p w14:paraId="17992061" w14:textId="2D0CE261" w:rsidR="00363668" w:rsidRDefault="00363668" w:rsidP="00363668">
      <w:pPr>
        <w:spacing w:line="360" w:lineRule="auto"/>
        <w:rPr>
          <w:rFonts w:ascii="Arial" w:hAnsi="Arial" w:cs="Arial"/>
        </w:rPr>
      </w:pPr>
      <w:r w:rsidRPr="00363668">
        <w:rPr>
          <w:rFonts w:ascii="Arial" w:hAnsi="Arial" w:cs="Arial"/>
        </w:rPr>
        <w:t xml:space="preserve">Transactional leadership, in contrast, focuses on maintaining organisational stability through monitoring performance, enforcing rules and rewarding compliance (Goleman, 2000; Bass and Riggio, 2006). Transactional leadership can be effective in highly regulated environments such as healthcare, where adherence to clinical protocols and safety standards is essential (Kaplan et al., 2010; </w:t>
      </w:r>
      <w:proofErr w:type="spellStart"/>
      <w:r w:rsidRPr="00363668">
        <w:rPr>
          <w:rFonts w:ascii="Arial" w:hAnsi="Arial" w:cs="Arial"/>
        </w:rPr>
        <w:t>Carayon</w:t>
      </w:r>
      <w:proofErr w:type="spellEnd"/>
      <w:r w:rsidRPr="00363668">
        <w:rPr>
          <w:rFonts w:ascii="Arial" w:hAnsi="Arial" w:cs="Arial"/>
        </w:rPr>
        <w:t xml:space="preserve"> et al., </w:t>
      </w:r>
      <w:r w:rsidR="000C6032" w:rsidRPr="00363668">
        <w:rPr>
          <w:rFonts w:ascii="Arial" w:hAnsi="Arial" w:cs="Arial"/>
        </w:rPr>
        <w:t>2014</w:t>
      </w:r>
      <w:r w:rsidR="000C6032" w:rsidRPr="000C6032">
        <w:t>;</w:t>
      </w:r>
      <w:r w:rsidR="000C6032" w:rsidRPr="000C6032">
        <w:rPr>
          <w:rFonts w:ascii="Arial" w:hAnsi="Arial" w:cs="Arial"/>
        </w:rPr>
        <w:t xml:space="preserve"> Shortell et al., 2000</w:t>
      </w:r>
      <w:r w:rsidRPr="00363668">
        <w:rPr>
          <w:rFonts w:ascii="Arial" w:hAnsi="Arial" w:cs="Arial"/>
        </w:rPr>
        <w:t>). However, excessive reliance on transactional leadership may discourage creativity and limit staff willingness to challenge established practices (West et al., 2020; Edmondson, 2018).</w:t>
      </w:r>
    </w:p>
    <w:p w14:paraId="6D85939C" w14:textId="77777777" w:rsidR="007853DB" w:rsidRPr="00363668" w:rsidRDefault="007853DB" w:rsidP="00363668">
      <w:pPr>
        <w:spacing w:line="360" w:lineRule="auto"/>
        <w:rPr>
          <w:rFonts w:ascii="Arial" w:hAnsi="Arial" w:cs="Arial"/>
        </w:rPr>
      </w:pPr>
    </w:p>
    <w:p w14:paraId="737319C8" w14:textId="557F9A4D" w:rsidR="00363668" w:rsidRDefault="00363668" w:rsidP="00363668">
      <w:pPr>
        <w:spacing w:line="360" w:lineRule="auto"/>
        <w:rPr>
          <w:rFonts w:ascii="Arial" w:hAnsi="Arial" w:cs="Arial"/>
        </w:rPr>
      </w:pPr>
      <w:r w:rsidRPr="00363668">
        <w:rPr>
          <w:rFonts w:ascii="Arial" w:hAnsi="Arial" w:cs="Arial"/>
        </w:rPr>
        <w:t>Evidence suggests that healthcare organisations dominated by transactional leadership may struggle to foster cultures of learning and improvement. Staff may prioritise compliance with procedures rather than critically reflecting on emerging risks or clinical uncertainties (</w:t>
      </w:r>
      <w:proofErr w:type="spellStart"/>
      <w:r w:rsidRPr="00363668">
        <w:rPr>
          <w:rFonts w:ascii="Arial" w:hAnsi="Arial" w:cs="Arial"/>
        </w:rPr>
        <w:t>Leape</w:t>
      </w:r>
      <w:proofErr w:type="spellEnd"/>
      <w:r w:rsidRPr="00363668">
        <w:rPr>
          <w:rFonts w:ascii="Arial" w:hAnsi="Arial" w:cs="Arial"/>
        </w:rPr>
        <w:t>, 2015; Dixon-Woods et al., 2014). In the Lewis Blackman case, leadership appeared reactive rather than proactive, with staff following existing procedures without questioning their effectiveness when the patient’s condition worsened (Reason, 2000; Manser, 2009).</w:t>
      </w:r>
    </w:p>
    <w:p w14:paraId="2385EB4C" w14:textId="77777777" w:rsidR="007853DB" w:rsidRPr="00363668" w:rsidRDefault="007853DB" w:rsidP="00363668">
      <w:pPr>
        <w:spacing w:line="360" w:lineRule="auto"/>
        <w:rPr>
          <w:rFonts w:ascii="Arial" w:hAnsi="Arial" w:cs="Arial"/>
        </w:rPr>
      </w:pPr>
    </w:p>
    <w:p w14:paraId="21B0FFA0" w14:textId="6D399118" w:rsidR="00363668" w:rsidRPr="00363668" w:rsidRDefault="00363668" w:rsidP="00363668">
      <w:pPr>
        <w:spacing w:line="360" w:lineRule="auto"/>
        <w:rPr>
          <w:rFonts w:ascii="Arial" w:hAnsi="Arial" w:cs="Arial"/>
        </w:rPr>
      </w:pPr>
      <w:r w:rsidRPr="00363668">
        <w:rPr>
          <w:rFonts w:ascii="Arial" w:hAnsi="Arial" w:cs="Arial"/>
        </w:rPr>
        <w:t>Situational leadership emphasises the importance of adapting leadership behaviour to the specific context and the needs of the team. Effective leaders adjust their leadership style depending on factors such as team experience, organisational culture and the urgency of the situation (Thompson, 2015; Goleman, 2000</w:t>
      </w:r>
      <w:r w:rsidR="00E34023" w:rsidRPr="00E34023">
        <w:rPr>
          <w:rFonts w:ascii="Arial" w:hAnsi="Arial" w:cs="Arial"/>
        </w:rPr>
        <w:t>; Yukl, 2013</w:t>
      </w:r>
      <w:r w:rsidRPr="00363668">
        <w:rPr>
          <w:rFonts w:ascii="Arial" w:hAnsi="Arial" w:cs="Arial"/>
        </w:rPr>
        <w:t>). In healthcare environments, situational leadership is particularly important during emergencies, when leaders must provide clear direction while encouraging collaboration across multidisciplinary teams (West et al., 2020; Braithwaite, Wears and Hollnagel, 2015).</w:t>
      </w:r>
    </w:p>
    <w:p w14:paraId="1E4B5B3E" w14:textId="77777777" w:rsidR="00363668" w:rsidRPr="00363668" w:rsidRDefault="00363668" w:rsidP="00363668">
      <w:pPr>
        <w:spacing w:line="360" w:lineRule="auto"/>
        <w:rPr>
          <w:rFonts w:ascii="Arial" w:hAnsi="Arial" w:cs="Arial"/>
        </w:rPr>
      </w:pPr>
    </w:p>
    <w:p w14:paraId="26B688D3" w14:textId="17D8C723" w:rsidR="00363668" w:rsidRPr="001D7939" w:rsidRDefault="00363668" w:rsidP="00363668">
      <w:pPr>
        <w:spacing w:line="360" w:lineRule="auto"/>
        <w:rPr>
          <w:rFonts w:ascii="Arial" w:hAnsi="Arial" w:cs="Arial"/>
        </w:rPr>
      </w:pPr>
      <w:r w:rsidRPr="00363668">
        <w:rPr>
          <w:rFonts w:ascii="Arial" w:hAnsi="Arial" w:cs="Arial"/>
        </w:rPr>
        <w:t xml:space="preserve">The Lewis Blackman case demonstrates a failure to apply situational leadership during a high-risk clinical scenario. As the patient’s condition deteriorated, leadership should have </w:t>
      </w:r>
      <w:r w:rsidRPr="00363668">
        <w:rPr>
          <w:rFonts w:ascii="Arial" w:hAnsi="Arial" w:cs="Arial"/>
        </w:rPr>
        <w:lastRenderedPageBreak/>
        <w:t xml:space="preserve">shifted towards a more directive and coordinated response involving senior clinicians and rapid clinical assessment (Manser, 2009; </w:t>
      </w:r>
      <w:proofErr w:type="spellStart"/>
      <w:r w:rsidRPr="00363668">
        <w:rPr>
          <w:rFonts w:ascii="Arial" w:hAnsi="Arial" w:cs="Arial"/>
        </w:rPr>
        <w:t>Leape</w:t>
      </w:r>
      <w:proofErr w:type="spellEnd"/>
      <w:r w:rsidRPr="00363668">
        <w:rPr>
          <w:rFonts w:ascii="Arial" w:hAnsi="Arial" w:cs="Arial"/>
        </w:rPr>
        <w:t>, 2015). Instead, decision-making remained fragmented and escalation processes were not activated in time (Reason, 2000; Edmondson, 2018).</w:t>
      </w:r>
    </w:p>
    <w:p w14:paraId="302F9D38" w14:textId="23733D1B" w:rsidR="00363668" w:rsidRDefault="00363668" w:rsidP="00363668">
      <w:pPr>
        <w:spacing w:line="360" w:lineRule="auto"/>
        <w:rPr>
          <w:rFonts w:ascii="Arial" w:hAnsi="Arial" w:cs="Arial"/>
        </w:rPr>
      </w:pPr>
      <w:r w:rsidRPr="00363668">
        <w:rPr>
          <w:rFonts w:ascii="Arial" w:hAnsi="Arial" w:cs="Arial"/>
        </w:rPr>
        <w:t>Leadership behaviour also plays an important role in shaping organisational culture within healthcare settings. In many healthcare environments, hierarchical structures influence how staff communicate and make decisions. Junior clinicians may feel reluctant to challenge senior staff members due to professional hierarchies or fear of criticism. Research has shown that hierarchical cultures within healthcare can prevent staff from raising safety concerns and may contribute to communication breakdowns during critical situations (Edmondson, 2018).</w:t>
      </w:r>
    </w:p>
    <w:p w14:paraId="20DE7923" w14:textId="77777777" w:rsidR="007853DB" w:rsidRPr="00363668" w:rsidRDefault="007853DB" w:rsidP="00363668">
      <w:pPr>
        <w:spacing w:line="360" w:lineRule="auto"/>
        <w:rPr>
          <w:rFonts w:ascii="Arial" w:hAnsi="Arial" w:cs="Arial"/>
        </w:rPr>
      </w:pPr>
    </w:p>
    <w:p w14:paraId="367BDC92" w14:textId="4A7B5A22" w:rsidR="00363668" w:rsidRDefault="00363668" w:rsidP="00363668">
      <w:pPr>
        <w:spacing w:line="360" w:lineRule="auto"/>
        <w:rPr>
          <w:rFonts w:ascii="Arial" w:hAnsi="Arial" w:cs="Arial"/>
        </w:rPr>
      </w:pPr>
      <w:r w:rsidRPr="00363668">
        <w:rPr>
          <w:rFonts w:ascii="Arial" w:hAnsi="Arial" w:cs="Arial"/>
        </w:rPr>
        <w:t>Transformational leadership is particularly effective in addressing these cultural challenges because it encourages open communication and collaboration. Transformational leaders focus on building trust within teams and encouraging staff to participate actively in decision-making processes (Bass and Riggio, 2006). By promoting shared goals and encouraging innovation, transformational leadership can strengthen safety culture and improve organisational learning. In healthcare settings, organisations characterised by transformational leadership have been found to demonstrate stronger teamwork, higher staff satisfaction and better patient outcomes (West et al., 2020).</w:t>
      </w:r>
    </w:p>
    <w:p w14:paraId="714A602A" w14:textId="77777777" w:rsidR="007853DB" w:rsidRPr="00363668" w:rsidRDefault="007853DB" w:rsidP="00363668">
      <w:pPr>
        <w:spacing w:line="360" w:lineRule="auto"/>
        <w:rPr>
          <w:rFonts w:ascii="Arial" w:hAnsi="Arial" w:cs="Arial"/>
        </w:rPr>
      </w:pPr>
    </w:p>
    <w:p w14:paraId="76F4E6DF" w14:textId="2C166211" w:rsidR="00363668" w:rsidRPr="00363668" w:rsidRDefault="00363668" w:rsidP="00363668">
      <w:pPr>
        <w:spacing w:line="360" w:lineRule="auto"/>
        <w:rPr>
          <w:rFonts w:ascii="Arial" w:hAnsi="Arial" w:cs="Arial"/>
        </w:rPr>
      </w:pPr>
      <w:r w:rsidRPr="00363668">
        <w:rPr>
          <w:rFonts w:ascii="Arial" w:hAnsi="Arial" w:cs="Arial"/>
        </w:rPr>
        <w:t>However, transformational leadership alone may not be sufficient in highly complex healthcare environments. Transactional leadership remains important for ensuring that staff adhere to clinical protocols and regulatory standards. Healthcare organisations operate within strict governance frameworks that require compliance with established procedures and safety guidelines. Transactional leadership provides clear expectations and accountability mechanisms that help maintain these standards (Kaplan et al., 2010).</w:t>
      </w:r>
    </w:p>
    <w:p w14:paraId="29894BBB" w14:textId="62BECB12" w:rsidR="00363668" w:rsidRDefault="00363668" w:rsidP="00363668">
      <w:pPr>
        <w:spacing w:line="360" w:lineRule="auto"/>
        <w:rPr>
          <w:rFonts w:ascii="Arial" w:hAnsi="Arial" w:cs="Arial"/>
        </w:rPr>
      </w:pPr>
      <w:r w:rsidRPr="00363668">
        <w:rPr>
          <w:rFonts w:ascii="Arial" w:hAnsi="Arial" w:cs="Arial"/>
        </w:rPr>
        <w:t>Nevertheless, the Lewis Blackman case suggests that excessive reliance on procedural compliance without critical reflection can create risks. When staff focus solely on following routine procedures, they may overlook unusual symptoms or fail to reassess changing clinical situations. Effective leadership in healthcare therefore requires a balance between maintaining procedural standards and encouraging staff to think critically about patient care.</w:t>
      </w:r>
    </w:p>
    <w:p w14:paraId="4B3D378A" w14:textId="77777777" w:rsidR="007853DB" w:rsidRPr="00363668" w:rsidRDefault="007853DB" w:rsidP="00363668">
      <w:pPr>
        <w:spacing w:line="360" w:lineRule="auto"/>
        <w:rPr>
          <w:rFonts w:ascii="Arial" w:hAnsi="Arial" w:cs="Arial"/>
        </w:rPr>
      </w:pPr>
    </w:p>
    <w:p w14:paraId="7679986C" w14:textId="620A48A4" w:rsidR="00363668" w:rsidRDefault="00363668" w:rsidP="00363668">
      <w:pPr>
        <w:spacing w:line="360" w:lineRule="auto"/>
        <w:rPr>
          <w:rFonts w:ascii="Arial" w:hAnsi="Arial" w:cs="Arial"/>
        </w:rPr>
      </w:pPr>
      <w:r w:rsidRPr="00363668">
        <w:rPr>
          <w:rFonts w:ascii="Arial" w:hAnsi="Arial" w:cs="Arial"/>
        </w:rPr>
        <w:lastRenderedPageBreak/>
        <w:t>Situational leadership further emphasises the importance of adapting leadership behaviour according to the circumstances. Healthcare environments are dynamic, and leaders must respond quickly to emerging clinical risks. Situational leadership allows leaders to adjust their approach depending on the competence of the team and the urgency of the situation (Hersey, Blanchard and Johnson, 2013). For example, during routine clinical activities leaders may adopt a collaborative approach, but during medical emergencies they may need to provide more directive guidance to ensure coordinated action.</w:t>
      </w:r>
    </w:p>
    <w:p w14:paraId="4170D576" w14:textId="77777777" w:rsidR="007853DB" w:rsidRPr="00363668" w:rsidRDefault="007853DB" w:rsidP="00363668">
      <w:pPr>
        <w:spacing w:line="360" w:lineRule="auto"/>
        <w:rPr>
          <w:rFonts w:ascii="Arial" w:hAnsi="Arial" w:cs="Arial"/>
        </w:rPr>
      </w:pPr>
    </w:p>
    <w:p w14:paraId="784314D2" w14:textId="63E08968" w:rsidR="00363668" w:rsidRDefault="00363668" w:rsidP="00363668">
      <w:pPr>
        <w:spacing w:line="360" w:lineRule="auto"/>
        <w:rPr>
          <w:rFonts w:ascii="Arial" w:hAnsi="Arial" w:cs="Arial"/>
        </w:rPr>
      </w:pPr>
      <w:r w:rsidRPr="00363668">
        <w:rPr>
          <w:rFonts w:ascii="Arial" w:hAnsi="Arial" w:cs="Arial"/>
        </w:rPr>
        <w:t>Another important leadership concept relevant to the Lewis Blackman case is psychological safety. Psychological safety refers to the shared belief within a team that individuals can raise concerns or admit mistakes without fear of punishment (Edmondson, 2018</w:t>
      </w:r>
      <w:r w:rsidR="00141D7D" w:rsidRPr="00141D7D">
        <w:rPr>
          <w:rFonts w:ascii="Arial" w:hAnsi="Arial" w:cs="Arial"/>
        </w:rPr>
        <w:t>; Nembhard and Edmondson, 2006</w:t>
      </w:r>
      <w:r w:rsidRPr="00363668">
        <w:rPr>
          <w:rFonts w:ascii="Arial" w:hAnsi="Arial" w:cs="Arial"/>
        </w:rPr>
        <w:t>). In healthcare settings, psychological safety is essential for promoting patient safety because staff must feel comfortable reporting potential risks or errors. Transformational leadership is strongly associated with psychological safety because it encourages supportive communication and mutual respect among team members.</w:t>
      </w:r>
    </w:p>
    <w:p w14:paraId="1686FF18" w14:textId="77777777" w:rsidR="007853DB" w:rsidRPr="00363668" w:rsidRDefault="007853DB" w:rsidP="00363668">
      <w:pPr>
        <w:spacing w:line="360" w:lineRule="auto"/>
        <w:rPr>
          <w:rFonts w:ascii="Arial" w:hAnsi="Arial" w:cs="Arial"/>
        </w:rPr>
      </w:pPr>
    </w:p>
    <w:p w14:paraId="35671AE1" w14:textId="375E4996" w:rsidR="00EE745B" w:rsidRDefault="00363668" w:rsidP="00227C18">
      <w:pPr>
        <w:spacing w:line="360" w:lineRule="auto"/>
        <w:rPr>
          <w:rFonts w:ascii="Arial" w:hAnsi="Arial" w:cs="Arial"/>
        </w:rPr>
      </w:pPr>
      <w:r w:rsidRPr="00363668">
        <w:rPr>
          <w:rFonts w:ascii="Arial" w:hAnsi="Arial" w:cs="Arial"/>
        </w:rPr>
        <w:t>Ultimately, the Lewis Blackman case illustrates how leadership behaviours influence organisational culture, communication processes and clinical decision-making. Effective healthcare leadership requires a combination of transformational, transactional and situational leadership approaches. When these approaches are integrated effectively, healthcare organisations are better equipped to manage complex clinical environments and protect patient safety.</w:t>
      </w:r>
    </w:p>
    <w:p w14:paraId="3E5C85B1" w14:textId="77777777" w:rsidR="00313A2C" w:rsidRPr="00EE745B" w:rsidRDefault="00313A2C" w:rsidP="00227C18">
      <w:pPr>
        <w:spacing w:line="360" w:lineRule="auto"/>
        <w:rPr>
          <w:rFonts w:ascii="Arial" w:hAnsi="Arial" w:cs="Arial"/>
        </w:rPr>
      </w:pPr>
    </w:p>
    <w:p w14:paraId="76D5B553" w14:textId="5BF09BEB" w:rsidR="00227C18" w:rsidRPr="00363668" w:rsidRDefault="00227C18" w:rsidP="00313A2C">
      <w:pPr>
        <w:pStyle w:val="Heading2"/>
      </w:pPr>
      <w:r w:rsidRPr="00363668">
        <w:t xml:space="preserve"> </w:t>
      </w:r>
      <w:bookmarkStart w:id="6" w:name="_Toc224651846"/>
      <w:r w:rsidRPr="00363668">
        <w:t>Improvement and Lessons Learned</w:t>
      </w:r>
      <w:bookmarkEnd w:id="6"/>
      <w:r w:rsidRPr="00363668">
        <w:t xml:space="preserve"> </w:t>
      </w:r>
    </w:p>
    <w:p w14:paraId="7EC6D9E1" w14:textId="77777777" w:rsidR="001A309C" w:rsidRPr="001A309C" w:rsidRDefault="001A309C" w:rsidP="001A309C">
      <w:pPr>
        <w:spacing w:line="360" w:lineRule="auto"/>
        <w:rPr>
          <w:rFonts w:ascii="Arial" w:hAnsi="Arial" w:cs="Arial"/>
        </w:rPr>
      </w:pPr>
      <w:r w:rsidRPr="001A309C">
        <w:rPr>
          <w:rFonts w:ascii="Arial" w:hAnsi="Arial" w:cs="Arial"/>
        </w:rPr>
        <w:t>The Lewis Blackman case highlights several critical lessons for healthcare organisations regarding leadership, governance, communication systems, and organisational culture. The incident demonstrates how systemic weaknesses within healthcare systems can contribute to patient safety failures when they are not addressed through effective leadership and governance frameworks. By analysing the interaction between organisational structures, leadership approaches, and communication processes, healthcare organisations can identify strategies to prevent similar incidents in the future.</w:t>
      </w:r>
    </w:p>
    <w:p w14:paraId="2DA192A3" w14:textId="77777777" w:rsidR="001A309C" w:rsidRPr="001A309C" w:rsidRDefault="001A309C" w:rsidP="001A309C">
      <w:pPr>
        <w:spacing w:line="360" w:lineRule="auto"/>
        <w:rPr>
          <w:rFonts w:ascii="Arial" w:hAnsi="Arial" w:cs="Arial"/>
        </w:rPr>
      </w:pPr>
    </w:p>
    <w:p w14:paraId="2A834178" w14:textId="77777777" w:rsidR="001A309C" w:rsidRPr="001A309C" w:rsidRDefault="001A309C" w:rsidP="001A309C">
      <w:pPr>
        <w:spacing w:line="360" w:lineRule="auto"/>
        <w:rPr>
          <w:rFonts w:ascii="Arial" w:hAnsi="Arial" w:cs="Arial"/>
        </w:rPr>
      </w:pPr>
      <w:r w:rsidRPr="001A309C">
        <w:rPr>
          <w:rFonts w:ascii="Arial" w:hAnsi="Arial" w:cs="Arial"/>
        </w:rPr>
        <w:lastRenderedPageBreak/>
        <w:t>One of the most significant issues identified in the case was the failure to recognise and escalate patient deterioration in a timely manner. Delayed escalation of clinical concerns has been widely recognised as a major contributor to adverse patient outcomes in hospitals (Manser, 2009). Research indicates that many hospital deaths occur due to failures in recognising early signs of patient deterioration or delays in seeking senior medical advice (</w:t>
      </w:r>
      <w:proofErr w:type="spellStart"/>
      <w:r w:rsidRPr="001A309C">
        <w:rPr>
          <w:rFonts w:ascii="Arial" w:hAnsi="Arial" w:cs="Arial"/>
        </w:rPr>
        <w:t>Leape</w:t>
      </w:r>
      <w:proofErr w:type="spellEnd"/>
      <w:r w:rsidRPr="001A309C">
        <w:rPr>
          <w:rFonts w:ascii="Arial" w:hAnsi="Arial" w:cs="Arial"/>
        </w:rPr>
        <w:t>, 2015). In the Lewis Blackman case, junior clinicians were responsible for monitoring the patient but did not escalate the situation despite clear evidence that his condition was worsening. This highlights the need for structured escalation protocols and early warning systems that can help healthcare professionals identify deteriorating patients more effectively.</w:t>
      </w:r>
    </w:p>
    <w:p w14:paraId="087372A9" w14:textId="77777777" w:rsidR="001A309C" w:rsidRPr="001A309C" w:rsidRDefault="001A309C" w:rsidP="001A309C">
      <w:pPr>
        <w:spacing w:line="360" w:lineRule="auto"/>
        <w:rPr>
          <w:rFonts w:ascii="Arial" w:hAnsi="Arial" w:cs="Arial"/>
        </w:rPr>
      </w:pPr>
    </w:p>
    <w:p w14:paraId="50027D9C" w14:textId="046BDB47" w:rsidR="001A309C" w:rsidRPr="001A309C" w:rsidRDefault="001A309C" w:rsidP="001A309C">
      <w:pPr>
        <w:spacing w:line="360" w:lineRule="auto"/>
        <w:rPr>
          <w:rFonts w:ascii="Arial" w:hAnsi="Arial" w:cs="Arial"/>
        </w:rPr>
      </w:pPr>
      <w:r w:rsidRPr="001A309C">
        <w:rPr>
          <w:rFonts w:ascii="Arial" w:hAnsi="Arial" w:cs="Arial"/>
        </w:rPr>
        <w:t>Implementing early warning scoring systems and rapid response teams is one approach that healthcare organisations have adopted to address this issue. Early warning systems use standardised clinical indicators such as heart rate, blood pressure, and oxygen levels to identify patients at risk of deterioration (Care Quality Commission, 2023</w:t>
      </w:r>
      <w:r w:rsidR="00091453" w:rsidRPr="00091453">
        <w:rPr>
          <w:rFonts w:ascii="Arial" w:hAnsi="Arial" w:cs="Arial"/>
        </w:rPr>
        <w:t>; Jones et al., 2011</w:t>
      </w:r>
      <w:r w:rsidRPr="001A309C">
        <w:rPr>
          <w:rFonts w:ascii="Arial" w:hAnsi="Arial" w:cs="Arial"/>
        </w:rPr>
        <w:t>). When these indicators reach predefined thresholds, the system triggers escalation to senior clinicians or specialised rapid response teams. Evidence suggests that early warning systems can significantly reduce hospital mortality and improve patient safety outcomes (Rosen et al., 2018). If such systems had been in place and consistently applied in the Lewis Blackman case, it is possible that clinical deterioration could have been recognised earlier and appropriate intervention provided.</w:t>
      </w:r>
    </w:p>
    <w:p w14:paraId="0A9996B4" w14:textId="77777777" w:rsidR="001A309C" w:rsidRPr="001A309C" w:rsidRDefault="001A309C" w:rsidP="001A309C">
      <w:pPr>
        <w:spacing w:line="360" w:lineRule="auto"/>
        <w:rPr>
          <w:rFonts w:ascii="Arial" w:hAnsi="Arial" w:cs="Arial"/>
        </w:rPr>
      </w:pPr>
    </w:p>
    <w:p w14:paraId="41372060" w14:textId="55F909CA" w:rsidR="001A309C" w:rsidRPr="001A309C" w:rsidRDefault="001A309C" w:rsidP="001A309C">
      <w:pPr>
        <w:spacing w:line="360" w:lineRule="auto"/>
        <w:rPr>
          <w:rFonts w:ascii="Arial" w:hAnsi="Arial" w:cs="Arial"/>
        </w:rPr>
      </w:pPr>
      <w:r w:rsidRPr="001A309C">
        <w:rPr>
          <w:rFonts w:ascii="Arial" w:hAnsi="Arial" w:cs="Arial"/>
        </w:rPr>
        <w:t>Another key lesson from the case relates to communication and teamwork within healthcare organisations. Communication failures between healthcare professionals are one of the most frequently cited causes of medical errors (Dixon-Woods et al., 2014</w:t>
      </w:r>
      <w:r w:rsidR="008C3C28">
        <w:rPr>
          <w:rFonts w:ascii="Arial" w:hAnsi="Arial" w:cs="Arial"/>
        </w:rPr>
        <w:t>;</w:t>
      </w:r>
      <w:r w:rsidR="00AA565D" w:rsidRPr="00AA565D">
        <w:t xml:space="preserve"> </w:t>
      </w:r>
      <w:r w:rsidR="00AA565D" w:rsidRPr="00AA565D">
        <w:rPr>
          <w:rFonts w:ascii="Arial" w:hAnsi="Arial" w:cs="Arial"/>
        </w:rPr>
        <w:t xml:space="preserve">Leonard, Graham and </w:t>
      </w:r>
      <w:proofErr w:type="spellStart"/>
      <w:r w:rsidR="00AA565D" w:rsidRPr="00AA565D">
        <w:rPr>
          <w:rFonts w:ascii="Arial" w:hAnsi="Arial" w:cs="Arial"/>
        </w:rPr>
        <w:t>Bonacum</w:t>
      </w:r>
      <w:proofErr w:type="spellEnd"/>
      <w:r w:rsidR="00AA565D" w:rsidRPr="00AA565D">
        <w:rPr>
          <w:rFonts w:ascii="Arial" w:hAnsi="Arial" w:cs="Arial"/>
        </w:rPr>
        <w:t>, 2004</w:t>
      </w:r>
      <w:r w:rsidRPr="001A309C">
        <w:rPr>
          <w:rFonts w:ascii="Arial" w:hAnsi="Arial" w:cs="Arial"/>
        </w:rPr>
        <w:t>). In this case, communication between nurses, junior doctors, and senior clinicians appeared fragmented, resulting in delays in clinical decision-making. Furthermore, the concerns raised by the patient’s mother were not taken seriously by clinical staff, highlighting weaknesses in communication between healthcare professionals and patients’ families.</w:t>
      </w:r>
    </w:p>
    <w:p w14:paraId="7AE1EA6C" w14:textId="77777777" w:rsidR="001A309C" w:rsidRPr="001A309C" w:rsidRDefault="001A309C" w:rsidP="001A309C">
      <w:pPr>
        <w:spacing w:line="360" w:lineRule="auto"/>
        <w:rPr>
          <w:rFonts w:ascii="Arial" w:hAnsi="Arial" w:cs="Arial"/>
        </w:rPr>
      </w:pPr>
    </w:p>
    <w:p w14:paraId="24FCA5A0" w14:textId="3DA8FE25" w:rsidR="001A309C" w:rsidRPr="001A309C" w:rsidRDefault="001A309C" w:rsidP="001A309C">
      <w:pPr>
        <w:spacing w:line="360" w:lineRule="auto"/>
        <w:rPr>
          <w:rFonts w:ascii="Arial" w:hAnsi="Arial" w:cs="Arial"/>
        </w:rPr>
      </w:pPr>
      <w:r w:rsidRPr="001A309C">
        <w:rPr>
          <w:rFonts w:ascii="Arial" w:hAnsi="Arial" w:cs="Arial"/>
        </w:rPr>
        <w:t xml:space="preserve">Improving communication within healthcare teams requires both organisational and leadership interventions. Structured communication tools such as the SBAR (Situation, Background, Assessment, Recommendation) framework have been widely implemented to </w:t>
      </w:r>
      <w:r w:rsidRPr="001A309C">
        <w:rPr>
          <w:rFonts w:ascii="Arial" w:hAnsi="Arial" w:cs="Arial"/>
        </w:rPr>
        <w:lastRenderedPageBreak/>
        <w:t>standardise information exchange between healthcare professionals (Manser, 2009</w:t>
      </w:r>
      <w:r w:rsidR="00753127" w:rsidRPr="00753127">
        <w:rPr>
          <w:rFonts w:ascii="Arial" w:hAnsi="Arial" w:cs="Arial"/>
        </w:rPr>
        <w:t>; Haig, Sutton and Whittington, 2006</w:t>
      </w:r>
      <w:r w:rsidRPr="001A309C">
        <w:rPr>
          <w:rFonts w:ascii="Arial" w:hAnsi="Arial" w:cs="Arial"/>
        </w:rPr>
        <w:t>). Such frameworks reduce ambiguity and ensure that critical patient information is communicated clearly and efficiently. Additionally, multidisciplinary team meetings and ward rounds can help ensure that different healthcare professionals contribute their expertise when managing complex patient cases (Rosen et al., 2018).</w:t>
      </w:r>
    </w:p>
    <w:p w14:paraId="0B6AB828" w14:textId="77777777" w:rsidR="001A309C" w:rsidRPr="001A309C" w:rsidRDefault="001A309C" w:rsidP="001A309C">
      <w:pPr>
        <w:spacing w:line="360" w:lineRule="auto"/>
        <w:rPr>
          <w:rFonts w:ascii="Arial" w:hAnsi="Arial" w:cs="Arial"/>
        </w:rPr>
      </w:pPr>
      <w:r w:rsidRPr="001A309C">
        <w:rPr>
          <w:rFonts w:ascii="Arial" w:hAnsi="Arial" w:cs="Arial"/>
        </w:rPr>
        <w:t>Leadership also plays a fundamental role in shaping organisational culture and communication practices. The Lewis Blackman case demonstrates the consequences of a leadership environment that does not encourage open dialogue or challenge. Transformational leadership has been widely recognised as an effective approach for promoting patient safety cultures within healthcare organisations (Bass and Riggio, 2006). Transformational leaders encourage staff to question existing practices, share concerns, and collaborate on improving healthcare delivery. Research indicates that organisations characterised by transformational leadership demonstrate higher levels of staff engagement and improved patient safety outcomes (West et al., 2014).</w:t>
      </w:r>
    </w:p>
    <w:p w14:paraId="18277F85" w14:textId="77777777" w:rsidR="001A309C" w:rsidRPr="001A309C" w:rsidRDefault="001A309C" w:rsidP="001A309C">
      <w:pPr>
        <w:spacing w:line="360" w:lineRule="auto"/>
        <w:rPr>
          <w:rFonts w:ascii="Arial" w:hAnsi="Arial" w:cs="Arial"/>
        </w:rPr>
      </w:pPr>
    </w:p>
    <w:p w14:paraId="3E53D281" w14:textId="77777777" w:rsidR="001A309C" w:rsidRPr="001A309C" w:rsidRDefault="001A309C" w:rsidP="001A309C">
      <w:pPr>
        <w:spacing w:line="360" w:lineRule="auto"/>
        <w:rPr>
          <w:rFonts w:ascii="Arial" w:hAnsi="Arial" w:cs="Arial"/>
        </w:rPr>
      </w:pPr>
      <w:r w:rsidRPr="001A309C">
        <w:rPr>
          <w:rFonts w:ascii="Arial" w:hAnsi="Arial" w:cs="Arial"/>
        </w:rPr>
        <w:t>In contrast, the leadership environment in the Lewis Blackman case appeared to reflect elements of transactional leadership, where staff focused primarily on following established procedures rather than critically evaluating clinical decisions. Transactional leadership can be effective in maintaining organisational order and ensuring compliance with clinical protocols (Goleman, 2000). However, excessive reliance on transactional leadership may discourage innovation and limit staff willingness to challenge unsafe practices (Kaplan et al., 2010). In high-risk healthcare environments, leadership approaches must therefore balance adherence to protocols with the ability to respond flexibly to changing clinical conditions.</w:t>
      </w:r>
    </w:p>
    <w:p w14:paraId="30BF79C1" w14:textId="77777777" w:rsidR="001A309C" w:rsidRPr="001A309C" w:rsidRDefault="001A309C" w:rsidP="001A309C">
      <w:pPr>
        <w:spacing w:line="360" w:lineRule="auto"/>
        <w:rPr>
          <w:rFonts w:ascii="Arial" w:hAnsi="Arial" w:cs="Arial"/>
        </w:rPr>
      </w:pPr>
    </w:p>
    <w:p w14:paraId="3CAEA141" w14:textId="77777777" w:rsidR="001A309C" w:rsidRPr="001A309C" w:rsidRDefault="001A309C" w:rsidP="001A309C">
      <w:pPr>
        <w:spacing w:line="360" w:lineRule="auto"/>
        <w:rPr>
          <w:rFonts w:ascii="Arial" w:hAnsi="Arial" w:cs="Arial"/>
        </w:rPr>
      </w:pPr>
      <w:r w:rsidRPr="001A309C">
        <w:rPr>
          <w:rFonts w:ascii="Arial" w:hAnsi="Arial" w:cs="Arial"/>
        </w:rPr>
        <w:t>Another important leadership concept relevant to this case is situational leadership. Situational leadership emphasises the importance of adapting leadership behaviour to the specific context and needs of the team (Thompson, 2015). In situations involving patient deterioration or medical emergencies, leaders must adopt a more directive leadership style to ensure rapid decision-making and effective coordination between healthcare professionals. The failure to shift leadership style appropriately during the Lewis Blackman case illustrates the importance of situational awareness and adaptive leadership in healthcare settings.</w:t>
      </w:r>
    </w:p>
    <w:p w14:paraId="126D00AD" w14:textId="77777777" w:rsidR="001A309C" w:rsidRPr="001A309C" w:rsidRDefault="001A309C" w:rsidP="001A309C">
      <w:pPr>
        <w:spacing w:line="360" w:lineRule="auto"/>
        <w:rPr>
          <w:rFonts w:ascii="Arial" w:hAnsi="Arial" w:cs="Arial"/>
        </w:rPr>
      </w:pPr>
    </w:p>
    <w:p w14:paraId="7ABF99F4" w14:textId="3793D095" w:rsidR="001A309C" w:rsidRPr="001A309C" w:rsidRDefault="001A309C" w:rsidP="001A309C">
      <w:pPr>
        <w:spacing w:line="360" w:lineRule="auto"/>
        <w:rPr>
          <w:rFonts w:ascii="Arial" w:hAnsi="Arial" w:cs="Arial"/>
        </w:rPr>
      </w:pPr>
      <w:r w:rsidRPr="001A309C">
        <w:rPr>
          <w:rFonts w:ascii="Arial" w:hAnsi="Arial" w:cs="Arial"/>
        </w:rPr>
        <w:lastRenderedPageBreak/>
        <w:t>Organisational learning is another critical component of improving patient safety. Healthcare organisations must develop systems that encourage staff to report safety incidents without fear of blame or punishment. A culture of blame often discourages staff from reporting errors, preventing organisations from identifying systemic risks (Reason, 2000</w:t>
      </w:r>
      <w:r w:rsidR="00753127" w:rsidRPr="00753127">
        <w:rPr>
          <w:rFonts w:ascii="Arial" w:hAnsi="Arial" w:cs="Arial"/>
        </w:rPr>
        <w:t>; Senge, 2006</w:t>
      </w:r>
      <w:r w:rsidRPr="001A309C">
        <w:rPr>
          <w:rFonts w:ascii="Arial" w:hAnsi="Arial" w:cs="Arial"/>
        </w:rPr>
        <w:t>). Instead, healthcare organisations should adopt a learning culture where incidents are analysed to identify underlying system failures and develop preventative strategies. Incident reporting systems and patient safety audits can play an important role in identifying patterns of risk and supporting continuous improvement initiatives (Health Foundation, 2021).</w:t>
      </w:r>
    </w:p>
    <w:p w14:paraId="23820CD2" w14:textId="77777777" w:rsidR="001A309C" w:rsidRPr="001A309C" w:rsidRDefault="001A309C" w:rsidP="001A309C">
      <w:pPr>
        <w:spacing w:line="360" w:lineRule="auto"/>
        <w:rPr>
          <w:rFonts w:ascii="Arial" w:hAnsi="Arial" w:cs="Arial"/>
        </w:rPr>
      </w:pPr>
    </w:p>
    <w:p w14:paraId="4F328C69" w14:textId="38F9EC89" w:rsidR="001A309C" w:rsidRPr="001A309C" w:rsidRDefault="001A309C" w:rsidP="001A309C">
      <w:pPr>
        <w:spacing w:line="360" w:lineRule="auto"/>
        <w:rPr>
          <w:rFonts w:ascii="Arial" w:hAnsi="Arial" w:cs="Arial"/>
        </w:rPr>
      </w:pPr>
      <w:r w:rsidRPr="001A309C">
        <w:rPr>
          <w:rFonts w:ascii="Arial" w:hAnsi="Arial" w:cs="Arial"/>
        </w:rPr>
        <w:t>Finally, the case highlights the importance of patient and family engagement in healthcare decision-making. Patients and families often provide valuable insights into changes in a patient’s condition that healthcare professionals may overlook. Encouraging patients and families to speak up about safety concerns can help identify potential risks earlier and improve clinical decision-making (The King’s Fund, 2021</w:t>
      </w:r>
      <w:r w:rsidR="003F3856" w:rsidRPr="003F3856">
        <w:rPr>
          <w:rFonts w:ascii="Arial" w:hAnsi="Arial" w:cs="Arial"/>
        </w:rPr>
        <w:t>; Coulter, 2012</w:t>
      </w:r>
      <w:r w:rsidRPr="001A309C">
        <w:rPr>
          <w:rFonts w:ascii="Arial" w:hAnsi="Arial" w:cs="Arial"/>
        </w:rPr>
        <w:t>). In the Lewis Blackman case, greater attention to the concerns raised by the patient’s mother may have prompted earlier clinical intervention.</w:t>
      </w:r>
    </w:p>
    <w:p w14:paraId="614173DB" w14:textId="77777777" w:rsidR="001A309C" w:rsidRPr="001A309C" w:rsidRDefault="001A309C" w:rsidP="001A309C">
      <w:pPr>
        <w:spacing w:line="360" w:lineRule="auto"/>
        <w:rPr>
          <w:rFonts w:ascii="Arial" w:hAnsi="Arial" w:cs="Arial"/>
        </w:rPr>
      </w:pPr>
    </w:p>
    <w:p w14:paraId="27067EFD" w14:textId="77777777" w:rsidR="001A309C" w:rsidRPr="00F12F20" w:rsidRDefault="001A309C" w:rsidP="001A309C">
      <w:pPr>
        <w:spacing w:line="360" w:lineRule="auto"/>
        <w:rPr>
          <w:rFonts w:ascii="Arial" w:hAnsi="Arial" w:cs="Arial"/>
          <w:b/>
          <w:bCs/>
        </w:rPr>
      </w:pPr>
      <w:r w:rsidRPr="001A309C">
        <w:rPr>
          <w:rFonts w:ascii="Arial" w:hAnsi="Arial" w:cs="Arial"/>
        </w:rPr>
        <w:t xml:space="preserve">Overall, the Lewis Blackman case provides important lessons for healthcare organisations regarding leadership, governance, communication, and organisational culture. Strengthening escalation systems, improving communication practices, developing adaptive leadership capabilities, and promoting organisational learning are essential steps in reducing patient safety risks. By applying these lessons, healthcare organisations can create safer systems that prioritise patient wellbeing and prevent similar tragedies from occurring in the future. </w:t>
      </w:r>
      <w:r w:rsidRPr="00F12F20">
        <w:rPr>
          <w:rFonts w:ascii="Arial" w:hAnsi="Arial" w:cs="Arial"/>
          <w:b/>
          <w:bCs/>
        </w:rPr>
        <w:t>In addition, developing strong organisational safety cultures is essential for sustaining long-term improvements in patient safety.</w:t>
      </w:r>
    </w:p>
    <w:p w14:paraId="3F426F00" w14:textId="77777777" w:rsidR="001A309C" w:rsidRPr="001A309C" w:rsidRDefault="001A309C" w:rsidP="001A309C">
      <w:pPr>
        <w:spacing w:line="360" w:lineRule="auto"/>
        <w:rPr>
          <w:rFonts w:ascii="Arial" w:hAnsi="Arial" w:cs="Arial"/>
        </w:rPr>
      </w:pPr>
    </w:p>
    <w:p w14:paraId="72A92A97" w14:textId="77777777" w:rsidR="001A309C" w:rsidRPr="001A309C" w:rsidRDefault="001A309C" w:rsidP="001A309C">
      <w:pPr>
        <w:spacing w:line="360" w:lineRule="auto"/>
        <w:rPr>
          <w:rFonts w:ascii="Arial" w:hAnsi="Arial" w:cs="Arial"/>
        </w:rPr>
      </w:pPr>
      <w:r w:rsidRPr="001A309C">
        <w:rPr>
          <w:rFonts w:ascii="Arial" w:hAnsi="Arial" w:cs="Arial"/>
        </w:rPr>
        <w:t>Safety culture refers to the shared values, attitudes, and behaviours that determine how seriously organisations prioritise patient safety (West et al., 2015). In healthcare settings where safety culture is weak, staff may hesitate to report concerns, question decisions, or acknowledge mistakes due to fear of blame or professional repercussions. Such environments may prevent organisations from identifying emerging risks and implementing corrective actions. The Lewis Blackman case illustrates how a lack of psychological safety may have prevented junior clinicians from escalating concerns despite clear indications that the patient’s condition was deteriorating.</w:t>
      </w:r>
    </w:p>
    <w:p w14:paraId="5ED3C9A8" w14:textId="77777777" w:rsidR="001A309C" w:rsidRPr="001A309C" w:rsidRDefault="001A309C" w:rsidP="001A309C">
      <w:pPr>
        <w:spacing w:line="360" w:lineRule="auto"/>
        <w:rPr>
          <w:rFonts w:ascii="Arial" w:hAnsi="Arial" w:cs="Arial"/>
        </w:rPr>
      </w:pPr>
    </w:p>
    <w:p w14:paraId="64C6ADB7" w14:textId="74312C92" w:rsidR="001A309C" w:rsidRPr="001A309C" w:rsidRDefault="001A309C" w:rsidP="001A309C">
      <w:pPr>
        <w:spacing w:line="360" w:lineRule="auto"/>
        <w:rPr>
          <w:rFonts w:ascii="Arial" w:hAnsi="Arial" w:cs="Arial"/>
        </w:rPr>
      </w:pPr>
      <w:r w:rsidRPr="001A309C">
        <w:rPr>
          <w:rFonts w:ascii="Arial" w:hAnsi="Arial" w:cs="Arial"/>
        </w:rPr>
        <w:t>Developing a positive safety culture requires leadership commitment and organisational transparency. Leaders must actively encourage staff to report incidents, discuss mistakes openly, and participate in learning processes designed to improve patient care. Research suggests that organisations that promote open reporting systems and collaborative problem-solving approaches experience improved patient safety outcomes and stronger staff engagement (West et al., 2020</w:t>
      </w:r>
      <w:r w:rsidR="001954E8" w:rsidRPr="001954E8">
        <w:rPr>
          <w:rFonts w:ascii="Arial" w:hAnsi="Arial" w:cs="Arial"/>
        </w:rPr>
        <w:t>; Weick and Sutcliffe, 2007</w:t>
      </w:r>
      <w:r w:rsidRPr="001A309C">
        <w:rPr>
          <w:rFonts w:ascii="Arial" w:hAnsi="Arial" w:cs="Arial"/>
        </w:rPr>
        <w:t>). Leaders can also support safety culture by modelling behaviours that demonstrate accountability, empathy, and respect for staff contributions.</w:t>
      </w:r>
    </w:p>
    <w:p w14:paraId="784DB33F" w14:textId="35032E4E" w:rsidR="00363668" w:rsidRPr="00227C18" w:rsidRDefault="001A309C" w:rsidP="001A309C">
      <w:pPr>
        <w:spacing w:line="360" w:lineRule="auto"/>
        <w:rPr>
          <w:rFonts w:ascii="Arial" w:hAnsi="Arial" w:cs="Arial"/>
        </w:rPr>
      </w:pPr>
      <w:r w:rsidRPr="001A309C">
        <w:rPr>
          <w:rFonts w:ascii="Arial" w:hAnsi="Arial" w:cs="Arial"/>
        </w:rPr>
        <w:t>Furthermore, healthcare organisations should integrate continuous learning processes into their governance systems. Regular safety audits, morbidity and mortality reviews, and multidisciplinary case discussions allow organisations to analyse incidents and identify system weaknesses before they lead to further harm (Health Foundation, 2021). These learning processes support the development of resilient healthcare systems capable of adapting to new challenges and preventing similar incidents in the future. In the context of the Lewis Blackman case, stronger organisational learning mechanisms could have enabled earlier identification of communication failures and escalation problems, thereby improving patient safety outcomes.</w:t>
      </w:r>
    </w:p>
    <w:p w14:paraId="4B75F61C" w14:textId="77777777" w:rsidR="00B550BD" w:rsidRDefault="00B550BD" w:rsidP="00313A2C">
      <w:pPr>
        <w:pStyle w:val="Heading1"/>
      </w:pPr>
    </w:p>
    <w:p w14:paraId="43F23623" w14:textId="77777777" w:rsidR="00815DA2" w:rsidRDefault="00815DA2" w:rsidP="00313A2C">
      <w:pPr>
        <w:pStyle w:val="Heading1"/>
      </w:pPr>
    </w:p>
    <w:p w14:paraId="17D5FA2A" w14:textId="77777777" w:rsidR="00815DA2" w:rsidRDefault="00815DA2" w:rsidP="00313A2C">
      <w:pPr>
        <w:pStyle w:val="Heading1"/>
      </w:pPr>
    </w:p>
    <w:p w14:paraId="784B39FE" w14:textId="77777777" w:rsidR="00815DA2" w:rsidRDefault="00815DA2" w:rsidP="00313A2C">
      <w:pPr>
        <w:pStyle w:val="Heading1"/>
      </w:pPr>
    </w:p>
    <w:p w14:paraId="42A7F82D" w14:textId="77777777" w:rsidR="00815DA2" w:rsidRDefault="00815DA2" w:rsidP="00313A2C">
      <w:pPr>
        <w:pStyle w:val="Heading1"/>
      </w:pPr>
    </w:p>
    <w:p w14:paraId="170841FD" w14:textId="77777777" w:rsidR="00815DA2" w:rsidRDefault="00815DA2" w:rsidP="00815DA2"/>
    <w:p w14:paraId="2CCBD38F" w14:textId="77777777" w:rsidR="00815DA2" w:rsidRPr="00815DA2" w:rsidRDefault="00815DA2" w:rsidP="00815DA2"/>
    <w:p w14:paraId="41E8D24C" w14:textId="5ADF46B2" w:rsidR="00EE745B" w:rsidRPr="00815DA2" w:rsidRDefault="00227C18" w:rsidP="00815DA2">
      <w:pPr>
        <w:pStyle w:val="Heading1"/>
      </w:pPr>
      <w:bookmarkStart w:id="7" w:name="_Toc224651847"/>
      <w:r w:rsidRPr="00815DA2">
        <w:lastRenderedPageBreak/>
        <w:t>Recommendation</w:t>
      </w:r>
      <w:bookmarkEnd w:id="7"/>
      <w:r w:rsidRPr="00815DA2">
        <w:t xml:space="preserve"> </w:t>
      </w:r>
    </w:p>
    <w:p w14:paraId="467D28D6" w14:textId="2193E5EF" w:rsidR="00EC4C6F" w:rsidRPr="00EE745B" w:rsidRDefault="00EC4C6F" w:rsidP="00EC4C6F">
      <w:pPr>
        <w:spacing w:line="360" w:lineRule="auto"/>
        <w:rPr>
          <w:rFonts w:ascii="Arial" w:hAnsi="Arial" w:cs="Arial"/>
          <w:b/>
          <w:bCs/>
        </w:rPr>
      </w:pPr>
      <w:r w:rsidRPr="00EC4C6F">
        <w:rPr>
          <w:rFonts w:ascii="Arial" w:hAnsi="Arial" w:cs="Arial"/>
        </w:rPr>
        <w:t>Based on the analysis of the Lewis Blackman case, several recommendations can be proposed to strengthen leadership practices, governance systems, and patient safety frameworks within healthcare organisations.</w:t>
      </w:r>
    </w:p>
    <w:p w14:paraId="4A946199" w14:textId="77777777" w:rsidR="00EC4C6F" w:rsidRPr="00EC4C6F" w:rsidRDefault="00EC4C6F" w:rsidP="00313A2C">
      <w:pPr>
        <w:pStyle w:val="Heading2"/>
      </w:pPr>
    </w:p>
    <w:p w14:paraId="39710BD7" w14:textId="77777777" w:rsidR="00EC4C6F" w:rsidRPr="00EC4C6F" w:rsidRDefault="00EC4C6F" w:rsidP="00EC4C6F">
      <w:pPr>
        <w:spacing w:line="360" w:lineRule="auto"/>
        <w:rPr>
          <w:rFonts w:ascii="Arial" w:hAnsi="Arial" w:cs="Arial"/>
        </w:rPr>
      </w:pPr>
      <w:r w:rsidRPr="00EC4C6F">
        <w:rPr>
          <w:rFonts w:ascii="Arial" w:hAnsi="Arial" w:cs="Arial"/>
        </w:rPr>
        <w:t>Firstly, healthcare organisations should prioritise the development of transformational leadership practices at all levels of management. Transformational leadership encourages healthcare professionals to work collaboratively towards improving patient care while fostering a culture of openness and continuous learning (Bass and Riggio, 2006). Leaders who adopt transformational approaches inspire staff to raise concerns about patient safety and contribute actively to improvement initiatives. Evidence suggests that organisations characterised by transformational leadership demonstrate higher staff engagement, stronger teamwork, and improved patient safety outcomes (West et al., 2014).</w:t>
      </w:r>
    </w:p>
    <w:p w14:paraId="40E0081A" w14:textId="77777777" w:rsidR="00EC4C6F" w:rsidRPr="00EC4C6F" w:rsidRDefault="00EC4C6F" w:rsidP="00EC4C6F">
      <w:pPr>
        <w:spacing w:line="360" w:lineRule="auto"/>
        <w:rPr>
          <w:rFonts w:ascii="Arial" w:hAnsi="Arial" w:cs="Arial"/>
        </w:rPr>
      </w:pPr>
    </w:p>
    <w:p w14:paraId="6DA3B4D8" w14:textId="77777777" w:rsidR="00EC4C6F" w:rsidRPr="00EC4C6F" w:rsidRDefault="00EC4C6F" w:rsidP="00EC4C6F">
      <w:pPr>
        <w:spacing w:line="360" w:lineRule="auto"/>
        <w:rPr>
          <w:rFonts w:ascii="Arial" w:hAnsi="Arial" w:cs="Arial"/>
        </w:rPr>
      </w:pPr>
      <w:r w:rsidRPr="00EC4C6F">
        <w:rPr>
          <w:rFonts w:ascii="Arial" w:hAnsi="Arial" w:cs="Arial"/>
        </w:rPr>
        <w:t>Secondly, healthcare organisations should strengthen clinical governance frameworks and escalation procedures. Clear governance structures ensure that responsibility and accountability are clearly defined within healthcare teams. Hospitals should implement standardised escalation protocols that enable staff to seek senior clinical advice when patients show signs of deterioration (NHS England, 2019). Early warning scoring systems should also be implemented to help healthcare professionals identify deteriorating patients and trigger rapid response interventions (Care Quality Commission, 2023).</w:t>
      </w:r>
    </w:p>
    <w:p w14:paraId="3C5DB5C9" w14:textId="77777777" w:rsidR="00EC4C6F" w:rsidRPr="00EC4C6F" w:rsidRDefault="00EC4C6F" w:rsidP="00EC4C6F">
      <w:pPr>
        <w:spacing w:line="360" w:lineRule="auto"/>
        <w:rPr>
          <w:rFonts w:ascii="Arial" w:hAnsi="Arial" w:cs="Arial"/>
        </w:rPr>
      </w:pPr>
    </w:p>
    <w:p w14:paraId="7213A879" w14:textId="77777777" w:rsidR="00EC4C6F" w:rsidRPr="00EC4C6F" w:rsidRDefault="00EC4C6F" w:rsidP="00EC4C6F">
      <w:pPr>
        <w:spacing w:line="360" w:lineRule="auto"/>
        <w:rPr>
          <w:rFonts w:ascii="Arial" w:hAnsi="Arial" w:cs="Arial"/>
        </w:rPr>
      </w:pPr>
      <w:r w:rsidRPr="00EC4C6F">
        <w:rPr>
          <w:rFonts w:ascii="Arial" w:hAnsi="Arial" w:cs="Arial"/>
        </w:rPr>
        <w:t>Thirdly, leadership development programmes should incorporate situational leadership training. Situational leadership emphasises the importance of adapting leadership behaviour to the specific circumstances and needs of the team (Thompson, 2015). In healthcare settings, leaders must be capable of shifting between supportive and directive leadership styles depending on the urgency of the clinical situation (Goleman, 2000).</w:t>
      </w:r>
    </w:p>
    <w:p w14:paraId="77331C98" w14:textId="77777777" w:rsidR="00EC4C6F" w:rsidRPr="00EC4C6F" w:rsidRDefault="00EC4C6F" w:rsidP="00EC4C6F">
      <w:pPr>
        <w:spacing w:line="360" w:lineRule="auto"/>
        <w:rPr>
          <w:rFonts w:ascii="Arial" w:hAnsi="Arial" w:cs="Arial"/>
        </w:rPr>
      </w:pPr>
    </w:p>
    <w:p w14:paraId="7EDCF01F" w14:textId="77777777" w:rsidR="00EC4C6F" w:rsidRPr="00EC4C6F" w:rsidRDefault="00EC4C6F" w:rsidP="00EC4C6F">
      <w:pPr>
        <w:spacing w:line="360" w:lineRule="auto"/>
        <w:rPr>
          <w:rFonts w:ascii="Arial" w:hAnsi="Arial" w:cs="Arial"/>
        </w:rPr>
      </w:pPr>
      <w:r w:rsidRPr="00EC4C6F">
        <w:rPr>
          <w:rFonts w:ascii="Arial" w:hAnsi="Arial" w:cs="Arial"/>
        </w:rPr>
        <w:t>Another important recommendation is the implementation of digital incident reporting systems to support data-driven learning. Effective reporting systems enable healthcare organisations to identify patterns of risk and implement preventative strategies before further harm occurs (</w:t>
      </w:r>
      <w:proofErr w:type="spellStart"/>
      <w:r w:rsidRPr="00EC4C6F">
        <w:rPr>
          <w:rFonts w:ascii="Arial" w:hAnsi="Arial" w:cs="Arial"/>
        </w:rPr>
        <w:t>Leape</w:t>
      </w:r>
      <w:proofErr w:type="spellEnd"/>
      <w:r w:rsidRPr="00EC4C6F">
        <w:rPr>
          <w:rFonts w:ascii="Arial" w:hAnsi="Arial" w:cs="Arial"/>
        </w:rPr>
        <w:t>, 2015; Health Foundation, 2021).</w:t>
      </w:r>
    </w:p>
    <w:p w14:paraId="7CF4CDAB" w14:textId="77777777" w:rsidR="00EC4C6F" w:rsidRPr="00EC4C6F" w:rsidRDefault="00EC4C6F" w:rsidP="00EC4C6F">
      <w:pPr>
        <w:spacing w:line="360" w:lineRule="auto"/>
        <w:rPr>
          <w:rFonts w:ascii="Arial" w:hAnsi="Arial" w:cs="Arial"/>
        </w:rPr>
      </w:pPr>
    </w:p>
    <w:p w14:paraId="5683156D" w14:textId="77777777" w:rsidR="00EC4C6F" w:rsidRPr="00EC4C6F" w:rsidRDefault="00EC4C6F" w:rsidP="00EC4C6F">
      <w:pPr>
        <w:spacing w:line="360" w:lineRule="auto"/>
        <w:rPr>
          <w:rFonts w:ascii="Arial" w:hAnsi="Arial" w:cs="Arial"/>
        </w:rPr>
      </w:pPr>
      <w:r w:rsidRPr="00EC4C6F">
        <w:rPr>
          <w:rFonts w:ascii="Arial" w:hAnsi="Arial" w:cs="Arial"/>
        </w:rPr>
        <w:t>Healthcare organisations should also strengthen interprofessional teamwork and communication practices. Structured communication tools such as SBAR can help standardise information exchange between healthcare professionals and reduce the likelihood of communication errors (Manser, 2009). Multidisciplinary collaboration should also be encouraged to ensure comprehensive clinical decision-making (Rosen et al., 2018).</w:t>
      </w:r>
    </w:p>
    <w:p w14:paraId="7DD9DD9F" w14:textId="77777777" w:rsidR="00EC4C6F" w:rsidRPr="00EC4C6F" w:rsidRDefault="00EC4C6F" w:rsidP="00EC4C6F">
      <w:pPr>
        <w:spacing w:line="360" w:lineRule="auto"/>
        <w:rPr>
          <w:rFonts w:ascii="Arial" w:hAnsi="Arial" w:cs="Arial"/>
        </w:rPr>
      </w:pPr>
    </w:p>
    <w:p w14:paraId="5B9DA96D" w14:textId="62373069" w:rsidR="0098474F" w:rsidRDefault="00EC4C6F" w:rsidP="00227C18">
      <w:pPr>
        <w:spacing w:line="360" w:lineRule="auto"/>
        <w:rPr>
          <w:rFonts w:ascii="Arial" w:hAnsi="Arial" w:cs="Arial"/>
        </w:rPr>
      </w:pPr>
      <w:r w:rsidRPr="00EC4C6F">
        <w:rPr>
          <w:rFonts w:ascii="Arial" w:hAnsi="Arial" w:cs="Arial"/>
        </w:rPr>
        <w:t>Finally, healthcare organisations should actively involve patients and families in healthcare decision-making processes. Patient engagement improves transparency, strengthens trust between healthcare professionals and service users, and enhances patient safety outcomes (The King’s Fund, 2021).</w:t>
      </w:r>
    </w:p>
    <w:p w14:paraId="620F53D6" w14:textId="77777777" w:rsidR="0098474F" w:rsidRDefault="0098474F" w:rsidP="00227C18">
      <w:pPr>
        <w:spacing w:line="360" w:lineRule="auto"/>
        <w:rPr>
          <w:rFonts w:ascii="Arial" w:hAnsi="Arial" w:cs="Arial"/>
        </w:rPr>
      </w:pPr>
    </w:p>
    <w:p w14:paraId="7EDE27AE" w14:textId="3D364239" w:rsidR="00227C18" w:rsidRPr="002642C6" w:rsidRDefault="00227C18" w:rsidP="00313A2C">
      <w:pPr>
        <w:pStyle w:val="Heading2"/>
        <w:rPr>
          <w:sz w:val="22"/>
          <w:szCs w:val="22"/>
        </w:rPr>
      </w:pPr>
      <w:bookmarkStart w:id="8" w:name="_Toc224651848"/>
      <w:r w:rsidRPr="006C5BA0">
        <w:t>Conclusion</w:t>
      </w:r>
      <w:bookmarkEnd w:id="8"/>
      <w:r w:rsidRPr="006C5BA0">
        <w:t xml:space="preserve"> </w:t>
      </w:r>
    </w:p>
    <w:p w14:paraId="2807052E" w14:textId="77777777" w:rsidR="0073191A" w:rsidRPr="0073191A" w:rsidRDefault="0073191A" w:rsidP="0073191A">
      <w:pPr>
        <w:spacing w:line="360" w:lineRule="auto"/>
        <w:rPr>
          <w:rFonts w:ascii="Arial" w:hAnsi="Arial" w:cs="Arial"/>
        </w:rPr>
      </w:pPr>
      <w:r w:rsidRPr="0073191A">
        <w:rPr>
          <w:rFonts w:ascii="Arial" w:hAnsi="Arial" w:cs="Arial"/>
        </w:rPr>
        <w:t>The Lewis Blackman case highlights the devastating consequences that can occur when healthcare systems fail to respond effectively to signs of patient deterioration. The analysis demonstrates that this tragic outcome resulted not from a single clinical error but from a combination of systemic weaknesses including communication breakdowns, inadequate supervision of junior clinicians, and ineffective leadership oversight.</w:t>
      </w:r>
    </w:p>
    <w:p w14:paraId="305E71E1" w14:textId="77777777" w:rsidR="0073191A" w:rsidRPr="0073191A" w:rsidRDefault="0073191A" w:rsidP="0073191A">
      <w:pPr>
        <w:spacing w:line="360" w:lineRule="auto"/>
        <w:rPr>
          <w:rFonts w:ascii="Arial" w:hAnsi="Arial" w:cs="Arial"/>
        </w:rPr>
      </w:pPr>
    </w:p>
    <w:p w14:paraId="3243991C" w14:textId="77777777" w:rsidR="0073191A" w:rsidRPr="0073191A" w:rsidRDefault="0073191A" w:rsidP="0073191A">
      <w:pPr>
        <w:spacing w:line="360" w:lineRule="auto"/>
        <w:rPr>
          <w:rFonts w:ascii="Arial" w:hAnsi="Arial" w:cs="Arial"/>
        </w:rPr>
      </w:pPr>
      <w:r w:rsidRPr="0073191A">
        <w:rPr>
          <w:rFonts w:ascii="Arial" w:hAnsi="Arial" w:cs="Arial"/>
        </w:rPr>
        <w:t>Applying systems thinking reveals how multiple organisational factors interacted within the healthcare environment to produce the outcome. These factors included weaknesses in communication processes, hierarchical barriers to escalation, and insufficient governance mechanisms (Reason, 2000; Braithwaite, Wears and Hollnagel, 2015).</w:t>
      </w:r>
    </w:p>
    <w:p w14:paraId="66558EE0" w14:textId="77777777" w:rsidR="0073191A" w:rsidRPr="0073191A" w:rsidRDefault="0073191A" w:rsidP="0073191A">
      <w:pPr>
        <w:spacing w:line="360" w:lineRule="auto"/>
        <w:rPr>
          <w:rFonts w:ascii="Arial" w:hAnsi="Arial" w:cs="Arial"/>
        </w:rPr>
      </w:pPr>
    </w:p>
    <w:p w14:paraId="7B57210E" w14:textId="77777777" w:rsidR="0073191A" w:rsidRPr="0073191A" w:rsidRDefault="0073191A" w:rsidP="0073191A">
      <w:pPr>
        <w:spacing w:line="360" w:lineRule="auto"/>
        <w:rPr>
          <w:rFonts w:ascii="Arial" w:hAnsi="Arial" w:cs="Arial"/>
        </w:rPr>
      </w:pPr>
      <w:r w:rsidRPr="0073191A">
        <w:rPr>
          <w:rFonts w:ascii="Arial" w:hAnsi="Arial" w:cs="Arial"/>
        </w:rPr>
        <w:t>Leadership theory provides important insights into how organisational culture influences patient safety outcomes. Transformational leadership encourages open communication and collaboration, transactional leadership ensures adherence to procedures, and situational leadership enables leaders to respond effectively to changing clinical circumstances (Bass and Riggio, 2006; Thompson, 2015).</w:t>
      </w:r>
    </w:p>
    <w:p w14:paraId="589C15B0" w14:textId="77777777" w:rsidR="0073191A" w:rsidRPr="0073191A" w:rsidRDefault="0073191A" w:rsidP="0073191A">
      <w:pPr>
        <w:spacing w:line="360" w:lineRule="auto"/>
        <w:rPr>
          <w:rFonts w:ascii="Arial" w:hAnsi="Arial" w:cs="Arial"/>
        </w:rPr>
      </w:pPr>
    </w:p>
    <w:p w14:paraId="23123F8A" w14:textId="76F8E7A9" w:rsidR="00363668" w:rsidRDefault="0073191A" w:rsidP="0073191A">
      <w:pPr>
        <w:spacing w:line="360" w:lineRule="auto"/>
        <w:rPr>
          <w:rFonts w:ascii="Arial" w:hAnsi="Arial" w:cs="Arial"/>
        </w:rPr>
      </w:pPr>
      <w:r w:rsidRPr="0073191A">
        <w:rPr>
          <w:rFonts w:ascii="Arial" w:hAnsi="Arial" w:cs="Arial"/>
        </w:rPr>
        <w:t xml:space="preserve">Ultimately, the Lewis Blackman case demonstrates the importance of strong leadership, effective governance, and organisational learning in improving patient safety. By promoting </w:t>
      </w:r>
      <w:r w:rsidRPr="0073191A">
        <w:rPr>
          <w:rFonts w:ascii="Arial" w:hAnsi="Arial" w:cs="Arial"/>
        </w:rPr>
        <w:lastRenderedPageBreak/>
        <w:t>transparent communication, empowering staff to raise concerns, and implementing evidence-based safety practices, healthcare organisations can reduce the likelihood of similar incidents and improve the quality of care delivered to patients.</w:t>
      </w:r>
    </w:p>
    <w:p w14:paraId="36B40D55" w14:textId="77777777" w:rsidR="00A83205" w:rsidRDefault="00A83205" w:rsidP="0073191A">
      <w:pPr>
        <w:spacing w:line="360" w:lineRule="auto"/>
        <w:rPr>
          <w:rFonts w:ascii="Arial" w:hAnsi="Arial" w:cs="Arial"/>
        </w:rPr>
      </w:pPr>
    </w:p>
    <w:p w14:paraId="1D2F6143" w14:textId="79800398" w:rsidR="00785C55" w:rsidRDefault="00785C55" w:rsidP="0073191A">
      <w:pPr>
        <w:spacing w:line="360" w:lineRule="auto"/>
        <w:rPr>
          <w:rFonts w:ascii="Arial" w:hAnsi="Arial" w:cs="Arial"/>
        </w:rPr>
      </w:pPr>
      <w:r w:rsidRPr="00785C55">
        <w:rPr>
          <w:rFonts w:ascii="Arial" w:hAnsi="Arial" w:cs="Arial"/>
        </w:rPr>
        <w:t>These findings highlight the need for healthcare organisations to adopt integrated leadership approaches that combine effective governance structures, open communication practices, and continuous organisational learning. Strengthening these areas not only improves patient safety outcomes but also enhances trust between healthcare professionals, patients, and families. Ultimately, the lessons from the Lewis Blackman case demonstrate that strong leadership and system awareness are essential for preventing avoidable harm within complex healthcare systems.</w:t>
      </w:r>
    </w:p>
    <w:p w14:paraId="183B85F4" w14:textId="4ECA7587" w:rsidR="0073191A" w:rsidRPr="00BD4458" w:rsidRDefault="00FA13FB" w:rsidP="00430DA6">
      <w:pPr>
        <w:spacing w:line="360" w:lineRule="auto"/>
        <w:rPr>
          <w:rFonts w:ascii="Arial" w:hAnsi="Arial" w:cs="Arial"/>
        </w:rPr>
      </w:pPr>
      <w:r w:rsidRPr="00FA13FB">
        <w:rPr>
          <w:rFonts w:ascii="Arial" w:hAnsi="Arial" w:cs="Arial"/>
        </w:rPr>
        <w:t>These insights reinforce the importance of developing resilient healthcare systems that prioritise leadership accountability, effective communication and continuous organisational learning to safeguard patient wellbeing</w:t>
      </w:r>
      <w:r w:rsidR="00C513C3">
        <w:rPr>
          <w:rFonts w:ascii="Arial" w:hAnsi="Arial" w:cs="Arial"/>
        </w:rPr>
        <w:t>.</w:t>
      </w:r>
    </w:p>
    <w:p w14:paraId="6B514B84" w14:textId="77777777" w:rsidR="008676CC" w:rsidRDefault="008676CC" w:rsidP="00430DA6">
      <w:pPr>
        <w:spacing w:line="360" w:lineRule="auto"/>
        <w:rPr>
          <w:rFonts w:ascii="Arial" w:hAnsi="Arial" w:cs="Arial"/>
          <w:b/>
          <w:bCs/>
          <w:sz w:val="28"/>
          <w:szCs w:val="28"/>
        </w:rPr>
      </w:pPr>
    </w:p>
    <w:p w14:paraId="209F7111" w14:textId="77777777" w:rsidR="00815DA2" w:rsidRDefault="00815DA2" w:rsidP="00430DA6">
      <w:pPr>
        <w:spacing w:line="360" w:lineRule="auto"/>
        <w:rPr>
          <w:rFonts w:ascii="Arial" w:hAnsi="Arial" w:cs="Arial"/>
          <w:b/>
          <w:bCs/>
          <w:sz w:val="28"/>
          <w:szCs w:val="28"/>
        </w:rPr>
      </w:pPr>
    </w:p>
    <w:p w14:paraId="577AFF42" w14:textId="77777777" w:rsidR="00815DA2" w:rsidRDefault="00815DA2" w:rsidP="00430DA6">
      <w:pPr>
        <w:spacing w:line="360" w:lineRule="auto"/>
        <w:rPr>
          <w:rFonts w:ascii="Arial" w:hAnsi="Arial" w:cs="Arial"/>
          <w:b/>
          <w:bCs/>
          <w:sz w:val="28"/>
          <w:szCs w:val="28"/>
        </w:rPr>
      </w:pPr>
    </w:p>
    <w:p w14:paraId="141243EA" w14:textId="77777777" w:rsidR="00815DA2" w:rsidRDefault="00815DA2" w:rsidP="00430DA6">
      <w:pPr>
        <w:spacing w:line="360" w:lineRule="auto"/>
        <w:rPr>
          <w:rFonts w:ascii="Arial" w:hAnsi="Arial" w:cs="Arial"/>
          <w:b/>
          <w:bCs/>
          <w:sz w:val="28"/>
          <w:szCs w:val="28"/>
        </w:rPr>
      </w:pPr>
    </w:p>
    <w:p w14:paraId="36A5D350" w14:textId="77777777" w:rsidR="0098474F" w:rsidRDefault="0098474F" w:rsidP="00430DA6">
      <w:pPr>
        <w:spacing w:line="360" w:lineRule="auto"/>
        <w:rPr>
          <w:rFonts w:ascii="Arial" w:hAnsi="Arial" w:cs="Arial"/>
          <w:b/>
          <w:bCs/>
          <w:sz w:val="28"/>
          <w:szCs w:val="28"/>
        </w:rPr>
      </w:pPr>
    </w:p>
    <w:p w14:paraId="1C385183" w14:textId="77777777" w:rsidR="00AC6345" w:rsidRDefault="00AC6345" w:rsidP="00F82BD0">
      <w:pPr>
        <w:pStyle w:val="Heading1"/>
      </w:pPr>
    </w:p>
    <w:p w14:paraId="6D991609" w14:textId="77777777" w:rsidR="00AC6345" w:rsidRDefault="00AC6345" w:rsidP="00F82BD0">
      <w:pPr>
        <w:pStyle w:val="Heading1"/>
      </w:pPr>
    </w:p>
    <w:p w14:paraId="577F2D53" w14:textId="77777777" w:rsidR="00AC6345" w:rsidRDefault="00AC6345" w:rsidP="00F82BD0">
      <w:pPr>
        <w:pStyle w:val="Heading1"/>
      </w:pPr>
    </w:p>
    <w:p w14:paraId="367D950A" w14:textId="77777777" w:rsidR="00F56D2C" w:rsidRPr="00F56D2C" w:rsidRDefault="00F56D2C" w:rsidP="00F56D2C"/>
    <w:p w14:paraId="6C5C30A0" w14:textId="77777777" w:rsidR="00F56D2C" w:rsidRDefault="00F56D2C" w:rsidP="00F82BD0">
      <w:pPr>
        <w:pStyle w:val="Heading1"/>
      </w:pPr>
    </w:p>
    <w:p w14:paraId="428E7ABF" w14:textId="76EC8FF9" w:rsidR="00257F53" w:rsidRPr="00CF6F76" w:rsidRDefault="00043BAA" w:rsidP="00F82BD0">
      <w:pPr>
        <w:pStyle w:val="Heading1"/>
      </w:pPr>
      <w:bookmarkStart w:id="9" w:name="_Toc224651849"/>
      <w:r w:rsidRPr="00CF6F76">
        <w:t>Reference List</w:t>
      </w:r>
      <w:bookmarkEnd w:id="9"/>
    </w:p>
    <w:p w14:paraId="6F07D45D" w14:textId="77777777" w:rsidR="00257F53" w:rsidRPr="00043BAA" w:rsidRDefault="00257F53" w:rsidP="00430DA6">
      <w:pPr>
        <w:pStyle w:val="ListParagraph"/>
        <w:spacing w:line="360" w:lineRule="auto"/>
      </w:pPr>
    </w:p>
    <w:p w14:paraId="2690BB0B" w14:textId="07891668" w:rsidR="00FD238B" w:rsidRDefault="00FD238B" w:rsidP="00D77133">
      <w:pPr>
        <w:pStyle w:val="ListParagraph"/>
        <w:numPr>
          <w:ilvl w:val="0"/>
          <w:numId w:val="15"/>
        </w:numPr>
      </w:pPr>
      <w:r w:rsidRPr="00FD238B">
        <w:t xml:space="preserve">A Review of Leadership Theories in </w:t>
      </w:r>
      <w:r w:rsidR="00C820A7" w:rsidRPr="00FD238B">
        <w:t>Healthcare:</w:t>
      </w:r>
      <w:r w:rsidRPr="00FD238B">
        <w:t xml:space="preserve"> Journal of Pharmacy and </w:t>
      </w:r>
      <w:proofErr w:type="spellStart"/>
      <w:r w:rsidRPr="00FD238B">
        <w:t>Bioallied</w:t>
      </w:r>
      <w:proofErr w:type="spellEnd"/>
      <w:r w:rsidRPr="00FD238B">
        <w:t xml:space="preserve"> Sciences. (2025). LWW. [online] </w:t>
      </w:r>
      <w:proofErr w:type="spellStart"/>
      <w:r w:rsidRPr="00FD238B">
        <w:t>doi</w:t>
      </w:r>
      <w:proofErr w:type="spellEnd"/>
      <w:r w:rsidRPr="00FD238B">
        <w:t xml:space="preserve">: </w:t>
      </w:r>
      <w:hyperlink r:id="rId5" w:history="1">
        <w:r w:rsidRPr="00C305E8">
          <w:rPr>
            <w:rStyle w:val="Hyperlink"/>
          </w:rPr>
          <w:t>https://doi.org/10.4103/jpbs.jpbs_1907_24</w:t>
        </w:r>
      </w:hyperlink>
      <w:r w:rsidRPr="00FD238B">
        <w:t>.</w:t>
      </w:r>
      <w:r>
        <w:t xml:space="preserve"> (Accessed: 17 March 2026)</w:t>
      </w:r>
    </w:p>
    <w:p w14:paraId="3D84B36F" w14:textId="77777777" w:rsidR="00FD238B" w:rsidRDefault="00FD238B" w:rsidP="00FD238B">
      <w:pPr>
        <w:pStyle w:val="ListParagraph"/>
      </w:pPr>
    </w:p>
    <w:p w14:paraId="23928D47" w14:textId="7F637BC9" w:rsidR="00B80FF6" w:rsidRDefault="00B80FF6" w:rsidP="00D77133">
      <w:pPr>
        <w:pStyle w:val="ListParagraph"/>
        <w:numPr>
          <w:ilvl w:val="0"/>
          <w:numId w:val="15"/>
        </w:numPr>
      </w:pPr>
      <w:r>
        <w:t xml:space="preserve">Bass, B.M. and Riggio, R.E. (2006) Transformational Leadership. 2nd edn. Mahwah, NJ: Lawrence Erlbaum Associates. Available at: </w:t>
      </w:r>
      <w:hyperlink r:id="rId6" w:history="1">
        <w:r w:rsidR="002D704D" w:rsidRPr="004078FC">
          <w:rPr>
            <w:rStyle w:val="Hyperlink"/>
          </w:rPr>
          <w:t>https://books.google.com/books?id=2WsJswEACAAJ</w:t>
        </w:r>
      </w:hyperlink>
      <w:r w:rsidR="002D704D">
        <w:t xml:space="preserve"> </w:t>
      </w:r>
      <w:r>
        <w:t xml:space="preserve"> (Accessed: </w:t>
      </w:r>
      <w:r w:rsidR="000617BF">
        <w:t>1</w:t>
      </w:r>
      <w:r>
        <w:t xml:space="preserve"> March 2026)</w:t>
      </w:r>
    </w:p>
    <w:p w14:paraId="4842B0A3" w14:textId="77777777" w:rsidR="00B80FF6" w:rsidRDefault="00B80FF6" w:rsidP="00B80FF6"/>
    <w:p w14:paraId="49E874D1" w14:textId="70A6DADF" w:rsidR="00B80FF6" w:rsidRDefault="00B80FF6" w:rsidP="00D77133">
      <w:pPr>
        <w:pStyle w:val="ListParagraph"/>
        <w:numPr>
          <w:ilvl w:val="0"/>
          <w:numId w:val="15"/>
        </w:numPr>
      </w:pPr>
      <w:r>
        <w:t xml:space="preserve">Berwick, D. (2013) A promise to learn – a commitment to act: Improving the safety of patients in England. London: Department of Health. Available at: </w:t>
      </w:r>
      <w:hyperlink r:id="rId7" w:history="1">
        <w:r w:rsidR="000617BF" w:rsidRPr="004078FC">
          <w:rPr>
            <w:rStyle w:val="Hyperlink"/>
          </w:rPr>
          <w:t>https://www.gov.uk/government/publications/berwick-review-into-patient-safety</w:t>
        </w:r>
      </w:hyperlink>
      <w:r w:rsidR="000617BF">
        <w:t xml:space="preserve"> </w:t>
      </w:r>
      <w:r>
        <w:t xml:space="preserve">(Accessed: </w:t>
      </w:r>
      <w:r w:rsidR="000617BF">
        <w:t xml:space="preserve">1 </w:t>
      </w:r>
      <w:r>
        <w:t>March 2026)</w:t>
      </w:r>
    </w:p>
    <w:p w14:paraId="75D64C8A" w14:textId="77777777" w:rsidR="00B80FF6" w:rsidRDefault="00B80FF6" w:rsidP="00B80FF6"/>
    <w:p w14:paraId="39434970" w14:textId="77777777" w:rsidR="00B80FF6" w:rsidRDefault="00B80FF6" w:rsidP="00D77133">
      <w:pPr>
        <w:pStyle w:val="ListParagraph"/>
        <w:numPr>
          <w:ilvl w:val="0"/>
          <w:numId w:val="15"/>
        </w:numPr>
      </w:pPr>
      <w:r>
        <w:t>Blake, R.R. and Mouton, J.S. (1964) The Managerial Grid. Houston: Gulf Publishing.</w:t>
      </w:r>
    </w:p>
    <w:p w14:paraId="6565188A" w14:textId="77777777" w:rsidR="00B80FF6" w:rsidRDefault="00B80FF6" w:rsidP="00B80FF6"/>
    <w:p w14:paraId="726B5194" w14:textId="77777777" w:rsidR="00B80FF6" w:rsidRDefault="00B80FF6" w:rsidP="00D77133">
      <w:pPr>
        <w:pStyle w:val="ListParagraph"/>
        <w:numPr>
          <w:ilvl w:val="0"/>
          <w:numId w:val="15"/>
        </w:numPr>
      </w:pPr>
      <w:r>
        <w:t>Braithwaite, J., Wears, R.L. and Hollnagel, E. (2015) Resilient Health Care, Volume 3: Reconciling Work-as-Imagined and Work-as-Done. Boca Raton: CRC Press.</w:t>
      </w:r>
    </w:p>
    <w:p w14:paraId="1A2586BD" w14:textId="77777777" w:rsidR="00B80FF6" w:rsidRDefault="00B80FF6" w:rsidP="00B80FF6"/>
    <w:p w14:paraId="2CAED0C3" w14:textId="77777777" w:rsidR="00B80FF6" w:rsidRDefault="00B80FF6" w:rsidP="00D77133">
      <w:pPr>
        <w:pStyle w:val="ListParagraph"/>
        <w:numPr>
          <w:ilvl w:val="0"/>
          <w:numId w:val="15"/>
        </w:numPr>
      </w:pPr>
      <w:r>
        <w:t>Burns, T. and Stalker, G.M. (1961) The Management of Innovation. London: Tavistock Publications.</w:t>
      </w:r>
    </w:p>
    <w:p w14:paraId="498B82FC" w14:textId="77777777" w:rsidR="00B80FF6" w:rsidRDefault="00B80FF6" w:rsidP="00B80FF6"/>
    <w:p w14:paraId="3B0AC5BE" w14:textId="25E179BC" w:rsidR="00B80FF6" w:rsidRDefault="00B80FF6" w:rsidP="00D77133">
      <w:pPr>
        <w:pStyle w:val="ListParagraph"/>
        <w:numPr>
          <w:ilvl w:val="0"/>
          <w:numId w:val="15"/>
        </w:numPr>
      </w:pPr>
      <w:r>
        <w:t xml:space="preserve">Care Quality Commission (2023) The State of Health Care and Adult Social Care in England. Available at: </w:t>
      </w:r>
      <w:hyperlink r:id="rId8" w:history="1">
        <w:r w:rsidR="000617BF" w:rsidRPr="004078FC">
          <w:rPr>
            <w:rStyle w:val="Hyperlink"/>
          </w:rPr>
          <w:t>https://www.cqc.org.uk/publications/major-report/state-care</w:t>
        </w:r>
      </w:hyperlink>
      <w:r w:rsidR="000617BF">
        <w:t xml:space="preserve"> </w:t>
      </w:r>
      <w:r>
        <w:t xml:space="preserve"> (Accessed: </w:t>
      </w:r>
      <w:r w:rsidR="000617BF">
        <w:t>4</w:t>
      </w:r>
      <w:r>
        <w:t xml:space="preserve"> March 2026)</w:t>
      </w:r>
    </w:p>
    <w:p w14:paraId="2750D33B" w14:textId="77777777" w:rsidR="00B80FF6" w:rsidRDefault="00B80FF6" w:rsidP="00B80FF6"/>
    <w:p w14:paraId="62C443AA" w14:textId="77777777" w:rsidR="00B80FF6" w:rsidRDefault="00B80FF6" w:rsidP="00D77133">
      <w:pPr>
        <w:pStyle w:val="ListParagraph"/>
        <w:numPr>
          <w:ilvl w:val="0"/>
          <w:numId w:val="15"/>
        </w:numPr>
      </w:pPr>
      <w:proofErr w:type="spellStart"/>
      <w:r>
        <w:t>Carayon</w:t>
      </w:r>
      <w:proofErr w:type="spellEnd"/>
      <w:r>
        <w:t xml:space="preserve">, P., Schoofs Hundt, A., Karsh, B.T., </w:t>
      </w:r>
      <w:proofErr w:type="spellStart"/>
      <w:r>
        <w:t>Gurses</w:t>
      </w:r>
      <w:proofErr w:type="spellEnd"/>
      <w:r>
        <w:t>, A., Alvarado, C., Smith, M. and Brennan, P. (2014) Work system design for patient safety: The SEIPS model. Quality and Safety in Health Care, 15(</w:t>
      </w:r>
      <w:proofErr w:type="spellStart"/>
      <w:r>
        <w:t>Suppl</w:t>
      </w:r>
      <w:proofErr w:type="spellEnd"/>
      <w:r>
        <w:t xml:space="preserve"> 1), </w:t>
      </w:r>
      <w:proofErr w:type="gramStart"/>
      <w:r>
        <w:t>pp.i</w:t>
      </w:r>
      <w:proofErr w:type="gramEnd"/>
      <w:r>
        <w:t>50–i58.</w:t>
      </w:r>
    </w:p>
    <w:p w14:paraId="1E64CAAB" w14:textId="77777777" w:rsidR="00B80FF6" w:rsidRDefault="00B80FF6" w:rsidP="00B80FF6"/>
    <w:p w14:paraId="1BBFC9E8" w14:textId="77777777" w:rsidR="00B80FF6" w:rsidRDefault="00B80FF6" w:rsidP="00D77133">
      <w:pPr>
        <w:pStyle w:val="ListParagraph"/>
        <w:numPr>
          <w:ilvl w:val="0"/>
          <w:numId w:val="15"/>
        </w:numPr>
      </w:pPr>
      <w:proofErr w:type="spellStart"/>
      <w:r>
        <w:t>Checkland</w:t>
      </w:r>
      <w:proofErr w:type="spellEnd"/>
      <w:r>
        <w:t>, P. (1999) Systems Thinking, Systems Practice. Chichester: John Wiley &amp; Sons.</w:t>
      </w:r>
    </w:p>
    <w:p w14:paraId="699B6029" w14:textId="77777777" w:rsidR="00205F68" w:rsidRDefault="00205F68" w:rsidP="00205F68">
      <w:pPr>
        <w:pStyle w:val="ListParagraph"/>
      </w:pPr>
    </w:p>
    <w:p w14:paraId="022DFAD6" w14:textId="77777777" w:rsidR="00205F68" w:rsidRDefault="00205F68" w:rsidP="00205F68">
      <w:pPr>
        <w:pStyle w:val="ListParagraph"/>
        <w:numPr>
          <w:ilvl w:val="0"/>
          <w:numId w:val="15"/>
        </w:numPr>
      </w:pPr>
      <w:r>
        <w:t>Coulter, A. (2012) Engaging patients in healthcare. Maidenhead: Open University Press.</w:t>
      </w:r>
    </w:p>
    <w:p w14:paraId="27B17D35" w14:textId="77777777" w:rsidR="00B80FF6" w:rsidRDefault="00B80FF6" w:rsidP="00B80FF6"/>
    <w:p w14:paraId="7DAF3689" w14:textId="295FAD92" w:rsidR="00B80FF6" w:rsidRDefault="00B80FF6" w:rsidP="00D77133">
      <w:pPr>
        <w:pStyle w:val="ListParagraph"/>
        <w:numPr>
          <w:ilvl w:val="0"/>
          <w:numId w:val="15"/>
        </w:numPr>
      </w:pPr>
      <w:r>
        <w:t xml:space="preserve">Department of Health and Social Care (2022) Health and Social Care Integration Policy Overview. Available at: </w:t>
      </w:r>
      <w:hyperlink r:id="rId9" w:history="1">
        <w:r w:rsidR="000617BF" w:rsidRPr="004078FC">
          <w:rPr>
            <w:rStyle w:val="Hyperlink"/>
          </w:rPr>
          <w:t>https://www.gov.uk/government/organisations/department-of-health-and-social-care</w:t>
        </w:r>
      </w:hyperlink>
      <w:r w:rsidR="000617BF">
        <w:t xml:space="preserve"> </w:t>
      </w:r>
      <w:r>
        <w:t xml:space="preserve"> (Accessed: </w:t>
      </w:r>
      <w:r w:rsidR="000617BF">
        <w:t xml:space="preserve">3 </w:t>
      </w:r>
      <w:r>
        <w:t>March 2026)</w:t>
      </w:r>
    </w:p>
    <w:p w14:paraId="45CC1C9B" w14:textId="77777777" w:rsidR="00B80FF6" w:rsidRDefault="00B80FF6" w:rsidP="00B80FF6"/>
    <w:p w14:paraId="42724372" w14:textId="77777777" w:rsidR="00B80FF6" w:rsidRDefault="00B80FF6" w:rsidP="00D77133">
      <w:pPr>
        <w:pStyle w:val="ListParagraph"/>
        <w:numPr>
          <w:ilvl w:val="0"/>
          <w:numId w:val="15"/>
        </w:numPr>
      </w:pPr>
      <w:r>
        <w:t xml:space="preserve">Dixon-Woods, M., Baker, R., Charles, K., Dawson, J., </w:t>
      </w:r>
      <w:proofErr w:type="spellStart"/>
      <w:r>
        <w:t>Jerzembek</w:t>
      </w:r>
      <w:proofErr w:type="spellEnd"/>
      <w:r>
        <w:t xml:space="preserve">, G., Martin, G., McCarthy, I., McKee, L., Minion, J., </w:t>
      </w:r>
      <w:proofErr w:type="spellStart"/>
      <w:r>
        <w:t>Ozieranski</w:t>
      </w:r>
      <w:proofErr w:type="spellEnd"/>
      <w:r>
        <w:t>, P., Willars, J. and West, M. (2014) Culture and behaviour in the English National Health Service. BMJ Quality &amp; Safety, 23(2), pp.106–115.</w:t>
      </w:r>
    </w:p>
    <w:p w14:paraId="34923DCA" w14:textId="77777777" w:rsidR="00B80FF6" w:rsidRDefault="00B80FF6" w:rsidP="00B80FF6"/>
    <w:p w14:paraId="69592BE6" w14:textId="77777777" w:rsidR="00B80FF6" w:rsidRDefault="00B80FF6" w:rsidP="00D77133">
      <w:pPr>
        <w:pStyle w:val="ListParagraph"/>
        <w:numPr>
          <w:ilvl w:val="0"/>
          <w:numId w:val="15"/>
        </w:numPr>
      </w:pPr>
      <w:r>
        <w:t>Edmondson, A. (2018) The Fearless Organization: Creating Psychological Safety in the Workplace for Learning, Innovation and Growth. Hoboken: Wiley.</w:t>
      </w:r>
    </w:p>
    <w:p w14:paraId="1CF5F544" w14:textId="77777777" w:rsidR="00B80FF6" w:rsidRDefault="00B80FF6" w:rsidP="00B80FF6"/>
    <w:p w14:paraId="79A4C011" w14:textId="576A0865" w:rsidR="00B80FF6" w:rsidRDefault="00B80FF6" w:rsidP="00D77133">
      <w:pPr>
        <w:pStyle w:val="ListParagraph"/>
        <w:numPr>
          <w:ilvl w:val="0"/>
          <w:numId w:val="15"/>
        </w:numPr>
      </w:pPr>
      <w:r>
        <w:t xml:space="preserve">Francis, R. (2013) Report of the Mid Staffordshire NHS Foundation Trust Public Inquiry. London: The Stationery Office. Available at: </w:t>
      </w:r>
      <w:hyperlink r:id="rId10" w:history="1">
        <w:r w:rsidR="000617BF" w:rsidRPr="004078FC">
          <w:rPr>
            <w:rStyle w:val="Hyperlink"/>
          </w:rPr>
          <w:t>https://www.gov.uk/government/publications/report-of-the-mid-staffordshire-nhs-foundation-trust-public-inquiry</w:t>
        </w:r>
      </w:hyperlink>
      <w:r w:rsidR="000617BF">
        <w:t xml:space="preserve"> </w:t>
      </w:r>
      <w:r>
        <w:t xml:space="preserve"> (Accessed: </w:t>
      </w:r>
      <w:r w:rsidR="001E1CAC">
        <w:t xml:space="preserve">8 </w:t>
      </w:r>
      <w:r>
        <w:t>March 2026)</w:t>
      </w:r>
    </w:p>
    <w:p w14:paraId="759DCC75" w14:textId="77777777" w:rsidR="006662EC" w:rsidRDefault="006662EC" w:rsidP="006662EC">
      <w:pPr>
        <w:pStyle w:val="ListParagraph"/>
      </w:pPr>
    </w:p>
    <w:p w14:paraId="6C14D0DE" w14:textId="3D064BB5" w:rsidR="006662EC" w:rsidRDefault="006662EC" w:rsidP="00D77133">
      <w:pPr>
        <w:pStyle w:val="ListParagraph"/>
        <w:numPr>
          <w:ilvl w:val="0"/>
          <w:numId w:val="15"/>
        </w:numPr>
      </w:pPr>
      <w:proofErr w:type="spellStart"/>
      <w:r w:rsidRPr="006662EC">
        <w:t>Fernandopulle</w:t>
      </w:r>
      <w:proofErr w:type="spellEnd"/>
      <w:r w:rsidRPr="006662EC">
        <w:t xml:space="preserve">, N. (2021). To what extent does hierarchical leadership affect health care outcomes? Medical Journal of The Islamic Republic of Iran, [online] 35(117). </w:t>
      </w:r>
      <w:proofErr w:type="spellStart"/>
      <w:r w:rsidRPr="006662EC">
        <w:t>doi</w:t>
      </w:r>
      <w:proofErr w:type="spellEnd"/>
      <w:r w:rsidRPr="006662EC">
        <w:t xml:space="preserve">: </w:t>
      </w:r>
      <w:hyperlink r:id="rId11" w:history="1">
        <w:r w:rsidR="006F4C6E" w:rsidRPr="00C305E8">
          <w:rPr>
            <w:rStyle w:val="Hyperlink"/>
          </w:rPr>
          <w:t>https://doi.org/10.47176/mjiri.35.117</w:t>
        </w:r>
      </w:hyperlink>
      <w:r w:rsidRPr="006662EC">
        <w:t>.</w:t>
      </w:r>
      <w:r>
        <w:t xml:space="preserve"> (Accessed: </w:t>
      </w:r>
      <w:r w:rsidR="006F4C6E">
        <w:t>17 March 2026)</w:t>
      </w:r>
    </w:p>
    <w:p w14:paraId="406932C1" w14:textId="77777777" w:rsidR="00B80FF6" w:rsidRDefault="00B80FF6" w:rsidP="00B80FF6"/>
    <w:p w14:paraId="1ECCE338" w14:textId="77777777" w:rsidR="00B80FF6" w:rsidRDefault="00B80FF6" w:rsidP="00D77133">
      <w:pPr>
        <w:pStyle w:val="ListParagraph"/>
        <w:numPr>
          <w:ilvl w:val="0"/>
          <w:numId w:val="15"/>
        </w:numPr>
      </w:pPr>
      <w:r>
        <w:t>Goleman, D. (2000) Leadership that gets results. Harvard Business Review, 78(2), pp.78–90.</w:t>
      </w:r>
    </w:p>
    <w:p w14:paraId="35358B4D" w14:textId="77777777" w:rsidR="00B80FF6" w:rsidRDefault="00B80FF6" w:rsidP="00B80FF6"/>
    <w:p w14:paraId="622DC60A" w14:textId="77777777" w:rsidR="00B80FF6" w:rsidRDefault="00B80FF6" w:rsidP="00D77133">
      <w:pPr>
        <w:pStyle w:val="ListParagraph"/>
        <w:numPr>
          <w:ilvl w:val="0"/>
          <w:numId w:val="15"/>
        </w:numPr>
      </w:pPr>
      <w:r>
        <w:t xml:space="preserve">Griffiths, P., Ball, J., Drennan, J., </w:t>
      </w:r>
      <w:proofErr w:type="spellStart"/>
      <w:r>
        <w:t>Dall’Ora</w:t>
      </w:r>
      <w:proofErr w:type="spellEnd"/>
      <w:r>
        <w:t>, C., Jones, J. and Maruotti, A. (2018) Nurse staffing levels, missed vital signs and mortality in hospitals. BMJ Open, 8(1), pp.1–8.</w:t>
      </w:r>
    </w:p>
    <w:p w14:paraId="41A414DE" w14:textId="77777777" w:rsidR="00DA654D" w:rsidRDefault="00DA654D" w:rsidP="00DA654D">
      <w:pPr>
        <w:pStyle w:val="ListParagraph"/>
      </w:pPr>
    </w:p>
    <w:p w14:paraId="1B9BC367" w14:textId="08E0C043" w:rsidR="00DA654D" w:rsidRDefault="00DA654D" w:rsidP="00D77133">
      <w:pPr>
        <w:pStyle w:val="ListParagraph"/>
        <w:numPr>
          <w:ilvl w:val="0"/>
          <w:numId w:val="15"/>
        </w:numPr>
      </w:pPr>
      <w:r w:rsidRPr="00DA654D">
        <w:t>Haig, K., Sutton, S. and Whittington, J. (2006) ‘SBAR: A shared mental model for improving communication between clinicians’, Joint Commission Journal on Quality and Patient Safety, 32(3), pp. 167–175.</w:t>
      </w:r>
    </w:p>
    <w:p w14:paraId="111348E6" w14:textId="77777777" w:rsidR="00B80FF6" w:rsidRDefault="00B80FF6" w:rsidP="00B80FF6"/>
    <w:p w14:paraId="2BE05C2C" w14:textId="77777777" w:rsidR="00B80FF6" w:rsidRDefault="00B80FF6" w:rsidP="00D77133">
      <w:pPr>
        <w:pStyle w:val="ListParagraph"/>
        <w:numPr>
          <w:ilvl w:val="0"/>
          <w:numId w:val="15"/>
        </w:numPr>
      </w:pPr>
      <w:r>
        <w:t>Haskell, H. (2015) Learning from the Lewis Blackman story: Improving patient safety through family engagement. Journal of Patient Safety, 11(4), pp.1–5.</w:t>
      </w:r>
    </w:p>
    <w:p w14:paraId="593CDBCD" w14:textId="77777777" w:rsidR="00B80FF6" w:rsidRDefault="00B80FF6" w:rsidP="00B80FF6"/>
    <w:p w14:paraId="5463537E" w14:textId="285C2E8D" w:rsidR="00B80FF6" w:rsidRDefault="00B80FF6" w:rsidP="00D77133">
      <w:pPr>
        <w:pStyle w:val="ListParagraph"/>
        <w:numPr>
          <w:ilvl w:val="0"/>
          <w:numId w:val="15"/>
        </w:numPr>
      </w:pPr>
      <w:r>
        <w:t xml:space="preserve">Health Foundation (2021) Patient Safety Improvement Programme. Available at: </w:t>
      </w:r>
      <w:hyperlink r:id="rId12" w:history="1">
        <w:r w:rsidR="00F81F70" w:rsidRPr="004078FC">
          <w:rPr>
            <w:rStyle w:val="Hyperlink"/>
          </w:rPr>
          <w:t>https://www.health.org.uk/improvement-programmes/patient-safety</w:t>
        </w:r>
      </w:hyperlink>
      <w:r w:rsidR="00F81F70">
        <w:t xml:space="preserve"> </w:t>
      </w:r>
      <w:r>
        <w:t xml:space="preserve"> (Accessed: </w:t>
      </w:r>
      <w:r w:rsidR="001E1CAC">
        <w:t>8</w:t>
      </w:r>
      <w:r>
        <w:t xml:space="preserve"> March 2026)</w:t>
      </w:r>
    </w:p>
    <w:p w14:paraId="0186F340" w14:textId="77777777" w:rsidR="00B80FF6" w:rsidRDefault="00B80FF6" w:rsidP="00B80FF6"/>
    <w:p w14:paraId="312E95FF" w14:textId="77777777" w:rsidR="00B80FF6" w:rsidRDefault="00B80FF6" w:rsidP="00D77133">
      <w:pPr>
        <w:pStyle w:val="ListParagraph"/>
        <w:numPr>
          <w:ilvl w:val="0"/>
          <w:numId w:val="15"/>
        </w:numPr>
      </w:pPr>
      <w:r>
        <w:lastRenderedPageBreak/>
        <w:t>Helmreich, R. (2000) On error management: Lessons from aviation. BMJ, 320(7237), pp.781–785.</w:t>
      </w:r>
    </w:p>
    <w:p w14:paraId="633D36DF" w14:textId="77777777" w:rsidR="00B80FF6" w:rsidRDefault="00B80FF6" w:rsidP="00B80FF6"/>
    <w:p w14:paraId="3E6EE92F" w14:textId="77777777" w:rsidR="00B80FF6" w:rsidRDefault="00B80FF6" w:rsidP="00D77133">
      <w:pPr>
        <w:pStyle w:val="ListParagraph"/>
        <w:numPr>
          <w:ilvl w:val="0"/>
          <w:numId w:val="15"/>
        </w:numPr>
      </w:pPr>
      <w:r>
        <w:t xml:space="preserve">Hersey, P., Blanchard, K. and Johnson, D. (2013) Management of Organizational </w:t>
      </w:r>
      <w:proofErr w:type="spellStart"/>
      <w:r>
        <w:t>Behavior</w:t>
      </w:r>
      <w:proofErr w:type="spellEnd"/>
      <w:r>
        <w:t>: Leading Human Resources. 10th edn. Harlow: Pearson.</w:t>
      </w:r>
    </w:p>
    <w:p w14:paraId="3FF47BE7" w14:textId="77777777" w:rsidR="00B80FF6" w:rsidRDefault="00B80FF6" w:rsidP="00B80FF6"/>
    <w:p w14:paraId="00CD3E0D" w14:textId="35AA57F6" w:rsidR="00B80FF6" w:rsidRDefault="00B80FF6" w:rsidP="00D77133">
      <w:pPr>
        <w:pStyle w:val="ListParagraph"/>
        <w:numPr>
          <w:ilvl w:val="0"/>
          <w:numId w:val="15"/>
        </w:numPr>
      </w:pPr>
      <w:r>
        <w:t xml:space="preserve">Institute of Medicine (2000) To Err is Human: Building a Safer Health System. Washington, DC: National Academy Press. Available at: </w:t>
      </w:r>
      <w:hyperlink r:id="rId13" w:history="1">
        <w:r w:rsidR="00F81F70" w:rsidRPr="004078FC">
          <w:rPr>
            <w:rStyle w:val="Hyperlink"/>
          </w:rPr>
          <w:t>https://nap.nationalacademies.org/catalog/9728/to-err-is-human-building-a-safer-health-system</w:t>
        </w:r>
      </w:hyperlink>
      <w:r w:rsidR="00F81F70">
        <w:t xml:space="preserve"> </w:t>
      </w:r>
      <w:r>
        <w:t xml:space="preserve"> (Accessed: </w:t>
      </w:r>
      <w:r w:rsidR="001E1CAC">
        <w:t>5</w:t>
      </w:r>
      <w:r>
        <w:t xml:space="preserve"> March 2026)</w:t>
      </w:r>
    </w:p>
    <w:p w14:paraId="6A3A2E8E" w14:textId="77777777" w:rsidR="0029235F" w:rsidRDefault="0029235F" w:rsidP="0029235F">
      <w:pPr>
        <w:pStyle w:val="ListParagraph"/>
      </w:pPr>
    </w:p>
    <w:p w14:paraId="4DEBCD92" w14:textId="75406DBA" w:rsidR="0029235F" w:rsidRDefault="0029235F" w:rsidP="00D77133">
      <w:pPr>
        <w:pStyle w:val="ListParagraph"/>
        <w:numPr>
          <w:ilvl w:val="0"/>
          <w:numId w:val="15"/>
        </w:numPr>
      </w:pPr>
      <w:r w:rsidRPr="0029235F">
        <w:t>Jones, D. et al. (2011) ‘Rapid response systems and patient safety’, BMJ Quality &amp; Safety, 20(12), pp. 1026–1031.</w:t>
      </w:r>
    </w:p>
    <w:p w14:paraId="5CD22740" w14:textId="77777777" w:rsidR="00B80FF6" w:rsidRDefault="00B80FF6" w:rsidP="00B80FF6"/>
    <w:p w14:paraId="0538BABD" w14:textId="77777777" w:rsidR="00B80FF6" w:rsidRDefault="00B80FF6" w:rsidP="00D77133">
      <w:pPr>
        <w:pStyle w:val="ListParagraph"/>
        <w:numPr>
          <w:ilvl w:val="0"/>
          <w:numId w:val="15"/>
        </w:numPr>
      </w:pPr>
      <w:r>
        <w:t>Kaplan, H.C., Brady, P.W., Dritz, M.C., Hooper, D.K., Linam, W.M., Froehle, C.M. and Margolis, P.J. (2010) The influence of context on quality improvement success in healthcare. BMJ Quality &amp; Safety, 19(6), pp.1–6.</w:t>
      </w:r>
    </w:p>
    <w:p w14:paraId="6C60A698" w14:textId="77777777" w:rsidR="00B80FF6" w:rsidRDefault="00B80FF6" w:rsidP="00B80FF6"/>
    <w:p w14:paraId="52E40F6D" w14:textId="77777777" w:rsidR="00B80FF6" w:rsidRDefault="00B80FF6" w:rsidP="00D77133">
      <w:pPr>
        <w:pStyle w:val="ListParagraph"/>
        <w:numPr>
          <w:ilvl w:val="0"/>
          <w:numId w:val="15"/>
        </w:numPr>
      </w:pPr>
      <w:proofErr w:type="spellStart"/>
      <w:r>
        <w:t>Leape</w:t>
      </w:r>
      <w:proofErr w:type="spellEnd"/>
      <w:r>
        <w:t>, L.L. (2015) A systems analysis approach to medical error. Journal of Evaluation in Clinical Practice, 21(5), pp.828–833.</w:t>
      </w:r>
    </w:p>
    <w:p w14:paraId="3F87E920" w14:textId="77777777" w:rsidR="002E4D6A" w:rsidRDefault="002E4D6A" w:rsidP="002E4D6A">
      <w:pPr>
        <w:pStyle w:val="ListParagraph"/>
      </w:pPr>
    </w:p>
    <w:p w14:paraId="59702D55" w14:textId="0C45BC30" w:rsidR="002E4D6A" w:rsidRDefault="002E4D6A" w:rsidP="00D77133">
      <w:pPr>
        <w:pStyle w:val="ListParagraph"/>
        <w:numPr>
          <w:ilvl w:val="0"/>
          <w:numId w:val="15"/>
        </w:numPr>
      </w:pPr>
      <w:r w:rsidRPr="002E4D6A">
        <w:t xml:space="preserve">Leonard, M., Graham, S. and </w:t>
      </w:r>
      <w:proofErr w:type="spellStart"/>
      <w:r w:rsidRPr="002E4D6A">
        <w:t>Bonacum</w:t>
      </w:r>
      <w:proofErr w:type="spellEnd"/>
      <w:r w:rsidRPr="002E4D6A">
        <w:t>, D. (2004) ‘The human factor: The critical importance of effective teamwork and communication in providing safe care’, Joint Commission Journal on Quality and Safety, 30(2), pp. 85–90.</w:t>
      </w:r>
    </w:p>
    <w:p w14:paraId="1230AC55" w14:textId="77777777" w:rsidR="00B80FF6" w:rsidRDefault="00B80FF6" w:rsidP="00B80FF6"/>
    <w:p w14:paraId="704FE349" w14:textId="77777777" w:rsidR="00B80FF6" w:rsidRDefault="00B80FF6" w:rsidP="00D77133">
      <w:pPr>
        <w:pStyle w:val="ListParagraph"/>
        <w:numPr>
          <w:ilvl w:val="0"/>
          <w:numId w:val="15"/>
        </w:numPr>
      </w:pPr>
      <w:r>
        <w:t xml:space="preserve">Manser, T. (2009) Teamwork and patient safety in dynamic domains of healthcare. Acta </w:t>
      </w:r>
      <w:proofErr w:type="spellStart"/>
      <w:r>
        <w:t>Anaesthesiologica</w:t>
      </w:r>
      <w:proofErr w:type="spellEnd"/>
      <w:r>
        <w:t xml:space="preserve"> Scandinavica, 53(2), pp.143–151.</w:t>
      </w:r>
    </w:p>
    <w:p w14:paraId="43CF6061" w14:textId="77777777" w:rsidR="00B80FF6" w:rsidRDefault="00B80FF6" w:rsidP="00B80FF6"/>
    <w:p w14:paraId="2E24467B" w14:textId="77777777" w:rsidR="00901D84" w:rsidRDefault="00901D84" w:rsidP="00901D84">
      <w:pPr>
        <w:pStyle w:val="ListParagraph"/>
      </w:pPr>
    </w:p>
    <w:p w14:paraId="4F348D79" w14:textId="2F747688" w:rsidR="00901D84" w:rsidRDefault="00901D84" w:rsidP="00D77133">
      <w:pPr>
        <w:pStyle w:val="ListParagraph"/>
        <w:numPr>
          <w:ilvl w:val="0"/>
          <w:numId w:val="15"/>
        </w:numPr>
      </w:pPr>
      <w:r w:rsidRPr="00901D84">
        <w:t>McKee, M. and Healy, J. (2002) Hospitals in a changing Europe. Buckingham: Open University Press.</w:t>
      </w:r>
    </w:p>
    <w:p w14:paraId="7C55E8B6" w14:textId="77777777" w:rsidR="00B80FF6" w:rsidRDefault="00B80FF6" w:rsidP="00B80FF6"/>
    <w:p w14:paraId="06CD803D" w14:textId="77777777" w:rsidR="00B80FF6" w:rsidRDefault="00B80FF6" w:rsidP="00D77133">
      <w:pPr>
        <w:pStyle w:val="ListParagraph"/>
        <w:numPr>
          <w:ilvl w:val="0"/>
          <w:numId w:val="15"/>
        </w:numPr>
      </w:pPr>
      <w:r>
        <w:t>Mintzberg, H. (2009) Managing. San Francisco: Berrett-Koehler.</w:t>
      </w:r>
    </w:p>
    <w:p w14:paraId="14BD49DA" w14:textId="77777777" w:rsidR="00B80FF6" w:rsidRDefault="00B80FF6" w:rsidP="00B80FF6"/>
    <w:p w14:paraId="3CC6F1AF" w14:textId="77777777" w:rsidR="00B80FF6" w:rsidRDefault="00B80FF6" w:rsidP="00D77133">
      <w:pPr>
        <w:pStyle w:val="ListParagraph"/>
        <w:numPr>
          <w:ilvl w:val="0"/>
          <w:numId w:val="15"/>
        </w:numPr>
      </w:pPr>
      <w:r>
        <w:t>National Audit Office (2020) NHS Workforce Planning Report. London: NAO.</w:t>
      </w:r>
    </w:p>
    <w:p w14:paraId="5CA2E2B7" w14:textId="77777777" w:rsidR="009B3FE0" w:rsidRDefault="009B3FE0" w:rsidP="009B3FE0">
      <w:pPr>
        <w:pStyle w:val="ListParagraph"/>
      </w:pPr>
    </w:p>
    <w:p w14:paraId="5A03BE28" w14:textId="25523B30" w:rsidR="009B3FE0" w:rsidRDefault="009B3FE0" w:rsidP="00D77133">
      <w:pPr>
        <w:pStyle w:val="ListParagraph"/>
        <w:numPr>
          <w:ilvl w:val="0"/>
          <w:numId w:val="15"/>
        </w:numPr>
      </w:pPr>
      <w:r w:rsidRPr="009B3FE0">
        <w:t>Nembhard, I. and Edmondson, A. (2006) ‘Making it safe: The effects of leader inclusiveness and professional status on psychological safety’, Health Services Research, 41(4), pp. 941–966.</w:t>
      </w:r>
    </w:p>
    <w:p w14:paraId="373296F9" w14:textId="77777777" w:rsidR="00B80FF6" w:rsidRDefault="00B80FF6" w:rsidP="00B80FF6"/>
    <w:p w14:paraId="0770A3E1" w14:textId="46ED485C" w:rsidR="00B80FF6" w:rsidRDefault="00B80FF6" w:rsidP="00D77133">
      <w:pPr>
        <w:pStyle w:val="ListParagraph"/>
        <w:numPr>
          <w:ilvl w:val="0"/>
          <w:numId w:val="15"/>
        </w:numPr>
      </w:pPr>
      <w:r>
        <w:t xml:space="preserve">NHS England (2019) The NHS Patient Safety Strategy. Available at: </w:t>
      </w:r>
      <w:hyperlink r:id="rId14" w:history="1">
        <w:r w:rsidR="00F81F70" w:rsidRPr="004078FC">
          <w:rPr>
            <w:rStyle w:val="Hyperlink"/>
          </w:rPr>
          <w:t>https://www.england.nhs.uk/patient-safety/the-nhs-patient-safety-strategy/</w:t>
        </w:r>
      </w:hyperlink>
      <w:r w:rsidR="00F81F70">
        <w:t xml:space="preserve"> </w:t>
      </w:r>
      <w:r>
        <w:t xml:space="preserve"> (Accessed: </w:t>
      </w:r>
      <w:r w:rsidR="00F81F70">
        <w:t>5</w:t>
      </w:r>
      <w:r>
        <w:t xml:space="preserve"> March 2026)</w:t>
      </w:r>
    </w:p>
    <w:p w14:paraId="074BB420" w14:textId="77777777" w:rsidR="00B80FF6" w:rsidRDefault="00B80FF6" w:rsidP="00B80FF6"/>
    <w:p w14:paraId="74BF60EC" w14:textId="342404E2" w:rsidR="00B80FF6" w:rsidRDefault="00B80FF6" w:rsidP="00D77133">
      <w:pPr>
        <w:pStyle w:val="ListParagraph"/>
        <w:numPr>
          <w:ilvl w:val="0"/>
          <w:numId w:val="15"/>
        </w:numPr>
      </w:pPr>
      <w:r>
        <w:t xml:space="preserve">NHS England (2022) NHS Staff Survey Results. Available at: </w:t>
      </w:r>
      <w:hyperlink r:id="rId15" w:history="1">
        <w:r w:rsidR="00F81F70" w:rsidRPr="004078FC">
          <w:rPr>
            <w:rStyle w:val="Hyperlink"/>
          </w:rPr>
          <w:t>https://www.nhsstaffsurveys.com</w:t>
        </w:r>
      </w:hyperlink>
      <w:r w:rsidR="00F81F70">
        <w:t xml:space="preserve"> </w:t>
      </w:r>
      <w:r>
        <w:t xml:space="preserve"> (Accessed: </w:t>
      </w:r>
      <w:r w:rsidR="00F81F70">
        <w:t>5</w:t>
      </w:r>
      <w:r>
        <w:t xml:space="preserve"> March 2026)</w:t>
      </w:r>
    </w:p>
    <w:p w14:paraId="6CF63F22" w14:textId="77777777" w:rsidR="00B80FF6" w:rsidRDefault="00B80FF6" w:rsidP="00B80FF6"/>
    <w:p w14:paraId="795EDC81" w14:textId="50D38D44" w:rsidR="00B80FF6" w:rsidRDefault="00B80FF6" w:rsidP="00D77133">
      <w:pPr>
        <w:pStyle w:val="ListParagraph"/>
        <w:numPr>
          <w:ilvl w:val="0"/>
          <w:numId w:val="15"/>
        </w:numPr>
      </w:pPr>
      <w:r>
        <w:t xml:space="preserve">NHS England (2023) Patient Safety Incident Statistics. Available at: </w:t>
      </w:r>
      <w:hyperlink r:id="rId16" w:history="1">
        <w:r w:rsidR="00F81F70" w:rsidRPr="004078FC">
          <w:rPr>
            <w:rStyle w:val="Hyperlink"/>
          </w:rPr>
          <w:t>https://www.england.nhs.uk/patient-safety/</w:t>
        </w:r>
      </w:hyperlink>
      <w:r w:rsidR="00F81F70">
        <w:t xml:space="preserve"> </w:t>
      </w:r>
      <w:r>
        <w:t xml:space="preserve"> (Accessed: </w:t>
      </w:r>
      <w:r w:rsidR="000E2F4C">
        <w:t>12</w:t>
      </w:r>
      <w:r>
        <w:t xml:space="preserve"> March 2026)</w:t>
      </w:r>
    </w:p>
    <w:p w14:paraId="473E3E4B" w14:textId="77777777" w:rsidR="00B80FF6" w:rsidRDefault="00B80FF6" w:rsidP="00B80FF6"/>
    <w:p w14:paraId="39E89FC9" w14:textId="77777777" w:rsidR="00B80FF6" w:rsidRDefault="00B80FF6" w:rsidP="00D77133">
      <w:pPr>
        <w:pStyle w:val="ListParagraph"/>
        <w:numPr>
          <w:ilvl w:val="0"/>
          <w:numId w:val="15"/>
        </w:numPr>
      </w:pPr>
      <w:r>
        <w:t>Northouse, P.G. (2021) Leadership: Theory and Practice. 9th edn. London: Sage.</w:t>
      </w:r>
    </w:p>
    <w:p w14:paraId="2C46A203" w14:textId="77777777" w:rsidR="00B80FF6" w:rsidRDefault="00B80FF6" w:rsidP="00B80FF6"/>
    <w:p w14:paraId="2CC20536" w14:textId="77777777" w:rsidR="00B80FF6" w:rsidRDefault="00B80FF6" w:rsidP="00D77133">
      <w:pPr>
        <w:pStyle w:val="ListParagraph"/>
        <w:numPr>
          <w:ilvl w:val="0"/>
          <w:numId w:val="15"/>
        </w:numPr>
      </w:pPr>
      <w:r>
        <w:t>OECD (2020) Patient Safety in Healthcare Systems. Paris: OECD Publishing.</w:t>
      </w:r>
    </w:p>
    <w:p w14:paraId="2A4EC455" w14:textId="77777777" w:rsidR="00B80FF6" w:rsidRDefault="00B80FF6" w:rsidP="00B80FF6"/>
    <w:p w14:paraId="2ACEB0F2" w14:textId="77777777" w:rsidR="00B80FF6" w:rsidRDefault="00B80FF6" w:rsidP="00D77133">
      <w:pPr>
        <w:pStyle w:val="ListParagraph"/>
        <w:numPr>
          <w:ilvl w:val="0"/>
          <w:numId w:val="15"/>
        </w:numPr>
      </w:pPr>
      <w:r>
        <w:t>OECD (2023) Health at a Glance 2023: OECD Indicators. Paris: OECD Publishing.</w:t>
      </w:r>
    </w:p>
    <w:p w14:paraId="3130B9B4" w14:textId="77777777" w:rsidR="00A641FA" w:rsidRDefault="00A641FA" w:rsidP="00A641FA">
      <w:pPr>
        <w:pStyle w:val="ListParagraph"/>
      </w:pPr>
    </w:p>
    <w:p w14:paraId="5471EA27" w14:textId="41232121" w:rsidR="00A641FA" w:rsidRDefault="00A641FA" w:rsidP="00D77133">
      <w:pPr>
        <w:pStyle w:val="ListParagraph"/>
        <w:numPr>
          <w:ilvl w:val="0"/>
          <w:numId w:val="15"/>
        </w:numPr>
      </w:pPr>
      <w:r w:rsidRPr="00A641FA">
        <w:t xml:space="preserve">Public Administration Institute. (2024). Comparing McGregor’s Theory X and Theory Y: Different Approaches to Management • Public Administration Notes by </w:t>
      </w:r>
      <w:proofErr w:type="spellStart"/>
      <w:r w:rsidRPr="00A641FA">
        <w:t>PubAdmin.Institute</w:t>
      </w:r>
      <w:proofErr w:type="spellEnd"/>
      <w:r w:rsidRPr="00A641FA">
        <w:t xml:space="preserve">. [online] Available at: </w:t>
      </w:r>
      <w:hyperlink r:id="rId17" w:history="1">
        <w:r w:rsidRPr="00C305E8">
          <w:rPr>
            <w:rStyle w:val="Hyperlink"/>
          </w:rPr>
          <w:t>https://pubadmin.institute/administrative-theory/mcgregor-theory-x-vs-theory-y-management</w:t>
        </w:r>
      </w:hyperlink>
      <w:r w:rsidRPr="00A641FA">
        <w:t>.</w:t>
      </w:r>
      <w:r>
        <w:t xml:space="preserve"> </w:t>
      </w:r>
      <w:r w:rsidR="003F59F5">
        <w:t>(Accessed: 17 March 2026)</w:t>
      </w:r>
    </w:p>
    <w:p w14:paraId="5666F301" w14:textId="77777777" w:rsidR="00B80FF6" w:rsidRDefault="00B80FF6" w:rsidP="00B80FF6"/>
    <w:p w14:paraId="468544F4" w14:textId="77777777" w:rsidR="00B80FF6" w:rsidRDefault="00B80FF6" w:rsidP="00D77133">
      <w:pPr>
        <w:pStyle w:val="ListParagraph"/>
        <w:numPr>
          <w:ilvl w:val="0"/>
          <w:numId w:val="15"/>
        </w:numPr>
      </w:pPr>
      <w:r>
        <w:t>Reason, J. (2000) Human error: Models and management. BMJ, 320(7237), pp.768–770.</w:t>
      </w:r>
    </w:p>
    <w:p w14:paraId="01B32B72" w14:textId="77777777" w:rsidR="00B80FF6" w:rsidRDefault="00B80FF6" w:rsidP="00B80FF6"/>
    <w:p w14:paraId="51966FFB" w14:textId="77777777" w:rsidR="00B80FF6" w:rsidRDefault="00B80FF6" w:rsidP="00D77133">
      <w:pPr>
        <w:pStyle w:val="ListParagraph"/>
        <w:numPr>
          <w:ilvl w:val="0"/>
          <w:numId w:val="15"/>
        </w:numPr>
      </w:pPr>
      <w:r>
        <w:t>Rosen, M.A., DiazGranados, D., Dietz, A.S., Benishek, L.E., Thompson, D., Pronovost, P.J. and Weaver, S.J. (2018) Teamwork in healthcare: Key discoveries enabling safer, high-quality care. American Psychologist, 73(4), pp.433–450.</w:t>
      </w:r>
    </w:p>
    <w:p w14:paraId="48469FFE" w14:textId="77777777" w:rsidR="00695343" w:rsidRDefault="00695343" w:rsidP="00695343">
      <w:pPr>
        <w:pStyle w:val="ListParagraph"/>
      </w:pPr>
    </w:p>
    <w:p w14:paraId="64C4BCED" w14:textId="77777777" w:rsidR="00695343" w:rsidRDefault="00695343" w:rsidP="00695343">
      <w:pPr>
        <w:pStyle w:val="ListParagraph"/>
        <w:numPr>
          <w:ilvl w:val="0"/>
          <w:numId w:val="15"/>
        </w:numPr>
      </w:pPr>
      <w:r>
        <w:t>Schein, E.H. (2010) Organizational culture and leadership. 4th edn. San Francisco: Jossey-Bass.</w:t>
      </w:r>
    </w:p>
    <w:p w14:paraId="6A90BA1E" w14:textId="77777777" w:rsidR="00695343" w:rsidRDefault="00695343" w:rsidP="00695343">
      <w:pPr>
        <w:pStyle w:val="ListParagraph"/>
      </w:pPr>
    </w:p>
    <w:p w14:paraId="4D4111ED" w14:textId="77777777" w:rsidR="00695343" w:rsidRDefault="00695343" w:rsidP="00695343">
      <w:pPr>
        <w:pStyle w:val="ListParagraph"/>
        <w:numPr>
          <w:ilvl w:val="0"/>
          <w:numId w:val="15"/>
        </w:numPr>
      </w:pPr>
      <w:r>
        <w:t>Senge, P. (2006) The fifth discipline: The art and practice of the learning organization. New York: Doubleday.</w:t>
      </w:r>
    </w:p>
    <w:p w14:paraId="545982B2" w14:textId="77777777" w:rsidR="00695343" w:rsidRDefault="00695343" w:rsidP="00695343">
      <w:pPr>
        <w:pStyle w:val="ListParagraph"/>
      </w:pPr>
    </w:p>
    <w:p w14:paraId="596D1189" w14:textId="08F7B917" w:rsidR="00695343" w:rsidRDefault="00695343" w:rsidP="00695343">
      <w:pPr>
        <w:pStyle w:val="ListParagraph"/>
        <w:numPr>
          <w:ilvl w:val="0"/>
          <w:numId w:val="15"/>
        </w:numPr>
      </w:pPr>
      <w:r>
        <w:t>Shortell, S.M. et al. (2000) ‘Assessing the impact of continuous quality improvement on clinical practice’, Medical Care, 38(8), pp. 1–14.</w:t>
      </w:r>
    </w:p>
    <w:p w14:paraId="1352D98A" w14:textId="77777777" w:rsidR="00B80FF6" w:rsidRDefault="00B80FF6" w:rsidP="00B80FF6"/>
    <w:p w14:paraId="6C703615" w14:textId="77777777" w:rsidR="00B80FF6" w:rsidRDefault="00B80FF6" w:rsidP="00D77133">
      <w:pPr>
        <w:pStyle w:val="ListParagraph"/>
        <w:numPr>
          <w:ilvl w:val="0"/>
          <w:numId w:val="15"/>
        </w:numPr>
      </w:pPr>
      <w:r>
        <w:lastRenderedPageBreak/>
        <w:t>Tannenbaum, R. and Schmidt, W. (1958) How to choose a leadership pattern. Harvard Business Review, 36(2), pp.95–101.</w:t>
      </w:r>
    </w:p>
    <w:p w14:paraId="27D7B140" w14:textId="77777777" w:rsidR="00B80FF6" w:rsidRDefault="00B80FF6" w:rsidP="00B80FF6"/>
    <w:p w14:paraId="5A88DB19" w14:textId="74FFA0E8" w:rsidR="00B80FF6" w:rsidRDefault="00B80FF6" w:rsidP="00D77133">
      <w:pPr>
        <w:pStyle w:val="ListParagraph"/>
        <w:numPr>
          <w:ilvl w:val="0"/>
          <w:numId w:val="15"/>
        </w:numPr>
      </w:pPr>
      <w:r>
        <w:t xml:space="preserve">The King’s Fund (2021) Leadership and Culture in Healthcare. London: The King’s Fund. Available at: </w:t>
      </w:r>
      <w:hyperlink r:id="rId18" w:history="1">
        <w:r w:rsidR="00D77133" w:rsidRPr="004078FC">
          <w:rPr>
            <w:rStyle w:val="Hyperlink"/>
          </w:rPr>
          <w:t>https://www.kingsfund.org.uk/publications/leadership-health-care</w:t>
        </w:r>
      </w:hyperlink>
      <w:r w:rsidR="00D77133">
        <w:t xml:space="preserve"> </w:t>
      </w:r>
      <w:r>
        <w:t xml:space="preserve"> (Accessed: </w:t>
      </w:r>
      <w:r w:rsidR="000E2F4C">
        <w:t xml:space="preserve">6 </w:t>
      </w:r>
      <w:r>
        <w:t>March 2026)</w:t>
      </w:r>
    </w:p>
    <w:p w14:paraId="4F4A2E5D" w14:textId="77777777" w:rsidR="00B80FF6" w:rsidRDefault="00B80FF6" w:rsidP="00B80FF6"/>
    <w:p w14:paraId="6BE18F48" w14:textId="77777777" w:rsidR="00B80FF6" w:rsidRDefault="00B80FF6" w:rsidP="00D77133">
      <w:pPr>
        <w:pStyle w:val="ListParagraph"/>
        <w:numPr>
          <w:ilvl w:val="0"/>
          <w:numId w:val="15"/>
        </w:numPr>
      </w:pPr>
      <w:r>
        <w:t>The King’s Fund (2022) NHS Workforce Pressures Report. London: The King’s Fund.</w:t>
      </w:r>
    </w:p>
    <w:p w14:paraId="3664DC48" w14:textId="77777777" w:rsidR="00623D75" w:rsidRDefault="00623D75" w:rsidP="00623D75">
      <w:pPr>
        <w:pStyle w:val="ListParagraph"/>
      </w:pPr>
    </w:p>
    <w:p w14:paraId="70743D69" w14:textId="7ABD9776" w:rsidR="00623D75" w:rsidRDefault="00623D75" w:rsidP="00D77133">
      <w:pPr>
        <w:pStyle w:val="ListParagraph"/>
        <w:numPr>
          <w:ilvl w:val="0"/>
          <w:numId w:val="15"/>
        </w:numPr>
      </w:pPr>
      <w:r w:rsidRPr="00623D75">
        <w:t>Weick, K.E. and Sutcliffe, K.M. (2007) Managing the unexpected: Resilient performance in an age of uncertainty. 2nd edn. San Francisco: Jossey-Bass.</w:t>
      </w:r>
    </w:p>
    <w:p w14:paraId="7A453D5E" w14:textId="77777777" w:rsidR="006E5967" w:rsidRDefault="006E5967" w:rsidP="006E5967">
      <w:pPr>
        <w:pStyle w:val="ListParagraph"/>
      </w:pPr>
    </w:p>
    <w:p w14:paraId="1565B7B4" w14:textId="04747E8F" w:rsidR="006E5967" w:rsidRDefault="006E5967" w:rsidP="00D77133">
      <w:pPr>
        <w:pStyle w:val="ListParagraph"/>
        <w:numPr>
          <w:ilvl w:val="0"/>
          <w:numId w:val="15"/>
        </w:numPr>
      </w:pPr>
      <w:r w:rsidRPr="006E5967">
        <w:t>West, M. et al. (2014) Caring to change: How compassionate leadership can stimulate innovation in health care. London: The King’s Fund.</w:t>
      </w:r>
    </w:p>
    <w:p w14:paraId="4742B3C5" w14:textId="77777777" w:rsidR="00B80FF6" w:rsidRDefault="00B80FF6" w:rsidP="00B80FF6"/>
    <w:p w14:paraId="64F754B8" w14:textId="77777777" w:rsidR="00B80FF6" w:rsidRDefault="00B80FF6" w:rsidP="00D77133">
      <w:pPr>
        <w:pStyle w:val="ListParagraph"/>
        <w:numPr>
          <w:ilvl w:val="0"/>
          <w:numId w:val="15"/>
        </w:numPr>
      </w:pPr>
      <w:r>
        <w:t>West, M., Eckert, R., Collins, B. and Chowla, R. (2014) Caring to Change: How Compassionate Leadership Can Stimulate Innovation in Health Care. London: The King’s Fund.</w:t>
      </w:r>
    </w:p>
    <w:p w14:paraId="7F7A13F8" w14:textId="77777777" w:rsidR="00B80FF6" w:rsidRDefault="00B80FF6" w:rsidP="00B80FF6"/>
    <w:p w14:paraId="095D1E56" w14:textId="77777777" w:rsidR="00B80FF6" w:rsidRDefault="00B80FF6" w:rsidP="00D77133">
      <w:pPr>
        <w:pStyle w:val="ListParagraph"/>
        <w:numPr>
          <w:ilvl w:val="0"/>
          <w:numId w:val="15"/>
        </w:numPr>
      </w:pPr>
      <w:r>
        <w:t>West, M., Armit, K., Loewenthal, L., Eckert, R., West, T. and Lee, A. (2015) Leadership and Leadership Development in Healthcare. London: The King’s Fund.</w:t>
      </w:r>
    </w:p>
    <w:p w14:paraId="54618BDA" w14:textId="77777777" w:rsidR="00B80FF6" w:rsidRDefault="00B80FF6" w:rsidP="00B80FF6"/>
    <w:p w14:paraId="3D3F1664" w14:textId="77777777" w:rsidR="00B80FF6" w:rsidRDefault="00B80FF6" w:rsidP="00D77133">
      <w:pPr>
        <w:pStyle w:val="ListParagraph"/>
        <w:numPr>
          <w:ilvl w:val="0"/>
          <w:numId w:val="15"/>
        </w:numPr>
      </w:pPr>
      <w:r>
        <w:t>West, M., Bailey, S. and Williams, E. (2020) The Courage of Compassion: Supporting Nurses and Midwives to Deliver High-Quality Care. London: The King’s Fund.</w:t>
      </w:r>
    </w:p>
    <w:p w14:paraId="384ADF42" w14:textId="77777777" w:rsidR="00B80FF6" w:rsidRDefault="00B80FF6" w:rsidP="00B80FF6"/>
    <w:p w14:paraId="2B63B427" w14:textId="77777777" w:rsidR="00B80FF6" w:rsidRDefault="00B80FF6" w:rsidP="00D77133">
      <w:pPr>
        <w:pStyle w:val="ListParagraph"/>
        <w:numPr>
          <w:ilvl w:val="0"/>
          <w:numId w:val="15"/>
        </w:numPr>
      </w:pPr>
      <w:r>
        <w:t>World Health Organization (2019) Patient Safety: Global Action on Patient Safety. Geneva: WHO.</w:t>
      </w:r>
    </w:p>
    <w:p w14:paraId="2B031975" w14:textId="77777777" w:rsidR="00B80FF6" w:rsidRDefault="00B80FF6" w:rsidP="00B80FF6"/>
    <w:p w14:paraId="28A5556B" w14:textId="03D907B4" w:rsidR="00B80FF6" w:rsidRDefault="00B80FF6" w:rsidP="00D77133">
      <w:pPr>
        <w:pStyle w:val="ListParagraph"/>
        <w:numPr>
          <w:ilvl w:val="0"/>
          <w:numId w:val="15"/>
        </w:numPr>
      </w:pPr>
      <w:r>
        <w:t xml:space="preserve">World Health Organization (2021) Global Patient Safety Action Plan 2021–2030. Geneva: WHO. Available at: </w:t>
      </w:r>
      <w:hyperlink r:id="rId19" w:history="1">
        <w:r w:rsidR="00D77133" w:rsidRPr="004078FC">
          <w:rPr>
            <w:rStyle w:val="Hyperlink"/>
          </w:rPr>
          <w:t>https://www.who.int/publications/i/item/9789240032705</w:t>
        </w:r>
      </w:hyperlink>
      <w:r w:rsidR="00D77133">
        <w:t xml:space="preserve"> </w:t>
      </w:r>
      <w:r>
        <w:t xml:space="preserve">(Accessed: </w:t>
      </w:r>
      <w:r w:rsidR="000E2F4C">
        <w:t xml:space="preserve">11 </w:t>
      </w:r>
      <w:r>
        <w:t>March 2026)</w:t>
      </w:r>
    </w:p>
    <w:p w14:paraId="69CAA2F7" w14:textId="77777777" w:rsidR="00B80FF6" w:rsidRDefault="00B80FF6" w:rsidP="00B80FF6"/>
    <w:p w14:paraId="1DC79810" w14:textId="1E35AEB5" w:rsidR="005C0265" w:rsidRDefault="00B80FF6" w:rsidP="00D77133">
      <w:pPr>
        <w:pStyle w:val="ListParagraph"/>
        <w:numPr>
          <w:ilvl w:val="0"/>
          <w:numId w:val="15"/>
        </w:numPr>
      </w:pPr>
      <w:r>
        <w:t>Wears, R.L. and Hollnagel, E. (2015) Resilient Health Care. Farnham: Ashgate.</w:t>
      </w:r>
      <w:r w:rsidR="00CF632B">
        <w:t xml:space="preserve"> </w:t>
      </w:r>
      <w:r w:rsidR="00CF632B" w:rsidRPr="00CF632B">
        <w:t xml:space="preserve">Available at: </w:t>
      </w:r>
      <w:hyperlink r:id="rId20" w:history="1">
        <w:r w:rsidR="00CF632B" w:rsidRPr="004078FC">
          <w:rPr>
            <w:rStyle w:val="Hyperlink"/>
          </w:rPr>
          <w:t>https://books.google.com/books/about/Resilient_Health_Care.html</w:t>
        </w:r>
      </w:hyperlink>
      <w:r w:rsidR="00CF632B">
        <w:t xml:space="preserve"> </w:t>
      </w:r>
      <w:r w:rsidR="002B20BC">
        <w:t>(</w:t>
      </w:r>
      <w:r w:rsidR="000719F4">
        <w:t>Accessed: 14 March 2026)</w:t>
      </w:r>
    </w:p>
    <w:p w14:paraId="2CA37711" w14:textId="77777777" w:rsidR="00C670D1" w:rsidRDefault="00C670D1" w:rsidP="00C670D1">
      <w:pPr>
        <w:pStyle w:val="ListParagraph"/>
      </w:pPr>
    </w:p>
    <w:p w14:paraId="456AC8BB" w14:textId="04E82336" w:rsidR="00C670D1" w:rsidRDefault="00C020D3" w:rsidP="00D77133">
      <w:pPr>
        <w:pStyle w:val="ListParagraph"/>
        <w:numPr>
          <w:ilvl w:val="0"/>
          <w:numId w:val="15"/>
        </w:numPr>
      </w:pPr>
      <w:r w:rsidRPr="00C020D3">
        <w:t>Yukl, G. (2013) Leadership in organizations. 8th edn. Harlow: Pearson.</w:t>
      </w:r>
    </w:p>
    <w:p w14:paraId="5291718B" w14:textId="77777777" w:rsidR="005C0265" w:rsidRDefault="005C0265" w:rsidP="00641DB0"/>
    <w:sectPr w:rsidR="005C02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3946"/>
    <w:multiLevelType w:val="hybridMultilevel"/>
    <w:tmpl w:val="F208B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6670A"/>
    <w:multiLevelType w:val="hybridMultilevel"/>
    <w:tmpl w:val="7E3C5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933C9"/>
    <w:multiLevelType w:val="hybridMultilevel"/>
    <w:tmpl w:val="A76A1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2423B"/>
    <w:multiLevelType w:val="hybridMultilevel"/>
    <w:tmpl w:val="35B0F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8E43EF"/>
    <w:multiLevelType w:val="hybridMultilevel"/>
    <w:tmpl w:val="BC1871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7D729C"/>
    <w:multiLevelType w:val="hybridMultilevel"/>
    <w:tmpl w:val="35186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CE5419"/>
    <w:multiLevelType w:val="hybridMultilevel"/>
    <w:tmpl w:val="D94E4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AA37A2"/>
    <w:multiLevelType w:val="hybridMultilevel"/>
    <w:tmpl w:val="DC682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7A4CC4"/>
    <w:multiLevelType w:val="hybridMultilevel"/>
    <w:tmpl w:val="6F28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F4310F"/>
    <w:multiLevelType w:val="hybridMultilevel"/>
    <w:tmpl w:val="86A86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433188"/>
    <w:multiLevelType w:val="hybridMultilevel"/>
    <w:tmpl w:val="BF2C6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C94649"/>
    <w:multiLevelType w:val="hybridMultilevel"/>
    <w:tmpl w:val="26A274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BD0AA7"/>
    <w:multiLevelType w:val="hybridMultilevel"/>
    <w:tmpl w:val="9970E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D500B8"/>
    <w:multiLevelType w:val="hybridMultilevel"/>
    <w:tmpl w:val="90A0C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CE572F"/>
    <w:multiLevelType w:val="hybridMultilevel"/>
    <w:tmpl w:val="BE1CE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8012369">
    <w:abstractNumId w:val="5"/>
  </w:num>
  <w:num w:numId="2" w16cid:durableId="1582133027">
    <w:abstractNumId w:val="8"/>
  </w:num>
  <w:num w:numId="3" w16cid:durableId="975572068">
    <w:abstractNumId w:val="2"/>
  </w:num>
  <w:num w:numId="4" w16cid:durableId="2115049515">
    <w:abstractNumId w:val="9"/>
  </w:num>
  <w:num w:numId="5" w16cid:durableId="1309899273">
    <w:abstractNumId w:val="1"/>
  </w:num>
  <w:num w:numId="6" w16cid:durableId="144469665">
    <w:abstractNumId w:val="7"/>
  </w:num>
  <w:num w:numId="7" w16cid:durableId="2129690364">
    <w:abstractNumId w:val="10"/>
  </w:num>
  <w:num w:numId="8" w16cid:durableId="386687278">
    <w:abstractNumId w:val="6"/>
  </w:num>
  <w:num w:numId="9" w16cid:durableId="1922064550">
    <w:abstractNumId w:val="0"/>
  </w:num>
  <w:num w:numId="10" w16cid:durableId="790982032">
    <w:abstractNumId w:val="12"/>
  </w:num>
  <w:num w:numId="11" w16cid:durableId="1468473002">
    <w:abstractNumId w:val="3"/>
  </w:num>
  <w:num w:numId="12" w16cid:durableId="318581462">
    <w:abstractNumId w:val="14"/>
  </w:num>
  <w:num w:numId="13" w16cid:durableId="423038701">
    <w:abstractNumId w:val="4"/>
  </w:num>
  <w:num w:numId="14" w16cid:durableId="22950377">
    <w:abstractNumId w:val="13"/>
  </w:num>
  <w:num w:numId="15" w16cid:durableId="6506699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DB0"/>
    <w:rsid w:val="00007D08"/>
    <w:rsid w:val="00023233"/>
    <w:rsid w:val="00043BAA"/>
    <w:rsid w:val="000617BF"/>
    <w:rsid w:val="00064979"/>
    <w:rsid w:val="000719F4"/>
    <w:rsid w:val="000739C2"/>
    <w:rsid w:val="00080199"/>
    <w:rsid w:val="00091453"/>
    <w:rsid w:val="000A2BB7"/>
    <w:rsid w:val="000A70AB"/>
    <w:rsid w:val="000C6032"/>
    <w:rsid w:val="000D05E7"/>
    <w:rsid w:val="000D08A8"/>
    <w:rsid w:val="000D7113"/>
    <w:rsid w:val="000E2959"/>
    <w:rsid w:val="000E2F4C"/>
    <w:rsid w:val="000E65FB"/>
    <w:rsid w:val="00141D7D"/>
    <w:rsid w:val="00152A25"/>
    <w:rsid w:val="001954E8"/>
    <w:rsid w:val="001961C7"/>
    <w:rsid w:val="001A309C"/>
    <w:rsid w:val="001B7409"/>
    <w:rsid w:val="001C38AD"/>
    <w:rsid w:val="001D7939"/>
    <w:rsid w:val="001E1C10"/>
    <w:rsid w:val="001E1CAC"/>
    <w:rsid w:val="00205F68"/>
    <w:rsid w:val="00215ECB"/>
    <w:rsid w:val="00227C18"/>
    <w:rsid w:val="00257F53"/>
    <w:rsid w:val="002642C6"/>
    <w:rsid w:val="002676BB"/>
    <w:rsid w:val="00276A89"/>
    <w:rsid w:val="0029235F"/>
    <w:rsid w:val="002B1CAC"/>
    <w:rsid w:val="002B20BC"/>
    <w:rsid w:val="002B2FD3"/>
    <w:rsid w:val="002C21D8"/>
    <w:rsid w:val="002D39C8"/>
    <w:rsid w:val="002D704D"/>
    <w:rsid w:val="002E4D6A"/>
    <w:rsid w:val="002E7B65"/>
    <w:rsid w:val="00313A2C"/>
    <w:rsid w:val="00326A68"/>
    <w:rsid w:val="00337048"/>
    <w:rsid w:val="00337CC9"/>
    <w:rsid w:val="00363668"/>
    <w:rsid w:val="00380FEC"/>
    <w:rsid w:val="00384946"/>
    <w:rsid w:val="003850E7"/>
    <w:rsid w:val="003B302E"/>
    <w:rsid w:val="003B4258"/>
    <w:rsid w:val="003B4A1B"/>
    <w:rsid w:val="003D6A6D"/>
    <w:rsid w:val="003F3856"/>
    <w:rsid w:val="003F59F5"/>
    <w:rsid w:val="00422D1E"/>
    <w:rsid w:val="00430DA6"/>
    <w:rsid w:val="00447258"/>
    <w:rsid w:val="004829CE"/>
    <w:rsid w:val="004C1D9A"/>
    <w:rsid w:val="004D061E"/>
    <w:rsid w:val="004D32F3"/>
    <w:rsid w:val="004E12C2"/>
    <w:rsid w:val="004F111F"/>
    <w:rsid w:val="00553E5D"/>
    <w:rsid w:val="00554098"/>
    <w:rsid w:val="0058211E"/>
    <w:rsid w:val="00582609"/>
    <w:rsid w:val="005C0265"/>
    <w:rsid w:val="005C280E"/>
    <w:rsid w:val="005C3FA7"/>
    <w:rsid w:val="006027F2"/>
    <w:rsid w:val="00612D34"/>
    <w:rsid w:val="00623D75"/>
    <w:rsid w:val="00641DB0"/>
    <w:rsid w:val="00657279"/>
    <w:rsid w:val="00660AB7"/>
    <w:rsid w:val="006662EC"/>
    <w:rsid w:val="0069354D"/>
    <w:rsid w:val="00695343"/>
    <w:rsid w:val="006C5BA0"/>
    <w:rsid w:val="006D338B"/>
    <w:rsid w:val="006E2659"/>
    <w:rsid w:val="006E5967"/>
    <w:rsid w:val="006E7621"/>
    <w:rsid w:val="006F4C6E"/>
    <w:rsid w:val="00706382"/>
    <w:rsid w:val="0073191A"/>
    <w:rsid w:val="00742D4C"/>
    <w:rsid w:val="00744613"/>
    <w:rsid w:val="00745E42"/>
    <w:rsid w:val="00753127"/>
    <w:rsid w:val="0077042D"/>
    <w:rsid w:val="0078425B"/>
    <w:rsid w:val="007853DB"/>
    <w:rsid w:val="00785C55"/>
    <w:rsid w:val="0078696B"/>
    <w:rsid w:val="0079680B"/>
    <w:rsid w:val="00796CF4"/>
    <w:rsid w:val="007A4CE1"/>
    <w:rsid w:val="007E7524"/>
    <w:rsid w:val="008024B7"/>
    <w:rsid w:val="00802ECE"/>
    <w:rsid w:val="00815DA2"/>
    <w:rsid w:val="008676CC"/>
    <w:rsid w:val="0087425A"/>
    <w:rsid w:val="008824E1"/>
    <w:rsid w:val="00884C84"/>
    <w:rsid w:val="00894CEC"/>
    <w:rsid w:val="008A7951"/>
    <w:rsid w:val="008B6192"/>
    <w:rsid w:val="008B62F5"/>
    <w:rsid w:val="008C3C28"/>
    <w:rsid w:val="008D4FF4"/>
    <w:rsid w:val="00901D84"/>
    <w:rsid w:val="009114FB"/>
    <w:rsid w:val="009219A0"/>
    <w:rsid w:val="0093481D"/>
    <w:rsid w:val="00934FBA"/>
    <w:rsid w:val="00935CAA"/>
    <w:rsid w:val="009602A1"/>
    <w:rsid w:val="00967F43"/>
    <w:rsid w:val="00983C3F"/>
    <w:rsid w:val="0098474F"/>
    <w:rsid w:val="00990DC4"/>
    <w:rsid w:val="009B3FE0"/>
    <w:rsid w:val="009B54EE"/>
    <w:rsid w:val="009D3131"/>
    <w:rsid w:val="009D32BA"/>
    <w:rsid w:val="00A10628"/>
    <w:rsid w:val="00A1388D"/>
    <w:rsid w:val="00A44EFB"/>
    <w:rsid w:val="00A60906"/>
    <w:rsid w:val="00A61EDB"/>
    <w:rsid w:val="00A6280C"/>
    <w:rsid w:val="00A641FA"/>
    <w:rsid w:val="00A65E67"/>
    <w:rsid w:val="00A66F9E"/>
    <w:rsid w:val="00A83205"/>
    <w:rsid w:val="00AA565D"/>
    <w:rsid w:val="00AB0725"/>
    <w:rsid w:val="00AB40DE"/>
    <w:rsid w:val="00AC6345"/>
    <w:rsid w:val="00AD13F0"/>
    <w:rsid w:val="00AE4183"/>
    <w:rsid w:val="00B001E8"/>
    <w:rsid w:val="00B03B2D"/>
    <w:rsid w:val="00B03EE5"/>
    <w:rsid w:val="00B06AA0"/>
    <w:rsid w:val="00B15661"/>
    <w:rsid w:val="00B163C2"/>
    <w:rsid w:val="00B252AC"/>
    <w:rsid w:val="00B26C09"/>
    <w:rsid w:val="00B52396"/>
    <w:rsid w:val="00B550BD"/>
    <w:rsid w:val="00B608AD"/>
    <w:rsid w:val="00B65F69"/>
    <w:rsid w:val="00B72435"/>
    <w:rsid w:val="00B80FF6"/>
    <w:rsid w:val="00B827D6"/>
    <w:rsid w:val="00B95750"/>
    <w:rsid w:val="00BA0731"/>
    <w:rsid w:val="00BA1CD1"/>
    <w:rsid w:val="00BD0A39"/>
    <w:rsid w:val="00BD4458"/>
    <w:rsid w:val="00BD4918"/>
    <w:rsid w:val="00BE7881"/>
    <w:rsid w:val="00C020D3"/>
    <w:rsid w:val="00C04C9D"/>
    <w:rsid w:val="00C12CA9"/>
    <w:rsid w:val="00C25FAA"/>
    <w:rsid w:val="00C428FB"/>
    <w:rsid w:val="00C46081"/>
    <w:rsid w:val="00C513C3"/>
    <w:rsid w:val="00C670D1"/>
    <w:rsid w:val="00C820A7"/>
    <w:rsid w:val="00C85CFF"/>
    <w:rsid w:val="00C9318C"/>
    <w:rsid w:val="00CA794F"/>
    <w:rsid w:val="00CE4588"/>
    <w:rsid w:val="00CE548C"/>
    <w:rsid w:val="00CF1077"/>
    <w:rsid w:val="00CF2ABE"/>
    <w:rsid w:val="00CF632B"/>
    <w:rsid w:val="00CF6F76"/>
    <w:rsid w:val="00D14EC7"/>
    <w:rsid w:val="00D1653A"/>
    <w:rsid w:val="00D50C96"/>
    <w:rsid w:val="00D72FA2"/>
    <w:rsid w:val="00D77133"/>
    <w:rsid w:val="00D8014E"/>
    <w:rsid w:val="00DA654D"/>
    <w:rsid w:val="00DA72D6"/>
    <w:rsid w:val="00DB3F4B"/>
    <w:rsid w:val="00DB6112"/>
    <w:rsid w:val="00DC0922"/>
    <w:rsid w:val="00DE1678"/>
    <w:rsid w:val="00DF1A55"/>
    <w:rsid w:val="00DF67FD"/>
    <w:rsid w:val="00E25F98"/>
    <w:rsid w:val="00E32318"/>
    <w:rsid w:val="00E34023"/>
    <w:rsid w:val="00E4615C"/>
    <w:rsid w:val="00E52A1A"/>
    <w:rsid w:val="00E609B4"/>
    <w:rsid w:val="00E70E2E"/>
    <w:rsid w:val="00E82DE4"/>
    <w:rsid w:val="00E9476F"/>
    <w:rsid w:val="00EA62B5"/>
    <w:rsid w:val="00EB2461"/>
    <w:rsid w:val="00EC4C6F"/>
    <w:rsid w:val="00ED6CFD"/>
    <w:rsid w:val="00EE745B"/>
    <w:rsid w:val="00F05E56"/>
    <w:rsid w:val="00F11881"/>
    <w:rsid w:val="00F12F20"/>
    <w:rsid w:val="00F12F2F"/>
    <w:rsid w:val="00F56D2C"/>
    <w:rsid w:val="00F60D93"/>
    <w:rsid w:val="00F626CC"/>
    <w:rsid w:val="00F81F70"/>
    <w:rsid w:val="00F82BD0"/>
    <w:rsid w:val="00FA13FB"/>
    <w:rsid w:val="00FB2041"/>
    <w:rsid w:val="00FD238B"/>
    <w:rsid w:val="00FF1A2A"/>
    <w:rsid w:val="00FF2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A24EC"/>
  <w15:chartTrackingRefBased/>
  <w15:docId w15:val="{E9F6D830-A074-49C2-AACF-96DA70F07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D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1D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1D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1D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1D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1D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1D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1D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1D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D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1D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1D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1D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1D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1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1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1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1DB0"/>
    <w:rPr>
      <w:rFonts w:eastAsiaTheme="majorEastAsia" w:cstheme="majorBidi"/>
      <w:color w:val="272727" w:themeColor="text1" w:themeTint="D8"/>
    </w:rPr>
  </w:style>
  <w:style w:type="paragraph" w:styleId="Title">
    <w:name w:val="Title"/>
    <w:basedOn w:val="Normal"/>
    <w:next w:val="Normal"/>
    <w:link w:val="TitleChar"/>
    <w:uiPriority w:val="10"/>
    <w:qFormat/>
    <w:rsid w:val="00641D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D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1D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1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1DB0"/>
    <w:pPr>
      <w:spacing w:before="160"/>
      <w:jc w:val="center"/>
    </w:pPr>
    <w:rPr>
      <w:i/>
      <w:iCs/>
      <w:color w:val="404040" w:themeColor="text1" w:themeTint="BF"/>
    </w:rPr>
  </w:style>
  <w:style w:type="character" w:customStyle="1" w:styleId="QuoteChar">
    <w:name w:val="Quote Char"/>
    <w:basedOn w:val="DefaultParagraphFont"/>
    <w:link w:val="Quote"/>
    <w:uiPriority w:val="29"/>
    <w:rsid w:val="00641DB0"/>
    <w:rPr>
      <w:i/>
      <w:iCs/>
      <w:color w:val="404040" w:themeColor="text1" w:themeTint="BF"/>
    </w:rPr>
  </w:style>
  <w:style w:type="paragraph" w:styleId="ListParagraph">
    <w:name w:val="List Paragraph"/>
    <w:basedOn w:val="Normal"/>
    <w:uiPriority w:val="34"/>
    <w:qFormat/>
    <w:rsid w:val="00641DB0"/>
    <w:pPr>
      <w:ind w:left="720"/>
      <w:contextualSpacing/>
    </w:pPr>
  </w:style>
  <w:style w:type="character" w:styleId="IntenseEmphasis">
    <w:name w:val="Intense Emphasis"/>
    <w:basedOn w:val="DefaultParagraphFont"/>
    <w:uiPriority w:val="21"/>
    <w:qFormat/>
    <w:rsid w:val="00641DB0"/>
    <w:rPr>
      <w:i/>
      <w:iCs/>
      <w:color w:val="0F4761" w:themeColor="accent1" w:themeShade="BF"/>
    </w:rPr>
  </w:style>
  <w:style w:type="paragraph" w:styleId="IntenseQuote">
    <w:name w:val="Intense Quote"/>
    <w:basedOn w:val="Normal"/>
    <w:next w:val="Normal"/>
    <w:link w:val="IntenseQuoteChar"/>
    <w:uiPriority w:val="30"/>
    <w:qFormat/>
    <w:rsid w:val="00641D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1DB0"/>
    <w:rPr>
      <w:i/>
      <w:iCs/>
      <w:color w:val="0F4761" w:themeColor="accent1" w:themeShade="BF"/>
    </w:rPr>
  </w:style>
  <w:style w:type="character" w:styleId="IntenseReference">
    <w:name w:val="Intense Reference"/>
    <w:basedOn w:val="DefaultParagraphFont"/>
    <w:uiPriority w:val="32"/>
    <w:qFormat/>
    <w:rsid w:val="00641DB0"/>
    <w:rPr>
      <w:b/>
      <w:bCs/>
      <w:smallCaps/>
      <w:color w:val="0F4761" w:themeColor="accent1" w:themeShade="BF"/>
      <w:spacing w:val="5"/>
    </w:rPr>
  </w:style>
  <w:style w:type="character" w:styleId="Hyperlink">
    <w:name w:val="Hyperlink"/>
    <w:basedOn w:val="DefaultParagraphFont"/>
    <w:uiPriority w:val="99"/>
    <w:unhideWhenUsed/>
    <w:rsid w:val="0093481D"/>
    <w:rPr>
      <w:color w:val="467886" w:themeColor="hyperlink"/>
      <w:u w:val="single"/>
    </w:rPr>
  </w:style>
  <w:style w:type="character" w:styleId="UnresolvedMention">
    <w:name w:val="Unresolved Mention"/>
    <w:basedOn w:val="DefaultParagraphFont"/>
    <w:uiPriority w:val="99"/>
    <w:semiHidden/>
    <w:unhideWhenUsed/>
    <w:rsid w:val="0093481D"/>
    <w:rPr>
      <w:color w:val="605E5C"/>
      <w:shd w:val="clear" w:color="auto" w:fill="E1DFDD"/>
    </w:rPr>
  </w:style>
  <w:style w:type="paragraph" w:styleId="TOCHeading">
    <w:name w:val="TOC Heading"/>
    <w:basedOn w:val="Heading1"/>
    <w:next w:val="Normal"/>
    <w:uiPriority w:val="39"/>
    <w:unhideWhenUsed/>
    <w:qFormat/>
    <w:rsid w:val="00B7243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72435"/>
    <w:pPr>
      <w:spacing w:after="100"/>
    </w:pPr>
  </w:style>
  <w:style w:type="paragraph" w:styleId="TOC2">
    <w:name w:val="toc 2"/>
    <w:basedOn w:val="Normal"/>
    <w:next w:val="Normal"/>
    <w:autoRedefine/>
    <w:uiPriority w:val="39"/>
    <w:unhideWhenUsed/>
    <w:rsid w:val="00B7243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publications/major-report/state-care" TargetMode="External"/><Relationship Id="rId13" Type="http://schemas.openxmlformats.org/officeDocument/2006/relationships/hyperlink" Target="https://nap.nationalacademies.org/catalog/9728/to-err-is-human-building-a-safer-health-system" TargetMode="External"/><Relationship Id="rId18" Type="http://schemas.openxmlformats.org/officeDocument/2006/relationships/hyperlink" Target="https://www.kingsfund.org.uk/publications/leadership-health-car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gov.uk/government/publications/berwick-review-into-patient-safety" TargetMode="External"/><Relationship Id="rId12" Type="http://schemas.openxmlformats.org/officeDocument/2006/relationships/hyperlink" Target="https://www.health.org.uk/improvement-programmes/patient-safety" TargetMode="External"/><Relationship Id="rId17" Type="http://schemas.openxmlformats.org/officeDocument/2006/relationships/hyperlink" Target="https://pubadmin.institute/administrative-theory/mcgregor-theory-x-vs-theory-y-management" TargetMode="External"/><Relationship Id="rId2" Type="http://schemas.openxmlformats.org/officeDocument/2006/relationships/styles" Target="styles.xml"/><Relationship Id="rId16" Type="http://schemas.openxmlformats.org/officeDocument/2006/relationships/hyperlink" Target="https://www.england.nhs.uk/patient-safety/" TargetMode="External"/><Relationship Id="rId20" Type="http://schemas.openxmlformats.org/officeDocument/2006/relationships/hyperlink" Target="https://books.google.com/books/about/Resilient_Health_Care.html" TargetMode="External"/><Relationship Id="rId1" Type="http://schemas.openxmlformats.org/officeDocument/2006/relationships/numbering" Target="numbering.xml"/><Relationship Id="rId6" Type="http://schemas.openxmlformats.org/officeDocument/2006/relationships/hyperlink" Target="https://books.google.com/books?id=2WsJswEACAAJ" TargetMode="External"/><Relationship Id="rId11" Type="http://schemas.openxmlformats.org/officeDocument/2006/relationships/hyperlink" Target="https://doi.org/10.47176/mjiri.35.117" TargetMode="External"/><Relationship Id="rId5" Type="http://schemas.openxmlformats.org/officeDocument/2006/relationships/hyperlink" Target="https://doi.org/10.4103/jpbs.jpbs_1907_24" TargetMode="External"/><Relationship Id="rId15" Type="http://schemas.openxmlformats.org/officeDocument/2006/relationships/hyperlink" Target="https://www.nhsstaffsurveys.com" TargetMode="External"/><Relationship Id="rId10" Type="http://schemas.openxmlformats.org/officeDocument/2006/relationships/hyperlink" Target="https://www.gov.uk/government/publications/report-of-the-mid-staffordshire-nhs-foundation-trust-public-inquiry" TargetMode="External"/><Relationship Id="rId19" Type="http://schemas.openxmlformats.org/officeDocument/2006/relationships/hyperlink" Target="https://www.who.int/publications/i/item/9789240032705" TargetMode="External"/><Relationship Id="rId4" Type="http://schemas.openxmlformats.org/officeDocument/2006/relationships/webSettings" Target="webSettings.xml"/><Relationship Id="rId9" Type="http://schemas.openxmlformats.org/officeDocument/2006/relationships/hyperlink" Target="https://www.gov.uk/government/organisations/department-of-health-and-social-care" TargetMode="External"/><Relationship Id="rId14" Type="http://schemas.openxmlformats.org/officeDocument/2006/relationships/hyperlink" Target="https://www.england.nhs.uk/patient-safety/the-nhs-patient-safety-strateg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534</TotalTime>
  <Pages>25</Pages>
  <Words>7843</Words>
  <Characters>44709</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Ali (2222409)</dc:creator>
  <cp:keywords/>
  <dc:description/>
  <cp:lastModifiedBy>Fatima Ali (2222409)</cp:lastModifiedBy>
  <cp:revision>202</cp:revision>
  <dcterms:created xsi:type="dcterms:W3CDTF">2026-02-24T09:26:00Z</dcterms:created>
  <dcterms:modified xsi:type="dcterms:W3CDTF">2026-03-24T12:44:00Z</dcterms:modified>
</cp:coreProperties>
</file>