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E211B" w:rsidRPr="00EE5BC3" w:rsidRDefault="007E211B" w:rsidP="007E211B">
      <w:pPr>
        <w:jc w:val="center"/>
        <w:rPr>
          <w:b/>
          <w:sz w:val="28"/>
          <w:szCs w:val="28"/>
        </w:rPr>
      </w:pPr>
      <w:r w:rsidRPr="00EE5BC3">
        <w:rPr>
          <w:b/>
          <w:sz w:val="28"/>
          <w:szCs w:val="28"/>
        </w:rPr>
        <w:t>Task 4</w:t>
      </w:r>
    </w:p>
    <w:p w:rsidR="007E211B" w:rsidRPr="00EE5BC3" w:rsidRDefault="007E211B" w:rsidP="007E211B">
      <w:pPr>
        <w:jc w:val="center"/>
        <w:rPr>
          <w:b/>
          <w:sz w:val="28"/>
          <w:szCs w:val="28"/>
        </w:rPr>
      </w:pPr>
    </w:p>
    <w:p w:rsidR="007E211B" w:rsidRPr="00EE5BC3" w:rsidRDefault="007E211B" w:rsidP="007E211B">
      <w:pPr>
        <w:jc w:val="center"/>
        <w:rPr>
          <w:b/>
          <w:sz w:val="28"/>
          <w:szCs w:val="28"/>
        </w:rPr>
      </w:pPr>
      <w:r w:rsidRPr="00EE5BC3">
        <w:rPr>
          <w:b/>
          <w:sz w:val="28"/>
          <w:szCs w:val="28"/>
        </w:rPr>
        <w:t>Safeguarding</w:t>
      </w:r>
      <w:r>
        <w:rPr>
          <w:b/>
          <w:sz w:val="28"/>
          <w:szCs w:val="28"/>
        </w:rPr>
        <w:t xml:space="preserve"> in an area which is not your main area of work</w:t>
      </w:r>
    </w:p>
    <w:p w:rsidR="007E211B" w:rsidRPr="008B28E7" w:rsidRDefault="007E211B" w:rsidP="007E211B">
      <w:pPr>
        <w:jc w:val="both"/>
        <w:rPr>
          <w:b/>
          <w:sz w:val="24"/>
          <w:szCs w:val="24"/>
        </w:rPr>
      </w:pPr>
    </w:p>
    <w:p w:rsidR="007E211B" w:rsidRPr="00EE5BC3" w:rsidRDefault="007E211B" w:rsidP="007E211B">
      <w:pPr>
        <w:ind w:left="-90"/>
        <w:jc w:val="both"/>
        <w:rPr>
          <w:b/>
          <w:i/>
          <w:sz w:val="24"/>
          <w:szCs w:val="24"/>
        </w:rPr>
      </w:pPr>
      <w:r w:rsidRPr="00EE5BC3">
        <w:rPr>
          <w:b/>
          <w:i/>
          <w:sz w:val="24"/>
          <w:szCs w:val="24"/>
        </w:rPr>
        <w:t xml:space="preserve">Guidance: </w:t>
      </w:r>
    </w:p>
    <w:p w:rsidR="007E211B" w:rsidRPr="00706BB5" w:rsidRDefault="007E211B" w:rsidP="007E211B">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w:t>
      </w:r>
      <w:proofErr w:type="gramStart"/>
      <w:r w:rsidRPr="00706BB5">
        <w:rPr>
          <w:i/>
          <w:iCs/>
          <w:sz w:val="24"/>
          <w:szCs w:val="24"/>
        </w:rPr>
        <w:t>children</w:t>
      </w:r>
      <w:proofErr w:type="gramEnd"/>
      <w:r w:rsidRPr="00706BB5">
        <w:rPr>
          <w:i/>
          <w:iCs/>
          <w:sz w:val="24"/>
          <w:szCs w:val="24"/>
        </w:rPr>
        <w:t xml:space="preserve">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rsidR="007E211B" w:rsidRPr="008B28E7" w:rsidRDefault="007E211B" w:rsidP="007E211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7E211B" w:rsidRPr="008B28E7" w:rsidTr="00C8301E">
        <w:tc>
          <w:tcPr>
            <w:tcW w:w="10188" w:type="dxa"/>
            <w:shd w:val="clear" w:color="auto" w:fill="auto"/>
          </w:tcPr>
          <w:p w:rsidR="007E211B" w:rsidRPr="00EB695F" w:rsidRDefault="007E211B" w:rsidP="00C8301E">
            <w:pPr>
              <w:jc w:val="both"/>
              <w:rPr>
                <w:b/>
                <w:sz w:val="24"/>
                <w:szCs w:val="24"/>
              </w:rPr>
            </w:pPr>
            <w:r w:rsidRPr="00EB695F">
              <w:rPr>
                <w:b/>
                <w:sz w:val="24"/>
                <w:szCs w:val="24"/>
              </w:rPr>
              <w:t>Question</w:t>
            </w:r>
            <w:r>
              <w:rPr>
                <w:b/>
                <w:sz w:val="24"/>
                <w:szCs w:val="24"/>
              </w:rPr>
              <w:t xml:space="preserve"> a:</w:t>
            </w:r>
          </w:p>
          <w:p w:rsidR="007E211B" w:rsidRDefault="007E211B" w:rsidP="00C8301E">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rsidR="007E211B" w:rsidRDefault="007E211B" w:rsidP="00C8301E">
            <w:pPr>
              <w:jc w:val="both"/>
              <w:rPr>
                <w:sz w:val="24"/>
                <w:szCs w:val="24"/>
              </w:rPr>
            </w:pPr>
          </w:p>
          <w:p w:rsidR="0055107E" w:rsidRDefault="0055107E" w:rsidP="007A07F7">
            <w:pPr>
              <w:spacing w:line="360" w:lineRule="auto"/>
              <w:jc w:val="both"/>
              <w:rPr>
                <w:sz w:val="22"/>
                <w:szCs w:val="22"/>
              </w:rPr>
            </w:pPr>
            <w:r w:rsidRPr="000B60E5">
              <w:rPr>
                <w:sz w:val="22"/>
                <w:szCs w:val="22"/>
              </w:rPr>
              <w:t xml:space="preserve">When working with vulnerable adults in Wales, there is key legislation in which professionals are bided by. The Wales Safeguarding Procedures (2020) </w:t>
            </w:r>
            <w:r w:rsidR="00995607" w:rsidRPr="000B60E5">
              <w:rPr>
                <w:sz w:val="22"/>
                <w:szCs w:val="22"/>
              </w:rPr>
              <w:t xml:space="preserve">support practitioners to apply the principles of the Social Services (Wales) </w:t>
            </w:r>
            <w:r w:rsidR="00FD528D">
              <w:rPr>
                <w:sz w:val="22"/>
                <w:szCs w:val="22"/>
              </w:rPr>
              <w:t>A</w:t>
            </w:r>
            <w:r w:rsidR="00995607" w:rsidRPr="000B60E5">
              <w:rPr>
                <w:sz w:val="22"/>
                <w:szCs w:val="22"/>
              </w:rPr>
              <w:t xml:space="preserve">ct 2014 (Social Care Wales, 2024). Section 126 of the Social Services (Wales) Act </w:t>
            </w:r>
            <w:r w:rsidR="00790116">
              <w:rPr>
                <w:sz w:val="22"/>
                <w:szCs w:val="22"/>
              </w:rPr>
              <w:t xml:space="preserve">(SSWBA) </w:t>
            </w:r>
            <w:r w:rsidR="00995607" w:rsidRPr="000B60E5">
              <w:rPr>
                <w:sz w:val="22"/>
                <w:szCs w:val="22"/>
              </w:rPr>
              <w:t xml:space="preserve">2014 defines an adult at risk as </w:t>
            </w:r>
            <w:r w:rsidR="007A07F7" w:rsidRPr="000B60E5">
              <w:rPr>
                <w:sz w:val="22"/>
                <w:szCs w:val="22"/>
              </w:rPr>
              <w:t xml:space="preserve">an adult who is experiencing abuse or neglect, has needs for care and support and as a consequence of this is unable to protect themselves against the abuse and neglect. </w:t>
            </w:r>
            <w:r w:rsidR="00E531DE">
              <w:rPr>
                <w:sz w:val="22"/>
                <w:szCs w:val="22"/>
              </w:rPr>
              <w:t xml:space="preserve">The Wales Safeguarding Procedures (2020) indicate seven potential categories of abuse and neglect, which include, physical, sexual, emotional, domestic violence, financial self-neglect, neglect and modern slavery (SCIE, 2015).  </w:t>
            </w:r>
            <w:r w:rsidR="00252DB5">
              <w:rPr>
                <w:sz w:val="22"/>
                <w:szCs w:val="22"/>
              </w:rPr>
              <w:t xml:space="preserve">Furthermore, social services have a duty </w:t>
            </w:r>
            <w:r w:rsidR="00E531DE">
              <w:rPr>
                <w:sz w:val="22"/>
                <w:szCs w:val="22"/>
              </w:rPr>
              <w:t xml:space="preserve">under Section 126 of the SSWBA (2014) </w:t>
            </w:r>
            <w:r w:rsidR="00252DB5">
              <w:rPr>
                <w:sz w:val="22"/>
                <w:szCs w:val="22"/>
              </w:rPr>
              <w:t xml:space="preserve">to make enquiries should they have reasonable grounds to </w:t>
            </w:r>
            <w:r w:rsidR="00FD528D">
              <w:rPr>
                <w:sz w:val="22"/>
                <w:szCs w:val="22"/>
              </w:rPr>
              <w:t>suspect</w:t>
            </w:r>
            <w:r w:rsidR="00252DB5">
              <w:rPr>
                <w:sz w:val="22"/>
                <w:szCs w:val="22"/>
              </w:rPr>
              <w:t xml:space="preserve"> that an adult is at risk </w:t>
            </w:r>
            <w:r w:rsidR="00BD67B6">
              <w:rPr>
                <w:sz w:val="22"/>
                <w:szCs w:val="22"/>
              </w:rPr>
              <w:t xml:space="preserve">of abuse </w:t>
            </w:r>
            <w:r w:rsidR="00252DB5">
              <w:rPr>
                <w:sz w:val="22"/>
                <w:szCs w:val="22"/>
              </w:rPr>
              <w:t>(Social Care Wales, 2024).</w:t>
            </w:r>
            <w:r w:rsidR="00BD67B6">
              <w:rPr>
                <w:sz w:val="22"/>
                <w:szCs w:val="22"/>
              </w:rPr>
              <w:t xml:space="preserve"> </w:t>
            </w:r>
            <w:r w:rsidR="00E531DE">
              <w:rPr>
                <w:sz w:val="22"/>
                <w:szCs w:val="22"/>
              </w:rPr>
              <w:t xml:space="preserve">The Act further states that the Local Authority should then consider if any action should be taken. </w:t>
            </w:r>
          </w:p>
          <w:p w:rsidR="00E531DE" w:rsidRDefault="00E531DE" w:rsidP="007A07F7">
            <w:pPr>
              <w:spacing w:line="360" w:lineRule="auto"/>
              <w:jc w:val="both"/>
              <w:rPr>
                <w:sz w:val="22"/>
                <w:szCs w:val="22"/>
              </w:rPr>
            </w:pPr>
          </w:p>
          <w:p w:rsidR="00FD528D" w:rsidRDefault="00FD528D" w:rsidP="007A07F7">
            <w:pPr>
              <w:spacing w:line="360" w:lineRule="auto"/>
              <w:jc w:val="both"/>
              <w:rPr>
                <w:sz w:val="22"/>
                <w:szCs w:val="22"/>
              </w:rPr>
            </w:pPr>
            <w:r w:rsidRPr="0084762C">
              <w:rPr>
                <w:sz w:val="22"/>
                <w:szCs w:val="22"/>
              </w:rPr>
              <w:t>Under the Social Services (Wales) Act 2014, the National Independent Safeguarding Board was introduced. The purpose of a Safeguarding Board is to identify areas of practice in which improvements are required</w:t>
            </w:r>
            <w:r w:rsidR="00D15221" w:rsidRPr="0084762C">
              <w:rPr>
                <w:sz w:val="22"/>
                <w:szCs w:val="22"/>
              </w:rPr>
              <w:t xml:space="preserve">. </w:t>
            </w:r>
            <w:r w:rsidRPr="0084762C">
              <w:rPr>
                <w:sz w:val="22"/>
                <w:szCs w:val="22"/>
              </w:rPr>
              <w:t xml:space="preserve">Moreover, it is the Boards responsibility to identify training needs </w:t>
            </w:r>
            <w:r w:rsidR="00E215DF" w:rsidRPr="0084762C">
              <w:rPr>
                <w:sz w:val="22"/>
                <w:szCs w:val="22"/>
              </w:rPr>
              <w:t xml:space="preserve">to assist in the </w:t>
            </w:r>
            <w:r w:rsidR="00E215DF" w:rsidRPr="0084762C">
              <w:rPr>
                <w:sz w:val="22"/>
                <w:szCs w:val="22"/>
              </w:rPr>
              <w:t>protection and prevention of abuse and neglect of children and adults at risk of harm in the area of the Board</w:t>
            </w:r>
            <w:r w:rsidR="00E215DF" w:rsidRPr="0084762C">
              <w:rPr>
                <w:sz w:val="22"/>
                <w:szCs w:val="22"/>
              </w:rPr>
              <w:t xml:space="preserve"> (Section 13</w:t>
            </w:r>
            <w:r w:rsidR="00E531DE">
              <w:rPr>
                <w:sz w:val="22"/>
                <w:szCs w:val="22"/>
              </w:rPr>
              <w:t>5</w:t>
            </w:r>
            <w:r w:rsidR="00E215DF" w:rsidRPr="0084762C">
              <w:rPr>
                <w:sz w:val="22"/>
                <w:szCs w:val="22"/>
              </w:rPr>
              <w:t xml:space="preserve">, SSWBA 2014, referenced by National Independent </w:t>
            </w:r>
            <w:r w:rsidR="00D15221" w:rsidRPr="0084762C">
              <w:rPr>
                <w:sz w:val="22"/>
                <w:szCs w:val="22"/>
              </w:rPr>
              <w:t xml:space="preserve">Safeguarding Board Wales, n.d). </w:t>
            </w:r>
            <w:r w:rsidR="0084762C">
              <w:rPr>
                <w:sz w:val="22"/>
                <w:szCs w:val="22"/>
              </w:rPr>
              <w:t xml:space="preserve">It is also part of the Safeguarding Boards duty to ensure that </w:t>
            </w:r>
            <w:r w:rsidR="0084762C" w:rsidRPr="0084762C">
              <w:rPr>
                <w:sz w:val="22"/>
                <w:szCs w:val="22"/>
              </w:rPr>
              <w:t>national policies and procedures are relevant and fit for purpose</w:t>
            </w:r>
            <w:r w:rsidR="0084762C">
              <w:rPr>
                <w:sz w:val="22"/>
                <w:szCs w:val="22"/>
              </w:rPr>
              <w:t xml:space="preserve"> (Social Care Wales, 2017).</w:t>
            </w:r>
          </w:p>
          <w:p w:rsidR="00E531DE" w:rsidRDefault="00E531DE" w:rsidP="007A07F7">
            <w:pPr>
              <w:spacing w:line="360" w:lineRule="auto"/>
              <w:jc w:val="both"/>
              <w:rPr>
                <w:sz w:val="22"/>
                <w:szCs w:val="22"/>
              </w:rPr>
            </w:pPr>
          </w:p>
          <w:p w:rsidR="00E531DE" w:rsidRPr="0084762C" w:rsidRDefault="00E531DE" w:rsidP="00E531DE">
            <w:pPr>
              <w:spacing w:line="360" w:lineRule="auto"/>
              <w:jc w:val="both"/>
              <w:rPr>
                <w:sz w:val="22"/>
                <w:szCs w:val="22"/>
              </w:rPr>
            </w:pPr>
            <w:r>
              <w:rPr>
                <w:sz w:val="22"/>
                <w:szCs w:val="22"/>
              </w:rPr>
              <w:t xml:space="preserve">To prevent adults being at risk of harm, Section 127 of the SSWBA (2014) introduced Adult Protection and Support Orders. Once ascertained from the Court, the Order can be used to </w:t>
            </w:r>
            <w:r>
              <w:rPr>
                <w:sz w:val="22"/>
                <w:szCs w:val="22"/>
              </w:rPr>
              <w:lastRenderedPageBreak/>
              <w:t xml:space="preserve">enable a Local Authority to enter a property to explore if an adult is at risk (Ingram, 2022). Ingram (2022) also notes that each Welsh Local Authority has a designated officer who is able to apply to the Court for an APSO should they feel necessary. It is well established that Article 8 of the Human Rights Act gives individuals the right to a private and family life, and therefore, the North Wales Safeguarding Adults Board advise that applications to the Court will only be made if other less intrusive approaches have been exhausted (North Wales Safeguarding Adults Board, 2020). Furthermore, the Board guidelines note that should the granting of an APSO place an individual at further risk, it would not be appropriate for this to be applied for (North Wales Safeguarding Adults Board, 2020). </w:t>
            </w:r>
          </w:p>
          <w:p w:rsidR="00364CF5" w:rsidRDefault="00364CF5" w:rsidP="007A07F7">
            <w:pPr>
              <w:spacing w:line="360" w:lineRule="auto"/>
              <w:jc w:val="both"/>
              <w:rPr>
                <w:sz w:val="22"/>
                <w:szCs w:val="22"/>
              </w:rPr>
            </w:pPr>
          </w:p>
          <w:p w:rsidR="00364CF5" w:rsidRDefault="00364CF5" w:rsidP="00364CF5">
            <w:pPr>
              <w:spacing w:line="360" w:lineRule="auto"/>
              <w:jc w:val="both"/>
              <w:rPr>
                <w:sz w:val="22"/>
                <w:szCs w:val="22"/>
              </w:rPr>
            </w:pPr>
            <w:r>
              <w:rPr>
                <w:sz w:val="22"/>
                <w:szCs w:val="22"/>
              </w:rPr>
              <w:t xml:space="preserve">The SSWBA (2014) is the Welsh equivalent of the Care Act (2014) which is in place in England (Ingram, 2022). Other legislation that is applicable within adults social care in Wales, includes the Mental Capacity Act (2005), and the Violence Against Women, Domestic Abuse and Sexual Violence (Wales) Act 2015. </w:t>
            </w:r>
          </w:p>
          <w:p w:rsidR="00364CF5" w:rsidRDefault="00364CF5" w:rsidP="007A07F7">
            <w:pPr>
              <w:spacing w:line="360" w:lineRule="auto"/>
              <w:jc w:val="both"/>
              <w:rPr>
                <w:sz w:val="22"/>
                <w:szCs w:val="22"/>
              </w:rPr>
            </w:pPr>
          </w:p>
          <w:p w:rsidR="007E211B" w:rsidRDefault="007E211B" w:rsidP="00C8301E">
            <w:pPr>
              <w:jc w:val="both"/>
              <w:rPr>
                <w:sz w:val="24"/>
                <w:szCs w:val="24"/>
              </w:rPr>
            </w:pPr>
          </w:p>
          <w:p w:rsidR="007E211B" w:rsidRDefault="00E531DE" w:rsidP="00C8301E">
            <w:pPr>
              <w:jc w:val="both"/>
              <w:rPr>
                <w:sz w:val="24"/>
                <w:szCs w:val="24"/>
              </w:rPr>
            </w:pPr>
            <w:r>
              <w:rPr>
                <w:sz w:val="24"/>
                <w:szCs w:val="24"/>
              </w:rPr>
              <w:t>(485 words).</w:t>
            </w:r>
          </w:p>
          <w:p w:rsidR="007E211B" w:rsidRDefault="007E211B" w:rsidP="00C8301E">
            <w:pPr>
              <w:jc w:val="both"/>
              <w:rPr>
                <w:sz w:val="24"/>
                <w:szCs w:val="24"/>
              </w:rPr>
            </w:pPr>
          </w:p>
          <w:p w:rsidR="007E211B" w:rsidRPr="008B28E7" w:rsidRDefault="007E211B" w:rsidP="006E2A2A">
            <w:pPr>
              <w:jc w:val="both"/>
              <w:rPr>
                <w:b/>
                <w:sz w:val="24"/>
                <w:szCs w:val="24"/>
              </w:rPr>
            </w:pPr>
          </w:p>
        </w:tc>
      </w:tr>
    </w:tbl>
    <w:p w:rsidR="007E211B" w:rsidRPr="008B28E7" w:rsidRDefault="007E211B" w:rsidP="007E211B">
      <w:pPr>
        <w:jc w:val="both"/>
        <w:rPr>
          <w:sz w:val="24"/>
          <w:szCs w:val="24"/>
        </w:rPr>
      </w:pPr>
    </w:p>
    <w:p w:rsidR="007E211B" w:rsidRPr="008B28E7" w:rsidRDefault="007E211B" w:rsidP="007E211B">
      <w:pPr>
        <w:jc w:val="both"/>
        <w:rPr>
          <w:sz w:val="24"/>
          <w:szCs w:val="24"/>
        </w:rPr>
      </w:pPr>
    </w:p>
    <w:p w:rsidR="007E211B" w:rsidRDefault="007E211B" w:rsidP="007E211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7E211B" w:rsidRPr="008B28E7" w:rsidTr="000258DB">
        <w:tc>
          <w:tcPr>
            <w:tcW w:w="9010" w:type="dxa"/>
            <w:shd w:val="clear" w:color="auto" w:fill="auto"/>
          </w:tcPr>
          <w:p w:rsidR="007E211B" w:rsidRPr="00EB695F" w:rsidRDefault="007E211B" w:rsidP="00C8301E">
            <w:pPr>
              <w:jc w:val="both"/>
              <w:rPr>
                <w:b/>
                <w:sz w:val="24"/>
                <w:szCs w:val="24"/>
              </w:rPr>
            </w:pPr>
            <w:r w:rsidRPr="00EB695F">
              <w:rPr>
                <w:b/>
                <w:sz w:val="24"/>
                <w:szCs w:val="24"/>
              </w:rPr>
              <w:t>Question</w:t>
            </w:r>
            <w:r>
              <w:rPr>
                <w:b/>
                <w:sz w:val="24"/>
                <w:szCs w:val="24"/>
              </w:rPr>
              <w:t xml:space="preserve"> b</w:t>
            </w:r>
            <w:r w:rsidRPr="00EB695F">
              <w:rPr>
                <w:b/>
                <w:sz w:val="24"/>
                <w:szCs w:val="24"/>
              </w:rPr>
              <w:t>:</w:t>
            </w:r>
          </w:p>
          <w:p w:rsidR="007E211B" w:rsidRDefault="007E211B" w:rsidP="00C8301E">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rsidR="007E211B" w:rsidRPr="00B20FE6" w:rsidRDefault="007E211B" w:rsidP="00C8301E">
            <w:pPr>
              <w:jc w:val="both"/>
              <w:rPr>
                <w:sz w:val="22"/>
                <w:szCs w:val="22"/>
              </w:rPr>
            </w:pPr>
          </w:p>
          <w:p w:rsidR="000258DB" w:rsidRPr="00B20FE6" w:rsidRDefault="000258DB" w:rsidP="00B20FE6">
            <w:pPr>
              <w:spacing w:line="360" w:lineRule="auto"/>
              <w:jc w:val="both"/>
              <w:rPr>
                <w:sz w:val="22"/>
                <w:szCs w:val="22"/>
              </w:rPr>
            </w:pPr>
            <w:r w:rsidRPr="00B20FE6">
              <w:rPr>
                <w:sz w:val="22"/>
                <w:szCs w:val="22"/>
              </w:rPr>
              <w:t xml:space="preserve">The introduction of the Social Services and Wellbeing (Wales) Act 2014 ensured that </w:t>
            </w:r>
            <w:r w:rsidR="00E51A31" w:rsidRPr="00B20FE6">
              <w:rPr>
                <w:sz w:val="22"/>
                <w:szCs w:val="22"/>
              </w:rPr>
              <w:t xml:space="preserve">adults at risk were safeguarded in a similar way to children. Under Section 2, identifies a statutory duty to report adults at risk and for Local Authorities to investigate suspected abuse or neglect (Social Care Wales, 2024). </w:t>
            </w:r>
          </w:p>
          <w:p w:rsidR="000258DB" w:rsidRPr="00B20FE6" w:rsidRDefault="000258DB" w:rsidP="00B20FE6">
            <w:pPr>
              <w:spacing w:line="360" w:lineRule="auto"/>
              <w:jc w:val="both"/>
              <w:rPr>
                <w:sz w:val="22"/>
                <w:szCs w:val="22"/>
              </w:rPr>
            </w:pPr>
          </w:p>
          <w:p w:rsidR="000258DB" w:rsidRPr="00B20FE6" w:rsidRDefault="000258DB" w:rsidP="00B20FE6">
            <w:pPr>
              <w:spacing w:line="360" w:lineRule="auto"/>
              <w:jc w:val="both"/>
              <w:rPr>
                <w:sz w:val="22"/>
                <w:szCs w:val="22"/>
              </w:rPr>
            </w:pPr>
          </w:p>
          <w:p w:rsidR="00643FFB" w:rsidRPr="00B20FE6" w:rsidRDefault="004E32EA" w:rsidP="00B20FE6">
            <w:pPr>
              <w:spacing w:line="360" w:lineRule="auto"/>
              <w:jc w:val="both"/>
              <w:rPr>
                <w:sz w:val="22"/>
                <w:szCs w:val="22"/>
              </w:rPr>
            </w:pPr>
            <w:r w:rsidRPr="00B20FE6">
              <w:rPr>
                <w:sz w:val="22"/>
                <w:szCs w:val="22"/>
              </w:rPr>
              <w:t xml:space="preserve">One of the main differences between safeguarding in adults and children’s social care is that an adult has the rights to self-determination (Ann Craft Trust, </w:t>
            </w:r>
            <w:r w:rsidR="00BB2BD5" w:rsidRPr="00B20FE6">
              <w:rPr>
                <w:sz w:val="22"/>
                <w:szCs w:val="22"/>
              </w:rPr>
              <w:t>2024) which means that they can choose not to protect themselves from abuse.</w:t>
            </w:r>
            <w:r w:rsidR="00F15B54" w:rsidRPr="00B20FE6">
              <w:rPr>
                <w:sz w:val="22"/>
                <w:szCs w:val="22"/>
              </w:rPr>
              <w:t xml:space="preserve"> </w:t>
            </w:r>
            <w:r w:rsidR="0081440D" w:rsidRPr="00B20FE6">
              <w:rPr>
                <w:sz w:val="22"/>
                <w:szCs w:val="22"/>
              </w:rPr>
              <w:t xml:space="preserve">Where there are concerns surrounding the capacity of an individual to make </w:t>
            </w:r>
            <w:r w:rsidR="007B1B6F" w:rsidRPr="00B20FE6">
              <w:rPr>
                <w:sz w:val="22"/>
                <w:szCs w:val="22"/>
              </w:rPr>
              <w:t xml:space="preserve">these </w:t>
            </w:r>
            <w:r w:rsidR="0081440D" w:rsidRPr="00B20FE6">
              <w:rPr>
                <w:sz w:val="22"/>
                <w:szCs w:val="22"/>
              </w:rPr>
              <w:t>decisions, for example, due to an illness or disability which impacts the way their brain works, or due to substance or alcohol misuse, (SCIE, n.d)</w:t>
            </w:r>
            <w:r w:rsidR="007B1B6F" w:rsidRPr="00B20FE6">
              <w:rPr>
                <w:sz w:val="22"/>
                <w:szCs w:val="22"/>
              </w:rPr>
              <w:t xml:space="preserve"> a Mental Capacity Assessment can be carried out, which was introduced under the Mental Capacity Act (2005)</w:t>
            </w:r>
            <w:r w:rsidR="0081440D" w:rsidRPr="00B20FE6">
              <w:rPr>
                <w:sz w:val="22"/>
                <w:szCs w:val="22"/>
              </w:rPr>
              <w:t xml:space="preserve">. </w:t>
            </w:r>
            <w:r w:rsidR="0081440D" w:rsidRPr="00B20FE6">
              <w:rPr>
                <w:color w:val="4A678A"/>
                <w:sz w:val="22"/>
                <w:szCs w:val="22"/>
              </w:rPr>
              <w:t xml:space="preserve"> </w:t>
            </w:r>
            <w:r w:rsidR="0081440D" w:rsidRPr="00B20FE6">
              <w:rPr>
                <w:color w:val="000000" w:themeColor="text1"/>
                <w:sz w:val="22"/>
                <w:szCs w:val="22"/>
              </w:rPr>
              <w:t xml:space="preserve">The Mental Capacity Act (2005) </w:t>
            </w:r>
            <w:r w:rsidR="0081440D" w:rsidRPr="00B20FE6">
              <w:rPr>
                <w:sz w:val="22"/>
                <w:szCs w:val="22"/>
              </w:rPr>
              <w:t xml:space="preserve">applies to </w:t>
            </w:r>
            <w:r w:rsidR="00CA0067" w:rsidRPr="00B20FE6">
              <w:rPr>
                <w:sz w:val="22"/>
                <w:szCs w:val="22"/>
              </w:rPr>
              <w:t>people</w:t>
            </w:r>
            <w:r w:rsidR="0081440D" w:rsidRPr="00B20FE6">
              <w:rPr>
                <w:sz w:val="22"/>
                <w:szCs w:val="22"/>
              </w:rPr>
              <w:t xml:space="preserve"> involved in the care</w:t>
            </w:r>
            <w:r w:rsidR="00CA0067" w:rsidRPr="00B20FE6">
              <w:rPr>
                <w:sz w:val="22"/>
                <w:szCs w:val="22"/>
              </w:rPr>
              <w:t xml:space="preserve"> </w:t>
            </w:r>
            <w:r w:rsidR="0081440D" w:rsidRPr="00B20FE6">
              <w:rPr>
                <w:sz w:val="22"/>
                <w:szCs w:val="22"/>
              </w:rPr>
              <w:t xml:space="preserve">and support of </w:t>
            </w:r>
            <w:r w:rsidR="00CA0067" w:rsidRPr="00B20FE6">
              <w:rPr>
                <w:sz w:val="22"/>
                <w:szCs w:val="22"/>
              </w:rPr>
              <w:t>individuals</w:t>
            </w:r>
            <w:r w:rsidR="0081440D" w:rsidRPr="00B20FE6">
              <w:rPr>
                <w:sz w:val="22"/>
                <w:szCs w:val="22"/>
              </w:rPr>
              <w:t xml:space="preserve"> ag</w:t>
            </w:r>
            <w:r w:rsidR="00CA0067" w:rsidRPr="00B20FE6">
              <w:rPr>
                <w:sz w:val="22"/>
                <w:szCs w:val="22"/>
              </w:rPr>
              <w:t xml:space="preserve">ed 16 years of age and older, </w:t>
            </w:r>
            <w:r w:rsidR="00CA0067" w:rsidRPr="00B20FE6">
              <w:rPr>
                <w:sz w:val="22"/>
                <w:szCs w:val="22"/>
              </w:rPr>
              <w:lastRenderedPageBreak/>
              <w:t xml:space="preserve">who reside in </w:t>
            </w:r>
            <w:r w:rsidR="0081440D" w:rsidRPr="00B20FE6">
              <w:rPr>
                <w:sz w:val="22"/>
                <w:szCs w:val="22"/>
              </w:rPr>
              <w:t xml:space="preserve">England and Wales </w:t>
            </w:r>
            <w:r w:rsidR="00CA0067" w:rsidRPr="00B20FE6">
              <w:rPr>
                <w:sz w:val="22"/>
                <w:szCs w:val="22"/>
              </w:rPr>
              <w:t xml:space="preserve">and </w:t>
            </w:r>
            <w:r w:rsidR="0081440D" w:rsidRPr="00B20FE6">
              <w:rPr>
                <w:sz w:val="22"/>
                <w:szCs w:val="22"/>
              </w:rPr>
              <w:t>are unable to make all or some decisions for themselves</w:t>
            </w:r>
            <w:r w:rsidR="00CA0067" w:rsidRPr="00B20FE6">
              <w:rPr>
                <w:sz w:val="22"/>
                <w:szCs w:val="22"/>
              </w:rPr>
              <w:t xml:space="preserve"> (SCIE, 2022). </w:t>
            </w:r>
            <w:r w:rsidR="00643FFB" w:rsidRPr="00B20FE6">
              <w:rPr>
                <w:sz w:val="22"/>
                <w:szCs w:val="22"/>
              </w:rPr>
              <w:t xml:space="preserve">A Mental Capacity Assessment assess whether an individual is able to understand the information presented to them, retain the information to make a decision, weigh up the information and communicate their decision (SCIE, n.d). </w:t>
            </w:r>
            <w:r w:rsidR="007B1B6F" w:rsidRPr="00B20FE6">
              <w:rPr>
                <w:sz w:val="22"/>
                <w:szCs w:val="22"/>
              </w:rPr>
              <w:t xml:space="preserve">Should an adult be deemed to have capacity, they have the rights to make an “unwise decision” under principle 3 of the Mental Capacity Act (2005) to not receive care and support from the Local Authority. </w:t>
            </w:r>
          </w:p>
          <w:p w:rsidR="00643FFB" w:rsidRPr="00B20FE6" w:rsidRDefault="00643FFB" w:rsidP="00B20FE6">
            <w:pPr>
              <w:spacing w:line="360" w:lineRule="auto"/>
              <w:jc w:val="both"/>
              <w:rPr>
                <w:sz w:val="22"/>
                <w:szCs w:val="22"/>
              </w:rPr>
            </w:pPr>
          </w:p>
          <w:p w:rsidR="00CA0067" w:rsidRPr="00B20FE6" w:rsidRDefault="00CA0067" w:rsidP="00B20FE6">
            <w:pPr>
              <w:spacing w:line="360" w:lineRule="auto"/>
              <w:jc w:val="both"/>
              <w:rPr>
                <w:sz w:val="22"/>
                <w:szCs w:val="22"/>
              </w:rPr>
            </w:pPr>
            <w:r w:rsidRPr="00B20FE6">
              <w:rPr>
                <w:sz w:val="22"/>
                <w:szCs w:val="22"/>
              </w:rPr>
              <w:t>Children on the other hand</w:t>
            </w:r>
            <w:r w:rsidR="007B1B6F" w:rsidRPr="00B20FE6">
              <w:rPr>
                <w:sz w:val="22"/>
                <w:szCs w:val="22"/>
              </w:rPr>
              <w:t xml:space="preserve"> </w:t>
            </w:r>
            <w:r w:rsidR="00643FFB" w:rsidRPr="00B20FE6">
              <w:rPr>
                <w:sz w:val="22"/>
                <w:szCs w:val="22"/>
              </w:rPr>
              <w:t xml:space="preserve">are not considered to willingly place themselves at risk of harm, </w:t>
            </w:r>
            <w:r w:rsidR="007B1B6F" w:rsidRPr="00B20FE6">
              <w:rPr>
                <w:sz w:val="22"/>
                <w:szCs w:val="22"/>
              </w:rPr>
              <w:t xml:space="preserve">and therefore the Local Authority has a duty to investigate any concerns relating to a child’s welfare. </w:t>
            </w:r>
            <w:r w:rsidR="00643FFB" w:rsidRPr="00B20FE6">
              <w:rPr>
                <w:sz w:val="22"/>
                <w:szCs w:val="22"/>
              </w:rPr>
              <w:t>In some circumstances, children and adolescents are able to give their own consent, opinions and wishes</w:t>
            </w:r>
            <w:r w:rsidR="000258DB" w:rsidRPr="00B20FE6">
              <w:rPr>
                <w:sz w:val="22"/>
                <w:szCs w:val="22"/>
              </w:rPr>
              <w:t xml:space="preserve">. Professionals working with young people can be guided by Gillick Competency and Frazer Guidelines to help balance the need to consider their wishes but also to ensure their safety (NSPCC, 2022). </w:t>
            </w:r>
            <w:r w:rsidR="00643FFB" w:rsidRPr="00B20FE6">
              <w:rPr>
                <w:sz w:val="22"/>
                <w:szCs w:val="22"/>
              </w:rPr>
              <w:t xml:space="preserve">Gillick competency is used to help assess whether a child is mature enough to make their own decisions, and to understand the consequences of said decisions (NSPCC, 2022). </w:t>
            </w:r>
            <w:r w:rsidR="00FF6EA7" w:rsidRPr="00B20FE6">
              <w:rPr>
                <w:sz w:val="22"/>
                <w:szCs w:val="22"/>
              </w:rPr>
              <w:t xml:space="preserve">Professionals should consider Gillick Competence when working with children and young people who may wish to </w:t>
            </w:r>
            <w:r w:rsidR="000258DB" w:rsidRPr="00B20FE6">
              <w:rPr>
                <w:sz w:val="22"/>
                <w:szCs w:val="22"/>
              </w:rPr>
              <w:t xml:space="preserve">consent to treatment without their parent or carers consent (NSPCC, 2022). </w:t>
            </w:r>
          </w:p>
          <w:p w:rsidR="00E51A31" w:rsidRPr="00B20FE6" w:rsidRDefault="00E51A31" w:rsidP="00BB2BD5">
            <w:pPr>
              <w:spacing w:line="360" w:lineRule="auto"/>
              <w:jc w:val="both"/>
              <w:rPr>
                <w:sz w:val="22"/>
                <w:szCs w:val="22"/>
              </w:rPr>
            </w:pPr>
          </w:p>
          <w:p w:rsidR="007E211B" w:rsidRPr="00B20FE6" w:rsidRDefault="00E51A31" w:rsidP="00030906">
            <w:pPr>
              <w:spacing w:line="360" w:lineRule="auto"/>
              <w:jc w:val="both"/>
              <w:rPr>
                <w:sz w:val="22"/>
                <w:szCs w:val="22"/>
              </w:rPr>
            </w:pPr>
            <w:r w:rsidRPr="00B20FE6">
              <w:rPr>
                <w:sz w:val="22"/>
                <w:szCs w:val="22"/>
              </w:rPr>
              <w:t>(390 words).</w:t>
            </w:r>
          </w:p>
          <w:p w:rsidR="007E211B" w:rsidRPr="006108C9" w:rsidRDefault="007E211B" w:rsidP="006E2A2A">
            <w:pPr>
              <w:jc w:val="both"/>
              <w:rPr>
                <w:sz w:val="24"/>
                <w:szCs w:val="24"/>
              </w:rPr>
            </w:pPr>
          </w:p>
        </w:tc>
      </w:tr>
    </w:tbl>
    <w:p w:rsidR="007E211B" w:rsidRDefault="007E211B" w:rsidP="007E211B">
      <w:pPr>
        <w:jc w:val="both"/>
        <w:rPr>
          <w:sz w:val="24"/>
          <w:szCs w:val="24"/>
        </w:rPr>
      </w:pPr>
    </w:p>
    <w:p w:rsidR="0099377F" w:rsidRDefault="0099377F"/>
    <w:sectPr w:rsidR="0099377F" w:rsidSect="00B659B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11B"/>
    <w:rsid w:val="00012A93"/>
    <w:rsid w:val="000258DB"/>
    <w:rsid w:val="00026550"/>
    <w:rsid w:val="00030906"/>
    <w:rsid w:val="000B60E5"/>
    <w:rsid w:val="00252DB5"/>
    <w:rsid w:val="00364CF5"/>
    <w:rsid w:val="00443661"/>
    <w:rsid w:val="004E00F4"/>
    <w:rsid w:val="004E32EA"/>
    <w:rsid w:val="0055107E"/>
    <w:rsid w:val="00643FFB"/>
    <w:rsid w:val="006E2A2A"/>
    <w:rsid w:val="006E4776"/>
    <w:rsid w:val="00783664"/>
    <w:rsid w:val="00790116"/>
    <w:rsid w:val="007A07F7"/>
    <w:rsid w:val="007B1B6F"/>
    <w:rsid w:val="007E211B"/>
    <w:rsid w:val="0081440D"/>
    <w:rsid w:val="0084762C"/>
    <w:rsid w:val="0099377F"/>
    <w:rsid w:val="00995607"/>
    <w:rsid w:val="00B20FE6"/>
    <w:rsid w:val="00B43C84"/>
    <w:rsid w:val="00B659BE"/>
    <w:rsid w:val="00BB2BD5"/>
    <w:rsid w:val="00BD67B6"/>
    <w:rsid w:val="00BF215F"/>
    <w:rsid w:val="00C62F42"/>
    <w:rsid w:val="00CA0067"/>
    <w:rsid w:val="00D15221"/>
    <w:rsid w:val="00E215DF"/>
    <w:rsid w:val="00E460F3"/>
    <w:rsid w:val="00E51A31"/>
    <w:rsid w:val="00E531DE"/>
    <w:rsid w:val="00F15B54"/>
    <w:rsid w:val="00FD528D"/>
    <w:rsid w:val="00FE3407"/>
    <w:rsid w:val="00FF6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C88D4"/>
  <w15:chartTrackingRefBased/>
  <w15:docId w15:val="{272E8F33-B879-C844-8210-A916FDABC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11B"/>
    <w:pPr>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161</TotalTime>
  <Pages>3</Pages>
  <Words>936</Words>
  <Characters>5338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Morris</dc:creator>
  <cp:keywords/>
  <dc:description/>
  <cp:lastModifiedBy>Emily Morris</cp:lastModifiedBy>
  <cp:revision>25</cp:revision>
  <dcterms:created xsi:type="dcterms:W3CDTF">2024-09-18T14:20:00Z</dcterms:created>
  <dcterms:modified xsi:type="dcterms:W3CDTF">2024-09-22T15:00:00Z</dcterms:modified>
</cp:coreProperties>
</file>