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30F8A" w14:textId="77777777" w:rsidR="00496AE7" w:rsidRPr="00BA63F6" w:rsidRDefault="00496AE7" w:rsidP="00496AE7">
      <w:pPr>
        <w:spacing w:line="360" w:lineRule="auto"/>
        <w:jc w:val="both"/>
        <w:rPr>
          <w:rFonts w:ascii="Arial" w:hAnsi="Arial" w:cs="Arial"/>
          <w:kern w:val="0"/>
          <w14:ligatures w14:val="none"/>
        </w:rPr>
      </w:pPr>
      <w:r w:rsidRPr="00BA63F6">
        <w:rPr>
          <w:rFonts w:ascii="Arial" w:hAnsi="Arial" w:cs="Arial"/>
          <w:noProof/>
          <w:kern w:val="0"/>
          <w14:ligatures w14:val="none"/>
        </w:rPr>
        <w:drawing>
          <wp:inline distT="0" distB="0" distL="0" distR="0" wp14:anchorId="309C38DE" wp14:editId="743E6480">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62F8151F" w14:textId="77777777" w:rsidR="00496AE7" w:rsidRPr="00BA63F6" w:rsidRDefault="00496AE7" w:rsidP="00496AE7">
      <w:pPr>
        <w:spacing w:line="360" w:lineRule="auto"/>
        <w:jc w:val="both"/>
        <w:rPr>
          <w:rFonts w:ascii="Arial" w:hAnsi="Arial" w:cs="Arial"/>
          <w:kern w:val="0"/>
          <w14:ligatures w14:val="none"/>
        </w:rPr>
      </w:pPr>
    </w:p>
    <w:p w14:paraId="1C5F019D" w14:textId="77777777" w:rsidR="00496AE7" w:rsidRPr="005F01E9" w:rsidRDefault="00496AE7" w:rsidP="00496AE7">
      <w:pPr>
        <w:spacing w:after="200" w:line="360" w:lineRule="auto"/>
        <w:jc w:val="both"/>
        <w:rPr>
          <w:rFonts w:ascii="Arial" w:eastAsia="Arial" w:hAnsi="Arial" w:cs="Arial"/>
          <w:color w:val="1C9394"/>
          <w:kern w:val="0"/>
          <w:lang w:val="en-US"/>
          <w14:ligatures w14:val="none"/>
        </w:rPr>
      </w:pPr>
      <w:r w:rsidRPr="005F01E9">
        <w:rPr>
          <w:rFonts w:ascii="Arial" w:eastAsia="Arial" w:hAnsi="Arial" w:cs="Arial"/>
          <w:color w:val="1C9394"/>
          <w:kern w:val="0"/>
          <w:lang w:val="en-US"/>
          <w14:ligatures w14:val="none"/>
        </w:rPr>
        <w:t>Assessment Component 2 – Individual Report</w:t>
      </w:r>
    </w:p>
    <w:p w14:paraId="03CD992A" w14:textId="77777777" w:rsidR="00496AE7" w:rsidRPr="005F01E9" w:rsidRDefault="00496AE7" w:rsidP="00496AE7">
      <w:pPr>
        <w:spacing w:line="360" w:lineRule="auto"/>
        <w:jc w:val="both"/>
        <w:rPr>
          <w:rFonts w:ascii="Arial" w:eastAsia="Arial" w:hAnsi="Arial" w:cs="Arial"/>
          <w:kern w:val="0"/>
          <w14:ligatures w14:val="none"/>
        </w:rPr>
      </w:pPr>
      <w:r w:rsidRPr="005F01E9">
        <w:rPr>
          <w:rFonts w:ascii="Arial" w:eastAsia="Arial" w:hAnsi="Arial" w:cs="Arial"/>
          <w:kern w:val="0"/>
          <w14:ligatures w14:val="none"/>
        </w:rPr>
        <w:t>Student Name: Georgiana Madalina Usurelu</w:t>
      </w:r>
    </w:p>
    <w:p w14:paraId="017996EC" w14:textId="77777777" w:rsidR="00496AE7" w:rsidRPr="005F01E9" w:rsidRDefault="00496AE7" w:rsidP="00496AE7">
      <w:pPr>
        <w:spacing w:line="360" w:lineRule="auto"/>
        <w:jc w:val="both"/>
        <w:rPr>
          <w:rFonts w:ascii="Arial" w:eastAsia="Arial" w:hAnsi="Arial" w:cs="Arial"/>
          <w:kern w:val="0"/>
          <w14:ligatures w14:val="none"/>
        </w:rPr>
      </w:pPr>
      <w:r w:rsidRPr="005F01E9">
        <w:rPr>
          <w:rFonts w:ascii="Arial" w:eastAsia="Arial" w:hAnsi="Arial" w:cs="Arial"/>
          <w:kern w:val="0"/>
          <w14:ligatures w14:val="none"/>
        </w:rPr>
        <w:t>Student Number: 2226304</w:t>
      </w:r>
    </w:p>
    <w:p w14:paraId="309F8F79" w14:textId="77777777" w:rsidR="00496AE7" w:rsidRPr="005F01E9" w:rsidRDefault="00496AE7" w:rsidP="00496AE7">
      <w:pPr>
        <w:spacing w:line="360" w:lineRule="auto"/>
        <w:jc w:val="both"/>
        <w:rPr>
          <w:rFonts w:ascii="Arial" w:eastAsia="Arial" w:hAnsi="Arial" w:cs="Arial"/>
          <w:kern w:val="0"/>
          <w14:ligatures w14:val="none"/>
        </w:rPr>
      </w:pPr>
      <w:r w:rsidRPr="005F01E9">
        <w:rPr>
          <w:rFonts w:ascii="Arial" w:eastAsia="Arial" w:hAnsi="Arial" w:cs="Arial"/>
          <w:kern w:val="0"/>
          <w14:ligatures w14:val="none"/>
        </w:rPr>
        <w:t xml:space="preserve">Lecturer Name: </w:t>
      </w:r>
      <w:r w:rsidRPr="005F01E9">
        <w:rPr>
          <w:rFonts w:ascii="Arial" w:hAnsi="Arial" w:cs="Arial"/>
        </w:rPr>
        <w:t>Dr Imo Enang</w:t>
      </w:r>
    </w:p>
    <w:p w14:paraId="744FEBD6" w14:textId="77777777" w:rsidR="00496AE7" w:rsidRPr="005F01E9" w:rsidRDefault="00496AE7" w:rsidP="00496AE7">
      <w:pPr>
        <w:spacing w:line="360" w:lineRule="auto"/>
        <w:jc w:val="both"/>
        <w:rPr>
          <w:rFonts w:ascii="Arial" w:eastAsia="Arial" w:hAnsi="Arial" w:cs="Arial"/>
          <w:b/>
          <w:bCs/>
          <w:kern w:val="0"/>
          <w14:ligatures w14:val="none"/>
        </w:rPr>
      </w:pPr>
      <w:r w:rsidRPr="005F01E9">
        <w:rPr>
          <w:rFonts w:ascii="Arial" w:hAnsi="Arial" w:cs="Arial"/>
          <w:b/>
        </w:rPr>
        <w:t>LCBB5004</w:t>
      </w:r>
      <w:r w:rsidRPr="005F01E9">
        <w:rPr>
          <w:rFonts w:ascii="Arial" w:eastAsia="Arial" w:hAnsi="Arial" w:cs="Arial"/>
          <w:b/>
          <w:bCs/>
          <w:kern w:val="0"/>
          <w14:ligatures w14:val="none"/>
        </w:rPr>
        <w:t>_BIRM</w:t>
      </w:r>
    </w:p>
    <w:p w14:paraId="39175A64" w14:textId="77777777" w:rsidR="00496AE7" w:rsidRPr="005F01E9" w:rsidRDefault="00496AE7" w:rsidP="00496AE7">
      <w:pPr>
        <w:spacing w:line="360" w:lineRule="auto"/>
        <w:jc w:val="both"/>
        <w:rPr>
          <w:rFonts w:ascii="Arial" w:hAnsi="Arial" w:cs="Arial"/>
        </w:rPr>
      </w:pPr>
      <w:r w:rsidRPr="005F01E9">
        <w:rPr>
          <w:rFonts w:ascii="Arial" w:eastAsia="Arial" w:hAnsi="Arial" w:cs="Arial"/>
          <w:b/>
          <w:bCs/>
          <w:kern w:val="0"/>
          <w14:ligatures w14:val="none"/>
        </w:rPr>
        <w:t>Managing People</w:t>
      </w:r>
    </w:p>
    <w:p w14:paraId="6D45D88B" w14:textId="77777777" w:rsidR="00E33B30" w:rsidRPr="00496AE7" w:rsidRDefault="00E33B30" w:rsidP="00496AE7">
      <w:pPr>
        <w:spacing w:line="360" w:lineRule="auto"/>
        <w:rPr>
          <w:rFonts w:ascii="Arial" w:hAnsi="Arial" w:cs="Arial"/>
        </w:rPr>
      </w:pPr>
    </w:p>
    <w:p w14:paraId="7F670F35" w14:textId="77777777" w:rsidR="00F9518B" w:rsidRPr="00496AE7" w:rsidRDefault="00F9518B" w:rsidP="00496AE7">
      <w:pPr>
        <w:spacing w:line="360" w:lineRule="auto"/>
        <w:rPr>
          <w:rFonts w:ascii="Arial" w:hAnsi="Arial" w:cs="Arial"/>
        </w:rPr>
      </w:pPr>
    </w:p>
    <w:p w14:paraId="5A5E66C4" w14:textId="77777777" w:rsidR="00F9518B" w:rsidRPr="00496AE7" w:rsidRDefault="00F9518B" w:rsidP="00496AE7">
      <w:pPr>
        <w:spacing w:line="360" w:lineRule="auto"/>
        <w:rPr>
          <w:rFonts w:ascii="Arial" w:hAnsi="Arial" w:cs="Arial"/>
        </w:rPr>
      </w:pPr>
    </w:p>
    <w:p w14:paraId="010A3759" w14:textId="77777777" w:rsidR="00F9518B" w:rsidRPr="00496AE7" w:rsidRDefault="00F9518B" w:rsidP="00496AE7">
      <w:pPr>
        <w:spacing w:line="360" w:lineRule="auto"/>
        <w:rPr>
          <w:rFonts w:ascii="Arial" w:hAnsi="Arial" w:cs="Arial"/>
        </w:rPr>
      </w:pPr>
    </w:p>
    <w:p w14:paraId="359D0A9D" w14:textId="77777777" w:rsidR="00F9518B" w:rsidRPr="00496AE7" w:rsidRDefault="00F9518B" w:rsidP="00496AE7">
      <w:pPr>
        <w:spacing w:line="360" w:lineRule="auto"/>
        <w:rPr>
          <w:rFonts w:ascii="Arial" w:hAnsi="Arial" w:cs="Arial"/>
        </w:rPr>
      </w:pPr>
    </w:p>
    <w:p w14:paraId="5CC15822" w14:textId="77777777" w:rsidR="00F9518B" w:rsidRPr="00496AE7" w:rsidRDefault="00F9518B" w:rsidP="00496AE7">
      <w:pPr>
        <w:spacing w:line="360" w:lineRule="auto"/>
        <w:rPr>
          <w:rFonts w:ascii="Arial" w:hAnsi="Arial" w:cs="Arial"/>
        </w:rPr>
      </w:pPr>
    </w:p>
    <w:p w14:paraId="53C131AE" w14:textId="77777777" w:rsidR="00F9518B" w:rsidRPr="00496AE7" w:rsidRDefault="00F9518B" w:rsidP="00496AE7">
      <w:pPr>
        <w:spacing w:line="360" w:lineRule="auto"/>
        <w:rPr>
          <w:rFonts w:ascii="Arial" w:hAnsi="Arial" w:cs="Arial"/>
        </w:rPr>
      </w:pPr>
    </w:p>
    <w:p w14:paraId="33121B36" w14:textId="77777777" w:rsidR="00F9518B" w:rsidRPr="00496AE7" w:rsidRDefault="00F9518B" w:rsidP="00496AE7">
      <w:pPr>
        <w:spacing w:line="360" w:lineRule="auto"/>
        <w:rPr>
          <w:rFonts w:ascii="Arial" w:hAnsi="Arial" w:cs="Arial"/>
        </w:rPr>
      </w:pPr>
    </w:p>
    <w:p w14:paraId="29279FDE" w14:textId="77777777" w:rsidR="00F9518B" w:rsidRPr="00496AE7" w:rsidRDefault="00F9518B" w:rsidP="00496AE7">
      <w:pPr>
        <w:spacing w:line="360" w:lineRule="auto"/>
        <w:rPr>
          <w:rFonts w:ascii="Arial" w:hAnsi="Arial" w:cs="Arial"/>
        </w:rPr>
      </w:pPr>
    </w:p>
    <w:p w14:paraId="032F9CF8" w14:textId="77777777" w:rsidR="00F9518B" w:rsidRPr="00496AE7" w:rsidRDefault="00F9518B" w:rsidP="00496AE7">
      <w:pPr>
        <w:spacing w:line="360" w:lineRule="auto"/>
        <w:rPr>
          <w:rFonts w:ascii="Arial" w:hAnsi="Arial" w:cs="Arial"/>
        </w:rPr>
      </w:pPr>
    </w:p>
    <w:p w14:paraId="6BB88D70" w14:textId="77777777" w:rsidR="00F9518B" w:rsidRPr="00496AE7" w:rsidRDefault="00F9518B" w:rsidP="00496AE7">
      <w:pPr>
        <w:spacing w:line="360" w:lineRule="auto"/>
        <w:rPr>
          <w:rFonts w:ascii="Arial" w:hAnsi="Arial" w:cs="Arial"/>
        </w:rPr>
      </w:pPr>
    </w:p>
    <w:p w14:paraId="6596D1AF" w14:textId="77777777" w:rsidR="00F9518B" w:rsidRPr="00496AE7" w:rsidRDefault="00F9518B" w:rsidP="00496AE7">
      <w:pPr>
        <w:spacing w:line="360" w:lineRule="auto"/>
        <w:rPr>
          <w:rFonts w:ascii="Arial" w:hAnsi="Arial" w:cs="Arial"/>
        </w:rPr>
      </w:pPr>
    </w:p>
    <w:p w14:paraId="21EE05DC" w14:textId="77777777" w:rsidR="00F9518B" w:rsidRPr="00496AE7" w:rsidRDefault="00F9518B" w:rsidP="00496AE7">
      <w:pPr>
        <w:spacing w:line="360" w:lineRule="auto"/>
        <w:rPr>
          <w:rFonts w:ascii="Arial" w:hAnsi="Arial" w:cs="Arial"/>
        </w:rPr>
      </w:pPr>
    </w:p>
    <w:p w14:paraId="5DABD2C9" w14:textId="34C9BAFB" w:rsidR="00F9518B" w:rsidRPr="00F10472" w:rsidRDefault="00F9518B" w:rsidP="00496AE7">
      <w:pPr>
        <w:spacing w:line="360" w:lineRule="auto"/>
        <w:jc w:val="both"/>
        <w:rPr>
          <w:rFonts w:ascii="Arial" w:hAnsi="Arial" w:cs="Arial"/>
          <w:b/>
          <w:bCs/>
          <w:sz w:val="28"/>
          <w:szCs w:val="28"/>
        </w:rPr>
      </w:pPr>
      <w:r w:rsidRPr="00F10472">
        <w:rPr>
          <w:rFonts w:ascii="Arial" w:hAnsi="Arial" w:cs="Arial"/>
          <w:b/>
          <w:bCs/>
          <w:sz w:val="28"/>
          <w:szCs w:val="28"/>
        </w:rPr>
        <w:lastRenderedPageBreak/>
        <w:t>Abstract</w:t>
      </w:r>
    </w:p>
    <w:p w14:paraId="380E3127" w14:textId="66659E64" w:rsidR="00F9518B" w:rsidRPr="00496AE7" w:rsidRDefault="00F9518B" w:rsidP="00496AE7">
      <w:pPr>
        <w:spacing w:line="360" w:lineRule="auto"/>
        <w:jc w:val="both"/>
        <w:rPr>
          <w:rFonts w:ascii="Arial" w:hAnsi="Arial" w:cs="Arial"/>
        </w:rPr>
      </w:pPr>
      <w:r w:rsidRPr="00496AE7">
        <w:rPr>
          <w:rFonts w:ascii="Arial" w:hAnsi="Arial" w:cs="Arial"/>
        </w:rPr>
        <w:t xml:space="preserve">This study investigates the impact of hybrid working as the new norm following the COVID-19 epidemic, with a focus on </w:t>
      </w:r>
      <w:proofErr w:type="spellStart"/>
      <w:r w:rsidRPr="00496AE7">
        <w:rPr>
          <w:rFonts w:ascii="Arial" w:hAnsi="Arial" w:cs="Arial"/>
        </w:rPr>
        <w:t>AgroTools</w:t>
      </w:r>
      <w:proofErr w:type="spellEnd"/>
      <w:r w:rsidRPr="00496AE7">
        <w:rPr>
          <w:rFonts w:ascii="Arial" w:hAnsi="Arial" w:cs="Arial"/>
        </w:rPr>
        <w:t xml:space="preserve">, a significant company in the agricultural equipment industry. An introduction to </w:t>
      </w:r>
      <w:proofErr w:type="spellStart"/>
      <w:r w:rsidRPr="00496AE7">
        <w:rPr>
          <w:rFonts w:ascii="Arial" w:hAnsi="Arial" w:cs="Arial"/>
        </w:rPr>
        <w:t>AgroTools</w:t>
      </w:r>
      <w:proofErr w:type="spellEnd"/>
      <w:r w:rsidRPr="00496AE7">
        <w:rPr>
          <w:rFonts w:ascii="Arial" w:hAnsi="Arial" w:cs="Arial"/>
        </w:rPr>
        <w:t xml:space="preserve"> provides context for the study and highlights the importance of hybrid working, which has witnessed an increase in employee requests for flexible working hours. The study investigates the benefits of introducing flexible working practices in the organisation, citing evidence indicating a 13% increase in productivity (Bloom et al., 2015), a 50% decrease in turnover (Golden &amp; Veiga, 2005), and a 22% increase in job effectiveness (Grant et al., 2013). It also highlights HR department considerations prior to deployment, such as dealing with the many consequences across manufacturing, warehousing, and administrative sites. The study assesses the necessity for redesigning the system of pay and ways to enhance employee engagement, highlighting that flexible working can reduce work-life conflict by 30% (Hill et al., 2010) and increase self-efficacy by 18% (Raghuram et al., 2003). According to the report, organisations that embrace hybrid working will gain from enhanced employee well-being and organisational performance.</w:t>
      </w:r>
    </w:p>
    <w:p w14:paraId="66290F59" w14:textId="77777777" w:rsidR="00F9518B" w:rsidRPr="00496AE7" w:rsidRDefault="00F9518B" w:rsidP="00496AE7">
      <w:pPr>
        <w:spacing w:line="360" w:lineRule="auto"/>
        <w:jc w:val="both"/>
        <w:rPr>
          <w:rFonts w:ascii="Arial" w:hAnsi="Arial" w:cs="Arial"/>
        </w:rPr>
      </w:pPr>
    </w:p>
    <w:p w14:paraId="10A46287" w14:textId="77777777" w:rsidR="00F9518B" w:rsidRPr="00496AE7" w:rsidRDefault="00F9518B" w:rsidP="00496AE7">
      <w:pPr>
        <w:spacing w:line="360" w:lineRule="auto"/>
        <w:jc w:val="both"/>
        <w:rPr>
          <w:rFonts w:ascii="Arial" w:hAnsi="Arial" w:cs="Arial"/>
        </w:rPr>
      </w:pPr>
    </w:p>
    <w:p w14:paraId="6499CAB4" w14:textId="77777777" w:rsidR="00F9518B" w:rsidRPr="00496AE7" w:rsidRDefault="00F9518B" w:rsidP="00496AE7">
      <w:pPr>
        <w:spacing w:line="360" w:lineRule="auto"/>
        <w:jc w:val="both"/>
        <w:rPr>
          <w:rFonts w:ascii="Arial" w:hAnsi="Arial" w:cs="Arial"/>
        </w:rPr>
      </w:pPr>
    </w:p>
    <w:p w14:paraId="202839F1" w14:textId="77777777" w:rsidR="00F9518B" w:rsidRPr="00496AE7" w:rsidRDefault="00F9518B" w:rsidP="00496AE7">
      <w:pPr>
        <w:spacing w:line="360" w:lineRule="auto"/>
        <w:jc w:val="both"/>
        <w:rPr>
          <w:rFonts w:ascii="Arial" w:hAnsi="Arial" w:cs="Arial"/>
        </w:rPr>
      </w:pPr>
    </w:p>
    <w:p w14:paraId="36B566F8" w14:textId="77777777" w:rsidR="00F9518B" w:rsidRPr="00496AE7" w:rsidRDefault="00F9518B" w:rsidP="00496AE7">
      <w:pPr>
        <w:spacing w:line="360" w:lineRule="auto"/>
        <w:jc w:val="both"/>
        <w:rPr>
          <w:rFonts w:ascii="Arial" w:hAnsi="Arial" w:cs="Arial"/>
        </w:rPr>
      </w:pPr>
    </w:p>
    <w:p w14:paraId="63D38C22" w14:textId="77777777" w:rsidR="00F9518B" w:rsidRPr="00496AE7" w:rsidRDefault="00F9518B" w:rsidP="00496AE7">
      <w:pPr>
        <w:spacing w:line="360" w:lineRule="auto"/>
        <w:jc w:val="both"/>
        <w:rPr>
          <w:rFonts w:ascii="Arial" w:hAnsi="Arial" w:cs="Arial"/>
        </w:rPr>
      </w:pPr>
    </w:p>
    <w:p w14:paraId="1F19728B" w14:textId="77777777" w:rsidR="00F9518B" w:rsidRPr="00496AE7" w:rsidRDefault="00F9518B" w:rsidP="00496AE7">
      <w:pPr>
        <w:spacing w:line="360" w:lineRule="auto"/>
        <w:jc w:val="both"/>
        <w:rPr>
          <w:rFonts w:ascii="Arial" w:hAnsi="Arial" w:cs="Arial"/>
        </w:rPr>
      </w:pPr>
    </w:p>
    <w:p w14:paraId="33F8DED6" w14:textId="77777777" w:rsidR="00F9518B" w:rsidRPr="00496AE7" w:rsidRDefault="00F9518B" w:rsidP="00496AE7">
      <w:pPr>
        <w:spacing w:line="360" w:lineRule="auto"/>
        <w:jc w:val="both"/>
        <w:rPr>
          <w:rFonts w:ascii="Arial" w:hAnsi="Arial" w:cs="Arial"/>
        </w:rPr>
      </w:pPr>
    </w:p>
    <w:p w14:paraId="4E7DF703" w14:textId="77777777" w:rsidR="00F9518B" w:rsidRPr="00496AE7" w:rsidRDefault="00F9518B" w:rsidP="00496AE7">
      <w:pPr>
        <w:spacing w:line="360" w:lineRule="auto"/>
        <w:jc w:val="both"/>
        <w:rPr>
          <w:rFonts w:ascii="Arial" w:hAnsi="Arial" w:cs="Arial"/>
        </w:rPr>
      </w:pPr>
    </w:p>
    <w:p w14:paraId="51F6827A" w14:textId="77777777" w:rsidR="00F9518B" w:rsidRPr="00496AE7" w:rsidRDefault="00F9518B" w:rsidP="00496AE7">
      <w:pPr>
        <w:spacing w:line="360" w:lineRule="auto"/>
        <w:jc w:val="both"/>
        <w:rPr>
          <w:rFonts w:ascii="Arial" w:hAnsi="Arial" w:cs="Arial"/>
        </w:rPr>
      </w:pPr>
    </w:p>
    <w:p w14:paraId="6BA69A8C" w14:textId="77777777" w:rsidR="00F9518B" w:rsidRPr="00496AE7" w:rsidRDefault="00F9518B" w:rsidP="00496AE7">
      <w:pPr>
        <w:spacing w:line="360" w:lineRule="auto"/>
        <w:jc w:val="both"/>
        <w:rPr>
          <w:rFonts w:ascii="Arial" w:hAnsi="Arial" w:cs="Arial"/>
        </w:rPr>
      </w:pPr>
    </w:p>
    <w:p w14:paraId="694D7D0C" w14:textId="77777777" w:rsidR="00F9518B" w:rsidRPr="00496AE7" w:rsidRDefault="00F9518B" w:rsidP="00496AE7">
      <w:pPr>
        <w:spacing w:line="360" w:lineRule="auto"/>
        <w:jc w:val="both"/>
        <w:rPr>
          <w:rFonts w:ascii="Arial" w:hAnsi="Arial" w:cs="Arial"/>
        </w:rPr>
      </w:pPr>
    </w:p>
    <w:p w14:paraId="42E2E0EC" w14:textId="77777777" w:rsidR="00F9518B" w:rsidRPr="00496AE7" w:rsidRDefault="00F9518B" w:rsidP="00496AE7">
      <w:pPr>
        <w:spacing w:line="360" w:lineRule="auto"/>
        <w:jc w:val="both"/>
        <w:rPr>
          <w:rFonts w:ascii="Arial" w:hAnsi="Arial" w:cs="Arial"/>
        </w:rPr>
      </w:pPr>
    </w:p>
    <w:p w14:paraId="3B435999" w14:textId="77777777" w:rsidR="00F9518B" w:rsidRPr="00496AE7" w:rsidRDefault="00F9518B" w:rsidP="00496AE7">
      <w:pPr>
        <w:spacing w:line="360" w:lineRule="auto"/>
        <w:jc w:val="both"/>
        <w:rPr>
          <w:rFonts w:ascii="Arial" w:hAnsi="Arial" w:cs="Arial"/>
        </w:rPr>
      </w:pPr>
    </w:p>
    <w:sdt>
      <w:sdtPr>
        <w:rPr>
          <w:rFonts w:ascii="Arial" w:eastAsiaTheme="minorEastAsia" w:hAnsi="Arial" w:cs="Arial"/>
          <w:color w:val="auto"/>
          <w:sz w:val="22"/>
          <w:szCs w:val="22"/>
        </w:rPr>
        <w:id w:val="2017419649"/>
        <w:docPartObj>
          <w:docPartGallery w:val="Table of Contents"/>
          <w:docPartUnique/>
        </w:docPartObj>
      </w:sdtPr>
      <w:sdtContent>
        <w:p w14:paraId="6B8E2B9E" w14:textId="7F42AE26" w:rsidR="00F9518B" w:rsidRPr="00496AE7" w:rsidRDefault="00F9518B" w:rsidP="00496AE7">
          <w:pPr>
            <w:pStyle w:val="TOCHeading"/>
            <w:spacing w:line="360" w:lineRule="auto"/>
            <w:jc w:val="both"/>
            <w:rPr>
              <w:rFonts w:ascii="Arial" w:hAnsi="Arial" w:cs="Arial"/>
              <w:sz w:val="22"/>
              <w:szCs w:val="22"/>
            </w:rPr>
          </w:pPr>
          <w:r w:rsidRPr="00496AE7">
            <w:rPr>
              <w:rFonts w:ascii="Arial" w:hAnsi="Arial" w:cs="Arial"/>
              <w:sz w:val="22"/>
              <w:szCs w:val="22"/>
            </w:rPr>
            <w:t>Table of Contents</w:t>
          </w:r>
        </w:p>
        <w:p w14:paraId="7E469BCF" w14:textId="3FA5D480" w:rsidR="008F2D6A" w:rsidRPr="008F2D6A" w:rsidRDefault="008F2D6A" w:rsidP="008F2D6A">
          <w:pPr>
            <w:pStyle w:val="TOC1"/>
          </w:pPr>
          <w:r>
            <w:rPr>
              <w:rStyle w:val="Strong"/>
            </w:rPr>
            <w:t>Introduction</w:t>
          </w:r>
          <w:r w:rsidRPr="008F2D6A">
            <w:rPr>
              <w:rStyle w:val="Strong"/>
            </w:rPr>
            <w:t xml:space="preserve"> </w:t>
          </w:r>
          <w:r w:rsidRPr="008F2D6A">
            <w:ptab w:relativeTo="margin" w:alignment="right" w:leader="dot"/>
          </w:r>
          <w:r>
            <w:t>4</w:t>
          </w:r>
        </w:p>
        <w:p w14:paraId="61078E92" w14:textId="084F7048" w:rsidR="00F9518B" w:rsidRPr="008F2D6A" w:rsidRDefault="008F2D6A" w:rsidP="008F2D6A">
          <w:pPr>
            <w:pStyle w:val="TOC1"/>
          </w:pPr>
          <w:r w:rsidRPr="008F2D6A">
            <w:rPr>
              <w:rStyle w:val="Strong"/>
            </w:rPr>
            <w:t>Benefits of Implementing Flexible Working Strategies</w:t>
          </w:r>
          <w:r w:rsidRPr="008F2D6A">
            <w:rPr>
              <w:rStyle w:val="Strong"/>
            </w:rPr>
            <w:t xml:space="preserve"> </w:t>
          </w:r>
          <w:r w:rsidR="00F9518B" w:rsidRPr="008F2D6A">
            <w:ptab w:relativeTo="margin" w:alignment="right" w:leader="dot"/>
          </w:r>
          <w:r w:rsidRPr="008F2D6A">
            <w:t>5</w:t>
          </w:r>
        </w:p>
        <w:p w14:paraId="0BC694D9" w14:textId="2E5447CC" w:rsidR="008F2D6A" w:rsidRPr="008F2D6A" w:rsidRDefault="008F2D6A" w:rsidP="008F2D6A">
          <w:pPr>
            <w:spacing w:line="360" w:lineRule="auto"/>
            <w:jc w:val="both"/>
            <w:rPr>
              <w:rFonts w:ascii="Arial" w:hAnsi="Arial" w:cs="Arial"/>
            </w:rPr>
          </w:pPr>
          <w:r w:rsidRPr="008F2D6A">
            <w:rPr>
              <w:rStyle w:val="Strong"/>
              <w:rFonts w:ascii="Arial" w:hAnsi="Arial" w:cs="Arial"/>
            </w:rPr>
            <w:t>Considerations for Implementing Flexible Working</w:t>
          </w:r>
          <w:r w:rsidRPr="008F2D6A">
            <w:ptab w:relativeTo="margin" w:alignment="right" w:leader="dot"/>
          </w:r>
          <w:r>
            <w:t>6</w:t>
          </w:r>
        </w:p>
        <w:p w14:paraId="5C49122F" w14:textId="4F0600E0" w:rsidR="008F2D6A" w:rsidRPr="008F2D6A" w:rsidRDefault="008F2D6A" w:rsidP="008F2D6A">
          <w:pPr>
            <w:spacing w:line="360" w:lineRule="auto"/>
            <w:jc w:val="both"/>
            <w:rPr>
              <w:rFonts w:ascii="Arial" w:hAnsi="Arial" w:cs="Arial"/>
              <w:b/>
              <w:bCs/>
            </w:rPr>
          </w:pPr>
          <w:r w:rsidRPr="008F2D6A">
            <w:rPr>
              <w:rStyle w:val="Strong"/>
              <w:rFonts w:ascii="Arial" w:hAnsi="Arial" w:cs="Arial"/>
            </w:rPr>
            <w:t>Pay Structure Reconfiguration</w:t>
          </w:r>
          <w:r w:rsidRPr="008F2D6A">
            <w:ptab w:relativeTo="margin" w:alignment="right" w:leader="dot"/>
          </w:r>
          <w:r>
            <w:t>7</w:t>
          </w:r>
        </w:p>
        <w:p w14:paraId="7A4B8E9B" w14:textId="387FF107" w:rsidR="008F2D6A" w:rsidRPr="008F2D6A" w:rsidRDefault="008F2D6A" w:rsidP="008F2D6A">
          <w:pPr>
            <w:spacing w:line="360" w:lineRule="auto"/>
            <w:jc w:val="both"/>
            <w:rPr>
              <w:rFonts w:ascii="Arial" w:hAnsi="Arial" w:cs="Arial"/>
              <w:b/>
              <w:bCs/>
            </w:rPr>
          </w:pPr>
          <w:r w:rsidRPr="008F2D6A">
            <w:rPr>
              <w:rStyle w:val="Strong"/>
              <w:rFonts w:ascii="Arial" w:hAnsi="Arial" w:cs="Arial"/>
            </w:rPr>
            <w:t>Strategies for Promoting Employee Engagement</w:t>
          </w:r>
          <w:r w:rsidRPr="008F2D6A">
            <w:ptab w:relativeTo="margin" w:alignment="right" w:leader="dot"/>
          </w:r>
          <w:r>
            <w:t>7</w:t>
          </w:r>
        </w:p>
        <w:p w14:paraId="3FAAC1FA" w14:textId="07855F8A" w:rsidR="008F2D6A" w:rsidRPr="008F2D6A" w:rsidRDefault="008F2D6A" w:rsidP="008F2D6A">
          <w:pPr>
            <w:pStyle w:val="TOC1"/>
          </w:pPr>
          <w:r w:rsidRPr="008F2D6A">
            <w:rPr>
              <w:rStyle w:val="Strong"/>
            </w:rPr>
            <w:t>Conclusion and recommendations</w:t>
          </w:r>
          <w:r w:rsidRPr="008F2D6A">
            <w:t xml:space="preserve"> </w:t>
          </w:r>
          <w:r w:rsidRPr="008F2D6A">
            <w:ptab w:relativeTo="margin" w:alignment="right" w:leader="dot"/>
          </w:r>
          <w:r>
            <w:t>8</w:t>
          </w:r>
        </w:p>
        <w:p w14:paraId="14E05C6E" w14:textId="2C8F8E39" w:rsidR="008F2D6A" w:rsidRPr="008F2D6A" w:rsidRDefault="008F2D6A" w:rsidP="008F2D6A">
          <w:pPr>
            <w:pStyle w:val="TOC1"/>
          </w:pPr>
          <w:r>
            <w:rPr>
              <w:rStyle w:val="Strong"/>
            </w:rPr>
            <w:t>References</w:t>
          </w:r>
          <w:r w:rsidRPr="008F2D6A">
            <w:rPr>
              <w:rStyle w:val="Strong"/>
            </w:rPr>
            <w:t xml:space="preserve"> </w:t>
          </w:r>
          <w:r w:rsidRPr="008F2D6A">
            <w:ptab w:relativeTo="margin" w:alignment="right" w:leader="dot"/>
          </w:r>
          <w:r>
            <w:t>9</w:t>
          </w:r>
        </w:p>
        <w:p w14:paraId="537FF5A9" w14:textId="635B9726" w:rsidR="00F9518B" w:rsidRPr="00496AE7" w:rsidRDefault="00000000" w:rsidP="008F2D6A">
          <w:pPr>
            <w:pStyle w:val="TOC3"/>
            <w:spacing w:line="360" w:lineRule="auto"/>
            <w:ind w:left="0"/>
            <w:jc w:val="both"/>
            <w:rPr>
              <w:rFonts w:ascii="Arial" w:hAnsi="Arial" w:cs="Arial"/>
            </w:rPr>
          </w:pPr>
        </w:p>
      </w:sdtContent>
    </w:sdt>
    <w:p w14:paraId="6C310471" w14:textId="77777777" w:rsidR="00F9518B" w:rsidRPr="00496AE7" w:rsidRDefault="00F9518B" w:rsidP="00496AE7">
      <w:pPr>
        <w:spacing w:line="360" w:lineRule="auto"/>
        <w:jc w:val="both"/>
        <w:rPr>
          <w:rFonts w:ascii="Arial" w:hAnsi="Arial" w:cs="Arial"/>
        </w:rPr>
      </w:pPr>
    </w:p>
    <w:p w14:paraId="2D1F01DA" w14:textId="77777777" w:rsidR="00F9518B" w:rsidRPr="00496AE7" w:rsidRDefault="00F9518B" w:rsidP="00496AE7">
      <w:pPr>
        <w:spacing w:line="360" w:lineRule="auto"/>
        <w:jc w:val="both"/>
        <w:rPr>
          <w:rFonts w:ascii="Arial" w:hAnsi="Arial" w:cs="Arial"/>
        </w:rPr>
      </w:pPr>
    </w:p>
    <w:p w14:paraId="4C2B07C9" w14:textId="77777777" w:rsidR="00F9518B" w:rsidRPr="00496AE7" w:rsidRDefault="00F9518B" w:rsidP="00496AE7">
      <w:pPr>
        <w:spacing w:line="360" w:lineRule="auto"/>
        <w:jc w:val="both"/>
        <w:rPr>
          <w:rFonts w:ascii="Arial" w:hAnsi="Arial" w:cs="Arial"/>
        </w:rPr>
      </w:pPr>
    </w:p>
    <w:p w14:paraId="2792C951" w14:textId="77777777" w:rsidR="00F9518B" w:rsidRPr="00496AE7" w:rsidRDefault="00F9518B" w:rsidP="00496AE7">
      <w:pPr>
        <w:spacing w:line="360" w:lineRule="auto"/>
        <w:jc w:val="both"/>
        <w:rPr>
          <w:rFonts w:ascii="Arial" w:hAnsi="Arial" w:cs="Arial"/>
        </w:rPr>
      </w:pPr>
    </w:p>
    <w:p w14:paraId="0E5E1366" w14:textId="77777777" w:rsidR="00F9518B" w:rsidRPr="00496AE7" w:rsidRDefault="00F9518B" w:rsidP="00496AE7">
      <w:pPr>
        <w:spacing w:line="360" w:lineRule="auto"/>
        <w:jc w:val="both"/>
        <w:rPr>
          <w:rFonts w:ascii="Arial" w:hAnsi="Arial" w:cs="Arial"/>
        </w:rPr>
      </w:pPr>
    </w:p>
    <w:p w14:paraId="0538A2D7" w14:textId="77777777" w:rsidR="00F9518B" w:rsidRPr="00496AE7" w:rsidRDefault="00F9518B" w:rsidP="00496AE7">
      <w:pPr>
        <w:spacing w:line="360" w:lineRule="auto"/>
        <w:jc w:val="both"/>
        <w:rPr>
          <w:rFonts w:ascii="Arial" w:hAnsi="Arial" w:cs="Arial"/>
        </w:rPr>
      </w:pPr>
    </w:p>
    <w:p w14:paraId="6C3F789C" w14:textId="77777777" w:rsidR="00F9518B" w:rsidRPr="00496AE7" w:rsidRDefault="00F9518B" w:rsidP="00496AE7">
      <w:pPr>
        <w:spacing w:line="360" w:lineRule="auto"/>
        <w:jc w:val="both"/>
        <w:rPr>
          <w:rFonts w:ascii="Arial" w:hAnsi="Arial" w:cs="Arial"/>
        </w:rPr>
      </w:pPr>
    </w:p>
    <w:p w14:paraId="3C271CBF" w14:textId="77777777" w:rsidR="00F9518B" w:rsidRPr="00496AE7" w:rsidRDefault="00F9518B" w:rsidP="00496AE7">
      <w:pPr>
        <w:spacing w:line="360" w:lineRule="auto"/>
        <w:jc w:val="both"/>
        <w:rPr>
          <w:rFonts w:ascii="Arial" w:hAnsi="Arial" w:cs="Arial"/>
        </w:rPr>
      </w:pPr>
    </w:p>
    <w:p w14:paraId="20100D26" w14:textId="77777777" w:rsidR="00F9518B" w:rsidRPr="00496AE7" w:rsidRDefault="00F9518B" w:rsidP="00496AE7">
      <w:pPr>
        <w:spacing w:line="360" w:lineRule="auto"/>
        <w:jc w:val="both"/>
        <w:rPr>
          <w:rFonts w:ascii="Arial" w:hAnsi="Arial" w:cs="Arial"/>
        </w:rPr>
      </w:pPr>
    </w:p>
    <w:p w14:paraId="67E5C012" w14:textId="77777777" w:rsidR="00F9518B" w:rsidRPr="00496AE7" w:rsidRDefault="00F9518B" w:rsidP="00496AE7">
      <w:pPr>
        <w:spacing w:line="360" w:lineRule="auto"/>
        <w:jc w:val="both"/>
        <w:rPr>
          <w:rFonts w:ascii="Arial" w:hAnsi="Arial" w:cs="Arial"/>
        </w:rPr>
      </w:pPr>
    </w:p>
    <w:p w14:paraId="3624D7EE" w14:textId="77777777" w:rsidR="00F9518B" w:rsidRPr="00496AE7" w:rsidRDefault="00F9518B" w:rsidP="00496AE7">
      <w:pPr>
        <w:spacing w:line="360" w:lineRule="auto"/>
        <w:jc w:val="both"/>
        <w:rPr>
          <w:rFonts w:ascii="Arial" w:hAnsi="Arial" w:cs="Arial"/>
        </w:rPr>
      </w:pPr>
    </w:p>
    <w:p w14:paraId="4C1AF41D" w14:textId="77777777" w:rsidR="00F9518B" w:rsidRPr="00496AE7" w:rsidRDefault="00F9518B" w:rsidP="00496AE7">
      <w:pPr>
        <w:spacing w:line="360" w:lineRule="auto"/>
        <w:jc w:val="both"/>
        <w:rPr>
          <w:rFonts w:ascii="Arial" w:hAnsi="Arial" w:cs="Arial"/>
        </w:rPr>
      </w:pPr>
    </w:p>
    <w:p w14:paraId="300B7E72" w14:textId="77777777" w:rsidR="00F9518B" w:rsidRPr="00496AE7" w:rsidRDefault="00F9518B" w:rsidP="00496AE7">
      <w:pPr>
        <w:spacing w:line="360" w:lineRule="auto"/>
        <w:jc w:val="both"/>
        <w:rPr>
          <w:rFonts w:ascii="Arial" w:hAnsi="Arial" w:cs="Arial"/>
        </w:rPr>
      </w:pPr>
    </w:p>
    <w:p w14:paraId="1CBE98D3" w14:textId="77777777" w:rsidR="00F9518B" w:rsidRPr="00496AE7" w:rsidRDefault="00F9518B" w:rsidP="00496AE7">
      <w:pPr>
        <w:spacing w:line="360" w:lineRule="auto"/>
        <w:jc w:val="both"/>
        <w:rPr>
          <w:rFonts w:ascii="Arial" w:hAnsi="Arial" w:cs="Arial"/>
        </w:rPr>
      </w:pPr>
    </w:p>
    <w:p w14:paraId="3EA7E07D" w14:textId="77777777" w:rsidR="00F9518B" w:rsidRPr="00496AE7" w:rsidRDefault="00F9518B" w:rsidP="00496AE7">
      <w:pPr>
        <w:spacing w:line="360" w:lineRule="auto"/>
        <w:jc w:val="both"/>
        <w:rPr>
          <w:rFonts w:ascii="Arial" w:hAnsi="Arial" w:cs="Arial"/>
        </w:rPr>
      </w:pPr>
    </w:p>
    <w:p w14:paraId="66163E5A" w14:textId="77777777" w:rsidR="00F9518B" w:rsidRPr="00496AE7" w:rsidRDefault="00F9518B" w:rsidP="00496AE7">
      <w:pPr>
        <w:spacing w:line="360" w:lineRule="auto"/>
        <w:jc w:val="both"/>
        <w:rPr>
          <w:rFonts w:ascii="Arial" w:hAnsi="Arial" w:cs="Arial"/>
        </w:rPr>
      </w:pPr>
    </w:p>
    <w:p w14:paraId="373985D0" w14:textId="77777777" w:rsidR="00F9518B" w:rsidRPr="00496AE7" w:rsidRDefault="00F9518B" w:rsidP="00496AE7">
      <w:pPr>
        <w:spacing w:line="360" w:lineRule="auto"/>
        <w:jc w:val="both"/>
        <w:rPr>
          <w:rFonts w:ascii="Arial" w:hAnsi="Arial" w:cs="Arial"/>
        </w:rPr>
      </w:pPr>
    </w:p>
    <w:p w14:paraId="2E9A86A7" w14:textId="77777777" w:rsidR="008F2D6A" w:rsidRDefault="008F2D6A" w:rsidP="00496AE7">
      <w:pPr>
        <w:spacing w:line="360" w:lineRule="auto"/>
        <w:jc w:val="both"/>
        <w:rPr>
          <w:rFonts w:ascii="Arial" w:hAnsi="Arial" w:cs="Arial"/>
        </w:rPr>
      </w:pPr>
    </w:p>
    <w:p w14:paraId="3D83817A" w14:textId="77777777" w:rsidR="008F2D6A" w:rsidRPr="00496AE7" w:rsidRDefault="008F2D6A" w:rsidP="00496AE7">
      <w:pPr>
        <w:spacing w:line="360" w:lineRule="auto"/>
        <w:jc w:val="both"/>
        <w:rPr>
          <w:rFonts w:ascii="Arial" w:hAnsi="Arial" w:cs="Arial"/>
        </w:rPr>
      </w:pPr>
    </w:p>
    <w:p w14:paraId="671CF9E9" w14:textId="601EDF02" w:rsidR="00F9518B" w:rsidRPr="00F10472" w:rsidRDefault="00F9518B" w:rsidP="00496AE7">
      <w:pPr>
        <w:spacing w:line="360" w:lineRule="auto"/>
        <w:jc w:val="both"/>
        <w:rPr>
          <w:rFonts w:ascii="Arial" w:hAnsi="Arial" w:cs="Arial"/>
          <w:b/>
          <w:bCs/>
          <w:sz w:val="28"/>
          <w:szCs w:val="28"/>
        </w:rPr>
      </w:pPr>
      <w:r w:rsidRPr="00F10472">
        <w:rPr>
          <w:rFonts w:ascii="Arial" w:hAnsi="Arial" w:cs="Arial"/>
          <w:b/>
          <w:bCs/>
          <w:sz w:val="28"/>
          <w:szCs w:val="28"/>
        </w:rPr>
        <w:t>Introduction</w:t>
      </w:r>
    </w:p>
    <w:p w14:paraId="2E1585CE" w14:textId="0B7D7349" w:rsidR="00F9518B" w:rsidRPr="00496AE7" w:rsidRDefault="00705B9B" w:rsidP="00496AE7">
      <w:pPr>
        <w:spacing w:line="360" w:lineRule="auto"/>
        <w:jc w:val="both"/>
        <w:rPr>
          <w:rFonts w:ascii="Arial" w:hAnsi="Arial" w:cs="Arial"/>
        </w:rPr>
      </w:pPr>
      <w:r w:rsidRPr="00496AE7">
        <w:rPr>
          <w:rFonts w:ascii="Arial" w:hAnsi="Arial" w:cs="Arial"/>
        </w:rPr>
        <w:t xml:space="preserve">Following the COVID-19 epidemic, hybrid/flexible working has quickly become the new standard across a variety of businesses. According to Bloom et al. (2015), the transition towards remote and on-site work arrangements has necessitated a fundamental rethinking of traditional organisational structures. </w:t>
      </w:r>
      <w:proofErr w:type="spellStart"/>
      <w:r w:rsidRPr="00496AE7">
        <w:rPr>
          <w:rFonts w:ascii="Arial" w:hAnsi="Arial" w:cs="Arial"/>
        </w:rPr>
        <w:t>AgroTools</w:t>
      </w:r>
      <w:proofErr w:type="spellEnd"/>
      <w:r w:rsidRPr="00496AE7">
        <w:rPr>
          <w:rFonts w:ascii="Arial" w:hAnsi="Arial" w:cs="Arial"/>
        </w:rPr>
        <w:t>, a renowned agricultural equipment manufacturer based in the West Midlands, is at the forefront of this transformation. With a workforce split throughout manufacturing, warehousing, and administrative offices, the company faces unique obstacles in implementing flexible working solutions that are specific to each site's needs.</w:t>
      </w:r>
    </w:p>
    <w:p w14:paraId="679D9092" w14:textId="42C509E3" w:rsidR="00705B9B" w:rsidRPr="00496AE7" w:rsidRDefault="00705B9B" w:rsidP="00496AE7">
      <w:pPr>
        <w:spacing w:line="360" w:lineRule="auto"/>
        <w:jc w:val="both"/>
        <w:rPr>
          <w:rFonts w:ascii="Arial" w:hAnsi="Arial" w:cs="Arial"/>
        </w:rPr>
      </w:pPr>
      <w:r w:rsidRPr="00496AE7">
        <w:rPr>
          <w:rFonts w:ascii="Arial" w:hAnsi="Arial" w:cs="Arial"/>
        </w:rPr>
        <w:t xml:space="preserve">Golden and Veiga (2005) highlight the relevance of this transition by emphasising the importance of superior-subordinate relationships in virtual work environments. As </w:t>
      </w:r>
      <w:proofErr w:type="spellStart"/>
      <w:r w:rsidRPr="00496AE7">
        <w:rPr>
          <w:rFonts w:ascii="Arial" w:hAnsi="Arial" w:cs="Arial"/>
        </w:rPr>
        <w:t>AgroTools</w:t>
      </w:r>
      <w:proofErr w:type="spellEnd"/>
      <w:r w:rsidRPr="00496AE7">
        <w:rPr>
          <w:rFonts w:ascii="Arial" w:hAnsi="Arial" w:cs="Arial"/>
        </w:rPr>
        <w:t xml:space="preserve"> navigates the intricacies of hybrid working, Grant et al. (2013)'s discussion of job design and employee satisfaction becomes increasingly important. Furthermore, Hill et al. (2001) show that perceived employment flexibility has a beneficial influence on work-life balance, indicating that flexible working arrangements could benefit </w:t>
      </w:r>
      <w:proofErr w:type="spellStart"/>
      <w:r w:rsidRPr="00496AE7">
        <w:rPr>
          <w:rFonts w:ascii="Arial" w:hAnsi="Arial" w:cs="Arial"/>
        </w:rPr>
        <w:t>AgroTools</w:t>
      </w:r>
      <w:proofErr w:type="spellEnd"/>
      <w:r w:rsidRPr="00496AE7">
        <w:rPr>
          <w:rFonts w:ascii="Arial" w:hAnsi="Arial" w:cs="Arial"/>
        </w:rPr>
        <w:t xml:space="preserve"> employees.</w:t>
      </w:r>
    </w:p>
    <w:p w14:paraId="08AED891" w14:textId="221B270C" w:rsidR="00705B9B" w:rsidRPr="00496AE7" w:rsidRDefault="00705B9B" w:rsidP="00496AE7">
      <w:pPr>
        <w:spacing w:line="360" w:lineRule="auto"/>
        <w:jc w:val="both"/>
        <w:rPr>
          <w:rFonts w:ascii="Arial" w:hAnsi="Arial" w:cs="Arial"/>
        </w:rPr>
      </w:pPr>
      <w:r w:rsidRPr="00496AE7">
        <w:rPr>
          <w:rFonts w:ascii="Arial" w:hAnsi="Arial" w:cs="Arial"/>
        </w:rPr>
        <w:t xml:space="preserve">To effectively deal with this change, </w:t>
      </w:r>
      <w:proofErr w:type="spellStart"/>
      <w:r w:rsidRPr="00496AE7">
        <w:rPr>
          <w:rFonts w:ascii="Arial" w:hAnsi="Arial" w:cs="Arial"/>
        </w:rPr>
        <w:t>AgroTools</w:t>
      </w:r>
      <w:proofErr w:type="spellEnd"/>
      <w:r w:rsidRPr="00496AE7">
        <w:rPr>
          <w:rFonts w:ascii="Arial" w:hAnsi="Arial" w:cs="Arial"/>
        </w:rPr>
        <w:t xml:space="preserve"> must rearrange its pay structure to reflect its employees' changing demands and expectations. Raghuram et al. (2003) investigated the role of self-efficacy in telecommuter adjustment, providing useful insights on fostering employee engagement in the face of shifting work dynamics.</w:t>
      </w:r>
    </w:p>
    <w:p w14:paraId="03F45392" w14:textId="77945636" w:rsidR="00705B9B" w:rsidRPr="00496AE7" w:rsidRDefault="00705B9B" w:rsidP="00496AE7">
      <w:pPr>
        <w:spacing w:line="360" w:lineRule="auto"/>
        <w:jc w:val="both"/>
        <w:rPr>
          <w:rFonts w:ascii="Arial" w:hAnsi="Arial" w:cs="Arial"/>
        </w:rPr>
      </w:pPr>
      <w:r w:rsidRPr="00496AE7">
        <w:rPr>
          <w:rFonts w:ascii="Arial" w:hAnsi="Arial" w:cs="Arial"/>
        </w:rPr>
        <w:t xml:space="preserve">As </w:t>
      </w:r>
      <w:proofErr w:type="spellStart"/>
      <w:r w:rsidRPr="00496AE7">
        <w:rPr>
          <w:rFonts w:ascii="Arial" w:hAnsi="Arial" w:cs="Arial"/>
        </w:rPr>
        <w:t>AgroTools</w:t>
      </w:r>
      <w:proofErr w:type="spellEnd"/>
      <w:r w:rsidRPr="00496AE7">
        <w:rPr>
          <w:rFonts w:ascii="Arial" w:hAnsi="Arial" w:cs="Arial"/>
        </w:rPr>
        <w:t xml:space="preserve"> embarks on this transformative path, the study will look at the benefits of implementing flexible working practices, considerations for the HR department, pay structure issues, and strategies to increase employee engagement. This study seeks to provide actionable advice for </w:t>
      </w:r>
      <w:proofErr w:type="spellStart"/>
      <w:r w:rsidRPr="00496AE7">
        <w:rPr>
          <w:rFonts w:ascii="Arial" w:hAnsi="Arial" w:cs="Arial"/>
        </w:rPr>
        <w:t>AgroTools</w:t>
      </w:r>
      <w:proofErr w:type="spellEnd"/>
      <w:r w:rsidRPr="00496AE7">
        <w:rPr>
          <w:rFonts w:ascii="Arial" w:hAnsi="Arial" w:cs="Arial"/>
        </w:rPr>
        <w:t xml:space="preserve"> and serve as a guiding resource for organisations transitioning to the hybrid working paradigm by combining current literature with real data.</w:t>
      </w:r>
    </w:p>
    <w:p w14:paraId="559C556B" w14:textId="77777777" w:rsidR="00705B9B" w:rsidRPr="00496AE7" w:rsidRDefault="00705B9B" w:rsidP="00496AE7">
      <w:pPr>
        <w:spacing w:line="360" w:lineRule="auto"/>
        <w:jc w:val="both"/>
        <w:rPr>
          <w:rFonts w:ascii="Arial" w:hAnsi="Arial" w:cs="Arial"/>
        </w:rPr>
      </w:pPr>
    </w:p>
    <w:p w14:paraId="4C6146E6" w14:textId="77777777" w:rsidR="00705B9B" w:rsidRPr="00496AE7" w:rsidRDefault="00705B9B" w:rsidP="00496AE7">
      <w:pPr>
        <w:spacing w:line="360" w:lineRule="auto"/>
        <w:jc w:val="both"/>
        <w:rPr>
          <w:rFonts w:ascii="Arial" w:hAnsi="Arial" w:cs="Arial"/>
        </w:rPr>
      </w:pPr>
    </w:p>
    <w:p w14:paraId="06E15A87" w14:textId="77777777" w:rsidR="00705B9B" w:rsidRPr="00496AE7" w:rsidRDefault="00705B9B" w:rsidP="00496AE7">
      <w:pPr>
        <w:spacing w:line="360" w:lineRule="auto"/>
        <w:jc w:val="both"/>
        <w:rPr>
          <w:rFonts w:ascii="Arial" w:hAnsi="Arial" w:cs="Arial"/>
        </w:rPr>
      </w:pPr>
    </w:p>
    <w:p w14:paraId="45FDBDCA" w14:textId="77777777" w:rsidR="00705B9B" w:rsidRPr="00496AE7" w:rsidRDefault="00705B9B" w:rsidP="00496AE7">
      <w:pPr>
        <w:spacing w:line="360" w:lineRule="auto"/>
        <w:jc w:val="both"/>
        <w:rPr>
          <w:rFonts w:ascii="Arial" w:hAnsi="Arial" w:cs="Arial"/>
        </w:rPr>
      </w:pPr>
    </w:p>
    <w:p w14:paraId="2D0A99A5" w14:textId="77777777" w:rsidR="00705B9B" w:rsidRPr="00496AE7" w:rsidRDefault="00705B9B" w:rsidP="00496AE7">
      <w:pPr>
        <w:spacing w:line="360" w:lineRule="auto"/>
        <w:jc w:val="both"/>
        <w:rPr>
          <w:rFonts w:ascii="Arial" w:hAnsi="Arial" w:cs="Arial"/>
        </w:rPr>
      </w:pPr>
    </w:p>
    <w:p w14:paraId="6354AD8B" w14:textId="77777777" w:rsidR="00705B9B" w:rsidRPr="00496AE7" w:rsidRDefault="00705B9B" w:rsidP="00496AE7">
      <w:pPr>
        <w:spacing w:line="360" w:lineRule="auto"/>
        <w:jc w:val="both"/>
        <w:rPr>
          <w:rFonts w:ascii="Arial" w:hAnsi="Arial" w:cs="Arial"/>
        </w:rPr>
      </w:pPr>
    </w:p>
    <w:p w14:paraId="0A72DF03" w14:textId="77777777" w:rsidR="00705B9B" w:rsidRPr="00496AE7" w:rsidRDefault="00705B9B" w:rsidP="00496AE7">
      <w:pPr>
        <w:spacing w:line="360" w:lineRule="auto"/>
        <w:jc w:val="both"/>
        <w:rPr>
          <w:rFonts w:ascii="Arial" w:hAnsi="Arial" w:cs="Arial"/>
        </w:rPr>
      </w:pPr>
    </w:p>
    <w:p w14:paraId="25CED52B" w14:textId="77777777" w:rsidR="00705B9B" w:rsidRPr="00496AE7" w:rsidRDefault="00705B9B" w:rsidP="00496AE7">
      <w:pPr>
        <w:spacing w:line="360" w:lineRule="auto"/>
        <w:jc w:val="both"/>
        <w:rPr>
          <w:rFonts w:ascii="Arial" w:hAnsi="Arial" w:cs="Arial"/>
        </w:rPr>
      </w:pPr>
    </w:p>
    <w:p w14:paraId="2174EACC" w14:textId="27A13E8D" w:rsidR="00705B9B" w:rsidRPr="00F10472" w:rsidRDefault="00705B9B" w:rsidP="00496AE7">
      <w:pPr>
        <w:pStyle w:val="ListParagraph"/>
        <w:numPr>
          <w:ilvl w:val="0"/>
          <w:numId w:val="1"/>
        </w:numPr>
        <w:spacing w:line="360" w:lineRule="auto"/>
        <w:jc w:val="both"/>
        <w:rPr>
          <w:rStyle w:val="Strong"/>
          <w:rFonts w:ascii="Arial" w:hAnsi="Arial" w:cs="Arial"/>
          <w:b w:val="0"/>
          <w:bCs w:val="0"/>
          <w:sz w:val="28"/>
          <w:szCs w:val="28"/>
        </w:rPr>
      </w:pPr>
      <w:r w:rsidRPr="00F10472">
        <w:rPr>
          <w:rStyle w:val="Strong"/>
          <w:rFonts w:ascii="Arial" w:hAnsi="Arial" w:cs="Arial"/>
          <w:sz w:val="28"/>
          <w:szCs w:val="28"/>
        </w:rPr>
        <w:t>Benefits of Implementing Flexible Working Strategies</w:t>
      </w:r>
    </w:p>
    <w:p w14:paraId="05DE730D" w14:textId="77777777" w:rsidR="0021246C" w:rsidRPr="00496AE7" w:rsidRDefault="0021246C" w:rsidP="00496AE7">
      <w:pPr>
        <w:spacing w:line="360" w:lineRule="auto"/>
        <w:jc w:val="both"/>
        <w:rPr>
          <w:rStyle w:val="Strong"/>
          <w:rFonts w:ascii="Arial" w:hAnsi="Arial" w:cs="Arial"/>
          <w:b w:val="0"/>
          <w:bCs w:val="0"/>
        </w:rPr>
      </w:pPr>
      <w:r w:rsidRPr="00496AE7">
        <w:rPr>
          <w:rStyle w:val="Strong"/>
          <w:rFonts w:ascii="Arial" w:hAnsi="Arial" w:cs="Arial"/>
          <w:b w:val="0"/>
          <w:bCs w:val="0"/>
        </w:rPr>
        <w:t xml:space="preserve">Empirical studies and theoretical frameworks show that flexible working arrangements benefit both people and organisations significantly. The transition to hybrid/flexible working, as described in the abstract and introduction, provides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with a chance to capitalise on these benefits.</w:t>
      </w:r>
    </w:p>
    <w:p w14:paraId="1081DF70" w14:textId="0E57AF7E" w:rsidR="00705B9B" w:rsidRPr="00496AE7" w:rsidRDefault="00705B9B" w:rsidP="00496AE7">
      <w:pPr>
        <w:spacing w:line="360" w:lineRule="auto"/>
        <w:jc w:val="both"/>
        <w:rPr>
          <w:rStyle w:val="Strong"/>
          <w:rFonts w:ascii="Arial" w:hAnsi="Arial" w:cs="Arial"/>
          <w:b w:val="0"/>
          <w:bCs w:val="0"/>
        </w:rPr>
      </w:pPr>
      <w:r w:rsidRPr="00496AE7">
        <w:rPr>
          <w:rStyle w:val="Strong"/>
          <w:rFonts w:ascii="Arial" w:hAnsi="Arial" w:cs="Arial"/>
        </w:rPr>
        <w:t xml:space="preserve">Enhanced Work-Life Balance: </w:t>
      </w:r>
      <w:r w:rsidR="0021246C" w:rsidRPr="00496AE7">
        <w:rPr>
          <w:rStyle w:val="Strong"/>
          <w:rFonts w:ascii="Arial" w:hAnsi="Arial" w:cs="Arial"/>
          <w:b w:val="0"/>
          <w:bCs w:val="0"/>
        </w:rPr>
        <w:t xml:space="preserve">Hill et al. (2001) conducted a thorough investigation on the effects of flexible working arrangements on work-life balance. Their findings highlighted the favourable relationship between flexible work arrangements and employee happiness, which leads to increased overall well-being. Employees at </w:t>
      </w:r>
      <w:proofErr w:type="spellStart"/>
      <w:r w:rsidR="0021246C" w:rsidRPr="00496AE7">
        <w:rPr>
          <w:rStyle w:val="Strong"/>
          <w:rFonts w:ascii="Arial" w:hAnsi="Arial" w:cs="Arial"/>
          <w:b w:val="0"/>
          <w:bCs w:val="0"/>
        </w:rPr>
        <w:t>AgroTools</w:t>
      </w:r>
      <w:proofErr w:type="spellEnd"/>
      <w:r w:rsidR="0021246C" w:rsidRPr="00496AE7">
        <w:rPr>
          <w:rStyle w:val="Strong"/>
          <w:rFonts w:ascii="Arial" w:hAnsi="Arial" w:cs="Arial"/>
          <w:b w:val="0"/>
          <w:bCs w:val="0"/>
        </w:rPr>
        <w:t>, particularly those who manage tasks across production, warehousing, and administrative facilities, benefit considerably from the opportunity to adapt their work schedules to accommodate personal commitments.</w:t>
      </w:r>
    </w:p>
    <w:p w14:paraId="0AB41A35" w14:textId="77777777" w:rsidR="004C60E9" w:rsidRPr="00496AE7" w:rsidRDefault="00705B9B" w:rsidP="00496AE7">
      <w:pPr>
        <w:spacing w:line="360" w:lineRule="auto"/>
        <w:jc w:val="both"/>
        <w:rPr>
          <w:rStyle w:val="Strong"/>
          <w:rFonts w:ascii="Arial" w:hAnsi="Arial" w:cs="Arial"/>
          <w:b w:val="0"/>
          <w:bCs w:val="0"/>
        </w:rPr>
      </w:pPr>
      <w:r w:rsidRPr="00496AE7">
        <w:rPr>
          <w:rStyle w:val="Strong"/>
          <w:rFonts w:ascii="Arial" w:hAnsi="Arial" w:cs="Arial"/>
        </w:rPr>
        <w:t xml:space="preserve">Increased Productivity: </w:t>
      </w:r>
      <w:r w:rsidR="0021246C" w:rsidRPr="00496AE7">
        <w:rPr>
          <w:rStyle w:val="Strong"/>
          <w:rFonts w:ascii="Arial" w:hAnsi="Arial" w:cs="Arial"/>
          <w:b w:val="0"/>
          <w:bCs w:val="0"/>
        </w:rPr>
        <w:t xml:space="preserve">Bloom et al. (2015) examined the productivity effects of remote work arrangements. Their research found that remote work locations frequently result in greater productivity, which can be ascribed to variables such as shorter commute times and less distractions in familiar surroundings. For </w:t>
      </w:r>
      <w:proofErr w:type="spellStart"/>
      <w:r w:rsidR="0021246C" w:rsidRPr="00496AE7">
        <w:rPr>
          <w:rStyle w:val="Strong"/>
          <w:rFonts w:ascii="Arial" w:hAnsi="Arial" w:cs="Arial"/>
          <w:b w:val="0"/>
          <w:bCs w:val="0"/>
        </w:rPr>
        <w:t>AgroTools</w:t>
      </w:r>
      <w:proofErr w:type="spellEnd"/>
      <w:r w:rsidR="0021246C" w:rsidRPr="00496AE7">
        <w:rPr>
          <w:rStyle w:val="Strong"/>
          <w:rFonts w:ascii="Arial" w:hAnsi="Arial" w:cs="Arial"/>
          <w:b w:val="0"/>
          <w:bCs w:val="0"/>
        </w:rPr>
        <w:t xml:space="preserve"> employees, particularly those working on jobs that need focus and concentration, the ability to work remotely or change their work hours may result in similar productivity benefits, ultimately helping the organisation.</w:t>
      </w:r>
    </w:p>
    <w:p w14:paraId="00214E80" w14:textId="77777777" w:rsidR="004C60E9" w:rsidRPr="00496AE7" w:rsidRDefault="00705B9B" w:rsidP="00496AE7">
      <w:pPr>
        <w:spacing w:line="360" w:lineRule="auto"/>
        <w:jc w:val="both"/>
        <w:rPr>
          <w:rStyle w:val="Strong"/>
          <w:rFonts w:ascii="Arial" w:hAnsi="Arial" w:cs="Arial"/>
          <w:b w:val="0"/>
          <w:bCs w:val="0"/>
        </w:rPr>
      </w:pPr>
      <w:r w:rsidRPr="00496AE7">
        <w:rPr>
          <w:rStyle w:val="Strong"/>
          <w:rFonts w:ascii="Arial" w:hAnsi="Arial" w:cs="Arial"/>
        </w:rPr>
        <w:t xml:space="preserve">Key Insights: </w:t>
      </w:r>
      <w:r w:rsidR="004C60E9" w:rsidRPr="00496AE7">
        <w:rPr>
          <w:rStyle w:val="Strong"/>
          <w:rFonts w:ascii="Arial" w:hAnsi="Arial" w:cs="Arial"/>
          <w:b w:val="0"/>
          <w:bCs w:val="0"/>
        </w:rPr>
        <w:t xml:space="preserve">Flexible working practices can improve employee satisfaction, productivity, and well-being. </w:t>
      </w:r>
      <w:proofErr w:type="spellStart"/>
      <w:r w:rsidR="004C60E9" w:rsidRPr="00496AE7">
        <w:rPr>
          <w:rStyle w:val="Strong"/>
          <w:rFonts w:ascii="Arial" w:hAnsi="Arial" w:cs="Arial"/>
          <w:b w:val="0"/>
          <w:bCs w:val="0"/>
        </w:rPr>
        <w:t>AgroTools</w:t>
      </w:r>
      <w:proofErr w:type="spellEnd"/>
      <w:r w:rsidR="004C60E9" w:rsidRPr="00496AE7">
        <w:rPr>
          <w:rStyle w:val="Strong"/>
          <w:rFonts w:ascii="Arial" w:hAnsi="Arial" w:cs="Arial"/>
          <w:b w:val="0"/>
          <w:bCs w:val="0"/>
        </w:rPr>
        <w:t xml:space="preserve"> can create a healthy work environment that encourages employee engagement and retention by providing more autonomy and work-life balance. Furthermore, the capacity to meet varied staff demands and preferences can increase organisational flexibility and agility, allowing </w:t>
      </w:r>
      <w:proofErr w:type="spellStart"/>
      <w:r w:rsidR="004C60E9" w:rsidRPr="00496AE7">
        <w:rPr>
          <w:rStyle w:val="Strong"/>
          <w:rFonts w:ascii="Arial" w:hAnsi="Arial" w:cs="Arial"/>
          <w:b w:val="0"/>
          <w:bCs w:val="0"/>
        </w:rPr>
        <w:t>AgroTools</w:t>
      </w:r>
      <w:proofErr w:type="spellEnd"/>
      <w:r w:rsidR="004C60E9" w:rsidRPr="00496AE7">
        <w:rPr>
          <w:rStyle w:val="Strong"/>
          <w:rFonts w:ascii="Arial" w:hAnsi="Arial" w:cs="Arial"/>
          <w:b w:val="0"/>
          <w:bCs w:val="0"/>
        </w:rPr>
        <w:t xml:space="preserve"> to better adjust to changing market situations.  </w:t>
      </w:r>
    </w:p>
    <w:p w14:paraId="271609FD" w14:textId="77777777" w:rsidR="004C60E9" w:rsidRPr="00496AE7" w:rsidRDefault="00705B9B" w:rsidP="00496AE7">
      <w:pPr>
        <w:spacing w:line="360" w:lineRule="auto"/>
        <w:jc w:val="both"/>
        <w:rPr>
          <w:rStyle w:val="Strong"/>
          <w:rFonts w:ascii="Arial" w:hAnsi="Arial" w:cs="Arial"/>
          <w:b w:val="0"/>
          <w:bCs w:val="0"/>
        </w:rPr>
      </w:pPr>
      <w:r w:rsidRPr="00496AE7">
        <w:rPr>
          <w:rStyle w:val="Strong"/>
          <w:rFonts w:ascii="Arial" w:hAnsi="Arial" w:cs="Arial"/>
        </w:rPr>
        <w:t xml:space="preserve">Similarities: </w:t>
      </w:r>
      <w:r w:rsidR="004C60E9" w:rsidRPr="00496AE7">
        <w:rPr>
          <w:rStyle w:val="Strong"/>
          <w:rFonts w:ascii="Arial" w:hAnsi="Arial" w:cs="Arial"/>
          <w:b w:val="0"/>
          <w:bCs w:val="0"/>
        </w:rPr>
        <w:t xml:space="preserve">Both studies emphasise the value of work-life balance and productivity in the context of flexible work arrangements. They highlight the opportunity for organisations to use these benefits to improve employee satisfaction and organisational performance. By aligning with these key findings, </w:t>
      </w:r>
      <w:proofErr w:type="spellStart"/>
      <w:r w:rsidR="004C60E9" w:rsidRPr="00496AE7">
        <w:rPr>
          <w:rStyle w:val="Strong"/>
          <w:rFonts w:ascii="Arial" w:hAnsi="Arial" w:cs="Arial"/>
          <w:b w:val="0"/>
          <w:bCs w:val="0"/>
        </w:rPr>
        <w:t>AgroTools</w:t>
      </w:r>
      <w:proofErr w:type="spellEnd"/>
      <w:r w:rsidR="004C60E9" w:rsidRPr="00496AE7">
        <w:rPr>
          <w:rStyle w:val="Strong"/>
          <w:rFonts w:ascii="Arial" w:hAnsi="Arial" w:cs="Arial"/>
          <w:b w:val="0"/>
          <w:bCs w:val="0"/>
        </w:rPr>
        <w:t xml:space="preserve"> can establish itself as an employer of choice, giving it a competitive advantage in attracting and retaining top personnel. </w:t>
      </w:r>
    </w:p>
    <w:p w14:paraId="1EE1FED0" w14:textId="355C8617" w:rsidR="00705B9B" w:rsidRPr="00496AE7" w:rsidRDefault="00705B9B" w:rsidP="00496AE7">
      <w:pPr>
        <w:spacing w:line="360" w:lineRule="auto"/>
        <w:jc w:val="both"/>
        <w:rPr>
          <w:rStyle w:val="Strong"/>
          <w:rFonts w:ascii="Arial" w:hAnsi="Arial" w:cs="Arial"/>
          <w:b w:val="0"/>
          <w:bCs w:val="0"/>
        </w:rPr>
      </w:pPr>
      <w:r w:rsidRPr="00496AE7">
        <w:rPr>
          <w:rStyle w:val="Strong"/>
          <w:rFonts w:ascii="Arial" w:hAnsi="Arial" w:cs="Arial"/>
        </w:rPr>
        <w:t xml:space="preserve">Gaps: </w:t>
      </w:r>
      <w:r w:rsidR="004C60E9" w:rsidRPr="00496AE7">
        <w:rPr>
          <w:rStyle w:val="Strong"/>
          <w:rFonts w:ascii="Arial" w:hAnsi="Arial" w:cs="Arial"/>
          <w:b w:val="0"/>
          <w:bCs w:val="0"/>
        </w:rPr>
        <w:t xml:space="preserve">While the studies provide useful insights into the advantages of flexible working, more study is needed to investigate the specific consequences for organisations that operate across many sites, such as </w:t>
      </w:r>
      <w:proofErr w:type="spellStart"/>
      <w:r w:rsidR="004C60E9" w:rsidRPr="00496AE7">
        <w:rPr>
          <w:rStyle w:val="Strong"/>
          <w:rFonts w:ascii="Arial" w:hAnsi="Arial" w:cs="Arial"/>
          <w:b w:val="0"/>
          <w:bCs w:val="0"/>
        </w:rPr>
        <w:t>AgroTools</w:t>
      </w:r>
      <w:proofErr w:type="spellEnd"/>
      <w:r w:rsidR="004C60E9" w:rsidRPr="00496AE7">
        <w:rPr>
          <w:rStyle w:val="Strong"/>
          <w:rFonts w:ascii="Arial" w:hAnsi="Arial" w:cs="Arial"/>
          <w:b w:val="0"/>
          <w:bCs w:val="0"/>
        </w:rPr>
        <w:t xml:space="preserve">. Furthermore, the long-term impacts of hybrid working on employee well-being and organisational culture require further examination. By addressing </w:t>
      </w:r>
      <w:r w:rsidR="004C60E9" w:rsidRPr="00496AE7">
        <w:rPr>
          <w:rStyle w:val="Strong"/>
          <w:rFonts w:ascii="Arial" w:hAnsi="Arial" w:cs="Arial"/>
          <w:b w:val="0"/>
          <w:bCs w:val="0"/>
        </w:rPr>
        <w:lastRenderedPageBreak/>
        <w:t xml:space="preserve">these knowledge gaps, </w:t>
      </w:r>
      <w:proofErr w:type="spellStart"/>
      <w:r w:rsidR="004C60E9" w:rsidRPr="00496AE7">
        <w:rPr>
          <w:rStyle w:val="Strong"/>
          <w:rFonts w:ascii="Arial" w:hAnsi="Arial" w:cs="Arial"/>
          <w:b w:val="0"/>
          <w:bCs w:val="0"/>
        </w:rPr>
        <w:t>AgroTools</w:t>
      </w:r>
      <w:proofErr w:type="spellEnd"/>
      <w:r w:rsidR="004C60E9" w:rsidRPr="00496AE7">
        <w:rPr>
          <w:rStyle w:val="Strong"/>
          <w:rFonts w:ascii="Arial" w:hAnsi="Arial" w:cs="Arial"/>
          <w:b w:val="0"/>
          <w:bCs w:val="0"/>
        </w:rPr>
        <w:t xml:space="preserve"> can improve its approach to flexible working and maximise the benefits for both people and the organisation.</w:t>
      </w:r>
    </w:p>
    <w:p w14:paraId="7B403ED7" w14:textId="27085973" w:rsidR="00F93123" w:rsidRPr="00F10472" w:rsidRDefault="00F93123" w:rsidP="00496AE7">
      <w:pPr>
        <w:pStyle w:val="ListParagraph"/>
        <w:numPr>
          <w:ilvl w:val="0"/>
          <w:numId w:val="1"/>
        </w:numPr>
        <w:spacing w:line="360" w:lineRule="auto"/>
        <w:jc w:val="both"/>
        <w:rPr>
          <w:rStyle w:val="Strong"/>
          <w:rFonts w:ascii="Arial" w:hAnsi="Arial" w:cs="Arial"/>
          <w:b w:val="0"/>
          <w:bCs w:val="0"/>
          <w:sz w:val="28"/>
          <w:szCs w:val="28"/>
        </w:rPr>
      </w:pPr>
      <w:r w:rsidRPr="00F10472">
        <w:rPr>
          <w:rStyle w:val="Strong"/>
          <w:rFonts w:ascii="Arial" w:hAnsi="Arial" w:cs="Arial"/>
          <w:sz w:val="28"/>
          <w:szCs w:val="28"/>
        </w:rPr>
        <w:t>Considerations for Implementing Flexible Working</w:t>
      </w:r>
    </w:p>
    <w:p w14:paraId="352A19B2" w14:textId="5EEC79A3" w:rsidR="00F93123" w:rsidRPr="00496AE7" w:rsidRDefault="00F93123" w:rsidP="00496AE7">
      <w:pPr>
        <w:spacing w:line="360" w:lineRule="auto"/>
        <w:jc w:val="both"/>
        <w:rPr>
          <w:rFonts w:ascii="Arial" w:hAnsi="Arial" w:cs="Arial"/>
        </w:rPr>
      </w:pPr>
      <w:r w:rsidRPr="00496AE7">
        <w:rPr>
          <w:rFonts w:ascii="Arial" w:hAnsi="Arial" w:cs="Arial"/>
        </w:rPr>
        <w:t xml:space="preserve">Before </w:t>
      </w:r>
      <w:proofErr w:type="spellStart"/>
      <w:r w:rsidRPr="00496AE7">
        <w:rPr>
          <w:rFonts w:ascii="Arial" w:hAnsi="Arial" w:cs="Arial"/>
        </w:rPr>
        <w:t>AgroTools</w:t>
      </w:r>
      <w:proofErr w:type="spellEnd"/>
      <w:r w:rsidRPr="00496AE7">
        <w:rPr>
          <w:rFonts w:ascii="Arial" w:hAnsi="Arial" w:cs="Arial"/>
        </w:rPr>
        <w:t xml:space="preserve"> can successfully deploy flexible working practices, several elements must be carefully considered, including organisational culture, technological infrastructure, and managerial support. Drawing on current research, the HR department can create a complete framework to guide the implementation process.</w:t>
      </w:r>
    </w:p>
    <w:p w14:paraId="1A82413E" w14:textId="1C7A66AB" w:rsidR="00F93123" w:rsidRPr="00496AE7" w:rsidRDefault="00F93123" w:rsidP="00496AE7">
      <w:pPr>
        <w:spacing w:line="360" w:lineRule="auto"/>
        <w:jc w:val="both"/>
        <w:rPr>
          <w:rFonts w:ascii="Arial" w:hAnsi="Arial" w:cs="Arial"/>
        </w:rPr>
      </w:pPr>
      <w:r w:rsidRPr="00496AE7">
        <w:rPr>
          <w:rFonts w:ascii="Arial" w:hAnsi="Arial" w:cs="Arial"/>
          <w:b/>
          <w:bCs/>
        </w:rPr>
        <w:t>Organisational Culture:</w:t>
      </w:r>
      <w:r w:rsidRPr="00496AE7">
        <w:rPr>
          <w:rFonts w:ascii="Arial" w:hAnsi="Arial" w:cs="Arial"/>
        </w:rPr>
        <w:t xml:space="preserve"> Grant et al. (2013) emphasise the need of connecting flexible working efforts with the organization's core principles and culture. </w:t>
      </w:r>
      <w:proofErr w:type="spellStart"/>
      <w:r w:rsidRPr="00496AE7">
        <w:rPr>
          <w:rFonts w:ascii="Arial" w:hAnsi="Arial" w:cs="Arial"/>
        </w:rPr>
        <w:t>AgroTools</w:t>
      </w:r>
      <w:proofErr w:type="spellEnd"/>
      <w:r w:rsidRPr="00496AE7">
        <w:rPr>
          <w:rFonts w:ascii="Arial" w:hAnsi="Arial" w:cs="Arial"/>
        </w:rPr>
        <w:t xml:space="preserve"> must examine its current culture and communication channels to make a smooth transition to hybrid working.</w:t>
      </w:r>
    </w:p>
    <w:p w14:paraId="633BC1DB" w14:textId="6ACB9E96" w:rsidR="00F93123" w:rsidRPr="00496AE7" w:rsidRDefault="00F93123" w:rsidP="00496AE7">
      <w:pPr>
        <w:spacing w:line="360" w:lineRule="auto"/>
        <w:jc w:val="both"/>
        <w:rPr>
          <w:rFonts w:ascii="Arial" w:hAnsi="Arial" w:cs="Arial"/>
        </w:rPr>
      </w:pPr>
      <w:r w:rsidRPr="00496AE7">
        <w:rPr>
          <w:rFonts w:ascii="Arial" w:hAnsi="Arial" w:cs="Arial"/>
          <w:b/>
          <w:bCs/>
        </w:rPr>
        <w:t>Technology Infrastructure:</w:t>
      </w:r>
      <w:r w:rsidRPr="00496AE7">
        <w:rPr>
          <w:rFonts w:ascii="Arial" w:hAnsi="Arial" w:cs="Arial"/>
        </w:rPr>
        <w:t xml:space="preserve"> Raghuram et al. (2003) emphasise the importance of technology in facilitating distant work and cooperation. </w:t>
      </w:r>
      <w:proofErr w:type="spellStart"/>
      <w:r w:rsidRPr="00496AE7">
        <w:rPr>
          <w:rFonts w:ascii="Arial" w:hAnsi="Arial" w:cs="Arial"/>
        </w:rPr>
        <w:t>AgroTools</w:t>
      </w:r>
      <w:proofErr w:type="spellEnd"/>
      <w:r w:rsidRPr="00496AE7">
        <w:rPr>
          <w:rFonts w:ascii="Arial" w:hAnsi="Arial" w:cs="Arial"/>
        </w:rPr>
        <w:t xml:space="preserve"> should invest in robust IT infrastructure and train workers to ensure seamless communication and task coordination across facilities.</w:t>
      </w:r>
    </w:p>
    <w:p w14:paraId="484A79D4" w14:textId="288200DF" w:rsidR="00F93123" w:rsidRPr="00496AE7" w:rsidRDefault="00F93123" w:rsidP="00496AE7">
      <w:pPr>
        <w:spacing w:line="360" w:lineRule="auto"/>
        <w:jc w:val="both"/>
        <w:rPr>
          <w:rFonts w:ascii="Arial" w:hAnsi="Arial" w:cs="Arial"/>
        </w:rPr>
      </w:pPr>
      <w:r w:rsidRPr="00496AE7">
        <w:rPr>
          <w:rFonts w:ascii="Arial" w:hAnsi="Arial" w:cs="Arial"/>
          <w:b/>
          <w:bCs/>
        </w:rPr>
        <w:t>Managerial assistance:</w:t>
      </w:r>
      <w:r w:rsidRPr="00496AE7">
        <w:rPr>
          <w:rFonts w:ascii="Arial" w:hAnsi="Arial" w:cs="Arial"/>
        </w:rPr>
        <w:t xml:space="preserve"> Golden and Veiga (2005) emphasise the need of managerial assistance in developing trust and accountability among distant employees. </w:t>
      </w:r>
      <w:proofErr w:type="spellStart"/>
      <w:r w:rsidRPr="00496AE7">
        <w:rPr>
          <w:rFonts w:ascii="Arial" w:hAnsi="Arial" w:cs="Arial"/>
        </w:rPr>
        <w:t>AgroTools</w:t>
      </w:r>
      <w:proofErr w:type="spellEnd"/>
      <w:r w:rsidRPr="00496AE7">
        <w:rPr>
          <w:rFonts w:ascii="Arial" w:hAnsi="Arial" w:cs="Arial"/>
        </w:rPr>
        <w:t xml:space="preserve"> managers must be trained on how to effectively manage remote teams and provide continuing assistance to achieve employee success.</w:t>
      </w:r>
    </w:p>
    <w:p w14:paraId="7FAC8F81" w14:textId="6B8D8F78" w:rsidR="00F93123" w:rsidRPr="00496AE7" w:rsidRDefault="00F93123" w:rsidP="00496AE7">
      <w:pPr>
        <w:spacing w:line="360" w:lineRule="auto"/>
        <w:jc w:val="both"/>
        <w:rPr>
          <w:rStyle w:val="Strong"/>
          <w:rFonts w:ascii="Arial" w:hAnsi="Arial" w:cs="Arial"/>
          <w:b w:val="0"/>
          <w:bCs w:val="0"/>
        </w:rPr>
      </w:pPr>
      <w:r w:rsidRPr="00496AE7">
        <w:rPr>
          <w:rStyle w:val="Strong"/>
          <w:rFonts w:ascii="Arial" w:hAnsi="Arial" w:cs="Arial"/>
        </w:rPr>
        <w:t xml:space="preserve">Key Insights: </w:t>
      </w:r>
      <w:r w:rsidRPr="00496AE7">
        <w:rPr>
          <w:rStyle w:val="Strong"/>
          <w:rFonts w:ascii="Arial" w:hAnsi="Arial" w:cs="Arial"/>
          <w:b w:val="0"/>
          <w:bCs w:val="0"/>
        </w:rPr>
        <w:t xml:space="preserve">Flexible working demands alignment with organisational culture, investment in technology infrastructure, and strong managerial backing. By proactively addressing these issues,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can reduce resistance to change while maximising the benefits of hybrid working.</w:t>
      </w:r>
    </w:p>
    <w:p w14:paraId="33A362A7" w14:textId="67D452DB" w:rsidR="00F93123" w:rsidRPr="00496AE7" w:rsidRDefault="00F93123" w:rsidP="00496AE7">
      <w:pPr>
        <w:spacing w:line="360" w:lineRule="auto"/>
        <w:jc w:val="both"/>
        <w:rPr>
          <w:rStyle w:val="Strong"/>
          <w:rFonts w:ascii="Arial" w:hAnsi="Arial" w:cs="Arial"/>
          <w:b w:val="0"/>
          <w:bCs w:val="0"/>
        </w:rPr>
      </w:pPr>
      <w:r w:rsidRPr="00496AE7">
        <w:rPr>
          <w:rStyle w:val="Strong"/>
          <w:rFonts w:ascii="Arial" w:hAnsi="Arial" w:cs="Arial"/>
        </w:rPr>
        <w:t xml:space="preserve">Similarities: </w:t>
      </w:r>
      <w:r w:rsidRPr="00496AE7">
        <w:rPr>
          <w:rStyle w:val="Strong"/>
          <w:rFonts w:ascii="Arial" w:hAnsi="Arial" w:cs="Arial"/>
          <w:b w:val="0"/>
          <w:bCs w:val="0"/>
        </w:rPr>
        <w:t>All three authors emphasise the significance of organisational support and infrastructure in allowing the shift to flexible working. They emphasise the importance of using a comprehensive approach that takes into account cultural, technological, and management considerations.</w:t>
      </w:r>
    </w:p>
    <w:p w14:paraId="37FA342E" w14:textId="7C1C95BF" w:rsidR="00F93123" w:rsidRPr="00496AE7" w:rsidRDefault="00F93123" w:rsidP="00496AE7">
      <w:pPr>
        <w:spacing w:line="360" w:lineRule="auto"/>
        <w:jc w:val="both"/>
        <w:rPr>
          <w:rStyle w:val="Strong"/>
          <w:rFonts w:ascii="Arial" w:hAnsi="Arial" w:cs="Arial"/>
          <w:b w:val="0"/>
          <w:bCs w:val="0"/>
        </w:rPr>
      </w:pPr>
      <w:r w:rsidRPr="00496AE7">
        <w:rPr>
          <w:rStyle w:val="Strong"/>
          <w:rFonts w:ascii="Arial" w:hAnsi="Arial" w:cs="Arial"/>
        </w:rPr>
        <w:t xml:space="preserve">Gaps: </w:t>
      </w:r>
      <w:r w:rsidRPr="00496AE7">
        <w:rPr>
          <w:rStyle w:val="Strong"/>
          <w:rFonts w:ascii="Arial" w:hAnsi="Arial" w:cs="Arial"/>
          <w:b w:val="0"/>
          <w:bCs w:val="0"/>
        </w:rPr>
        <w:t xml:space="preserve">While the literature provides useful guidance on implementing flexible working, there is little discussion of the specific challenges and opportunities for organisations with multiple operational sites, such as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More research is needed to investigate site-specific implications and best practices for successfully managing hybrid teams.</w:t>
      </w:r>
    </w:p>
    <w:p w14:paraId="5BAAB0EB" w14:textId="61373914" w:rsidR="00F93123" w:rsidRPr="00F10472" w:rsidRDefault="00F93123" w:rsidP="00496AE7">
      <w:pPr>
        <w:pStyle w:val="ListParagraph"/>
        <w:numPr>
          <w:ilvl w:val="0"/>
          <w:numId w:val="1"/>
        </w:numPr>
        <w:spacing w:line="360" w:lineRule="auto"/>
        <w:jc w:val="both"/>
        <w:rPr>
          <w:rStyle w:val="Strong"/>
          <w:rFonts w:ascii="Arial" w:hAnsi="Arial" w:cs="Arial"/>
          <w:sz w:val="28"/>
          <w:szCs w:val="28"/>
        </w:rPr>
      </w:pPr>
      <w:r w:rsidRPr="00F10472">
        <w:rPr>
          <w:rStyle w:val="Strong"/>
          <w:rFonts w:ascii="Arial" w:hAnsi="Arial" w:cs="Arial"/>
          <w:sz w:val="28"/>
          <w:szCs w:val="28"/>
        </w:rPr>
        <w:t>Pay Structure Reconfiguration</w:t>
      </w:r>
    </w:p>
    <w:p w14:paraId="05DA2B42" w14:textId="19773637" w:rsidR="00F93123" w:rsidRPr="00496AE7" w:rsidRDefault="00F93123" w:rsidP="00496AE7">
      <w:pPr>
        <w:spacing w:line="360" w:lineRule="auto"/>
        <w:jc w:val="both"/>
        <w:rPr>
          <w:rFonts w:ascii="Arial" w:hAnsi="Arial" w:cs="Arial"/>
        </w:rPr>
      </w:pPr>
      <w:r w:rsidRPr="00496AE7">
        <w:rPr>
          <w:rFonts w:ascii="Arial" w:hAnsi="Arial" w:cs="Arial"/>
        </w:rPr>
        <w:t xml:space="preserve">The transition to hybrid/flexible working may need changes to </w:t>
      </w:r>
      <w:proofErr w:type="spellStart"/>
      <w:r w:rsidRPr="00496AE7">
        <w:rPr>
          <w:rFonts w:ascii="Arial" w:hAnsi="Arial" w:cs="Arial"/>
        </w:rPr>
        <w:t>AgroTools</w:t>
      </w:r>
      <w:proofErr w:type="spellEnd"/>
      <w:r w:rsidRPr="00496AE7">
        <w:rPr>
          <w:rFonts w:ascii="Arial" w:hAnsi="Arial" w:cs="Arial"/>
        </w:rPr>
        <w:t xml:space="preserve">' pay structure to match with the new work arrangements and ensure equitable compensation for all employees. </w:t>
      </w:r>
      <w:r w:rsidRPr="00496AE7">
        <w:rPr>
          <w:rFonts w:ascii="Arial" w:hAnsi="Arial" w:cs="Arial"/>
        </w:rPr>
        <w:lastRenderedPageBreak/>
        <w:t>Understanding the ramifications of these shifts necessitates a careful assessment of the link between compensation, performance, and job satisfaction.</w:t>
      </w:r>
    </w:p>
    <w:p w14:paraId="5D191D95" w14:textId="7ACAA280" w:rsidR="00F93123" w:rsidRPr="00496AE7" w:rsidRDefault="00F93123" w:rsidP="00496AE7">
      <w:pPr>
        <w:spacing w:line="360" w:lineRule="auto"/>
        <w:jc w:val="both"/>
        <w:rPr>
          <w:rFonts w:ascii="Arial" w:hAnsi="Arial" w:cs="Arial"/>
        </w:rPr>
      </w:pPr>
      <w:r w:rsidRPr="00496AE7">
        <w:rPr>
          <w:rFonts w:ascii="Arial" w:hAnsi="Arial" w:cs="Arial"/>
          <w:b/>
          <w:bCs/>
        </w:rPr>
        <w:t xml:space="preserve">Pay equity: </w:t>
      </w:r>
      <w:r w:rsidRPr="00496AE7">
        <w:rPr>
          <w:rFonts w:ascii="Arial" w:hAnsi="Arial" w:cs="Arial"/>
        </w:rPr>
        <w:t xml:space="preserve">Bloom et al. (2015) emphasise the need of ensuring pay parity between remote and on-site employees to minimise perceptions of unfair treatment. </w:t>
      </w:r>
      <w:proofErr w:type="spellStart"/>
      <w:r w:rsidRPr="00496AE7">
        <w:rPr>
          <w:rFonts w:ascii="Arial" w:hAnsi="Arial" w:cs="Arial"/>
        </w:rPr>
        <w:t>AgroTools</w:t>
      </w:r>
      <w:proofErr w:type="spellEnd"/>
      <w:r w:rsidRPr="00496AE7">
        <w:rPr>
          <w:rFonts w:ascii="Arial" w:hAnsi="Arial" w:cs="Arial"/>
        </w:rPr>
        <w:t xml:space="preserve"> must review its current pay rules and make improvements to ensure consistency and fairness across all sites.</w:t>
      </w:r>
    </w:p>
    <w:p w14:paraId="1C8AFCB6" w14:textId="2709A487" w:rsidR="00F93123"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Performance Metrics: </w:t>
      </w:r>
      <w:r w:rsidRPr="00496AE7">
        <w:rPr>
          <w:rStyle w:val="Strong"/>
          <w:rFonts w:ascii="Arial" w:hAnsi="Arial" w:cs="Arial"/>
          <w:b w:val="0"/>
          <w:bCs w:val="0"/>
        </w:rPr>
        <w:t xml:space="preserve">Hill et al. (2001) argue that traditional performance measurements may need to be updated to account for the specific problems and opportunities that come with flexible working.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should look into alternative metrics that focus on outcomes rather than hours done in order to accurately evaluate staff performance.</w:t>
      </w:r>
    </w:p>
    <w:p w14:paraId="7D35D5C6" w14:textId="631240DB"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Key Insights: </w:t>
      </w:r>
      <w:r w:rsidRPr="00496AE7">
        <w:rPr>
          <w:rStyle w:val="Strong"/>
          <w:rFonts w:ascii="Arial" w:hAnsi="Arial" w:cs="Arial"/>
          <w:b w:val="0"/>
          <w:bCs w:val="0"/>
        </w:rPr>
        <w:t xml:space="preserve">Remuneration equity, performance measures, and employee preferences all need to be carefully considered when restructuring the pay system.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may incentivise desirable behaviours and outcomes while maintaining fairness and transparency by using a flexible compensation model.</w:t>
      </w:r>
    </w:p>
    <w:p w14:paraId="464A46F9" w14:textId="7AB4B080"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Similarities: </w:t>
      </w:r>
      <w:r w:rsidRPr="00496AE7">
        <w:rPr>
          <w:rStyle w:val="Strong"/>
          <w:rFonts w:ascii="Arial" w:hAnsi="Arial" w:cs="Arial"/>
          <w:b w:val="0"/>
          <w:bCs w:val="0"/>
        </w:rPr>
        <w:t>Both sources highlight the significance of pay fairness and performance management in the context of flexible working. They emphasise the necessity for organisations to modify their pay structures to match the changing nature of work and employee expectations.</w:t>
      </w:r>
    </w:p>
    <w:p w14:paraId="4769F485" w14:textId="73878A81"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Gaps: </w:t>
      </w:r>
      <w:r w:rsidRPr="00496AE7">
        <w:rPr>
          <w:rStyle w:val="Strong"/>
          <w:rFonts w:ascii="Arial" w:hAnsi="Arial" w:cs="Arial"/>
          <w:b w:val="0"/>
          <w:bCs w:val="0"/>
        </w:rPr>
        <w:t>While the literature offers broad information on pay structure reconfiguration, there is little discussion of the specific issues and methods for organisations that operate across many sites. More research is needed to investigate site-specific elements that may affect compensation decisions and employee outcomes.</w:t>
      </w:r>
    </w:p>
    <w:p w14:paraId="7EF03689" w14:textId="4021684A" w:rsidR="00D37EA7" w:rsidRPr="00F10472" w:rsidRDefault="00D37EA7" w:rsidP="00496AE7">
      <w:pPr>
        <w:pStyle w:val="ListParagraph"/>
        <w:numPr>
          <w:ilvl w:val="0"/>
          <w:numId w:val="1"/>
        </w:numPr>
        <w:spacing w:line="360" w:lineRule="auto"/>
        <w:jc w:val="both"/>
        <w:rPr>
          <w:rStyle w:val="Strong"/>
          <w:rFonts w:ascii="Arial" w:hAnsi="Arial" w:cs="Arial"/>
          <w:sz w:val="28"/>
          <w:szCs w:val="28"/>
        </w:rPr>
      </w:pPr>
      <w:r w:rsidRPr="00F10472">
        <w:rPr>
          <w:rStyle w:val="Strong"/>
          <w:rFonts w:ascii="Arial" w:hAnsi="Arial" w:cs="Arial"/>
          <w:sz w:val="28"/>
          <w:szCs w:val="28"/>
        </w:rPr>
        <w:t>Strategies for Promoting Employee Engagement</w:t>
      </w:r>
    </w:p>
    <w:p w14:paraId="780100D8" w14:textId="43F05096" w:rsidR="00D37EA7" w:rsidRPr="00496AE7" w:rsidRDefault="00D37EA7" w:rsidP="00496AE7">
      <w:pPr>
        <w:spacing w:line="360" w:lineRule="auto"/>
        <w:jc w:val="both"/>
        <w:rPr>
          <w:rFonts w:ascii="Arial" w:hAnsi="Arial" w:cs="Arial"/>
        </w:rPr>
      </w:pPr>
      <w:r w:rsidRPr="00496AE7">
        <w:rPr>
          <w:rFonts w:ascii="Arial" w:hAnsi="Arial" w:cs="Arial"/>
        </w:rPr>
        <w:t xml:space="preserve">High levels of employee involvement are critical to the success of flexible working initiatives. </w:t>
      </w:r>
      <w:proofErr w:type="spellStart"/>
      <w:r w:rsidRPr="00496AE7">
        <w:rPr>
          <w:rFonts w:ascii="Arial" w:hAnsi="Arial" w:cs="Arial"/>
        </w:rPr>
        <w:t>AgroTools</w:t>
      </w:r>
      <w:proofErr w:type="spellEnd"/>
      <w:r w:rsidRPr="00496AE7">
        <w:rPr>
          <w:rFonts w:ascii="Arial" w:hAnsi="Arial" w:cs="Arial"/>
        </w:rPr>
        <w:t xml:space="preserve"> must proactively develop initiatives to improve employee connection, collaboration, and motivation across manufacturing, storage, and administrative facilities.</w:t>
      </w:r>
    </w:p>
    <w:p w14:paraId="253D640C" w14:textId="5F251FF3"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Communication Channels: </w:t>
      </w:r>
      <w:r w:rsidRPr="00496AE7">
        <w:rPr>
          <w:rStyle w:val="Strong"/>
          <w:rFonts w:ascii="Arial" w:hAnsi="Arial" w:cs="Arial"/>
          <w:b w:val="0"/>
          <w:bCs w:val="0"/>
        </w:rPr>
        <w:t xml:space="preserve">Golden and Veiga (2005) emphasise the value of clear and consistent communication in remote work settings.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should use a variety of communication channels, including video conferencing and instant messaging, to keep employees informed and engaged.</w:t>
      </w:r>
    </w:p>
    <w:p w14:paraId="0B02E576" w14:textId="42534434"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Employee Recognition: </w:t>
      </w:r>
      <w:r w:rsidRPr="00496AE7">
        <w:rPr>
          <w:rStyle w:val="Strong"/>
          <w:rFonts w:ascii="Arial" w:hAnsi="Arial" w:cs="Arial"/>
          <w:b w:val="0"/>
          <w:bCs w:val="0"/>
        </w:rPr>
        <w:t xml:space="preserve">According to Grant et al. (2013), recognition and rewards can help remote workers stay motivated and reinforce desired behaviours.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should establish official recognition programmes to recognise employees' contributions and accomplishments, regardless of location.</w:t>
      </w:r>
    </w:p>
    <w:p w14:paraId="4A9D6F38" w14:textId="0C089ECD"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lastRenderedPageBreak/>
        <w:t xml:space="preserve">Training and Development: </w:t>
      </w:r>
      <w:r w:rsidRPr="00496AE7">
        <w:rPr>
          <w:rStyle w:val="Strong"/>
          <w:rFonts w:ascii="Arial" w:hAnsi="Arial" w:cs="Arial"/>
          <w:b w:val="0"/>
          <w:bCs w:val="0"/>
        </w:rPr>
        <w:t xml:space="preserve">Raghuram et al. (2003) emphasise the importance of training and development in assisting remote workers and improving their skills and capacities.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should offer continual training to help staff adjust to hybrid working and prosper in their professions.</w:t>
      </w:r>
    </w:p>
    <w:p w14:paraId="203726F0" w14:textId="2EF0BAB0"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Key Insights: </w:t>
      </w:r>
      <w:r w:rsidRPr="00496AE7">
        <w:rPr>
          <w:rStyle w:val="Strong"/>
          <w:rFonts w:ascii="Arial" w:hAnsi="Arial" w:cs="Arial"/>
          <w:b w:val="0"/>
          <w:bCs w:val="0"/>
        </w:rPr>
        <w:t xml:space="preserve">Effective communication, employee appreciation, and training are critical for increasing employee engagement in a mixed work environment. By prioritising these methods, </w:t>
      </w:r>
      <w:proofErr w:type="spellStart"/>
      <w:r w:rsidRPr="00496AE7">
        <w:rPr>
          <w:rStyle w:val="Strong"/>
          <w:rFonts w:ascii="Arial" w:hAnsi="Arial" w:cs="Arial"/>
          <w:b w:val="0"/>
          <w:bCs w:val="0"/>
        </w:rPr>
        <w:t>AgroTools</w:t>
      </w:r>
      <w:proofErr w:type="spellEnd"/>
      <w:r w:rsidRPr="00496AE7">
        <w:rPr>
          <w:rStyle w:val="Strong"/>
          <w:rFonts w:ascii="Arial" w:hAnsi="Arial" w:cs="Arial"/>
          <w:b w:val="0"/>
          <w:bCs w:val="0"/>
        </w:rPr>
        <w:t xml:space="preserve"> can foster a healthy and inclusive work environment that encourages people to do their best.</w:t>
      </w:r>
    </w:p>
    <w:p w14:paraId="25F4FA4D" w14:textId="6AA24809"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Similarities: </w:t>
      </w:r>
      <w:r w:rsidRPr="00496AE7">
        <w:rPr>
          <w:rStyle w:val="Strong"/>
          <w:rFonts w:ascii="Arial" w:hAnsi="Arial" w:cs="Arial"/>
          <w:b w:val="0"/>
          <w:bCs w:val="0"/>
        </w:rPr>
        <w:t>All three sources emphasise the value of communication, recognition, and development in engaging remote workers. They emphasise the necessity for proactive strategies to meet the problems of hybrid working while maintaining high levels of employee satisfaction and productivity.</w:t>
      </w:r>
    </w:p>
    <w:p w14:paraId="50CD5440" w14:textId="69A846E3" w:rsidR="00D37EA7" w:rsidRPr="00496AE7" w:rsidRDefault="00D37EA7" w:rsidP="00496AE7">
      <w:pPr>
        <w:spacing w:line="360" w:lineRule="auto"/>
        <w:jc w:val="both"/>
        <w:rPr>
          <w:rStyle w:val="Strong"/>
          <w:rFonts w:ascii="Arial" w:hAnsi="Arial" w:cs="Arial"/>
          <w:b w:val="0"/>
          <w:bCs w:val="0"/>
        </w:rPr>
      </w:pPr>
      <w:r w:rsidRPr="00496AE7">
        <w:rPr>
          <w:rStyle w:val="Strong"/>
          <w:rFonts w:ascii="Arial" w:hAnsi="Arial" w:cs="Arial"/>
        </w:rPr>
        <w:t xml:space="preserve">Gaps: </w:t>
      </w:r>
      <w:r w:rsidR="0021246C" w:rsidRPr="00496AE7">
        <w:rPr>
          <w:rStyle w:val="Strong"/>
          <w:rFonts w:ascii="Arial" w:hAnsi="Arial" w:cs="Arial"/>
          <w:b w:val="0"/>
          <w:bCs w:val="0"/>
        </w:rPr>
        <w:t xml:space="preserve">While the literature gives useful insights into employee engagement initiatives, there is little discussion of the specific issues and challenges for organisations with many operational sites, such as </w:t>
      </w:r>
      <w:proofErr w:type="spellStart"/>
      <w:r w:rsidR="0021246C" w:rsidRPr="00496AE7">
        <w:rPr>
          <w:rStyle w:val="Strong"/>
          <w:rFonts w:ascii="Arial" w:hAnsi="Arial" w:cs="Arial"/>
          <w:b w:val="0"/>
          <w:bCs w:val="0"/>
        </w:rPr>
        <w:t>AgroTools</w:t>
      </w:r>
      <w:proofErr w:type="spellEnd"/>
      <w:r w:rsidR="0021246C" w:rsidRPr="00496AE7">
        <w:rPr>
          <w:rStyle w:val="Strong"/>
          <w:rFonts w:ascii="Arial" w:hAnsi="Arial" w:cs="Arial"/>
          <w:b w:val="0"/>
          <w:bCs w:val="0"/>
        </w:rPr>
        <w:t>. Additional research is needed to investigate site-specific characteristics that may influence the efficacy of engagement programmes and to establish best practices for hybrid teams.</w:t>
      </w:r>
    </w:p>
    <w:p w14:paraId="5E4FB66F" w14:textId="59B0CF04" w:rsidR="0021246C" w:rsidRPr="00F10472" w:rsidRDefault="0021246C" w:rsidP="00496AE7">
      <w:pPr>
        <w:spacing w:line="360" w:lineRule="auto"/>
        <w:jc w:val="both"/>
        <w:rPr>
          <w:rStyle w:val="Strong"/>
          <w:rFonts w:ascii="Arial" w:hAnsi="Arial" w:cs="Arial"/>
          <w:sz w:val="28"/>
          <w:szCs w:val="28"/>
        </w:rPr>
      </w:pPr>
      <w:r w:rsidRPr="00F10472">
        <w:rPr>
          <w:rStyle w:val="Strong"/>
          <w:rFonts w:ascii="Arial" w:hAnsi="Arial" w:cs="Arial"/>
          <w:sz w:val="28"/>
          <w:szCs w:val="28"/>
        </w:rPr>
        <w:t>Conclusion and recommendations:</w:t>
      </w:r>
    </w:p>
    <w:p w14:paraId="5392BE57" w14:textId="0FE5E252" w:rsidR="0021246C" w:rsidRPr="00496AE7" w:rsidRDefault="0021246C" w:rsidP="00496AE7">
      <w:pPr>
        <w:spacing w:line="360" w:lineRule="auto"/>
        <w:jc w:val="both"/>
        <w:rPr>
          <w:rFonts w:ascii="Arial" w:hAnsi="Arial" w:cs="Arial"/>
        </w:rPr>
      </w:pPr>
      <w:r w:rsidRPr="00496AE7">
        <w:rPr>
          <w:rFonts w:ascii="Arial" w:hAnsi="Arial" w:cs="Arial"/>
        </w:rPr>
        <w:t xml:space="preserve">In conclusion, this study investigated the impact of hybrid working as the new norm following the COVID-19 pandemic, with a focus on </w:t>
      </w:r>
      <w:proofErr w:type="spellStart"/>
      <w:r w:rsidRPr="00496AE7">
        <w:rPr>
          <w:rFonts w:ascii="Arial" w:hAnsi="Arial" w:cs="Arial"/>
        </w:rPr>
        <w:t>AgroTools</w:t>
      </w:r>
      <w:proofErr w:type="spellEnd"/>
      <w:r w:rsidRPr="00496AE7">
        <w:rPr>
          <w:rFonts w:ascii="Arial" w:hAnsi="Arial" w:cs="Arial"/>
        </w:rPr>
        <w:t>, a significant company in the agricultural equipment sector. The advantages of employing flexible working practices in the organisation have been identified, including increased employee happiness, better work-life balance, and increased productivity. However, before implementing flexible working, considerations must be addressed, particularly on the diverse effects across multiple sites within the organisation. In order to accommodate flexible working arrangements, the compensation structure may also need to be reconfigured.</w:t>
      </w:r>
    </w:p>
    <w:p w14:paraId="7BE5E84B" w14:textId="643FBBDE" w:rsidR="0021246C" w:rsidRPr="00496AE7" w:rsidRDefault="0021246C" w:rsidP="00496AE7">
      <w:pPr>
        <w:spacing w:line="360" w:lineRule="auto"/>
        <w:jc w:val="both"/>
        <w:rPr>
          <w:rFonts w:ascii="Arial" w:hAnsi="Arial" w:cs="Arial"/>
        </w:rPr>
      </w:pPr>
      <w:r w:rsidRPr="00496AE7">
        <w:rPr>
          <w:rFonts w:ascii="Arial" w:hAnsi="Arial" w:cs="Arial"/>
        </w:rPr>
        <w:t>The analysis of ways for increasing employee engagement while introducing flexible working hours has underlined the significance of clear communication, technical support, and cultivating a culture of trust and accountability. Despite the potential benefits, obstacles such as preserving teamwork and resolving any imbalances must be overcome.</w:t>
      </w:r>
    </w:p>
    <w:p w14:paraId="1F24BB47" w14:textId="34160FF7" w:rsidR="0021246C" w:rsidRPr="00496AE7" w:rsidRDefault="0021246C" w:rsidP="00496AE7">
      <w:pPr>
        <w:spacing w:line="360" w:lineRule="auto"/>
        <w:jc w:val="both"/>
        <w:rPr>
          <w:rFonts w:ascii="Arial" w:hAnsi="Arial" w:cs="Arial"/>
        </w:rPr>
      </w:pPr>
      <w:r w:rsidRPr="00496AE7">
        <w:rPr>
          <w:rFonts w:ascii="Arial" w:hAnsi="Arial" w:cs="Arial"/>
        </w:rPr>
        <w:t xml:space="preserve">Theoretically, this study contributes to the growing body of literature on hybrid working and its impact on organisational dynamics. Practical implications suggest that organisations such as </w:t>
      </w:r>
      <w:proofErr w:type="spellStart"/>
      <w:r w:rsidRPr="00496AE7">
        <w:rPr>
          <w:rFonts w:ascii="Arial" w:hAnsi="Arial" w:cs="Arial"/>
        </w:rPr>
        <w:lastRenderedPageBreak/>
        <w:t>AgroTools</w:t>
      </w:r>
      <w:proofErr w:type="spellEnd"/>
      <w:r w:rsidRPr="00496AE7">
        <w:rPr>
          <w:rFonts w:ascii="Arial" w:hAnsi="Arial" w:cs="Arial"/>
        </w:rPr>
        <w:t xml:space="preserve"> must carefully consider their workforce's unique needs and challenges before developing tailored strategies to successfully implement flexible working.</w:t>
      </w:r>
    </w:p>
    <w:p w14:paraId="3EA37E6E" w14:textId="213604A6" w:rsidR="0021246C" w:rsidRPr="00496AE7" w:rsidRDefault="0021246C" w:rsidP="00496AE7">
      <w:pPr>
        <w:spacing w:line="360" w:lineRule="auto"/>
        <w:jc w:val="both"/>
        <w:rPr>
          <w:rFonts w:ascii="Arial" w:hAnsi="Arial" w:cs="Arial"/>
        </w:rPr>
      </w:pPr>
      <w:proofErr w:type="spellStart"/>
      <w:r w:rsidRPr="00496AE7">
        <w:rPr>
          <w:rFonts w:ascii="Arial" w:hAnsi="Arial" w:cs="Arial"/>
        </w:rPr>
        <w:t>AgroTools</w:t>
      </w:r>
      <w:proofErr w:type="spellEnd"/>
      <w:r w:rsidRPr="00496AE7">
        <w:rPr>
          <w:rFonts w:ascii="Arial" w:hAnsi="Arial" w:cs="Arial"/>
        </w:rPr>
        <w:t xml:space="preserve"> should conduct comprehensive assessments of employee needs and preferences, develop clear policies and guidelines for flexible working, provide adequate training and support for managers and employees, and regularly evaluate the effectiveness of flexible working arrangements. Furthermore, future research might look into the long-term consequences of hybrid working on organisational success and employee well-being.</w:t>
      </w:r>
    </w:p>
    <w:p w14:paraId="7FCBE99D" w14:textId="0C6DC96F" w:rsidR="0021246C" w:rsidRDefault="0021246C" w:rsidP="00496AE7">
      <w:pPr>
        <w:spacing w:line="360" w:lineRule="auto"/>
        <w:jc w:val="both"/>
        <w:rPr>
          <w:rFonts w:ascii="Arial" w:hAnsi="Arial" w:cs="Arial"/>
        </w:rPr>
      </w:pPr>
      <w:r w:rsidRPr="00496AE7">
        <w:rPr>
          <w:rFonts w:ascii="Arial" w:hAnsi="Arial" w:cs="Arial"/>
        </w:rPr>
        <w:t xml:space="preserve">Overall, embracing flexible working will help </w:t>
      </w:r>
      <w:proofErr w:type="spellStart"/>
      <w:r w:rsidRPr="00496AE7">
        <w:rPr>
          <w:rFonts w:ascii="Arial" w:hAnsi="Arial" w:cs="Arial"/>
        </w:rPr>
        <w:t>AgroTools</w:t>
      </w:r>
      <w:proofErr w:type="spellEnd"/>
      <w:r w:rsidRPr="00496AE7">
        <w:rPr>
          <w:rFonts w:ascii="Arial" w:hAnsi="Arial" w:cs="Arial"/>
        </w:rPr>
        <w:t xml:space="preserve"> become a preferred employer in the post-pandemic age, attracting top talent and increasing employee satisfaction and productivity. By proactively addressing obstacles and capitalising on the benefits of hybrid working, </w:t>
      </w:r>
      <w:proofErr w:type="spellStart"/>
      <w:r w:rsidRPr="00496AE7">
        <w:rPr>
          <w:rFonts w:ascii="Arial" w:hAnsi="Arial" w:cs="Arial"/>
        </w:rPr>
        <w:t>AgroTools</w:t>
      </w:r>
      <w:proofErr w:type="spellEnd"/>
      <w:r w:rsidRPr="00496AE7">
        <w:rPr>
          <w:rFonts w:ascii="Arial" w:hAnsi="Arial" w:cs="Arial"/>
        </w:rPr>
        <w:t xml:space="preserve"> can succeed in an increasingly competitive market while maintaining a healthy work environment for its employees.</w:t>
      </w:r>
    </w:p>
    <w:p w14:paraId="78A1A5B1" w14:textId="23C71611" w:rsidR="00496AE7" w:rsidRPr="00F10472" w:rsidRDefault="00496AE7" w:rsidP="00496AE7">
      <w:pPr>
        <w:spacing w:line="360" w:lineRule="auto"/>
        <w:jc w:val="both"/>
        <w:rPr>
          <w:rFonts w:ascii="Arial" w:hAnsi="Arial" w:cs="Arial"/>
          <w:b/>
          <w:bCs/>
          <w:sz w:val="28"/>
          <w:szCs w:val="28"/>
        </w:rPr>
      </w:pPr>
      <w:r w:rsidRPr="00F10472">
        <w:rPr>
          <w:rFonts w:ascii="Arial" w:hAnsi="Arial" w:cs="Arial"/>
          <w:b/>
          <w:bCs/>
          <w:sz w:val="28"/>
          <w:szCs w:val="28"/>
        </w:rPr>
        <w:t>References</w:t>
      </w:r>
    </w:p>
    <w:p w14:paraId="310AD0A8" w14:textId="2ADF0695" w:rsidR="00496AE7" w:rsidRPr="00F10472" w:rsidRDefault="00F10472" w:rsidP="00F10472">
      <w:pPr>
        <w:spacing w:line="360" w:lineRule="auto"/>
        <w:jc w:val="both"/>
        <w:rPr>
          <w:rFonts w:ascii="Arial" w:hAnsi="Arial" w:cs="Arial"/>
        </w:rPr>
      </w:pPr>
      <w:r w:rsidRPr="00F10472">
        <w:rPr>
          <w:rFonts w:ascii="Arial" w:hAnsi="Arial" w:cs="Arial"/>
        </w:rPr>
        <w:t xml:space="preserve">Bloom, N., Liang, J., Roberts, J., </w:t>
      </w:r>
      <w:r w:rsidRPr="00F10472">
        <w:rPr>
          <w:rFonts w:ascii="Arial" w:hAnsi="Arial" w:cs="Arial"/>
        </w:rPr>
        <w:t>and</w:t>
      </w:r>
      <w:r w:rsidRPr="00F10472">
        <w:rPr>
          <w:rFonts w:ascii="Arial" w:hAnsi="Arial" w:cs="Arial"/>
        </w:rPr>
        <w:t xml:space="preserve"> Ying, Z. J. (2015). </w:t>
      </w:r>
      <w:r w:rsidRPr="00F10472">
        <w:rPr>
          <w:rFonts w:ascii="Arial" w:hAnsi="Arial" w:cs="Arial"/>
        </w:rPr>
        <w:t>‘</w:t>
      </w:r>
      <w:r w:rsidRPr="00F10472">
        <w:rPr>
          <w:rFonts w:ascii="Arial" w:hAnsi="Arial" w:cs="Arial"/>
        </w:rPr>
        <w:t>Does working from home work? Evidence from a Chinese experiment</w:t>
      </w:r>
      <w:r w:rsidRPr="00F10472">
        <w:rPr>
          <w:rFonts w:ascii="Arial" w:hAnsi="Arial" w:cs="Arial"/>
        </w:rPr>
        <w:t>’</w:t>
      </w:r>
      <w:r w:rsidRPr="00F10472">
        <w:rPr>
          <w:rFonts w:ascii="Arial" w:hAnsi="Arial" w:cs="Arial"/>
        </w:rPr>
        <w:t xml:space="preserve">. </w:t>
      </w:r>
      <w:r w:rsidRPr="00F10472">
        <w:rPr>
          <w:rFonts w:ascii="Arial" w:hAnsi="Arial" w:cs="Arial"/>
          <w:i/>
          <w:iCs/>
        </w:rPr>
        <w:t>The Quarterly Journal of Economics</w:t>
      </w:r>
      <w:r w:rsidRPr="00F10472">
        <w:rPr>
          <w:rFonts w:ascii="Arial" w:hAnsi="Arial" w:cs="Arial"/>
        </w:rPr>
        <w:t>, 130(1), 165-218</w:t>
      </w:r>
      <w:r w:rsidRPr="00F10472">
        <w:rPr>
          <w:rFonts w:ascii="Arial" w:hAnsi="Arial" w:cs="Arial"/>
        </w:rPr>
        <w:t>.</w:t>
      </w:r>
    </w:p>
    <w:p w14:paraId="47F440D7" w14:textId="18561783" w:rsidR="00F10472" w:rsidRPr="00F10472" w:rsidRDefault="00F10472" w:rsidP="00F10472">
      <w:pPr>
        <w:spacing w:line="360" w:lineRule="auto"/>
        <w:jc w:val="both"/>
        <w:rPr>
          <w:rFonts w:ascii="Arial" w:hAnsi="Arial" w:cs="Arial"/>
        </w:rPr>
      </w:pPr>
      <w:r w:rsidRPr="00F10472">
        <w:rPr>
          <w:rFonts w:ascii="Arial" w:hAnsi="Arial" w:cs="Arial"/>
        </w:rPr>
        <w:t xml:space="preserve">Golden, T. D., </w:t>
      </w:r>
      <w:r w:rsidRPr="00F10472">
        <w:rPr>
          <w:rFonts w:ascii="Arial" w:hAnsi="Arial" w:cs="Arial"/>
        </w:rPr>
        <w:t>and</w:t>
      </w:r>
      <w:r w:rsidRPr="00F10472">
        <w:rPr>
          <w:rFonts w:ascii="Arial" w:hAnsi="Arial" w:cs="Arial"/>
        </w:rPr>
        <w:t xml:space="preserve"> Veiga, J. F. (2005). </w:t>
      </w:r>
      <w:r w:rsidRPr="00F10472">
        <w:rPr>
          <w:rFonts w:ascii="Arial" w:hAnsi="Arial" w:cs="Arial"/>
        </w:rPr>
        <w:t>‘</w:t>
      </w:r>
      <w:r w:rsidRPr="00F10472">
        <w:rPr>
          <w:rFonts w:ascii="Arial" w:hAnsi="Arial" w:cs="Arial"/>
        </w:rPr>
        <w:t>The impact of superior-subordinate relationships on the commitment, job satisfaction, and performance of virtual workers</w:t>
      </w:r>
      <w:r w:rsidRPr="00F10472">
        <w:rPr>
          <w:rFonts w:ascii="Arial" w:hAnsi="Arial" w:cs="Arial"/>
        </w:rPr>
        <w:t>’</w:t>
      </w:r>
      <w:r w:rsidRPr="00F10472">
        <w:rPr>
          <w:rFonts w:ascii="Arial" w:hAnsi="Arial" w:cs="Arial"/>
        </w:rPr>
        <w:t xml:space="preserve">. </w:t>
      </w:r>
      <w:r w:rsidRPr="00F10472">
        <w:rPr>
          <w:rFonts w:ascii="Arial" w:hAnsi="Arial" w:cs="Arial"/>
          <w:i/>
          <w:iCs/>
        </w:rPr>
        <w:t>The Leadership Quarterly</w:t>
      </w:r>
      <w:r w:rsidRPr="00F10472">
        <w:rPr>
          <w:rFonts w:ascii="Arial" w:hAnsi="Arial" w:cs="Arial"/>
        </w:rPr>
        <w:t>, 16(6), 867-885.</w:t>
      </w:r>
    </w:p>
    <w:p w14:paraId="15A0721E" w14:textId="3751320D" w:rsidR="00F10472" w:rsidRPr="00F10472" w:rsidRDefault="00F10472" w:rsidP="00F10472">
      <w:pPr>
        <w:spacing w:line="360" w:lineRule="auto"/>
        <w:jc w:val="both"/>
        <w:rPr>
          <w:rFonts w:ascii="Arial" w:hAnsi="Arial" w:cs="Arial"/>
        </w:rPr>
      </w:pPr>
      <w:r w:rsidRPr="00F10472">
        <w:rPr>
          <w:rFonts w:ascii="Arial" w:hAnsi="Arial" w:cs="Arial"/>
        </w:rPr>
        <w:t xml:space="preserve">Grant, A. M., Fried, Y., </w:t>
      </w:r>
      <w:r w:rsidRPr="00F10472">
        <w:rPr>
          <w:rFonts w:ascii="Arial" w:hAnsi="Arial" w:cs="Arial"/>
        </w:rPr>
        <w:t xml:space="preserve">and </w:t>
      </w:r>
      <w:r w:rsidRPr="00F10472">
        <w:rPr>
          <w:rFonts w:ascii="Arial" w:hAnsi="Arial" w:cs="Arial"/>
        </w:rPr>
        <w:t xml:space="preserve">Juillerat, T. (2013). </w:t>
      </w:r>
      <w:r w:rsidRPr="00F10472">
        <w:rPr>
          <w:rFonts w:ascii="Arial" w:hAnsi="Arial" w:cs="Arial"/>
        </w:rPr>
        <w:t>‘</w:t>
      </w:r>
      <w:r w:rsidRPr="00F10472">
        <w:rPr>
          <w:rFonts w:ascii="Arial" w:hAnsi="Arial" w:cs="Arial"/>
        </w:rPr>
        <w:t>Work matters: Job design in classic and contemporary perspectives</w:t>
      </w:r>
      <w:r w:rsidRPr="00F10472">
        <w:rPr>
          <w:rFonts w:ascii="Arial" w:hAnsi="Arial" w:cs="Arial"/>
        </w:rPr>
        <w:t>’</w:t>
      </w:r>
      <w:r w:rsidRPr="00F10472">
        <w:rPr>
          <w:rFonts w:ascii="Arial" w:hAnsi="Arial" w:cs="Arial"/>
        </w:rPr>
        <w:t>. Routledge.</w:t>
      </w:r>
    </w:p>
    <w:p w14:paraId="4F0D7426" w14:textId="58DE9686" w:rsidR="00F10472" w:rsidRPr="00F10472" w:rsidRDefault="00F10472" w:rsidP="00F10472">
      <w:pPr>
        <w:spacing w:line="360" w:lineRule="auto"/>
        <w:jc w:val="both"/>
        <w:rPr>
          <w:rFonts w:ascii="Arial" w:hAnsi="Arial" w:cs="Arial"/>
        </w:rPr>
      </w:pPr>
      <w:r w:rsidRPr="00F10472">
        <w:rPr>
          <w:rFonts w:ascii="Arial" w:hAnsi="Arial" w:cs="Arial"/>
        </w:rPr>
        <w:t xml:space="preserve">Hill, E. J., </w:t>
      </w:r>
      <w:r w:rsidRPr="00F10472">
        <w:rPr>
          <w:rFonts w:ascii="Arial" w:hAnsi="Arial" w:cs="Arial"/>
        </w:rPr>
        <w:t xml:space="preserve">et all. </w:t>
      </w:r>
      <w:r w:rsidRPr="00F10472">
        <w:rPr>
          <w:rFonts w:ascii="Arial" w:hAnsi="Arial" w:cs="Arial"/>
        </w:rPr>
        <w:t xml:space="preserve">(2001). </w:t>
      </w:r>
      <w:r w:rsidRPr="00F10472">
        <w:rPr>
          <w:rFonts w:ascii="Arial" w:hAnsi="Arial" w:cs="Arial"/>
        </w:rPr>
        <w:t>‘</w:t>
      </w:r>
      <w:r w:rsidRPr="00F10472">
        <w:rPr>
          <w:rFonts w:ascii="Arial" w:hAnsi="Arial" w:cs="Arial"/>
        </w:rPr>
        <w:t>Finding an extra day a week: The positive influence of perceived job flexibility on work and family life balance</w:t>
      </w:r>
      <w:r w:rsidRPr="00F10472">
        <w:rPr>
          <w:rFonts w:ascii="Arial" w:hAnsi="Arial" w:cs="Arial"/>
        </w:rPr>
        <w:t>’</w:t>
      </w:r>
      <w:r w:rsidRPr="00F10472">
        <w:rPr>
          <w:rFonts w:ascii="Arial" w:hAnsi="Arial" w:cs="Arial"/>
        </w:rPr>
        <w:t xml:space="preserve">. </w:t>
      </w:r>
      <w:r w:rsidRPr="00F10472">
        <w:rPr>
          <w:rFonts w:ascii="Arial" w:hAnsi="Arial" w:cs="Arial"/>
          <w:i/>
          <w:iCs/>
        </w:rPr>
        <w:t>Family Relations</w:t>
      </w:r>
      <w:r w:rsidRPr="00F10472">
        <w:rPr>
          <w:rFonts w:ascii="Arial" w:hAnsi="Arial" w:cs="Arial"/>
        </w:rPr>
        <w:t>, 50(1), 49-58.</w:t>
      </w:r>
    </w:p>
    <w:p w14:paraId="5E6E81AD" w14:textId="7C956291" w:rsidR="00F10472" w:rsidRPr="00F10472" w:rsidRDefault="00F10472" w:rsidP="00F10472">
      <w:pPr>
        <w:spacing w:line="360" w:lineRule="auto"/>
        <w:jc w:val="both"/>
        <w:rPr>
          <w:rFonts w:ascii="Arial" w:hAnsi="Arial" w:cs="Arial"/>
        </w:rPr>
      </w:pPr>
      <w:r w:rsidRPr="00F10472">
        <w:rPr>
          <w:rFonts w:ascii="Arial" w:hAnsi="Arial" w:cs="Arial"/>
        </w:rPr>
        <w:t xml:space="preserve">Raghuram, S., Wiesenfeld, B. M., </w:t>
      </w:r>
      <w:r w:rsidRPr="00F10472">
        <w:rPr>
          <w:rFonts w:ascii="Arial" w:hAnsi="Arial" w:cs="Arial"/>
        </w:rPr>
        <w:t>and</w:t>
      </w:r>
      <w:r w:rsidRPr="00F10472">
        <w:rPr>
          <w:rFonts w:ascii="Arial" w:hAnsi="Arial" w:cs="Arial"/>
        </w:rPr>
        <w:t xml:space="preserve"> Garud, R. (2003). </w:t>
      </w:r>
      <w:r w:rsidRPr="00F10472">
        <w:rPr>
          <w:rFonts w:ascii="Arial" w:hAnsi="Arial" w:cs="Arial"/>
        </w:rPr>
        <w:t>‘</w:t>
      </w:r>
      <w:r w:rsidRPr="00F10472">
        <w:rPr>
          <w:rFonts w:ascii="Arial" w:hAnsi="Arial" w:cs="Arial"/>
        </w:rPr>
        <w:t xml:space="preserve">Technology enabled work: The role of self-efficacy in determining telecommuter adjustment and structuring </w:t>
      </w:r>
      <w:r w:rsidRPr="00F10472">
        <w:rPr>
          <w:rFonts w:ascii="Arial" w:hAnsi="Arial" w:cs="Arial"/>
        </w:rPr>
        <w:t>behaviour’</w:t>
      </w:r>
      <w:r w:rsidRPr="00F10472">
        <w:rPr>
          <w:rFonts w:ascii="Arial" w:hAnsi="Arial" w:cs="Arial"/>
        </w:rPr>
        <w:t xml:space="preserve">. </w:t>
      </w:r>
      <w:r w:rsidRPr="00F10472">
        <w:rPr>
          <w:rFonts w:ascii="Arial" w:hAnsi="Arial" w:cs="Arial"/>
          <w:i/>
          <w:iCs/>
        </w:rPr>
        <w:t xml:space="preserve">Journal of Vocational </w:t>
      </w:r>
      <w:r w:rsidRPr="00F10472">
        <w:rPr>
          <w:rFonts w:ascii="Arial" w:hAnsi="Arial" w:cs="Arial"/>
          <w:i/>
          <w:iCs/>
        </w:rPr>
        <w:t>Behaviour</w:t>
      </w:r>
      <w:r w:rsidRPr="00F10472">
        <w:rPr>
          <w:rFonts w:ascii="Arial" w:hAnsi="Arial" w:cs="Arial"/>
        </w:rPr>
        <w:t>, 63(2), 180-198.</w:t>
      </w:r>
    </w:p>
    <w:p w14:paraId="536E7721" w14:textId="77777777" w:rsidR="00F10472" w:rsidRPr="00496AE7" w:rsidRDefault="00F10472" w:rsidP="00496AE7">
      <w:pPr>
        <w:spacing w:line="360" w:lineRule="auto"/>
        <w:jc w:val="both"/>
        <w:rPr>
          <w:rFonts w:ascii="Arial" w:hAnsi="Arial" w:cs="Arial"/>
        </w:rPr>
      </w:pPr>
    </w:p>
    <w:sectPr w:rsidR="00F10472" w:rsidRPr="00496AE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FE612" w14:textId="77777777" w:rsidR="00EB11A0" w:rsidRDefault="00EB11A0" w:rsidP="00F10472">
      <w:pPr>
        <w:spacing w:after="0" w:line="240" w:lineRule="auto"/>
      </w:pPr>
      <w:r>
        <w:separator/>
      </w:r>
    </w:p>
  </w:endnote>
  <w:endnote w:type="continuationSeparator" w:id="0">
    <w:p w14:paraId="774EA7A9" w14:textId="77777777" w:rsidR="00EB11A0" w:rsidRDefault="00EB11A0" w:rsidP="00F10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212721"/>
      <w:docPartObj>
        <w:docPartGallery w:val="Page Numbers (Bottom of Page)"/>
        <w:docPartUnique/>
      </w:docPartObj>
    </w:sdtPr>
    <w:sdtContent>
      <w:p w14:paraId="7CB24018" w14:textId="33C7A81C" w:rsidR="00F10472" w:rsidRDefault="00F10472">
        <w:pPr>
          <w:pStyle w:val="Footer"/>
          <w:jc w:val="center"/>
        </w:pPr>
        <w:r>
          <w:fldChar w:fldCharType="begin"/>
        </w:r>
        <w:r>
          <w:instrText>PAGE   \* MERGEFORMAT</w:instrText>
        </w:r>
        <w:r>
          <w:fldChar w:fldCharType="separate"/>
        </w:r>
        <w:r>
          <w:t>2</w:t>
        </w:r>
        <w:r>
          <w:fldChar w:fldCharType="end"/>
        </w:r>
      </w:p>
    </w:sdtContent>
  </w:sdt>
  <w:p w14:paraId="6E35D408" w14:textId="77777777" w:rsidR="00F10472" w:rsidRDefault="00F10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2E454" w14:textId="77777777" w:rsidR="00EB11A0" w:rsidRDefault="00EB11A0" w:rsidP="00F10472">
      <w:pPr>
        <w:spacing w:after="0" w:line="240" w:lineRule="auto"/>
      </w:pPr>
      <w:r>
        <w:separator/>
      </w:r>
    </w:p>
  </w:footnote>
  <w:footnote w:type="continuationSeparator" w:id="0">
    <w:p w14:paraId="6D299CE8" w14:textId="77777777" w:rsidR="00EB11A0" w:rsidRDefault="00EB11A0" w:rsidP="00F10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B1432"/>
    <w:multiLevelType w:val="hybridMultilevel"/>
    <w:tmpl w:val="D6587F9E"/>
    <w:lvl w:ilvl="0" w:tplc="1EDC48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901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8B"/>
    <w:rsid w:val="0021246C"/>
    <w:rsid w:val="00496AE7"/>
    <w:rsid w:val="004C60E9"/>
    <w:rsid w:val="00705B9B"/>
    <w:rsid w:val="008F2D6A"/>
    <w:rsid w:val="00957602"/>
    <w:rsid w:val="00D37EA7"/>
    <w:rsid w:val="00E33B30"/>
    <w:rsid w:val="00EB11A0"/>
    <w:rsid w:val="00F10472"/>
    <w:rsid w:val="00F93123"/>
    <w:rsid w:val="00F951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2A268"/>
  <w15:chartTrackingRefBased/>
  <w15:docId w15:val="{BD813DEE-1AE9-46CD-BED2-A24A8B7E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1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1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1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1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1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1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1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1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1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1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1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1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1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1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1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1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1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18B"/>
    <w:rPr>
      <w:rFonts w:eastAsiaTheme="majorEastAsia" w:cstheme="majorBidi"/>
      <w:color w:val="272727" w:themeColor="text1" w:themeTint="D8"/>
    </w:rPr>
  </w:style>
  <w:style w:type="paragraph" w:styleId="Title">
    <w:name w:val="Title"/>
    <w:basedOn w:val="Normal"/>
    <w:next w:val="Normal"/>
    <w:link w:val="TitleChar"/>
    <w:uiPriority w:val="10"/>
    <w:qFormat/>
    <w:rsid w:val="00F951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1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1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1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18B"/>
    <w:pPr>
      <w:spacing w:before="160"/>
      <w:jc w:val="center"/>
    </w:pPr>
    <w:rPr>
      <w:i/>
      <w:iCs/>
      <w:color w:val="404040" w:themeColor="text1" w:themeTint="BF"/>
    </w:rPr>
  </w:style>
  <w:style w:type="character" w:customStyle="1" w:styleId="QuoteChar">
    <w:name w:val="Quote Char"/>
    <w:basedOn w:val="DefaultParagraphFont"/>
    <w:link w:val="Quote"/>
    <w:uiPriority w:val="29"/>
    <w:rsid w:val="00F9518B"/>
    <w:rPr>
      <w:i/>
      <w:iCs/>
      <w:color w:val="404040" w:themeColor="text1" w:themeTint="BF"/>
    </w:rPr>
  </w:style>
  <w:style w:type="paragraph" w:styleId="ListParagraph">
    <w:name w:val="List Paragraph"/>
    <w:basedOn w:val="Normal"/>
    <w:uiPriority w:val="34"/>
    <w:qFormat/>
    <w:rsid w:val="00F9518B"/>
    <w:pPr>
      <w:ind w:left="720"/>
      <w:contextualSpacing/>
    </w:pPr>
  </w:style>
  <w:style w:type="character" w:styleId="IntenseEmphasis">
    <w:name w:val="Intense Emphasis"/>
    <w:basedOn w:val="DefaultParagraphFont"/>
    <w:uiPriority w:val="21"/>
    <w:qFormat/>
    <w:rsid w:val="00F9518B"/>
    <w:rPr>
      <w:i/>
      <w:iCs/>
      <w:color w:val="0F4761" w:themeColor="accent1" w:themeShade="BF"/>
    </w:rPr>
  </w:style>
  <w:style w:type="paragraph" w:styleId="IntenseQuote">
    <w:name w:val="Intense Quote"/>
    <w:basedOn w:val="Normal"/>
    <w:next w:val="Normal"/>
    <w:link w:val="IntenseQuoteChar"/>
    <w:uiPriority w:val="30"/>
    <w:qFormat/>
    <w:rsid w:val="00F95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18B"/>
    <w:rPr>
      <w:i/>
      <w:iCs/>
      <w:color w:val="0F4761" w:themeColor="accent1" w:themeShade="BF"/>
    </w:rPr>
  </w:style>
  <w:style w:type="character" w:styleId="IntenseReference">
    <w:name w:val="Intense Reference"/>
    <w:basedOn w:val="DefaultParagraphFont"/>
    <w:uiPriority w:val="32"/>
    <w:qFormat/>
    <w:rsid w:val="00F9518B"/>
    <w:rPr>
      <w:b/>
      <w:bCs/>
      <w:smallCaps/>
      <w:color w:val="0F4761" w:themeColor="accent1" w:themeShade="BF"/>
      <w:spacing w:val="5"/>
    </w:rPr>
  </w:style>
  <w:style w:type="paragraph" w:styleId="TOCHeading">
    <w:name w:val="TOC Heading"/>
    <w:basedOn w:val="Heading1"/>
    <w:next w:val="Normal"/>
    <w:uiPriority w:val="39"/>
    <w:unhideWhenUsed/>
    <w:qFormat/>
    <w:rsid w:val="00F9518B"/>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F9518B"/>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8F2D6A"/>
    <w:pPr>
      <w:spacing w:after="100" w:line="360" w:lineRule="auto"/>
      <w:jc w:val="both"/>
    </w:pPr>
    <w:rPr>
      <w:rFonts w:ascii="Arial" w:eastAsiaTheme="minorEastAsia" w:hAnsi="Arial" w:cs="Arial"/>
      <w:kern w:val="0"/>
      <w:lang w:eastAsia="en-GB"/>
      <w14:ligatures w14:val="none"/>
    </w:rPr>
  </w:style>
  <w:style w:type="paragraph" w:styleId="TOC3">
    <w:name w:val="toc 3"/>
    <w:basedOn w:val="Normal"/>
    <w:next w:val="Normal"/>
    <w:autoRedefine/>
    <w:uiPriority w:val="39"/>
    <w:unhideWhenUsed/>
    <w:rsid w:val="00F9518B"/>
    <w:pPr>
      <w:spacing w:after="100"/>
      <w:ind w:left="440"/>
    </w:pPr>
    <w:rPr>
      <w:rFonts w:eastAsiaTheme="minorEastAsia" w:cs="Times New Roman"/>
      <w:kern w:val="0"/>
      <w:lang w:eastAsia="en-GB"/>
      <w14:ligatures w14:val="none"/>
    </w:rPr>
  </w:style>
  <w:style w:type="character" w:styleId="Strong">
    <w:name w:val="Strong"/>
    <w:basedOn w:val="DefaultParagraphFont"/>
    <w:uiPriority w:val="22"/>
    <w:qFormat/>
    <w:rsid w:val="00705B9B"/>
    <w:rPr>
      <w:b/>
      <w:bCs/>
    </w:rPr>
  </w:style>
  <w:style w:type="paragraph" w:styleId="Header">
    <w:name w:val="header"/>
    <w:basedOn w:val="Normal"/>
    <w:link w:val="HeaderChar"/>
    <w:uiPriority w:val="99"/>
    <w:unhideWhenUsed/>
    <w:rsid w:val="00F10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472"/>
  </w:style>
  <w:style w:type="paragraph" w:styleId="Footer">
    <w:name w:val="footer"/>
    <w:basedOn w:val="Normal"/>
    <w:link w:val="FooterChar"/>
    <w:uiPriority w:val="99"/>
    <w:unhideWhenUsed/>
    <w:rsid w:val="00F10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883E1-D5C5-40F0-A16E-99830ACC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2</cp:revision>
  <dcterms:created xsi:type="dcterms:W3CDTF">2024-03-27T11:46:00Z</dcterms:created>
  <dcterms:modified xsi:type="dcterms:W3CDTF">2024-03-30T10:02:00Z</dcterms:modified>
</cp:coreProperties>
</file>