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93478B">
      <w:pPr>
        <w:jc w:val="center"/>
      </w:pPr>
    </w:p>
    <w:p w14:paraId="0396B129">
      <w:pPr>
        <w:jc w:val="center"/>
      </w:pPr>
    </w:p>
    <w:p w14:paraId="5E073EEC">
      <w:pPr>
        <w:jc w:val="center"/>
      </w:pPr>
    </w:p>
    <w:p w14:paraId="4399D7C4">
      <w:pPr/>
    </w:p>
    <w:p w14:paraId="4FFDE90B">
      <w:pPr>
        <w:jc w:val="center"/>
      </w:pPr>
    </w:p>
    <w:p w14:paraId="6E7DA5B2">
      <w:pPr>
        <w:pStyle w:val="14"/>
        <w:jc w:val="center"/>
      </w:pPr>
      <w:r>
        <w:t>BMHP5014</w:t>
      </w:r>
    </w:p>
    <w:p w14:paraId="6A40813F">
      <w:pPr>
        <w:jc w:val="center"/>
      </w:pPr>
      <w:r>
        <w:t xml:space="preserve">Assessment: </w:t>
      </w:r>
    </w:p>
    <w:p w14:paraId="654A9B3E">
      <w:pPr>
        <w:jc w:val="center"/>
      </w:pPr>
      <w:r>
        <w:t>Component 1: Online Portfolio of Set Exercises</w:t>
      </w:r>
    </w:p>
    <w:p w14:paraId="7A3283D8">
      <w:pPr>
        <w:jc w:val="center"/>
      </w:pPr>
      <w:r>
        <w:t xml:space="preserve">Student name: </w:t>
      </w:r>
      <w:r>
        <w:rPr>
          <w:lang w:val="en-GB"/>
        </w:rPr>
        <w:t xml:space="preserve">Anna yeboah </w:t>
      </w:r>
    </w:p>
    <w:p w14:paraId="7EF8EC00">
      <w:pPr>
        <w:jc w:val="center"/>
      </w:pPr>
      <w:r>
        <w:t>Student ID number:</w:t>
      </w:r>
      <w:r>
        <w:rPr>
          <w:lang w:val="en-GB"/>
        </w:rPr>
        <w:t>2429957</w:t>
      </w:r>
      <w:r>
        <w:t xml:space="preserve"> </w:t>
      </w:r>
    </w:p>
    <w:p w14:paraId="2E82C9FE">
      <w:pPr>
        <w:jc w:val="center"/>
      </w:pPr>
      <w:r>
        <w:t xml:space="preserve">Lecturer’s name: </w:t>
      </w:r>
      <w:r>
        <w:rPr>
          <w:lang w:val="en-GB"/>
        </w:rPr>
        <w:t xml:space="preserve">Caroline Salami </w:t>
      </w:r>
      <w:bookmarkStart w:id="13" w:name="_GoBack"/>
      <w:bookmarkEnd w:id="13"/>
    </w:p>
    <w:p w14:paraId="5766FAD1">
      <w:pPr>
        <w:jc w:val="center"/>
      </w:pPr>
      <w:r>
        <w:t>Word count: 2048 (Main body)</w:t>
      </w:r>
    </w:p>
    <w:p w14:paraId="280A893B">
      <w:pPr>
        <w:jc w:val="center"/>
      </w:pPr>
    </w:p>
    <w:p w14:paraId="5A617A52">
      <w:pPr>
        <w:spacing w:before="0" w:after="160" w:line="278" w:lineRule="auto"/>
        <w:jc w:val="left"/>
      </w:pPr>
      <w:r>
        <w:br w:type="page"/>
      </w:r>
    </w:p>
    <w:sdt>
      <w:sdtPr>
        <w:rPr>
          <w:rFonts w:ascii="Times New Roman" w:hAnsi="Times New Roman" w:eastAsiaTheme="minorHAnsi" w:cstheme="minorBidi"/>
          <w:color w:val="auto"/>
          <w:kern w:val="2"/>
          <w:sz w:val="24"/>
          <w:szCs w:val="24"/>
          <w:lang w:val="en-GB"/>
          <w14:ligatures w14:val="none"/>
        </w:rPr>
        <w:id w:val="-1224206587"/>
      </w:sdtPr>
      <w:sdtEndPr>
        <w:rPr>
          <w:rFonts w:ascii="Times New Roman" w:hAnsi="Times New Roman" w:eastAsiaTheme="minorHAnsi" w:cstheme="minorBidi"/>
          <w:b/>
          <w:bCs/>
          <w:color w:val="auto"/>
          <w:kern w:val="2"/>
          <w:sz w:val="24"/>
          <w:szCs w:val="24"/>
          <w:lang w:val="en-GB"/>
          <w14:ligatures w14:val="none"/>
        </w:rPr>
      </w:sdtEndPr>
      <w:sdtContent>
        <w:p w14:paraId="42A77EE3">
          <w:pPr>
            <w:pStyle w:val="39"/>
          </w:pPr>
          <w:r>
            <w:t>Contents</w:t>
          </w:r>
        </w:p>
        <w:p w14:paraId="54630DF8">
          <w:pPr>
            <w:pStyle w:val="15"/>
            <w:tabs>
              <w:tab w:val="right" w:leader="dot" w:pos="9350"/>
            </w:tabs>
          </w:pPr>
          <w:r>
            <w:fldChar w:fldCharType="begin"/>
          </w:r>
          <w:r>
            <w:instrText xml:space="preserve"> TOC \o "1-3" \h \z \u </w:instrText>
          </w:r>
          <w:r>
            <w:fldChar w:fldCharType="separate"/>
          </w:r>
          <w:r>
            <w:fldChar w:fldCharType="begin"/>
          </w:r>
          <w:r>
            <w:instrText xml:space="preserve"> HYPERLINK \l "_Toc236264943" </w:instrText>
          </w:r>
          <w:r>
            <w:fldChar w:fldCharType="separate"/>
          </w:r>
          <w:r>
            <w:rPr>
              <w:rStyle w:val="18"/>
              <w:lang w:val="en-US"/>
            </w:rPr>
            <w:t>Introduction</w:t>
          </w:r>
          <w:r>
            <w:tab/>
          </w:r>
          <w:r>
            <w:fldChar w:fldCharType="begin"/>
          </w:r>
          <w:r>
            <w:instrText xml:space="preserve"> PAGEREF _Toc236264943 \h </w:instrText>
          </w:r>
          <w:r>
            <w:fldChar w:fldCharType="separate"/>
          </w:r>
          <w:r>
            <w:t>3</w:t>
          </w:r>
          <w:r>
            <w:fldChar w:fldCharType="end"/>
          </w:r>
          <w:r>
            <w:fldChar w:fldCharType="end"/>
          </w:r>
        </w:p>
        <w:p w14:paraId="771BD01D">
          <w:pPr>
            <w:pStyle w:val="15"/>
            <w:tabs>
              <w:tab w:val="right" w:leader="dot" w:pos="9350"/>
            </w:tabs>
          </w:pPr>
          <w:r>
            <w:fldChar w:fldCharType="begin"/>
          </w:r>
          <w:r>
            <w:instrText xml:space="preserve"> HYPERLINK \l "_Toc236264944" </w:instrText>
          </w:r>
          <w:r>
            <w:fldChar w:fldCharType="separate"/>
          </w:r>
          <w:r>
            <w:rPr>
              <w:rStyle w:val="18"/>
              <w:lang w:val="en-US"/>
            </w:rPr>
            <w:t>Task 1: Defining Key Concepts in Practice</w:t>
          </w:r>
          <w:r>
            <w:tab/>
          </w:r>
          <w:r>
            <w:fldChar w:fldCharType="begin"/>
          </w:r>
          <w:r>
            <w:instrText xml:space="preserve"> PAGEREF _Toc236264944 \h </w:instrText>
          </w:r>
          <w:r>
            <w:fldChar w:fldCharType="separate"/>
          </w:r>
          <w:r>
            <w:t>3</w:t>
          </w:r>
          <w:r>
            <w:fldChar w:fldCharType="end"/>
          </w:r>
          <w:r>
            <w:fldChar w:fldCharType="end"/>
          </w:r>
        </w:p>
        <w:p w14:paraId="010BCD65">
          <w:pPr>
            <w:pStyle w:val="15"/>
            <w:tabs>
              <w:tab w:val="right" w:leader="dot" w:pos="9350"/>
            </w:tabs>
          </w:pPr>
          <w:r>
            <w:fldChar w:fldCharType="begin"/>
          </w:r>
          <w:r>
            <w:instrText xml:space="preserve"> HYPERLINK \l "_Toc236264945" </w:instrText>
          </w:r>
          <w:r>
            <w:fldChar w:fldCharType="separate"/>
          </w:r>
          <w:r>
            <w:rPr>
              <w:rStyle w:val="18"/>
              <w:lang w:val="en-US"/>
            </w:rPr>
            <w:t>Task 2: Mind Map</w:t>
          </w:r>
          <w:r>
            <w:tab/>
          </w:r>
          <w:r>
            <w:fldChar w:fldCharType="begin"/>
          </w:r>
          <w:r>
            <w:instrText xml:space="preserve"> PAGEREF _Toc236264945 \h </w:instrText>
          </w:r>
          <w:r>
            <w:fldChar w:fldCharType="separate"/>
          </w:r>
          <w:r>
            <w:t>4</w:t>
          </w:r>
          <w:r>
            <w:fldChar w:fldCharType="end"/>
          </w:r>
          <w:r>
            <w:fldChar w:fldCharType="end"/>
          </w:r>
        </w:p>
        <w:p w14:paraId="3CD33BB0">
          <w:pPr>
            <w:pStyle w:val="15"/>
            <w:tabs>
              <w:tab w:val="right" w:leader="dot" w:pos="9350"/>
            </w:tabs>
          </w:pPr>
          <w:r>
            <w:fldChar w:fldCharType="begin"/>
          </w:r>
          <w:r>
            <w:instrText xml:space="preserve"> HYPERLINK \l "_Toc236264946" </w:instrText>
          </w:r>
          <w:r>
            <w:fldChar w:fldCharType="separate"/>
          </w:r>
          <w:r>
            <w:rPr>
              <w:rStyle w:val="18"/>
              <w:lang w:val="en-US"/>
            </w:rPr>
            <w:t>Task 3: Self-Reflection on the Group Activity</w:t>
          </w:r>
          <w:r>
            <w:tab/>
          </w:r>
          <w:r>
            <w:fldChar w:fldCharType="begin"/>
          </w:r>
          <w:r>
            <w:instrText xml:space="preserve"> PAGEREF _Toc236264946 \h </w:instrText>
          </w:r>
          <w:r>
            <w:fldChar w:fldCharType="separate"/>
          </w:r>
          <w:r>
            <w:t>5</w:t>
          </w:r>
          <w:r>
            <w:fldChar w:fldCharType="end"/>
          </w:r>
          <w:r>
            <w:fldChar w:fldCharType="end"/>
          </w:r>
        </w:p>
        <w:p w14:paraId="0EA597EC">
          <w:pPr>
            <w:pStyle w:val="15"/>
            <w:tabs>
              <w:tab w:val="right" w:leader="dot" w:pos="9350"/>
            </w:tabs>
          </w:pPr>
          <w:r>
            <w:fldChar w:fldCharType="begin"/>
          </w:r>
          <w:r>
            <w:instrText xml:space="preserve"> HYPERLINK \l "_Toc236264947" </w:instrText>
          </w:r>
          <w:r>
            <w:fldChar w:fldCharType="separate"/>
          </w:r>
          <w:r>
            <w:rPr>
              <w:rStyle w:val="18"/>
              <w:lang w:val="en-US"/>
            </w:rPr>
            <w:t>Task 4: Case Study Analysis of a UK Innovation</w:t>
          </w:r>
          <w:r>
            <w:tab/>
          </w:r>
          <w:r>
            <w:fldChar w:fldCharType="begin"/>
          </w:r>
          <w:r>
            <w:instrText xml:space="preserve"> PAGEREF _Toc236264947 \h </w:instrText>
          </w:r>
          <w:r>
            <w:fldChar w:fldCharType="separate"/>
          </w:r>
          <w:r>
            <w:t>6</w:t>
          </w:r>
          <w:r>
            <w:fldChar w:fldCharType="end"/>
          </w:r>
          <w:r>
            <w:fldChar w:fldCharType="end"/>
          </w:r>
        </w:p>
        <w:p w14:paraId="01C1F488">
          <w:pPr>
            <w:pStyle w:val="15"/>
            <w:tabs>
              <w:tab w:val="right" w:leader="dot" w:pos="9350"/>
            </w:tabs>
          </w:pPr>
          <w:r>
            <w:fldChar w:fldCharType="begin"/>
          </w:r>
          <w:r>
            <w:instrText xml:space="preserve"> HYPERLINK \l "_Toc236264948" </w:instrText>
          </w:r>
          <w:r>
            <w:fldChar w:fldCharType="separate"/>
          </w:r>
          <w:r>
            <w:rPr>
              <w:rStyle w:val="18"/>
              <w:lang w:val="en-US"/>
            </w:rPr>
            <w:t>Task 5: Research Task on Staff Burnout</w:t>
          </w:r>
          <w:r>
            <w:tab/>
          </w:r>
          <w:r>
            <w:fldChar w:fldCharType="begin"/>
          </w:r>
          <w:r>
            <w:instrText xml:space="preserve"> PAGEREF _Toc236264948 \h </w:instrText>
          </w:r>
          <w:r>
            <w:fldChar w:fldCharType="separate"/>
          </w:r>
          <w:r>
            <w:t>6</w:t>
          </w:r>
          <w:r>
            <w:fldChar w:fldCharType="end"/>
          </w:r>
          <w:r>
            <w:fldChar w:fldCharType="end"/>
          </w:r>
        </w:p>
        <w:p w14:paraId="08CEB6F0">
          <w:pPr>
            <w:pStyle w:val="15"/>
            <w:tabs>
              <w:tab w:val="right" w:leader="dot" w:pos="9350"/>
            </w:tabs>
          </w:pPr>
          <w:r>
            <w:fldChar w:fldCharType="begin"/>
          </w:r>
          <w:r>
            <w:instrText xml:space="preserve"> HYPERLINK \l "_Toc236264949" </w:instrText>
          </w:r>
          <w:r>
            <w:fldChar w:fldCharType="separate"/>
          </w:r>
          <w:r>
            <w:rPr>
              <w:rStyle w:val="18"/>
              <w:lang w:val="en-US"/>
            </w:rPr>
            <w:t>Task 6: Exploring Digital Innovation in Health and Social Care</w:t>
          </w:r>
          <w:r>
            <w:tab/>
          </w:r>
          <w:r>
            <w:fldChar w:fldCharType="begin"/>
          </w:r>
          <w:r>
            <w:instrText xml:space="preserve"> PAGEREF _Toc236264949 \h </w:instrText>
          </w:r>
          <w:r>
            <w:fldChar w:fldCharType="separate"/>
          </w:r>
          <w:r>
            <w:t>7</w:t>
          </w:r>
          <w:r>
            <w:fldChar w:fldCharType="end"/>
          </w:r>
          <w:r>
            <w:fldChar w:fldCharType="end"/>
          </w:r>
        </w:p>
        <w:p w14:paraId="7D4CCB23">
          <w:pPr>
            <w:pStyle w:val="15"/>
            <w:tabs>
              <w:tab w:val="right" w:leader="dot" w:pos="9350"/>
            </w:tabs>
          </w:pPr>
          <w:r>
            <w:fldChar w:fldCharType="begin"/>
          </w:r>
          <w:r>
            <w:instrText xml:space="preserve"> HYPERLINK \l "_Toc236264950" </w:instrText>
          </w:r>
          <w:r>
            <w:fldChar w:fldCharType="separate"/>
          </w:r>
          <w:r>
            <w:rPr>
              <w:rStyle w:val="18"/>
              <w:lang w:val="en-US"/>
            </w:rPr>
            <w:t>Task 7: Understanding the NHS Leadership Framework</w:t>
          </w:r>
          <w:r>
            <w:tab/>
          </w:r>
          <w:r>
            <w:fldChar w:fldCharType="begin"/>
          </w:r>
          <w:r>
            <w:instrText xml:space="preserve"> PAGEREF _Toc236264950 \h </w:instrText>
          </w:r>
          <w:r>
            <w:fldChar w:fldCharType="separate"/>
          </w:r>
          <w:r>
            <w:t>8</w:t>
          </w:r>
          <w:r>
            <w:fldChar w:fldCharType="end"/>
          </w:r>
          <w:r>
            <w:fldChar w:fldCharType="end"/>
          </w:r>
        </w:p>
        <w:p w14:paraId="0619E629">
          <w:pPr>
            <w:pStyle w:val="16"/>
            <w:tabs>
              <w:tab w:val="right" w:leader="dot" w:pos="9350"/>
            </w:tabs>
          </w:pPr>
          <w:r>
            <w:fldChar w:fldCharType="begin"/>
          </w:r>
          <w:r>
            <w:instrText xml:space="preserve"> HYPERLINK \l "_Toc236264951" </w:instrText>
          </w:r>
          <w:r>
            <w:fldChar w:fldCharType="separate"/>
          </w:r>
          <w:r>
            <w:rPr>
              <w:rStyle w:val="18"/>
              <w:lang w:val="en-US"/>
            </w:rPr>
            <w:t>1. Overview of the framework</w:t>
          </w:r>
          <w:r>
            <w:tab/>
          </w:r>
          <w:r>
            <w:fldChar w:fldCharType="begin"/>
          </w:r>
          <w:r>
            <w:instrText xml:space="preserve"> PAGEREF _Toc236264951 \h </w:instrText>
          </w:r>
          <w:r>
            <w:fldChar w:fldCharType="separate"/>
          </w:r>
          <w:r>
            <w:t>8</w:t>
          </w:r>
          <w:r>
            <w:fldChar w:fldCharType="end"/>
          </w:r>
          <w:r>
            <w:fldChar w:fldCharType="end"/>
          </w:r>
        </w:p>
        <w:p w14:paraId="2A9F5F2E">
          <w:pPr>
            <w:pStyle w:val="16"/>
            <w:tabs>
              <w:tab w:val="right" w:leader="dot" w:pos="9350"/>
            </w:tabs>
          </w:pPr>
          <w:r>
            <w:fldChar w:fldCharType="begin"/>
          </w:r>
          <w:r>
            <w:instrText xml:space="preserve"> HYPERLINK \l "_Toc236264952" </w:instrText>
          </w:r>
          <w:r>
            <w:fldChar w:fldCharType="separate"/>
          </w:r>
          <w:r>
            <w:rPr>
              <w:rStyle w:val="18"/>
              <w:lang w:val="en-US"/>
            </w:rPr>
            <w:t>2. Selected behaviour: Evaluating information</w:t>
          </w:r>
          <w:r>
            <w:tab/>
          </w:r>
          <w:r>
            <w:fldChar w:fldCharType="begin"/>
          </w:r>
          <w:r>
            <w:instrText xml:space="preserve"> PAGEREF _Toc236264952 \h </w:instrText>
          </w:r>
          <w:r>
            <w:fldChar w:fldCharType="separate"/>
          </w:r>
          <w:r>
            <w:t>8</w:t>
          </w:r>
          <w:r>
            <w:fldChar w:fldCharType="end"/>
          </w:r>
          <w:r>
            <w:fldChar w:fldCharType="end"/>
          </w:r>
        </w:p>
        <w:p w14:paraId="3F132899">
          <w:pPr>
            <w:pStyle w:val="16"/>
            <w:tabs>
              <w:tab w:val="right" w:leader="dot" w:pos="9350"/>
            </w:tabs>
          </w:pPr>
          <w:r>
            <w:fldChar w:fldCharType="begin"/>
          </w:r>
          <w:r>
            <w:instrText xml:space="preserve"> HYPERLINK \l "_Toc236264953" </w:instrText>
          </w:r>
          <w:r>
            <w:fldChar w:fldCharType="separate"/>
          </w:r>
          <w:r>
            <w:rPr>
              <w:rStyle w:val="18"/>
              <w:lang w:val="en-US"/>
            </w:rPr>
            <w:t>3. Leadership, creativity and care</w:t>
          </w:r>
          <w:r>
            <w:tab/>
          </w:r>
          <w:r>
            <w:fldChar w:fldCharType="begin"/>
          </w:r>
          <w:r>
            <w:instrText xml:space="preserve"> PAGEREF _Toc236264953 \h </w:instrText>
          </w:r>
          <w:r>
            <w:fldChar w:fldCharType="separate"/>
          </w:r>
          <w:r>
            <w:t>9</w:t>
          </w:r>
          <w:r>
            <w:fldChar w:fldCharType="end"/>
          </w:r>
          <w:r>
            <w:fldChar w:fldCharType="end"/>
          </w:r>
        </w:p>
        <w:p w14:paraId="5D095AF5">
          <w:pPr>
            <w:pStyle w:val="15"/>
            <w:tabs>
              <w:tab w:val="right" w:leader="dot" w:pos="9350"/>
            </w:tabs>
          </w:pPr>
          <w:r>
            <w:fldChar w:fldCharType="begin"/>
          </w:r>
          <w:r>
            <w:instrText xml:space="preserve"> HYPERLINK \l "_Toc236264954" </w:instrText>
          </w:r>
          <w:r>
            <w:fldChar w:fldCharType="separate"/>
          </w:r>
          <w:r>
            <w:rPr>
              <w:rStyle w:val="18"/>
              <w:lang w:val="en-US"/>
            </w:rPr>
            <w:t>Task 8: Self-Reflection Journal Entry</w:t>
          </w:r>
          <w:r>
            <w:tab/>
          </w:r>
          <w:r>
            <w:fldChar w:fldCharType="begin"/>
          </w:r>
          <w:r>
            <w:instrText xml:space="preserve"> PAGEREF _Toc236264954 \h </w:instrText>
          </w:r>
          <w:r>
            <w:fldChar w:fldCharType="separate"/>
          </w:r>
          <w:r>
            <w:t>9</w:t>
          </w:r>
          <w:r>
            <w:fldChar w:fldCharType="end"/>
          </w:r>
          <w:r>
            <w:fldChar w:fldCharType="end"/>
          </w:r>
        </w:p>
        <w:p w14:paraId="4AF35FFD">
          <w:pPr>
            <w:pStyle w:val="15"/>
            <w:tabs>
              <w:tab w:val="right" w:leader="dot" w:pos="9350"/>
            </w:tabs>
          </w:pPr>
          <w:r>
            <w:fldChar w:fldCharType="begin"/>
          </w:r>
          <w:r>
            <w:instrText xml:space="preserve"> HYPERLINK \l "_Toc236264955" </w:instrText>
          </w:r>
          <w:r>
            <w:fldChar w:fldCharType="separate"/>
          </w:r>
          <w:r>
            <w:rPr>
              <w:rStyle w:val="18"/>
              <w:lang w:val="en-US"/>
            </w:rPr>
            <w:t>Reference List</w:t>
          </w:r>
          <w:r>
            <w:tab/>
          </w:r>
          <w:r>
            <w:fldChar w:fldCharType="begin"/>
          </w:r>
          <w:r>
            <w:instrText xml:space="preserve"> PAGEREF _Toc236264955 \h </w:instrText>
          </w:r>
          <w:r>
            <w:fldChar w:fldCharType="separate"/>
          </w:r>
          <w:r>
            <w:t>10</w:t>
          </w:r>
          <w:r>
            <w:fldChar w:fldCharType="end"/>
          </w:r>
          <w:r>
            <w:fldChar w:fldCharType="end"/>
          </w:r>
        </w:p>
        <w:p w14:paraId="2EBBA3B5">
          <w:pPr/>
          <w:r>
            <w:rPr>
              <w:b/>
              <w:bCs/>
            </w:rPr>
            <w:fldChar w:fldCharType="end"/>
          </w:r>
        </w:p>
      </w:sdtContent>
    </w:sdt>
    <w:p w14:paraId="5724F7E8">
      <w:pPr/>
    </w:p>
    <w:p w14:paraId="0F380926">
      <w:pPr/>
    </w:p>
    <w:p w14:paraId="21A51A20">
      <w:pPr>
        <w:spacing w:before="0" w:after="160" w:line="278" w:lineRule="auto"/>
        <w:jc w:val="left"/>
      </w:pPr>
      <w:r>
        <w:br w:type="page"/>
      </w:r>
    </w:p>
    <w:p w14:paraId="455D87FE">
      <w:pPr>
        <w:pStyle w:val="2"/>
        <w:rPr>
          <w:lang w:val="en-US"/>
        </w:rPr>
      </w:pPr>
      <w:bookmarkStart w:id="0" w:name="_Toc236264943"/>
      <w:r>
        <w:rPr>
          <w:lang w:val="en-US"/>
        </w:rPr>
        <w:t>Introduction</w:t>
      </w:r>
      <w:bookmarkEnd w:id="0"/>
    </w:p>
    <w:p w14:paraId="69DE9DE5">
      <w:pPr>
        <w:rPr>
          <w:lang w:val="en-US"/>
        </w:rPr>
      </w:pPr>
      <w:r>
        <w:rPr>
          <w:lang w:val="en-US"/>
        </w:rPr>
        <w:t>This portfolio aims to examine and articulate how creativity, the process of innovation, value creation and leadership can contribute to improving health and social care. It contains conceptual exposition, systems analysis, reflection and research, with examples from UK practice. Creativity is seen as a structured way of meeting needs, developing ideas, testing options and determining if the ideas offer equitable and reasonable service benefits for service users, staff and service systems.</w:t>
      </w:r>
    </w:p>
    <w:p w14:paraId="4A3D6A7D">
      <w:pPr>
        <w:pStyle w:val="2"/>
        <w:rPr>
          <w:lang w:val="en-US"/>
        </w:rPr>
      </w:pPr>
      <w:bookmarkStart w:id="1" w:name="_Toc236264944"/>
      <w:r>
        <w:rPr>
          <w:lang w:val="en-US"/>
        </w:rPr>
        <w:t>Task 1: Defining Key Concepts in Practice</w:t>
      </w:r>
      <w:bookmarkEnd w:id="1"/>
    </w:p>
    <w:p w14:paraId="3813B4EF">
      <w:pPr>
        <w:rPr>
          <w:b/>
          <w:bCs/>
          <w:lang w:val="en-US"/>
        </w:rPr>
      </w:pPr>
      <w:r>
        <w:rPr>
          <w:b/>
          <w:bCs/>
          <w:lang w:val="en-US"/>
        </w:rPr>
        <w:t xml:space="preserve">Innovation: </w:t>
      </w:r>
      <w:r>
        <w:rPr>
          <w:lang w:val="en-US"/>
        </w:rPr>
        <w:t xml:space="preserve">Innovation is the conscious introduction of something new or considerably changed in the delivery of care, services, processes or technology. Unlike invention, innovation is not complete until an idea is put into use for the purpose of achieving benefit. Innovation is important because services are challenged by the ever-evolving population needs, shortage of workforce and financial constraints. Diffusion of Innovation theory could be applied because acceptance is related to the perceived benefit, compatibility and support offered to those who will adopt it. A virtual ward is one example of a clinical review and monitoring system used to manage a small group of patients who would otherwise be managed in a hospital setting but are instead managed at home. Thus, innovation concerns the question of how to implement an improvement as well as the improvement idea itself (Moralee et al., 2025). </w:t>
      </w:r>
    </w:p>
    <w:p w14:paraId="375DA503">
      <w:pPr>
        <w:rPr>
          <w:b/>
          <w:bCs/>
          <w:lang w:val="en-US"/>
        </w:rPr>
      </w:pPr>
      <w:r>
        <w:rPr>
          <w:b/>
          <w:bCs/>
          <w:lang w:val="en-US"/>
        </w:rPr>
        <w:t xml:space="preserve">Creativity: </w:t>
      </w:r>
      <w:r>
        <w:rPr>
          <w:lang w:val="en-US"/>
        </w:rPr>
        <w:t>Creativity is the generation of unusual and appropriate ideas in a given situation. It involves challenging beliefs, rethinking and remaking solutions, and connecting information in a different way. The systems perspective is built on the premise that creativity occurs when people, teams, expertise and environment interact. Creativity is important because there is no single solution to address complex care needs. For example, a complex discharge leaflet can be updated using language that is easy to understand, pictures and translated versions, by a multidisciplinary team with the involvement of the patients.</w:t>
      </w:r>
    </w:p>
    <w:p w14:paraId="56717989">
      <w:pPr>
        <w:rPr>
          <w:b/>
          <w:bCs/>
          <w:lang w:val="en-US"/>
        </w:rPr>
      </w:pPr>
      <w:r>
        <w:rPr>
          <w:b/>
          <w:bCs/>
          <w:lang w:val="en-US"/>
        </w:rPr>
        <w:t xml:space="preserve">Value creation: </w:t>
      </w:r>
      <w:r>
        <w:rPr>
          <w:lang w:val="en-US"/>
        </w:rPr>
        <w:t>Value creation is the process of utilising resources to achieve outcomes of value to service users, staff and the wider care system. Value-based healthcare is centred on the question: what value does an improvement create in relation to the resources required to deliver it?. For example, a care navigator could help a person reach the appropriate community service at the appropriate time, avoiding multiple appointments and improving continuity of care. Change creates value not through activity alone, but when that activity produces meaningful benefits (Moralee et al., 2025).</w:t>
      </w:r>
    </w:p>
    <w:p w14:paraId="5AD1B95B">
      <w:pPr>
        <w:rPr>
          <w:b/>
          <w:bCs/>
          <w:lang w:val="en-US"/>
        </w:rPr>
      </w:pPr>
      <w:r>
        <w:rPr>
          <w:b/>
          <w:bCs/>
          <w:lang w:val="en-US"/>
        </w:rPr>
        <w:t xml:space="preserve">Change: </w:t>
      </w:r>
      <w:r>
        <w:rPr>
          <w:lang w:val="en-US"/>
        </w:rPr>
        <w:t>Change is a journey from the current practice towards a desired one. It is not simply a new policy; it involves behavioural, cultural and organisational adjustment. Lewin's model implies that there are 3 steps involved in change: unfreeze the current practice, introduce new behaviour, and freeze the change into a new practice. This is important because innovations may not succeed when staff are excluded or insufficiently trained. Change leadership focuses on the ‘why’, which is the purpose behind improvement, and the important ‘how’ needed to support staff (Curtis and Cullen, 2017).</w:t>
      </w:r>
    </w:p>
    <w:p w14:paraId="4FCF515C">
      <w:pPr>
        <w:pStyle w:val="2"/>
        <w:rPr>
          <w:lang w:val="en-US"/>
        </w:rPr>
      </w:pPr>
      <w:bookmarkStart w:id="2" w:name="_Toc236264945"/>
      <w:r>
        <w:rPr>
          <w:lang w:val="en-US"/>
        </w:rPr>
        <w:t>Task 2: Mind Map</w:t>
      </w:r>
      <w:bookmarkEnd w:id="2"/>
    </w:p>
    <w:p w14:paraId="672A863E">
      <w:pPr>
        <w:rPr>
          <w:b/>
          <w:bCs/>
          <w:lang w:val="en-US"/>
        </w:rPr>
      </w:pPr>
      <w:r>
        <w:drawing>
          <wp:inline distT="0" distB="0" distL="0" distR="0">
            <wp:extent cx="5943600" cy="3443605"/>
            <wp:effectExtent l="0" t="0" r="0" b="0"/>
            <wp:docPr id="7721656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65671" name="Picture 2"/>
                    <pic:cNvPicPr>
                      <a:picLocks noChangeAspect="1" noChangeArrowheads="1"/>
                    </pic:cNvPicPr>
                  </pic:nvPicPr>
                  <pic:blipFill>
                    <a:blip r:embed="rId5">
                      <a:extLst>
                        <a:ext uri="{28A0092B-C50C-407E-A947-70E740481C1C}">
                          <a14:useLocalDpi xmlns:a14="http://schemas.microsoft.com/office/drawing/2010/main" val="0"/>
                        </a:ext>
                      </a:extLst>
                    </a:blip>
                    <a:srcRect b="8482"/>
                    <a:stretch>
                      <a:fillRect/>
                    </a:stretch>
                  </pic:blipFill>
                  <pic:spPr>
                    <a:xfrm>
                      <a:off x="0" y="0"/>
                      <a:ext cx="5943600" cy="3443844"/>
                    </a:xfrm>
                    <a:prstGeom prst="rect">
                      <a:avLst/>
                    </a:prstGeom>
                    <a:noFill/>
                    <a:ln>
                      <a:noFill/>
                    </a:ln>
                  </pic:spPr>
                </pic:pic>
              </a:graphicData>
            </a:graphic>
          </wp:inline>
        </w:drawing>
      </w:r>
    </w:p>
    <w:p w14:paraId="3B767E96">
      <w:pPr>
        <w:jc w:val="center"/>
        <w:rPr>
          <w:lang w:val="en-US"/>
        </w:rPr>
      </w:pPr>
      <w:r>
        <w:rPr>
          <w:lang w:val="en-US"/>
        </w:rPr>
        <w:t>Figure 1: The figure shows the Mind Map of how Staff Burnout Impacts Healthcare.</w:t>
      </w:r>
    </w:p>
    <w:p w14:paraId="49645E8E">
      <w:pPr>
        <w:rPr>
          <w:lang w:val="en-US"/>
        </w:rPr>
      </w:pPr>
      <w:r>
        <w:rPr>
          <w:lang w:val="en-US"/>
        </w:rPr>
        <w:t xml:space="preserve">Staff burnout is important because staff experiencing burnout may not be able to deliver compassionate, safe and consistent care. As shown on the map, workload, staffing, autonomy, emotional demands and administration are interrelated, while absenteeism and turnover can place further pressure on remaining staff. Systems thinking can be used as it is concerned with relationships and feedback rather than any one person or cause (Johnson, Anderson and Rossow, 2018). </w:t>
      </w:r>
    </w:p>
    <w:p w14:paraId="0FAB57E8">
      <w:pPr>
        <w:pStyle w:val="2"/>
        <w:rPr>
          <w:lang w:val="en-US"/>
        </w:rPr>
      </w:pPr>
      <w:bookmarkStart w:id="3" w:name="_Toc236264946"/>
      <w:r>
        <w:rPr>
          <w:lang w:val="en-US"/>
        </w:rPr>
        <w:t>Task 3: Self-Reflection on the Group Activity</w:t>
      </w:r>
      <w:bookmarkEnd w:id="3"/>
    </w:p>
    <w:p w14:paraId="7D53D664">
      <w:pPr>
        <w:rPr>
          <w:lang w:val="en-US"/>
        </w:rPr>
      </w:pPr>
      <w:r>
        <w:rPr>
          <w:lang w:val="en-US"/>
        </w:rPr>
        <w:t xml:space="preserve">This structured reflection is based on Gibbs’ reflective cycle because experience can be used to support learning and future action (Esterhuizen, 2019). </w:t>
      </w:r>
    </w:p>
    <w:p w14:paraId="26BF4B35">
      <w:pPr>
        <w:rPr>
          <w:lang w:val="en-US"/>
        </w:rPr>
      </w:pPr>
      <w:r>
        <w:rPr>
          <w:lang w:val="en-US"/>
        </w:rPr>
        <w:t>Description: Our group used divergent thinking to find ways to minimise missed staff breaks and then used convergent thinking to select one feasible solution. Divergent thinking enables a large number of ideas to emerge without judgement, while convergent thinking helps to compare ideas and select the most suitable one (Sawyer and Henriksen, 2023).</w:t>
      </w:r>
    </w:p>
    <w:p w14:paraId="100C0D3A">
      <w:pPr>
        <w:rPr>
          <w:lang w:val="en-US"/>
        </w:rPr>
      </w:pPr>
      <w:r>
        <w:rPr>
          <w:lang w:val="en-US"/>
        </w:rPr>
        <w:t>Feelings: When some ideas did not sound realistic, I felt frustrated and impatient, so I rushed my assessments.</w:t>
      </w:r>
    </w:p>
    <w:p w14:paraId="1F10765F">
      <w:pPr>
        <w:rPr>
          <w:lang w:val="en-US"/>
        </w:rPr>
      </w:pPr>
      <w:r>
        <w:rPr>
          <w:lang w:val="en-US"/>
        </w:rPr>
        <w:t>Evaluation: When another group member asked us not to criticise or pass judgement, the group began to generate more varied ideas. There was no clear agreement on how to evaluate the ideas, so the conversation became repetitive.</w:t>
      </w:r>
    </w:p>
    <w:p w14:paraId="5599EBBC">
      <w:pPr>
        <w:rPr>
          <w:lang w:val="en-US"/>
        </w:rPr>
      </w:pPr>
      <w:r>
        <w:rPr>
          <w:lang w:val="en-US"/>
        </w:rPr>
        <w:t>Analysis: I recognised that I preferred convergent thinking because of my preference for evidence, structure and clear decisions. This preference was helpful when I suggested comparing impact, feasibility, cost and equity. However, my initial response may have discouraged other participants’ input and reduced collaboration.</w:t>
      </w:r>
    </w:p>
    <w:p w14:paraId="0CF5613E">
      <w:pPr>
        <w:rPr>
          <w:lang w:val="en-US"/>
        </w:rPr>
      </w:pPr>
      <w:r>
        <w:rPr>
          <w:lang w:val="en-US"/>
        </w:rPr>
        <w:t>Conclusion: It is necessary to remain open-minded and make informed decisions at different points in the creative process. I also came to understand that my best contribution is to explain why I made a decision rather than simply defending my preferred choice.</w:t>
      </w:r>
    </w:p>
    <w:p w14:paraId="237EC2DF">
      <w:pPr>
        <w:rPr>
          <w:lang w:val="en-US"/>
        </w:rPr>
      </w:pPr>
      <w:r>
        <w:rPr>
          <w:lang w:val="en-US"/>
        </w:rPr>
        <w:t>Action plan: In future activities, I will involve less vocal members, begin by offering three or more ideas, establish the selection criteria before ranking solutions, and listen to everyone before deciding.</w:t>
      </w:r>
    </w:p>
    <w:p w14:paraId="4D596FA0">
      <w:pPr>
        <w:pStyle w:val="2"/>
        <w:rPr>
          <w:lang w:val="en-US"/>
        </w:rPr>
      </w:pPr>
      <w:bookmarkStart w:id="4" w:name="_Toc236264947"/>
      <w:r>
        <w:rPr>
          <w:lang w:val="en-US"/>
        </w:rPr>
        <w:t>Task 4: Case Study Analysis of a UK Innovation</w:t>
      </w:r>
      <w:bookmarkEnd w:id="4"/>
    </w:p>
    <w:p w14:paraId="753314D6">
      <w:pPr>
        <w:rPr>
          <w:lang w:val="en-US"/>
        </w:rPr>
      </w:pPr>
      <w:r>
        <w:rPr>
          <w:lang w:val="en-US"/>
        </w:rPr>
        <w:t>The Liverpool heart failure virtual ward focused on decreasing avoidable hospital admissions and promoting earlier discharge for appropriate patients with acute heart failure. It has been innovative as it combines the expertise and experience of the hospital with “home care”. Patients can receive remote monitoring, daily clinical follow-up, medication optimisation, home visits and, where suitable, intravenous therapy without requiring an inpatient bed.</w:t>
      </w:r>
    </w:p>
    <w:p w14:paraId="43B352F3">
      <w:pPr>
        <w:rPr>
          <w:lang w:val="en-US"/>
        </w:rPr>
      </w:pPr>
      <w:r>
        <w:rPr>
          <w:lang w:val="en-US"/>
        </w:rPr>
        <w:t>The advantage of a systems thinking approach is that it connects hospital teams, community nurses, telehealth teams, pharmacists, patients and carers within one coordinated pathway (Johnson, Anderson and Rossow, 2018). Additional value is created through care at home, supported self-management, multidisciplinary working and avoiding time in a hospital bed.</w:t>
      </w:r>
    </w:p>
    <w:p w14:paraId="381CD562">
      <w:pPr>
        <w:rPr>
          <w:lang w:val="en-US"/>
        </w:rPr>
      </w:pPr>
      <w:r>
        <w:rPr>
          <w:lang w:val="en-US"/>
        </w:rPr>
        <w:t xml:space="preserve">A cost-effectiveness analysis of 648 patients revealed net savings of £735,512 to the inpatient treatment system. This included reductions in emergency department presentations, readmissions and length of stay, with Rasoul et al. (2025) estimating savings of £1,135 per patient episode. More broadly, there is evidence that inpatient-level care at home can yield similar outcomes as hospital-based care to appropriately selected patients (Shi et al., 2024). </w:t>
      </w:r>
    </w:p>
    <w:p w14:paraId="5B69F16A">
      <w:pPr>
        <w:pStyle w:val="2"/>
        <w:rPr>
          <w:lang w:val="en-US"/>
        </w:rPr>
      </w:pPr>
      <w:bookmarkStart w:id="5" w:name="_Toc236264948"/>
      <w:r>
        <w:rPr>
          <w:lang w:val="en-US"/>
        </w:rPr>
        <w:t>Task 5: Research Task on Staff Burnout</w:t>
      </w:r>
      <w:bookmarkEnd w:id="5"/>
    </w:p>
    <w:p w14:paraId="52376601">
      <w:pPr>
        <w:rPr>
          <w:lang w:val="en-US"/>
        </w:rPr>
      </w:pPr>
      <w:r>
        <w:rPr>
          <w:lang w:val="en-US"/>
        </w:rPr>
        <w:t>Dall’Ora et al. (2020) conducted a theoretical review of burnout and the nursing literature. Common organisational issues were excessive workload, low staffing levels, lengthy shifts, lack of control, poor relationships at work and lack of leadership support. Burnout is described as being manifested through emotional exhaustion, detachment and reduced professional effectiveness.</w:t>
      </w:r>
    </w:p>
    <w:p w14:paraId="32510DFB">
      <w:pPr>
        <w:rPr>
          <w:lang w:val="en-US"/>
        </w:rPr>
      </w:pPr>
      <w:r>
        <w:rPr>
          <w:lang w:val="en-US"/>
        </w:rPr>
        <w:t xml:space="preserve">A study of staff in a single NHS organisation revealed difficulties with mental health and wellbeing during the pandemic (Gemine et al., 2021). Changes in roles, lack of rest time at breaks, worries about PPE, staff redeployment and reduction in control over working patterns were associated with staff burnout. </w:t>
      </w:r>
    </w:p>
    <w:p w14:paraId="4E3618C4">
      <w:pPr>
        <w:rPr>
          <w:lang w:val="en-US"/>
        </w:rPr>
      </w:pPr>
      <w:r>
        <w:rPr>
          <w:lang w:val="en-US"/>
        </w:rPr>
        <w:t>Both studies agree that burnout is not a personal weakness but is strongly influenced by the working environment. While Dall’Ora et al. (2020) give a rather general theoretical synthesis, Gemine et al., (2021) give empirical evidence in the context. The studies complement each other because they conclude that responses should combine workload management, meaningful breaks, staff involvement, supportive leadership and monitoring of how service changes affect different staff groups.</w:t>
      </w:r>
    </w:p>
    <w:p w14:paraId="0DE0B99F">
      <w:pPr>
        <w:pStyle w:val="2"/>
        <w:rPr>
          <w:lang w:val="en-US"/>
        </w:rPr>
      </w:pPr>
      <w:bookmarkStart w:id="6" w:name="_Toc236264949"/>
      <w:r>
        <w:rPr>
          <w:lang w:val="en-US"/>
        </w:rPr>
        <w:t>Task 6: Exploring Digital Innovation in Health and Social Care</w:t>
      </w:r>
      <w:bookmarkEnd w:id="6"/>
    </w:p>
    <w:p w14:paraId="013DD27F">
      <w:pPr>
        <w:rPr>
          <w:b/>
          <w:bCs/>
          <w:lang w:val="en-US"/>
        </w:rPr>
      </w:pPr>
      <w:r>
        <w:rPr>
          <w:b/>
          <w:bCs/>
          <w:lang w:val="en-US"/>
        </w:rPr>
        <w:t>Wearable technologies and chronic conditions</w:t>
      </w:r>
    </w:p>
    <w:p w14:paraId="32316599">
      <w:pPr>
        <w:rPr>
          <w:lang w:val="en-US"/>
        </w:rPr>
      </w:pPr>
      <w:r>
        <w:rPr>
          <w:lang w:val="en-US"/>
        </w:rPr>
        <w:t>Using a wearable device to collect information between appointments can support chronic condition management. Activity levels, heart rate or symptoms could be recorded on a smartwatch or other connected device, allowing a person with heart failure to identify trends and provide information to clinicians. This can lead to better self-management, and potentially enable an earlier clinical review in case of suspected deterioration. Mattison et al. (2022) provided a systematic review of wearables and found some positive effects on physical activity or health outcomes, depending on the condition, intervention design and study design. Their benefits depend on a clear clinical purpose, dependable interpretation and an agreed response pathway. Wearables should support, not replace, good clinical practice and should avoid excessive patient monitoring or shifting responsibility for care onto the patient.</w:t>
      </w:r>
    </w:p>
    <w:p w14:paraId="757A3B4B">
      <w:pPr>
        <w:rPr>
          <w:b/>
          <w:bCs/>
          <w:lang w:val="en-US"/>
        </w:rPr>
      </w:pPr>
      <w:r>
        <w:rPr>
          <w:b/>
          <w:bCs/>
          <w:lang w:val="en-US"/>
        </w:rPr>
        <w:t>Electronic health records and collaboration</w:t>
      </w:r>
    </w:p>
    <w:p w14:paraId="3E29F74A">
      <w:pPr>
        <w:rPr>
          <w:lang w:val="en-US"/>
        </w:rPr>
      </w:pPr>
      <w:r>
        <w:rPr>
          <w:lang w:val="en-US"/>
        </w:rPr>
        <w:t xml:space="preserve">By providing timely access to information such as diagnoses, medications, allergies, investigations, care plans and previous interactions, EHRs can improve communication between different professionals. A shared pathway might enable a GP, a community nurse and a social care worker, as well as a hospital clinician, to work together with decisions made in line with the same up-to-date information, with the knowledge that information is being shared legally. This can help reduce redundant history taking, duplicate tests and risks because of partial handover. Health information systems are most effective when data are reliable, interfaces are easy to navigate and systems allow information exchange between organisations (Wager, Lee and Glaser, 2021).  Relevant is the Technology Acceptance Model (TAM) since staff will be more inclined toward accepting the usage of the electronic record when they perceive it as having use and reasonably easy to use (Wager, Lee and Glaser, 2021). </w:t>
      </w:r>
    </w:p>
    <w:p w14:paraId="0AE93075">
      <w:pPr>
        <w:rPr>
          <w:b/>
          <w:bCs/>
          <w:lang w:val="en-US"/>
        </w:rPr>
      </w:pPr>
      <w:r>
        <w:rPr>
          <w:b/>
          <w:bCs/>
          <w:lang w:val="en-US"/>
        </w:rPr>
        <w:t>Digital prevention and health promotion</w:t>
      </w:r>
    </w:p>
    <w:p w14:paraId="6C6EF81C">
      <w:pPr>
        <w:rPr>
          <w:lang w:val="en-US"/>
        </w:rPr>
      </w:pPr>
      <w:r>
        <w:rPr>
          <w:lang w:val="en-US"/>
        </w:rPr>
        <w:t>By delivering tailored information, reminders and feedback, digital technology can prevent or mitigate the development of more severe disease. A primary healthcare network could, for example, provide an app that reminds people to receive vaccinations and attend screening, while offering culturally appropriate information, a booking link or a telephone option. Combined data may help teams identify population groups with low uptake and plan targeted outreach. Digital health is transforming relationships between citizens, data and services, so convenience must be balanced with inclusion, privacy and critical assessment of whose needs are represented (Lupton, 2018).</w:t>
      </w:r>
    </w:p>
    <w:p w14:paraId="7BBB8AC0">
      <w:pPr>
        <w:pStyle w:val="2"/>
        <w:rPr>
          <w:lang w:val="en-US"/>
        </w:rPr>
      </w:pPr>
      <w:bookmarkStart w:id="7" w:name="_Toc236264950"/>
      <w:r>
        <w:rPr>
          <w:lang w:val="en-US"/>
        </w:rPr>
        <w:t>Task 7: Understanding the NHS Leadership Framework</w:t>
      </w:r>
      <w:bookmarkEnd w:id="7"/>
    </w:p>
    <w:p w14:paraId="64C6D152">
      <w:pPr>
        <w:pStyle w:val="3"/>
        <w:rPr>
          <w:lang w:val="en-US"/>
        </w:rPr>
      </w:pPr>
      <w:bookmarkStart w:id="8" w:name="_Toc236264951"/>
      <w:r>
        <w:rPr>
          <w:lang w:val="en-US"/>
        </w:rPr>
        <w:t>1. Overview of the framework</w:t>
      </w:r>
      <w:bookmarkEnd w:id="8"/>
    </w:p>
    <w:p w14:paraId="02E0C8EA">
      <w:pPr>
        <w:rPr>
          <w:lang w:val="en-US"/>
        </w:rPr>
      </w:pPr>
      <w:r>
        <w:rPr>
          <w:lang w:val="en-US"/>
        </w:rPr>
        <w:t xml:space="preserve">The NHS Healthcare Leadership Model describes nine leadership dimensions that can be demonstrated at different levels of an organisation. The nine dimensions are inspiring shared purpose, leading with care, evaluating information, connecting our service, sharing the vision, engaging the team, holding to account, developing capability and influencing for results (NHS England, 2018). </w:t>
      </w:r>
    </w:p>
    <w:p w14:paraId="5BB65C91">
      <w:pPr>
        <w:rPr>
          <w:lang w:val="en-US"/>
        </w:rPr>
      </w:pPr>
      <w:r>
        <w:rPr>
          <w:lang w:val="en-US"/>
        </w:rPr>
        <w:t>These complementary behaviours connect compassionate relationships with evidence, system awareness, direction, teamwork, accountability and improvement. The model is important because leadership in health and social care is not limited to senior leaders. Everyday choices by frontline staff have an impact on safety, culture, communication and service-user experience. A shared behavioural model also facilitates self-reflection, feedback and leadership development. Leaders of complex services should be mindful of interdependency and encourage partnership working and collaboration.</w:t>
      </w:r>
    </w:p>
    <w:p w14:paraId="5BA23005">
      <w:pPr>
        <w:pStyle w:val="3"/>
        <w:rPr>
          <w:lang w:val="en-US"/>
        </w:rPr>
      </w:pPr>
      <w:bookmarkStart w:id="9" w:name="_Toc236264952"/>
      <w:r>
        <w:rPr>
          <w:lang w:val="en-US"/>
        </w:rPr>
        <w:t>2. Selected behaviour: Evaluating information</w:t>
      </w:r>
      <w:bookmarkEnd w:id="9"/>
    </w:p>
    <w:p w14:paraId="741B2EDE">
      <w:pPr>
        <w:rPr>
          <w:lang w:val="en-US"/>
        </w:rPr>
      </w:pPr>
      <w:r>
        <w:rPr>
          <w:lang w:val="en-US"/>
        </w:rPr>
        <w:t>Evaluating information can stimulate creativity in leadership without accepting untested ideas. For example, a leader could incorporate incident data, readmission trends, staff experience and patient feedback when redesigning discharge communication for patients with limited English proficiency. The NHS model describes effective evaluation as seeking evidence from different sources, identifying patterns and making evidence-based decisions (NHS England, 2018).</w:t>
      </w:r>
    </w:p>
    <w:p w14:paraId="75ADCB84">
      <w:pPr>
        <w:pStyle w:val="3"/>
        <w:rPr>
          <w:lang w:val="en-US"/>
        </w:rPr>
      </w:pPr>
      <w:bookmarkStart w:id="10" w:name="_Toc236264953"/>
      <w:r>
        <w:rPr>
          <w:lang w:val="en-US"/>
        </w:rPr>
        <w:t>3. Leadership, creativity and care</w:t>
      </w:r>
      <w:bookmarkEnd w:id="10"/>
    </w:p>
    <w:p w14:paraId="79929F1E">
      <w:pPr>
        <w:rPr>
          <w:lang w:val="en-US"/>
        </w:rPr>
      </w:pPr>
      <w:r>
        <w:rPr>
          <w:lang w:val="en-US"/>
        </w:rPr>
        <w:t>Transformational leadership is relevant because a leader can connect improvement with a shared purpose, encourage people to challenge existing thinking and apply learning from small change experiments. Psychological safety is also necessary for leadership in innovation, alongside appropriate resources and an honest discussion of risk rather than enthusiasm alone (Curtis and Cullen, 2017). In practice, I would involve service users, clarify the intended outcome and listen to staff members who identify problems as well as solutions.</w:t>
      </w:r>
    </w:p>
    <w:p w14:paraId="7C6F21BE">
      <w:pPr>
        <w:pStyle w:val="2"/>
        <w:rPr>
          <w:lang w:val="en-US"/>
        </w:rPr>
      </w:pPr>
      <w:bookmarkStart w:id="11" w:name="_Toc236264954"/>
      <w:r>
        <w:rPr>
          <w:lang w:val="en-US"/>
        </w:rPr>
        <w:t>Task 8: Self-Reflection Journal Entry</w:t>
      </w:r>
      <w:bookmarkEnd w:id="11"/>
    </w:p>
    <w:p w14:paraId="54846006">
      <w:pPr>
        <w:rPr>
          <w:lang w:val="en-US"/>
        </w:rPr>
      </w:pPr>
      <w:r>
        <w:rPr>
          <w:lang w:val="en-US"/>
        </w:rPr>
        <w:t>At first, I considered innovation to mean the creation of new state-of-the-art technology. This perception was changed by the activities. I found my mind map of burnout and the group activity really helped me to solidify my understanding of two points: creativity begins with knowing relationships of a problem, and idea generation and idea assessment need to be clearly separate. The virtual ward case demonstrated how roles, locations and communication can be reconfigured around service-user needs, with technology acting as an enabler.</w:t>
      </w:r>
    </w:p>
    <w:p w14:paraId="665812FB">
      <w:pPr>
        <w:rPr>
          <w:b/>
          <w:bCs/>
          <w:lang w:val="en-US"/>
        </w:rPr>
      </w:pPr>
      <w:r>
        <w:rPr>
          <w:lang w:val="en-US"/>
        </w:rPr>
        <w:t>The reflective model helps me move beyond describing an experience towards identifying learning and future action (Esterhuizen, 2019). In my future professional practice, I will consider questions such as: Who is experiencing the problem? What are they trying to achieve? What possible barriers could make it difficult to develop a solution or create an unfair outcome? I will seek feedback from service users and colleagues, introduce incremental changes on a small scale, and explicitly evaluate safety, experience, outcomes and resource utilisation.</w:t>
      </w:r>
      <w:r>
        <w:rPr>
          <w:b/>
          <w:bCs/>
          <w:lang w:val="en-US"/>
        </w:rPr>
        <w:br w:type="page"/>
      </w:r>
    </w:p>
    <w:p w14:paraId="147AFE1C">
      <w:pPr>
        <w:pStyle w:val="2"/>
        <w:rPr>
          <w:lang w:val="en-US"/>
        </w:rPr>
      </w:pPr>
      <w:bookmarkStart w:id="12" w:name="_Toc236264955"/>
      <w:r>
        <w:rPr>
          <w:lang w:val="en-US"/>
        </w:rPr>
        <w:t>Reference List</w:t>
      </w:r>
      <w:bookmarkEnd w:id="12"/>
    </w:p>
    <w:p w14:paraId="4D733B3B">
      <w:pPr>
        <w:rPr>
          <w:lang w:val="en-US"/>
        </w:rPr>
      </w:pPr>
      <w:r>
        <w:rPr>
          <w:lang w:val="en-US"/>
        </w:rPr>
        <w:t xml:space="preserve">Curtis, E.A. and Cullen, J. (2017) </w:t>
      </w:r>
      <w:r>
        <w:rPr>
          <w:i/>
          <w:iCs/>
          <w:lang w:val="en-US"/>
        </w:rPr>
        <w:t>Leadership and Change for the Health Professional</w:t>
      </w:r>
      <w:r>
        <w:rPr>
          <w:lang w:val="en-US"/>
        </w:rPr>
        <w:t xml:space="preserve">. Maidenhead: McGraw Hill. Available at: </w:t>
      </w:r>
      <w:r>
        <w:fldChar w:fldCharType="begin"/>
      </w:r>
      <w:r>
        <w:instrText xml:space="preserve"> HYPERLINK "https://books.google.com/books/about/EBOOK_Leadership_and_Change_for_the_Heal.html?id=QMsvEAAAQBAJ" </w:instrText>
      </w:r>
      <w:r>
        <w:fldChar w:fldCharType="separate"/>
      </w:r>
      <w:r>
        <w:rPr>
          <w:rStyle w:val="18"/>
          <w:lang w:val="en-US"/>
        </w:rPr>
        <w:t>https://books.google.com/books/about/EBOOK_Leadership_and_Change_for_the_Heal.html?id=QMsvEAAAQBAJ</w:t>
      </w:r>
      <w:r>
        <w:rPr>
          <w:rStyle w:val="18"/>
          <w:lang w:val="en-US"/>
        </w:rPr>
        <w:fldChar w:fldCharType="end"/>
      </w:r>
      <w:r>
        <w:rPr>
          <w:lang w:val="en-US"/>
        </w:rPr>
        <w:t xml:space="preserve"> (Accessed: 29 July 2026).</w:t>
      </w:r>
    </w:p>
    <w:p w14:paraId="58B43613">
      <w:pPr>
        <w:rPr>
          <w:lang w:val="en-US"/>
        </w:rPr>
      </w:pPr>
      <w:r>
        <w:rPr>
          <w:lang w:val="en-US"/>
        </w:rPr>
        <w:t xml:space="preserve">Dall’Ora, C., Ball, J., Reinius, M. and Griffiths, P. (2020) ‘Burnout in nursing: a theoretical review’, </w:t>
      </w:r>
      <w:r>
        <w:rPr>
          <w:i/>
          <w:iCs/>
          <w:lang w:val="en-US"/>
        </w:rPr>
        <w:t>Human Resources for Health</w:t>
      </w:r>
      <w:r>
        <w:rPr>
          <w:lang w:val="en-US"/>
        </w:rPr>
        <w:t xml:space="preserve">, 18, article 41. Available at: </w:t>
      </w:r>
      <w:r>
        <w:fldChar w:fldCharType="begin"/>
      </w:r>
      <w:r>
        <w:instrText xml:space="preserve"> HYPERLINK "https://doi.org/10.1186/s12960-020-00469-9" </w:instrText>
      </w:r>
      <w:r>
        <w:fldChar w:fldCharType="separate"/>
      </w:r>
      <w:r>
        <w:rPr>
          <w:rStyle w:val="18"/>
          <w:lang w:val="en-US"/>
        </w:rPr>
        <w:t>https://doi.org/10.1186/s12960-020-00469-9</w:t>
      </w:r>
      <w:r>
        <w:rPr>
          <w:rStyle w:val="18"/>
          <w:lang w:val="en-US"/>
        </w:rPr>
        <w:fldChar w:fldCharType="end"/>
      </w:r>
    </w:p>
    <w:p w14:paraId="148B6978">
      <w:pPr>
        <w:rPr>
          <w:lang w:val="en-US"/>
        </w:rPr>
      </w:pPr>
      <w:r>
        <w:rPr>
          <w:lang w:val="en-US"/>
        </w:rPr>
        <w:t xml:space="preserve">Esterhuizen, P. (2019) </w:t>
      </w:r>
      <w:r>
        <w:rPr>
          <w:i/>
          <w:iCs/>
          <w:lang w:val="en-US"/>
        </w:rPr>
        <w:t>Reflective Practice in Nursing</w:t>
      </w:r>
      <w:r>
        <w:rPr>
          <w:lang w:val="en-US"/>
        </w:rPr>
        <w:t xml:space="preserve">. 4th edn. London: Learning Matters. Available at: </w:t>
      </w:r>
      <w:r>
        <w:fldChar w:fldCharType="begin"/>
      </w:r>
      <w:r>
        <w:instrText xml:space="preserve"> HYPERLINK "https://books.google.com/books/about/Reflective_Practice_in_Nursing.html?id=smKLDwAAQBAJ" </w:instrText>
      </w:r>
      <w:r>
        <w:fldChar w:fldCharType="separate"/>
      </w:r>
      <w:r>
        <w:rPr>
          <w:rStyle w:val="18"/>
          <w:lang w:val="en-US"/>
        </w:rPr>
        <w:t>https://books.google.com/books/about/Reflective_Practice_in_Nursing.html?id=smKLDwAAQBAJ</w:t>
      </w:r>
      <w:r>
        <w:rPr>
          <w:rStyle w:val="18"/>
          <w:lang w:val="en-US"/>
        </w:rPr>
        <w:fldChar w:fldCharType="end"/>
      </w:r>
      <w:r>
        <w:rPr>
          <w:lang w:val="en-US"/>
        </w:rPr>
        <w:t xml:space="preserve"> (Accessed: 29 July 2026).</w:t>
      </w:r>
    </w:p>
    <w:p w14:paraId="4359F005">
      <w:pPr>
        <w:rPr>
          <w:lang w:val="en-US"/>
        </w:rPr>
      </w:pPr>
      <w:r>
        <w:rPr>
          <w:lang w:val="en-US"/>
        </w:rPr>
        <w:t xml:space="preserve">Gemine, R., Davies, G.R., Tarrant, S., Davies, R.M., James, M. and Lewis, K. (2021) ‘Factors associated with work-related burnout in NHS staff during COVID-19: a cross-sectional mixed methods study’, </w:t>
      </w:r>
      <w:r>
        <w:rPr>
          <w:i/>
          <w:iCs/>
          <w:lang w:val="en-US"/>
        </w:rPr>
        <w:t>BMJ Open</w:t>
      </w:r>
      <w:r>
        <w:rPr>
          <w:lang w:val="en-US"/>
        </w:rPr>
        <w:t xml:space="preserve">, 11(1), e042591. Available at: </w:t>
      </w:r>
      <w:r>
        <w:fldChar w:fldCharType="begin"/>
      </w:r>
      <w:r>
        <w:instrText xml:space="preserve"> HYPERLINK "https://doi.org/10.1136/bmjopen-2020-042591" </w:instrText>
      </w:r>
      <w:r>
        <w:fldChar w:fldCharType="separate"/>
      </w:r>
      <w:r>
        <w:rPr>
          <w:rStyle w:val="18"/>
          <w:lang w:val="en-US"/>
        </w:rPr>
        <w:t>https://doi.org/10.1136/bmjopen-2020-042591</w:t>
      </w:r>
      <w:r>
        <w:rPr>
          <w:rStyle w:val="18"/>
          <w:lang w:val="en-US"/>
        </w:rPr>
        <w:fldChar w:fldCharType="end"/>
      </w:r>
    </w:p>
    <w:p w14:paraId="6C59B7F8">
      <w:pPr>
        <w:rPr>
          <w:lang w:val="en-US"/>
        </w:rPr>
      </w:pPr>
      <w:r>
        <w:rPr>
          <w:lang w:val="en-US"/>
        </w:rPr>
        <w:t xml:space="preserve">Johnson, J.A., Anderson, D.E. and Rossow, C.C. (2018) </w:t>
      </w:r>
      <w:r>
        <w:rPr>
          <w:i/>
          <w:iCs/>
          <w:lang w:val="en-US"/>
        </w:rPr>
        <w:t>Health Systems Thinking: A Primer</w:t>
      </w:r>
      <w:r>
        <w:rPr>
          <w:lang w:val="en-US"/>
        </w:rPr>
        <w:t xml:space="preserve">. Burlington, MA: Jones &amp; Bartlett Learning. Available at: </w:t>
      </w:r>
      <w:r>
        <w:fldChar w:fldCharType="begin"/>
      </w:r>
      <w:r>
        <w:instrText xml:space="preserve"> HYPERLINK "https://books.google.com/books/about/Health_Systems_Thinking.html?id=BTB8zQEACAAJ" </w:instrText>
      </w:r>
      <w:r>
        <w:fldChar w:fldCharType="separate"/>
      </w:r>
      <w:r>
        <w:rPr>
          <w:rStyle w:val="18"/>
          <w:lang w:val="en-US"/>
        </w:rPr>
        <w:t>https://books.google.com/books/about/Health_Systems_Thinking.html?id=BTB8zQEACAAJ</w:t>
      </w:r>
      <w:r>
        <w:rPr>
          <w:rStyle w:val="18"/>
          <w:lang w:val="en-US"/>
        </w:rPr>
        <w:fldChar w:fldCharType="end"/>
      </w:r>
      <w:r>
        <w:rPr>
          <w:lang w:val="en-US"/>
        </w:rPr>
        <w:t xml:space="preserve"> (Accessed: 29 July 2026).</w:t>
      </w:r>
    </w:p>
    <w:p w14:paraId="48F3A239">
      <w:pPr>
        <w:rPr>
          <w:lang w:val="en-US"/>
        </w:rPr>
      </w:pPr>
      <w:r>
        <w:rPr>
          <w:lang w:val="en-US"/>
        </w:rPr>
        <w:t xml:space="preserve">Lupton, D. (2018) </w:t>
      </w:r>
      <w:r>
        <w:rPr>
          <w:i/>
          <w:iCs/>
          <w:lang w:val="en-US"/>
        </w:rPr>
        <w:t>Digital Health: Critical and Cross-disciplinary Perspectives</w:t>
      </w:r>
      <w:r>
        <w:rPr>
          <w:lang w:val="en-US"/>
        </w:rPr>
        <w:t xml:space="preserve">. Abingdon: Routledge. Available at: </w:t>
      </w:r>
      <w:r>
        <w:fldChar w:fldCharType="begin"/>
      </w:r>
      <w:r>
        <w:instrText xml:space="preserve"> HYPERLINK "https://books.google.com/books/about/Digital_Health.html?id=0gsKkAEACAAJ" </w:instrText>
      </w:r>
      <w:r>
        <w:fldChar w:fldCharType="separate"/>
      </w:r>
      <w:r>
        <w:rPr>
          <w:rStyle w:val="18"/>
          <w:lang w:val="en-US"/>
        </w:rPr>
        <w:t>https://books.google.com/books/about/Digital_Health.html?id=0gsKkAEACAAJ</w:t>
      </w:r>
      <w:r>
        <w:rPr>
          <w:rStyle w:val="18"/>
          <w:lang w:val="en-US"/>
        </w:rPr>
        <w:fldChar w:fldCharType="end"/>
      </w:r>
      <w:r>
        <w:rPr>
          <w:lang w:val="en-US"/>
        </w:rPr>
        <w:t xml:space="preserve"> (Accessed: 29 July 2026).</w:t>
      </w:r>
    </w:p>
    <w:p w14:paraId="45A34BBC">
      <w:pPr>
        <w:rPr>
          <w:lang w:val="en-US"/>
        </w:rPr>
      </w:pPr>
      <w:r>
        <w:rPr>
          <w:lang w:val="en-US"/>
        </w:rPr>
        <w:t xml:space="preserve">Mattison, G., Canfell, O., Forrester, D., Dobbins, C., Smith, D., Töyräs, J. and Sullivan, C. (2022) ‘The influence of wearables on health care outcomes in chronic disease: systematic review’, </w:t>
      </w:r>
      <w:r>
        <w:rPr>
          <w:i/>
          <w:iCs/>
          <w:lang w:val="en-US"/>
        </w:rPr>
        <w:t>Journal of Medical Internet Research</w:t>
      </w:r>
      <w:r>
        <w:rPr>
          <w:lang w:val="en-US"/>
        </w:rPr>
        <w:t xml:space="preserve">, 24(7), e36690. Available at: </w:t>
      </w:r>
      <w:r>
        <w:fldChar w:fldCharType="begin"/>
      </w:r>
      <w:r>
        <w:instrText xml:space="preserve"> HYPERLINK "https://doi.org/10.2196/36690" </w:instrText>
      </w:r>
      <w:r>
        <w:fldChar w:fldCharType="separate"/>
      </w:r>
      <w:r>
        <w:rPr>
          <w:rStyle w:val="18"/>
          <w:lang w:val="en-US"/>
        </w:rPr>
        <w:t>https://doi.org/10.2196/36690</w:t>
      </w:r>
      <w:r>
        <w:rPr>
          <w:rStyle w:val="18"/>
          <w:lang w:val="en-US"/>
        </w:rPr>
        <w:fldChar w:fldCharType="end"/>
      </w:r>
    </w:p>
    <w:p w14:paraId="249D3BC6">
      <w:pPr>
        <w:rPr>
          <w:lang w:val="en-US"/>
        </w:rPr>
      </w:pPr>
      <w:r>
        <w:rPr>
          <w:lang w:val="en-US"/>
        </w:rPr>
        <w:t xml:space="preserve">Moralee, S., Sidhu, M., Smith, J. and Walshe, K. (2025) </w:t>
      </w:r>
      <w:r>
        <w:rPr>
          <w:i/>
          <w:iCs/>
          <w:lang w:val="en-US"/>
        </w:rPr>
        <w:t>Healthcare Management</w:t>
      </w:r>
      <w:r>
        <w:rPr>
          <w:lang w:val="en-US"/>
        </w:rPr>
        <w:t xml:space="preserve">. 4th edn. Maidenhead: McGraw-Hill Education. Available at: </w:t>
      </w:r>
      <w:r>
        <w:fldChar w:fldCharType="begin"/>
      </w:r>
      <w:r>
        <w:instrText xml:space="preserve"> HYPERLINK "https://books.google.com/books/about/Healthcare_Management_4e.html?id=3ONcEQAAQBAJ" </w:instrText>
      </w:r>
      <w:r>
        <w:fldChar w:fldCharType="separate"/>
      </w:r>
      <w:r>
        <w:rPr>
          <w:rStyle w:val="18"/>
          <w:lang w:val="en-US"/>
        </w:rPr>
        <w:t>https://books.google.com/books/about/Healthcare_Management_4e.html?id=3ONcEQAAQBAJ</w:t>
      </w:r>
      <w:r>
        <w:rPr>
          <w:rStyle w:val="18"/>
          <w:lang w:val="en-US"/>
        </w:rPr>
        <w:fldChar w:fldCharType="end"/>
      </w:r>
      <w:r>
        <w:rPr>
          <w:lang w:val="en-US"/>
        </w:rPr>
        <w:t xml:space="preserve"> (Accessed: 29 July 2026).</w:t>
      </w:r>
    </w:p>
    <w:p w14:paraId="3F0AD18E">
      <w:pPr>
        <w:rPr>
          <w:lang w:val="en-US"/>
        </w:rPr>
      </w:pPr>
      <w:r>
        <w:rPr>
          <w:lang w:val="en-US"/>
        </w:rPr>
        <w:t xml:space="preserve">NHS England (2018) </w:t>
      </w:r>
      <w:r>
        <w:rPr>
          <w:i/>
          <w:iCs/>
          <w:lang w:val="en-US"/>
        </w:rPr>
        <w:t>Leadership Development</w:t>
      </w:r>
      <w:r>
        <w:rPr>
          <w:lang w:val="en-US"/>
        </w:rPr>
        <w:t xml:space="preserve">. Available at: </w:t>
      </w:r>
      <w:r>
        <w:fldChar w:fldCharType="begin"/>
      </w:r>
      <w:r>
        <w:instrText xml:space="preserve"> HYPERLINK "https://www.england.nhs.uk/wp-content/uploads/2018/03/leadership-development.pdf" </w:instrText>
      </w:r>
      <w:r>
        <w:fldChar w:fldCharType="separate"/>
      </w:r>
      <w:r>
        <w:rPr>
          <w:rStyle w:val="18"/>
          <w:lang w:val="en-US"/>
        </w:rPr>
        <w:t>https://www.england.nhs.uk/wp-content/uploads/2018/03/leadership-development.pdf</w:t>
      </w:r>
      <w:r>
        <w:rPr>
          <w:rStyle w:val="18"/>
          <w:lang w:val="en-US"/>
        </w:rPr>
        <w:fldChar w:fldCharType="end"/>
      </w:r>
      <w:r>
        <w:rPr>
          <w:lang w:val="en-US"/>
        </w:rPr>
        <w:t xml:space="preserve"> (Accessed: 29 July 2026).</w:t>
      </w:r>
    </w:p>
    <w:p w14:paraId="1D15F806">
      <w:pPr>
        <w:rPr>
          <w:lang w:val="en-US"/>
        </w:rPr>
      </w:pPr>
      <w:r>
        <w:rPr>
          <w:lang w:val="en-US"/>
        </w:rPr>
        <w:t xml:space="preserve">Rasoul, D., Chattopadhyay, I., Mayer, T., West, J., Stollar, H., Black, C., Oguguo, E., Kaur, R., MacDonald, R., Pocock, J., Uzdzinska, B., Umpleby, B., Hex, N., Lip, G.Y.H. and Sankaranarayanan, R. (2025) ‘Economic evaluation of the Liverpool heart failure virtual ward model’, </w:t>
      </w:r>
      <w:r>
        <w:rPr>
          <w:i/>
          <w:iCs/>
          <w:lang w:val="en-US"/>
        </w:rPr>
        <w:t>European Heart Journal – Quality of Care and Clinical Outcomes</w:t>
      </w:r>
      <w:r>
        <w:rPr>
          <w:lang w:val="en-US"/>
        </w:rPr>
        <w:t xml:space="preserve">, 11(2), pp. 197–205. Available at: </w:t>
      </w:r>
      <w:r>
        <w:fldChar w:fldCharType="begin"/>
      </w:r>
      <w:r>
        <w:instrText xml:space="preserve"> HYPERLINK "https://doi.org/10.1093/ehjqcco/qcae095" </w:instrText>
      </w:r>
      <w:r>
        <w:fldChar w:fldCharType="separate"/>
      </w:r>
      <w:r>
        <w:rPr>
          <w:rStyle w:val="18"/>
          <w:lang w:val="en-US"/>
        </w:rPr>
        <w:t>https://doi.org/10.1093/ehjqcco/qcae095</w:t>
      </w:r>
      <w:r>
        <w:rPr>
          <w:rStyle w:val="18"/>
          <w:lang w:val="en-US"/>
        </w:rPr>
        <w:fldChar w:fldCharType="end"/>
      </w:r>
    </w:p>
    <w:p w14:paraId="6ED8C3EF">
      <w:pPr>
        <w:rPr>
          <w:lang w:val="en-US"/>
        </w:rPr>
      </w:pPr>
      <w:r>
        <w:rPr>
          <w:lang w:val="en-US"/>
        </w:rPr>
        <w:t xml:space="preserve">Sawyer, R.K. and Henriksen, D. (2023) </w:t>
      </w:r>
      <w:r>
        <w:rPr>
          <w:i/>
          <w:iCs/>
          <w:lang w:val="en-US"/>
        </w:rPr>
        <w:t>Explaining Creativity: The Science of Human Innovation</w:t>
      </w:r>
      <w:r>
        <w:rPr>
          <w:lang w:val="en-US"/>
        </w:rPr>
        <w:t xml:space="preserve">. 3rd edn. New York: Oxford University Press. Available at: </w:t>
      </w:r>
      <w:r>
        <w:fldChar w:fldCharType="begin"/>
      </w:r>
      <w:r>
        <w:instrText xml:space="preserve"> HYPERLINK "https://books.google.com/books/about/Explaining_Creativity.html?id=k_LTEQAAQBAJ" </w:instrText>
      </w:r>
      <w:r>
        <w:fldChar w:fldCharType="separate"/>
      </w:r>
      <w:r>
        <w:rPr>
          <w:rStyle w:val="18"/>
          <w:lang w:val="en-US"/>
        </w:rPr>
        <w:t>https://books.google.com/books/about/Explaining_Creativity.html?id=k_LTEQAAQBAJ</w:t>
      </w:r>
      <w:r>
        <w:rPr>
          <w:rStyle w:val="18"/>
          <w:lang w:val="en-US"/>
        </w:rPr>
        <w:fldChar w:fldCharType="end"/>
      </w:r>
      <w:r>
        <w:rPr>
          <w:lang w:val="en-US"/>
        </w:rPr>
        <w:t xml:space="preserve"> (Accessed: 29 July 2026).</w:t>
      </w:r>
    </w:p>
    <w:p w14:paraId="0CE1AC27">
      <w:pPr>
        <w:rPr>
          <w:lang w:val="en-US"/>
        </w:rPr>
      </w:pPr>
      <w:r>
        <w:rPr>
          <w:lang w:val="en-US"/>
        </w:rPr>
        <w:t xml:space="preserve">Shi, C., Dumville, J., Rubinstein, F., Norman, G., Ullah, A., Bashir, S., Bower, P. and Vardy, E.R.L.C. (2024) ‘Inpatient-level care at home delivered by virtual wards and hospital at home: a systematic review and meta-analysis of complex interventions and their components’, </w:t>
      </w:r>
      <w:r>
        <w:rPr>
          <w:i/>
          <w:iCs/>
          <w:lang w:val="en-US"/>
        </w:rPr>
        <w:t>BMC Medicine</w:t>
      </w:r>
      <w:r>
        <w:rPr>
          <w:lang w:val="en-US"/>
        </w:rPr>
        <w:t xml:space="preserve">, 22, article 145. Available at: </w:t>
      </w:r>
      <w:r>
        <w:fldChar w:fldCharType="begin"/>
      </w:r>
      <w:r>
        <w:instrText xml:space="preserve"> HYPERLINK "https://doi.org/10.1186/s12916-024-03312-3" </w:instrText>
      </w:r>
      <w:r>
        <w:fldChar w:fldCharType="separate"/>
      </w:r>
      <w:r>
        <w:rPr>
          <w:rStyle w:val="18"/>
          <w:lang w:val="en-US"/>
        </w:rPr>
        <w:t>https://doi.org/10.1186/s12916-024-03312-3</w:t>
      </w:r>
      <w:r>
        <w:rPr>
          <w:rStyle w:val="18"/>
          <w:lang w:val="en-US"/>
        </w:rPr>
        <w:fldChar w:fldCharType="end"/>
      </w:r>
    </w:p>
    <w:p w14:paraId="4895FF40">
      <w:pPr>
        <w:rPr>
          <w:lang w:val="en-US"/>
        </w:rPr>
      </w:pPr>
      <w:r>
        <w:rPr>
          <w:lang w:val="en-US"/>
        </w:rPr>
        <w:t xml:space="preserve">Wager, K.A., Lee, F.W. and Glaser, J.P. (2021) </w:t>
      </w:r>
      <w:r>
        <w:rPr>
          <w:i/>
          <w:iCs/>
          <w:lang w:val="en-US"/>
        </w:rPr>
        <w:t>Health Care Information Systems: A Practical Approach for Health Care Management</w:t>
      </w:r>
      <w:r>
        <w:rPr>
          <w:lang w:val="en-US"/>
        </w:rPr>
        <w:t xml:space="preserve">. 5th edn. Hoboken, NJ: Wiley. Available at: </w:t>
      </w:r>
      <w:r>
        <w:fldChar w:fldCharType="begin"/>
      </w:r>
      <w:r>
        <w:instrText xml:space="preserve"> HYPERLINK "https://books.google.com/books/about/Health_Care_Information_Systems.html?id=io1SEAAAQBAJ" </w:instrText>
      </w:r>
      <w:r>
        <w:fldChar w:fldCharType="separate"/>
      </w:r>
      <w:r>
        <w:rPr>
          <w:rStyle w:val="18"/>
          <w:lang w:val="en-US"/>
        </w:rPr>
        <w:t>https://books.google.com/books/about/Health_Care_Information_Systems.html?id=io1SEAAAQBAJ</w:t>
      </w:r>
      <w:r>
        <w:rPr>
          <w:rStyle w:val="18"/>
          <w:lang w:val="en-US"/>
        </w:rPr>
        <w:fldChar w:fldCharType="end"/>
      </w:r>
      <w:r>
        <w:rPr>
          <w:lang w:val="en-US"/>
        </w:rPr>
        <w:t xml:space="preserve"> (Accessed: 29 July 2026).</w:t>
      </w:r>
    </w:p>
    <w:p w14:paraId="7E961C8A">
      <w:pPr>
        <w:rPr>
          <w:lang w:val="en-US"/>
        </w:rPr>
      </w:pPr>
    </w:p>
    <w:p w14:paraId="3E47420C">
      <w:pPr/>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Aptos">
    <w:panose1 w:val="020B0004020202020204"/>
    <w:charset w:val="00"/>
    <w:family w:val="swiss"/>
    <w:pitch w:val="default"/>
    <w:sig w:usb0="00000000" w:usb1="00000000" w:usb2="00000000" w:usb3="00000000" w:csb0="0000019F" w:csb1="00000000"/>
  </w:font>
  <w:font w:name="Aptos Display">
    <w:panose1 w:val="020B0004020202020204"/>
    <w:charset w:val="00"/>
    <w:family w:val="swiss"/>
    <w:pitch w:val="default"/>
    <w:sig w:usb0="00000000"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1315997"/>
    </w:sdtPr>
    <w:sdtContent>
      <w:p w14:paraId="10D147D2">
        <w:pPr>
          <w:pStyle w:val="11"/>
          <w:jc w:val="center"/>
        </w:pPr>
        <w:r>
          <w:fldChar w:fldCharType="begin"/>
        </w:r>
        <w:r>
          <w:instrText xml:space="preserve"> PAGE   \* MERGEFORMAT </w:instrText>
        </w:r>
        <w:r>
          <w:fldChar w:fldCharType="separate"/>
        </w:r>
        <w:r>
          <w:t>2</w:t>
        </w:r>
        <w:r>
          <w:fldChar w:fldCharType="end"/>
        </w:r>
      </w:p>
    </w:sdtContent>
  </w:sdt>
  <w:p w14:paraId="2F3CD5C5">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40" w:after="240" w:line="360" w:lineRule="auto"/>
      <w:jc w:val="both"/>
    </w:pPr>
    <w:rPr>
      <w:rFonts w:ascii="Times New Roman" w:hAnsi="Times New Roman" w:eastAsiaTheme="minorHAnsi" w:cstheme="minorBidi"/>
      <w:kern w:val="2"/>
      <w:sz w:val="24"/>
      <w:szCs w:val="24"/>
      <w:lang w:val="en-GB" w:eastAsia="en-US" w:bidi="ar-SA"/>
      <w14:ligatures w14:val="none"/>
    </w:rPr>
  </w:style>
  <w:style w:type="paragraph" w:styleId="2">
    <w:name w:val="heading 1"/>
    <w:basedOn w:val="1"/>
    <w:next w:val="1"/>
    <w:link w:val="20"/>
    <w:qFormat/>
    <w:uiPriority w:val="9"/>
    <w:pPr>
      <w:keepNext/>
      <w:keepLines/>
      <w:spacing w:before="120" w:after="120"/>
      <w:outlineLvl w:val="0"/>
    </w:pPr>
    <w:rPr>
      <w:rFonts w:eastAsiaTheme="majorEastAsia" w:cstheme="majorBidi"/>
      <w:b/>
      <w:color w:val="104862" w:themeColor="accent1" w:themeShade="BF"/>
      <w:sz w:val="32"/>
      <w:szCs w:val="40"/>
    </w:rPr>
  </w:style>
  <w:style w:type="paragraph" w:styleId="3">
    <w:name w:val="heading 2"/>
    <w:basedOn w:val="1"/>
    <w:next w:val="1"/>
    <w:link w:val="21"/>
    <w:unhideWhenUsed/>
    <w:qFormat/>
    <w:uiPriority w:val="9"/>
    <w:pPr>
      <w:keepNext/>
      <w:keepLines/>
      <w:spacing w:before="120" w:after="120"/>
      <w:outlineLvl w:val="1"/>
    </w:pPr>
    <w:rPr>
      <w:rFonts w:eastAsiaTheme="majorEastAsia" w:cstheme="majorBidi"/>
      <w:b/>
      <w:color w:val="104862" w:themeColor="accent1" w:themeShade="BF"/>
      <w:sz w:val="28"/>
      <w:szCs w:val="32"/>
    </w:rPr>
  </w:style>
  <w:style w:type="paragraph" w:styleId="4">
    <w:name w:val="heading 3"/>
    <w:basedOn w:val="1"/>
    <w:next w:val="1"/>
    <w:link w:val="23"/>
    <w:unhideWhenUsed/>
    <w:qFormat/>
    <w:uiPriority w:val="9"/>
    <w:pPr>
      <w:keepNext/>
      <w:keepLines/>
      <w:spacing w:before="160" w:after="80"/>
      <w:outlineLvl w:val="2"/>
    </w:pPr>
    <w:rPr>
      <w:rFonts w:asciiTheme="minorHAnsi" w:hAnsiTheme="minorHAnsi" w:eastAsiaTheme="majorEastAsia" w:cstheme="majorBidi"/>
      <w:color w:val="104862" w:themeColor="accent1" w:themeShade="BF"/>
      <w:sz w:val="28"/>
      <w:szCs w:val="28"/>
    </w:rPr>
  </w:style>
  <w:style w:type="paragraph" w:styleId="5">
    <w:name w:val="heading 4"/>
    <w:basedOn w:val="1"/>
    <w:next w:val="1"/>
    <w:link w:val="24"/>
    <w:unhideWhenUsed/>
    <w:qFormat/>
    <w:uiPriority w:val="9"/>
    <w:pPr>
      <w:keepNext/>
      <w:keepLines/>
      <w:spacing w:before="80" w:after="40"/>
      <w:outlineLvl w:val="3"/>
    </w:pPr>
    <w:rPr>
      <w:rFonts w:asciiTheme="minorHAnsi" w:hAnsiTheme="minorHAnsi" w:eastAsiaTheme="majorEastAsia" w:cstheme="majorBidi"/>
      <w:i/>
      <w:iCs/>
      <w:color w:val="104862" w:themeColor="accent1" w:themeShade="BF"/>
    </w:rPr>
  </w:style>
  <w:style w:type="paragraph" w:styleId="6">
    <w:name w:val="heading 5"/>
    <w:basedOn w:val="1"/>
    <w:next w:val="1"/>
    <w:link w:val="25"/>
    <w:unhideWhenUsed/>
    <w:qFormat/>
    <w:uiPriority w:val="9"/>
    <w:pPr>
      <w:keepNext/>
      <w:keepLines/>
      <w:spacing w:before="80" w:after="40"/>
      <w:outlineLvl w:val="4"/>
    </w:pPr>
    <w:rPr>
      <w:rFonts w:asciiTheme="minorHAnsi" w:hAnsiTheme="minorHAnsi" w:eastAsiaTheme="majorEastAsia" w:cstheme="majorBidi"/>
      <w:color w:val="104862" w:themeColor="accent1" w:themeShade="BF"/>
    </w:rPr>
  </w:style>
  <w:style w:type="paragraph" w:styleId="7">
    <w:name w:val="heading 6"/>
    <w:basedOn w:val="1"/>
    <w:next w:val="1"/>
    <w:link w:val="26"/>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unhideWhenUsed/>
    <w:qFormat/>
    <w:uiPriority w:val="9"/>
    <w:pPr>
      <w:keepNext/>
      <w:keepLines/>
      <w:spacing w:before="0"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unhideWhenUsed/>
    <w:qFormat/>
    <w:uiPriority w:val="9"/>
    <w:pPr>
      <w:keepNext/>
      <w:keepLines/>
      <w:spacing w:before="0"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7">
    <w:name w:val="Default Paragraph Font"/>
    <w:unhideWhenUsed/>
    <w:uiPriority w:val="1"/>
  </w:style>
  <w:style w:type="table" w:default="1" w:styleId="19">
    <w:name w:val="Normal Table"/>
    <w:unhideWhenUsed/>
    <w:uiPriority w:val="99"/>
    <w:tblPr>
      <w:tblLayout w:type="fixed"/>
      <w:tblCellMar>
        <w:top w:w="0" w:type="dxa"/>
        <w:left w:w="108" w:type="dxa"/>
        <w:bottom w:w="0" w:type="dxa"/>
        <w:right w:w="108" w:type="dxa"/>
      </w:tblCellMar>
    </w:tblPr>
  </w:style>
  <w:style w:type="paragraph" w:styleId="11">
    <w:name w:val="footer"/>
    <w:basedOn w:val="1"/>
    <w:link w:val="41"/>
    <w:unhideWhenUsed/>
    <w:uiPriority w:val="99"/>
    <w:pPr>
      <w:tabs>
        <w:tab w:val="center" w:pos="4680"/>
        <w:tab w:val="right" w:pos="9360"/>
      </w:tabs>
      <w:spacing w:before="0" w:after="0" w:line="240" w:lineRule="auto"/>
    </w:pPr>
  </w:style>
  <w:style w:type="paragraph" w:styleId="12">
    <w:name w:val="header"/>
    <w:basedOn w:val="1"/>
    <w:link w:val="40"/>
    <w:unhideWhenUsed/>
    <w:uiPriority w:val="99"/>
    <w:pPr>
      <w:tabs>
        <w:tab w:val="center" w:pos="4680"/>
        <w:tab w:val="right" w:pos="9360"/>
      </w:tabs>
      <w:spacing w:before="0" w:after="0" w:line="240" w:lineRule="auto"/>
    </w:pPr>
  </w:style>
  <w:style w:type="paragraph" w:styleId="13">
    <w:name w:val="Subtitle"/>
    <w:basedOn w:val="1"/>
    <w:next w:val="1"/>
    <w:link w:val="30"/>
    <w:qFormat/>
    <w:uiPriority w:val="11"/>
    <w:pPr>
      <w:spacing w:after="160"/>
    </w:pPr>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2"/>
    <w:qFormat/>
    <w:uiPriority w:val="10"/>
    <w:pPr>
      <w:spacing w:before="120" w:after="120"/>
      <w:contextualSpacing/>
    </w:pPr>
    <w:rPr>
      <w:rFonts w:eastAsiaTheme="majorEastAsia" w:cstheme="majorBidi"/>
      <w:spacing w:val="-10"/>
      <w:kern w:val="28"/>
      <w:sz w:val="32"/>
      <w:szCs w:val="56"/>
    </w:rPr>
  </w:style>
  <w:style w:type="paragraph" w:styleId="15">
    <w:name w:val="toc 1"/>
    <w:basedOn w:val="1"/>
    <w:next w:val="1"/>
    <w:unhideWhenUsed/>
    <w:uiPriority w:val="39"/>
    <w:pPr>
      <w:spacing w:after="100"/>
    </w:pPr>
  </w:style>
  <w:style w:type="paragraph" w:styleId="16">
    <w:name w:val="toc 2"/>
    <w:basedOn w:val="1"/>
    <w:next w:val="1"/>
    <w:unhideWhenUsed/>
    <w:uiPriority w:val="39"/>
    <w:pPr>
      <w:spacing w:after="100"/>
      <w:ind w:left="240"/>
    </w:pPr>
  </w:style>
  <w:style w:type="character" w:styleId="18">
    <w:name w:val="Hyperlink"/>
    <w:basedOn w:val="17"/>
    <w:unhideWhenUsed/>
    <w:uiPriority w:val="99"/>
    <w:rPr>
      <w:color w:val="467886" w:themeColor="hyperlink"/>
      <w:u w:val="single"/>
      <w14:textFill>
        <w14:solidFill>
          <w14:schemeClr w14:val="hlink"/>
        </w14:solidFill>
      </w14:textFill>
    </w:rPr>
  </w:style>
  <w:style w:type="character" w:customStyle="1" w:styleId="20">
    <w:name w:val="Heading 1 Char"/>
    <w:basedOn w:val="17"/>
    <w:link w:val="2"/>
    <w:uiPriority w:val="9"/>
    <w:rPr>
      <w:rFonts w:ascii="Calibri" w:hAnsi="Calibri" w:eastAsiaTheme="majorEastAsia" w:cstheme="majorBidi"/>
      <w:b/>
      <w:color w:val="104862" w:themeColor="accent1" w:themeShade="BF"/>
      <w:sz w:val="32"/>
      <w:szCs w:val="40"/>
      <w:lang w:val="en-GB"/>
    </w:rPr>
  </w:style>
  <w:style w:type="character" w:customStyle="1" w:styleId="21">
    <w:name w:val="Heading 2 Char"/>
    <w:basedOn w:val="17"/>
    <w:link w:val="3"/>
    <w:uiPriority w:val="9"/>
    <w:rPr>
      <w:rFonts w:ascii="Calibri" w:hAnsi="Calibri" w:eastAsiaTheme="majorEastAsia" w:cstheme="majorBidi"/>
      <w:b/>
      <w:color w:val="104862" w:themeColor="accent1" w:themeShade="BF"/>
      <w:sz w:val="28"/>
      <w:szCs w:val="32"/>
      <w:lang w:val="en-GB"/>
    </w:rPr>
  </w:style>
  <w:style w:type="character" w:customStyle="1" w:styleId="22">
    <w:name w:val="Title Char"/>
    <w:basedOn w:val="17"/>
    <w:link w:val="14"/>
    <w:uiPriority w:val="10"/>
    <w:rPr>
      <w:rFonts w:ascii="Calibri" w:hAnsi="Calibri" w:eastAsiaTheme="majorEastAsia" w:cstheme="majorBidi"/>
      <w:spacing w:val="-10"/>
      <w:kern w:val="28"/>
      <w:sz w:val="32"/>
      <w:szCs w:val="56"/>
      <w:lang w:val="en-GB"/>
    </w:rPr>
  </w:style>
  <w:style w:type="character" w:customStyle="1" w:styleId="23">
    <w:name w:val="Heading 3 Char"/>
    <w:basedOn w:val="17"/>
    <w:link w:val="4"/>
    <w:semiHidden/>
    <w:uiPriority w:val="9"/>
    <w:rPr>
      <w:rFonts w:eastAsiaTheme="majorEastAsia" w:cstheme="majorBidi"/>
      <w:color w:val="104862" w:themeColor="accent1" w:themeShade="BF"/>
      <w:sz w:val="28"/>
      <w:szCs w:val="28"/>
      <w:lang w:val="en-GB"/>
    </w:rPr>
  </w:style>
  <w:style w:type="character" w:customStyle="1" w:styleId="24">
    <w:name w:val="Heading 4 Char"/>
    <w:basedOn w:val="17"/>
    <w:link w:val="5"/>
    <w:semiHidden/>
    <w:uiPriority w:val="9"/>
    <w:rPr>
      <w:rFonts w:eastAsiaTheme="majorEastAsia" w:cstheme="majorBidi"/>
      <w:i/>
      <w:iCs/>
      <w:color w:val="104862" w:themeColor="accent1" w:themeShade="BF"/>
      <w:lang w:val="en-GB"/>
    </w:rPr>
  </w:style>
  <w:style w:type="character" w:customStyle="1" w:styleId="25">
    <w:name w:val="Heading 5 Char"/>
    <w:basedOn w:val="17"/>
    <w:link w:val="6"/>
    <w:semiHidden/>
    <w:uiPriority w:val="9"/>
    <w:rPr>
      <w:rFonts w:eastAsiaTheme="majorEastAsia" w:cstheme="majorBidi"/>
      <w:color w:val="104862" w:themeColor="accent1" w:themeShade="BF"/>
      <w:lang w:val="en-GB"/>
    </w:rPr>
  </w:style>
  <w:style w:type="character" w:customStyle="1" w:styleId="26">
    <w:name w:val="Heading 6 Char"/>
    <w:basedOn w:val="17"/>
    <w:link w:val="7"/>
    <w:semiHidden/>
    <w:uiPriority w:val="9"/>
    <w:rPr>
      <w:rFonts w:eastAsiaTheme="majorEastAsia" w:cstheme="majorBidi"/>
      <w:i/>
      <w:iCs/>
      <w:color w:val="595959" w:themeColor="text1" w:themeTint="A6"/>
      <w:lang w:val="en-GB"/>
      <w14:textFill>
        <w14:solidFill>
          <w14:schemeClr w14:val="tx1">
            <w14:lumMod w14:val="65000"/>
            <w14:lumOff w14:val="35000"/>
          </w14:schemeClr>
        </w14:solidFill>
      </w14:textFill>
    </w:rPr>
  </w:style>
  <w:style w:type="character" w:customStyle="1" w:styleId="27">
    <w:name w:val="Heading 7 Char"/>
    <w:basedOn w:val="17"/>
    <w:link w:val="8"/>
    <w:semiHidden/>
    <w:uiPriority w:val="9"/>
    <w:rPr>
      <w:rFonts w:eastAsiaTheme="majorEastAsia" w:cstheme="majorBidi"/>
      <w:color w:val="595959" w:themeColor="text1" w:themeTint="A6"/>
      <w:lang w:val="en-GB"/>
      <w14:textFill>
        <w14:solidFill>
          <w14:schemeClr w14:val="tx1">
            <w14:lumMod w14:val="65000"/>
            <w14:lumOff w14:val="35000"/>
          </w14:schemeClr>
        </w14:solidFill>
      </w14:textFill>
    </w:rPr>
  </w:style>
  <w:style w:type="character" w:customStyle="1" w:styleId="28">
    <w:name w:val="Heading 8 Char"/>
    <w:basedOn w:val="17"/>
    <w:link w:val="9"/>
    <w:semiHidden/>
    <w:uiPriority w:val="9"/>
    <w:rPr>
      <w:rFonts w:eastAsiaTheme="majorEastAsia" w:cstheme="majorBidi"/>
      <w:i/>
      <w:iCs/>
      <w:color w:val="262626" w:themeColor="text1" w:themeTint="D9"/>
      <w:lang w:val="en-GB"/>
      <w14:textFill>
        <w14:solidFill>
          <w14:schemeClr w14:val="tx1">
            <w14:lumMod w14:val="85000"/>
            <w14:lumOff w14:val="15000"/>
          </w14:schemeClr>
        </w14:solidFill>
      </w14:textFill>
    </w:rPr>
  </w:style>
  <w:style w:type="character" w:customStyle="1" w:styleId="29">
    <w:name w:val="Heading 9 Char"/>
    <w:basedOn w:val="17"/>
    <w:link w:val="10"/>
    <w:semiHidden/>
    <w:uiPriority w:val="9"/>
    <w:rPr>
      <w:rFonts w:eastAsiaTheme="majorEastAsia" w:cstheme="majorBidi"/>
      <w:color w:val="262626" w:themeColor="text1" w:themeTint="D9"/>
      <w:lang w:val="en-GB"/>
      <w14:textFill>
        <w14:solidFill>
          <w14:schemeClr w14:val="tx1">
            <w14:lumMod w14:val="85000"/>
            <w14:lumOff w14:val="15000"/>
          </w14:schemeClr>
        </w14:solidFill>
      </w14:textFill>
    </w:rPr>
  </w:style>
  <w:style w:type="character" w:customStyle="1" w:styleId="30">
    <w:name w:val="Subtitle Char"/>
    <w:basedOn w:val="17"/>
    <w:link w:val="13"/>
    <w:uiPriority w:val="11"/>
    <w:rPr>
      <w:rFonts w:eastAsiaTheme="majorEastAsia" w:cstheme="majorBidi"/>
      <w:color w:val="595959" w:themeColor="text1" w:themeTint="A6"/>
      <w:spacing w:val="15"/>
      <w:sz w:val="28"/>
      <w:szCs w:val="28"/>
      <w:lang w:val="en-GB"/>
      <w14:textFill>
        <w14:solidFill>
          <w14:schemeClr w14:val="tx1">
            <w14:lumMod w14:val="65000"/>
            <w14:lumOff w14:val="35000"/>
          </w14:schemeClr>
        </w14:solidFill>
      </w14:textFill>
    </w:rPr>
  </w:style>
  <w:style w:type="paragraph" w:customStyle="1" w:styleId="31">
    <w:name w:val="Quote"/>
    <w:basedOn w:val="1"/>
    <w:next w:val="1"/>
    <w:link w:val="32"/>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Quote Char"/>
    <w:basedOn w:val="17"/>
    <w:link w:val="31"/>
    <w:uiPriority w:val="29"/>
    <w:rPr>
      <w:rFonts w:ascii="Times New Roman" w:hAnsi="Times New Roman"/>
      <w:i/>
      <w:iCs/>
      <w:color w:val="404040" w:themeColor="text1" w:themeTint="BF"/>
      <w:lang w:val="en-GB"/>
      <w14:textFill>
        <w14:solidFill>
          <w14:schemeClr w14:val="tx1">
            <w14:lumMod w14:val="75000"/>
            <w14:lumOff w14:val="25000"/>
          </w14:schemeClr>
        </w14:solidFill>
      </w14:textFill>
    </w:rPr>
  </w:style>
  <w:style w:type="paragraph" w:customStyle="1" w:styleId="33">
    <w:name w:val="List Paragraph"/>
    <w:basedOn w:val="1"/>
    <w:qFormat/>
    <w:uiPriority w:val="34"/>
    <w:pPr>
      <w:ind w:left="720"/>
      <w:contextualSpacing/>
    </w:pPr>
  </w:style>
  <w:style w:type="character" w:customStyle="1" w:styleId="34">
    <w:name w:val="Intense Emphasis"/>
    <w:basedOn w:val="17"/>
    <w:qFormat/>
    <w:uiPriority w:val="21"/>
    <w:rPr>
      <w:i/>
      <w:iCs/>
      <w:color w:val="104862" w:themeColor="accent1" w:themeShade="BF"/>
    </w:rPr>
  </w:style>
  <w:style w:type="paragraph" w:customStyle="1"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Intense Quote Char"/>
    <w:basedOn w:val="17"/>
    <w:link w:val="35"/>
    <w:uiPriority w:val="30"/>
    <w:rPr>
      <w:rFonts w:ascii="Times New Roman" w:hAnsi="Times New Roman"/>
      <w:i/>
      <w:iCs/>
      <w:color w:val="104862" w:themeColor="accent1" w:themeShade="BF"/>
      <w:lang w:val="en-GB"/>
    </w:rPr>
  </w:style>
  <w:style w:type="character" w:customStyle="1" w:styleId="37">
    <w:name w:val="Intense Reference"/>
    <w:basedOn w:val="17"/>
    <w:qFormat/>
    <w:uiPriority w:val="32"/>
    <w:rPr>
      <w:b/>
      <w:bCs/>
      <w:smallCaps/>
      <w:color w:val="104862" w:themeColor="accent1" w:themeShade="BF"/>
      <w:spacing w:val="5"/>
    </w:rPr>
  </w:style>
  <w:style w:type="character" w:customStyle="1" w:styleId="38">
    <w:name w:val="Unresolved Mention"/>
    <w:basedOn w:val="17"/>
    <w:unhideWhenUsed/>
    <w:uiPriority w:val="99"/>
    <w:rPr>
      <w:color w:val="605E5C"/>
      <w:shd w:val="clear" w:color="auto" w:fill="E1DFDD"/>
    </w:rPr>
  </w:style>
  <w:style w:type="paragraph" w:customStyle="1" w:styleId="39">
    <w:name w:val="TOC Heading"/>
    <w:basedOn w:val="2"/>
    <w:next w:val="1"/>
    <w:unhideWhenUsed/>
    <w:qFormat/>
    <w:uiPriority w:val="39"/>
    <w:pPr>
      <w:spacing w:before="240" w:after="0" w:line="259" w:lineRule="auto"/>
      <w:jc w:val="left"/>
      <w:outlineLvl w:val="9"/>
    </w:pPr>
    <w:rPr>
      <w:rFonts w:asciiTheme="majorHAnsi" w:hAnsiTheme="majorHAnsi"/>
      <w:b w:val="0"/>
      <w:kern w:val="0"/>
      <w:szCs w:val="32"/>
      <w:lang w:val="en-US"/>
      <w14:ligatures w14:val="none"/>
    </w:rPr>
  </w:style>
  <w:style w:type="character" w:customStyle="1" w:styleId="40">
    <w:name w:val="Header Char"/>
    <w:basedOn w:val="17"/>
    <w:link w:val="12"/>
    <w:uiPriority w:val="99"/>
    <w:rPr>
      <w:rFonts w:ascii="Times New Roman" w:hAnsi="Times New Roman"/>
      <w:lang w:val="en-GB"/>
    </w:rPr>
  </w:style>
  <w:style w:type="character" w:customStyle="1" w:styleId="41">
    <w:name w:val="Footer Char"/>
    <w:basedOn w:val="17"/>
    <w:link w:val="11"/>
    <w:uiPriority w:val="99"/>
    <w:rPr>
      <w:rFonts w:ascii="Times New Roman" w:hAnsi="Times New Roman"/>
      <w:lang w:val="en-G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2536</Words>
  <Characters>15695</Characters>
  <Lines>256</Lines>
  <Paragraphs>79</Paragraphs>
  <TotalTime>0</TotalTime>
  <ScaleCrop>false</ScaleCrop>
  <LinksUpToDate>false</LinksUpToDate>
  <CharactersWithSpaces>18164</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2026-07-29T18:00:00Z</dcterms:created>
  <cp:lastModifiedBy>iPhone</cp:lastModifiedBy>
  <dcterms:modified xsi:type="dcterms:W3CDTF">2026-07-30T00:34:49Z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50476c2f-190b-42b0-bf72-a9b501783c20</vt:lpwstr>
  </property>
  <property fmtid="{D5CDD505-2E9C-101B-9397-08002B2CF9AE}" pid="3" name="ICV">
    <vt:lpwstr>7771F00E06444AF16E8D6A6AC22BD62B_31</vt:lpwstr>
  </property>
  <property fmtid="{D5CDD505-2E9C-101B-9397-08002B2CF9AE}" pid="4" name="KSOProductBuildVer">
    <vt:lpwstr>3081-26.7.0</vt:lpwstr>
  </property>
</Properties>
</file>