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1526324"/>
        <w:docPartObj>
          <w:docPartGallery w:val="Cover Pages"/>
          <w:docPartUnique/>
        </w:docPartObj>
      </w:sdtPr>
      <w:sdtEndPr>
        <w:rPr>
          <w:rStyle w:val="normaltextrun"/>
          <w:rFonts w:ascii="Arial" w:hAnsi="Arial" w:cs="Arial"/>
        </w:rPr>
      </w:sdtEndPr>
      <w:sdtContent>
        <w:p w14:paraId="7F5F2717" w14:textId="4BFDD407" w:rsidR="00AC6E11" w:rsidRDefault="00AC6E11">
          <w:r>
            <w:rPr>
              <w:noProof/>
            </w:rPr>
            <mc:AlternateContent>
              <mc:Choice Requires="wpg">
                <w:drawing>
                  <wp:anchor distT="0" distB="0" distL="114300" distR="114300" simplePos="0" relativeHeight="251662336" behindDoc="0" locked="0" layoutInCell="1" allowOverlap="1" wp14:anchorId="006B9180" wp14:editId="39B97D9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DA564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C13FC80" wp14:editId="45CA75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33D473" w14:textId="5D7B3BEA" w:rsidR="00AC6E11" w:rsidRDefault="00AC6E11">
                                    <w:pPr>
                                      <w:pStyle w:val="NoSpacing"/>
                                      <w:jc w:val="right"/>
                                      <w:rPr>
                                        <w:color w:val="595959" w:themeColor="text1" w:themeTint="A6"/>
                                        <w:sz w:val="28"/>
                                        <w:szCs w:val="28"/>
                                      </w:rPr>
                                    </w:pPr>
                                    <w:r>
                                      <w:rPr>
                                        <w:color w:val="595959" w:themeColor="text1" w:themeTint="A6"/>
                                        <w:sz w:val="28"/>
                                        <w:szCs w:val="28"/>
                                      </w:rPr>
                                      <w:t>Lucy Roche (1902211)</w:t>
                                    </w:r>
                                  </w:p>
                                </w:sdtContent>
                              </w:sdt>
                              <w:p w14:paraId="026A43CE" w14:textId="1062238B" w:rsidR="00AC6E11" w:rsidRDefault="00391D4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C6E11">
                                      <w:rPr>
                                        <w:color w:val="595959" w:themeColor="text1" w:themeTint="A6"/>
                                        <w:sz w:val="18"/>
                                        <w:szCs w:val="18"/>
                                      </w:rPr>
                                      <w:t>1902211@student.uwtsd.ac.uk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13FC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3D473" w14:textId="5D7B3BEA" w:rsidR="00AC6E11" w:rsidRDefault="00AC6E11">
                              <w:pPr>
                                <w:pStyle w:val="NoSpacing"/>
                                <w:jc w:val="right"/>
                                <w:rPr>
                                  <w:color w:val="595959" w:themeColor="text1" w:themeTint="A6"/>
                                  <w:sz w:val="28"/>
                                  <w:szCs w:val="28"/>
                                </w:rPr>
                              </w:pPr>
                              <w:r>
                                <w:rPr>
                                  <w:color w:val="595959" w:themeColor="text1" w:themeTint="A6"/>
                                  <w:sz w:val="28"/>
                                  <w:szCs w:val="28"/>
                                </w:rPr>
                                <w:t>Lucy Roche (1902211)</w:t>
                              </w:r>
                            </w:p>
                          </w:sdtContent>
                        </w:sdt>
                        <w:p w14:paraId="026A43CE" w14:textId="1062238B" w:rsidR="00AC6E11" w:rsidRDefault="00AC6E1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1902211@student.uwtsd.ac.uk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00372F" wp14:editId="63BBF06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83C7" w14:textId="1A60BABC" w:rsidR="00AC6E11" w:rsidRDefault="00391D4E">
                                <w:pPr>
                                  <w:jc w:val="right"/>
                                  <w:rPr>
                                    <w:color w:val="4472C4" w:themeColor="accent1"/>
                                    <w:sz w:val="64"/>
                                    <w:szCs w:val="64"/>
                                  </w:rPr>
                                </w:pPr>
                                <w:sdt>
                                  <w:sdtPr>
                                    <w:rPr>
                                      <w:caps/>
                                      <w:color w:val="4472C4" w:themeColor="accent1"/>
                                      <w:sz w:val="52"/>
                                      <w:szCs w:val="52"/>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52715">
                                      <w:rPr>
                                        <w:caps/>
                                        <w:color w:val="4472C4" w:themeColor="accent1"/>
                                        <w:sz w:val="52"/>
                                        <w:szCs w:val="52"/>
                                      </w:rPr>
                                      <w:t xml:space="preserve">     </w:t>
                                    </w:r>
                                  </w:sdtContent>
                                </w:sdt>
                              </w:p>
                              <w:p w14:paraId="080933B3" w14:textId="37AB8DF2" w:rsidR="00AC6E11" w:rsidRDefault="00AC6E11" w:rsidP="00AC6E11">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700372F" id="_x0000_t202" coordsize="21600,21600" o:spt="202" path="m,l,21600r21600,l21600,xe">
                    <v:stroke joinstyle="miter"/>
                    <v:path gradientshapeok="t" o:connecttype="rect"/>
                  </v:shapetype>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83C7" w14:textId="1A60BABC" w:rsidR="00AC6E11" w:rsidRDefault="00391D4E">
                          <w:pPr>
                            <w:jc w:val="right"/>
                            <w:rPr>
                              <w:color w:val="4472C4" w:themeColor="accent1"/>
                              <w:sz w:val="64"/>
                              <w:szCs w:val="64"/>
                            </w:rPr>
                          </w:pPr>
                          <w:sdt>
                            <w:sdtPr>
                              <w:rPr>
                                <w:caps/>
                                <w:color w:val="4472C4" w:themeColor="accent1"/>
                                <w:sz w:val="52"/>
                                <w:szCs w:val="52"/>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52715">
                                <w:rPr>
                                  <w:caps/>
                                  <w:color w:val="4472C4" w:themeColor="accent1"/>
                                  <w:sz w:val="52"/>
                                  <w:szCs w:val="52"/>
                                </w:rPr>
                                <w:t xml:space="preserve">     </w:t>
                              </w:r>
                            </w:sdtContent>
                          </w:sdt>
                        </w:p>
                        <w:p w14:paraId="080933B3" w14:textId="37AB8DF2" w:rsidR="00AC6E11" w:rsidRDefault="00AC6E11" w:rsidP="00AC6E11">
                          <w:pPr>
                            <w:rPr>
                              <w:smallCaps/>
                              <w:color w:val="404040" w:themeColor="text1" w:themeTint="BF"/>
                              <w:sz w:val="36"/>
                              <w:szCs w:val="36"/>
                            </w:rPr>
                          </w:pPr>
                        </w:p>
                      </w:txbxContent>
                    </v:textbox>
                    <w10:wrap type="square" anchorx="page" anchory="page"/>
                  </v:shape>
                </w:pict>
              </mc:Fallback>
            </mc:AlternateContent>
          </w:r>
        </w:p>
        <w:p w14:paraId="55291A18" w14:textId="45580C18" w:rsidR="00AC6E11" w:rsidRDefault="00AC6E11">
          <w:pPr>
            <w:rPr>
              <w:rStyle w:val="normaltextrun"/>
              <w:rFonts w:ascii="Arial" w:eastAsia="Times New Roman" w:hAnsi="Arial" w:cs="Arial"/>
              <w:sz w:val="24"/>
              <w:szCs w:val="24"/>
              <w:lang w:eastAsia="en-GB"/>
            </w:rPr>
          </w:pPr>
          <w:r>
            <w:rPr>
              <w:rStyle w:val="normaltextrun"/>
              <w:rFonts w:ascii="Arial" w:hAnsi="Arial" w:cs="Arial"/>
            </w:rPr>
            <w:br w:type="page"/>
          </w:r>
        </w:p>
      </w:sdtContent>
    </w:sdt>
    <w:p w14:paraId="6B850962" w14:textId="1773D6AC" w:rsidR="00086DC9" w:rsidRPr="00ED3AB6" w:rsidRDefault="00086DC9" w:rsidP="00ED3AB6">
      <w:pPr>
        <w:pStyle w:val="paragraph"/>
        <w:spacing w:before="0" w:beforeAutospacing="0" w:after="0" w:afterAutospacing="0" w:line="480" w:lineRule="auto"/>
        <w:textAlignment w:val="baseline"/>
        <w:rPr>
          <w:rFonts w:ascii="Arial" w:hAnsi="Arial" w:cs="Arial"/>
        </w:rPr>
      </w:pPr>
      <w:r w:rsidRPr="00ED3AB6">
        <w:rPr>
          <w:rStyle w:val="normaltextrun"/>
          <w:rFonts w:ascii="Arial" w:hAnsi="Arial" w:cs="Arial"/>
        </w:rPr>
        <w:lastRenderedPageBreak/>
        <w:t>The Youth Justice system works closely with young people who commit crimes helping them integrate back into society and help improve their behaviours and encourage them to change their lives. There have been several changes in how the justice</w:t>
      </w:r>
      <w:r w:rsidR="00352715">
        <w:rPr>
          <w:rStyle w:val="normaltextrun"/>
          <w:rFonts w:ascii="Arial" w:hAnsi="Arial" w:cs="Arial"/>
        </w:rPr>
        <w:t xml:space="preserve"> system</w:t>
      </w:r>
      <w:r w:rsidRPr="00ED3AB6">
        <w:rPr>
          <w:rStyle w:val="normaltextrun"/>
          <w:rFonts w:ascii="Arial" w:hAnsi="Arial" w:cs="Arial"/>
        </w:rPr>
        <w:t xml:space="preserve"> operates</w:t>
      </w:r>
      <w:r w:rsidR="00352715">
        <w:rPr>
          <w:rStyle w:val="normaltextrun"/>
          <w:rFonts w:ascii="Arial" w:hAnsi="Arial" w:cs="Arial"/>
        </w:rPr>
        <w:t xml:space="preserve"> for youths</w:t>
      </w:r>
      <w:r w:rsidRPr="00ED3AB6">
        <w:rPr>
          <w:rStyle w:val="normaltextrun"/>
          <w:rFonts w:ascii="Arial" w:hAnsi="Arial" w:cs="Arial"/>
        </w:rPr>
        <w:t xml:space="preserve"> since the Crime and Disorder Act 1998</w:t>
      </w:r>
      <w:r w:rsidR="00352715">
        <w:rPr>
          <w:rStyle w:val="normaltextrun"/>
          <w:rFonts w:ascii="Arial" w:hAnsi="Arial" w:cs="Arial"/>
        </w:rPr>
        <w:t xml:space="preserve"> (</w:t>
      </w:r>
      <w:r w:rsidR="00352715" w:rsidRPr="00ED3AB6">
        <w:rPr>
          <w:rFonts w:ascii="Arial" w:hAnsi="Arial" w:cs="Arial"/>
          <w:shd w:val="clear" w:color="auto" w:fill="FFFFFF"/>
        </w:rPr>
        <w:t>HM Government</w:t>
      </w:r>
      <w:r w:rsidR="00352715">
        <w:rPr>
          <w:rFonts w:ascii="Arial" w:hAnsi="Arial" w:cs="Arial"/>
          <w:shd w:val="clear" w:color="auto" w:fill="FFFFFF"/>
        </w:rPr>
        <w:t xml:space="preserve">, </w:t>
      </w:r>
      <w:r w:rsidR="00352715" w:rsidRPr="00ED3AB6">
        <w:rPr>
          <w:rFonts w:ascii="Arial" w:hAnsi="Arial" w:cs="Arial"/>
          <w:shd w:val="clear" w:color="auto" w:fill="FFFFFF"/>
        </w:rPr>
        <w:t>2007)</w:t>
      </w:r>
      <w:r w:rsidRPr="00ED3AB6">
        <w:rPr>
          <w:rStyle w:val="normaltextrun"/>
          <w:rFonts w:ascii="Arial" w:hAnsi="Arial" w:cs="Arial"/>
        </w:rPr>
        <w:t xml:space="preserve"> was brought in. </w:t>
      </w:r>
      <w:r w:rsidR="00352715">
        <w:rPr>
          <w:rStyle w:val="normaltextrun"/>
          <w:rFonts w:ascii="Arial" w:hAnsi="Arial" w:cs="Arial"/>
        </w:rPr>
        <w:t>There has been a constant change</w:t>
      </w:r>
      <w:r w:rsidRPr="00ED3AB6">
        <w:rPr>
          <w:rStyle w:val="normaltextrun"/>
          <w:rFonts w:ascii="Arial" w:hAnsi="Arial" w:cs="Arial"/>
        </w:rPr>
        <w:t xml:space="preserve"> within the UK youth justice system, since the response to children who offend changed (Case, 2018). These changes, and the understanding of children who </w:t>
      </w:r>
      <w:r w:rsidR="003932EE">
        <w:rPr>
          <w:rStyle w:val="normaltextrun"/>
          <w:rFonts w:ascii="Arial" w:hAnsi="Arial" w:cs="Arial"/>
        </w:rPr>
        <w:t>commit</w:t>
      </w:r>
      <w:r w:rsidRPr="00ED3AB6">
        <w:rPr>
          <w:rStyle w:val="normaltextrun"/>
          <w:rFonts w:ascii="Arial" w:hAnsi="Arial" w:cs="Arial"/>
        </w:rPr>
        <w:t xml:space="preserve"> have not been easy, as there has been conflict regarding how children who offend </w:t>
      </w:r>
      <w:r w:rsidR="003932EE">
        <w:rPr>
          <w:rStyle w:val="normaltextrun"/>
          <w:rFonts w:ascii="Arial" w:hAnsi="Arial" w:cs="Arial"/>
        </w:rPr>
        <w:t xml:space="preserve">should be treated within the court system </w:t>
      </w:r>
      <w:r w:rsidRPr="00ED3AB6">
        <w:rPr>
          <w:rStyle w:val="normaltextrun"/>
          <w:rFonts w:ascii="Arial" w:hAnsi="Arial" w:cs="Arial"/>
        </w:rPr>
        <w:t>(Case and Hampson, 2019). Since the first distinction between child and adult offenders, youth justice has been a political point winner. Since the late 20th century (Shore, 2011), successive UK administrations have undertaken changes in the way they manage youth crimes, producing more productive methods for tackle reoffending. This essay will discuss the main changes to youth justice since 1998 and will look at new approaches to crime youth prevention.</w:t>
      </w:r>
      <w:r w:rsidRPr="00ED3AB6">
        <w:rPr>
          <w:rStyle w:val="eop"/>
          <w:rFonts w:ascii="Arial" w:hAnsi="Arial" w:cs="Arial"/>
        </w:rPr>
        <w:t> </w:t>
      </w:r>
    </w:p>
    <w:p w14:paraId="6A44C06F" w14:textId="0D7D3556" w:rsidR="00086DC9" w:rsidRPr="00ED3AB6" w:rsidRDefault="00086DC9" w:rsidP="00ED3AB6">
      <w:pPr>
        <w:pStyle w:val="paragraph"/>
        <w:spacing w:before="0" w:beforeAutospacing="0" w:after="0" w:afterAutospacing="0" w:line="480" w:lineRule="auto"/>
        <w:textAlignment w:val="baseline"/>
        <w:rPr>
          <w:rFonts w:ascii="Arial" w:hAnsi="Arial" w:cs="Arial"/>
        </w:rPr>
      </w:pPr>
      <w:r w:rsidRPr="00ED3AB6">
        <w:rPr>
          <w:rStyle w:val="normaltextrun"/>
          <w:rFonts w:ascii="Arial" w:hAnsi="Arial" w:cs="Arial"/>
        </w:rPr>
        <w:t xml:space="preserve">With the growing concern that juvenile criminality had not been handled in a systematic manner, and that nobody was accepting responsibility for youngsters involved in crime on a local level, </w:t>
      </w:r>
      <w:r w:rsidR="003932EE">
        <w:rPr>
          <w:rStyle w:val="normaltextrun"/>
          <w:rFonts w:ascii="Arial" w:hAnsi="Arial" w:cs="Arial"/>
        </w:rPr>
        <w:t>i</w:t>
      </w:r>
      <w:r w:rsidR="003932EE" w:rsidRPr="003932EE">
        <w:rPr>
          <w:rStyle w:val="normaltextrun"/>
          <w:rFonts w:ascii="Arial" w:hAnsi="Arial" w:cs="Arial"/>
        </w:rPr>
        <w:t>n 1998, the youth justice system was created.</w:t>
      </w:r>
      <w:r w:rsidR="003932EE" w:rsidRPr="003932EE">
        <w:rPr>
          <w:rStyle w:val="normaltextrun"/>
          <w:rFonts w:ascii="Arial" w:hAnsi="Arial" w:cs="Arial"/>
        </w:rPr>
        <w:t xml:space="preserve"> </w:t>
      </w:r>
      <w:r w:rsidRPr="00ED3AB6">
        <w:rPr>
          <w:rStyle w:val="normaltextrun"/>
          <w:rFonts w:ascii="Arial" w:hAnsi="Arial" w:cs="Arial"/>
        </w:rPr>
        <w:t xml:space="preserve">(Taylor, 2016). </w:t>
      </w:r>
      <w:r w:rsidR="003932EE" w:rsidRPr="003932EE">
        <w:rPr>
          <w:rStyle w:val="normaltextrun"/>
          <w:rFonts w:ascii="Arial" w:hAnsi="Arial" w:cs="Arial"/>
        </w:rPr>
        <w:t>Uncontested anti-social behaviour was of particular interest, as did the notion that gangs of delinquent teenagers were causing substantial problems in their communities in specific regions. The government desired to construct a system that would "nip" kid disobedience in the bud by responding promptly and aggressively to early indicators of criminal activity (Taylor, 2016).</w:t>
      </w:r>
      <w:r w:rsidR="003932EE">
        <w:rPr>
          <w:rStyle w:val="normaltextrun"/>
          <w:rFonts w:ascii="Arial" w:hAnsi="Arial" w:cs="Arial"/>
        </w:rPr>
        <w:t xml:space="preserve"> </w:t>
      </w:r>
      <w:r w:rsidR="003932EE" w:rsidRPr="003932EE">
        <w:rPr>
          <w:rStyle w:val="normaltextrun"/>
          <w:rFonts w:ascii="Arial" w:hAnsi="Arial" w:cs="Arial"/>
        </w:rPr>
        <w:t>The Crime and Disorder Act of 1998 mandated that all local governments construct a Youth Offending Team (YOT) comprised of officials from the police, rehabilitation organizations, social services, education, and healthcare. The legislation requires YOTs to assist authorities with just about any out-of-court judgments and to provide for suitable adults to be present throughout any police interrogation.</w:t>
      </w:r>
      <w:r w:rsidR="003932EE">
        <w:rPr>
          <w:rStyle w:val="normaltextrun"/>
          <w:rFonts w:ascii="Arial" w:hAnsi="Arial" w:cs="Arial"/>
        </w:rPr>
        <w:t xml:space="preserve"> </w:t>
      </w:r>
      <w:r w:rsidRPr="00ED3AB6">
        <w:rPr>
          <w:rStyle w:val="normaltextrun"/>
          <w:rFonts w:ascii="Arial" w:hAnsi="Arial" w:cs="Arial"/>
        </w:rPr>
        <w:t>They are required to provide the courts with the reports and information that are needed for the criminal cases that involve young people. They need to supervise any children and youths serving any community sentences, as well as children and youths that are then released from detention (Taylor, 2016).</w:t>
      </w:r>
      <w:r w:rsidRPr="00ED3AB6">
        <w:rPr>
          <w:rStyle w:val="eop"/>
          <w:rFonts w:ascii="Arial" w:hAnsi="Arial" w:cs="Arial"/>
        </w:rPr>
        <w:t> </w:t>
      </w:r>
    </w:p>
    <w:p w14:paraId="7B06C6DE" w14:textId="191F7330" w:rsidR="00440FCB" w:rsidRPr="00ED3AB6" w:rsidRDefault="003932EE" w:rsidP="00440FCB">
      <w:pPr>
        <w:pStyle w:val="paragraph"/>
        <w:spacing w:before="0" w:beforeAutospacing="0" w:after="0" w:afterAutospacing="0" w:line="480" w:lineRule="auto"/>
        <w:textAlignment w:val="baseline"/>
        <w:rPr>
          <w:rStyle w:val="normaltextrun"/>
          <w:rFonts w:ascii="Arial" w:hAnsi="Arial" w:cs="Arial"/>
        </w:rPr>
      </w:pPr>
      <w:r w:rsidRPr="003932EE">
        <w:rPr>
          <w:rStyle w:val="normaltextrun"/>
          <w:rFonts w:ascii="Arial" w:hAnsi="Arial" w:cs="Arial"/>
        </w:rPr>
        <w:t>In 2007, 225,000 juveniles in England and Wales were reprimanded or convicted of a reportable offence (Ministry of Justice, 2016). 106,000 of these children were all first offenders who had never previously received a caution or a conviction. 126,000 of these were convicted in court, and 5,800 were incarcerated. In 2007, the average monthly detention population for people under the age of 18 was 2,909. (Ministry of Justice and Youth Justice Boards, 2016). Since then, the number of children participating in the juvenile court system has declined considerably, with year-on-year declines</w:t>
      </w:r>
      <w:r>
        <w:rPr>
          <w:rStyle w:val="normaltextrun"/>
          <w:rFonts w:ascii="Arial" w:hAnsi="Arial" w:cs="Arial"/>
        </w:rPr>
        <w:t xml:space="preserve">. </w:t>
      </w:r>
      <w:r w:rsidRPr="003932EE">
        <w:rPr>
          <w:rStyle w:val="normaltextrun"/>
          <w:rFonts w:ascii="Arial" w:hAnsi="Arial" w:cs="Arial"/>
        </w:rPr>
        <w:t xml:space="preserve">In 2015, 47,000 minors were reprimanded or convicted, representing a 79% drop from 2007. </w:t>
      </w:r>
    </w:p>
    <w:p w14:paraId="2891499A" w14:textId="12AE37DD" w:rsidR="00086DC9" w:rsidRPr="00ED3AB6" w:rsidRDefault="00BD3B6C" w:rsidP="00ED3AB6">
      <w:pPr>
        <w:pStyle w:val="paragraph"/>
        <w:spacing w:before="0" w:beforeAutospacing="0" w:after="0" w:afterAutospacing="0" w:line="480" w:lineRule="auto"/>
        <w:textAlignment w:val="baseline"/>
        <w:rPr>
          <w:rFonts w:ascii="Arial" w:hAnsi="Arial" w:cs="Arial"/>
        </w:rPr>
      </w:pPr>
      <w:r w:rsidRPr="00ED3AB6">
        <w:rPr>
          <w:rStyle w:val="normaltextrun"/>
          <w:rFonts w:ascii="Arial" w:hAnsi="Arial" w:cs="Arial"/>
        </w:rPr>
        <w:t>Many</w:t>
      </w:r>
      <w:r w:rsidR="00086DC9" w:rsidRPr="00ED3AB6">
        <w:rPr>
          <w:rStyle w:val="normaltextrun"/>
          <w:rFonts w:ascii="Arial" w:hAnsi="Arial" w:cs="Arial"/>
        </w:rPr>
        <w:t xml:space="preserve"> </w:t>
      </w:r>
      <w:r w:rsidR="00F46645">
        <w:rPr>
          <w:rStyle w:val="normaltextrun"/>
          <w:rFonts w:ascii="Arial" w:hAnsi="Arial" w:cs="Arial"/>
        </w:rPr>
        <w:t>children</w:t>
      </w:r>
      <w:r w:rsidR="00086DC9" w:rsidRPr="00ED3AB6">
        <w:rPr>
          <w:rStyle w:val="normaltextrun"/>
          <w:rFonts w:ascii="Arial" w:hAnsi="Arial" w:cs="Arial"/>
        </w:rPr>
        <w:t xml:space="preserve"> th</w:t>
      </w:r>
      <w:r w:rsidR="00F46645">
        <w:rPr>
          <w:rStyle w:val="normaltextrun"/>
          <w:rFonts w:ascii="Arial" w:hAnsi="Arial" w:cs="Arial"/>
        </w:rPr>
        <w:t>at are in the</w:t>
      </w:r>
      <w:r w:rsidR="00086DC9" w:rsidRPr="00ED3AB6">
        <w:rPr>
          <w:rStyle w:val="normaltextrun"/>
          <w:rFonts w:ascii="Arial" w:hAnsi="Arial" w:cs="Arial"/>
        </w:rPr>
        <w:t xml:space="preserve"> syst</w:t>
      </w:r>
      <w:r w:rsidR="00F46645">
        <w:rPr>
          <w:rStyle w:val="normaltextrun"/>
          <w:rFonts w:ascii="Arial" w:hAnsi="Arial" w:cs="Arial"/>
        </w:rPr>
        <w:t>em usually</w:t>
      </w:r>
      <w:r w:rsidR="00086DC9" w:rsidRPr="00ED3AB6">
        <w:rPr>
          <w:rStyle w:val="normaltextrun"/>
          <w:rFonts w:ascii="Arial" w:hAnsi="Arial" w:cs="Arial"/>
        </w:rPr>
        <w:t xml:space="preserve"> from unstable households where drug and alcohol addiction, abuse, and criminal behaviour are frequent, and they are also frequently victims of crimes. Though children's origins should not be used to justify their actions, the lack of schooling, healthcare, social care, and other organisations to address these issues has led to their involvement within youth justice system</w:t>
      </w:r>
      <w:r w:rsidR="00C71F71" w:rsidRPr="00ED3AB6">
        <w:rPr>
          <w:rStyle w:val="normaltextrun"/>
          <w:rFonts w:ascii="Arial" w:hAnsi="Arial" w:cs="Arial"/>
        </w:rPr>
        <w:t xml:space="preserve"> (Taylor, 2016) .</w:t>
      </w:r>
    </w:p>
    <w:p w14:paraId="6020FD68" w14:textId="1B46DC9C" w:rsidR="00086DC9" w:rsidRPr="00ED3AB6" w:rsidRDefault="00440FCB" w:rsidP="00ED3AB6">
      <w:pPr>
        <w:pStyle w:val="paragraph"/>
        <w:spacing w:before="0" w:beforeAutospacing="0" w:after="0" w:afterAutospacing="0" w:line="480" w:lineRule="auto"/>
        <w:textAlignment w:val="baseline"/>
        <w:rPr>
          <w:rStyle w:val="eop"/>
          <w:rFonts w:ascii="Arial" w:hAnsi="Arial" w:cs="Arial"/>
        </w:rPr>
      </w:pPr>
      <w:r w:rsidRPr="00440FCB">
        <w:rPr>
          <w:rStyle w:val="normaltextrun"/>
          <w:rFonts w:ascii="Arial" w:hAnsi="Arial" w:cs="Arial"/>
        </w:rPr>
        <w:t xml:space="preserve">At several levels, the idea of youngsters committing crimes is unnatural and frightening. It throws into doubt our faith in childhood innocence, as well as some fundamental beliefs about the feasibility of a "decent society." It instils fear of chaos and the repercussions of societal disintegration. It brings into question the quality of community programmes for children, parental support, and a dedication to future generations. According to the Home Office Youth Lifestyles research, which was performed between 1998 and 2000, various self-report studies have found that </w:t>
      </w:r>
      <w:proofErr w:type="gramStart"/>
      <w:r w:rsidRPr="00440FCB">
        <w:rPr>
          <w:rStyle w:val="normaltextrun"/>
          <w:rFonts w:ascii="Arial" w:hAnsi="Arial" w:cs="Arial"/>
        </w:rPr>
        <w:t>the majority of</w:t>
      </w:r>
      <w:proofErr w:type="gramEnd"/>
      <w:r w:rsidRPr="00440FCB">
        <w:rPr>
          <w:rStyle w:val="normaltextrun"/>
          <w:rFonts w:ascii="Arial" w:hAnsi="Arial" w:cs="Arial"/>
        </w:rPr>
        <w:t xml:space="preserve"> young people are not involved in criminal activities (Armstrong et al., 2005; Communities that Care, 2002; Flood-Page et al., 2000; MORI, 2001, 2002, 2003).</w:t>
      </w:r>
      <w:r>
        <w:rPr>
          <w:rStyle w:val="normaltextrun"/>
          <w:rFonts w:ascii="Arial" w:hAnsi="Arial" w:cs="Arial"/>
        </w:rPr>
        <w:t xml:space="preserve"> </w:t>
      </w:r>
      <w:r w:rsidR="00086DC9" w:rsidRPr="00ED3AB6">
        <w:rPr>
          <w:rStyle w:val="normaltextrun"/>
          <w:rFonts w:ascii="Arial" w:hAnsi="Arial" w:cs="Arial"/>
        </w:rPr>
        <w:t xml:space="preserve">This study showed that 33% of boys aged 15-16 have admitted to committing at least one crime in the previous year. The study also showed that the percentage of girls in the same age group was considerably lower (Flodd-Page,2000). Data collected in reincarceration studies and self-report studies shows that </w:t>
      </w:r>
      <w:r w:rsidR="00A14585" w:rsidRPr="00ED3AB6">
        <w:rPr>
          <w:rStyle w:val="normaltextrun"/>
          <w:rFonts w:ascii="Arial" w:hAnsi="Arial" w:cs="Arial"/>
        </w:rPr>
        <w:t>most</w:t>
      </w:r>
      <w:r w:rsidR="00086DC9" w:rsidRPr="00ED3AB6">
        <w:rPr>
          <w:rStyle w:val="normaltextrun"/>
          <w:rFonts w:ascii="Arial" w:hAnsi="Arial" w:cs="Arial"/>
        </w:rPr>
        <w:t xml:space="preserve"> children who do commit crimes ‘grow out’ of it (MORI,2003). Furthermore, a far smaller number of people who report offending report being involved with the criminal court system. According to the 2003 Youth Justice Board for England and Wales Survey (MORI, 2003), 21% of offenders in mainstream schools reported that the police had caught them at least once. </w:t>
      </w:r>
      <w:r w:rsidRPr="00440FCB">
        <w:rPr>
          <w:rStyle w:val="normaltextrun"/>
          <w:rFonts w:ascii="Arial" w:hAnsi="Arial" w:cs="Arial"/>
        </w:rPr>
        <w:t>The facts of youth and crime appear to contradict popular beliefs, or at least the media's portrayal of public opinion. Indeed, if one views crime fear from the perspective of a young person, what may be most alarming, if somewhat ironic, about crime data is that kids are more likely to be victims of crime than perpetrators, compared to the adult population (Furlong and Cartmel, 1997; Home Office, 2002).</w:t>
      </w:r>
      <w:r>
        <w:rPr>
          <w:rStyle w:val="normaltextrun"/>
          <w:rFonts w:ascii="Arial" w:hAnsi="Arial" w:cs="Arial"/>
        </w:rPr>
        <w:t xml:space="preserve"> </w:t>
      </w:r>
      <w:r w:rsidRPr="00440FCB">
        <w:rPr>
          <w:rStyle w:val="normaltextrun"/>
          <w:rFonts w:ascii="Arial" w:hAnsi="Arial" w:cs="Arial"/>
        </w:rPr>
        <w:t>However, as Nacro (2001) has suggested, British people's perceptions of crime tend to exaggerate the amount to which crime is linked to young people. While 28% believe that juveniles are accountable for a considerable proportion of all offences, and 55% feel that culpability for crime is split evenly among adults and children, in 1999, persons over the age of 18 perpetrated 76 percent of discovered crime. To put these findings in context, trend figures from the British Criminality Survey (Home Office, 2000) show that young people's crime is significantly decreasing.</w:t>
      </w:r>
      <w:r>
        <w:rPr>
          <w:rStyle w:val="normaltextrun"/>
          <w:rFonts w:ascii="Arial" w:hAnsi="Arial" w:cs="Arial"/>
        </w:rPr>
        <w:t xml:space="preserve"> </w:t>
      </w:r>
      <w:r w:rsidRPr="00440FCB">
        <w:rPr>
          <w:rStyle w:val="normaltextrun"/>
          <w:rFonts w:ascii="Arial" w:hAnsi="Arial" w:cs="Arial"/>
        </w:rPr>
        <w:t>Following a global spike in crime in the 1970s and 1980s, the number of 10-17-year-olds found guilty or handed a warning for an indictable offence in the UK declined from 143,400 to 120,400 between 1992 and 1999, while those under 21 fell from 278,900 to 208,700 over the same time (Home Office, 2000).</w:t>
      </w:r>
      <w:r>
        <w:rPr>
          <w:rStyle w:val="normaltextrun"/>
          <w:rFonts w:ascii="Arial" w:hAnsi="Arial" w:cs="Arial"/>
        </w:rPr>
        <w:t xml:space="preserve"> </w:t>
      </w:r>
      <w:r w:rsidR="00086DC9" w:rsidRPr="00ED3AB6">
        <w:rPr>
          <w:rStyle w:val="normaltextrun"/>
          <w:rFonts w:ascii="Arial" w:hAnsi="Arial" w:cs="Arial"/>
        </w:rPr>
        <w:t xml:space="preserve">During the same </w:t>
      </w:r>
      <w:r w:rsidR="00A14585" w:rsidRPr="00ED3AB6">
        <w:rPr>
          <w:rStyle w:val="normaltextrun"/>
          <w:rFonts w:ascii="Arial" w:hAnsi="Arial" w:cs="Arial"/>
        </w:rPr>
        <w:t>time</w:t>
      </w:r>
      <w:r w:rsidR="00086DC9" w:rsidRPr="00ED3AB6">
        <w:rPr>
          <w:rStyle w:val="normaltextrun"/>
          <w:rFonts w:ascii="Arial" w:hAnsi="Arial" w:cs="Arial"/>
        </w:rPr>
        <w:t xml:space="preserve">, this fall in teenage criminality mirrored a comparable decrease in crime generally, both in the UK and in numerous other regions of the world (Young, 1999). If one suspects that the drop in crime rates is due to a lack of detection rather than a genuine fall, it is worth remembering that the British Crime Survey for the year 2000 similarly indicates a 15% drop in victimisation from 1995 to 1999. As a result, if fewer individuals report being victimised, it is logical to assume that less crime is being perpetrated (Home Office, 2000). </w:t>
      </w:r>
      <w:r w:rsidR="00086DC9" w:rsidRPr="00ED3AB6">
        <w:rPr>
          <w:rStyle w:val="eop"/>
          <w:rFonts w:ascii="Arial" w:hAnsi="Arial" w:cs="Arial"/>
        </w:rPr>
        <w:t> </w:t>
      </w:r>
    </w:p>
    <w:p w14:paraId="33D5AF9E" w14:textId="1732A484" w:rsidR="00C71F71" w:rsidRPr="00ED3AB6" w:rsidRDefault="00440FCB" w:rsidP="00ED3AB6">
      <w:pPr>
        <w:pStyle w:val="paragraph"/>
        <w:spacing w:before="0" w:beforeAutospacing="0" w:after="0" w:afterAutospacing="0" w:line="480" w:lineRule="auto"/>
        <w:textAlignment w:val="baseline"/>
        <w:rPr>
          <w:rFonts w:ascii="Arial" w:hAnsi="Arial" w:cs="Arial"/>
          <w:highlight w:val="yellow"/>
        </w:rPr>
      </w:pPr>
      <w:r w:rsidRPr="00440FCB">
        <w:rPr>
          <w:rFonts w:ascii="Arial" w:hAnsi="Arial" w:cs="Arial"/>
        </w:rPr>
        <w:t>It might be argued that changes in the juvenile crime rate were caused, or at least influenced, by the policies and actions of the Youth Justice Board (YJB) for England and Wales, which was given a legal mandate to prevent children and young people from offending (Board, 2001).</w:t>
      </w:r>
      <w:r>
        <w:rPr>
          <w:rFonts w:ascii="Arial" w:hAnsi="Arial" w:cs="Arial"/>
        </w:rPr>
        <w:t xml:space="preserve"> </w:t>
      </w:r>
      <w:r w:rsidRPr="00440FCB">
        <w:rPr>
          <w:rFonts w:ascii="Arial" w:hAnsi="Arial" w:cs="Arial"/>
        </w:rPr>
        <w:t xml:space="preserve">The downward tendency, on the other hand, was visible prior to the formation of the YJB under the Crime and Disorder Act in 1998. Regardless of whether policies are good or bad, it is difficult to distinguish the potential causes that drive societal changes and hence the effect of policies. </w:t>
      </w:r>
      <w:proofErr w:type="gramStart"/>
      <w:r w:rsidRPr="00440FCB">
        <w:rPr>
          <w:rFonts w:ascii="Arial" w:hAnsi="Arial" w:cs="Arial"/>
        </w:rPr>
        <w:t>In reality, the</w:t>
      </w:r>
      <w:proofErr w:type="gramEnd"/>
      <w:r w:rsidRPr="00440FCB">
        <w:rPr>
          <w:rFonts w:ascii="Arial" w:hAnsi="Arial" w:cs="Arial"/>
        </w:rPr>
        <w:t xml:space="preserve"> causal relationship between numerous factors impacting societal trends, such as the rise in youthful delinquency, is likely to be quite intricate.</w:t>
      </w:r>
      <w:r>
        <w:rPr>
          <w:rFonts w:ascii="Arial" w:hAnsi="Arial" w:cs="Arial"/>
        </w:rPr>
        <w:t xml:space="preserve"> </w:t>
      </w:r>
      <w:r w:rsidRPr="00440FCB">
        <w:rPr>
          <w:rFonts w:ascii="Arial" w:hAnsi="Arial" w:cs="Arial"/>
        </w:rPr>
        <w:t>Regardless, there appear to be some grounds for optimism (Furlong and Cartmel, 1997). However, it is impossible to resist the conclusion that any optimism about juvenile offending patterns in the United Kingdom, as in other parts of the world, must be tempered by the presence of an extraordinary contradiction.</w:t>
      </w:r>
      <w:r w:rsidR="004C1ECD" w:rsidRPr="00ED3AB6">
        <w:rPr>
          <w:rFonts w:ascii="Arial" w:hAnsi="Arial" w:cs="Arial"/>
        </w:rPr>
        <w:t xml:space="preserve"> </w:t>
      </w:r>
      <w:r w:rsidRPr="00440FCB">
        <w:rPr>
          <w:rFonts w:ascii="Arial" w:hAnsi="Arial" w:cs="Arial"/>
        </w:rPr>
        <w:t xml:space="preserve">At the same time </w:t>
      </w:r>
      <w:proofErr w:type="gramStart"/>
      <w:r w:rsidRPr="00440FCB">
        <w:rPr>
          <w:rFonts w:ascii="Arial" w:hAnsi="Arial" w:cs="Arial"/>
        </w:rPr>
        <w:t>as</w:t>
      </w:r>
      <w:proofErr w:type="gramEnd"/>
      <w:r w:rsidRPr="00440FCB">
        <w:rPr>
          <w:rFonts w:ascii="Arial" w:hAnsi="Arial" w:cs="Arial"/>
        </w:rPr>
        <w:t xml:space="preserve"> juvenile crime appears to be down significantly, there has been a rise in public awareness of the issue, as well as a significant increase in the use of jail punishment to address this declining problem (Armstrong, 2005).</w:t>
      </w:r>
    </w:p>
    <w:p w14:paraId="1880CFAC" w14:textId="016C0BE7" w:rsidR="00440FCB" w:rsidRPr="00440FCB" w:rsidRDefault="00A14585" w:rsidP="00ED3AB6">
      <w:pPr>
        <w:pStyle w:val="paragraph"/>
        <w:spacing w:before="0" w:beforeAutospacing="0" w:after="0" w:afterAutospacing="0" w:line="480" w:lineRule="auto"/>
        <w:textAlignment w:val="baseline"/>
        <w:rPr>
          <w:rStyle w:val="normaltextrun"/>
          <w:rFonts w:ascii="Arial" w:hAnsi="Arial" w:cs="Arial"/>
        </w:rPr>
      </w:pPr>
      <w:r w:rsidRPr="00ED3AB6">
        <w:rPr>
          <w:rFonts w:ascii="Arial" w:hAnsi="Arial" w:cs="Arial"/>
        </w:rPr>
        <w:t xml:space="preserve">According to Goldson (1997), this abrupt change in policy is the result of a mix of short-term political populism and media sensationalism. This 'moral panic' concerning out-of-control youngsters was accompanied by a slew of legislative measures aimed at intervening with 'at-risk' children and a rise in the use of custody as a means of dealing with the 'problem' of teenage criminality. Thus, in the United Kingdom, prison punishment of young people has nearly quadrupled since 1992, although identified adolescent crime has decreased by 16%. (Nacro, 2001). </w:t>
      </w:r>
      <w:r w:rsidR="00440FCB" w:rsidRPr="00440FCB">
        <w:rPr>
          <w:rFonts w:ascii="Arial" w:hAnsi="Arial" w:cs="Arial"/>
        </w:rPr>
        <w:t xml:space="preserve">Similarly, the number of people in detention aged 18 to 20 grew by 18,000 in 1999, up from 17,000 in 1998 and 15,800 in 1997. Flood-Page et al., 2000; Nacro, 2001). The Youth Justice Board for England and Wales has also observed an increase in the number of young people who report receiving some form of punishment </w:t>
      </w:r>
      <w:proofErr w:type="gramStart"/>
      <w:r w:rsidR="00440FCB" w:rsidRPr="00440FCB">
        <w:rPr>
          <w:rFonts w:ascii="Arial" w:hAnsi="Arial" w:cs="Arial"/>
        </w:rPr>
        <w:t>as a result of</w:t>
      </w:r>
      <w:proofErr w:type="gramEnd"/>
      <w:r w:rsidR="00440FCB" w:rsidRPr="00440FCB">
        <w:rPr>
          <w:rFonts w:ascii="Arial" w:hAnsi="Arial" w:cs="Arial"/>
        </w:rPr>
        <w:t xml:space="preserve"> being caught (Youth Justice Board, 2001). According to the 2001 Youth Survey, 22 percent of pupils in mainstream education and 12 percent of those expelled from school who admitted to committing a crime said nothing happened </w:t>
      </w:r>
      <w:proofErr w:type="gramStart"/>
      <w:r w:rsidR="00440FCB" w:rsidRPr="00440FCB">
        <w:rPr>
          <w:rFonts w:ascii="Arial" w:hAnsi="Arial" w:cs="Arial"/>
        </w:rPr>
        <w:t>as a result of</w:t>
      </w:r>
      <w:proofErr w:type="gramEnd"/>
      <w:r w:rsidR="00440FCB" w:rsidRPr="00440FCB">
        <w:rPr>
          <w:rFonts w:ascii="Arial" w:hAnsi="Arial" w:cs="Arial"/>
        </w:rPr>
        <w:t xml:space="preserve"> being caught.</w:t>
      </w:r>
    </w:p>
    <w:p w14:paraId="174D8625" w14:textId="64253262" w:rsidR="0066765A" w:rsidRPr="00ED3AB6" w:rsidRDefault="004914CF" w:rsidP="00ED3AB6">
      <w:pPr>
        <w:pStyle w:val="paragraph"/>
        <w:spacing w:before="0" w:beforeAutospacing="0" w:after="0" w:afterAutospacing="0" w:line="480" w:lineRule="auto"/>
        <w:textAlignment w:val="baseline"/>
        <w:rPr>
          <w:rFonts w:ascii="Arial" w:hAnsi="Arial" w:cs="Arial"/>
        </w:rPr>
      </w:pPr>
      <w:r w:rsidRPr="004914CF">
        <w:rPr>
          <w:rStyle w:val="normaltextrun"/>
          <w:rFonts w:ascii="Arial" w:hAnsi="Arial" w:cs="Arial"/>
        </w:rPr>
        <w:t>There is still more to be done to prevent crime and antisocial behaviour among teenagers on behalf of their victims, families, communities, and, eventually, themselves. Early intervention offers the greatest potential for effectiveness in crime prevention, yet it is understudied and underfunded (Youth Justice Board, 2007).</w:t>
      </w:r>
      <w:r>
        <w:rPr>
          <w:rStyle w:val="normaltextrun"/>
          <w:rFonts w:ascii="Arial" w:hAnsi="Arial" w:cs="Arial"/>
        </w:rPr>
        <w:t xml:space="preserve"> </w:t>
      </w:r>
      <w:r w:rsidRPr="004914CF">
        <w:rPr>
          <w:rStyle w:val="normaltextrun"/>
          <w:rFonts w:ascii="Arial" w:hAnsi="Arial" w:cs="Arial"/>
        </w:rPr>
        <w:t>Mainstream or universal services alone are insufficient to meet the organizational goal of the youth justice system, while there is ample proof that services proceed to fail to reach the most socially excluded, who are especially vulnerable to the danger (and lack of safeguard) aspects associated with offending (Youth Justice Board, 2007). According to Reaching Out: An Action Plan on Social Exclusion (HM Government, 2007), a substantial amount of money is spent on the most socially disadvantaged people through public programmes.</w:t>
      </w:r>
      <w:r w:rsidR="0066765A" w:rsidRPr="00ED3AB6">
        <w:rPr>
          <w:rFonts w:ascii="Arial" w:hAnsi="Arial" w:cs="Arial"/>
        </w:rPr>
        <w:t xml:space="preserve"> However, most of this money is spent on treating the symptoms of exclusion after the issues have become established (Youth Justice Board, 2007). </w:t>
      </w:r>
      <w:r w:rsidR="008A325E" w:rsidRPr="00ED3AB6">
        <w:rPr>
          <w:rFonts w:ascii="Arial" w:hAnsi="Arial" w:cs="Arial"/>
        </w:rPr>
        <w:t>To engage individuals most likely to be future offenders, focused and consistent early preventive programs are essential. Effective collaboration between targeted and universal services at the national and local levels is possible, but the mutual benefits must be agreed upon and clearly recognised by each partner (Youth Justice Board, 2007).</w:t>
      </w:r>
    </w:p>
    <w:p w14:paraId="54A0DEBE" w14:textId="34FC96EF" w:rsidR="004461F6" w:rsidRPr="00ED3AB6" w:rsidRDefault="004461F6" w:rsidP="00ED3AB6">
      <w:pPr>
        <w:pStyle w:val="paragraph"/>
        <w:spacing w:before="0" w:beforeAutospacing="0" w:after="0" w:afterAutospacing="0" w:line="480" w:lineRule="auto"/>
        <w:textAlignment w:val="baseline"/>
        <w:rPr>
          <w:rStyle w:val="normaltextrun"/>
          <w:rFonts w:ascii="Arial" w:hAnsi="Arial" w:cs="Arial"/>
        </w:rPr>
      </w:pPr>
    </w:p>
    <w:p w14:paraId="2E4A2F43" w14:textId="3F712CBC" w:rsidR="00F8441D" w:rsidRPr="00ED3AB6" w:rsidRDefault="004914CF" w:rsidP="00ED3AB6">
      <w:pPr>
        <w:pStyle w:val="paragraph"/>
        <w:spacing w:before="0" w:beforeAutospacing="0" w:after="0" w:afterAutospacing="0" w:line="480" w:lineRule="auto"/>
        <w:textAlignment w:val="baseline"/>
        <w:rPr>
          <w:rStyle w:val="normaltextrun"/>
          <w:rFonts w:ascii="Arial" w:hAnsi="Arial" w:cs="Arial"/>
        </w:rPr>
      </w:pPr>
      <w:r w:rsidRPr="004914CF">
        <w:rPr>
          <w:rStyle w:val="normaltextrun"/>
          <w:rFonts w:ascii="Arial" w:hAnsi="Arial" w:cs="Arial"/>
        </w:rPr>
        <w:t>According to Muncie (1999), the development of greater administrative decision making, increased sentencing diversity, the introduction of sentencing "packages," the centralization of authority and policy coordination, the increasing involvement of non-judicial organisations, as well as the elevated amounts of deterrence and control in some punishment initiatives meant that the primary objective of youth justice was no longer primarily one of having to deliver the traditional oath (Parker et al., 1987; Pratt, 1989, p.245).</w:t>
      </w:r>
      <w:r w:rsidRPr="004914CF">
        <w:t xml:space="preserve"> </w:t>
      </w:r>
      <w:r w:rsidRPr="004914CF">
        <w:rPr>
          <w:rStyle w:val="normaltextrun"/>
          <w:rFonts w:ascii="Arial" w:hAnsi="Arial" w:cs="Arial"/>
        </w:rPr>
        <w:t>The issue of child crime became more scientifically and technically stated. Political and moral disagreements over the origins of crime and the purpose of intervention were relegated to the fringes (Pitts, 1992, p.142). The "hard core" of youth justice was rebuilt as a delinquent management programme in which the "hard core" stayed imprisoned.</w:t>
      </w:r>
      <w:r w:rsidR="00865532" w:rsidRPr="00ED3AB6">
        <w:rPr>
          <w:rStyle w:val="normaltextrun"/>
          <w:rFonts w:ascii="Arial" w:hAnsi="Arial" w:cs="Arial"/>
        </w:rPr>
        <w:t xml:space="preserve"> </w:t>
      </w:r>
      <w:r w:rsidRPr="004914CF">
        <w:rPr>
          <w:rStyle w:val="normaltextrun"/>
          <w:rFonts w:ascii="Arial" w:hAnsi="Arial" w:cs="Arial"/>
        </w:rPr>
        <w:t>Meanwhile, an increasing number of governmental and non-profit community-based agencies had begun to design non-custodial sentencing that they believed would be difficult enough to convince magistrates not to pick the (more expensive) prison option (Parker et al., 1987; Pratt, 1989). The Audit Commission published its first report on the youth justice system in England and Wales in 1996 (Audit Commission, 1996).</w:t>
      </w:r>
      <w:r>
        <w:rPr>
          <w:rStyle w:val="normaltextrun"/>
          <w:rFonts w:ascii="Arial" w:hAnsi="Arial" w:cs="Arial"/>
        </w:rPr>
        <w:t xml:space="preserve"> </w:t>
      </w:r>
      <w:r w:rsidRPr="004914CF">
        <w:rPr>
          <w:rStyle w:val="normaltextrun"/>
          <w:rFonts w:ascii="Arial" w:hAnsi="Arial" w:cs="Arial"/>
        </w:rPr>
        <w:t xml:space="preserve">Noting that the public sector, such as the police, courts, and social services, spends around £1 billion per year investigating and dealing with juvenile offenders, it was stated that </w:t>
      </w:r>
      <w:proofErr w:type="gramStart"/>
      <w:r w:rsidRPr="004914CF">
        <w:rPr>
          <w:rStyle w:val="normaltextrun"/>
          <w:rFonts w:ascii="Arial" w:hAnsi="Arial" w:cs="Arial"/>
        </w:rPr>
        <w:t>the majority of</w:t>
      </w:r>
      <w:proofErr w:type="gramEnd"/>
      <w:r w:rsidRPr="004914CF">
        <w:rPr>
          <w:rStyle w:val="normaltextrun"/>
          <w:rFonts w:ascii="Arial" w:hAnsi="Arial" w:cs="Arial"/>
        </w:rPr>
        <w:t xml:space="preserve"> this money is squandered owing to delayed and ineffective judicial procedures (Audit Commission, 1996).</w:t>
      </w:r>
      <w:r>
        <w:rPr>
          <w:rStyle w:val="normaltextrun"/>
          <w:rFonts w:ascii="Arial" w:hAnsi="Arial" w:cs="Arial"/>
        </w:rPr>
        <w:t xml:space="preserve"> </w:t>
      </w:r>
      <w:r w:rsidRPr="004914CF">
        <w:rPr>
          <w:rStyle w:val="normaltextrun"/>
          <w:rFonts w:ascii="Arial" w:hAnsi="Arial" w:cs="Arial"/>
        </w:rPr>
        <w:t>The 'tougher' programmes of restitution, accountability, and sentence packing had already acquired traction, causing Rutherford (1993, p.160) to warn that a critical 'human face' of the judicial system was on the danger of vanishing. Setting performance goals and initiating local audits undoubtedly involves a depoliticization and dehumanisation of the teenage criminal issue, such that the primary goal of youth justice becomes delivering a cost-effective and commercially successful 'product' (McLaughlin and Muncie, 1994, p.137).</w:t>
      </w:r>
    </w:p>
    <w:p w14:paraId="2F0E25D0" w14:textId="0C7483C4" w:rsidR="00AC6E11" w:rsidRPr="00ED3AB6" w:rsidRDefault="00AC6E11" w:rsidP="00ED3AB6">
      <w:pPr>
        <w:pStyle w:val="paragraph"/>
        <w:spacing w:before="0" w:beforeAutospacing="0" w:after="0" w:afterAutospacing="0" w:line="480" w:lineRule="auto"/>
        <w:textAlignment w:val="baseline"/>
        <w:rPr>
          <w:rStyle w:val="normaltextrun"/>
          <w:rFonts w:ascii="Arial" w:hAnsi="Arial" w:cs="Arial"/>
        </w:rPr>
      </w:pPr>
    </w:p>
    <w:p w14:paraId="20BDA21A" w14:textId="2BC39B80" w:rsidR="00571D99" w:rsidRPr="00ED3AB6" w:rsidRDefault="004914CF" w:rsidP="00ED3AB6">
      <w:pPr>
        <w:pStyle w:val="paragraph"/>
        <w:spacing w:before="0" w:beforeAutospacing="0" w:after="0" w:afterAutospacing="0" w:line="480" w:lineRule="auto"/>
        <w:textAlignment w:val="baseline"/>
        <w:rPr>
          <w:rFonts w:ascii="Arial" w:hAnsi="Arial" w:cs="Arial"/>
        </w:rPr>
      </w:pPr>
      <w:r w:rsidRPr="004914CF">
        <w:rPr>
          <w:rFonts w:ascii="Arial" w:hAnsi="Arial" w:cs="Arial"/>
        </w:rPr>
        <w:t xml:space="preserve">While this is </w:t>
      </w:r>
      <w:proofErr w:type="gramStart"/>
      <w:r w:rsidRPr="004914CF">
        <w:rPr>
          <w:rFonts w:ascii="Arial" w:hAnsi="Arial" w:cs="Arial"/>
        </w:rPr>
        <w:t>an</w:t>
      </w:r>
      <w:proofErr w:type="gramEnd"/>
      <w:r w:rsidRPr="004914CF">
        <w:rPr>
          <w:rFonts w:ascii="Arial" w:hAnsi="Arial" w:cs="Arial"/>
        </w:rPr>
        <w:t xml:space="preserve"> unique societal view of the nature of criminal behaviour (Garland, 2001; Hobson et al, 2017), Waller and Weiler (1984) go on to state that any efforts to react to such activities with more repressive and punitive repercussions are likely to be ineffective. Instead, they believe that more resources should be directed on offering stronger, more available tailored social welfare programs that address the underlying challenges of family, school, and life experiences, which so frequently predict future criminal behaviour in children and young people.</w:t>
      </w:r>
      <w:r>
        <w:rPr>
          <w:rFonts w:ascii="Arial" w:hAnsi="Arial" w:cs="Arial"/>
        </w:rPr>
        <w:t xml:space="preserve"> </w:t>
      </w:r>
      <w:r w:rsidRPr="004914CF">
        <w:rPr>
          <w:rFonts w:ascii="Arial" w:hAnsi="Arial" w:cs="Arial"/>
        </w:rPr>
        <w:t>Interventions by police with "at-risk" youth are at the centre of various cultural debates over the character of policing. These debates cover topics such as resource allocation during fiscal difficulties (Barton, 2013), the extent with which the police can prioritise the safety and well-being of youths, and the responsibility of the police in preventing juvenile crime (Bateman, 2014). Although juvenile crime in the UK has declined in recent years, it is still recognised that young people are more likely to commit crimes than adults and the elderly (Loeber &amp; Stallings, 2011).</w:t>
      </w:r>
      <w:r w:rsidR="005322E7" w:rsidRPr="00ED3AB6">
        <w:rPr>
          <w:rFonts w:ascii="Arial" w:hAnsi="Arial" w:cs="Arial"/>
        </w:rPr>
        <w:t xml:space="preserve"> </w:t>
      </w:r>
      <w:r w:rsidR="00391D4E" w:rsidRPr="00391D4E">
        <w:rPr>
          <w:rFonts w:ascii="Arial" w:hAnsi="Arial" w:cs="Arial"/>
        </w:rPr>
        <w:t>As a result, how police interact with youth is an essential component in police-community collaborations. For example, Hurst and Frank (2000) discuss the extent to which youths are heavily represented in terms of police contacts and arrest; Herlitz and Hough (2016) demonstrate that accused under the age of 18 are much more likely to obtain punitive measures from law enforcement agents than their adult counterparts; and Loader (1996) helps explain how youngsters are also more likely to get involved with the police in heightened situations of conflict, in part due to their greater utmost trust.</w:t>
      </w:r>
    </w:p>
    <w:p w14:paraId="26A7244B" w14:textId="75280FF5" w:rsidR="005E61C5" w:rsidRPr="00ED3AB6" w:rsidRDefault="005E61C5" w:rsidP="00ED3AB6">
      <w:pPr>
        <w:pStyle w:val="paragraph"/>
        <w:spacing w:before="0" w:beforeAutospacing="0" w:after="0" w:afterAutospacing="0" w:line="480" w:lineRule="auto"/>
        <w:textAlignment w:val="baseline"/>
        <w:rPr>
          <w:rFonts w:ascii="Arial" w:hAnsi="Arial" w:cs="Arial"/>
        </w:rPr>
      </w:pPr>
    </w:p>
    <w:p w14:paraId="51BBBF1D" w14:textId="01BD4A72" w:rsidR="005E61C5" w:rsidRPr="00ED3AB6" w:rsidRDefault="00391D4E" w:rsidP="00ED3AB6">
      <w:pPr>
        <w:pStyle w:val="paragraph"/>
        <w:spacing w:before="0" w:beforeAutospacing="0" w:after="0" w:afterAutospacing="0" w:line="480" w:lineRule="auto"/>
        <w:textAlignment w:val="baseline"/>
        <w:rPr>
          <w:rFonts w:ascii="Arial" w:hAnsi="Arial" w:cs="Arial"/>
        </w:rPr>
      </w:pPr>
      <w:r w:rsidRPr="00391D4E">
        <w:rPr>
          <w:rFonts w:ascii="Arial" w:hAnsi="Arial" w:cs="Arial"/>
        </w:rPr>
        <w:t xml:space="preserve">Crime prevention discourses in the United Kingdom frequently reflect what Garland (1996, p. 454) refers to as the "Responsibilization Strategy": an effort to implement "social" and "situational" forms of crime prevention </w:t>
      </w:r>
      <w:proofErr w:type="gramStart"/>
      <w:r w:rsidRPr="00391D4E">
        <w:rPr>
          <w:rFonts w:ascii="Arial" w:hAnsi="Arial" w:cs="Arial"/>
        </w:rPr>
        <w:t>in order to</w:t>
      </w:r>
      <w:proofErr w:type="gramEnd"/>
      <w:r w:rsidRPr="00391D4E">
        <w:rPr>
          <w:rFonts w:ascii="Arial" w:hAnsi="Arial" w:cs="Arial"/>
        </w:rPr>
        <w:t xml:space="preserve"> "reorder the conduct of everyday life right across the social field." However, according to Garland (1996), the efficacy of implementing a responsibility agenda was quickly impeded by difficulties in creating effective multiagency coordination.</w:t>
      </w:r>
      <w:r>
        <w:rPr>
          <w:rFonts w:ascii="Arial" w:hAnsi="Arial" w:cs="Arial"/>
        </w:rPr>
        <w:t xml:space="preserve"> </w:t>
      </w:r>
      <w:r w:rsidRPr="00391D4E">
        <w:rPr>
          <w:rFonts w:ascii="Arial" w:hAnsi="Arial" w:cs="Arial"/>
        </w:rPr>
        <w:t>Even when there is sufficient ability and desire, questions have been raised about the effectiveness of such measures, particularly when they are employed to cover weaknesses in frontline crime and police management (Crawford, 1994). Despite this, many sorts of plans are rather common. Walker et al. (2007), for instance, conducted an evaluation of a Youth Inclusion Support Panel (YISP) scheme, a scheme operated by the Department for Education and Skills in the United Kingdom that provided a variety of support mechanisms designed to divert young people at risk of offending and their families from crime (Walker et al., 2007, p. 14).</w:t>
      </w:r>
    </w:p>
    <w:p w14:paraId="24A1EA64" w14:textId="1F5E8A87" w:rsidR="005322E7" w:rsidRPr="00ED3AB6" w:rsidRDefault="005E61C5" w:rsidP="00ED3AB6">
      <w:pPr>
        <w:pStyle w:val="paragraph"/>
        <w:spacing w:before="0" w:beforeAutospacing="0" w:after="0" w:afterAutospacing="0" w:line="480" w:lineRule="auto"/>
        <w:textAlignment w:val="baseline"/>
        <w:rPr>
          <w:rFonts w:ascii="Arial" w:hAnsi="Arial" w:cs="Arial"/>
          <w:color w:val="000000"/>
        </w:rPr>
      </w:pPr>
      <w:r w:rsidRPr="00ED3AB6">
        <w:rPr>
          <w:rFonts w:ascii="Arial" w:hAnsi="Arial" w:cs="Arial"/>
        </w:rPr>
        <w:t>Rummens et al. (2016) distinguish between situational and social crime prevention approaches, referencing the work of Ekblom (2010) and Tilley (2013) in doing so. In general, situational crime prevention projects view crime as various mixes of rational choice theory and a social context these are</w:t>
      </w:r>
      <w:r w:rsidR="005322E7" w:rsidRPr="00ED3AB6">
        <w:rPr>
          <w:rFonts w:ascii="Arial" w:hAnsi="Arial" w:cs="Arial"/>
          <w:color w:val="000000"/>
        </w:rPr>
        <w:t xml:space="preserve"> “convergence in time and place of the following three elements: (1) a motivated offender, (2) an accessible target, (3) the absence of a capable guardian” (</w:t>
      </w:r>
      <w:hyperlink r:id="rId9" w:anchor="bibr39-1057567718814891" w:history="1">
        <w:r w:rsidR="005322E7" w:rsidRPr="00ED3AB6">
          <w:rPr>
            <w:rStyle w:val="Hyperlink"/>
            <w:rFonts w:ascii="Arial" w:hAnsi="Arial" w:cs="Arial"/>
            <w:color w:val="000000"/>
            <w:u w:val="none"/>
          </w:rPr>
          <w:t xml:space="preserve">Rummens, </w:t>
        </w:r>
        <w:r w:rsidR="000A7FA9" w:rsidRPr="00ED3AB6">
          <w:rPr>
            <w:rStyle w:val="Hyperlink"/>
            <w:rFonts w:ascii="Arial" w:hAnsi="Arial" w:cs="Arial"/>
            <w:color w:val="000000"/>
            <w:u w:val="none"/>
          </w:rPr>
          <w:t xml:space="preserve">et al, </w:t>
        </w:r>
        <w:r w:rsidR="005322E7" w:rsidRPr="00ED3AB6">
          <w:rPr>
            <w:rStyle w:val="Hyperlink"/>
            <w:rFonts w:ascii="Arial" w:hAnsi="Arial" w:cs="Arial"/>
            <w:color w:val="000000"/>
            <w:u w:val="none"/>
          </w:rPr>
          <w:t>2016</w:t>
        </w:r>
      </w:hyperlink>
      <w:r w:rsidR="005322E7" w:rsidRPr="00ED3AB6">
        <w:rPr>
          <w:rFonts w:ascii="Arial" w:hAnsi="Arial" w:cs="Arial"/>
          <w:color w:val="000000"/>
        </w:rPr>
        <w:t>, p. 14).</w:t>
      </w:r>
      <w:r w:rsidRPr="00ED3AB6">
        <w:rPr>
          <w:rFonts w:ascii="Arial" w:hAnsi="Arial" w:cs="Arial"/>
          <w:color w:val="000000"/>
        </w:rPr>
        <w:t xml:space="preserve"> </w:t>
      </w:r>
      <w:r w:rsidR="00391D4E" w:rsidRPr="00391D4E">
        <w:rPr>
          <w:rFonts w:ascii="Arial" w:hAnsi="Arial" w:cs="Arial"/>
          <w:color w:val="000000"/>
        </w:rPr>
        <w:t>Such strategies aim to reduce the likelihood for such crimes, but they caution that they risk just moving crime or having a greater impact on demographic groupings. Rummens et al. (2016, p. 17) define social crime prevention initiatives as seeking to "alter the underlying social situations and factors that lead to offending." The key motivators for action in social crime prevention approaches are typically "risk factors."</w:t>
      </w:r>
      <w:r w:rsidRPr="00ED3AB6">
        <w:rPr>
          <w:rFonts w:ascii="Arial" w:hAnsi="Arial" w:cs="Arial"/>
          <w:color w:val="000000"/>
        </w:rPr>
        <w:t xml:space="preserve"> </w:t>
      </w:r>
      <w:r w:rsidR="00391D4E" w:rsidRPr="00391D4E">
        <w:rPr>
          <w:rFonts w:ascii="Arial" w:hAnsi="Arial" w:cs="Arial"/>
          <w:color w:val="000000"/>
        </w:rPr>
        <w:t>Structured interventions in potential offenders' family lives, education, health, employment, and neighbourhood are examples of such programmes (Grant, 2015). The theory is that changing the social and physical factors that affect offending in communities can have a major impact on the behaviour of potential offenders who live there (Tonry &amp; Farrington, 1995).</w:t>
      </w:r>
    </w:p>
    <w:p w14:paraId="59910E55" w14:textId="2CDFB3EA" w:rsidR="00ED3AB6" w:rsidRPr="00ED3AB6" w:rsidRDefault="00ED3AB6" w:rsidP="00ED3AB6">
      <w:pPr>
        <w:pStyle w:val="paragraph"/>
        <w:spacing w:before="0" w:beforeAutospacing="0" w:after="0" w:afterAutospacing="0" w:line="480" w:lineRule="auto"/>
        <w:textAlignment w:val="baseline"/>
        <w:rPr>
          <w:rFonts w:ascii="Arial" w:hAnsi="Arial" w:cs="Arial"/>
          <w:color w:val="000000"/>
        </w:rPr>
      </w:pPr>
    </w:p>
    <w:p w14:paraId="1D05D41A" w14:textId="67A0BE28" w:rsidR="00ED3AB6" w:rsidRPr="00ED3AB6" w:rsidRDefault="00ED3AB6" w:rsidP="00ED3AB6">
      <w:pPr>
        <w:pStyle w:val="paragraph"/>
        <w:spacing w:before="0" w:beforeAutospacing="0" w:after="0" w:afterAutospacing="0" w:line="480" w:lineRule="auto"/>
        <w:textAlignment w:val="baseline"/>
        <w:rPr>
          <w:rFonts w:ascii="Arial" w:hAnsi="Arial" w:cs="Arial"/>
          <w:color w:val="000000"/>
        </w:rPr>
      </w:pPr>
      <w:r w:rsidRPr="00ED3AB6">
        <w:rPr>
          <w:rFonts w:ascii="Arial" w:hAnsi="Arial" w:cs="Arial"/>
          <w:color w:val="000000"/>
        </w:rPr>
        <w:t>There has always been a debate of how youths should be handled especially when it comes to crime. As they are children or young adults there are rules that you can not treat them the same way that we treat adults. Therefore, a different scheme must be introduced to help prevent youths committing crimes or thinking about committing crimes. Therefore, different schemes are introduced to help.</w:t>
      </w:r>
    </w:p>
    <w:p w14:paraId="55448B6D" w14:textId="77777777" w:rsidR="003D4CDB" w:rsidRPr="00ED3AB6" w:rsidRDefault="003D4CDB" w:rsidP="00ED3AB6">
      <w:pPr>
        <w:pStyle w:val="paragraph"/>
        <w:spacing w:before="0" w:beforeAutospacing="0" w:after="0" w:afterAutospacing="0" w:line="480" w:lineRule="auto"/>
        <w:textAlignment w:val="baseline"/>
        <w:rPr>
          <w:rFonts w:ascii="Arial" w:hAnsi="Arial" w:cs="Arial"/>
        </w:rPr>
      </w:pPr>
    </w:p>
    <w:p w14:paraId="155F8311" w14:textId="46716EB9" w:rsidR="00086DC9" w:rsidRPr="00ED3AB6" w:rsidRDefault="00086DC9" w:rsidP="00ED3AB6">
      <w:pPr>
        <w:pStyle w:val="paragraph"/>
        <w:spacing w:before="0" w:beforeAutospacing="0" w:after="0" w:afterAutospacing="0" w:line="480" w:lineRule="auto"/>
        <w:textAlignment w:val="baseline"/>
        <w:rPr>
          <w:rFonts w:ascii="Arial" w:hAnsi="Arial" w:cs="Arial"/>
        </w:rPr>
      </w:pPr>
    </w:p>
    <w:p w14:paraId="26EA9D72" w14:textId="77777777" w:rsidR="00086DC9" w:rsidRPr="00ED3AB6" w:rsidRDefault="00086DC9" w:rsidP="00ED3AB6">
      <w:pPr>
        <w:pStyle w:val="paragraph"/>
        <w:spacing w:before="0" w:beforeAutospacing="0" w:after="0" w:afterAutospacing="0" w:line="480" w:lineRule="auto"/>
        <w:textAlignment w:val="baseline"/>
        <w:rPr>
          <w:rFonts w:ascii="Arial" w:hAnsi="Arial" w:cs="Arial"/>
        </w:rPr>
      </w:pPr>
      <w:r w:rsidRPr="00ED3AB6">
        <w:rPr>
          <w:rStyle w:val="eop"/>
          <w:rFonts w:ascii="Arial" w:hAnsi="Arial" w:cs="Arial"/>
        </w:rPr>
        <w:t> </w:t>
      </w:r>
    </w:p>
    <w:p w14:paraId="11A6D7F6" w14:textId="77777777" w:rsidR="00086DC9" w:rsidRPr="00ED3AB6" w:rsidRDefault="00086DC9" w:rsidP="00ED3AB6">
      <w:pPr>
        <w:pStyle w:val="paragraph"/>
        <w:spacing w:before="0" w:beforeAutospacing="0" w:after="0" w:afterAutospacing="0" w:line="480" w:lineRule="auto"/>
        <w:textAlignment w:val="baseline"/>
        <w:rPr>
          <w:rFonts w:ascii="Arial" w:hAnsi="Arial" w:cs="Arial"/>
        </w:rPr>
      </w:pPr>
      <w:r w:rsidRPr="00ED3AB6">
        <w:rPr>
          <w:rStyle w:val="eop"/>
          <w:rFonts w:ascii="Arial" w:hAnsi="Arial" w:cs="Arial"/>
        </w:rPr>
        <w:t> </w:t>
      </w:r>
    </w:p>
    <w:p w14:paraId="6589E383" w14:textId="258A02A0" w:rsidR="00086DC9" w:rsidRPr="00ED3AB6" w:rsidRDefault="00086DC9" w:rsidP="00ED3AB6">
      <w:pPr>
        <w:pStyle w:val="paragraph"/>
        <w:spacing w:before="0" w:beforeAutospacing="0" w:after="0" w:afterAutospacing="0" w:line="480" w:lineRule="auto"/>
        <w:textAlignment w:val="baseline"/>
        <w:rPr>
          <w:rFonts w:ascii="Arial" w:hAnsi="Arial" w:cs="Arial"/>
        </w:rPr>
      </w:pPr>
      <w:r w:rsidRPr="00ED3AB6">
        <w:rPr>
          <w:rStyle w:val="eop"/>
          <w:rFonts w:ascii="Arial" w:hAnsi="Arial" w:cs="Arial"/>
        </w:rPr>
        <w:t> </w:t>
      </w:r>
    </w:p>
    <w:p w14:paraId="75E9F6D9" w14:textId="7AD4B00E" w:rsidR="00086DC9" w:rsidRPr="00ED3AB6" w:rsidRDefault="00086DC9" w:rsidP="00ED3AB6">
      <w:pPr>
        <w:pStyle w:val="paragraph"/>
        <w:spacing w:before="0" w:beforeAutospacing="0" w:after="0" w:afterAutospacing="0" w:line="480" w:lineRule="auto"/>
        <w:textAlignment w:val="baseline"/>
        <w:rPr>
          <w:rStyle w:val="eop"/>
          <w:rFonts w:ascii="Arial" w:hAnsi="Arial" w:cs="Arial"/>
        </w:rPr>
      </w:pPr>
      <w:r w:rsidRPr="00ED3AB6">
        <w:rPr>
          <w:rStyle w:val="normaltextrun"/>
          <w:rFonts w:ascii="Arial" w:hAnsi="Arial" w:cs="Arial"/>
        </w:rPr>
        <w:t>References </w:t>
      </w:r>
      <w:r w:rsidRPr="00ED3AB6">
        <w:rPr>
          <w:rStyle w:val="eop"/>
          <w:rFonts w:ascii="Arial" w:hAnsi="Arial" w:cs="Arial"/>
        </w:rPr>
        <w:t> </w:t>
      </w:r>
    </w:p>
    <w:p w14:paraId="10838061" w14:textId="1ABFAAF7"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p>
    <w:p w14:paraId="339D5FD1" w14:textId="3EDFC852" w:rsidR="00771DF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r w:rsidRPr="00ED3AB6">
        <w:rPr>
          <w:rStyle w:val="normaltextrun"/>
          <w:rFonts w:ascii="Arial" w:hAnsi="Arial" w:cs="Arial"/>
          <w:shd w:val="clear" w:color="auto" w:fill="FFFFFF"/>
        </w:rPr>
        <w:t>Armstrong, D., et al (2005) ‘Children Risk and Crime: The On Track Youth Lifestyles</w:t>
      </w:r>
      <w:r w:rsidRPr="00ED3AB6">
        <w:rPr>
          <w:rStyle w:val="normaltextrun"/>
          <w:rFonts w:ascii="Arial" w:hAnsi="Arial" w:cs="Arial"/>
          <w:i/>
          <w:iCs/>
          <w:shd w:val="clear" w:color="auto" w:fill="FFFFFF"/>
        </w:rPr>
        <w:t xml:space="preserve"> </w:t>
      </w:r>
      <w:r w:rsidRPr="00ED3AB6">
        <w:rPr>
          <w:rStyle w:val="normaltextrun"/>
          <w:rFonts w:ascii="Arial" w:hAnsi="Arial" w:cs="Arial"/>
          <w:shd w:val="clear" w:color="auto" w:fill="FFFFFF"/>
        </w:rPr>
        <w:t>Surveys</w:t>
      </w:r>
      <w:r w:rsidRPr="00ED3AB6">
        <w:rPr>
          <w:rStyle w:val="normaltextrun"/>
          <w:rFonts w:ascii="Arial" w:hAnsi="Arial" w:cs="Arial"/>
          <w:i/>
          <w:iCs/>
          <w:shd w:val="clear" w:color="auto" w:fill="FFFFFF"/>
        </w:rPr>
        <w:t>.’ Home Office Research Study 278. </w:t>
      </w:r>
      <w:r w:rsidRPr="00ED3AB6">
        <w:rPr>
          <w:rStyle w:val="normaltextrun"/>
          <w:rFonts w:ascii="Arial" w:hAnsi="Arial" w:cs="Arial"/>
          <w:shd w:val="clear" w:color="auto" w:fill="FFFFFF"/>
        </w:rPr>
        <w:t xml:space="preserve"> London: Home Office</w:t>
      </w:r>
    </w:p>
    <w:p w14:paraId="2A14D9F1" w14:textId="77777777" w:rsidR="00352715" w:rsidRPr="00ED3AB6" w:rsidRDefault="00352715"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p>
    <w:p w14:paraId="1CA6E545" w14:textId="7CF9B875" w:rsidR="00771DF6" w:rsidRDefault="00771DF6" w:rsidP="00ED3AB6">
      <w:pPr>
        <w:pStyle w:val="paragraph"/>
        <w:spacing w:before="0" w:beforeAutospacing="0" w:after="0" w:afterAutospacing="0" w:line="480" w:lineRule="auto"/>
        <w:textAlignment w:val="baseline"/>
        <w:rPr>
          <w:rFonts w:ascii="Arial" w:hAnsi="Arial" w:cs="Arial"/>
          <w:shd w:val="clear" w:color="auto" w:fill="FFFFFF"/>
        </w:rPr>
      </w:pPr>
      <w:r w:rsidRPr="00ED3AB6">
        <w:rPr>
          <w:rFonts w:ascii="Arial" w:hAnsi="Arial" w:cs="Arial"/>
          <w:shd w:val="clear" w:color="auto" w:fill="FFFFFF"/>
        </w:rPr>
        <w:t>Audit Commission (1996) </w:t>
      </w:r>
      <w:r w:rsidRPr="00ED3AB6">
        <w:rPr>
          <w:rStyle w:val="Emphasis"/>
          <w:rFonts w:ascii="Arial" w:hAnsi="Arial" w:cs="Arial"/>
          <w:shd w:val="clear" w:color="auto" w:fill="FFFFFF"/>
        </w:rPr>
        <w:t>Misspent Youth</w:t>
      </w:r>
      <w:r w:rsidRPr="00ED3AB6">
        <w:rPr>
          <w:rFonts w:ascii="Arial" w:hAnsi="Arial" w:cs="Arial"/>
          <w:shd w:val="clear" w:color="auto" w:fill="FFFFFF"/>
        </w:rPr>
        <w:t>. London: Audit Commission.</w:t>
      </w:r>
    </w:p>
    <w:p w14:paraId="13264C67" w14:textId="77777777" w:rsidR="00352715" w:rsidRPr="00ED3AB6" w:rsidRDefault="00352715" w:rsidP="00ED3AB6">
      <w:pPr>
        <w:pStyle w:val="paragraph"/>
        <w:spacing w:before="0" w:beforeAutospacing="0" w:after="0" w:afterAutospacing="0" w:line="480" w:lineRule="auto"/>
        <w:textAlignment w:val="baseline"/>
        <w:rPr>
          <w:rFonts w:ascii="Arial" w:hAnsi="Arial" w:cs="Arial"/>
          <w:shd w:val="clear" w:color="auto" w:fill="FFFFFF"/>
        </w:rPr>
      </w:pPr>
    </w:p>
    <w:p w14:paraId="4B97FFC7" w14:textId="77777777" w:rsidR="00771DF6" w:rsidRPr="00ED3AB6" w:rsidRDefault="00771DF6" w:rsidP="00ED3AB6">
      <w:pPr>
        <w:spacing w:line="480" w:lineRule="auto"/>
        <w:rPr>
          <w:rFonts w:ascii="Arial" w:hAnsi="Arial" w:cs="Arial"/>
          <w:sz w:val="24"/>
          <w:szCs w:val="24"/>
        </w:rPr>
      </w:pPr>
      <w:r w:rsidRPr="00ED3AB6">
        <w:rPr>
          <w:rFonts w:ascii="Arial" w:hAnsi="Arial" w:cs="Arial"/>
          <w:sz w:val="24"/>
          <w:szCs w:val="24"/>
          <w:shd w:val="clear" w:color="auto" w:fill="FFFFFF"/>
        </w:rPr>
        <w:t xml:space="preserve">Barton, H (2013) ‘ “Lean” policing? New approaches to business process improvement across the UK police service’, </w:t>
      </w:r>
      <w:r w:rsidRPr="00ED3AB6">
        <w:rPr>
          <w:rFonts w:ascii="Arial" w:hAnsi="Arial" w:cs="Arial"/>
          <w:i/>
          <w:iCs/>
          <w:sz w:val="24"/>
          <w:szCs w:val="24"/>
          <w:shd w:val="clear" w:color="auto" w:fill="FFFFFF"/>
        </w:rPr>
        <w:t>Public Money and Management</w:t>
      </w:r>
      <w:r w:rsidRPr="00ED3AB6">
        <w:rPr>
          <w:rFonts w:ascii="Arial" w:hAnsi="Arial" w:cs="Arial"/>
          <w:sz w:val="24"/>
          <w:szCs w:val="24"/>
          <w:shd w:val="clear" w:color="auto" w:fill="FFFFFF"/>
        </w:rPr>
        <w:t xml:space="preserve">, 33 (3), pp.221-224. DOI: </w:t>
      </w:r>
      <w:hyperlink r:id="rId10" w:tgtFrame="_blank" w:history="1">
        <w:r w:rsidRPr="00ED3AB6">
          <w:rPr>
            <w:rStyle w:val="Hyperlink"/>
            <w:rFonts w:ascii="Arial" w:hAnsi="Arial" w:cs="Arial"/>
            <w:sz w:val="24"/>
            <w:szCs w:val="24"/>
            <w:bdr w:val="none" w:sz="0" w:space="0" w:color="auto" w:frame="1"/>
            <w:shd w:val="clear" w:color="auto" w:fill="FFFFFF"/>
          </w:rPr>
          <w:t>10.1080/09540962.2013.785709</w:t>
        </w:r>
      </w:hyperlink>
    </w:p>
    <w:p w14:paraId="213C42C5" w14:textId="77777777" w:rsidR="00771DF6" w:rsidRPr="00ED3AB6" w:rsidRDefault="00771DF6" w:rsidP="00ED3AB6">
      <w:pPr>
        <w:spacing w:line="480" w:lineRule="auto"/>
        <w:rPr>
          <w:rFonts w:ascii="Arial" w:hAnsi="Arial" w:cs="Arial"/>
          <w:color w:val="333333"/>
          <w:sz w:val="24"/>
          <w:szCs w:val="24"/>
          <w:shd w:val="clear" w:color="auto" w:fill="FFFFFF"/>
        </w:rPr>
      </w:pPr>
      <w:r w:rsidRPr="00ED3AB6">
        <w:rPr>
          <w:rFonts w:ascii="Arial" w:hAnsi="Arial" w:cs="Arial"/>
          <w:sz w:val="24"/>
          <w:szCs w:val="24"/>
        </w:rPr>
        <w:t xml:space="preserve">Bateman, T (2014) ‘Where has all the Youth Crime Gone? Youth Justice in an Age of Austerity’, </w:t>
      </w:r>
      <w:r w:rsidRPr="00ED3AB6">
        <w:rPr>
          <w:rFonts w:ascii="Arial" w:hAnsi="Arial" w:cs="Arial"/>
          <w:i/>
          <w:iCs/>
          <w:sz w:val="24"/>
          <w:szCs w:val="24"/>
        </w:rPr>
        <w:t>Children &amp; Society</w:t>
      </w:r>
      <w:r w:rsidRPr="00ED3AB6">
        <w:rPr>
          <w:rFonts w:ascii="Arial" w:hAnsi="Arial" w:cs="Arial"/>
          <w:sz w:val="24"/>
          <w:szCs w:val="24"/>
        </w:rPr>
        <w:t xml:space="preserve">, 28(5), pp. 416-424. DOI: </w:t>
      </w:r>
      <w:hyperlink r:id="rId11" w:history="1">
        <w:r w:rsidRPr="00ED3AB6">
          <w:rPr>
            <w:rStyle w:val="Hyperlink"/>
            <w:rFonts w:ascii="Arial" w:hAnsi="Arial" w:cs="Arial"/>
            <w:b/>
            <w:bCs/>
            <w:color w:val="005274"/>
            <w:sz w:val="24"/>
            <w:szCs w:val="24"/>
            <w:shd w:val="clear" w:color="auto" w:fill="FFFFFF"/>
          </w:rPr>
          <w:t>https://doi.org/10.1111/chso.12087</w:t>
        </w:r>
      </w:hyperlink>
    </w:p>
    <w:p w14:paraId="1FDA525D" w14:textId="49B64475" w:rsidR="00771DF6" w:rsidRPr="00ED3AB6" w:rsidRDefault="00771DF6" w:rsidP="00ED3AB6">
      <w:pPr>
        <w:pStyle w:val="paragraph"/>
        <w:spacing w:before="0" w:beforeAutospacing="0" w:after="0" w:afterAutospacing="0" w:line="480" w:lineRule="auto"/>
        <w:textAlignment w:val="baseline"/>
        <w:rPr>
          <w:rFonts w:ascii="Arial" w:hAnsi="Arial" w:cs="Arial"/>
          <w:shd w:val="clear" w:color="auto" w:fill="FFFFFF"/>
        </w:rPr>
      </w:pPr>
      <w:r w:rsidRPr="00ED3AB6">
        <w:rPr>
          <w:rFonts w:ascii="Arial" w:hAnsi="Arial" w:cs="Arial"/>
          <w:shd w:val="clear" w:color="auto" w:fill="FFFFFF"/>
        </w:rPr>
        <w:t>Board, Y.J., (2001). ‘Risk and protective factors associated with youth crime and effective interventions to prevent it.’ </w:t>
      </w:r>
      <w:r w:rsidRPr="00ED3AB6">
        <w:rPr>
          <w:rFonts w:ascii="Arial" w:hAnsi="Arial" w:cs="Arial"/>
          <w:i/>
          <w:iCs/>
          <w:shd w:val="clear" w:color="auto" w:fill="FFFFFF"/>
        </w:rPr>
        <w:t>London, YJB</w:t>
      </w:r>
      <w:r w:rsidRPr="00ED3AB6">
        <w:rPr>
          <w:rFonts w:ascii="Arial" w:hAnsi="Arial" w:cs="Arial"/>
          <w:shd w:val="clear" w:color="auto" w:fill="FFFFFF"/>
        </w:rPr>
        <w:t>.</w:t>
      </w:r>
    </w:p>
    <w:p w14:paraId="706D25C7" w14:textId="77777777" w:rsidR="00771DF6" w:rsidRPr="00ED3AB6" w:rsidRDefault="00771DF6" w:rsidP="00ED3AB6">
      <w:pPr>
        <w:pStyle w:val="paragraph"/>
        <w:spacing w:before="0" w:beforeAutospacing="0" w:after="0" w:afterAutospacing="0" w:line="480" w:lineRule="auto"/>
        <w:textAlignment w:val="baseline"/>
        <w:rPr>
          <w:rFonts w:ascii="Arial" w:hAnsi="Arial" w:cs="Arial"/>
          <w:shd w:val="clear" w:color="auto" w:fill="FFFFFF"/>
        </w:rPr>
      </w:pPr>
    </w:p>
    <w:p w14:paraId="1596889D" w14:textId="264F2500" w:rsidR="00771DF6" w:rsidRPr="00ED3AB6" w:rsidRDefault="00771DF6" w:rsidP="00ED3AB6">
      <w:pPr>
        <w:pStyle w:val="paragraph"/>
        <w:spacing w:before="0" w:beforeAutospacing="0" w:after="0" w:afterAutospacing="0" w:line="480" w:lineRule="auto"/>
        <w:textAlignment w:val="baseline"/>
        <w:rPr>
          <w:rFonts w:ascii="Arial" w:hAnsi="Arial" w:cs="Arial"/>
          <w:shd w:val="clear" w:color="auto" w:fill="FFFFFF"/>
        </w:rPr>
      </w:pPr>
      <w:r w:rsidRPr="00ED3AB6">
        <w:rPr>
          <w:rFonts w:ascii="Arial" w:hAnsi="Arial" w:cs="Arial"/>
          <w:shd w:val="clear" w:color="auto" w:fill="FFFFFF"/>
        </w:rPr>
        <w:t>Bright, J., (1991). Crime prevention: the British experience. </w:t>
      </w:r>
      <w:r w:rsidRPr="00ED3AB6">
        <w:rPr>
          <w:rFonts w:ascii="Arial" w:hAnsi="Arial" w:cs="Arial"/>
          <w:i/>
          <w:iCs/>
          <w:shd w:val="clear" w:color="auto" w:fill="FFFFFF"/>
        </w:rPr>
        <w:t>The politics of crime control</w:t>
      </w:r>
      <w:r w:rsidRPr="00ED3AB6">
        <w:rPr>
          <w:rFonts w:ascii="Arial" w:hAnsi="Arial" w:cs="Arial"/>
          <w:shd w:val="clear" w:color="auto" w:fill="FFFFFF"/>
        </w:rPr>
        <w:t>, pp.62-86.</w:t>
      </w:r>
    </w:p>
    <w:p w14:paraId="454B4572" w14:textId="77777777" w:rsidR="00771DF6" w:rsidRPr="00ED3AB6" w:rsidRDefault="00771DF6" w:rsidP="00ED3AB6">
      <w:pPr>
        <w:pStyle w:val="paragraph"/>
        <w:spacing w:before="0" w:beforeAutospacing="0" w:after="0" w:afterAutospacing="0" w:line="480" w:lineRule="auto"/>
        <w:textAlignment w:val="baseline"/>
        <w:rPr>
          <w:rFonts w:ascii="Arial" w:hAnsi="Arial" w:cs="Arial"/>
          <w:shd w:val="clear" w:color="auto" w:fill="FFFFFF"/>
        </w:rPr>
      </w:pPr>
    </w:p>
    <w:p w14:paraId="4B03A5CF" w14:textId="73B3F516"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r w:rsidRPr="00ED3AB6">
        <w:rPr>
          <w:rStyle w:val="normaltextrun"/>
          <w:rFonts w:ascii="Arial" w:hAnsi="Arial" w:cs="Arial"/>
          <w:shd w:val="clear" w:color="auto" w:fill="FFFFFF"/>
        </w:rPr>
        <w:t>Communities That Care (2002) </w:t>
      </w:r>
      <w:r w:rsidRPr="00ED3AB6">
        <w:rPr>
          <w:rStyle w:val="normaltextrun"/>
          <w:rFonts w:ascii="Arial" w:hAnsi="Arial" w:cs="Arial"/>
          <w:i/>
          <w:iCs/>
          <w:shd w:val="clear" w:color="auto" w:fill="FFFFFF"/>
        </w:rPr>
        <w:t>Youth At Risk? A National Survey of Risk Factors, Protective Factors and Problem Behaviour Among Young People in England, Scotland, and Wales</w:t>
      </w:r>
      <w:r w:rsidRPr="00ED3AB6">
        <w:rPr>
          <w:rStyle w:val="normaltextrun"/>
          <w:rFonts w:ascii="Arial" w:hAnsi="Arial" w:cs="Arial"/>
          <w:shd w:val="clear" w:color="auto" w:fill="FFFFFF"/>
        </w:rPr>
        <w:t>. London, Communities That Care</w:t>
      </w:r>
    </w:p>
    <w:p w14:paraId="59CE428E" w14:textId="77777777"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p>
    <w:p w14:paraId="65FCC792" w14:textId="77777777" w:rsidR="00771DF6" w:rsidRPr="00ED3AB6" w:rsidRDefault="00771DF6" w:rsidP="00ED3AB6">
      <w:pPr>
        <w:spacing w:line="480" w:lineRule="auto"/>
        <w:rPr>
          <w:rFonts w:ascii="Arial" w:hAnsi="Arial" w:cs="Arial"/>
          <w:color w:val="000000"/>
          <w:sz w:val="24"/>
          <w:szCs w:val="24"/>
        </w:rPr>
      </w:pPr>
      <w:r w:rsidRPr="00ED3AB6">
        <w:rPr>
          <w:rFonts w:ascii="Arial" w:hAnsi="Arial" w:cs="Arial"/>
          <w:color w:val="000000"/>
          <w:sz w:val="24"/>
          <w:szCs w:val="24"/>
        </w:rPr>
        <w:t>Crawford A. (1994). ‘The partnership approach to community crime prevention: Corporatism at the local level?’ </w:t>
      </w:r>
      <w:r w:rsidRPr="00ED3AB6">
        <w:rPr>
          <w:rStyle w:val="Emphasis"/>
          <w:rFonts w:ascii="Arial" w:hAnsi="Arial" w:cs="Arial"/>
          <w:color w:val="000000"/>
          <w:sz w:val="24"/>
          <w:szCs w:val="24"/>
        </w:rPr>
        <w:t>Social and Legal Studies</w:t>
      </w:r>
      <w:r w:rsidRPr="00ED3AB6">
        <w:rPr>
          <w:rFonts w:ascii="Arial" w:hAnsi="Arial" w:cs="Arial"/>
          <w:color w:val="000000"/>
          <w:sz w:val="24"/>
          <w:szCs w:val="24"/>
        </w:rPr>
        <w:t xml:space="preserve">, 3(4), pp.497–519. DOI: </w:t>
      </w:r>
      <w:hyperlink r:id="rId12" w:history="1">
        <w:r w:rsidRPr="00ED3AB6">
          <w:rPr>
            <w:rStyle w:val="Hyperlink"/>
            <w:rFonts w:ascii="Arial" w:hAnsi="Arial" w:cs="Arial"/>
            <w:color w:val="006ACC"/>
            <w:sz w:val="24"/>
            <w:szCs w:val="24"/>
            <w:shd w:val="clear" w:color="auto" w:fill="FFFFFF"/>
          </w:rPr>
          <w:t>https://doi.org/10.1177/096466399400300403</w:t>
        </w:r>
      </w:hyperlink>
    </w:p>
    <w:p w14:paraId="2D810FEC" w14:textId="77777777" w:rsidR="00771DF6" w:rsidRPr="00ED3AB6" w:rsidRDefault="00771DF6" w:rsidP="00ED3AB6">
      <w:pPr>
        <w:spacing w:line="480" w:lineRule="auto"/>
        <w:rPr>
          <w:rFonts w:ascii="Arial" w:hAnsi="Arial" w:cs="Arial"/>
          <w:color w:val="000000"/>
          <w:sz w:val="24"/>
          <w:szCs w:val="24"/>
        </w:rPr>
      </w:pPr>
      <w:r w:rsidRPr="00ED3AB6">
        <w:rPr>
          <w:rFonts w:ascii="Arial" w:hAnsi="Arial" w:cs="Arial"/>
          <w:color w:val="222222"/>
          <w:sz w:val="24"/>
          <w:szCs w:val="24"/>
          <w:shd w:val="clear" w:color="auto" w:fill="FFFFFF"/>
        </w:rPr>
        <w:t>Ekblom, P., (2010). </w:t>
      </w:r>
      <w:r w:rsidRPr="00ED3AB6">
        <w:rPr>
          <w:rFonts w:ascii="Arial" w:hAnsi="Arial" w:cs="Arial"/>
          <w:i/>
          <w:iCs/>
          <w:color w:val="222222"/>
          <w:sz w:val="24"/>
          <w:szCs w:val="24"/>
          <w:shd w:val="clear" w:color="auto" w:fill="FFFFFF"/>
        </w:rPr>
        <w:t>Crime prevention, security and community safety using the 5Is framework</w:t>
      </w:r>
      <w:r w:rsidRPr="00ED3AB6">
        <w:rPr>
          <w:rFonts w:ascii="Arial" w:hAnsi="Arial" w:cs="Arial"/>
          <w:color w:val="222222"/>
          <w:sz w:val="24"/>
          <w:szCs w:val="24"/>
          <w:shd w:val="clear" w:color="auto" w:fill="FFFFFF"/>
        </w:rPr>
        <w:t>. Springer.</w:t>
      </w:r>
    </w:p>
    <w:p w14:paraId="4B4C8915" w14:textId="58DC1B46"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r w:rsidRPr="00ED3AB6">
        <w:rPr>
          <w:rStyle w:val="normaltextrun"/>
          <w:rFonts w:ascii="Arial" w:hAnsi="Arial" w:cs="Arial"/>
          <w:shd w:val="clear" w:color="auto" w:fill="FFFFFF"/>
        </w:rPr>
        <w:t xml:space="preserve">Flood-Page, C., et al (2000) ‘Youth Crime: Findings from the 1998/99 Youth Lifestyles Survey.’ </w:t>
      </w:r>
      <w:r w:rsidRPr="00ED3AB6">
        <w:rPr>
          <w:rStyle w:val="normaltextrun"/>
          <w:rFonts w:ascii="Arial" w:hAnsi="Arial" w:cs="Arial"/>
          <w:i/>
          <w:iCs/>
          <w:shd w:val="clear" w:color="auto" w:fill="FFFFFF"/>
        </w:rPr>
        <w:t>Home Office Research Study 209</w:t>
      </w:r>
      <w:r w:rsidRPr="00ED3AB6">
        <w:rPr>
          <w:rStyle w:val="normaltextrun"/>
          <w:rFonts w:ascii="Arial" w:hAnsi="Arial" w:cs="Arial"/>
          <w:shd w:val="clear" w:color="auto" w:fill="FFFFFF"/>
        </w:rPr>
        <w:t>. London: Home Office.</w:t>
      </w:r>
    </w:p>
    <w:p w14:paraId="0F0F3688" w14:textId="77777777"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p>
    <w:p w14:paraId="5233B4E2" w14:textId="55ABBAAC"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r w:rsidRPr="00ED3AB6">
        <w:rPr>
          <w:rStyle w:val="normaltextrun"/>
          <w:rFonts w:ascii="Arial" w:hAnsi="Arial" w:cs="Arial"/>
          <w:shd w:val="clear" w:color="auto" w:fill="FFFFFF"/>
        </w:rPr>
        <w:t>Furlong, A.  and  Cartmel, F.  (1997) Young  People  and  Social  Change. Buckingham, Open University Press</w:t>
      </w:r>
      <w:r w:rsidRPr="00ED3AB6">
        <w:rPr>
          <w:rStyle w:val="eop"/>
          <w:rFonts w:ascii="Arial" w:hAnsi="Arial" w:cs="Arial"/>
        </w:rPr>
        <w:t> </w:t>
      </w:r>
    </w:p>
    <w:p w14:paraId="38254C53" w14:textId="77777777"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p>
    <w:p w14:paraId="24AF1C2B" w14:textId="77777777" w:rsidR="00771DF6" w:rsidRPr="00ED3AB6" w:rsidRDefault="00771DF6" w:rsidP="00ED3AB6">
      <w:pPr>
        <w:spacing w:line="480" w:lineRule="auto"/>
        <w:rPr>
          <w:rFonts w:ascii="Arial" w:hAnsi="Arial" w:cs="Arial"/>
          <w:color w:val="000000"/>
          <w:sz w:val="24"/>
          <w:szCs w:val="24"/>
        </w:rPr>
      </w:pPr>
      <w:r w:rsidRPr="00ED3AB6">
        <w:rPr>
          <w:rFonts w:ascii="Arial" w:hAnsi="Arial" w:cs="Arial"/>
          <w:color w:val="000000"/>
          <w:sz w:val="24"/>
          <w:szCs w:val="24"/>
        </w:rPr>
        <w:t>Garland D. (2001). </w:t>
      </w:r>
      <w:r w:rsidRPr="00ED3AB6">
        <w:rPr>
          <w:rStyle w:val="Emphasis"/>
          <w:rFonts w:ascii="Arial" w:hAnsi="Arial" w:cs="Arial"/>
          <w:color w:val="000000"/>
          <w:sz w:val="24"/>
          <w:szCs w:val="24"/>
        </w:rPr>
        <w:t>The culture of control: Crime and social order in contemporary society</w:t>
      </w:r>
      <w:r w:rsidRPr="00ED3AB6">
        <w:rPr>
          <w:rFonts w:ascii="Arial" w:hAnsi="Arial" w:cs="Arial"/>
          <w:color w:val="000000"/>
          <w:sz w:val="24"/>
          <w:szCs w:val="24"/>
        </w:rPr>
        <w:t>. Oxford, England: Oxford University Press.</w:t>
      </w:r>
    </w:p>
    <w:p w14:paraId="6CD85DD5" w14:textId="77777777" w:rsidR="00771DF6" w:rsidRPr="00ED3AB6" w:rsidRDefault="00771DF6" w:rsidP="00ED3AB6">
      <w:pPr>
        <w:spacing w:line="480" w:lineRule="auto"/>
        <w:rPr>
          <w:rFonts w:ascii="Arial" w:hAnsi="Arial" w:cs="Arial"/>
          <w:color w:val="333333"/>
          <w:sz w:val="24"/>
          <w:szCs w:val="24"/>
          <w:shd w:val="clear" w:color="auto" w:fill="FFFFFF"/>
        </w:rPr>
      </w:pPr>
      <w:r w:rsidRPr="00ED3AB6">
        <w:rPr>
          <w:rFonts w:ascii="Arial" w:hAnsi="Arial" w:cs="Arial"/>
          <w:sz w:val="24"/>
          <w:szCs w:val="24"/>
          <w:shd w:val="clear" w:color="auto" w:fill="FFFFFF"/>
        </w:rPr>
        <w:t xml:space="preserve">Goldson, B. (1997) ‘Children, Crime, Policy and Practice: Neither Welfare nor Justice’, </w:t>
      </w:r>
      <w:r w:rsidRPr="00ED3AB6">
        <w:rPr>
          <w:rStyle w:val="Emphasis"/>
          <w:rFonts w:ascii="Arial" w:hAnsi="Arial" w:cs="Arial"/>
          <w:sz w:val="24"/>
          <w:szCs w:val="24"/>
          <w:shd w:val="clear" w:color="auto" w:fill="FFFFFF"/>
        </w:rPr>
        <w:t>Children and Society</w:t>
      </w:r>
      <w:r w:rsidRPr="00ED3AB6">
        <w:rPr>
          <w:rFonts w:ascii="Arial" w:hAnsi="Arial" w:cs="Arial"/>
          <w:sz w:val="24"/>
          <w:szCs w:val="24"/>
          <w:shd w:val="clear" w:color="auto" w:fill="FFFFFF"/>
        </w:rPr>
        <w:t xml:space="preserve">. 11 (2), pp.77-88. DOI: </w:t>
      </w:r>
      <w:hyperlink r:id="rId13" w:history="1">
        <w:r w:rsidRPr="00ED3AB6">
          <w:rPr>
            <w:rStyle w:val="Hyperlink"/>
            <w:rFonts w:ascii="Arial" w:hAnsi="Arial" w:cs="Arial"/>
            <w:color w:val="005274"/>
            <w:sz w:val="24"/>
            <w:szCs w:val="24"/>
            <w:shd w:val="clear" w:color="auto" w:fill="FFFFFF"/>
          </w:rPr>
          <w:t>https://doi.org/10.1111/j.1099-0860.1997.tb00013.x</w:t>
        </w:r>
      </w:hyperlink>
    </w:p>
    <w:p w14:paraId="4394A7C5" w14:textId="77777777" w:rsidR="00771DF6" w:rsidRPr="00ED3AB6" w:rsidRDefault="00771DF6" w:rsidP="00ED3AB6">
      <w:pPr>
        <w:spacing w:line="480" w:lineRule="auto"/>
        <w:rPr>
          <w:rFonts w:ascii="Arial" w:hAnsi="Arial" w:cs="Arial"/>
          <w:color w:val="000000"/>
          <w:sz w:val="24"/>
          <w:szCs w:val="24"/>
        </w:rPr>
      </w:pPr>
      <w:r w:rsidRPr="00ED3AB6">
        <w:rPr>
          <w:rFonts w:ascii="Arial" w:hAnsi="Arial" w:cs="Arial"/>
          <w:color w:val="222222"/>
          <w:sz w:val="24"/>
          <w:szCs w:val="24"/>
          <w:shd w:val="clear" w:color="auto" w:fill="FFFFFF"/>
        </w:rPr>
        <w:t>Grant, H.B., (2018). </w:t>
      </w:r>
      <w:r w:rsidRPr="00ED3AB6">
        <w:rPr>
          <w:rFonts w:ascii="Arial" w:hAnsi="Arial" w:cs="Arial"/>
          <w:i/>
          <w:iCs/>
          <w:color w:val="222222"/>
          <w:sz w:val="24"/>
          <w:szCs w:val="24"/>
          <w:shd w:val="clear" w:color="auto" w:fill="FFFFFF"/>
        </w:rPr>
        <w:t>Police integrity in the developing world: Building a culture of lawfulness</w:t>
      </w:r>
      <w:r w:rsidRPr="00ED3AB6">
        <w:rPr>
          <w:rFonts w:ascii="Arial" w:hAnsi="Arial" w:cs="Arial"/>
          <w:color w:val="222222"/>
          <w:sz w:val="24"/>
          <w:szCs w:val="24"/>
          <w:shd w:val="clear" w:color="auto" w:fill="FFFFFF"/>
        </w:rPr>
        <w:t>. Springer.</w:t>
      </w:r>
    </w:p>
    <w:p w14:paraId="2A0A9B8F" w14:textId="77777777" w:rsidR="00771DF6" w:rsidRPr="00ED3AB6" w:rsidRDefault="00771DF6" w:rsidP="00ED3AB6">
      <w:pPr>
        <w:spacing w:line="480" w:lineRule="auto"/>
        <w:rPr>
          <w:rFonts w:ascii="Arial" w:hAnsi="Arial" w:cs="Arial"/>
          <w:color w:val="000000"/>
          <w:sz w:val="24"/>
          <w:szCs w:val="24"/>
        </w:rPr>
      </w:pPr>
      <w:r w:rsidRPr="00ED3AB6">
        <w:rPr>
          <w:rFonts w:ascii="Arial" w:hAnsi="Arial" w:cs="Arial"/>
          <w:color w:val="222222"/>
          <w:sz w:val="24"/>
          <w:szCs w:val="24"/>
          <w:shd w:val="clear" w:color="auto" w:fill="FFFFFF"/>
        </w:rPr>
        <w:t>Herlitz, L. and Hough, M., (2016). ‘Youth anti-social behaviour and crime in England: An overview’. </w:t>
      </w:r>
      <w:r w:rsidRPr="00ED3AB6">
        <w:rPr>
          <w:rFonts w:ascii="Arial" w:hAnsi="Arial" w:cs="Arial"/>
          <w:i/>
          <w:iCs/>
          <w:color w:val="222222"/>
          <w:sz w:val="24"/>
          <w:szCs w:val="24"/>
          <w:shd w:val="clear" w:color="auto" w:fill="FFFFFF"/>
        </w:rPr>
        <w:t>London, England: Institute for Criminal Policy Research</w:t>
      </w:r>
      <w:r w:rsidRPr="00ED3AB6">
        <w:rPr>
          <w:rFonts w:ascii="Arial" w:hAnsi="Arial" w:cs="Arial"/>
          <w:color w:val="222222"/>
          <w:sz w:val="24"/>
          <w:szCs w:val="24"/>
          <w:shd w:val="clear" w:color="auto" w:fill="FFFFFF"/>
        </w:rPr>
        <w:t>.</w:t>
      </w:r>
    </w:p>
    <w:p w14:paraId="73FE97D6" w14:textId="77777777" w:rsidR="00771DF6" w:rsidRPr="00ED3AB6" w:rsidRDefault="00771DF6" w:rsidP="00ED3AB6">
      <w:pPr>
        <w:spacing w:line="480" w:lineRule="auto"/>
        <w:rPr>
          <w:rFonts w:ascii="Arial" w:hAnsi="Arial" w:cs="Arial"/>
          <w:color w:val="333333"/>
          <w:sz w:val="24"/>
          <w:szCs w:val="24"/>
          <w:shd w:val="clear" w:color="auto" w:fill="FFFFFF"/>
        </w:rPr>
      </w:pPr>
      <w:r w:rsidRPr="00ED3AB6">
        <w:rPr>
          <w:rFonts w:ascii="Arial" w:hAnsi="Arial" w:cs="Arial"/>
          <w:sz w:val="24"/>
          <w:szCs w:val="24"/>
          <w:shd w:val="clear" w:color="auto" w:fill="FFFFFF"/>
        </w:rPr>
        <w:t xml:space="preserve">HM Government (2007) </w:t>
      </w:r>
      <w:r w:rsidRPr="00ED3AB6">
        <w:rPr>
          <w:rFonts w:ascii="Arial" w:hAnsi="Arial" w:cs="Arial"/>
          <w:i/>
          <w:iCs/>
          <w:sz w:val="24"/>
          <w:szCs w:val="24"/>
          <w:shd w:val="clear" w:color="auto" w:fill="FFFFFF"/>
        </w:rPr>
        <w:t>Reaching Out: An Action Plan on Social Exclusion</w:t>
      </w:r>
      <w:r w:rsidRPr="00ED3AB6">
        <w:rPr>
          <w:rFonts w:ascii="Arial" w:hAnsi="Arial" w:cs="Arial"/>
          <w:sz w:val="24"/>
          <w:szCs w:val="24"/>
          <w:shd w:val="clear" w:color="auto" w:fill="FFFFFF"/>
        </w:rPr>
        <w:t xml:space="preserve">. Available at: </w:t>
      </w:r>
      <w:hyperlink r:id="rId14" w:history="1">
        <w:r w:rsidRPr="00ED3AB6">
          <w:rPr>
            <w:rStyle w:val="Hyperlink"/>
            <w:rFonts w:ascii="Arial" w:hAnsi="Arial" w:cs="Arial"/>
            <w:sz w:val="24"/>
            <w:szCs w:val="24"/>
            <w:shd w:val="clear" w:color="auto" w:fill="FFFFFF"/>
          </w:rPr>
          <w:t>https://www.bristol.ac.uk/poverty/downloads/keyofficialdocuments/reaching_out_full.pdf</w:t>
        </w:r>
      </w:hyperlink>
      <w:r w:rsidRPr="00ED3AB6">
        <w:rPr>
          <w:rFonts w:ascii="Arial" w:hAnsi="Arial" w:cs="Arial"/>
          <w:color w:val="333333"/>
          <w:sz w:val="24"/>
          <w:szCs w:val="24"/>
          <w:shd w:val="clear" w:color="auto" w:fill="FFFFFF"/>
        </w:rPr>
        <w:t xml:space="preserve"> </w:t>
      </w:r>
      <w:r w:rsidRPr="00ED3AB6">
        <w:rPr>
          <w:rFonts w:ascii="Arial" w:hAnsi="Arial" w:cs="Arial"/>
          <w:sz w:val="24"/>
          <w:szCs w:val="24"/>
          <w:shd w:val="clear" w:color="auto" w:fill="FFFFFF"/>
        </w:rPr>
        <w:t>(Accessed: 25</w:t>
      </w:r>
      <w:r w:rsidRPr="00ED3AB6">
        <w:rPr>
          <w:rFonts w:ascii="Arial" w:hAnsi="Arial" w:cs="Arial"/>
          <w:sz w:val="24"/>
          <w:szCs w:val="24"/>
          <w:shd w:val="clear" w:color="auto" w:fill="FFFFFF"/>
          <w:vertAlign w:val="superscript"/>
        </w:rPr>
        <w:t>th</w:t>
      </w:r>
      <w:r w:rsidRPr="00ED3AB6">
        <w:rPr>
          <w:rFonts w:ascii="Arial" w:hAnsi="Arial" w:cs="Arial"/>
          <w:sz w:val="24"/>
          <w:szCs w:val="24"/>
          <w:shd w:val="clear" w:color="auto" w:fill="FFFFFF"/>
        </w:rPr>
        <w:t xml:space="preserve"> November 2022)</w:t>
      </w:r>
    </w:p>
    <w:p w14:paraId="0913D33F" w14:textId="10FF7751"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r w:rsidRPr="00ED3AB6">
        <w:rPr>
          <w:rStyle w:val="normaltextrun"/>
          <w:rFonts w:ascii="Arial" w:hAnsi="Arial" w:cs="Arial"/>
        </w:rPr>
        <w:t xml:space="preserve">HM Inspectorate of Prisons (2015) </w:t>
      </w:r>
      <w:r w:rsidRPr="00F46645">
        <w:rPr>
          <w:rStyle w:val="normaltextrun"/>
          <w:rFonts w:ascii="Arial" w:hAnsi="Arial" w:cs="Arial"/>
          <w:i/>
          <w:iCs/>
        </w:rPr>
        <w:t>Children in Custody 2014-2015: Appendices</w:t>
      </w:r>
      <w:r w:rsidRPr="00ED3AB6">
        <w:rPr>
          <w:rStyle w:val="normaltextrun"/>
          <w:rFonts w:ascii="Arial" w:hAnsi="Arial" w:cs="Arial"/>
        </w:rPr>
        <w:t xml:space="preserve">. </w:t>
      </w:r>
      <w:r w:rsidR="00F46645">
        <w:rPr>
          <w:rStyle w:val="normaltextrun"/>
          <w:rFonts w:ascii="Arial" w:hAnsi="Arial" w:cs="Arial"/>
        </w:rPr>
        <w:t xml:space="preserve">Available at: </w:t>
      </w:r>
      <w:hyperlink r:id="rId15" w:history="1">
        <w:r w:rsidR="00F46645" w:rsidRPr="003424CD">
          <w:rPr>
            <w:rStyle w:val="Hyperlink"/>
            <w:rFonts w:ascii="Arial" w:hAnsi="Arial" w:cs="Arial"/>
          </w:rPr>
          <w:t>https://www.justiceinspectorates.gov.uk/hmiprisons/inspections/children-in-custody-2014-15/</w:t>
        </w:r>
      </w:hyperlink>
      <w:r w:rsidRPr="00ED3AB6">
        <w:rPr>
          <w:rStyle w:val="normaltextrun"/>
          <w:rFonts w:ascii="Arial" w:hAnsi="Arial" w:cs="Arial"/>
        </w:rPr>
        <w:t> </w:t>
      </w:r>
      <w:r w:rsidRPr="00ED3AB6">
        <w:rPr>
          <w:rStyle w:val="eop"/>
          <w:rFonts w:ascii="Arial" w:hAnsi="Arial" w:cs="Arial"/>
        </w:rPr>
        <w:t> </w:t>
      </w:r>
      <w:r w:rsidR="00F46645">
        <w:rPr>
          <w:rStyle w:val="normaltextrun"/>
          <w:rFonts w:ascii="Arial" w:hAnsi="Arial" w:cs="Arial"/>
        </w:rPr>
        <w:t>(Accessed: 18</w:t>
      </w:r>
      <w:r w:rsidR="00F46645" w:rsidRPr="00F46645">
        <w:rPr>
          <w:rStyle w:val="normaltextrun"/>
          <w:rFonts w:ascii="Arial" w:hAnsi="Arial" w:cs="Arial"/>
          <w:vertAlign w:val="superscript"/>
        </w:rPr>
        <w:t>th</w:t>
      </w:r>
      <w:r w:rsidR="00F46645">
        <w:rPr>
          <w:rStyle w:val="normaltextrun"/>
          <w:rFonts w:ascii="Arial" w:hAnsi="Arial" w:cs="Arial"/>
        </w:rPr>
        <w:t xml:space="preserve"> November 2022)</w:t>
      </w:r>
      <w:r w:rsidR="00F46645" w:rsidRPr="00ED3AB6">
        <w:rPr>
          <w:rStyle w:val="normaltextrun"/>
          <w:rFonts w:ascii="Arial" w:hAnsi="Arial" w:cs="Arial"/>
        </w:rPr>
        <w:t> </w:t>
      </w:r>
      <w:r w:rsidR="00F46645" w:rsidRPr="00ED3AB6">
        <w:rPr>
          <w:rStyle w:val="eop"/>
          <w:rFonts w:ascii="Arial" w:hAnsi="Arial" w:cs="Arial"/>
        </w:rPr>
        <w:t> </w:t>
      </w:r>
    </w:p>
    <w:p w14:paraId="589BDDF2" w14:textId="77777777" w:rsidR="00771DF6" w:rsidRPr="00ED3AB6" w:rsidRDefault="00771DF6" w:rsidP="00ED3AB6">
      <w:pPr>
        <w:spacing w:line="480" w:lineRule="auto"/>
        <w:rPr>
          <w:rFonts w:ascii="Arial" w:hAnsi="Arial" w:cs="Arial"/>
          <w:sz w:val="24"/>
          <w:szCs w:val="24"/>
        </w:rPr>
      </w:pPr>
      <w:r w:rsidRPr="00ED3AB6">
        <w:rPr>
          <w:rFonts w:ascii="Arial" w:hAnsi="Arial" w:cs="Arial"/>
          <w:color w:val="222222"/>
          <w:sz w:val="24"/>
          <w:szCs w:val="24"/>
          <w:shd w:val="clear" w:color="auto" w:fill="FFFFFF"/>
        </w:rPr>
        <w:t xml:space="preserve">Hobson, J., et al (2017). Review of the Aston Project: Report. Available at: </w:t>
      </w:r>
      <w:hyperlink r:id="rId16" w:history="1">
        <w:r w:rsidRPr="00ED3AB6">
          <w:rPr>
            <w:rStyle w:val="Hyperlink"/>
            <w:rFonts w:ascii="Arial" w:hAnsi="Arial" w:cs="Arial"/>
            <w:sz w:val="24"/>
            <w:szCs w:val="24"/>
            <w:shd w:val="clear" w:color="auto" w:fill="FFFFFF"/>
          </w:rPr>
          <w:t>https://pure.ulster.ac.uk/en/publications/review-of-the-aston-project-report</w:t>
        </w:r>
      </w:hyperlink>
      <w:r w:rsidRPr="00ED3AB6">
        <w:rPr>
          <w:rFonts w:ascii="Arial" w:hAnsi="Arial" w:cs="Arial"/>
          <w:color w:val="222222"/>
          <w:sz w:val="24"/>
          <w:szCs w:val="24"/>
          <w:shd w:val="clear" w:color="auto" w:fill="FFFFFF"/>
        </w:rPr>
        <w:t xml:space="preserve">  (Accessed: 25</w:t>
      </w:r>
      <w:r w:rsidRPr="00ED3AB6">
        <w:rPr>
          <w:rFonts w:ascii="Arial" w:hAnsi="Arial" w:cs="Arial"/>
          <w:color w:val="222222"/>
          <w:sz w:val="24"/>
          <w:szCs w:val="24"/>
          <w:shd w:val="clear" w:color="auto" w:fill="FFFFFF"/>
          <w:vertAlign w:val="superscript"/>
        </w:rPr>
        <w:t>th</w:t>
      </w:r>
      <w:r w:rsidRPr="00ED3AB6">
        <w:rPr>
          <w:rFonts w:ascii="Arial" w:hAnsi="Arial" w:cs="Arial"/>
          <w:color w:val="222222"/>
          <w:sz w:val="24"/>
          <w:szCs w:val="24"/>
          <w:shd w:val="clear" w:color="auto" w:fill="FFFFFF"/>
        </w:rPr>
        <w:t xml:space="preserve"> November 2022)</w:t>
      </w:r>
    </w:p>
    <w:p w14:paraId="6E9E6062" w14:textId="09EDDEF4"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r w:rsidRPr="00ED3AB6">
        <w:rPr>
          <w:rStyle w:val="normaltextrun"/>
          <w:rFonts w:ascii="Arial" w:hAnsi="Arial" w:cs="Arial"/>
          <w:shd w:val="clear" w:color="auto" w:fill="FFFFFF"/>
        </w:rPr>
        <w:t>Home Office (2000)British Crime Survey. London, HMSO</w:t>
      </w:r>
    </w:p>
    <w:p w14:paraId="058EDF1B" w14:textId="77777777"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p>
    <w:p w14:paraId="4CE476C7" w14:textId="5511C595"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r w:rsidRPr="00ED3AB6">
        <w:rPr>
          <w:rStyle w:val="normaltextrun"/>
          <w:rFonts w:ascii="Arial" w:hAnsi="Arial" w:cs="Arial"/>
          <w:shd w:val="clear" w:color="auto" w:fill="FFFFFF"/>
        </w:rPr>
        <w:t>Home Office (2002) British Crime Survey. London, HMSO</w:t>
      </w:r>
    </w:p>
    <w:p w14:paraId="25D5B681" w14:textId="77777777"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p>
    <w:p w14:paraId="73AD8EC6" w14:textId="77777777" w:rsidR="00771DF6" w:rsidRPr="00ED3AB6" w:rsidRDefault="00771DF6" w:rsidP="00ED3AB6">
      <w:pPr>
        <w:spacing w:line="480" w:lineRule="auto"/>
        <w:rPr>
          <w:rFonts w:ascii="Arial" w:hAnsi="Arial" w:cs="Arial"/>
          <w:color w:val="000000"/>
          <w:sz w:val="24"/>
          <w:szCs w:val="24"/>
        </w:rPr>
      </w:pPr>
      <w:r w:rsidRPr="00ED3AB6">
        <w:rPr>
          <w:rFonts w:ascii="Arial" w:hAnsi="Arial" w:cs="Arial"/>
          <w:color w:val="222222"/>
          <w:sz w:val="24"/>
          <w:szCs w:val="24"/>
          <w:shd w:val="clear" w:color="auto" w:fill="FFFFFF"/>
        </w:rPr>
        <w:t>Hurst, Y.G. and Frank, J., (2000). ‘How kids view cops the nature of juvenile attitudes toward the police’. </w:t>
      </w:r>
      <w:r w:rsidRPr="00ED3AB6">
        <w:rPr>
          <w:rFonts w:ascii="Arial" w:hAnsi="Arial" w:cs="Arial"/>
          <w:i/>
          <w:iCs/>
          <w:color w:val="222222"/>
          <w:sz w:val="24"/>
          <w:szCs w:val="24"/>
          <w:shd w:val="clear" w:color="auto" w:fill="FFFFFF"/>
        </w:rPr>
        <w:t>Journal of Criminal Justice</w:t>
      </w:r>
      <w:r w:rsidRPr="00ED3AB6">
        <w:rPr>
          <w:rFonts w:ascii="Arial" w:hAnsi="Arial" w:cs="Arial"/>
          <w:color w:val="222222"/>
          <w:sz w:val="24"/>
          <w:szCs w:val="24"/>
          <w:shd w:val="clear" w:color="auto" w:fill="FFFFFF"/>
        </w:rPr>
        <w:t>, </w:t>
      </w:r>
      <w:r w:rsidRPr="00ED3AB6">
        <w:rPr>
          <w:rFonts w:ascii="Arial" w:hAnsi="Arial" w:cs="Arial"/>
          <w:i/>
          <w:iCs/>
          <w:color w:val="222222"/>
          <w:sz w:val="24"/>
          <w:szCs w:val="24"/>
          <w:shd w:val="clear" w:color="auto" w:fill="FFFFFF"/>
        </w:rPr>
        <w:t>28</w:t>
      </w:r>
      <w:r w:rsidRPr="00ED3AB6">
        <w:rPr>
          <w:rFonts w:ascii="Arial" w:hAnsi="Arial" w:cs="Arial"/>
          <w:color w:val="222222"/>
          <w:sz w:val="24"/>
          <w:szCs w:val="24"/>
          <w:shd w:val="clear" w:color="auto" w:fill="FFFFFF"/>
        </w:rPr>
        <w:t>(3), pp.189-202. DOI:</w:t>
      </w:r>
      <w:r w:rsidRPr="00ED3AB6">
        <w:rPr>
          <w:rFonts w:ascii="Arial" w:hAnsi="Arial" w:cs="Arial"/>
          <w:sz w:val="24"/>
          <w:szCs w:val="24"/>
        </w:rPr>
        <w:t xml:space="preserve"> </w:t>
      </w:r>
      <w:hyperlink r:id="rId17" w:tgtFrame="_blank" w:tooltip="Persistent link using digital object identifier" w:history="1">
        <w:r w:rsidRPr="00ED3AB6">
          <w:rPr>
            <w:rStyle w:val="Hyperlink"/>
            <w:rFonts w:ascii="Arial" w:hAnsi="Arial" w:cs="Arial"/>
            <w:color w:val="0C7DBB"/>
            <w:sz w:val="24"/>
            <w:szCs w:val="24"/>
          </w:rPr>
          <w:t>https://doi.org/10.1016/S0047-2352(00)00035-0</w:t>
        </w:r>
      </w:hyperlink>
    </w:p>
    <w:p w14:paraId="644B4401" w14:textId="77777777" w:rsidR="00771DF6" w:rsidRPr="00ED3AB6" w:rsidRDefault="00771DF6" w:rsidP="00ED3AB6">
      <w:pPr>
        <w:spacing w:line="480" w:lineRule="auto"/>
        <w:rPr>
          <w:rFonts w:ascii="Arial" w:hAnsi="Arial" w:cs="Arial"/>
          <w:color w:val="000000"/>
          <w:sz w:val="24"/>
          <w:szCs w:val="24"/>
        </w:rPr>
      </w:pPr>
      <w:r w:rsidRPr="00ED3AB6">
        <w:rPr>
          <w:rFonts w:ascii="Arial" w:hAnsi="Arial" w:cs="Arial"/>
          <w:color w:val="000000"/>
          <w:sz w:val="24"/>
          <w:szCs w:val="24"/>
        </w:rPr>
        <w:t>Loader I. (1996). </w:t>
      </w:r>
      <w:r w:rsidRPr="00ED3AB6">
        <w:rPr>
          <w:rStyle w:val="Emphasis"/>
          <w:rFonts w:ascii="Arial" w:hAnsi="Arial" w:cs="Arial"/>
          <w:color w:val="000000"/>
          <w:sz w:val="24"/>
          <w:szCs w:val="24"/>
        </w:rPr>
        <w:t>Youth, policing, and democracy</w:t>
      </w:r>
      <w:r w:rsidRPr="00ED3AB6">
        <w:rPr>
          <w:rFonts w:ascii="Arial" w:hAnsi="Arial" w:cs="Arial"/>
          <w:color w:val="000000"/>
          <w:sz w:val="24"/>
          <w:szCs w:val="24"/>
        </w:rPr>
        <w:t>. Basingstoke, England: Macmillan.</w:t>
      </w:r>
    </w:p>
    <w:p w14:paraId="367CC0CB" w14:textId="77777777" w:rsidR="00771DF6" w:rsidRPr="00ED3AB6" w:rsidRDefault="00771DF6" w:rsidP="00ED3AB6">
      <w:pPr>
        <w:spacing w:line="480" w:lineRule="auto"/>
        <w:rPr>
          <w:rFonts w:ascii="Arial" w:hAnsi="Arial" w:cs="Arial"/>
          <w:sz w:val="24"/>
          <w:szCs w:val="24"/>
        </w:rPr>
      </w:pPr>
      <w:r w:rsidRPr="00ED3AB6">
        <w:rPr>
          <w:rFonts w:ascii="Arial" w:hAnsi="Arial" w:cs="Arial"/>
          <w:sz w:val="24"/>
          <w:szCs w:val="24"/>
          <w:shd w:val="clear" w:color="auto" w:fill="FFFFFF"/>
        </w:rPr>
        <w:t>Loeber, R. and Stallings, R., (2011). Modeling the impact of interventions on local indicators of offending, victimization, and incarceration. In </w:t>
      </w:r>
      <w:r w:rsidRPr="00ED3AB6">
        <w:rPr>
          <w:rFonts w:ascii="Arial" w:hAnsi="Arial" w:cs="Arial"/>
          <w:i/>
          <w:iCs/>
          <w:sz w:val="24"/>
          <w:szCs w:val="24"/>
          <w:shd w:val="clear" w:color="auto" w:fill="FFFFFF"/>
        </w:rPr>
        <w:t>Young homicide offenders and victims</w:t>
      </w:r>
      <w:r w:rsidRPr="00ED3AB6">
        <w:rPr>
          <w:rFonts w:ascii="Arial" w:hAnsi="Arial" w:cs="Arial"/>
          <w:sz w:val="24"/>
          <w:szCs w:val="24"/>
          <w:shd w:val="clear" w:color="auto" w:fill="FFFFFF"/>
        </w:rPr>
        <w:t> (pp. 137-152). Springer, New York, NY.</w:t>
      </w:r>
    </w:p>
    <w:p w14:paraId="6AFCEAD5" w14:textId="21EA5930"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r w:rsidRPr="00ED3AB6">
        <w:rPr>
          <w:rStyle w:val="normaltextrun"/>
          <w:rFonts w:ascii="Arial" w:hAnsi="Arial" w:cs="Arial"/>
        </w:rPr>
        <w:t xml:space="preserve">Ministry of Justice (2016) </w:t>
      </w:r>
      <w:r w:rsidRPr="00F46645">
        <w:rPr>
          <w:rStyle w:val="normaltextrun"/>
          <w:rFonts w:ascii="Arial" w:hAnsi="Arial" w:cs="Arial"/>
          <w:i/>
          <w:iCs/>
        </w:rPr>
        <w:t>Criminal justice system statistics quarterly: December 2015</w:t>
      </w:r>
      <w:r w:rsidRPr="00ED3AB6">
        <w:rPr>
          <w:rStyle w:val="normaltextrun"/>
          <w:rFonts w:ascii="Arial" w:hAnsi="Arial" w:cs="Arial"/>
        </w:rPr>
        <w:t xml:space="preserve">. </w:t>
      </w:r>
      <w:r w:rsidR="00F46645">
        <w:rPr>
          <w:rStyle w:val="normaltextrun"/>
          <w:rFonts w:ascii="Arial" w:hAnsi="Arial" w:cs="Arial"/>
        </w:rPr>
        <w:t>Available at :</w:t>
      </w:r>
      <w:hyperlink r:id="rId18" w:history="1">
        <w:r w:rsidR="00F46645" w:rsidRPr="003424CD">
          <w:rPr>
            <w:rStyle w:val="Hyperlink"/>
            <w:rFonts w:ascii="Arial" w:hAnsi="Arial" w:cs="Arial"/>
          </w:rPr>
          <w:t>https://www.gov.uk/government/statistics/criminal-justice-system-statistics-quarterly-december-2015</w:t>
        </w:r>
      </w:hyperlink>
      <w:r w:rsidRPr="00ED3AB6">
        <w:rPr>
          <w:rStyle w:val="eop"/>
          <w:rFonts w:ascii="Arial" w:hAnsi="Arial" w:cs="Arial"/>
        </w:rPr>
        <w:t> </w:t>
      </w:r>
      <w:r w:rsidR="00F46645">
        <w:rPr>
          <w:rStyle w:val="eop"/>
          <w:rFonts w:ascii="Arial" w:hAnsi="Arial" w:cs="Arial"/>
        </w:rPr>
        <w:t xml:space="preserve"> </w:t>
      </w:r>
      <w:r w:rsidR="00F46645">
        <w:rPr>
          <w:rStyle w:val="normaltextrun"/>
          <w:rFonts w:ascii="Arial" w:hAnsi="Arial" w:cs="Arial"/>
        </w:rPr>
        <w:t>(Accessed: 18</w:t>
      </w:r>
      <w:r w:rsidR="00F46645" w:rsidRPr="00F46645">
        <w:rPr>
          <w:rStyle w:val="normaltextrun"/>
          <w:rFonts w:ascii="Arial" w:hAnsi="Arial" w:cs="Arial"/>
          <w:vertAlign w:val="superscript"/>
        </w:rPr>
        <w:t>th</w:t>
      </w:r>
      <w:r w:rsidR="00F46645">
        <w:rPr>
          <w:rStyle w:val="normaltextrun"/>
          <w:rFonts w:ascii="Arial" w:hAnsi="Arial" w:cs="Arial"/>
        </w:rPr>
        <w:t xml:space="preserve"> November 2022)</w:t>
      </w:r>
      <w:r w:rsidR="00F46645" w:rsidRPr="00ED3AB6">
        <w:rPr>
          <w:rStyle w:val="normaltextrun"/>
          <w:rFonts w:ascii="Arial" w:hAnsi="Arial" w:cs="Arial"/>
        </w:rPr>
        <w:t> </w:t>
      </w:r>
      <w:r w:rsidR="00F46645" w:rsidRPr="00ED3AB6">
        <w:rPr>
          <w:rStyle w:val="eop"/>
          <w:rFonts w:ascii="Arial" w:hAnsi="Arial" w:cs="Arial"/>
        </w:rPr>
        <w:t> </w:t>
      </w:r>
    </w:p>
    <w:p w14:paraId="7E97D7F2" w14:textId="77777777"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p>
    <w:p w14:paraId="03C9EB56" w14:textId="20BCD654"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rPr>
      </w:pPr>
      <w:r w:rsidRPr="00ED3AB6">
        <w:rPr>
          <w:rStyle w:val="normaltextrun"/>
          <w:rFonts w:ascii="Arial" w:hAnsi="Arial" w:cs="Arial"/>
        </w:rPr>
        <w:t xml:space="preserve">Ministry of Justice (2016) </w:t>
      </w:r>
      <w:r w:rsidRPr="00F46645">
        <w:rPr>
          <w:rStyle w:val="normaltextrun"/>
          <w:rFonts w:ascii="Arial" w:hAnsi="Arial" w:cs="Arial"/>
          <w:i/>
          <w:iCs/>
        </w:rPr>
        <w:t>Proven reoffending statistics quarterly: July 2013 to June 2014, Table C1b</w:t>
      </w:r>
      <w:r w:rsidRPr="00ED3AB6">
        <w:rPr>
          <w:rStyle w:val="normaltextrun"/>
          <w:rFonts w:ascii="Arial" w:hAnsi="Arial" w:cs="Arial"/>
        </w:rPr>
        <w:t>.</w:t>
      </w:r>
      <w:r w:rsidR="00F46645">
        <w:rPr>
          <w:rStyle w:val="normaltextrun"/>
          <w:rFonts w:ascii="Arial" w:hAnsi="Arial" w:cs="Arial"/>
        </w:rPr>
        <w:t xml:space="preserve"> Available at:</w:t>
      </w:r>
      <w:r w:rsidRPr="00ED3AB6">
        <w:rPr>
          <w:rStyle w:val="normaltextrun"/>
          <w:rFonts w:ascii="Arial" w:hAnsi="Arial" w:cs="Arial"/>
        </w:rPr>
        <w:t xml:space="preserve"> </w:t>
      </w:r>
      <w:hyperlink r:id="rId19" w:history="1">
        <w:r w:rsidRPr="00ED3AB6">
          <w:rPr>
            <w:rStyle w:val="Hyperlink"/>
            <w:rFonts w:ascii="Arial" w:hAnsi="Arial" w:cs="Arial"/>
          </w:rPr>
          <w:t>https://www.gov.uk/government/statistics/proven-reoffending-statistics-quarterly-january-to-december2014</w:t>
        </w:r>
      </w:hyperlink>
      <w:r w:rsidR="00F46645">
        <w:rPr>
          <w:rStyle w:val="Hyperlink"/>
          <w:rFonts w:ascii="Arial" w:hAnsi="Arial" w:cs="Arial"/>
        </w:rPr>
        <w:t xml:space="preserve"> </w:t>
      </w:r>
      <w:r w:rsidR="00F46645">
        <w:rPr>
          <w:rStyle w:val="normaltextrun"/>
          <w:rFonts w:ascii="Arial" w:hAnsi="Arial" w:cs="Arial"/>
        </w:rPr>
        <w:t>(Accessed: 18</w:t>
      </w:r>
      <w:r w:rsidR="00F46645" w:rsidRPr="00F46645">
        <w:rPr>
          <w:rStyle w:val="normaltextrun"/>
          <w:rFonts w:ascii="Arial" w:hAnsi="Arial" w:cs="Arial"/>
          <w:vertAlign w:val="superscript"/>
        </w:rPr>
        <w:t>th</w:t>
      </w:r>
      <w:r w:rsidR="00F46645">
        <w:rPr>
          <w:rStyle w:val="normaltextrun"/>
          <w:rFonts w:ascii="Arial" w:hAnsi="Arial" w:cs="Arial"/>
        </w:rPr>
        <w:t xml:space="preserve"> November 2022)</w:t>
      </w:r>
      <w:r w:rsidR="00F46645" w:rsidRPr="00ED3AB6">
        <w:rPr>
          <w:rStyle w:val="normaltextrun"/>
          <w:rFonts w:ascii="Arial" w:hAnsi="Arial" w:cs="Arial"/>
        </w:rPr>
        <w:t> </w:t>
      </w:r>
      <w:r w:rsidR="00F46645" w:rsidRPr="00ED3AB6">
        <w:rPr>
          <w:rStyle w:val="eop"/>
          <w:rFonts w:ascii="Arial" w:hAnsi="Arial" w:cs="Arial"/>
        </w:rPr>
        <w:t> </w:t>
      </w:r>
    </w:p>
    <w:p w14:paraId="31ABEE8C" w14:textId="77777777"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rPr>
      </w:pPr>
    </w:p>
    <w:p w14:paraId="745602C1" w14:textId="21C5BA51"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r w:rsidRPr="00ED3AB6">
        <w:rPr>
          <w:rStyle w:val="normaltextrun"/>
          <w:rFonts w:ascii="Arial" w:hAnsi="Arial" w:cs="Arial"/>
        </w:rPr>
        <w:t xml:space="preserve">Ministry of Justice and Youth Justice Board (2016) </w:t>
      </w:r>
      <w:r w:rsidRPr="00F46645">
        <w:rPr>
          <w:rStyle w:val="normaltextrun"/>
          <w:rFonts w:ascii="Arial" w:hAnsi="Arial" w:cs="Arial"/>
          <w:i/>
          <w:iCs/>
        </w:rPr>
        <w:t>Youth custody report: September 2016.</w:t>
      </w:r>
      <w:r w:rsidR="00F46645">
        <w:rPr>
          <w:rStyle w:val="normaltextrun"/>
          <w:rFonts w:ascii="Arial" w:hAnsi="Arial" w:cs="Arial"/>
          <w:i/>
          <w:iCs/>
        </w:rPr>
        <w:t xml:space="preserve"> </w:t>
      </w:r>
      <w:r w:rsidR="00F46645">
        <w:rPr>
          <w:rStyle w:val="normaltextrun"/>
          <w:rFonts w:ascii="Arial" w:hAnsi="Arial" w:cs="Arial"/>
        </w:rPr>
        <w:t>Available at:</w:t>
      </w:r>
      <w:r w:rsidRPr="00F46645">
        <w:rPr>
          <w:rStyle w:val="normaltextrun"/>
          <w:rFonts w:ascii="Arial" w:hAnsi="Arial" w:cs="Arial"/>
          <w:i/>
          <w:iCs/>
        </w:rPr>
        <w:t xml:space="preserve"> </w:t>
      </w:r>
      <w:hyperlink r:id="rId20" w:tgtFrame="_blank" w:history="1">
        <w:r w:rsidRPr="00ED3AB6">
          <w:rPr>
            <w:rStyle w:val="normaltextrun"/>
            <w:rFonts w:ascii="Arial" w:hAnsi="Arial" w:cs="Arial"/>
            <w:color w:val="0563C1"/>
          </w:rPr>
          <w:t>https://www.gov.uk/government/statistics/youth-custody-data</w:t>
        </w:r>
      </w:hyperlink>
      <w:r w:rsidRPr="00ED3AB6">
        <w:rPr>
          <w:rStyle w:val="normaltextrun"/>
          <w:rFonts w:ascii="Arial" w:hAnsi="Arial" w:cs="Arial"/>
        </w:rPr>
        <w:t> </w:t>
      </w:r>
      <w:r w:rsidR="00F46645">
        <w:rPr>
          <w:rStyle w:val="normaltextrun"/>
          <w:rFonts w:ascii="Arial" w:hAnsi="Arial" w:cs="Arial"/>
        </w:rPr>
        <w:t xml:space="preserve"> (Accessed: 18</w:t>
      </w:r>
      <w:r w:rsidR="00F46645" w:rsidRPr="00F46645">
        <w:rPr>
          <w:rStyle w:val="normaltextrun"/>
          <w:rFonts w:ascii="Arial" w:hAnsi="Arial" w:cs="Arial"/>
          <w:vertAlign w:val="superscript"/>
        </w:rPr>
        <w:t>th</w:t>
      </w:r>
      <w:r w:rsidR="00F46645">
        <w:rPr>
          <w:rStyle w:val="normaltextrun"/>
          <w:rFonts w:ascii="Arial" w:hAnsi="Arial" w:cs="Arial"/>
        </w:rPr>
        <w:t xml:space="preserve"> November 2022)</w:t>
      </w:r>
      <w:r w:rsidRPr="00ED3AB6">
        <w:rPr>
          <w:rStyle w:val="normaltextrun"/>
          <w:rFonts w:ascii="Arial" w:hAnsi="Arial" w:cs="Arial"/>
        </w:rPr>
        <w:t> </w:t>
      </w:r>
      <w:r w:rsidRPr="00ED3AB6">
        <w:rPr>
          <w:rStyle w:val="eop"/>
          <w:rFonts w:ascii="Arial" w:hAnsi="Arial" w:cs="Arial"/>
        </w:rPr>
        <w:t> </w:t>
      </w:r>
    </w:p>
    <w:p w14:paraId="79D1C6E6" w14:textId="77777777"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p>
    <w:p w14:paraId="22B48F04" w14:textId="7FC85BA3"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r w:rsidRPr="00ED3AB6">
        <w:rPr>
          <w:rStyle w:val="normaltextrun"/>
          <w:rFonts w:ascii="Arial" w:hAnsi="Arial" w:cs="Arial"/>
          <w:shd w:val="clear" w:color="auto" w:fill="FFFFFF"/>
        </w:rPr>
        <w:t>MORI (2001) ‘Youth Survey 2001 for the Youth Justice Board for England and Wales.’ London: Youth Justice Board .</w:t>
      </w:r>
    </w:p>
    <w:p w14:paraId="4470869C" w14:textId="77777777"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p>
    <w:p w14:paraId="03DF4B52" w14:textId="2BE8D508"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r w:rsidRPr="00ED3AB6">
        <w:rPr>
          <w:rStyle w:val="normaltextrun"/>
          <w:rFonts w:ascii="Arial" w:hAnsi="Arial" w:cs="Arial"/>
          <w:shd w:val="clear" w:color="auto" w:fill="FFFFFF"/>
        </w:rPr>
        <w:t>MORI (2002) ‘Youth Survey 2002 for the Youth Justice Board for England and Wales.’ London: Youth Justice Board.</w:t>
      </w:r>
    </w:p>
    <w:p w14:paraId="1E415CE4" w14:textId="77777777" w:rsidR="00771DF6" w:rsidRPr="00ED3AB6" w:rsidRDefault="00771DF6" w:rsidP="00ED3AB6">
      <w:pPr>
        <w:pStyle w:val="paragraph"/>
        <w:spacing w:before="0" w:beforeAutospacing="0" w:after="0" w:afterAutospacing="0" w:line="480" w:lineRule="auto"/>
        <w:textAlignment w:val="baseline"/>
        <w:rPr>
          <w:rStyle w:val="normaltextrun"/>
          <w:rFonts w:ascii="Arial" w:hAnsi="Arial" w:cs="Arial"/>
          <w:shd w:val="clear" w:color="auto" w:fill="FFFFFF"/>
        </w:rPr>
      </w:pPr>
    </w:p>
    <w:p w14:paraId="28594B7A" w14:textId="4C954728"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r w:rsidRPr="00ED3AB6">
        <w:rPr>
          <w:rStyle w:val="normaltextrun"/>
          <w:rFonts w:ascii="Arial" w:hAnsi="Arial" w:cs="Arial"/>
          <w:shd w:val="clear" w:color="auto" w:fill="FFFFFF"/>
        </w:rPr>
        <w:t>MORI (2003) ‘Youth Survey 2003.’ London: Youth Justice Board </w:t>
      </w:r>
      <w:r w:rsidRPr="00ED3AB6">
        <w:rPr>
          <w:rStyle w:val="eop"/>
          <w:rFonts w:ascii="Arial" w:hAnsi="Arial" w:cs="Arial"/>
        </w:rPr>
        <w:t> </w:t>
      </w:r>
    </w:p>
    <w:p w14:paraId="15D7A971" w14:textId="77777777"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p>
    <w:p w14:paraId="04B15420" w14:textId="0D8C1AB6" w:rsidR="00771DF6" w:rsidRPr="00ED3AB6" w:rsidRDefault="00771DF6" w:rsidP="00ED3AB6">
      <w:pPr>
        <w:pStyle w:val="paragraph"/>
        <w:spacing w:before="0" w:beforeAutospacing="0" w:after="0" w:afterAutospacing="0" w:line="480" w:lineRule="auto"/>
        <w:textAlignment w:val="baseline"/>
        <w:rPr>
          <w:rFonts w:ascii="Arial" w:hAnsi="Arial" w:cs="Arial"/>
          <w:shd w:val="clear" w:color="auto" w:fill="FFFFFF"/>
        </w:rPr>
      </w:pPr>
      <w:r w:rsidRPr="00ED3AB6">
        <w:rPr>
          <w:rFonts w:ascii="Arial" w:hAnsi="Arial" w:cs="Arial"/>
          <w:shd w:val="clear" w:color="auto" w:fill="FFFFFF"/>
        </w:rPr>
        <w:t>Muncie, J., (1994). ‘Managing the criminal justice system.’ </w:t>
      </w:r>
      <w:r w:rsidRPr="00ED3AB6">
        <w:rPr>
          <w:rFonts w:ascii="Arial" w:hAnsi="Arial" w:cs="Arial"/>
          <w:i/>
          <w:iCs/>
          <w:shd w:val="clear" w:color="auto" w:fill="FFFFFF"/>
        </w:rPr>
        <w:t>Managing Social Policy</w:t>
      </w:r>
      <w:r w:rsidRPr="00ED3AB6">
        <w:rPr>
          <w:rFonts w:ascii="Arial" w:hAnsi="Arial" w:cs="Arial"/>
          <w:shd w:val="clear" w:color="auto" w:fill="FFFFFF"/>
        </w:rPr>
        <w:t>, pp.115-140.</w:t>
      </w:r>
    </w:p>
    <w:p w14:paraId="52E9769B" w14:textId="77777777" w:rsidR="00771DF6" w:rsidRPr="00ED3AB6" w:rsidRDefault="00771DF6" w:rsidP="00ED3AB6">
      <w:pPr>
        <w:pStyle w:val="paragraph"/>
        <w:spacing w:before="0" w:beforeAutospacing="0" w:after="0" w:afterAutospacing="0" w:line="480" w:lineRule="auto"/>
        <w:textAlignment w:val="baseline"/>
        <w:rPr>
          <w:rFonts w:ascii="Arial" w:hAnsi="Arial" w:cs="Arial"/>
          <w:color w:val="222222"/>
          <w:shd w:val="clear" w:color="auto" w:fill="FFFFFF"/>
        </w:rPr>
      </w:pPr>
    </w:p>
    <w:p w14:paraId="21F50A12" w14:textId="617804E1"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r w:rsidRPr="00ED3AB6">
        <w:rPr>
          <w:rStyle w:val="normaltextrun"/>
          <w:rFonts w:ascii="Arial" w:hAnsi="Arial" w:cs="Arial"/>
          <w:shd w:val="clear" w:color="auto" w:fill="FFFFFF"/>
        </w:rPr>
        <w:t>Nacro (2001)Some Facts about Young People who Offend. London, Nacro</w:t>
      </w:r>
      <w:r w:rsidRPr="00ED3AB6">
        <w:rPr>
          <w:rStyle w:val="eop"/>
          <w:rFonts w:ascii="Arial" w:hAnsi="Arial" w:cs="Arial"/>
        </w:rPr>
        <w:t> </w:t>
      </w:r>
    </w:p>
    <w:p w14:paraId="54600D25" w14:textId="77777777"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p>
    <w:p w14:paraId="50902217" w14:textId="77777777" w:rsidR="00771DF6" w:rsidRPr="00ED3AB6" w:rsidRDefault="00771DF6" w:rsidP="00ED3AB6">
      <w:pPr>
        <w:spacing w:line="480" w:lineRule="auto"/>
        <w:rPr>
          <w:rFonts w:ascii="Arial" w:hAnsi="Arial" w:cs="Arial"/>
          <w:color w:val="333333"/>
          <w:sz w:val="24"/>
          <w:szCs w:val="24"/>
          <w:shd w:val="clear" w:color="auto" w:fill="FFFFFF"/>
        </w:rPr>
      </w:pPr>
      <w:r w:rsidRPr="00ED3AB6">
        <w:rPr>
          <w:rFonts w:ascii="Arial" w:hAnsi="Arial" w:cs="Arial"/>
          <w:sz w:val="24"/>
          <w:szCs w:val="24"/>
          <w:shd w:val="clear" w:color="auto" w:fill="FFFFFF"/>
        </w:rPr>
        <w:t>Parker, H., et al (1987) ‘Under new orders: the redefinition of social work with young offenders.’ </w:t>
      </w:r>
      <w:r w:rsidRPr="00ED3AB6">
        <w:rPr>
          <w:rFonts w:ascii="Arial" w:hAnsi="Arial" w:cs="Arial"/>
          <w:i/>
          <w:iCs/>
          <w:sz w:val="24"/>
          <w:szCs w:val="24"/>
          <w:shd w:val="clear" w:color="auto" w:fill="FFFFFF"/>
        </w:rPr>
        <w:t>The British Journal of Social Work</w:t>
      </w:r>
      <w:r w:rsidRPr="00ED3AB6">
        <w:rPr>
          <w:rFonts w:ascii="Arial" w:hAnsi="Arial" w:cs="Arial"/>
          <w:sz w:val="24"/>
          <w:szCs w:val="24"/>
          <w:shd w:val="clear" w:color="auto" w:fill="FFFFFF"/>
        </w:rPr>
        <w:t>, </w:t>
      </w:r>
      <w:r w:rsidRPr="00ED3AB6">
        <w:rPr>
          <w:rFonts w:ascii="Arial" w:hAnsi="Arial" w:cs="Arial"/>
          <w:i/>
          <w:iCs/>
          <w:sz w:val="24"/>
          <w:szCs w:val="24"/>
          <w:shd w:val="clear" w:color="auto" w:fill="FFFFFF"/>
        </w:rPr>
        <w:t>17</w:t>
      </w:r>
      <w:r w:rsidRPr="00ED3AB6">
        <w:rPr>
          <w:rFonts w:ascii="Arial" w:hAnsi="Arial" w:cs="Arial"/>
          <w:sz w:val="24"/>
          <w:szCs w:val="24"/>
          <w:shd w:val="clear" w:color="auto" w:fill="FFFFFF"/>
        </w:rPr>
        <w:t xml:space="preserve">(1), pp.21-43. DOI: </w:t>
      </w:r>
      <w:hyperlink r:id="rId21" w:history="1">
        <w:r w:rsidRPr="00ED3AB6">
          <w:rPr>
            <w:rStyle w:val="Hyperlink"/>
            <w:rFonts w:ascii="Arial" w:hAnsi="Arial" w:cs="Arial"/>
            <w:color w:val="006FB7"/>
            <w:sz w:val="24"/>
            <w:szCs w:val="24"/>
            <w:bdr w:val="none" w:sz="0" w:space="0" w:color="auto" w:frame="1"/>
            <w:shd w:val="clear" w:color="auto" w:fill="FFFFFF"/>
          </w:rPr>
          <w:t>https://doi.org/10.1093/oxfordjournals.bjsw.a055313</w:t>
        </w:r>
      </w:hyperlink>
    </w:p>
    <w:p w14:paraId="4478A61F" w14:textId="03E52361" w:rsidR="00771DF6" w:rsidRPr="00ED3AB6" w:rsidRDefault="00771DF6" w:rsidP="00ED3AB6">
      <w:pPr>
        <w:pStyle w:val="paragraph"/>
        <w:spacing w:before="0" w:beforeAutospacing="0" w:after="0" w:afterAutospacing="0" w:line="480" w:lineRule="auto"/>
        <w:textAlignment w:val="baseline"/>
        <w:rPr>
          <w:rFonts w:ascii="Arial" w:hAnsi="Arial" w:cs="Arial"/>
        </w:rPr>
      </w:pPr>
      <w:r w:rsidRPr="00ED3AB6">
        <w:rPr>
          <w:rFonts w:ascii="Arial" w:hAnsi="Arial" w:cs="Arial"/>
        </w:rPr>
        <w:t xml:space="preserve">Pitts, J (1992) ‘The End of an Era’, </w:t>
      </w:r>
      <w:r w:rsidRPr="00ED3AB6">
        <w:rPr>
          <w:rFonts w:ascii="Arial" w:hAnsi="Arial" w:cs="Arial"/>
          <w:i/>
          <w:iCs/>
        </w:rPr>
        <w:t>The Howard Journal of Criminal Justice</w:t>
      </w:r>
      <w:r w:rsidRPr="00ED3AB6">
        <w:rPr>
          <w:rFonts w:ascii="Arial" w:hAnsi="Arial" w:cs="Arial"/>
        </w:rPr>
        <w:t xml:space="preserve">, 31(2), pp.133-149. DOI: </w:t>
      </w:r>
      <w:hyperlink r:id="rId22" w:history="1">
        <w:r w:rsidRPr="00ED3AB6">
          <w:rPr>
            <w:rStyle w:val="Hyperlink"/>
            <w:rFonts w:ascii="Arial" w:hAnsi="Arial" w:cs="Arial"/>
          </w:rPr>
          <w:t>https://doi.org/10.1111/j.1468-2311.1992.tb00735.x</w:t>
        </w:r>
      </w:hyperlink>
      <w:r w:rsidRPr="00ED3AB6">
        <w:rPr>
          <w:rFonts w:ascii="Arial" w:hAnsi="Arial" w:cs="Arial"/>
        </w:rPr>
        <w:t xml:space="preserve"> </w:t>
      </w:r>
    </w:p>
    <w:p w14:paraId="088AF90A" w14:textId="77777777" w:rsidR="00771DF6" w:rsidRPr="00ED3AB6" w:rsidRDefault="00771DF6" w:rsidP="00ED3AB6">
      <w:pPr>
        <w:pStyle w:val="paragraph"/>
        <w:spacing w:before="0" w:beforeAutospacing="0" w:after="0" w:afterAutospacing="0" w:line="480" w:lineRule="auto"/>
        <w:textAlignment w:val="baseline"/>
        <w:rPr>
          <w:rFonts w:ascii="Arial" w:hAnsi="Arial" w:cs="Arial"/>
        </w:rPr>
      </w:pPr>
    </w:p>
    <w:p w14:paraId="6389BDF7" w14:textId="56809BF8" w:rsidR="00771DF6" w:rsidRPr="00ED3AB6" w:rsidRDefault="00771DF6" w:rsidP="00ED3AB6">
      <w:pPr>
        <w:pStyle w:val="paragraph"/>
        <w:spacing w:before="0" w:beforeAutospacing="0" w:after="0" w:afterAutospacing="0" w:line="480" w:lineRule="auto"/>
        <w:textAlignment w:val="baseline"/>
        <w:rPr>
          <w:rFonts w:ascii="Arial" w:hAnsi="Arial" w:cs="Arial"/>
        </w:rPr>
      </w:pPr>
      <w:r w:rsidRPr="00ED3AB6">
        <w:rPr>
          <w:rFonts w:ascii="Arial" w:hAnsi="Arial" w:cs="Arial"/>
        </w:rPr>
        <w:t xml:space="preserve">Pratt, J (1989) ‘Corporatism: The Third Model of Juvenile Justice’, </w:t>
      </w:r>
      <w:r w:rsidRPr="00ED3AB6">
        <w:rPr>
          <w:rFonts w:ascii="Arial" w:hAnsi="Arial" w:cs="Arial"/>
          <w:i/>
          <w:iCs/>
        </w:rPr>
        <w:t>The British Journal of Criminology</w:t>
      </w:r>
      <w:r w:rsidRPr="00ED3AB6">
        <w:rPr>
          <w:rFonts w:ascii="Arial" w:hAnsi="Arial" w:cs="Arial"/>
        </w:rPr>
        <w:t xml:space="preserve">, 29(3), pp.236-254. DOI: </w:t>
      </w:r>
      <w:hyperlink r:id="rId23" w:history="1">
        <w:r w:rsidRPr="00ED3AB6">
          <w:rPr>
            <w:rStyle w:val="Hyperlink"/>
            <w:rFonts w:ascii="Arial" w:hAnsi="Arial" w:cs="Arial"/>
          </w:rPr>
          <w:t>https://doi.org/10.1093/oxfordjournals.bjc.a047833</w:t>
        </w:r>
      </w:hyperlink>
      <w:r w:rsidRPr="00ED3AB6">
        <w:rPr>
          <w:rFonts w:ascii="Arial" w:hAnsi="Arial" w:cs="Arial"/>
        </w:rPr>
        <w:t xml:space="preserve"> </w:t>
      </w:r>
    </w:p>
    <w:p w14:paraId="1EEC60CC" w14:textId="77777777" w:rsidR="00771DF6" w:rsidRPr="00ED3AB6" w:rsidRDefault="00771DF6" w:rsidP="00ED3AB6">
      <w:pPr>
        <w:pStyle w:val="paragraph"/>
        <w:spacing w:before="0" w:beforeAutospacing="0" w:after="0" w:afterAutospacing="0" w:line="480" w:lineRule="auto"/>
        <w:textAlignment w:val="baseline"/>
        <w:rPr>
          <w:rFonts w:ascii="Arial" w:hAnsi="Arial" w:cs="Arial"/>
        </w:rPr>
      </w:pPr>
    </w:p>
    <w:p w14:paraId="36498A3E" w14:textId="77777777" w:rsidR="00771DF6" w:rsidRPr="00ED3AB6" w:rsidRDefault="00771DF6" w:rsidP="00ED3AB6">
      <w:pPr>
        <w:spacing w:line="480" w:lineRule="auto"/>
        <w:rPr>
          <w:rFonts w:ascii="Arial" w:hAnsi="Arial" w:cs="Arial"/>
          <w:color w:val="000000"/>
          <w:sz w:val="24"/>
          <w:szCs w:val="24"/>
        </w:rPr>
      </w:pPr>
      <w:r w:rsidRPr="00ED3AB6">
        <w:rPr>
          <w:rFonts w:ascii="Arial" w:hAnsi="Arial" w:cs="Arial"/>
          <w:color w:val="222222"/>
          <w:sz w:val="24"/>
          <w:szCs w:val="24"/>
          <w:shd w:val="clear" w:color="auto" w:fill="FFFFFF"/>
        </w:rPr>
        <w:t xml:space="preserve">Rummens, A., et al (2016) </w:t>
      </w:r>
      <w:r w:rsidRPr="00ED3AB6">
        <w:rPr>
          <w:rFonts w:ascii="Arial" w:hAnsi="Arial" w:cs="Arial"/>
          <w:i/>
          <w:iCs/>
          <w:color w:val="222222"/>
          <w:sz w:val="24"/>
          <w:szCs w:val="24"/>
          <w:shd w:val="clear" w:color="auto" w:fill="FFFFFF"/>
        </w:rPr>
        <w:t>Criteria for the evaluation of crime prevention practices</w:t>
      </w:r>
      <w:r w:rsidRPr="00ED3AB6">
        <w:rPr>
          <w:rFonts w:ascii="Arial" w:hAnsi="Arial" w:cs="Arial"/>
          <w:color w:val="222222"/>
          <w:sz w:val="24"/>
          <w:szCs w:val="24"/>
          <w:shd w:val="clear" w:color="auto" w:fill="FFFFFF"/>
        </w:rPr>
        <w:t xml:space="preserve">. Available at: </w:t>
      </w:r>
      <w:hyperlink r:id="rId24" w:history="1">
        <w:r w:rsidRPr="00ED3AB6">
          <w:rPr>
            <w:rStyle w:val="Hyperlink"/>
            <w:rFonts w:ascii="Arial" w:hAnsi="Arial" w:cs="Arial"/>
            <w:sz w:val="24"/>
            <w:szCs w:val="24"/>
            <w:shd w:val="clear" w:color="auto" w:fill="FFFFFF"/>
          </w:rPr>
          <w:t>https://eucpn.org/sites/default/files/document/files/2016_10_04_eucpn_evaluation_crime_prevention_practices_final_0.pdf</w:t>
        </w:r>
      </w:hyperlink>
      <w:r w:rsidRPr="00ED3AB6">
        <w:rPr>
          <w:rFonts w:ascii="Arial" w:hAnsi="Arial" w:cs="Arial"/>
          <w:color w:val="222222"/>
          <w:sz w:val="24"/>
          <w:szCs w:val="24"/>
          <w:shd w:val="clear" w:color="auto" w:fill="FFFFFF"/>
        </w:rPr>
        <w:t xml:space="preserve"> (Accessed:25</w:t>
      </w:r>
      <w:r w:rsidRPr="00ED3AB6">
        <w:rPr>
          <w:rFonts w:ascii="Arial" w:hAnsi="Arial" w:cs="Arial"/>
          <w:color w:val="222222"/>
          <w:sz w:val="24"/>
          <w:szCs w:val="24"/>
          <w:shd w:val="clear" w:color="auto" w:fill="FFFFFF"/>
          <w:vertAlign w:val="superscript"/>
        </w:rPr>
        <w:t>th</w:t>
      </w:r>
      <w:r w:rsidRPr="00ED3AB6">
        <w:rPr>
          <w:rFonts w:ascii="Arial" w:hAnsi="Arial" w:cs="Arial"/>
          <w:color w:val="222222"/>
          <w:sz w:val="24"/>
          <w:szCs w:val="24"/>
          <w:shd w:val="clear" w:color="auto" w:fill="FFFFFF"/>
        </w:rPr>
        <w:t xml:space="preserve"> November 2022) </w:t>
      </w:r>
    </w:p>
    <w:p w14:paraId="3E493A60" w14:textId="6D4A3491" w:rsidR="00771DF6" w:rsidRPr="00ED3AB6" w:rsidRDefault="00771DF6" w:rsidP="00ED3AB6">
      <w:pPr>
        <w:pStyle w:val="paragraph"/>
        <w:spacing w:before="0" w:beforeAutospacing="0" w:after="0" w:afterAutospacing="0" w:line="480" w:lineRule="auto"/>
        <w:textAlignment w:val="baseline"/>
        <w:rPr>
          <w:rFonts w:ascii="Arial" w:hAnsi="Arial" w:cs="Arial"/>
          <w:shd w:val="clear" w:color="auto" w:fill="FFFFFF"/>
        </w:rPr>
      </w:pPr>
      <w:r w:rsidRPr="00ED3AB6">
        <w:rPr>
          <w:rFonts w:ascii="Arial" w:hAnsi="Arial" w:cs="Arial"/>
          <w:shd w:val="clear" w:color="auto" w:fill="FFFFFF"/>
        </w:rPr>
        <w:t>Rutherford, A., (1994). </w:t>
      </w:r>
      <w:r w:rsidRPr="00ED3AB6">
        <w:rPr>
          <w:rFonts w:ascii="Arial" w:hAnsi="Arial" w:cs="Arial"/>
          <w:i/>
          <w:iCs/>
          <w:shd w:val="clear" w:color="auto" w:fill="FFFFFF"/>
        </w:rPr>
        <w:t>Criminal justice and the pursuit of decency</w:t>
      </w:r>
      <w:r w:rsidRPr="00ED3AB6">
        <w:rPr>
          <w:rFonts w:ascii="Arial" w:hAnsi="Arial" w:cs="Arial"/>
          <w:shd w:val="clear" w:color="auto" w:fill="FFFFFF"/>
        </w:rPr>
        <w:t>. Waterside Press.</w:t>
      </w:r>
    </w:p>
    <w:p w14:paraId="52CFA34C" w14:textId="77777777" w:rsidR="00771DF6" w:rsidRPr="00ED3AB6" w:rsidRDefault="00771DF6" w:rsidP="00ED3AB6">
      <w:pPr>
        <w:pStyle w:val="paragraph"/>
        <w:spacing w:before="0" w:beforeAutospacing="0" w:after="0" w:afterAutospacing="0" w:line="480" w:lineRule="auto"/>
        <w:textAlignment w:val="baseline"/>
        <w:rPr>
          <w:rFonts w:ascii="Arial" w:hAnsi="Arial" w:cs="Arial"/>
          <w:color w:val="222222"/>
          <w:shd w:val="clear" w:color="auto" w:fill="FFFFFF"/>
        </w:rPr>
      </w:pPr>
    </w:p>
    <w:p w14:paraId="1A514427" w14:textId="77777777" w:rsidR="00771DF6" w:rsidRPr="00ED3AB6" w:rsidRDefault="00771DF6" w:rsidP="00ED3AB6">
      <w:pPr>
        <w:spacing w:line="480" w:lineRule="auto"/>
        <w:rPr>
          <w:rFonts w:ascii="Arial" w:hAnsi="Arial" w:cs="Arial"/>
          <w:sz w:val="24"/>
          <w:szCs w:val="24"/>
        </w:rPr>
      </w:pPr>
      <w:r w:rsidRPr="00ED3AB6">
        <w:rPr>
          <w:rFonts w:ascii="Arial" w:hAnsi="Arial" w:cs="Arial"/>
          <w:sz w:val="24"/>
          <w:szCs w:val="24"/>
        </w:rPr>
        <w:t xml:space="preserve">Taylor, C (2016) </w:t>
      </w:r>
      <w:r w:rsidRPr="00ED3AB6">
        <w:rPr>
          <w:rFonts w:ascii="Arial" w:hAnsi="Arial" w:cs="Arial"/>
          <w:i/>
          <w:iCs/>
          <w:sz w:val="24"/>
          <w:szCs w:val="24"/>
        </w:rPr>
        <w:t xml:space="preserve">Review of the Youth Justice System in England and Wales. </w:t>
      </w:r>
      <w:r w:rsidRPr="00ED3AB6">
        <w:rPr>
          <w:rFonts w:ascii="Arial" w:hAnsi="Arial" w:cs="Arial"/>
          <w:sz w:val="24"/>
          <w:szCs w:val="24"/>
        </w:rPr>
        <w:t xml:space="preserve">Available at: </w:t>
      </w:r>
      <w:hyperlink r:id="rId25" w:history="1">
        <w:r w:rsidRPr="00ED3AB6">
          <w:rPr>
            <w:rStyle w:val="Hyperlink"/>
            <w:rFonts w:ascii="Arial" w:hAnsi="Arial" w:cs="Arial"/>
            <w:sz w:val="24"/>
            <w:szCs w:val="24"/>
          </w:rPr>
          <w:t>Review of the Youth Justice System (allianceofsport.org)</w:t>
        </w:r>
      </w:hyperlink>
      <w:r w:rsidRPr="00ED3AB6">
        <w:rPr>
          <w:rFonts w:ascii="Arial" w:hAnsi="Arial" w:cs="Arial"/>
          <w:sz w:val="24"/>
          <w:szCs w:val="24"/>
        </w:rPr>
        <w:t xml:space="preserve"> (Accessed: 19</w:t>
      </w:r>
      <w:r w:rsidRPr="00ED3AB6">
        <w:rPr>
          <w:rFonts w:ascii="Arial" w:hAnsi="Arial" w:cs="Arial"/>
          <w:sz w:val="24"/>
          <w:szCs w:val="24"/>
          <w:vertAlign w:val="superscript"/>
        </w:rPr>
        <w:t>th</w:t>
      </w:r>
      <w:r w:rsidRPr="00ED3AB6">
        <w:rPr>
          <w:rFonts w:ascii="Arial" w:hAnsi="Arial" w:cs="Arial"/>
          <w:sz w:val="24"/>
          <w:szCs w:val="24"/>
        </w:rPr>
        <w:t xml:space="preserve"> November 2022)</w:t>
      </w:r>
    </w:p>
    <w:p w14:paraId="3AB04663" w14:textId="77777777" w:rsidR="00771DF6" w:rsidRPr="00ED3AB6" w:rsidRDefault="00771DF6" w:rsidP="00ED3AB6">
      <w:pPr>
        <w:spacing w:line="480" w:lineRule="auto"/>
        <w:rPr>
          <w:rFonts w:ascii="Arial" w:hAnsi="Arial" w:cs="Arial"/>
          <w:sz w:val="24"/>
          <w:szCs w:val="24"/>
        </w:rPr>
      </w:pPr>
      <w:r w:rsidRPr="00ED3AB6">
        <w:rPr>
          <w:rFonts w:ascii="Arial" w:hAnsi="Arial" w:cs="Arial"/>
          <w:sz w:val="24"/>
          <w:szCs w:val="24"/>
          <w:shd w:val="clear" w:color="auto" w:fill="FFFFFF"/>
        </w:rPr>
        <w:t>Tilley, N., (2013). Introduction: thinking realistically about crime prevention. In </w:t>
      </w:r>
      <w:r w:rsidRPr="00ED3AB6">
        <w:rPr>
          <w:rFonts w:ascii="Arial" w:hAnsi="Arial" w:cs="Arial"/>
          <w:i/>
          <w:iCs/>
          <w:sz w:val="24"/>
          <w:szCs w:val="24"/>
          <w:shd w:val="clear" w:color="auto" w:fill="FFFFFF"/>
        </w:rPr>
        <w:t>Handbook of crime prevention and community safety</w:t>
      </w:r>
      <w:r w:rsidRPr="00ED3AB6">
        <w:rPr>
          <w:rFonts w:ascii="Arial" w:hAnsi="Arial" w:cs="Arial"/>
          <w:sz w:val="24"/>
          <w:szCs w:val="24"/>
          <w:shd w:val="clear" w:color="auto" w:fill="FFFFFF"/>
        </w:rPr>
        <w:t> (pp. 29-39). Willan.</w:t>
      </w:r>
    </w:p>
    <w:p w14:paraId="178922FA" w14:textId="77777777" w:rsidR="00771DF6" w:rsidRPr="00ED3AB6" w:rsidRDefault="00771DF6" w:rsidP="00ED3AB6">
      <w:pPr>
        <w:spacing w:line="480" w:lineRule="auto"/>
        <w:rPr>
          <w:rFonts w:ascii="Arial" w:hAnsi="Arial" w:cs="Arial"/>
          <w:color w:val="000000"/>
          <w:sz w:val="24"/>
          <w:szCs w:val="24"/>
        </w:rPr>
      </w:pPr>
      <w:r w:rsidRPr="00ED3AB6">
        <w:rPr>
          <w:rFonts w:ascii="Arial" w:hAnsi="Arial" w:cs="Arial"/>
          <w:color w:val="000000"/>
          <w:sz w:val="24"/>
          <w:szCs w:val="24"/>
        </w:rPr>
        <w:t>Tonry M.,  and Farrington D. (1995). </w:t>
      </w:r>
      <w:r w:rsidRPr="00ED3AB6">
        <w:rPr>
          <w:rStyle w:val="Emphasis"/>
          <w:rFonts w:ascii="Arial" w:hAnsi="Arial" w:cs="Arial"/>
          <w:color w:val="000000"/>
          <w:sz w:val="24"/>
          <w:szCs w:val="24"/>
        </w:rPr>
        <w:t>Building a safer society: Strategic approaches to crime prevention. Vol. 19 of crime and justice: A review of research</w:t>
      </w:r>
      <w:r w:rsidRPr="00ED3AB6">
        <w:rPr>
          <w:rFonts w:ascii="Arial" w:hAnsi="Arial" w:cs="Arial"/>
          <w:color w:val="000000"/>
          <w:sz w:val="24"/>
          <w:szCs w:val="24"/>
        </w:rPr>
        <w:t>. Chicago, IL: University of Chicago Press</w:t>
      </w:r>
    </w:p>
    <w:p w14:paraId="030F9097" w14:textId="77777777" w:rsidR="00771DF6" w:rsidRPr="00ED3AB6" w:rsidRDefault="00771DF6" w:rsidP="00ED3AB6">
      <w:pPr>
        <w:spacing w:line="480" w:lineRule="auto"/>
        <w:rPr>
          <w:rFonts w:ascii="Arial" w:hAnsi="Arial" w:cs="Arial"/>
          <w:color w:val="222222"/>
          <w:sz w:val="24"/>
          <w:szCs w:val="24"/>
          <w:shd w:val="clear" w:color="auto" w:fill="FFFFFF"/>
        </w:rPr>
      </w:pPr>
      <w:r w:rsidRPr="00ED3AB6">
        <w:rPr>
          <w:rFonts w:ascii="Arial" w:hAnsi="Arial" w:cs="Arial"/>
          <w:sz w:val="24"/>
          <w:szCs w:val="24"/>
          <w:shd w:val="clear" w:color="auto" w:fill="FFFFFF"/>
        </w:rPr>
        <w:t xml:space="preserve">Walker, J., et al (2007). </w:t>
      </w:r>
      <w:r w:rsidRPr="00ED3AB6">
        <w:rPr>
          <w:rFonts w:ascii="Arial" w:hAnsi="Arial" w:cs="Arial"/>
          <w:i/>
          <w:iCs/>
          <w:sz w:val="24"/>
          <w:szCs w:val="24"/>
          <w:shd w:val="clear" w:color="auto" w:fill="FFFFFF"/>
        </w:rPr>
        <w:t xml:space="preserve">Youth Inclusion and Support Panels: Preventing crime and antisocial behaviour. </w:t>
      </w:r>
      <w:r w:rsidRPr="00ED3AB6">
        <w:rPr>
          <w:rFonts w:ascii="Arial" w:hAnsi="Arial" w:cs="Arial"/>
          <w:sz w:val="24"/>
          <w:szCs w:val="24"/>
          <w:shd w:val="clear" w:color="auto" w:fill="FFFFFF"/>
        </w:rPr>
        <w:t xml:space="preserve">Available at: </w:t>
      </w:r>
      <w:hyperlink r:id="rId26" w:history="1">
        <w:r w:rsidRPr="00ED3AB6">
          <w:rPr>
            <w:rStyle w:val="Hyperlink"/>
            <w:rFonts w:ascii="Arial" w:hAnsi="Arial" w:cs="Arial"/>
            <w:sz w:val="24"/>
            <w:szCs w:val="24"/>
            <w:shd w:val="clear" w:color="auto" w:fill="FFFFFF"/>
          </w:rPr>
          <w:t>https://eprints.ncl.ac.uk/file_store/production/154553/D8F051D6-9FCB-49F5-91E9-5028E7B2E8C0.pdf</w:t>
        </w:r>
      </w:hyperlink>
      <w:r w:rsidRPr="00ED3AB6">
        <w:rPr>
          <w:rFonts w:ascii="Arial" w:hAnsi="Arial" w:cs="Arial"/>
          <w:color w:val="222222"/>
          <w:sz w:val="24"/>
          <w:szCs w:val="24"/>
          <w:shd w:val="clear" w:color="auto" w:fill="FFFFFF"/>
        </w:rPr>
        <w:t xml:space="preserve">  (Accessed: 25</w:t>
      </w:r>
      <w:r w:rsidRPr="00ED3AB6">
        <w:rPr>
          <w:rFonts w:ascii="Arial" w:hAnsi="Arial" w:cs="Arial"/>
          <w:color w:val="222222"/>
          <w:sz w:val="24"/>
          <w:szCs w:val="24"/>
          <w:shd w:val="clear" w:color="auto" w:fill="FFFFFF"/>
          <w:vertAlign w:val="superscript"/>
        </w:rPr>
        <w:t>th</w:t>
      </w:r>
      <w:r w:rsidRPr="00ED3AB6">
        <w:rPr>
          <w:rFonts w:ascii="Arial" w:hAnsi="Arial" w:cs="Arial"/>
          <w:color w:val="222222"/>
          <w:sz w:val="24"/>
          <w:szCs w:val="24"/>
          <w:shd w:val="clear" w:color="auto" w:fill="FFFFFF"/>
        </w:rPr>
        <w:t xml:space="preserve"> November 2022)</w:t>
      </w:r>
    </w:p>
    <w:p w14:paraId="072A9413" w14:textId="77777777" w:rsidR="00771DF6" w:rsidRPr="00ED3AB6" w:rsidRDefault="00771DF6" w:rsidP="00ED3AB6">
      <w:pPr>
        <w:spacing w:line="480" w:lineRule="auto"/>
        <w:rPr>
          <w:rFonts w:ascii="Arial" w:hAnsi="Arial" w:cs="Arial"/>
          <w:color w:val="000000"/>
          <w:sz w:val="24"/>
          <w:szCs w:val="24"/>
        </w:rPr>
      </w:pPr>
      <w:r w:rsidRPr="00ED3AB6">
        <w:rPr>
          <w:rFonts w:ascii="Arial" w:hAnsi="Arial" w:cs="Arial"/>
          <w:color w:val="000000"/>
          <w:sz w:val="24"/>
          <w:szCs w:val="24"/>
        </w:rPr>
        <w:t>Waller I.,  and Weiler, R. (1984). </w:t>
      </w:r>
      <w:r w:rsidRPr="00ED3AB6">
        <w:rPr>
          <w:rStyle w:val="Emphasis"/>
          <w:rFonts w:ascii="Arial" w:hAnsi="Arial" w:cs="Arial"/>
          <w:color w:val="000000"/>
          <w:sz w:val="24"/>
          <w:szCs w:val="24"/>
        </w:rPr>
        <w:t>Crime prevention through social development: An overview with sources</w:t>
      </w:r>
      <w:r w:rsidRPr="00ED3AB6">
        <w:rPr>
          <w:rFonts w:ascii="Arial" w:hAnsi="Arial" w:cs="Arial"/>
          <w:color w:val="000000"/>
          <w:sz w:val="24"/>
          <w:szCs w:val="24"/>
        </w:rPr>
        <w:t>. Ottawa, Canada: Canadian Council on Social Development.</w:t>
      </w:r>
    </w:p>
    <w:p w14:paraId="077F5E9F" w14:textId="77777777" w:rsidR="00771DF6" w:rsidRPr="00ED3AB6" w:rsidRDefault="00771DF6" w:rsidP="00ED3AB6">
      <w:pPr>
        <w:pStyle w:val="paragraph"/>
        <w:spacing w:before="0" w:beforeAutospacing="0" w:after="0" w:afterAutospacing="0" w:line="480" w:lineRule="auto"/>
        <w:textAlignment w:val="baseline"/>
        <w:rPr>
          <w:rStyle w:val="eop"/>
          <w:rFonts w:ascii="Arial" w:hAnsi="Arial" w:cs="Arial"/>
        </w:rPr>
      </w:pPr>
      <w:r w:rsidRPr="00ED3AB6">
        <w:rPr>
          <w:rStyle w:val="normaltextrun"/>
          <w:rFonts w:ascii="Arial" w:hAnsi="Arial" w:cs="Arial"/>
          <w:shd w:val="clear" w:color="auto" w:fill="FFFFFF"/>
        </w:rPr>
        <w:t>Young,  J. (1999)The  Exclusive  Society:  Social  Exclusion,  Crime  and  Difference  in Late Modernity. London, Sage.</w:t>
      </w:r>
      <w:r w:rsidRPr="00ED3AB6">
        <w:rPr>
          <w:rStyle w:val="eop"/>
          <w:rFonts w:ascii="Arial" w:hAnsi="Arial" w:cs="Arial"/>
        </w:rPr>
        <w:t> </w:t>
      </w:r>
    </w:p>
    <w:p w14:paraId="3C5DA955" w14:textId="77777777" w:rsidR="00771DF6" w:rsidRPr="00ED3AB6" w:rsidRDefault="00771DF6" w:rsidP="00ED3AB6">
      <w:pPr>
        <w:spacing w:line="480" w:lineRule="auto"/>
        <w:rPr>
          <w:rFonts w:ascii="Arial" w:hAnsi="Arial" w:cs="Arial"/>
          <w:sz w:val="24"/>
          <w:szCs w:val="24"/>
          <w:shd w:val="clear" w:color="auto" w:fill="FFFFFF"/>
        </w:rPr>
      </w:pPr>
      <w:r w:rsidRPr="00ED3AB6">
        <w:rPr>
          <w:rFonts w:ascii="Arial" w:hAnsi="Arial" w:cs="Arial"/>
          <w:sz w:val="24"/>
          <w:szCs w:val="24"/>
          <w:shd w:val="clear" w:color="auto" w:fill="FFFFFF"/>
        </w:rPr>
        <w:t xml:space="preserve">Youth Justice Board (2007) </w:t>
      </w:r>
      <w:r w:rsidRPr="00ED3AB6">
        <w:rPr>
          <w:rFonts w:ascii="Arial" w:hAnsi="Arial" w:cs="Arial"/>
          <w:i/>
          <w:iCs/>
          <w:sz w:val="24"/>
          <w:szCs w:val="24"/>
          <w:shd w:val="clear" w:color="auto" w:fill="FFFFFF"/>
        </w:rPr>
        <w:t>Towards A Youth Crime Prevention Strategy</w:t>
      </w:r>
      <w:r w:rsidRPr="00ED3AB6">
        <w:rPr>
          <w:rFonts w:ascii="Arial" w:hAnsi="Arial" w:cs="Arial"/>
          <w:sz w:val="24"/>
          <w:szCs w:val="24"/>
          <w:shd w:val="clear" w:color="auto" w:fill="FFFFFF"/>
        </w:rPr>
        <w:t xml:space="preserve">. Available at: </w:t>
      </w:r>
      <w:hyperlink r:id="rId27" w:history="1">
        <w:r w:rsidRPr="00ED3AB6">
          <w:rPr>
            <w:rStyle w:val="Hyperlink"/>
            <w:rFonts w:ascii="Arial" w:hAnsi="Arial" w:cs="Arial"/>
            <w:sz w:val="24"/>
            <w:szCs w:val="24"/>
            <w:shd w:val="clear" w:color="auto" w:fill="FFFFFF"/>
          </w:rPr>
          <w:t>http://childreninthecjs.pbworks.com/w/file/fetch/55469907/TowardsAYouthCrimePreventionStrategy.pdf</w:t>
        </w:r>
      </w:hyperlink>
      <w:r w:rsidRPr="00ED3AB6">
        <w:rPr>
          <w:rFonts w:ascii="Arial" w:hAnsi="Arial" w:cs="Arial"/>
          <w:color w:val="333333"/>
          <w:sz w:val="24"/>
          <w:szCs w:val="24"/>
          <w:shd w:val="clear" w:color="auto" w:fill="FFFFFF"/>
        </w:rPr>
        <w:t xml:space="preserve">  </w:t>
      </w:r>
      <w:r w:rsidRPr="00ED3AB6">
        <w:rPr>
          <w:rFonts w:ascii="Arial" w:hAnsi="Arial" w:cs="Arial"/>
          <w:sz w:val="24"/>
          <w:szCs w:val="24"/>
          <w:shd w:val="clear" w:color="auto" w:fill="FFFFFF"/>
        </w:rPr>
        <w:t>(Accessed: 23</w:t>
      </w:r>
      <w:r w:rsidRPr="00ED3AB6">
        <w:rPr>
          <w:rFonts w:ascii="Arial" w:hAnsi="Arial" w:cs="Arial"/>
          <w:sz w:val="24"/>
          <w:szCs w:val="24"/>
          <w:shd w:val="clear" w:color="auto" w:fill="FFFFFF"/>
          <w:vertAlign w:val="superscript"/>
        </w:rPr>
        <w:t>rd</w:t>
      </w:r>
      <w:r w:rsidRPr="00ED3AB6">
        <w:rPr>
          <w:rFonts w:ascii="Arial" w:hAnsi="Arial" w:cs="Arial"/>
          <w:sz w:val="24"/>
          <w:szCs w:val="24"/>
          <w:shd w:val="clear" w:color="auto" w:fill="FFFFFF"/>
        </w:rPr>
        <w:t xml:space="preserve"> November 2022)</w:t>
      </w:r>
    </w:p>
    <w:sectPr w:rsidR="00771DF6" w:rsidRPr="00ED3AB6" w:rsidSect="00AC6E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D0073"/>
    <w:multiLevelType w:val="multilevel"/>
    <w:tmpl w:val="CC22C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A717CD"/>
    <w:multiLevelType w:val="multilevel"/>
    <w:tmpl w:val="9698A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D6642B"/>
    <w:multiLevelType w:val="multilevel"/>
    <w:tmpl w:val="3D94C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76588243">
    <w:abstractNumId w:val="1"/>
  </w:num>
  <w:num w:numId="2" w16cid:durableId="981688884">
    <w:abstractNumId w:val="0"/>
  </w:num>
  <w:num w:numId="3" w16cid:durableId="11313621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DC9"/>
    <w:rsid w:val="00086DC9"/>
    <w:rsid w:val="000A7FA9"/>
    <w:rsid w:val="000E34F5"/>
    <w:rsid w:val="001953EC"/>
    <w:rsid w:val="0026461D"/>
    <w:rsid w:val="002B315D"/>
    <w:rsid w:val="002E40D0"/>
    <w:rsid w:val="00352715"/>
    <w:rsid w:val="00391D4E"/>
    <w:rsid w:val="003932EE"/>
    <w:rsid w:val="003D4CDB"/>
    <w:rsid w:val="00440FCB"/>
    <w:rsid w:val="004461F6"/>
    <w:rsid w:val="004914CF"/>
    <w:rsid w:val="004C1ECD"/>
    <w:rsid w:val="005322E7"/>
    <w:rsid w:val="00570E04"/>
    <w:rsid w:val="00571D99"/>
    <w:rsid w:val="00585846"/>
    <w:rsid w:val="005A2C05"/>
    <w:rsid w:val="005C5EBC"/>
    <w:rsid w:val="005E61C5"/>
    <w:rsid w:val="006076A8"/>
    <w:rsid w:val="0066765A"/>
    <w:rsid w:val="006E70DA"/>
    <w:rsid w:val="00771DF6"/>
    <w:rsid w:val="00865532"/>
    <w:rsid w:val="008A325E"/>
    <w:rsid w:val="009463F9"/>
    <w:rsid w:val="0097243C"/>
    <w:rsid w:val="00A14585"/>
    <w:rsid w:val="00A25790"/>
    <w:rsid w:val="00A623B4"/>
    <w:rsid w:val="00AC6E11"/>
    <w:rsid w:val="00B07E1A"/>
    <w:rsid w:val="00BD3B6C"/>
    <w:rsid w:val="00C71F71"/>
    <w:rsid w:val="00DC71C3"/>
    <w:rsid w:val="00ED3AB6"/>
    <w:rsid w:val="00F46645"/>
    <w:rsid w:val="00F8441D"/>
    <w:rsid w:val="00FA0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6410A"/>
  <w15:chartTrackingRefBased/>
  <w15:docId w15:val="{41A82E87-B2C4-481B-9E47-819549755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86D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86DC9"/>
  </w:style>
  <w:style w:type="character" w:customStyle="1" w:styleId="eop">
    <w:name w:val="eop"/>
    <w:basedOn w:val="DefaultParagraphFont"/>
    <w:rsid w:val="00086DC9"/>
  </w:style>
  <w:style w:type="character" w:styleId="Hyperlink">
    <w:name w:val="Hyperlink"/>
    <w:basedOn w:val="DefaultParagraphFont"/>
    <w:uiPriority w:val="99"/>
    <w:unhideWhenUsed/>
    <w:rsid w:val="00086DC9"/>
    <w:rPr>
      <w:color w:val="0563C1" w:themeColor="hyperlink"/>
      <w:u w:val="single"/>
    </w:rPr>
  </w:style>
  <w:style w:type="character" w:styleId="UnresolvedMention">
    <w:name w:val="Unresolved Mention"/>
    <w:basedOn w:val="DefaultParagraphFont"/>
    <w:uiPriority w:val="99"/>
    <w:semiHidden/>
    <w:unhideWhenUsed/>
    <w:rsid w:val="00086DC9"/>
    <w:rPr>
      <w:color w:val="605E5C"/>
      <w:shd w:val="clear" w:color="auto" w:fill="E1DFDD"/>
    </w:rPr>
  </w:style>
  <w:style w:type="character" w:styleId="Emphasis">
    <w:name w:val="Emphasis"/>
    <w:basedOn w:val="DefaultParagraphFont"/>
    <w:uiPriority w:val="20"/>
    <w:qFormat/>
    <w:rsid w:val="003D4CDB"/>
    <w:rPr>
      <w:i/>
      <w:iCs/>
    </w:rPr>
  </w:style>
  <w:style w:type="paragraph" w:styleId="NoSpacing">
    <w:name w:val="No Spacing"/>
    <w:link w:val="NoSpacingChar"/>
    <w:uiPriority w:val="1"/>
    <w:qFormat/>
    <w:rsid w:val="00AC6E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6E11"/>
    <w:rPr>
      <w:rFonts w:eastAsiaTheme="minorEastAsia"/>
      <w:lang w:val="en-US"/>
    </w:rPr>
  </w:style>
  <w:style w:type="character" w:customStyle="1" w:styleId="citation">
    <w:name w:val="citation"/>
    <w:basedOn w:val="DefaultParagraphFont"/>
    <w:rsid w:val="000A7F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556074">
      <w:bodyDiv w:val="1"/>
      <w:marLeft w:val="0"/>
      <w:marRight w:val="0"/>
      <w:marTop w:val="0"/>
      <w:marBottom w:val="0"/>
      <w:divBdr>
        <w:top w:val="none" w:sz="0" w:space="0" w:color="auto"/>
        <w:left w:val="none" w:sz="0" w:space="0" w:color="auto"/>
        <w:bottom w:val="none" w:sz="0" w:space="0" w:color="auto"/>
        <w:right w:val="none" w:sz="0" w:space="0" w:color="auto"/>
      </w:divBdr>
      <w:divsChild>
        <w:div w:id="273094580">
          <w:marLeft w:val="0"/>
          <w:marRight w:val="0"/>
          <w:marTop w:val="0"/>
          <w:marBottom w:val="0"/>
          <w:divBdr>
            <w:top w:val="none" w:sz="0" w:space="0" w:color="auto"/>
            <w:left w:val="none" w:sz="0" w:space="0" w:color="auto"/>
            <w:bottom w:val="none" w:sz="0" w:space="0" w:color="auto"/>
            <w:right w:val="none" w:sz="0" w:space="0" w:color="auto"/>
          </w:divBdr>
        </w:div>
        <w:div w:id="1767117272">
          <w:marLeft w:val="0"/>
          <w:marRight w:val="0"/>
          <w:marTop w:val="0"/>
          <w:marBottom w:val="0"/>
          <w:divBdr>
            <w:top w:val="none" w:sz="0" w:space="0" w:color="auto"/>
            <w:left w:val="none" w:sz="0" w:space="0" w:color="auto"/>
            <w:bottom w:val="none" w:sz="0" w:space="0" w:color="auto"/>
            <w:right w:val="none" w:sz="0" w:space="0" w:color="auto"/>
          </w:divBdr>
        </w:div>
      </w:divsChild>
    </w:div>
    <w:div w:id="1363558683">
      <w:bodyDiv w:val="1"/>
      <w:marLeft w:val="0"/>
      <w:marRight w:val="0"/>
      <w:marTop w:val="0"/>
      <w:marBottom w:val="0"/>
      <w:divBdr>
        <w:top w:val="none" w:sz="0" w:space="0" w:color="auto"/>
        <w:left w:val="none" w:sz="0" w:space="0" w:color="auto"/>
        <w:bottom w:val="none" w:sz="0" w:space="0" w:color="auto"/>
        <w:right w:val="none" w:sz="0" w:space="0" w:color="auto"/>
      </w:divBdr>
    </w:div>
    <w:div w:id="1895266024">
      <w:bodyDiv w:val="1"/>
      <w:marLeft w:val="0"/>
      <w:marRight w:val="0"/>
      <w:marTop w:val="0"/>
      <w:marBottom w:val="0"/>
      <w:divBdr>
        <w:top w:val="none" w:sz="0" w:space="0" w:color="auto"/>
        <w:left w:val="none" w:sz="0" w:space="0" w:color="auto"/>
        <w:bottom w:val="none" w:sz="0" w:space="0" w:color="auto"/>
        <w:right w:val="none" w:sz="0" w:space="0" w:color="auto"/>
      </w:divBdr>
      <w:divsChild>
        <w:div w:id="914625409">
          <w:marLeft w:val="0"/>
          <w:marRight w:val="0"/>
          <w:marTop w:val="0"/>
          <w:marBottom w:val="0"/>
          <w:divBdr>
            <w:top w:val="none" w:sz="0" w:space="0" w:color="auto"/>
            <w:left w:val="none" w:sz="0" w:space="0" w:color="auto"/>
            <w:bottom w:val="none" w:sz="0" w:space="0" w:color="auto"/>
            <w:right w:val="none" w:sz="0" w:space="0" w:color="auto"/>
          </w:divBdr>
        </w:div>
        <w:div w:id="1535072080">
          <w:marLeft w:val="0"/>
          <w:marRight w:val="0"/>
          <w:marTop w:val="0"/>
          <w:marBottom w:val="0"/>
          <w:divBdr>
            <w:top w:val="none" w:sz="0" w:space="0" w:color="auto"/>
            <w:left w:val="none" w:sz="0" w:space="0" w:color="auto"/>
            <w:bottom w:val="none" w:sz="0" w:space="0" w:color="auto"/>
            <w:right w:val="none" w:sz="0" w:space="0" w:color="auto"/>
          </w:divBdr>
        </w:div>
        <w:div w:id="1082795747">
          <w:marLeft w:val="0"/>
          <w:marRight w:val="0"/>
          <w:marTop w:val="0"/>
          <w:marBottom w:val="0"/>
          <w:divBdr>
            <w:top w:val="none" w:sz="0" w:space="0" w:color="auto"/>
            <w:left w:val="none" w:sz="0" w:space="0" w:color="auto"/>
            <w:bottom w:val="none" w:sz="0" w:space="0" w:color="auto"/>
            <w:right w:val="none" w:sz="0" w:space="0" w:color="auto"/>
          </w:divBdr>
        </w:div>
        <w:div w:id="1696148886">
          <w:marLeft w:val="0"/>
          <w:marRight w:val="0"/>
          <w:marTop w:val="0"/>
          <w:marBottom w:val="0"/>
          <w:divBdr>
            <w:top w:val="none" w:sz="0" w:space="0" w:color="auto"/>
            <w:left w:val="none" w:sz="0" w:space="0" w:color="auto"/>
            <w:bottom w:val="none" w:sz="0" w:space="0" w:color="auto"/>
            <w:right w:val="none" w:sz="0" w:space="0" w:color="auto"/>
          </w:divBdr>
        </w:div>
        <w:div w:id="1907761324">
          <w:marLeft w:val="0"/>
          <w:marRight w:val="0"/>
          <w:marTop w:val="0"/>
          <w:marBottom w:val="0"/>
          <w:divBdr>
            <w:top w:val="none" w:sz="0" w:space="0" w:color="auto"/>
            <w:left w:val="none" w:sz="0" w:space="0" w:color="auto"/>
            <w:bottom w:val="none" w:sz="0" w:space="0" w:color="auto"/>
            <w:right w:val="none" w:sz="0" w:space="0" w:color="auto"/>
          </w:divBdr>
        </w:div>
        <w:div w:id="2049912523">
          <w:marLeft w:val="0"/>
          <w:marRight w:val="0"/>
          <w:marTop w:val="0"/>
          <w:marBottom w:val="0"/>
          <w:divBdr>
            <w:top w:val="none" w:sz="0" w:space="0" w:color="auto"/>
            <w:left w:val="none" w:sz="0" w:space="0" w:color="auto"/>
            <w:bottom w:val="none" w:sz="0" w:space="0" w:color="auto"/>
            <w:right w:val="none" w:sz="0" w:space="0" w:color="auto"/>
          </w:divBdr>
        </w:div>
        <w:div w:id="683093928">
          <w:marLeft w:val="0"/>
          <w:marRight w:val="0"/>
          <w:marTop w:val="0"/>
          <w:marBottom w:val="0"/>
          <w:divBdr>
            <w:top w:val="none" w:sz="0" w:space="0" w:color="auto"/>
            <w:left w:val="none" w:sz="0" w:space="0" w:color="auto"/>
            <w:bottom w:val="none" w:sz="0" w:space="0" w:color="auto"/>
            <w:right w:val="none" w:sz="0" w:space="0" w:color="auto"/>
          </w:divBdr>
        </w:div>
        <w:div w:id="1534149807">
          <w:marLeft w:val="0"/>
          <w:marRight w:val="0"/>
          <w:marTop w:val="0"/>
          <w:marBottom w:val="0"/>
          <w:divBdr>
            <w:top w:val="none" w:sz="0" w:space="0" w:color="auto"/>
            <w:left w:val="none" w:sz="0" w:space="0" w:color="auto"/>
            <w:bottom w:val="none" w:sz="0" w:space="0" w:color="auto"/>
            <w:right w:val="none" w:sz="0" w:space="0" w:color="auto"/>
          </w:divBdr>
        </w:div>
        <w:div w:id="215819118">
          <w:marLeft w:val="0"/>
          <w:marRight w:val="0"/>
          <w:marTop w:val="0"/>
          <w:marBottom w:val="0"/>
          <w:divBdr>
            <w:top w:val="none" w:sz="0" w:space="0" w:color="auto"/>
            <w:left w:val="none" w:sz="0" w:space="0" w:color="auto"/>
            <w:bottom w:val="none" w:sz="0" w:space="0" w:color="auto"/>
            <w:right w:val="none" w:sz="0" w:space="0" w:color="auto"/>
          </w:divBdr>
        </w:div>
        <w:div w:id="1485007195">
          <w:marLeft w:val="0"/>
          <w:marRight w:val="0"/>
          <w:marTop w:val="0"/>
          <w:marBottom w:val="0"/>
          <w:divBdr>
            <w:top w:val="none" w:sz="0" w:space="0" w:color="auto"/>
            <w:left w:val="none" w:sz="0" w:space="0" w:color="auto"/>
            <w:bottom w:val="none" w:sz="0" w:space="0" w:color="auto"/>
            <w:right w:val="none" w:sz="0" w:space="0" w:color="auto"/>
          </w:divBdr>
        </w:div>
        <w:div w:id="1994605113">
          <w:marLeft w:val="0"/>
          <w:marRight w:val="0"/>
          <w:marTop w:val="0"/>
          <w:marBottom w:val="0"/>
          <w:divBdr>
            <w:top w:val="none" w:sz="0" w:space="0" w:color="auto"/>
            <w:left w:val="none" w:sz="0" w:space="0" w:color="auto"/>
            <w:bottom w:val="none" w:sz="0" w:space="0" w:color="auto"/>
            <w:right w:val="none" w:sz="0" w:space="0" w:color="auto"/>
          </w:divBdr>
        </w:div>
        <w:div w:id="730615515">
          <w:marLeft w:val="0"/>
          <w:marRight w:val="0"/>
          <w:marTop w:val="0"/>
          <w:marBottom w:val="0"/>
          <w:divBdr>
            <w:top w:val="none" w:sz="0" w:space="0" w:color="auto"/>
            <w:left w:val="none" w:sz="0" w:space="0" w:color="auto"/>
            <w:bottom w:val="none" w:sz="0" w:space="0" w:color="auto"/>
            <w:right w:val="none" w:sz="0" w:space="0" w:color="auto"/>
          </w:divBdr>
        </w:div>
        <w:div w:id="1369530911">
          <w:marLeft w:val="0"/>
          <w:marRight w:val="0"/>
          <w:marTop w:val="0"/>
          <w:marBottom w:val="0"/>
          <w:divBdr>
            <w:top w:val="none" w:sz="0" w:space="0" w:color="auto"/>
            <w:left w:val="none" w:sz="0" w:space="0" w:color="auto"/>
            <w:bottom w:val="none" w:sz="0" w:space="0" w:color="auto"/>
            <w:right w:val="none" w:sz="0" w:space="0" w:color="auto"/>
          </w:divBdr>
        </w:div>
        <w:div w:id="1721173228">
          <w:marLeft w:val="0"/>
          <w:marRight w:val="0"/>
          <w:marTop w:val="0"/>
          <w:marBottom w:val="0"/>
          <w:divBdr>
            <w:top w:val="none" w:sz="0" w:space="0" w:color="auto"/>
            <w:left w:val="none" w:sz="0" w:space="0" w:color="auto"/>
            <w:bottom w:val="none" w:sz="0" w:space="0" w:color="auto"/>
            <w:right w:val="none" w:sz="0" w:space="0" w:color="auto"/>
          </w:divBdr>
        </w:div>
        <w:div w:id="1602715479">
          <w:marLeft w:val="0"/>
          <w:marRight w:val="0"/>
          <w:marTop w:val="0"/>
          <w:marBottom w:val="0"/>
          <w:divBdr>
            <w:top w:val="none" w:sz="0" w:space="0" w:color="auto"/>
            <w:left w:val="none" w:sz="0" w:space="0" w:color="auto"/>
            <w:bottom w:val="none" w:sz="0" w:space="0" w:color="auto"/>
            <w:right w:val="none" w:sz="0" w:space="0" w:color="auto"/>
          </w:divBdr>
        </w:div>
        <w:div w:id="1311711613">
          <w:marLeft w:val="0"/>
          <w:marRight w:val="0"/>
          <w:marTop w:val="0"/>
          <w:marBottom w:val="0"/>
          <w:divBdr>
            <w:top w:val="none" w:sz="0" w:space="0" w:color="auto"/>
            <w:left w:val="none" w:sz="0" w:space="0" w:color="auto"/>
            <w:bottom w:val="none" w:sz="0" w:space="0" w:color="auto"/>
            <w:right w:val="none" w:sz="0" w:space="0" w:color="auto"/>
          </w:divBdr>
        </w:div>
        <w:div w:id="1267618918">
          <w:marLeft w:val="0"/>
          <w:marRight w:val="0"/>
          <w:marTop w:val="0"/>
          <w:marBottom w:val="0"/>
          <w:divBdr>
            <w:top w:val="none" w:sz="0" w:space="0" w:color="auto"/>
            <w:left w:val="none" w:sz="0" w:space="0" w:color="auto"/>
            <w:bottom w:val="none" w:sz="0" w:space="0" w:color="auto"/>
            <w:right w:val="none" w:sz="0" w:space="0" w:color="auto"/>
          </w:divBdr>
        </w:div>
        <w:div w:id="1661998543">
          <w:marLeft w:val="0"/>
          <w:marRight w:val="0"/>
          <w:marTop w:val="0"/>
          <w:marBottom w:val="0"/>
          <w:divBdr>
            <w:top w:val="none" w:sz="0" w:space="0" w:color="auto"/>
            <w:left w:val="none" w:sz="0" w:space="0" w:color="auto"/>
            <w:bottom w:val="none" w:sz="0" w:space="0" w:color="auto"/>
            <w:right w:val="none" w:sz="0" w:space="0" w:color="auto"/>
          </w:divBdr>
        </w:div>
        <w:div w:id="1105150228">
          <w:marLeft w:val="0"/>
          <w:marRight w:val="0"/>
          <w:marTop w:val="0"/>
          <w:marBottom w:val="0"/>
          <w:divBdr>
            <w:top w:val="none" w:sz="0" w:space="0" w:color="auto"/>
            <w:left w:val="none" w:sz="0" w:space="0" w:color="auto"/>
            <w:bottom w:val="none" w:sz="0" w:space="0" w:color="auto"/>
            <w:right w:val="none" w:sz="0" w:space="0" w:color="auto"/>
          </w:divBdr>
          <w:divsChild>
            <w:div w:id="708921201">
              <w:marLeft w:val="0"/>
              <w:marRight w:val="0"/>
              <w:marTop w:val="0"/>
              <w:marBottom w:val="0"/>
              <w:divBdr>
                <w:top w:val="none" w:sz="0" w:space="0" w:color="auto"/>
                <w:left w:val="none" w:sz="0" w:space="0" w:color="auto"/>
                <w:bottom w:val="none" w:sz="0" w:space="0" w:color="auto"/>
                <w:right w:val="none" w:sz="0" w:space="0" w:color="auto"/>
              </w:divBdr>
            </w:div>
            <w:div w:id="1529217655">
              <w:marLeft w:val="0"/>
              <w:marRight w:val="0"/>
              <w:marTop w:val="0"/>
              <w:marBottom w:val="0"/>
              <w:divBdr>
                <w:top w:val="none" w:sz="0" w:space="0" w:color="auto"/>
                <w:left w:val="none" w:sz="0" w:space="0" w:color="auto"/>
                <w:bottom w:val="none" w:sz="0" w:space="0" w:color="auto"/>
                <w:right w:val="none" w:sz="0" w:space="0" w:color="auto"/>
              </w:divBdr>
            </w:div>
            <w:div w:id="1441604769">
              <w:marLeft w:val="0"/>
              <w:marRight w:val="0"/>
              <w:marTop w:val="0"/>
              <w:marBottom w:val="0"/>
              <w:divBdr>
                <w:top w:val="none" w:sz="0" w:space="0" w:color="auto"/>
                <w:left w:val="none" w:sz="0" w:space="0" w:color="auto"/>
                <w:bottom w:val="none" w:sz="0" w:space="0" w:color="auto"/>
                <w:right w:val="none" w:sz="0" w:space="0" w:color="auto"/>
              </w:divBdr>
            </w:div>
          </w:divsChild>
        </w:div>
        <w:div w:id="1882742134">
          <w:marLeft w:val="0"/>
          <w:marRight w:val="0"/>
          <w:marTop w:val="0"/>
          <w:marBottom w:val="0"/>
          <w:divBdr>
            <w:top w:val="none" w:sz="0" w:space="0" w:color="auto"/>
            <w:left w:val="none" w:sz="0" w:space="0" w:color="auto"/>
            <w:bottom w:val="none" w:sz="0" w:space="0" w:color="auto"/>
            <w:right w:val="none" w:sz="0" w:space="0" w:color="auto"/>
          </w:divBdr>
          <w:divsChild>
            <w:div w:id="1101800421">
              <w:marLeft w:val="0"/>
              <w:marRight w:val="0"/>
              <w:marTop w:val="0"/>
              <w:marBottom w:val="0"/>
              <w:divBdr>
                <w:top w:val="none" w:sz="0" w:space="0" w:color="auto"/>
                <w:left w:val="none" w:sz="0" w:space="0" w:color="auto"/>
                <w:bottom w:val="none" w:sz="0" w:space="0" w:color="auto"/>
                <w:right w:val="none" w:sz="0" w:space="0" w:color="auto"/>
              </w:divBdr>
            </w:div>
            <w:div w:id="474415895">
              <w:marLeft w:val="0"/>
              <w:marRight w:val="0"/>
              <w:marTop w:val="0"/>
              <w:marBottom w:val="0"/>
              <w:divBdr>
                <w:top w:val="none" w:sz="0" w:space="0" w:color="auto"/>
                <w:left w:val="none" w:sz="0" w:space="0" w:color="auto"/>
                <w:bottom w:val="none" w:sz="0" w:space="0" w:color="auto"/>
                <w:right w:val="none" w:sz="0" w:space="0" w:color="auto"/>
              </w:divBdr>
            </w:div>
            <w:div w:id="1143624436">
              <w:marLeft w:val="0"/>
              <w:marRight w:val="0"/>
              <w:marTop w:val="0"/>
              <w:marBottom w:val="0"/>
              <w:divBdr>
                <w:top w:val="none" w:sz="0" w:space="0" w:color="auto"/>
                <w:left w:val="none" w:sz="0" w:space="0" w:color="auto"/>
                <w:bottom w:val="none" w:sz="0" w:space="0" w:color="auto"/>
                <w:right w:val="none" w:sz="0" w:space="0" w:color="auto"/>
              </w:divBdr>
            </w:div>
          </w:divsChild>
        </w:div>
        <w:div w:id="928123038">
          <w:marLeft w:val="0"/>
          <w:marRight w:val="0"/>
          <w:marTop w:val="0"/>
          <w:marBottom w:val="0"/>
          <w:divBdr>
            <w:top w:val="none" w:sz="0" w:space="0" w:color="auto"/>
            <w:left w:val="none" w:sz="0" w:space="0" w:color="auto"/>
            <w:bottom w:val="none" w:sz="0" w:space="0" w:color="auto"/>
            <w:right w:val="none" w:sz="0" w:space="0" w:color="auto"/>
          </w:divBdr>
          <w:divsChild>
            <w:div w:id="512230682">
              <w:marLeft w:val="0"/>
              <w:marRight w:val="0"/>
              <w:marTop w:val="0"/>
              <w:marBottom w:val="0"/>
              <w:divBdr>
                <w:top w:val="none" w:sz="0" w:space="0" w:color="auto"/>
                <w:left w:val="none" w:sz="0" w:space="0" w:color="auto"/>
                <w:bottom w:val="none" w:sz="0" w:space="0" w:color="auto"/>
                <w:right w:val="none" w:sz="0" w:space="0" w:color="auto"/>
              </w:divBdr>
            </w:div>
          </w:divsChild>
        </w:div>
        <w:div w:id="763188257">
          <w:marLeft w:val="0"/>
          <w:marRight w:val="0"/>
          <w:marTop w:val="0"/>
          <w:marBottom w:val="0"/>
          <w:divBdr>
            <w:top w:val="none" w:sz="0" w:space="0" w:color="auto"/>
            <w:left w:val="none" w:sz="0" w:space="0" w:color="auto"/>
            <w:bottom w:val="none" w:sz="0" w:space="0" w:color="auto"/>
            <w:right w:val="none" w:sz="0" w:space="0" w:color="auto"/>
          </w:divBdr>
        </w:div>
        <w:div w:id="458036465">
          <w:marLeft w:val="0"/>
          <w:marRight w:val="0"/>
          <w:marTop w:val="0"/>
          <w:marBottom w:val="0"/>
          <w:divBdr>
            <w:top w:val="none" w:sz="0" w:space="0" w:color="auto"/>
            <w:left w:val="none" w:sz="0" w:space="0" w:color="auto"/>
            <w:bottom w:val="none" w:sz="0" w:space="0" w:color="auto"/>
            <w:right w:val="none" w:sz="0" w:space="0" w:color="auto"/>
          </w:divBdr>
        </w:div>
        <w:div w:id="1892305958">
          <w:marLeft w:val="0"/>
          <w:marRight w:val="0"/>
          <w:marTop w:val="0"/>
          <w:marBottom w:val="0"/>
          <w:divBdr>
            <w:top w:val="none" w:sz="0" w:space="0" w:color="auto"/>
            <w:left w:val="none" w:sz="0" w:space="0" w:color="auto"/>
            <w:bottom w:val="none" w:sz="0" w:space="0" w:color="auto"/>
            <w:right w:val="none" w:sz="0" w:space="0" w:color="auto"/>
          </w:divBdr>
        </w:div>
        <w:div w:id="1653607365">
          <w:marLeft w:val="0"/>
          <w:marRight w:val="0"/>
          <w:marTop w:val="0"/>
          <w:marBottom w:val="0"/>
          <w:divBdr>
            <w:top w:val="none" w:sz="0" w:space="0" w:color="auto"/>
            <w:left w:val="none" w:sz="0" w:space="0" w:color="auto"/>
            <w:bottom w:val="none" w:sz="0" w:space="0" w:color="auto"/>
            <w:right w:val="none" w:sz="0" w:space="0" w:color="auto"/>
          </w:divBdr>
        </w:div>
        <w:div w:id="17974560">
          <w:marLeft w:val="0"/>
          <w:marRight w:val="0"/>
          <w:marTop w:val="0"/>
          <w:marBottom w:val="0"/>
          <w:divBdr>
            <w:top w:val="none" w:sz="0" w:space="0" w:color="auto"/>
            <w:left w:val="none" w:sz="0" w:space="0" w:color="auto"/>
            <w:bottom w:val="none" w:sz="0" w:space="0" w:color="auto"/>
            <w:right w:val="none" w:sz="0" w:space="0" w:color="auto"/>
          </w:divBdr>
        </w:div>
        <w:div w:id="151453845">
          <w:marLeft w:val="0"/>
          <w:marRight w:val="0"/>
          <w:marTop w:val="0"/>
          <w:marBottom w:val="0"/>
          <w:divBdr>
            <w:top w:val="none" w:sz="0" w:space="0" w:color="auto"/>
            <w:left w:val="none" w:sz="0" w:space="0" w:color="auto"/>
            <w:bottom w:val="none" w:sz="0" w:space="0" w:color="auto"/>
            <w:right w:val="none" w:sz="0" w:space="0" w:color="auto"/>
          </w:divBdr>
        </w:div>
        <w:div w:id="1470896486">
          <w:marLeft w:val="0"/>
          <w:marRight w:val="0"/>
          <w:marTop w:val="0"/>
          <w:marBottom w:val="0"/>
          <w:divBdr>
            <w:top w:val="none" w:sz="0" w:space="0" w:color="auto"/>
            <w:left w:val="none" w:sz="0" w:space="0" w:color="auto"/>
            <w:bottom w:val="none" w:sz="0" w:space="0" w:color="auto"/>
            <w:right w:val="none" w:sz="0" w:space="0" w:color="auto"/>
          </w:divBdr>
        </w:div>
        <w:div w:id="2018338266">
          <w:marLeft w:val="0"/>
          <w:marRight w:val="0"/>
          <w:marTop w:val="0"/>
          <w:marBottom w:val="0"/>
          <w:divBdr>
            <w:top w:val="none" w:sz="0" w:space="0" w:color="auto"/>
            <w:left w:val="none" w:sz="0" w:space="0" w:color="auto"/>
            <w:bottom w:val="none" w:sz="0" w:space="0" w:color="auto"/>
            <w:right w:val="none" w:sz="0" w:space="0" w:color="auto"/>
          </w:divBdr>
        </w:div>
        <w:div w:id="227034142">
          <w:marLeft w:val="0"/>
          <w:marRight w:val="0"/>
          <w:marTop w:val="0"/>
          <w:marBottom w:val="0"/>
          <w:divBdr>
            <w:top w:val="none" w:sz="0" w:space="0" w:color="auto"/>
            <w:left w:val="none" w:sz="0" w:space="0" w:color="auto"/>
            <w:bottom w:val="none" w:sz="0" w:space="0" w:color="auto"/>
            <w:right w:val="none" w:sz="0" w:space="0" w:color="auto"/>
          </w:divBdr>
        </w:div>
        <w:div w:id="1404258217">
          <w:marLeft w:val="0"/>
          <w:marRight w:val="0"/>
          <w:marTop w:val="0"/>
          <w:marBottom w:val="0"/>
          <w:divBdr>
            <w:top w:val="none" w:sz="0" w:space="0" w:color="auto"/>
            <w:left w:val="none" w:sz="0" w:space="0" w:color="auto"/>
            <w:bottom w:val="none" w:sz="0" w:space="0" w:color="auto"/>
            <w:right w:val="none" w:sz="0" w:space="0" w:color="auto"/>
          </w:divBdr>
        </w:div>
        <w:div w:id="1235317807">
          <w:marLeft w:val="0"/>
          <w:marRight w:val="0"/>
          <w:marTop w:val="0"/>
          <w:marBottom w:val="0"/>
          <w:divBdr>
            <w:top w:val="none" w:sz="0" w:space="0" w:color="auto"/>
            <w:left w:val="none" w:sz="0" w:space="0" w:color="auto"/>
            <w:bottom w:val="none" w:sz="0" w:space="0" w:color="auto"/>
            <w:right w:val="none" w:sz="0" w:space="0" w:color="auto"/>
          </w:divBdr>
        </w:div>
        <w:div w:id="1237595085">
          <w:marLeft w:val="0"/>
          <w:marRight w:val="0"/>
          <w:marTop w:val="0"/>
          <w:marBottom w:val="0"/>
          <w:divBdr>
            <w:top w:val="none" w:sz="0" w:space="0" w:color="auto"/>
            <w:left w:val="none" w:sz="0" w:space="0" w:color="auto"/>
            <w:bottom w:val="none" w:sz="0" w:space="0" w:color="auto"/>
            <w:right w:val="none" w:sz="0" w:space="0" w:color="auto"/>
          </w:divBdr>
        </w:div>
        <w:div w:id="1705642446">
          <w:marLeft w:val="0"/>
          <w:marRight w:val="0"/>
          <w:marTop w:val="0"/>
          <w:marBottom w:val="0"/>
          <w:divBdr>
            <w:top w:val="none" w:sz="0" w:space="0" w:color="auto"/>
            <w:left w:val="none" w:sz="0" w:space="0" w:color="auto"/>
            <w:bottom w:val="none" w:sz="0" w:space="0" w:color="auto"/>
            <w:right w:val="none" w:sz="0" w:space="0" w:color="auto"/>
          </w:divBdr>
        </w:div>
        <w:div w:id="662511311">
          <w:marLeft w:val="0"/>
          <w:marRight w:val="0"/>
          <w:marTop w:val="0"/>
          <w:marBottom w:val="0"/>
          <w:divBdr>
            <w:top w:val="none" w:sz="0" w:space="0" w:color="auto"/>
            <w:left w:val="none" w:sz="0" w:space="0" w:color="auto"/>
            <w:bottom w:val="none" w:sz="0" w:space="0" w:color="auto"/>
            <w:right w:val="none" w:sz="0" w:space="0" w:color="auto"/>
          </w:divBdr>
        </w:div>
        <w:div w:id="188178716">
          <w:marLeft w:val="0"/>
          <w:marRight w:val="0"/>
          <w:marTop w:val="0"/>
          <w:marBottom w:val="0"/>
          <w:divBdr>
            <w:top w:val="none" w:sz="0" w:space="0" w:color="auto"/>
            <w:left w:val="none" w:sz="0" w:space="0" w:color="auto"/>
            <w:bottom w:val="none" w:sz="0" w:space="0" w:color="auto"/>
            <w:right w:val="none" w:sz="0" w:space="0" w:color="auto"/>
          </w:divBdr>
        </w:div>
        <w:div w:id="389888369">
          <w:marLeft w:val="0"/>
          <w:marRight w:val="0"/>
          <w:marTop w:val="0"/>
          <w:marBottom w:val="0"/>
          <w:divBdr>
            <w:top w:val="none" w:sz="0" w:space="0" w:color="auto"/>
            <w:left w:val="none" w:sz="0" w:space="0" w:color="auto"/>
            <w:bottom w:val="none" w:sz="0" w:space="0" w:color="auto"/>
            <w:right w:val="none" w:sz="0" w:space="0" w:color="auto"/>
          </w:divBdr>
        </w:div>
        <w:div w:id="940457937">
          <w:marLeft w:val="0"/>
          <w:marRight w:val="0"/>
          <w:marTop w:val="0"/>
          <w:marBottom w:val="0"/>
          <w:divBdr>
            <w:top w:val="none" w:sz="0" w:space="0" w:color="auto"/>
            <w:left w:val="none" w:sz="0" w:space="0" w:color="auto"/>
            <w:bottom w:val="none" w:sz="0" w:space="0" w:color="auto"/>
            <w:right w:val="none" w:sz="0" w:space="0" w:color="auto"/>
          </w:divBdr>
        </w:div>
        <w:div w:id="1572277507">
          <w:marLeft w:val="0"/>
          <w:marRight w:val="0"/>
          <w:marTop w:val="0"/>
          <w:marBottom w:val="0"/>
          <w:divBdr>
            <w:top w:val="none" w:sz="0" w:space="0" w:color="auto"/>
            <w:left w:val="none" w:sz="0" w:space="0" w:color="auto"/>
            <w:bottom w:val="none" w:sz="0" w:space="0" w:color="auto"/>
            <w:right w:val="none" w:sz="0" w:space="0" w:color="auto"/>
          </w:divBdr>
        </w:div>
        <w:div w:id="994839742">
          <w:marLeft w:val="0"/>
          <w:marRight w:val="0"/>
          <w:marTop w:val="0"/>
          <w:marBottom w:val="0"/>
          <w:divBdr>
            <w:top w:val="none" w:sz="0" w:space="0" w:color="auto"/>
            <w:left w:val="none" w:sz="0" w:space="0" w:color="auto"/>
            <w:bottom w:val="none" w:sz="0" w:space="0" w:color="auto"/>
            <w:right w:val="none" w:sz="0" w:space="0" w:color="auto"/>
          </w:divBdr>
        </w:div>
        <w:div w:id="1434473306">
          <w:marLeft w:val="0"/>
          <w:marRight w:val="0"/>
          <w:marTop w:val="0"/>
          <w:marBottom w:val="0"/>
          <w:divBdr>
            <w:top w:val="none" w:sz="0" w:space="0" w:color="auto"/>
            <w:left w:val="none" w:sz="0" w:space="0" w:color="auto"/>
            <w:bottom w:val="none" w:sz="0" w:space="0" w:color="auto"/>
            <w:right w:val="none" w:sz="0" w:space="0" w:color="auto"/>
          </w:divBdr>
        </w:div>
        <w:div w:id="1276862278">
          <w:marLeft w:val="0"/>
          <w:marRight w:val="0"/>
          <w:marTop w:val="0"/>
          <w:marBottom w:val="0"/>
          <w:divBdr>
            <w:top w:val="none" w:sz="0" w:space="0" w:color="auto"/>
            <w:left w:val="none" w:sz="0" w:space="0" w:color="auto"/>
            <w:bottom w:val="none" w:sz="0" w:space="0" w:color="auto"/>
            <w:right w:val="none" w:sz="0" w:space="0" w:color="auto"/>
          </w:divBdr>
        </w:div>
        <w:div w:id="335885388">
          <w:marLeft w:val="0"/>
          <w:marRight w:val="0"/>
          <w:marTop w:val="0"/>
          <w:marBottom w:val="0"/>
          <w:divBdr>
            <w:top w:val="none" w:sz="0" w:space="0" w:color="auto"/>
            <w:left w:val="none" w:sz="0" w:space="0" w:color="auto"/>
            <w:bottom w:val="none" w:sz="0" w:space="0" w:color="auto"/>
            <w:right w:val="none" w:sz="0" w:space="0" w:color="auto"/>
          </w:divBdr>
        </w:div>
        <w:div w:id="1285039710">
          <w:marLeft w:val="0"/>
          <w:marRight w:val="0"/>
          <w:marTop w:val="0"/>
          <w:marBottom w:val="0"/>
          <w:divBdr>
            <w:top w:val="none" w:sz="0" w:space="0" w:color="auto"/>
            <w:left w:val="none" w:sz="0" w:space="0" w:color="auto"/>
            <w:bottom w:val="none" w:sz="0" w:space="0" w:color="auto"/>
            <w:right w:val="none" w:sz="0" w:space="0" w:color="auto"/>
          </w:divBdr>
        </w:div>
        <w:div w:id="2025475722">
          <w:marLeft w:val="0"/>
          <w:marRight w:val="0"/>
          <w:marTop w:val="0"/>
          <w:marBottom w:val="0"/>
          <w:divBdr>
            <w:top w:val="none" w:sz="0" w:space="0" w:color="auto"/>
            <w:left w:val="none" w:sz="0" w:space="0" w:color="auto"/>
            <w:bottom w:val="none" w:sz="0" w:space="0" w:color="auto"/>
            <w:right w:val="none" w:sz="0" w:space="0" w:color="auto"/>
          </w:divBdr>
        </w:div>
        <w:div w:id="855457652">
          <w:marLeft w:val="0"/>
          <w:marRight w:val="0"/>
          <w:marTop w:val="0"/>
          <w:marBottom w:val="0"/>
          <w:divBdr>
            <w:top w:val="none" w:sz="0" w:space="0" w:color="auto"/>
            <w:left w:val="none" w:sz="0" w:space="0" w:color="auto"/>
            <w:bottom w:val="none" w:sz="0" w:space="0" w:color="auto"/>
            <w:right w:val="none" w:sz="0" w:space="0" w:color="auto"/>
          </w:divBdr>
        </w:div>
        <w:div w:id="1822623841">
          <w:marLeft w:val="0"/>
          <w:marRight w:val="0"/>
          <w:marTop w:val="0"/>
          <w:marBottom w:val="0"/>
          <w:divBdr>
            <w:top w:val="none" w:sz="0" w:space="0" w:color="auto"/>
            <w:left w:val="none" w:sz="0" w:space="0" w:color="auto"/>
            <w:bottom w:val="none" w:sz="0" w:space="0" w:color="auto"/>
            <w:right w:val="none" w:sz="0" w:space="0" w:color="auto"/>
          </w:divBdr>
        </w:div>
        <w:div w:id="2049379611">
          <w:marLeft w:val="0"/>
          <w:marRight w:val="0"/>
          <w:marTop w:val="0"/>
          <w:marBottom w:val="0"/>
          <w:divBdr>
            <w:top w:val="none" w:sz="0" w:space="0" w:color="auto"/>
            <w:left w:val="none" w:sz="0" w:space="0" w:color="auto"/>
            <w:bottom w:val="none" w:sz="0" w:space="0" w:color="auto"/>
            <w:right w:val="none" w:sz="0" w:space="0" w:color="auto"/>
          </w:divBdr>
        </w:div>
        <w:div w:id="1399011072">
          <w:marLeft w:val="0"/>
          <w:marRight w:val="0"/>
          <w:marTop w:val="0"/>
          <w:marBottom w:val="0"/>
          <w:divBdr>
            <w:top w:val="none" w:sz="0" w:space="0" w:color="auto"/>
            <w:left w:val="none" w:sz="0" w:space="0" w:color="auto"/>
            <w:bottom w:val="none" w:sz="0" w:space="0" w:color="auto"/>
            <w:right w:val="none" w:sz="0" w:space="0" w:color="auto"/>
          </w:divBdr>
        </w:div>
        <w:div w:id="577061238">
          <w:marLeft w:val="0"/>
          <w:marRight w:val="0"/>
          <w:marTop w:val="0"/>
          <w:marBottom w:val="0"/>
          <w:divBdr>
            <w:top w:val="none" w:sz="0" w:space="0" w:color="auto"/>
            <w:left w:val="none" w:sz="0" w:space="0" w:color="auto"/>
            <w:bottom w:val="none" w:sz="0" w:space="0" w:color="auto"/>
            <w:right w:val="none" w:sz="0" w:space="0" w:color="auto"/>
          </w:divBdr>
        </w:div>
        <w:div w:id="1945846562">
          <w:marLeft w:val="0"/>
          <w:marRight w:val="0"/>
          <w:marTop w:val="0"/>
          <w:marBottom w:val="0"/>
          <w:divBdr>
            <w:top w:val="none" w:sz="0" w:space="0" w:color="auto"/>
            <w:left w:val="none" w:sz="0" w:space="0" w:color="auto"/>
            <w:bottom w:val="none" w:sz="0" w:space="0" w:color="auto"/>
            <w:right w:val="none" w:sz="0" w:space="0" w:color="auto"/>
          </w:divBdr>
        </w:div>
        <w:div w:id="386688425">
          <w:marLeft w:val="0"/>
          <w:marRight w:val="0"/>
          <w:marTop w:val="0"/>
          <w:marBottom w:val="0"/>
          <w:divBdr>
            <w:top w:val="none" w:sz="0" w:space="0" w:color="auto"/>
            <w:left w:val="none" w:sz="0" w:space="0" w:color="auto"/>
            <w:bottom w:val="none" w:sz="0" w:space="0" w:color="auto"/>
            <w:right w:val="none" w:sz="0" w:space="0" w:color="auto"/>
          </w:divBdr>
        </w:div>
        <w:div w:id="514733676">
          <w:marLeft w:val="0"/>
          <w:marRight w:val="0"/>
          <w:marTop w:val="0"/>
          <w:marBottom w:val="0"/>
          <w:divBdr>
            <w:top w:val="none" w:sz="0" w:space="0" w:color="auto"/>
            <w:left w:val="none" w:sz="0" w:space="0" w:color="auto"/>
            <w:bottom w:val="none" w:sz="0" w:space="0" w:color="auto"/>
            <w:right w:val="none" w:sz="0" w:space="0" w:color="auto"/>
          </w:divBdr>
        </w:div>
        <w:div w:id="1827504022">
          <w:marLeft w:val="0"/>
          <w:marRight w:val="0"/>
          <w:marTop w:val="0"/>
          <w:marBottom w:val="0"/>
          <w:divBdr>
            <w:top w:val="none" w:sz="0" w:space="0" w:color="auto"/>
            <w:left w:val="none" w:sz="0" w:space="0" w:color="auto"/>
            <w:bottom w:val="none" w:sz="0" w:space="0" w:color="auto"/>
            <w:right w:val="none" w:sz="0" w:space="0" w:color="auto"/>
          </w:divBdr>
        </w:div>
        <w:div w:id="1586375896">
          <w:marLeft w:val="0"/>
          <w:marRight w:val="0"/>
          <w:marTop w:val="0"/>
          <w:marBottom w:val="0"/>
          <w:divBdr>
            <w:top w:val="none" w:sz="0" w:space="0" w:color="auto"/>
            <w:left w:val="none" w:sz="0" w:space="0" w:color="auto"/>
            <w:bottom w:val="none" w:sz="0" w:space="0" w:color="auto"/>
            <w:right w:val="none" w:sz="0" w:space="0" w:color="auto"/>
          </w:divBdr>
        </w:div>
        <w:div w:id="32537314">
          <w:marLeft w:val="0"/>
          <w:marRight w:val="0"/>
          <w:marTop w:val="0"/>
          <w:marBottom w:val="0"/>
          <w:divBdr>
            <w:top w:val="none" w:sz="0" w:space="0" w:color="auto"/>
            <w:left w:val="none" w:sz="0" w:space="0" w:color="auto"/>
            <w:bottom w:val="none" w:sz="0" w:space="0" w:color="auto"/>
            <w:right w:val="none" w:sz="0" w:space="0" w:color="auto"/>
          </w:divBdr>
        </w:div>
        <w:div w:id="1437675585">
          <w:marLeft w:val="0"/>
          <w:marRight w:val="0"/>
          <w:marTop w:val="0"/>
          <w:marBottom w:val="0"/>
          <w:divBdr>
            <w:top w:val="none" w:sz="0" w:space="0" w:color="auto"/>
            <w:left w:val="none" w:sz="0" w:space="0" w:color="auto"/>
            <w:bottom w:val="none" w:sz="0" w:space="0" w:color="auto"/>
            <w:right w:val="none" w:sz="0" w:space="0" w:color="auto"/>
          </w:divBdr>
        </w:div>
        <w:div w:id="1075861898">
          <w:marLeft w:val="0"/>
          <w:marRight w:val="0"/>
          <w:marTop w:val="0"/>
          <w:marBottom w:val="0"/>
          <w:divBdr>
            <w:top w:val="none" w:sz="0" w:space="0" w:color="auto"/>
            <w:left w:val="none" w:sz="0" w:space="0" w:color="auto"/>
            <w:bottom w:val="none" w:sz="0" w:space="0" w:color="auto"/>
            <w:right w:val="none" w:sz="0" w:space="0" w:color="auto"/>
          </w:divBdr>
        </w:div>
        <w:div w:id="812214297">
          <w:marLeft w:val="0"/>
          <w:marRight w:val="0"/>
          <w:marTop w:val="0"/>
          <w:marBottom w:val="0"/>
          <w:divBdr>
            <w:top w:val="none" w:sz="0" w:space="0" w:color="auto"/>
            <w:left w:val="none" w:sz="0" w:space="0" w:color="auto"/>
            <w:bottom w:val="none" w:sz="0" w:space="0" w:color="auto"/>
            <w:right w:val="none" w:sz="0" w:space="0" w:color="auto"/>
          </w:divBdr>
        </w:div>
        <w:div w:id="903025752">
          <w:marLeft w:val="0"/>
          <w:marRight w:val="0"/>
          <w:marTop w:val="0"/>
          <w:marBottom w:val="0"/>
          <w:divBdr>
            <w:top w:val="none" w:sz="0" w:space="0" w:color="auto"/>
            <w:left w:val="none" w:sz="0" w:space="0" w:color="auto"/>
            <w:bottom w:val="none" w:sz="0" w:space="0" w:color="auto"/>
            <w:right w:val="none" w:sz="0" w:space="0" w:color="auto"/>
          </w:divBdr>
        </w:div>
        <w:div w:id="1975939289">
          <w:marLeft w:val="0"/>
          <w:marRight w:val="0"/>
          <w:marTop w:val="0"/>
          <w:marBottom w:val="0"/>
          <w:divBdr>
            <w:top w:val="none" w:sz="0" w:space="0" w:color="auto"/>
            <w:left w:val="none" w:sz="0" w:space="0" w:color="auto"/>
            <w:bottom w:val="none" w:sz="0" w:space="0" w:color="auto"/>
            <w:right w:val="none" w:sz="0" w:space="0" w:color="auto"/>
          </w:divBdr>
        </w:div>
        <w:div w:id="1505513082">
          <w:marLeft w:val="0"/>
          <w:marRight w:val="0"/>
          <w:marTop w:val="0"/>
          <w:marBottom w:val="0"/>
          <w:divBdr>
            <w:top w:val="none" w:sz="0" w:space="0" w:color="auto"/>
            <w:left w:val="none" w:sz="0" w:space="0" w:color="auto"/>
            <w:bottom w:val="none" w:sz="0" w:space="0" w:color="auto"/>
            <w:right w:val="none" w:sz="0" w:space="0" w:color="auto"/>
          </w:divBdr>
        </w:div>
        <w:div w:id="1218392773">
          <w:marLeft w:val="0"/>
          <w:marRight w:val="0"/>
          <w:marTop w:val="0"/>
          <w:marBottom w:val="0"/>
          <w:divBdr>
            <w:top w:val="none" w:sz="0" w:space="0" w:color="auto"/>
            <w:left w:val="none" w:sz="0" w:space="0" w:color="auto"/>
            <w:bottom w:val="none" w:sz="0" w:space="0" w:color="auto"/>
            <w:right w:val="none" w:sz="0" w:space="0" w:color="auto"/>
          </w:divBdr>
        </w:div>
        <w:div w:id="1376857549">
          <w:marLeft w:val="0"/>
          <w:marRight w:val="0"/>
          <w:marTop w:val="0"/>
          <w:marBottom w:val="0"/>
          <w:divBdr>
            <w:top w:val="none" w:sz="0" w:space="0" w:color="auto"/>
            <w:left w:val="none" w:sz="0" w:space="0" w:color="auto"/>
            <w:bottom w:val="none" w:sz="0" w:space="0" w:color="auto"/>
            <w:right w:val="none" w:sz="0" w:space="0" w:color="auto"/>
          </w:divBdr>
        </w:div>
        <w:div w:id="933247622">
          <w:marLeft w:val="0"/>
          <w:marRight w:val="0"/>
          <w:marTop w:val="0"/>
          <w:marBottom w:val="0"/>
          <w:divBdr>
            <w:top w:val="none" w:sz="0" w:space="0" w:color="auto"/>
            <w:left w:val="none" w:sz="0" w:space="0" w:color="auto"/>
            <w:bottom w:val="none" w:sz="0" w:space="0" w:color="auto"/>
            <w:right w:val="none" w:sz="0" w:space="0" w:color="auto"/>
          </w:divBdr>
        </w:div>
        <w:div w:id="1137451292">
          <w:marLeft w:val="0"/>
          <w:marRight w:val="0"/>
          <w:marTop w:val="0"/>
          <w:marBottom w:val="0"/>
          <w:divBdr>
            <w:top w:val="none" w:sz="0" w:space="0" w:color="auto"/>
            <w:left w:val="none" w:sz="0" w:space="0" w:color="auto"/>
            <w:bottom w:val="none" w:sz="0" w:space="0" w:color="auto"/>
            <w:right w:val="none" w:sz="0" w:space="0" w:color="auto"/>
          </w:divBdr>
        </w:div>
        <w:div w:id="1009605338">
          <w:marLeft w:val="0"/>
          <w:marRight w:val="0"/>
          <w:marTop w:val="0"/>
          <w:marBottom w:val="0"/>
          <w:divBdr>
            <w:top w:val="none" w:sz="0" w:space="0" w:color="auto"/>
            <w:left w:val="none" w:sz="0" w:space="0" w:color="auto"/>
            <w:bottom w:val="none" w:sz="0" w:space="0" w:color="auto"/>
            <w:right w:val="none" w:sz="0" w:space="0" w:color="auto"/>
          </w:divBdr>
        </w:div>
        <w:div w:id="2025129350">
          <w:marLeft w:val="0"/>
          <w:marRight w:val="0"/>
          <w:marTop w:val="0"/>
          <w:marBottom w:val="0"/>
          <w:divBdr>
            <w:top w:val="none" w:sz="0" w:space="0" w:color="auto"/>
            <w:left w:val="none" w:sz="0" w:space="0" w:color="auto"/>
            <w:bottom w:val="none" w:sz="0" w:space="0" w:color="auto"/>
            <w:right w:val="none" w:sz="0" w:space="0" w:color="auto"/>
          </w:divBdr>
        </w:div>
        <w:div w:id="18627390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11/j.1099-0860.1997.tb00013.x" TargetMode="External"/><Relationship Id="rId18" Type="http://schemas.openxmlformats.org/officeDocument/2006/relationships/hyperlink" Target="https://www.gov.uk/government/statistics/criminal-justice-system-statistics-quarterly-december-2015" TargetMode="External"/><Relationship Id="rId26" Type="http://schemas.openxmlformats.org/officeDocument/2006/relationships/hyperlink" Target="https://eprints.ncl.ac.uk/file_store/production/154553/D8F051D6-9FCB-49F5-91E9-5028E7B2E8C0.pdf" TargetMode="External"/><Relationship Id="rId3" Type="http://schemas.openxmlformats.org/officeDocument/2006/relationships/numbering" Target="numbering.xml"/><Relationship Id="rId21" Type="http://schemas.openxmlformats.org/officeDocument/2006/relationships/hyperlink" Target="https://doi.org/10.1093/oxfordjournals.bjsw.a055313" TargetMode="External"/><Relationship Id="rId7" Type="http://schemas.openxmlformats.org/officeDocument/2006/relationships/image" Target="media/image1.png"/><Relationship Id="rId12" Type="http://schemas.openxmlformats.org/officeDocument/2006/relationships/hyperlink" Target="https://doi.org/10.1177/096466399400300403" TargetMode="External"/><Relationship Id="rId17" Type="http://schemas.openxmlformats.org/officeDocument/2006/relationships/hyperlink" Target="https://doi.org/10.1016/S0047-2352(00)00035-0" TargetMode="External"/><Relationship Id="rId25" Type="http://schemas.openxmlformats.org/officeDocument/2006/relationships/hyperlink" Target="https://www.allianceofsport.org/wp-content/uploads/2016/12/youth-justice-review-final-report.pdf" TargetMode="External"/><Relationship Id="rId2" Type="http://schemas.openxmlformats.org/officeDocument/2006/relationships/customXml" Target="../customXml/item2.xml"/><Relationship Id="rId16" Type="http://schemas.openxmlformats.org/officeDocument/2006/relationships/hyperlink" Target="https://pure.ulster.ac.uk/en/publications/review-of-the-aston-project-report" TargetMode="External"/><Relationship Id="rId20" Type="http://schemas.openxmlformats.org/officeDocument/2006/relationships/hyperlink" Target="https://www.gov.uk/government/statistics/youth-custody-data"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11/chso.12087" TargetMode="External"/><Relationship Id="rId24" Type="http://schemas.openxmlformats.org/officeDocument/2006/relationships/hyperlink" Target="https://eucpn.org/sites/default/files/document/files/2016_10_04_eucpn_evaluation_crime_prevention_practices_final_0.pdf" TargetMode="External"/><Relationship Id="rId5" Type="http://schemas.openxmlformats.org/officeDocument/2006/relationships/settings" Target="settings.xml"/><Relationship Id="rId15" Type="http://schemas.openxmlformats.org/officeDocument/2006/relationships/hyperlink" Target="https://www.justiceinspectorates.gov.uk/hmiprisons/inspections/children-in-custody-2014-15/" TargetMode="External"/><Relationship Id="rId23" Type="http://schemas.openxmlformats.org/officeDocument/2006/relationships/hyperlink" Target="https://doi.org/10.1093/oxfordjournals.bjc.a047833" TargetMode="External"/><Relationship Id="rId28" Type="http://schemas.openxmlformats.org/officeDocument/2006/relationships/fontTable" Target="fontTable.xml"/><Relationship Id="rId10" Type="http://schemas.openxmlformats.org/officeDocument/2006/relationships/hyperlink" Target="http://dx.doi.org/10.1080/09540962.2013.785709" TargetMode="External"/><Relationship Id="rId19" Type="http://schemas.openxmlformats.org/officeDocument/2006/relationships/hyperlink" Target="https://www.gov.uk/government/statistics/proven-reoffending-statistics-quarterly-january-to-december2014" TargetMode="External"/><Relationship Id="rId4" Type="http://schemas.openxmlformats.org/officeDocument/2006/relationships/styles" Target="styles.xml"/><Relationship Id="rId9" Type="http://schemas.openxmlformats.org/officeDocument/2006/relationships/hyperlink" Target="https://journals.sagepub.com/reader/content/17ae0e1d569/10.1177/1057567718814891/format/epub/EPUB/xhtml/index.xhtml" TargetMode="External"/><Relationship Id="rId14" Type="http://schemas.openxmlformats.org/officeDocument/2006/relationships/hyperlink" Target="https://www.bristol.ac.uk/poverty/downloads/keyofficialdocuments/reaching_out_full.pdf" TargetMode="External"/><Relationship Id="rId22" Type="http://schemas.openxmlformats.org/officeDocument/2006/relationships/hyperlink" Target="https://doi.org/10.1111/j.1468-2311.1992.tb00735.x" TargetMode="External"/><Relationship Id="rId27" Type="http://schemas.openxmlformats.org/officeDocument/2006/relationships/hyperlink" Target="http://childreninthecjs.pbworks.com/w/file/fetch/55469907/TowardsAYouthCrimePrevention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1902211@student.uwtsd.ac.uk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27D786-3615-40AE-9D6D-4A993870D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16</Pages>
  <Words>3860</Words>
  <Characters>22008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Roche (1902211)</dc:creator>
  <cp:keywords/>
  <dc:description/>
  <cp:lastModifiedBy>Lucy Roche (1902211)</cp:lastModifiedBy>
  <cp:revision>3</cp:revision>
  <dcterms:created xsi:type="dcterms:W3CDTF">2022-11-25T18:16:00Z</dcterms:created>
  <dcterms:modified xsi:type="dcterms:W3CDTF">2022-11-25T21:30:00Z</dcterms:modified>
</cp:coreProperties>
</file>