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28494C" w14:textId="330BD9F9" w:rsidR="00392BEF" w:rsidRDefault="00392BEF" w:rsidP="00392BEF">
      <w:pPr>
        <w:pStyle w:val="s2"/>
        <w:spacing w:before="0" w:beforeAutospacing="0" w:after="120" w:afterAutospacing="0"/>
        <w:rPr>
          <w:rFonts w:ascii="-webkit-standard" w:hAnsi="-webkit-standard"/>
          <w:color w:val="000000"/>
          <w:sz w:val="27"/>
          <w:szCs w:val="27"/>
        </w:rPr>
      </w:pPr>
      <w:r>
        <w:rPr>
          <w:rFonts w:ascii="-webkit-standard" w:hAnsi="-webkit-standard"/>
          <w:color w:val="000000"/>
          <w:sz w:val="27"/>
          <w:szCs w:val="27"/>
        </w:rPr>
        <w:br/>
      </w:r>
    </w:p>
    <w:p w14:paraId="512A5968" w14:textId="77777777" w:rsidR="006E2372" w:rsidRDefault="00392BEF" w:rsidP="00392BEF">
      <w:pPr>
        <w:pStyle w:val="s6"/>
        <w:spacing w:before="0" w:beforeAutospacing="0" w:after="120" w:afterAutospacing="0"/>
        <w:jc w:val="center"/>
        <w:rPr>
          <w:rStyle w:val="s5"/>
          <w:rFonts w:ascii="-webkit-standard" w:eastAsiaTheme="majorEastAsia" w:hAnsi="-webkit-standard"/>
          <w:b/>
          <w:bCs/>
          <w:color w:val="000000"/>
          <w:sz w:val="27"/>
          <w:szCs w:val="27"/>
        </w:rPr>
      </w:pPr>
      <w:r>
        <w:rPr>
          <w:rStyle w:val="s5"/>
          <w:rFonts w:ascii="-webkit-standard" w:eastAsiaTheme="majorEastAsia" w:hAnsi="-webkit-standard"/>
          <w:b/>
          <w:bCs/>
          <w:color w:val="000000"/>
          <w:sz w:val="27"/>
          <w:szCs w:val="27"/>
        </w:rPr>
        <w:t>Name:</w:t>
      </w:r>
      <w:r w:rsidR="006E2372">
        <w:rPr>
          <w:rStyle w:val="s5"/>
          <w:rFonts w:ascii="-webkit-standard" w:eastAsiaTheme="majorEastAsia" w:hAnsi="-webkit-standard"/>
          <w:b/>
          <w:bCs/>
          <w:color w:val="000000"/>
          <w:sz w:val="27"/>
          <w:szCs w:val="27"/>
        </w:rPr>
        <w:t xml:space="preserve"> Ruth Bannor</w:t>
      </w:r>
      <w:r>
        <w:rPr>
          <w:rFonts w:ascii="-webkit-standard" w:hAnsi="-webkit-standard"/>
          <w:b/>
          <w:bCs/>
          <w:color w:val="000000"/>
          <w:sz w:val="27"/>
          <w:szCs w:val="27"/>
        </w:rPr>
        <w:br/>
      </w:r>
      <w:r>
        <w:rPr>
          <w:rStyle w:val="s5"/>
          <w:rFonts w:ascii="-webkit-standard" w:eastAsiaTheme="majorEastAsia" w:hAnsi="-webkit-standard"/>
          <w:b/>
          <w:bCs/>
          <w:color w:val="000000"/>
          <w:sz w:val="27"/>
          <w:szCs w:val="27"/>
        </w:rPr>
        <w:t>Student ID:</w:t>
      </w:r>
      <w:r w:rsidR="006E2372">
        <w:rPr>
          <w:rStyle w:val="s5"/>
          <w:rFonts w:ascii="-webkit-standard" w:eastAsiaTheme="majorEastAsia" w:hAnsi="-webkit-standard"/>
          <w:b/>
          <w:bCs/>
          <w:color w:val="000000"/>
          <w:sz w:val="27"/>
          <w:szCs w:val="27"/>
        </w:rPr>
        <w:t xml:space="preserve"> 2432011</w:t>
      </w:r>
      <w:r>
        <w:rPr>
          <w:rFonts w:ascii="-webkit-standard" w:hAnsi="-webkit-standard"/>
          <w:b/>
          <w:bCs/>
          <w:color w:val="000000"/>
          <w:sz w:val="27"/>
          <w:szCs w:val="27"/>
        </w:rPr>
        <w:br/>
      </w:r>
      <w:r>
        <w:rPr>
          <w:rStyle w:val="s5"/>
          <w:rFonts w:ascii="-webkit-standard" w:eastAsiaTheme="majorEastAsia" w:hAnsi="-webkit-standard"/>
          <w:b/>
          <w:bCs/>
          <w:color w:val="000000"/>
          <w:sz w:val="27"/>
          <w:szCs w:val="27"/>
        </w:rPr>
        <w:t>Programme: Certificate of Higher Education Skills for the Workplace (Health and Social Care)</w:t>
      </w:r>
      <w:r>
        <w:rPr>
          <w:rFonts w:ascii="-webkit-standard" w:hAnsi="-webkit-standard"/>
          <w:b/>
          <w:bCs/>
          <w:color w:val="000000"/>
          <w:sz w:val="27"/>
          <w:szCs w:val="27"/>
        </w:rPr>
        <w:br/>
      </w:r>
      <w:r>
        <w:rPr>
          <w:rStyle w:val="s5"/>
          <w:rFonts w:ascii="-webkit-standard" w:eastAsiaTheme="majorEastAsia" w:hAnsi="-webkit-standard"/>
          <w:b/>
          <w:bCs/>
          <w:color w:val="000000"/>
          <w:sz w:val="27"/>
          <w:szCs w:val="27"/>
        </w:rPr>
        <w:t>Module Code:</w:t>
      </w:r>
      <w:r>
        <w:rPr>
          <w:rStyle w:val="apple-converted-space"/>
          <w:rFonts w:ascii="-webkit-standard" w:eastAsiaTheme="majorEastAsia" w:hAnsi="-webkit-standard"/>
          <w:b/>
          <w:bCs/>
          <w:color w:val="000000"/>
          <w:sz w:val="27"/>
          <w:szCs w:val="27"/>
        </w:rPr>
        <w:t> </w:t>
      </w:r>
      <w:r>
        <w:rPr>
          <w:rStyle w:val="s5"/>
          <w:rFonts w:ascii="-webkit-standard" w:eastAsiaTheme="majorEastAsia" w:hAnsi="-webkit-standard"/>
          <w:b/>
          <w:bCs/>
          <w:color w:val="000000"/>
          <w:sz w:val="27"/>
          <w:szCs w:val="27"/>
        </w:rPr>
        <w:t>LCHS010</w:t>
      </w:r>
    </w:p>
    <w:p w14:paraId="7A90D1F5" w14:textId="63337C97" w:rsidR="00392BEF" w:rsidRDefault="006E2372" w:rsidP="00392BEF">
      <w:pPr>
        <w:pStyle w:val="s6"/>
        <w:spacing w:before="0" w:beforeAutospacing="0" w:after="120" w:afterAutospacing="0"/>
        <w:jc w:val="center"/>
        <w:rPr>
          <w:rStyle w:val="s5"/>
          <w:rFonts w:ascii="-webkit-standard" w:eastAsiaTheme="majorEastAsia" w:hAnsi="-webkit-standard"/>
          <w:b/>
          <w:bCs/>
          <w:color w:val="000000"/>
          <w:sz w:val="27"/>
          <w:szCs w:val="27"/>
        </w:rPr>
      </w:pPr>
      <w:r>
        <w:rPr>
          <w:rStyle w:val="s5"/>
          <w:rFonts w:ascii="-webkit-standard" w:eastAsiaTheme="majorEastAsia" w:hAnsi="-webkit-standard"/>
          <w:b/>
          <w:bCs/>
          <w:color w:val="000000"/>
          <w:sz w:val="27"/>
          <w:szCs w:val="27"/>
        </w:rPr>
        <w:t>Lecturer: Helen Parsons</w:t>
      </w:r>
      <w:r w:rsidR="00392BEF">
        <w:rPr>
          <w:rFonts w:ascii="-webkit-standard" w:hAnsi="-webkit-standard"/>
          <w:b/>
          <w:bCs/>
          <w:color w:val="000000"/>
          <w:sz w:val="27"/>
          <w:szCs w:val="27"/>
        </w:rPr>
        <w:br/>
      </w:r>
      <w:r w:rsidR="00392BEF">
        <w:rPr>
          <w:rStyle w:val="s5"/>
          <w:rFonts w:ascii="-webkit-standard" w:eastAsiaTheme="majorEastAsia" w:hAnsi="-webkit-standard"/>
          <w:b/>
          <w:bCs/>
          <w:color w:val="000000"/>
          <w:sz w:val="27"/>
          <w:szCs w:val="27"/>
        </w:rPr>
        <w:t>Module Name:</w:t>
      </w:r>
      <w:r w:rsidR="00392BEF">
        <w:rPr>
          <w:rStyle w:val="apple-converted-space"/>
          <w:rFonts w:ascii="-webkit-standard" w:eastAsiaTheme="majorEastAsia" w:hAnsi="-webkit-standard"/>
          <w:b/>
          <w:bCs/>
          <w:color w:val="000000"/>
          <w:sz w:val="27"/>
          <w:szCs w:val="27"/>
        </w:rPr>
        <w:t> </w:t>
      </w:r>
      <w:r w:rsidR="00392BEF">
        <w:rPr>
          <w:rStyle w:val="s5"/>
          <w:rFonts w:ascii="-webkit-standard" w:eastAsiaTheme="majorEastAsia" w:hAnsi="-webkit-standard"/>
          <w:b/>
          <w:bCs/>
          <w:color w:val="000000"/>
          <w:sz w:val="27"/>
          <w:szCs w:val="27"/>
        </w:rPr>
        <w:t>Psychology in Health and Social Care</w:t>
      </w:r>
      <w:r w:rsidR="00392BEF">
        <w:rPr>
          <w:rFonts w:ascii="-webkit-standard" w:hAnsi="-webkit-standard"/>
          <w:b/>
          <w:bCs/>
          <w:color w:val="000000"/>
          <w:sz w:val="27"/>
          <w:szCs w:val="27"/>
        </w:rPr>
        <w:br/>
      </w:r>
      <w:r w:rsidR="00392BEF">
        <w:rPr>
          <w:rStyle w:val="s5"/>
          <w:rFonts w:ascii="-webkit-standard" w:eastAsiaTheme="majorEastAsia" w:hAnsi="-webkit-standard"/>
          <w:b/>
          <w:bCs/>
          <w:color w:val="000000"/>
          <w:sz w:val="27"/>
          <w:szCs w:val="27"/>
        </w:rPr>
        <w:t>Assignment Title:</w:t>
      </w:r>
      <w:r w:rsidR="00392BEF">
        <w:rPr>
          <w:rStyle w:val="apple-converted-space"/>
          <w:rFonts w:ascii="-webkit-standard" w:eastAsiaTheme="majorEastAsia" w:hAnsi="-webkit-standard"/>
          <w:b/>
          <w:bCs/>
          <w:color w:val="000000"/>
          <w:sz w:val="27"/>
          <w:szCs w:val="27"/>
        </w:rPr>
        <w:t> Bibliography &amp; Report</w:t>
      </w:r>
      <w:r w:rsidR="00392BEF">
        <w:rPr>
          <w:rStyle w:val="s5"/>
          <w:rFonts w:ascii="-webkit-standard" w:eastAsiaTheme="majorEastAsia" w:hAnsi="-webkit-standard"/>
          <w:b/>
          <w:bCs/>
          <w:color w:val="000000"/>
          <w:sz w:val="27"/>
          <w:szCs w:val="27"/>
        </w:rPr>
        <w:t xml:space="preserve"> </w:t>
      </w:r>
    </w:p>
    <w:p w14:paraId="5B2813E7" w14:textId="77777777" w:rsidR="000641BA" w:rsidRDefault="000641BA" w:rsidP="00392BEF">
      <w:pPr>
        <w:pStyle w:val="s6"/>
        <w:spacing w:before="0" w:beforeAutospacing="0" w:after="120" w:afterAutospacing="0"/>
        <w:jc w:val="center"/>
        <w:rPr>
          <w:rStyle w:val="s5"/>
          <w:rFonts w:ascii="-webkit-standard" w:eastAsiaTheme="majorEastAsia" w:hAnsi="-webkit-standard"/>
          <w:b/>
          <w:bCs/>
          <w:color w:val="000000"/>
          <w:sz w:val="27"/>
          <w:szCs w:val="27"/>
        </w:rPr>
      </w:pPr>
    </w:p>
    <w:p w14:paraId="34BCCBD8" w14:textId="77777777" w:rsidR="00392BEF" w:rsidRDefault="00392BEF" w:rsidP="00392BEF">
      <w:pPr>
        <w:pStyle w:val="s6"/>
        <w:spacing w:before="0" w:beforeAutospacing="0" w:after="120" w:afterAutospacing="0"/>
        <w:jc w:val="center"/>
        <w:rPr>
          <w:rFonts w:ascii="-webkit-standard" w:hAnsi="-webkit-standard"/>
          <w:b/>
          <w:bCs/>
          <w:color w:val="000000"/>
          <w:sz w:val="27"/>
          <w:szCs w:val="27"/>
        </w:rPr>
      </w:pPr>
    </w:p>
    <w:sdt>
      <w:sdtPr>
        <w:rPr>
          <w:rFonts w:asciiTheme="minorHAnsi" w:eastAsiaTheme="minorHAnsi" w:hAnsiTheme="minorHAnsi" w:cstheme="minorBidi"/>
          <w:b w:val="0"/>
          <w:bCs w:val="0"/>
          <w:color w:val="auto"/>
          <w:kern w:val="2"/>
          <w:sz w:val="24"/>
          <w:szCs w:val="24"/>
          <w:lang w:val="en-GB"/>
          <w14:ligatures w14:val="standardContextual"/>
        </w:rPr>
        <w:id w:val="-1021233873"/>
        <w:docPartObj>
          <w:docPartGallery w:val="Table of Contents"/>
          <w:docPartUnique/>
        </w:docPartObj>
      </w:sdtPr>
      <w:sdtEndPr>
        <w:rPr>
          <w:noProof/>
        </w:rPr>
      </w:sdtEndPr>
      <w:sdtContent>
        <w:p w14:paraId="51A0A616" w14:textId="24F18BE9" w:rsidR="000641BA" w:rsidRDefault="000641BA">
          <w:pPr>
            <w:pStyle w:val="TOCHeading"/>
          </w:pPr>
          <w:r>
            <w:t>Table of Contents</w:t>
          </w:r>
        </w:p>
        <w:p w14:paraId="395C0732" w14:textId="107EC627" w:rsidR="000641BA" w:rsidRDefault="000641BA">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24723374" w:history="1">
            <w:r w:rsidRPr="00611EC1">
              <w:rPr>
                <w:rStyle w:val="Hyperlink"/>
                <w:noProof/>
                <w:lang w:val="en-US"/>
              </w:rPr>
              <w:t>Erikson’s Psychosocial Theory of Ageing</w:t>
            </w:r>
            <w:r>
              <w:rPr>
                <w:noProof/>
                <w:webHidden/>
              </w:rPr>
              <w:tab/>
            </w:r>
            <w:r>
              <w:rPr>
                <w:noProof/>
                <w:webHidden/>
              </w:rPr>
              <w:fldChar w:fldCharType="begin"/>
            </w:r>
            <w:r>
              <w:rPr>
                <w:noProof/>
                <w:webHidden/>
              </w:rPr>
              <w:instrText xml:space="preserve"> PAGEREF _Toc224723374 \h </w:instrText>
            </w:r>
            <w:r>
              <w:rPr>
                <w:noProof/>
                <w:webHidden/>
              </w:rPr>
            </w:r>
            <w:r>
              <w:rPr>
                <w:noProof/>
                <w:webHidden/>
              </w:rPr>
              <w:fldChar w:fldCharType="separate"/>
            </w:r>
            <w:r>
              <w:rPr>
                <w:noProof/>
                <w:webHidden/>
              </w:rPr>
              <w:t>2</w:t>
            </w:r>
            <w:r>
              <w:rPr>
                <w:noProof/>
                <w:webHidden/>
              </w:rPr>
              <w:fldChar w:fldCharType="end"/>
            </w:r>
          </w:hyperlink>
        </w:p>
        <w:p w14:paraId="1A8CEDDF" w14:textId="793289FA" w:rsidR="000641BA" w:rsidRDefault="000641BA">
          <w:pPr>
            <w:pStyle w:val="TOC1"/>
            <w:tabs>
              <w:tab w:val="right" w:leader="dot" w:pos="9016"/>
            </w:tabs>
            <w:rPr>
              <w:rFonts w:eastAsiaTheme="minorEastAsia"/>
              <w:b w:val="0"/>
              <w:bCs w:val="0"/>
              <w:i w:val="0"/>
              <w:iCs w:val="0"/>
              <w:noProof/>
              <w:lang w:eastAsia="en-GB"/>
            </w:rPr>
          </w:pPr>
          <w:hyperlink w:anchor="_Toc224723375" w:history="1">
            <w:r w:rsidRPr="00611EC1">
              <w:rPr>
                <w:rStyle w:val="Hyperlink"/>
                <w:noProof/>
                <w:lang w:val="en-US"/>
              </w:rPr>
              <w:t>Generativity, Ego Integrity and Ageing Well</w:t>
            </w:r>
            <w:r>
              <w:rPr>
                <w:noProof/>
                <w:webHidden/>
              </w:rPr>
              <w:tab/>
            </w:r>
            <w:r>
              <w:rPr>
                <w:noProof/>
                <w:webHidden/>
              </w:rPr>
              <w:fldChar w:fldCharType="begin"/>
            </w:r>
            <w:r>
              <w:rPr>
                <w:noProof/>
                <w:webHidden/>
              </w:rPr>
              <w:instrText xml:space="preserve"> PAGEREF _Toc224723375 \h </w:instrText>
            </w:r>
            <w:r>
              <w:rPr>
                <w:noProof/>
                <w:webHidden/>
              </w:rPr>
            </w:r>
            <w:r>
              <w:rPr>
                <w:noProof/>
                <w:webHidden/>
              </w:rPr>
              <w:fldChar w:fldCharType="separate"/>
            </w:r>
            <w:r>
              <w:rPr>
                <w:noProof/>
                <w:webHidden/>
              </w:rPr>
              <w:t>2</w:t>
            </w:r>
            <w:r>
              <w:rPr>
                <w:noProof/>
                <w:webHidden/>
              </w:rPr>
              <w:fldChar w:fldCharType="end"/>
            </w:r>
          </w:hyperlink>
        </w:p>
        <w:p w14:paraId="2B8E3C49" w14:textId="29F6574F" w:rsidR="000641BA" w:rsidRDefault="000641BA">
          <w:pPr>
            <w:pStyle w:val="TOC1"/>
            <w:tabs>
              <w:tab w:val="right" w:leader="dot" w:pos="9016"/>
            </w:tabs>
            <w:rPr>
              <w:rFonts w:eastAsiaTheme="minorEastAsia"/>
              <w:b w:val="0"/>
              <w:bCs w:val="0"/>
              <w:i w:val="0"/>
              <w:iCs w:val="0"/>
              <w:noProof/>
              <w:lang w:eastAsia="en-GB"/>
            </w:rPr>
          </w:pPr>
          <w:hyperlink w:anchor="_Toc224723376" w:history="1">
            <w:r w:rsidRPr="00611EC1">
              <w:rPr>
                <w:rStyle w:val="Hyperlink"/>
                <w:noProof/>
                <w:lang w:val="en-US"/>
              </w:rPr>
              <w:t>Bowlby (1969) – Attachment Theory and Adult Relationships</w:t>
            </w:r>
            <w:r>
              <w:rPr>
                <w:noProof/>
                <w:webHidden/>
              </w:rPr>
              <w:tab/>
            </w:r>
            <w:r>
              <w:rPr>
                <w:noProof/>
                <w:webHidden/>
              </w:rPr>
              <w:fldChar w:fldCharType="begin"/>
            </w:r>
            <w:r>
              <w:rPr>
                <w:noProof/>
                <w:webHidden/>
              </w:rPr>
              <w:instrText xml:space="preserve"> PAGEREF _Toc224723376 \h </w:instrText>
            </w:r>
            <w:r>
              <w:rPr>
                <w:noProof/>
                <w:webHidden/>
              </w:rPr>
            </w:r>
            <w:r>
              <w:rPr>
                <w:noProof/>
                <w:webHidden/>
              </w:rPr>
              <w:fldChar w:fldCharType="separate"/>
            </w:r>
            <w:r>
              <w:rPr>
                <w:noProof/>
                <w:webHidden/>
              </w:rPr>
              <w:t>3</w:t>
            </w:r>
            <w:r>
              <w:rPr>
                <w:noProof/>
                <w:webHidden/>
              </w:rPr>
              <w:fldChar w:fldCharType="end"/>
            </w:r>
          </w:hyperlink>
        </w:p>
        <w:p w14:paraId="0AAB7FCF" w14:textId="54637B62" w:rsidR="000641BA" w:rsidRDefault="000641BA">
          <w:pPr>
            <w:pStyle w:val="TOC1"/>
            <w:tabs>
              <w:tab w:val="right" w:leader="dot" w:pos="9016"/>
            </w:tabs>
            <w:rPr>
              <w:rFonts w:eastAsiaTheme="minorEastAsia"/>
              <w:b w:val="0"/>
              <w:bCs w:val="0"/>
              <w:i w:val="0"/>
              <w:iCs w:val="0"/>
              <w:noProof/>
              <w:lang w:eastAsia="en-GB"/>
            </w:rPr>
          </w:pPr>
          <w:hyperlink w:anchor="_Toc224723377" w:history="1">
            <w:r w:rsidRPr="00611EC1">
              <w:rPr>
                <w:rStyle w:val="Hyperlink"/>
                <w:noProof/>
                <w:lang w:val="en-US"/>
              </w:rPr>
              <w:t>Dhingra and Khan (2023) – PERMA model and reminiscence in the elderly</w:t>
            </w:r>
            <w:r>
              <w:rPr>
                <w:noProof/>
                <w:webHidden/>
              </w:rPr>
              <w:tab/>
            </w:r>
            <w:r>
              <w:rPr>
                <w:noProof/>
                <w:webHidden/>
              </w:rPr>
              <w:fldChar w:fldCharType="begin"/>
            </w:r>
            <w:r>
              <w:rPr>
                <w:noProof/>
                <w:webHidden/>
              </w:rPr>
              <w:instrText xml:space="preserve"> PAGEREF _Toc224723377 \h </w:instrText>
            </w:r>
            <w:r>
              <w:rPr>
                <w:noProof/>
                <w:webHidden/>
              </w:rPr>
            </w:r>
            <w:r>
              <w:rPr>
                <w:noProof/>
                <w:webHidden/>
              </w:rPr>
              <w:fldChar w:fldCharType="separate"/>
            </w:r>
            <w:r>
              <w:rPr>
                <w:noProof/>
                <w:webHidden/>
              </w:rPr>
              <w:t>3</w:t>
            </w:r>
            <w:r>
              <w:rPr>
                <w:noProof/>
                <w:webHidden/>
              </w:rPr>
              <w:fldChar w:fldCharType="end"/>
            </w:r>
          </w:hyperlink>
        </w:p>
        <w:p w14:paraId="7052E005" w14:textId="078F487D" w:rsidR="000641BA" w:rsidRDefault="000641BA">
          <w:pPr>
            <w:pStyle w:val="TOC1"/>
            <w:tabs>
              <w:tab w:val="right" w:leader="dot" w:pos="9016"/>
            </w:tabs>
            <w:rPr>
              <w:rFonts w:eastAsiaTheme="minorEastAsia"/>
              <w:b w:val="0"/>
              <w:bCs w:val="0"/>
              <w:i w:val="0"/>
              <w:iCs w:val="0"/>
              <w:noProof/>
              <w:lang w:eastAsia="en-GB"/>
            </w:rPr>
          </w:pPr>
          <w:hyperlink w:anchor="_Toc224723378" w:history="1">
            <w:r w:rsidRPr="00611EC1">
              <w:rPr>
                <w:rStyle w:val="Hyperlink"/>
                <w:noProof/>
                <w:lang w:val="en-US"/>
              </w:rPr>
              <w:t>Introduction</w:t>
            </w:r>
            <w:r>
              <w:rPr>
                <w:noProof/>
                <w:webHidden/>
              </w:rPr>
              <w:tab/>
            </w:r>
            <w:r>
              <w:rPr>
                <w:noProof/>
                <w:webHidden/>
              </w:rPr>
              <w:fldChar w:fldCharType="begin"/>
            </w:r>
            <w:r>
              <w:rPr>
                <w:noProof/>
                <w:webHidden/>
              </w:rPr>
              <w:instrText xml:space="preserve"> PAGEREF _Toc224723378 \h </w:instrText>
            </w:r>
            <w:r>
              <w:rPr>
                <w:noProof/>
                <w:webHidden/>
              </w:rPr>
            </w:r>
            <w:r>
              <w:rPr>
                <w:noProof/>
                <w:webHidden/>
              </w:rPr>
              <w:fldChar w:fldCharType="separate"/>
            </w:r>
            <w:r>
              <w:rPr>
                <w:noProof/>
                <w:webHidden/>
              </w:rPr>
              <w:t>4</w:t>
            </w:r>
            <w:r>
              <w:rPr>
                <w:noProof/>
                <w:webHidden/>
              </w:rPr>
              <w:fldChar w:fldCharType="end"/>
            </w:r>
          </w:hyperlink>
        </w:p>
        <w:p w14:paraId="36690605" w14:textId="0F1F7971" w:rsidR="000641BA" w:rsidRDefault="000641BA">
          <w:pPr>
            <w:pStyle w:val="TOC1"/>
            <w:tabs>
              <w:tab w:val="right" w:leader="dot" w:pos="9016"/>
            </w:tabs>
            <w:rPr>
              <w:rFonts w:eastAsiaTheme="minorEastAsia"/>
              <w:b w:val="0"/>
              <w:bCs w:val="0"/>
              <w:i w:val="0"/>
              <w:iCs w:val="0"/>
              <w:noProof/>
              <w:lang w:eastAsia="en-GB"/>
            </w:rPr>
          </w:pPr>
          <w:hyperlink w:anchor="_Toc224723379" w:history="1">
            <w:r w:rsidRPr="00611EC1">
              <w:rPr>
                <w:rStyle w:val="Hyperlink"/>
                <w:noProof/>
                <w:lang w:val="en-US"/>
              </w:rPr>
              <w:t>Erikson’s Ego Integrity and Despair in Residential Care</w:t>
            </w:r>
            <w:r>
              <w:rPr>
                <w:noProof/>
                <w:webHidden/>
              </w:rPr>
              <w:tab/>
            </w:r>
            <w:r>
              <w:rPr>
                <w:noProof/>
                <w:webHidden/>
              </w:rPr>
              <w:fldChar w:fldCharType="begin"/>
            </w:r>
            <w:r>
              <w:rPr>
                <w:noProof/>
                <w:webHidden/>
              </w:rPr>
              <w:instrText xml:space="preserve"> PAGEREF _Toc224723379 \h </w:instrText>
            </w:r>
            <w:r>
              <w:rPr>
                <w:noProof/>
                <w:webHidden/>
              </w:rPr>
            </w:r>
            <w:r>
              <w:rPr>
                <w:noProof/>
                <w:webHidden/>
              </w:rPr>
              <w:fldChar w:fldCharType="separate"/>
            </w:r>
            <w:r>
              <w:rPr>
                <w:noProof/>
                <w:webHidden/>
              </w:rPr>
              <w:t>4</w:t>
            </w:r>
            <w:r>
              <w:rPr>
                <w:noProof/>
                <w:webHidden/>
              </w:rPr>
              <w:fldChar w:fldCharType="end"/>
            </w:r>
          </w:hyperlink>
        </w:p>
        <w:p w14:paraId="7618BE5D" w14:textId="403DADB8" w:rsidR="000641BA" w:rsidRDefault="000641BA">
          <w:pPr>
            <w:pStyle w:val="TOC1"/>
            <w:tabs>
              <w:tab w:val="right" w:leader="dot" w:pos="9016"/>
            </w:tabs>
            <w:rPr>
              <w:rFonts w:eastAsiaTheme="minorEastAsia"/>
              <w:b w:val="0"/>
              <w:bCs w:val="0"/>
              <w:i w:val="0"/>
              <w:iCs w:val="0"/>
              <w:noProof/>
              <w:lang w:eastAsia="en-GB"/>
            </w:rPr>
          </w:pPr>
          <w:hyperlink w:anchor="_Toc224723380" w:history="1">
            <w:r w:rsidRPr="00611EC1">
              <w:rPr>
                <w:rStyle w:val="Hyperlink"/>
                <w:noProof/>
                <w:lang w:val="en-US"/>
              </w:rPr>
              <w:t>Implementing Life Review Activities for Resident Wellbeing</w:t>
            </w:r>
            <w:r>
              <w:rPr>
                <w:noProof/>
                <w:webHidden/>
              </w:rPr>
              <w:tab/>
            </w:r>
            <w:r>
              <w:rPr>
                <w:noProof/>
                <w:webHidden/>
              </w:rPr>
              <w:fldChar w:fldCharType="begin"/>
            </w:r>
            <w:r>
              <w:rPr>
                <w:noProof/>
                <w:webHidden/>
              </w:rPr>
              <w:instrText xml:space="preserve"> PAGEREF _Toc224723380 \h </w:instrText>
            </w:r>
            <w:r>
              <w:rPr>
                <w:noProof/>
                <w:webHidden/>
              </w:rPr>
            </w:r>
            <w:r>
              <w:rPr>
                <w:noProof/>
                <w:webHidden/>
              </w:rPr>
              <w:fldChar w:fldCharType="separate"/>
            </w:r>
            <w:r>
              <w:rPr>
                <w:noProof/>
                <w:webHidden/>
              </w:rPr>
              <w:t>5</w:t>
            </w:r>
            <w:r>
              <w:rPr>
                <w:noProof/>
                <w:webHidden/>
              </w:rPr>
              <w:fldChar w:fldCharType="end"/>
            </w:r>
          </w:hyperlink>
        </w:p>
        <w:p w14:paraId="2E4BD9BE" w14:textId="074BA1FF" w:rsidR="000641BA" w:rsidRDefault="000641BA">
          <w:pPr>
            <w:pStyle w:val="TOC1"/>
            <w:tabs>
              <w:tab w:val="right" w:leader="dot" w:pos="9016"/>
            </w:tabs>
            <w:rPr>
              <w:rFonts w:eastAsiaTheme="minorEastAsia"/>
              <w:b w:val="0"/>
              <w:bCs w:val="0"/>
              <w:i w:val="0"/>
              <w:iCs w:val="0"/>
              <w:noProof/>
              <w:lang w:eastAsia="en-GB"/>
            </w:rPr>
          </w:pPr>
          <w:hyperlink w:anchor="_Toc224723381" w:history="1">
            <w:r w:rsidRPr="00611EC1">
              <w:rPr>
                <w:rStyle w:val="Hyperlink"/>
                <w:noProof/>
                <w:lang w:val="en-US"/>
              </w:rPr>
              <w:t>Case Study of Life Review in Practice</w:t>
            </w:r>
            <w:r>
              <w:rPr>
                <w:noProof/>
                <w:webHidden/>
              </w:rPr>
              <w:tab/>
            </w:r>
            <w:r>
              <w:rPr>
                <w:noProof/>
                <w:webHidden/>
              </w:rPr>
              <w:fldChar w:fldCharType="begin"/>
            </w:r>
            <w:r>
              <w:rPr>
                <w:noProof/>
                <w:webHidden/>
              </w:rPr>
              <w:instrText xml:space="preserve"> PAGEREF _Toc224723381 \h </w:instrText>
            </w:r>
            <w:r>
              <w:rPr>
                <w:noProof/>
                <w:webHidden/>
              </w:rPr>
            </w:r>
            <w:r>
              <w:rPr>
                <w:noProof/>
                <w:webHidden/>
              </w:rPr>
              <w:fldChar w:fldCharType="separate"/>
            </w:r>
            <w:r>
              <w:rPr>
                <w:noProof/>
                <w:webHidden/>
              </w:rPr>
              <w:t>5</w:t>
            </w:r>
            <w:r>
              <w:rPr>
                <w:noProof/>
                <w:webHidden/>
              </w:rPr>
              <w:fldChar w:fldCharType="end"/>
            </w:r>
          </w:hyperlink>
        </w:p>
        <w:p w14:paraId="2EED0D57" w14:textId="3B95E92E" w:rsidR="000641BA" w:rsidRDefault="000641BA">
          <w:pPr>
            <w:pStyle w:val="TOC1"/>
            <w:tabs>
              <w:tab w:val="right" w:leader="dot" w:pos="9016"/>
            </w:tabs>
            <w:rPr>
              <w:rFonts w:eastAsiaTheme="minorEastAsia"/>
              <w:b w:val="0"/>
              <w:bCs w:val="0"/>
              <w:i w:val="0"/>
              <w:iCs w:val="0"/>
              <w:noProof/>
              <w:lang w:eastAsia="en-GB"/>
            </w:rPr>
          </w:pPr>
          <w:hyperlink w:anchor="_Toc224723382" w:history="1">
            <w:r w:rsidRPr="00611EC1">
              <w:rPr>
                <w:rStyle w:val="Hyperlink"/>
                <w:noProof/>
                <w:lang w:val="en-US"/>
              </w:rPr>
              <w:t>Challenges and Limitations in Applying Erikson’s Theory</w:t>
            </w:r>
            <w:r>
              <w:rPr>
                <w:noProof/>
                <w:webHidden/>
              </w:rPr>
              <w:tab/>
            </w:r>
            <w:r>
              <w:rPr>
                <w:noProof/>
                <w:webHidden/>
              </w:rPr>
              <w:fldChar w:fldCharType="begin"/>
            </w:r>
            <w:r>
              <w:rPr>
                <w:noProof/>
                <w:webHidden/>
              </w:rPr>
              <w:instrText xml:space="preserve"> PAGEREF _Toc224723382 \h </w:instrText>
            </w:r>
            <w:r>
              <w:rPr>
                <w:noProof/>
                <w:webHidden/>
              </w:rPr>
            </w:r>
            <w:r>
              <w:rPr>
                <w:noProof/>
                <w:webHidden/>
              </w:rPr>
              <w:fldChar w:fldCharType="separate"/>
            </w:r>
            <w:r>
              <w:rPr>
                <w:noProof/>
                <w:webHidden/>
              </w:rPr>
              <w:t>6</w:t>
            </w:r>
            <w:r>
              <w:rPr>
                <w:noProof/>
                <w:webHidden/>
              </w:rPr>
              <w:fldChar w:fldCharType="end"/>
            </w:r>
          </w:hyperlink>
        </w:p>
        <w:p w14:paraId="572588BD" w14:textId="2C3AE9E5" w:rsidR="000641BA" w:rsidRDefault="000641BA">
          <w:pPr>
            <w:pStyle w:val="TOC1"/>
            <w:tabs>
              <w:tab w:val="right" w:leader="dot" w:pos="9016"/>
            </w:tabs>
            <w:rPr>
              <w:rFonts w:eastAsiaTheme="minorEastAsia"/>
              <w:b w:val="0"/>
              <w:bCs w:val="0"/>
              <w:i w:val="0"/>
              <w:iCs w:val="0"/>
              <w:noProof/>
              <w:lang w:eastAsia="en-GB"/>
            </w:rPr>
          </w:pPr>
          <w:hyperlink w:anchor="_Toc224723383" w:history="1">
            <w:r w:rsidRPr="00611EC1">
              <w:rPr>
                <w:rStyle w:val="Hyperlink"/>
                <w:noProof/>
                <w:lang w:val="en-US"/>
              </w:rPr>
              <w:t>Recommendations for Care Home Implementation</w:t>
            </w:r>
            <w:r>
              <w:rPr>
                <w:noProof/>
                <w:webHidden/>
              </w:rPr>
              <w:tab/>
            </w:r>
            <w:r>
              <w:rPr>
                <w:noProof/>
                <w:webHidden/>
              </w:rPr>
              <w:fldChar w:fldCharType="begin"/>
            </w:r>
            <w:r>
              <w:rPr>
                <w:noProof/>
                <w:webHidden/>
              </w:rPr>
              <w:instrText xml:space="preserve"> PAGEREF _Toc224723383 \h </w:instrText>
            </w:r>
            <w:r>
              <w:rPr>
                <w:noProof/>
                <w:webHidden/>
              </w:rPr>
            </w:r>
            <w:r>
              <w:rPr>
                <w:noProof/>
                <w:webHidden/>
              </w:rPr>
              <w:fldChar w:fldCharType="separate"/>
            </w:r>
            <w:r>
              <w:rPr>
                <w:noProof/>
                <w:webHidden/>
              </w:rPr>
              <w:t>6</w:t>
            </w:r>
            <w:r>
              <w:rPr>
                <w:noProof/>
                <w:webHidden/>
              </w:rPr>
              <w:fldChar w:fldCharType="end"/>
            </w:r>
          </w:hyperlink>
        </w:p>
        <w:p w14:paraId="55FB9519" w14:textId="0AC760DC" w:rsidR="000641BA" w:rsidRDefault="000641BA">
          <w:pPr>
            <w:pStyle w:val="TOC1"/>
            <w:tabs>
              <w:tab w:val="right" w:leader="dot" w:pos="9016"/>
            </w:tabs>
            <w:rPr>
              <w:rFonts w:eastAsiaTheme="minorEastAsia"/>
              <w:b w:val="0"/>
              <w:bCs w:val="0"/>
              <w:i w:val="0"/>
              <w:iCs w:val="0"/>
              <w:noProof/>
              <w:lang w:eastAsia="en-GB"/>
            </w:rPr>
          </w:pPr>
          <w:hyperlink w:anchor="_Toc224723384" w:history="1">
            <w:r w:rsidRPr="00611EC1">
              <w:rPr>
                <w:rStyle w:val="Hyperlink"/>
                <w:noProof/>
                <w:lang w:val="en-US"/>
              </w:rPr>
              <w:t>Conclusion</w:t>
            </w:r>
            <w:r>
              <w:rPr>
                <w:noProof/>
                <w:webHidden/>
              </w:rPr>
              <w:tab/>
            </w:r>
            <w:r>
              <w:rPr>
                <w:noProof/>
                <w:webHidden/>
              </w:rPr>
              <w:fldChar w:fldCharType="begin"/>
            </w:r>
            <w:r>
              <w:rPr>
                <w:noProof/>
                <w:webHidden/>
              </w:rPr>
              <w:instrText xml:space="preserve"> PAGEREF _Toc224723384 \h </w:instrText>
            </w:r>
            <w:r>
              <w:rPr>
                <w:noProof/>
                <w:webHidden/>
              </w:rPr>
            </w:r>
            <w:r>
              <w:rPr>
                <w:noProof/>
                <w:webHidden/>
              </w:rPr>
              <w:fldChar w:fldCharType="separate"/>
            </w:r>
            <w:r>
              <w:rPr>
                <w:noProof/>
                <w:webHidden/>
              </w:rPr>
              <w:t>7</w:t>
            </w:r>
            <w:r>
              <w:rPr>
                <w:noProof/>
                <w:webHidden/>
              </w:rPr>
              <w:fldChar w:fldCharType="end"/>
            </w:r>
          </w:hyperlink>
        </w:p>
        <w:p w14:paraId="2F93C323" w14:textId="0A9698B2" w:rsidR="000641BA" w:rsidRDefault="000641BA">
          <w:pPr>
            <w:pStyle w:val="TOC1"/>
            <w:tabs>
              <w:tab w:val="right" w:leader="dot" w:pos="9016"/>
            </w:tabs>
            <w:rPr>
              <w:rFonts w:eastAsiaTheme="minorEastAsia"/>
              <w:b w:val="0"/>
              <w:bCs w:val="0"/>
              <w:i w:val="0"/>
              <w:iCs w:val="0"/>
              <w:noProof/>
              <w:lang w:eastAsia="en-GB"/>
            </w:rPr>
          </w:pPr>
          <w:hyperlink w:anchor="_Toc224723385" w:history="1">
            <w:r w:rsidRPr="00611EC1">
              <w:rPr>
                <w:rStyle w:val="Hyperlink"/>
                <w:noProof/>
                <w:lang w:val="en-US"/>
              </w:rPr>
              <w:t>References</w:t>
            </w:r>
            <w:r>
              <w:rPr>
                <w:noProof/>
                <w:webHidden/>
              </w:rPr>
              <w:tab/>
            </w:r>
            <w:r>
              <w:rPr>
                <w:noProof/>
                <w:webHidden/>
              </w:rPr>
              <w:fldChar w:fldCharType="begin"/>
            </w:r>
            <w:r>
              <w:rPr>
                <w:noProof/>
                <w:webHidden/>
              </w:rPr>
              <w:instrText xml:space="preserve"> PAGEREF _Toc224723385 \h </w:instrText>
            </w:r>
            <w:r>
              <w:rPr>
                <w:noProof/>
                <w:webHidden/>
              </w:rPr>
            </w:r>
            <w:r>
              <w:rPr>
                <w:noProof/>
                <w:webHidden/>
              </w:rPr>
              <w:fldChar w:fldCharType="separate"/>
            </w:r>
            <w:r>
              <w:rPr>
                <w:noProof/>
                <w:webHidden/>
              </w:rPr>
              <w:t>8</w:t>
            </w:r>
            <w:r>
              <w:rPr>
                <w:noProof/>
                <w:webHidden/>
              </w:rPr>
              <w:fldChar w:fldCharType="end"/>
            </w:r>
          </w:hyperlink>
        </w:p>
        <w:p w14:paraId="1B107003" w14:textId="52B1F480" w:rsidR="000641BA" w:rsidRDefault="000641BA">
          <w:r>
            <w:rPr>
              <w:b/>
              <w:bCs/>
              <w:noProof/>
            </w:rPr>
            <w:fldChar w:fldCharType="end"/>
          </w:r>
        </w:p>
      </w:sdtContent>
    </w:sdt>
    <w:p w14:paraId="33D43955" w14:textId="77777777" w:rsidR="00006CB0" w:rsidRPr="00392BEF" w:rsidRDefault="00006CB0"/>
    <w:p w14:paraId="22985491" w14:textId="77777777" w:rsidR="00392BEF" w:rsidRDefault="00392BEF">
      <w:pPr>
        <w:rPr>
          <w:lang w:val="en-US"/>
        </w:rPr>
      </w:pPr>
    </w:p>
    <w:p w14:paraId="60FEF763" w14:textId="77777777" w:rsidR="00392BEF" w:rsidRDefault="00392BEF">
      <w:pPr>
        <w:rPr>
          <w:lang w:val="en-US"/>
        </w:rPr>
      </w:pPr>
    </w:p>
    <w:p w14:paraId="7FF30655" w14:textId="77777777" w:rsidR="00392BEF" w:rsidRDefault="00392BEF">
      <w:pPr>
        <w:rPr>
          <w:lang w:val="en-US"/>
        </w:rPr>
      </w:pPr>
    </w:p>
    <w:p w14:paraId="3FCA5AF9" w14:textId="77777777" w:rsidR="00392BEF" w:rsidRDefault="00392BEF">
      <w:pPr>
        <w:rPr>
          <w:lang w:val="en-US"/>
        </w:rPr>
      </w:pPr>
    </w:p>
    <w:p w14:paraId="158B4FC4" w14:textId="77777777" w:rsidR="00FD368F" w:rsidRDefault="00FD368F">
      <w:pPr>
        <w:rPr>
          <w:lang w:val="en-US"/>
        </w:rPr>
      </w:pPr>
    </w:p>
    <w:p w14:paraId="6C485BF5" w14:textId="377EDB9D" w:rsidR="00FD368F" w:rsidRPr="00FC7B79" w:rsidRDefault="00483AC6" w:rsidP="00483AC6">
      <w:pPr>
        <w:pStyle w:val="Title"/>
        <w:rPr>
          <w:sz w:val="48"/>
          <w:szCs w:val="48"/>
          <w:lang w:val="en-US"/>
        </w:rPr>
      </w:pPr>
      <w:bookmarkStart w:id="0" w:name="OLE_LINK3"/>
      <w:r w:rsidRPr="00FC7B79">
        <w:rPr>
          <w:sz w:val="48"/>
          <w:szCs w:val="48"/>
          <w:lang w:val="en-US"/>
        </w:rPr>
        <w:lastRenderedPageBreak/>
        <w:t>Part A</w:t>
      </w:r>
    </w:p>
    <w:p w14:paraId="3CA87783" w14:textId="77777777" w:rsidR="00480E17" w:rsidRPr="000641BA" w:rsidRDefault="00480E17" w:rsidP="00480E17">
      <w:pPr>
        <w:pStyle w:val="Heading1"/>
        <w:rPr>
          <w:color w:val="000000" w:themeColor="text1"/>
          <w:lang w:val="en-US"/>
        </w:rPr>
      </w:pPr>
      <w:bookmarkStart w:id="1" w:name="_Toc224723374"/>
      <w:bookmarkStart w:id="2" w:name="OLE_LINK6"/>
      <w:r w:rsidRPr="000641BA">
        <w:rPr>
          <w:color w:val="000000" w:themeColor="text1"/>
          <w:lang w:val="en-US"/>
        </w:rPr>
        <w:t>Erikson’s Psychosocial Theory of Ageing</w:t>
      </w:r>
      <w:bookmarkEnd w:id="1"/>
    </w:p>
    <w:p w14:paraId="372AB4ED" w14:textId="68116593" w:rsidR="00480E17" w:rsidRPr="00480E17" w:rsidRDefault="000641BA" w:rsidP="00480E17">
      <w:r w:rsidRPr="000641BA">
        <w:t>According to Erikson's theory, there are eight psychosocial stages that occur throughout life, and each one involves a crisis resolution that is crucial to the formation of personality. From trust versus mistrust in infancy to identity versus role confusion in adolescence, the stages advance. The eighth stage, ego integrity vs. despair (age 65+), focuses on life review. Integrity results from acknowledging the significance of one's existence, which leads to wisdom, fulfilment, and calm readiness for death. Unresolved regrets lead to despair, which is exacerbated by health deterioration, bereavement, or loneliness and shows up as bitterness, hopelessness, and mortality worries (Mast and Zimmer-</w:t>
      </w:r>
      <w:proofErr w:type="spellStart"/>
      <w:r w:rsidRPr="000641BA">
        <w:t>Gembeck</w:t>
      </w:r>
      <w:proofErr w:type="spellEnd"/>
      <w:r w:rsidRPr="000641BA">
        <w:t>, 2015, pp. 124-126).</w:t>
      </w:r>
    </w:p>
    <w:p w14:paraId="1461603B" w14:textId="0A8628FD" w:rsidR="00480E17" w:rsidRDefault="000641BA" w:rsidP="00480E17">
      <w:r w:rsidRPr="000641BA">
        <w:t xml:space="preserve">This approach assists personnel in understanding residents' introspection—withdrawal, irritation, or nostalgia—as natural integrity difficulties rather than just dementia or non-compliance in UK care facilities. As this report's Margaret case study illustrates, therapeutic solutions include life review techniques like photo-prompted storytelling, which support regret reframe toward integrity. The source does a great job of connecting midlife generativity to later resilience, but it </w:t>
      </w:r>
      <w:proofErr w:type="gramStart"/>
      <w:r w:rsidRPr="000641BA">
        <w:t>has to</w:t>
      </w:r>
      <w:proofErr w:type="gramEnd"/>
      <w:r w:rsidRPr="000641BA">
        <w:t xml:space="preserve"> be supplemented with useful guidelines for people who are frail or have cognitive impairments (Mast and Zimmer-</w:t>
      </w:r>
      <w:proofErr w:type="spellStart"/>
      <w:r w:rsidRPr="000641BA">
        <w:t>Gembeck</w:t>
      </w:r>
      <w:proofErr w:type="spellEnd"/>
      <w:r w:rsidRPr="000641BA">
        <w:t>, 2015, p. 136).</w:t>
      </w:r>
    </w:p>
    <w:p w14:paraId="7C0EFC0E" w14:textId="77777777" w:rsidR="00480E17" w:rsidRPr="000641BA" w:rsidRDefault="00480E17" w:rsidP="00480E17">
      <w:pPr>
        <w:pStyle w:val="Heading1"/>
        <w:rPr>
          <w:color w:val="000000" w:themeColor="text1"/>
          <w:lang w:val="en-US"/>
        </w:rPr>
      </w:pPr>
      <w:bookmarkStart w:id="3" w:name="_Toc224723375"/>
      <w:bookmarkStart w:id="4" w:name="OLE_LINK8"/>
      <w:r w:rsidRPr="000641BA">
        <w:rPr>
          <w:color w:val="000000" w:themeColor="text1"/>
          <w:lang w:val="en-US"/>
        </w:rPr>
        <w:t>Generativity, Ego Integrity and Ageing Well</w:t>
      </w:r>
      <w:bookmarkEnd w:id="3"/>
    </w:p>
    <w:p w14:paraId="69A0D5C2" w14:textId="23AADA7F" w:rsidR="00480E17" w:rsidRDefault="000641BA" w:rsidP="00480E17">
      <w:bookmarkStart w:id="5" w:name="OLE_LINK9"/>
      <w:bookmarkStart w:id="6" w:name="OLE_LINK4"/>
      <w:bookmarkEnd w:id="2"/>
      <w:bookmarkEnd w:id="4"/>
      <w:r w:rsidRPr="000641BA">
        <w:t>According to Mast and Zimmer-</w:t>
      </w:r>
      <w:proofErr w:type="spellStart"/>
      <w:r w:rsidRPr="000641BA">
        <w:t>Gembeck</w:t>
      </w:r>
      <w:proofErr w:type="spellEnd"/>
      <w:r w:rsidRPr="000641BA">
        <w:t xml:space="preserve"> (2015), midlife generativity—raising the next generation and making contributions to society—predicts successful ego integrity in later life, guarding against depression, hopelessness, and cognitive decline. Psychosocial qualities are developed through generativity vs. stagnation (stage 7, mid-adulthood); strong scorers demonstrate resilience in old age through legacy-building activities like volunteering or mentoring. When confronted with the losses of residential care, failure increases the likelihood of despair (Mast and Zimmer-</w:t>
      </w:r>
      <w:proofErr w:type="spellStart"/>
      <w:r w:rsidRPr="000641BA">
        <w:t>Gembeck</w:t>
      </w:r>
      <w:proofErr w:type="spellEnd"/>
      <w:r w:rsidRPr="000641BA">
        <w:t>, 2015, pp. 127-130). Midlife generativity is linked to improved ageing outcomes and fewer mental health problems, according to longitudinal studies.</w:t>
      </w:r>
    </w:p>
    <w:p w14:paraId="3A28A5D1" w14:textId="010E312A" w:rsidR="00BB7CE3" w:rsidRPr="00BB7CE3" w:rsidRDefault="000641BA" w:rsidP="00480E17">
      <w:pPr>
        <w:rPr>
          <w:color w:val="0E2841" w:themeColor="text2"/>
          <w:sz w:val="18"/>
          <w:szCs w:val="18"/>
        </w:rPr>
      </w:pPr>
      <w:proofErr w:type="gramStart"/>
      <w:r w:rsidRPr="000641BA">
        <w:t>In order to</w:t>
      </w:r>
      <w:proofErr w:type="gramEnd"/>
      <w:r w:rsidRPr="000641BA">
        <w:t xml:space="preserve"> improve mood and relationships, care home staff might use this information to design treatments that generate purpose, such as encouraging residents to share tales, mentor juniors, or participate in intergenerational initiatives. </w:t>
      </w:r>
      <w:proofErr w:type="gramStart"/>
      <w:r w:rsidRPr="000641BA">
        <w:t>Similar to</w:t>
      </w:r>
      <w:proofErr w:type="gramEnd"/>
      <w:r w:rsidRPr="000641BA">
        <w:t xml:space="preserve"> the advantages of a life review in Margaret's case study, these activities combat isolation. Extremely pertinent for UK environments that encourage active ageing; nonetheless, modifications for frailty—shorter sessions with staff prompts—are required. Although </w:t>
      </w:r>
      <w:r w:rsidRPr="000641BA">
        <w:lastRenderedPageBreak/>
        <w:t>the chapter emphasises independent seniors and calls for customised dementia protocols, its strength resides in empirical connections (Mast and Zimmer-</w:t>
      </w:r>
      <w:proofErr w:type="spellStart"/>
      <w:r w:rsidRPr="000641BA">
        <w:t>Gembeck</w:t>
      </w:r>
      <w:proofErr w:type="spellEnd"/>
      <w:r w:rsidRPr="000641BA">
        <w:t>, 2015, p. 135). When paired with Erikson's theory, care becomes strength-based rather than custodial.</w:t>
      </w:r>
    </w:p>
    <w:p w14:paraId="7CBC43ED" w14:textId="77777777" w:rsidR="00981387" w:rsidRPr="000641BA" w:rsidRDefault="00981387" w:rsidP="00981387">
      <w:pPr>
        <w:pStyle w:val="Heading1"/>
        <w:rPr>
          <w:color w:val="000000" w:themeColor="text1"/>
          <w:lang w:val="en-US"/>
        </w:rPr>
      </w:pPr>
      <w:bookmarkStart w:id="7" w:name="_Toc224723376"/>
      <w:r w:rsidRPr="000641BA">
        <w:rPr>
          <w:color w:val="000000" w:themeColor="text1"/>
          <w:lang w:val="en-US"/>
        </w:rPr>
        <w:t>Bowlby (1969) – Attachment Theory and Adult Relationships</w:t>
      </w:r>
      <w:bookmarkEnd w:id="7"/>
    </w:p>
    <w:p w14:paraId="18F297EE" w14:textId="37F83BB0" w:rsidR="00981387" w:rsidRDefault="000641BA" w:rsidP="00981387">
      <w:r w:rsidRPr="000641BA">
        <w:t>According to John Bowlby's attachment theory, children and primary carers form long-lasting emotional attachments that have a significant impact on interpersonal dynamics throughout life through "internal working models" of the self and others (Bowlby, 1969, pp. 45–50). In adulthood, secure early bonds foster self-assurance, emotional control, and healthy reliance. On the other hand, insecure attachments—avoidant (dismissive of intimacy) or anxious-ambivalent (fearful of abandonment)—maintain susceptibility to rejection or intimacy avoidance. Crucially, these models reactivate in later life when faced with stressors such a chronic disease, the death of a spouse, or moving into residential care; this might show up as increased reliance, retreat, or interpersonal disputes.</w:t>
      </w:r>
    </w:p>
    <w:p w14:paraId="5ED066B7" w14:textId="7A6A9D8D" w:rsidR="00414D05" w:rsidRPr="00414D05" w:rsidRDefault="000641BA" w:rsidP="00981387">
      <w:r w:rsidRPr="000641BA">
        <w:t xml:space="preserve">This lens sheds light on residents' post-transition behaviours for health and social care professionals, as demonstrated by Margaret's seclusion following her stroke in the case study that goes with it. Through consistent, compassionate contacts, staff can operate as dependable "secure bases," promoting the restoration of trust and openness to interventions such as life review therapy (Bowlby, 1969, p. 427). Diverse family arrangements outside of Western conventions are </w:t>
      </w:r>
      <w:proofErr w:type="gramStart"/>
      <w:r w:rsidRPr="000641BA">
        <w:t>taken into account</w:t>
      </w:r>
      <w:proofErr w:type="gramEnd"/>
      <w:r w:rsidRPr="000641BA">
        <w:t xml:space="preserve"> by culturally sensitive applications in UK care facilities. Although fundamental, Bowlby's work came before study on elders, therefore </w:t>
      </w:r>
      <w:proofErr w:type="gramStart"/>
      <w:r w:rsidRPr="000641BA">
        <w:t>in order to</w:t>
      </w:r>
      <w:proofErr w:type="gramEnd"/>
      <w:r w:rsidRPr="000641BA">
        <w:t xml:space="preserve"> maximise psychosocial support in addition to Erikson's stages, contemporary training supplements are required (Bowlby, 1969, p. 370).</w:t>
      </w:r>
    </w:p>
    <w:bookmarkEnd w:id="5"/>
    <w:p w14:paraId="3F49C720" w14:textId="77777777" w:rsidR="00414D05" w:rsidRDefault="00414D05" w:rsidP="00483AC6">
      <w:pPr>
        <w:pStyle w:val="Heading1"/>
        <w:rPr>
          <w:rFonts w:asciiTheme="minorHAnsi" w:eastAsiaTheme="minorHAnsi" w:hAnsiTheme="minorHAnsi" w:cstheme="minorBidi"/>
          <w:color w:val="auto"/>
          <w:sz w:val="24"/>
          <w:szCs w:val="24"/>
        </w:rPr>
      </w:pPr>
    </w:p>
    <w:p w14:paraId="291BF482" w14:textId="77777777" w:rsidR="00FC7B79" w:rsidRPr="000641BA" w:rsidRDefault="00FC7B79" w:rsidP="00FC7B79">
      <w:pPr>
        <w:pStyle w:val="Heading1"/>
        <w:rPr>
          <w:color w:val="000000" w:themeColor="text1"/>
          <w:lang w:val="en-US"/>
        </w:rPr>
      </w:pPr>
      <w:bookmarkStart w:id="8" w:name="_Toc224723377"/>
      <w:r w:rsidRPr="000641BA">
        <w:rPr>
          <w:color w:val="000000" w:themeColor="text1"/>
          <w:lang w:val="en-US"/>
        </w:rPr>
        <w:t>Dhingra and Khan (2023) – PERMA model and reminiscence in the elderly</w:t>
      </w:r>
      <w:bookmarkEnd w:id="8"/>
    </w:p>
    <w:bookmarkEnd w:id="6"/>
    <w:p w14:paraId="28A8DD24" w14:textId="5D180A8D" w:rsidR="00981387" w:rsidRDefault="000641BA" w:rsidP="00981387">
      <w:r w:rsidRPr="000641BA">
        <w:t>According to Dhingra and Khan, recollection therapy is guided by Seligman's PERMA model</w:t>
      </w:r>
      <w:r>
        <w:t xml:space="preserve">: </w:t>
      </w:r>
      <w:r w:rsidRPr="000641BA">
        <w:t>Positive Emotion, Engagement, Relationships, Meaning, Accomplishment</w:t>
      </w:r>
      <w:r>
        <w:t xml:space="preserve">; </w:t>
      </w:r>
      <w:r w:rsidRPr="000641BA">
        <w:t xml:space="preserve">to enhance senior psychological well-being. In structured sessions, prior events are revisited, identity is reinforced, losses are processed, and PERMA domains—accomplishment through success stories, joy from joyful memories, ties through </w:t>
      </w:r>
      <w:r w:rsidRPr="000641BA">
        <w:lastRenderedPageBreak/>
        <w:t>sharing, involvement in reflection, and meaning from life lessons—are activated. Reduced sadness, improved cognition, and social benefits over weeks have been shown in small-scale research (Dhingra and Khan, 2023, pp. 85-92).</w:t>
      </w:r>
    </w:p>
    <w:p w14:paraId="4152D0E5" w14:textId="379A7835" w:rsidR="00FC7B79" w:rsidRDefault="000641BA" w:rsidP="00981387">
      <w:r w:rsidRPr="000641BA">
        <w:t>Unlike problem-</w:t>
      </w:r>
      <w:proofErr w:type="spellStart"/>
      <w:r w:rsidRPr="000641BA">
        <w:t>centered</w:t>
      </w:r>
      <w:proofErr w:type="spellEnd"/>
      <w:r w:rsidRPr="000641BA">
        <w:t xml:space="preserve"> approaches, this clear framework for strength-focused groups is advantageous to care home staff. It directly helps life review, as demonstrated by Margaret's experience, where telling stories about her family and job turned her feelings of hopelessness into pride. Use appreciation circles and photo prompts once a week. Although dementia necessitates simpler versions and trained facilitators, UK settings effectively combat loneliness; sample limitations are noted in the source (Dhingra and Khan, 2023, p. 98). complements Erikson by using welfare indicators to measure integrity (Seligman and Csikszentmihalyi, 2000).</w:t>
      </w:r>
    </w:p>
    <w:p w14:paraId="5295E29E" w14:textId="77777777" w:rsidR="00FC7B79" w:rsidRDefault="00FC7B79" w:rsidP="00483AC6"/>
    <w:p w14:paraId="3597D4C3" w14:textId="77777777" w:rsidR="0052781A" w:rsidRDefault="0052781A" w:rsidP="00483AC6">
      <w:pPr>
        <w:rPr>
          <w:lang w:val="en-US"/>
        </w:rPr>
      </w:pPr>
    </w:p>
    <w:p w14:paraId="7B560868" w14:textId="144FE712" w:rsidR="00483AC6" w:rsidRDefault="00483AC6" w:rsidP="00483AC6">
      <w:pPr>
        <w:pStyle w:val="Title"/>
        <w:rPr>
          <w:lang w:val="en-US"/>
        </w:rPr>
      </w:pPr>
      <w:r>
        <w:rPr>
          <w:lang w:val="en-US"/>
        </w:rPr>
        <w:t>Part B</w:t>
      </w:r>
    </w:p>
    <w:p w14:paraId="0618C9B3" w14:textId="5E8212FA" w:rsidR="00483AC6" w:rsidRPr="000641BA" w:rsidRDefault="00483AC6" w:rsidP="00483AC6">
      <w:pPr>
        <w:pStyle w:val="Heading1"/>
        <w:rPr>
          <w:color w:val="000000" w:themeColor="text1"/>
          <w:lang w:val="en-US"/>
        </w:rPr>
      </w:pPr>
      <w:bookmarkStart w:id="9" w:name="_Toc224723378"/>
      <w:r w:rsidRPr="000641BA">
        <w:rPr>
          <w:color w:val="000000" w:themeColor="text1"/>
          <w:lang w:val="en-US"/>
        </w:rPr>
        <w:t>Introduction</w:t>
      </w:r>
      <w:bookmarkEnd w:id="9"/>
    </w:p>
    <w:p w14:paraId="6C7F77DA" w14:textId="757BB95A" w:rsidR="004C41CF" w:rsidRDefault="000641BA" w:rsidP="004C41CF">
      <w:r w:rsidRPr="000641BA">
        <w:t>Erikson's psychosocial theory, especially its last stage of Ego Integrity vs. Despair, provides insightful guidance for promoting psychological welfare among elderly residents of residential care institutions. Using Margaret as a real-world case study, this research highlights the transforming potential of person-centred therapies and life review exercises. Margaret's gloomy attitude, social disengagement, and statements like "my life is over," which were exacerbated by physical losses, were among her indicators of despair when she was admitted at the age of 82 after a stroke. Encouraged by personal images, the twelve weekly sessions allowed her to reflect on her 40-year nursing career, wartime resilience, and family milestones. This allowed her to reframe her regrets into a cohesive, meaningful narrative, which in turn promoted ego integrity, increased mood, and peer connections.</w:t>
      </w:r>
    </w:p>
    <w:p w14:paraId="7B6BFEEE" w14:textId="7125D949" w:rsidR="00392BEF" w:rsidRDefault="004C41CF" w:rsidP="004C41CF">
      <w:r>
        <w:t>By addressing key implementation issues for UK care home staff, the paper shows how Erikson’s framework elevates routine care from custodial to therapeutically meaningful (Butler, 1963, p. 66).</w:t>
      </w:r>
    </w:p>
    <w:p w14:paraId="3C457A52" w14:textId="512B0BAE" w:rsidR="00483AC6" w:rsidRPr="000641BA" w:rsidRDefault="00483AC6" w:rsidP="00483AC6">
      <w:pPr>
        <w:pStyle w:val="Heading1"/>
        <w:rPr>
          <w:color w:val="000000" w:themeColor="text1"/>
          <w:lang w:val="en-US"/>
        </w:rPr>
      </w:pPr>
      <w:bookmarkStart w:id="10" w:name="_Toc224723379"/>
      <w:r w:rsidRPr="000641BA">
        <w:rPr>
          <w:color w:val="000000" w:themeColor="text1"/>
          <w:lang w:val="en-US"/>
        </w:rPr>
        <w:t>Erikson’s Ego Integrity and Despair in Residential Care</w:t>
      </w:r>
      <w:bookmarkEnd w:id="10"/>
    </w:p>
    <w:p w14:paraId="79EC3A5E" w14:textId="73DD092B" w:rsidR="004C41CF" w:rsidRDefault="000641BA" w:rsidP="004C41CF">
      <w:r w:rsidRPr="000641BA">
        <w:t>Erikson's final psychosocial stage asks older persons to either integrate life experiences for ego integrity</w:t>
      </w:r>
      <w:r>
        <w:t xml:space="preserve">, </w:t>
      </w:r>
      <w:r w:rsidRPr="000641BA">
        <w:t>embracing completeness with knowledge and peace</w:t>
      </w:r>
      <w:r>
        <w:t xml:space="preserve">, </w:t>
      </w:r>
      <w:r w:rsidRPr="000641BA">
        <w:t xml:space="preserve">or give in to hopelessness due to unresolved regrets, resentment over missed opportunities, and </w:t>
      </w:r>
      <w:r w:rsidRPr="000641BA">
        <w:lastRenderedPageBreak/>
        <w:t>fear of dying. This is exacerbated in care home settings by several losses, such as deteriorating health, the death of a spouse, reduced independence, and peer isolation, which show themselves as Margaret's depressed withdrawal and pessimistic perspective after the stroke. According to Seligman and Csikszentmihalyi (2000), p. 10, "Integrity resolution yields purpose; despair perpetuates cycles of melancholy." Positive psychology observes deficiencies in wellbeing in unintegrated ageing.</w:t>
      </w:r>
    </w:p>
    <w:p w14:paraId="1BD6B604" w14:textId="76882952" w:rsidR="00524EC6" w:rsidRDefault="004C41CF" w:rsidP="004C41CF">
      <w:pPr>
        <w:rPr>
          <w:lang w:val="en-US"/>
        </w:rPr>
      </w:pPr>
      <w:r>
        <w:t>Care professionals, armed with this insight, employ reflective interventions like life review alongside attachment-sensitive care to reconstruct meaning, elevating physical routines to holistic support fostering PERMA elements.</w:t>
      </w:r>
    </w:p>
    <w:p w14:paraId="1E302A5E" w14:textId="77777777" w:rsidR="00524EC6" w:rsidRPr="000641BA" w:rsidRDefault="00524EC6" w:rsidP="00524EC6">
      <w:pPr>
        <w:pStyle w:val="Heading1"/>
        <w:rPr>
          <w:color w:val="000000" w:themeColor="text1"/>
          <w:lang w:val="en-US"/>
        </w:rPr>
      </w:pPr>
      <w:bookmarkStart w:id="11" w:name="OLE_LINK2"/>
      <w:bookmarkStart w:id="12" w:name="_Toc224723380"/>
      <w:bookmarkStart w:id="13" w:name="OLE_LINK1"/>
      <w:r w:rsidRPr="000641BA">
        <w:rPr>
          <w:color w:val="000000" w:themeColor="text1"/>
          <w:lang w:val="en-US"/>
        </w:rPr>
        <w:t>Implementing Life Review Activities for Resident Wellbeing</w:t>
      </w:r>
      <w:bookmarkEnd w:id="11"/>
      <w:bookmarkEnd w:id="12"/>
    </w:p>
    <w:bookmarkEnd w:id="13"/>
    <w:p w14:paraId="544F767D" w14:textId="24092BB1" w:rsidR="00FD368F" w:rsidRDefault="000641BA">
      <w:pPr>
        <w:rPr>
          <w:lang w:val="en-US"/>
        </w:rPr>
      </w:pPr>
      <w:r w:rsidRPr="000641BA">
        <w:rPr>
          <w:lang w:val="en-US"/>
        </w:rPr>
        <w:t>In a structured recollection intervention known as a "life review," caretakers guide individuals through their life narratives, looking at significant events, relationships, and achievements. With the help of this therapeutic approach, residents can deal with residual regrets and find purpose in their experiences. Evidence-based approaches include photo albums, oral histories, and facilitated conversations about important life events. It has been demonstrated that structured life reviews significantly reduce anxiety and depression in older adults and enhance ego integrity. To encourage psychological wellness, reduce social isolation, and foster relationships between residents and staff, trained staff members can conduct weekly one-on-one or group sessions in residential care settings.</w:t>
      </w:r>
    </w:p>
    <w:p w14:paraId="53A06058" w14:textId="77777777" w:rsidR="00524EC6" w:rsidRDefault="00524EC6">
      <w:pPr>
        <w:rPr>
          <w:lang w:val="en-US"/>
        </w:rPr>
      </w:pPr>
    </w:p>
    <w:p w14:paraId="1C6CA350" w14:textId="718E91D1" w:rsidR="0058500E" w:rsidRPr="000641BA" w:rsidRDefault="0058500E" w:rsidP="0058500E">
      <w:pPr>
        <w:pStyle w:val="Heading1"/>
        <w:rPr>
          <w:color w:val="000000" w:themeColor="text1"/>
          <w:lang w:val="en-US"/>
        </w:rPr>
      </w:pPr>
      <w:bookmarkStart w:id="14" w:name="_Toc224723381"/>
      <w:r w:rsidRPr="000641BA">
        <w:rPr>
          <w:color w:val="000000" w:themeColor="text1"/>
          <w:lang w:val="en-US"/>
        </w:rPr>
        <w:t>Case Study of Life Review in Practice</w:t>
      </w:r>
      <w:bookmarkEnd w:id="14"/>
    </w:p>
    <w:p w14:paraId="2677109F" w14:textId="5AE09C83" w:rsidR="0058500E" w:rsidRDefault="000641BA" w:rsidP="00A806FE">
      <w:r w:rsidRPr="000641BA">
        <w:t>Margaret displayed Erikson's despair upon being admitted to residential care at the age of 82 following her stroke, including withdrawal, melancholy, and statements such as "my life is over now." After noticing late-stage crisis indicators, staff recognised this and initiated a rigorous life assessment. Using pictures and personal objects as prompts, a healthcare assistant led twelve weekly sessions that examined Margaret's early life, experiences during the war, 40-year nursing career, and responsibilities as a mother and grandmother. Her service, tenacity, and strengths were continuously praised by the staff. By the end of the intervention, there was a noticeable shift to ego integrity and improved wellbeing, as seen by increased social engagement, pleasant mood, and pride when sharing tales with peers and staff (Butler, 1963, p. 68).</w:t>
      </w:r>
    </w:p>
    <w:p w14:paraId="32221A31" w14:textId="4CD9932C" w:rsidR="00530936" w:rsidRDefault="00530936" w:rsidP="0058500E">
      <w:pPr>
        <w:rPr>
          <w:lang w:val="en-US"/>
        </w:rPr>
      </w:pPr>
    </w:p>
    <w:p w14:paraId="75FD4F62" w14:textId="77777777" w:rsidR="0058500E" w:rsidRDefault="0058500E" w:rsidP="0058500E">
      <w:pPr>
        <w:rPr>
          <w:lang w:val="en-US"/>
        </w:rPr>
      </w:pPr>
    </w:p>
    <w:p w14:paraId="434B58BA" w14:textId="77777777" w:rsidR="00530936" w:rsidRDefault="00530936" w:rsidP="0058500E">
      <w:pPr>
        <w:rPr>
          <w:lang w:val="en-US"/>
        </w:rPr>
      </w:pPr>
    </w:p>
    <w:p w14:paraId="231633F7" w14:textId="77777777" w:rsidR="00530936" w:rsidRDefault="00530936" w:rsidP="0058500E">
      <w:pPr>
        <w:rPr>
          <w:lang w:val="en-US"/>
        </w:rPr>
      </w:pPr>
    </w:p>
    <w:p w14:paraId="263CA3AC" w14:textId="0759F593" w:rsidR="0058500E" w:rsidRPr="000641BA" w:rsidRDefault="0058500E" w:rsidP="0058500E">
      <w:pPr>
        <w:pStyle w:val="Heading1"/>
        <w:rPr>
          <w:color w:val="000000" w:themeColor="text1"/>
          <w:lang w:val="en-US"/>
        </w:rPr>
      </w:pPr>
      <w:bookmarkStart w:id="15" w:name="_Toc224723382"/>
      <w:r w:rsidRPr="000641BA">
        <w:rPr>
          <w:color w:val="000000" w:themeColor="text1"/>
          <w:lang w:val="en-US"/>
        </w:rPr>
        <w:t>Challenges and Limitations in Applying Erikson’s Theory</w:t>
      </w:r>
      <w:bookmarkEnd w:id="15"/>
    </w:p>
    <w:p w14:paraId="2D10577F" w14:textId="77777777" w:rsidR="000641BA" w:rsidRDefault="000641BA" w:rsidP="000641BA">
      <w:r>
        <w:t>Erikson's final stage is well-aligned with life review; nonetheless, residential applications encounter challenges. Structured reflection is disrupted by cognitive deficits such as dementia or delirium, necessitating reduced adjustments. Without expert facilitation, residents' unwillingness to revisit trauma and communication hurdles put them at risk for emotional discomfort. Despite employee engagement, meaningful connections are limited by task-focused routines, personnel shortages, and time constraints (</w:t>
      </w:r>
      <w:proofErr w:type="spellStart"/>
      <w:r>
        <w:t>Bolier</w:t>
      </w:r>
      <w:proofErr w:type="spellEnd"/>
      <w:r>
        <w:t xml:space="preserve"> et al., 2013, p. 119).</w:t>
      </w:r>
    </w:p>
    <w:p w14:paraId="18801D33" w14:textId="66F95D0E" w:rsidR="0058500E" w:rsidRDefault="000641BA" w:rsidP="000641BA">
      <w:pPr>
        <w:rPr>
          <w:lang w:val="en-US"/>
        </w:rPr>
      </w:pPr>
      <w:r>
        <w:t>Not everyone gains equally, and unsupported memories can exacerbate distress over upholding integrity. Emotional and cultural preparedness vary. For safe, adaptable delivery that is tailored to cognition, background, and needs—ensuring compassionate psychological care beyond physical necessities—staff members need to be trained, supervised, and given guidelines.</w:t>
      </w:r>
    </w:p>
    <w:p w14:paraId="0726FBD3" w14:textId="77777777" w:rsidR="0058500E" w:rsidRDefault="0058500E" w:rsidP="0058500E">
      <w:pPr>
        <w:rPr>
          <w:lang w:val="en-US"/>
        </w:rPr>
      </w:pPr>
    </w:p>
    <w:p w14:paraId="3727ED56" w14:textId="61068F7A" w:rsidR="0058500E" w:rsidRPr="000641BA" w:rsidRDefault="0058500E" w:rsidP="0058500E">
      <w:pPr>
        <w:pStyle w:val="Heading1"/>
        <w:rPr>
          <w:color w:val="000000" w:themeColor="text1"/>
          <w:lang w:val="en-US"/>
        </w:rPr>
      </w:pPr>
      <w:bookmarkStart w:id="16" w:name="_Toc224723383"/>
      <w:r w:rsidRPr="000641BA">
        <w:rPr>
          <w:color w:val="000000" w:themeColor="text1"/>
          <w:lang w:val="en-US"/>
        </w:rPr>
        <w:t>Recommendations for Care Home Implementation</w:t>
      </w:r>
      <w:bookmarkEnd w:id="16"/>
    </w:p>
    <w:p w14:paraId="0426AE67" w14:textId="77777777" w:rsidR="000641BA" w:rsidRDefault="000641BA" w:rsidP="000641BA">
      <w:r>
        <w:t xml:space="preserve">There are </w:t>
      </w:r>
      <w:proofErr w:type="gramStart"/>
      <w:r>
        <w:t>a number of</w:t>
      </w:r>
      <w:proofErr w:type="gramEnd"/>
      <w:r>
        <w:t xml:space="preserve"> evidence-based procedures that must be taken </w:t>
      </w:r>
      <w:proofErr w:type="gramStart"/>
      <w:r>
        <w:t>in order to</w:t>
      </w:r>
      <w:proofErr w:type="gramEnd"/>
      <w:r>
        <w:t xml:space="preserve"> successfully operationalise Erikson's theory and life review in UK residential care. First, required staff training on psychosocial development and interventions highlights the therapeutic significance of life review in addition to person-centred care, enabling teams to identify hopelessness and confidently lead sessions (Hart, 2021, p. 132).</w:t>
      </w:r>
    </w:p>
    <w:p w14:paraId="5AFD5645" w14:textId="77777777" w:rsidR="000641BA" w:rsidRDefault="000641BA" w:rsidP="000641BA">
      <w:r>
        <w:t>Second, policy changes prioritise flexible scheduling and sufficient staffing ratios, setting aside time during routines for one-on-one and group reflections. Third, regular psychosocial evaluations are incorporated into individual care plans, which customise life review (photo prompts, timelines) to cognitive abilities, cultural values, and preferences. Mood and wellbeing indicators are used to monitor progress.</w:t>
      </w:r>
    </w:p>
    <w:p w14:paraId="24436FB9" w14:textId="43E37F64" w:rsidR="00A806FE" w:rsidRDefault="000641BA" w:rsidP="000641BA">
      <w:r>
        <w:t>By integrating PERMA components like accomplishment-sharing, multidisciplinary teamwork brings together nurses, assistants, activity coordinators, and psychologists for holistic delivery. As demonstrated by Margaret's successes, pilot intergenerational mentoring—residents mentoring young people—extends generativity and combats isolation.</w:t>
      </w:r>
    </w:p>
    <w:p w14:paraId="7EDCB008" w14:textId="51DA4748" w:rsidR="00392BEF" w:rsidRDefault="00A806FE" w:rsidP="00A806FE">
      <w:r>
        <w:lastRenderedPageBreak/>
        <w:t>Evaluation through pre/post wellbeing measures ensures efficacy</w:t>
      </w:r>
      <w:r w:rsidR="000641BA">
        <w:t>,</w:t>
      </w:r>
      <w:r>
        <w:t xml:space="preserve"> funding advocacy underscores long-term savings from reduced depression/antipsychotics. These changes cultivate environments honouring legacies, promoting dignity and purpose in final years.</w:t>
      </w:r>
    </w:p>
    <w:p w14:paraId="002742DC" w14:textId="002DFA01" w:rsidR="00524EC6" w:rsidRPr="000641BA" w:rsidRDefault="0058500E" w:rsidP="00524EC6">
      <w:pPr>
        <w:pStyle w:val="Heading1"/>
        <w:rPr>
          <w:color w:val="000000" w:themeColor="text1"/>
          <w:lang w:val="en-US"/>
        </w:rPr>
      </w:pPr>
      <w:bookmarkStart w:id="17" w:name="_Toc224723384"/>
      <w:r w:rsidRPr="000641BA">
        <w:rPr>
          <w:color w:val="000000" w:themeColor="text1"/>
          <w:lang w:val="en-US"/>
        </w:rPr>
        <w:t>Conclusion</w:t>
      </w:r>
      <w:bookmarkEnd w:id="17"/>
    </w:p>
    <w:p w14:paraId="06A49243" w14:textId="1A6F308D" w:rsidR="00A806FE" w:rsidRDefault="000641BA" w:rsidP="00A806FE">
      <w:r w:rsidRPr="000641BA">
        <w:t xml:space="preserve">Margaret's transition serves as a great illustration of Erikson's psychosocial theory, namely ego integrity vs. despair, which offers a strong lens for improving psychological care in residential settings. Her twelve-session life review sparked significant transformation when she was admitted at the age of 82 following a stroke </w:t>
      </w:r>
      <w:proofErr w:type="gramStart"/>
      <w:r w:rsidRPr="000641BA">
        <w:t>in the midst of</w:t>
      </w:r>
      <w:proofErr w:type="gramEnd"/>
      <w:r w:rsidRPr="000641BA">
        <w:t xml:space="preserve"> the signs of despair: withdrawal, melancholy, and fatalistic statements. Re-examining the nursing heritage, wartime resilience, and familial ties transformed life's fabric from regret to cogent fulfilment, as evidenced by lively peer sharing, elevated spirits, and obvious pride—an example of integrity triumph (Dhingra and Khan, 2023, p. 92).</w:t>
      </w:r>
    </w:p>
    <w:p w14:paraId="655EDF3C" w14:textId="77777777" w:rsidR="000641BA" w:rsidRDefault="000641BA" w:rsidP="000641BA">
      <w:r>
        <w:t xml:space="preserve">This evidence-based intervention, which is based on person-centred recollection, highlights the practical effectiveness of theory by both mitigating developmental stasis and amplifying PERMA wellbeing areas. However, effectiveness depends on overcoming obstacles, such as cognitive impairments, limited resources, and inexperienced delivery, which could lead to </w:t>
      </w:r>
      <w:proofErr w:type="gramStart"/>
      <w:r>
        <w:t>less than ideal</w:t>
      </w:r>
      <w:proofErr w:type="gramEnd"/>
      <w:r>
        <w:t xml:space="preserve"> results.</w:t>
      </w:r>
    </w:p>
    <w:p w14:paraId="75472812" w14:textId="03A6F2C4" w:rsidR="00A806FE" w:rsidRDefault="000641BA" w:rsidP="000641BA">
      <w:r>
        <w:t>Comprehensive staff upskilling in psychosocial facilitation, policy-mandated protected engagement time, culturally sensitive care mapping, and rigorous result auditing using validated scales are all essential strategic reforms. Diverse expertise is leveraged for comprehensive support through multidisciplinary synergy.</w:t>
      </w:r>
    </w:p>
    <w:p w14:paraId="0B8E372B" w14:textId="3FC2ECB7" w:rsidR="00FD368F" w:rsidRDefault="000641BA" w:rsidP="00A806FE">
      <w:r w:rsidRPr="000641BA">
        <w:t>In the end, adopting this paradigm recasts UK care facilities as strongholds of intentional ageing, where legacy cultivation takes precedence over physical provision. Once relegated to the shadows of custody, elders emerge as respectable storytellers of complex histories, navigating the latter chapters with insight, depth in relationships, and unwavering hope. This progress respects human potential and benefits society by increasing resident vitality and caretaker satisfaction.</w:t>
      </w:r>
    </w:p>
    <w:p w14:paraId="4EADF37A" w14:textId="77777777" w:rsidR="000641BA" w:rsidRDefault="000641BA" w:rsidP="00A806FE"/>
    <w:p w14:paraId="30A49C49" w14:textId="77777777" w:rsidR="000641BA" w:rsidRDefault="000641BA" w:rsidP="00A806FE"/>
    <w:p w14:paraId="1E6CB357" w14:textId="77777777" w:rsidR="000641BA" w:rsidRDefault="000641BA" w:rsidP="00A806FE"/>
    <w:p w14:paraId="3E2FACE3" w14:textId="77777777" w:rsidR="000641BA" w:rsidRDefault="000641BA" w:rsidP="00A806FE">
      <w:pPr>
        <w:rPr>
          <w:lang w:val="en-US"/>
        </w:rPr>
      </w:pPr>
    </w:p>
    <w:p w14:paraId="62CCF07E" w14:textId="1D2DC50C" w:rsidR="00FD368F" w:rsidRPr="000641BA" w:rsidRDefault="00FD368F" w:rsidP="00FD368F">
      <w:pPr>
        <w:pStyle w:val="Heading1"/>
        <w:rPr>
          <w:color w:val="000000" w:themeColor="text1"/>
          <w:lang w:val="en-US"/>
        </w:rPr>
      </w:pPr>
      <w:bookmarkStart w:id="18" w:name="_Toc224723385"/>
      <w:bookmarkStart w:id="19" w:name="OLE_LINK5"/>
      <w:r w:rsidRPr="000641BA">
        <w:rPr>
          <w:color w:val="000000" w:themeColor="text1"/>
          <w:lang w:val="en-US"/>
        </w:rPr>
        <w:lastRenderedPageBreak/>
        <w:t>References</w:t>
      </w:r>
      <w:bookmarkEnd w:id="18"/>
    </w:p>
    <w:bookmarkEnd w:id="0"/>
    <w:bookmarkEnd w:id="19"/>
    <w:p w14:paraId="520809AB" w14:textId="77777777" w:rsidR="00480E17" w:rsidRPr="00480E17" w:rsidRDefault="00480E17" w:rsidP="00480E17">
      <w:pPr>
        <w:rPr>
          <w:lang w:val="en-US"/>
        </w:rPr>
      </w:pPr>
      <w:proofErr w:type="spellStart"/>
      <w:r w:rsidRPr="00480E17">
        <w:rPr>
          <w:lang w:val="en-US"/>
        </w:rPr>
        <w:t>Bolier</w:t>
      </w:r>
      <w:proofErr w:type="spellEnd"/>
      <w:r w:rsidRPr="00480E17">
        <w:rPr>
          <w:lang w:val="en-US"/>
        </w:rPr>
        <w:t>, L. et al. (2013) ‘Positive psychology interventions: A meta-analysis of randomized controlled studies’, BMC Public Health, 13, p.119.</w:t>
      </w:r>
    </w:p>
    <w:p w14:paraId="1967B4B3" w14:textId="77777777" w:rsidR="00480E17" w:rsidRPr="00480E17" w:rsidRDefault="00480E17" w:rsidP="00480E17">
      <w:pPr>
        <w:rPr>
          <w:lang w:val="en-US"/>
        </w:rPr>
      </w:pPr>
      <w:r w:rsidRPr="00480E17">
        <w:rPr>
          <w:lang w:val="en-US"/>
        </w:rPr>
        <w:t>Bowlby, J. (1969) Attachment and loss: Volume 1 - Attachment. London: Hogarth Press.</w:t>
      </w:r>
    </w:p>
    <w:p w14:paraId="3A8BE6C2" w14:textId="77777777" w:rsidR="00480E17" w:rsidRPr="00480E17" w:rsidRDefault="00480E17" w:rsidP="00480E17">
      <w:pPr>
        <w:rPr>
          <w:lang w:val="en-US"/>
        </w:rPr>
      </w:pPr>
      <w:r w:rsidRPr="00480E17">
        <w:rPr>
          <w:lang w:val="en-US"/>
        </w:rPr>
        <w:t>Butler, R.N. (1963) ‘The life review: An interpretation of reminiscence in the aged’, Psychiatry, 26(1), pp. 65-76.</w:t>
      </w:r>
    </w:p>
    <w:p w14:paraId="24206F01" w14:textId="77777777" w:rsidR="00480E17" w:rsidRPr="00480E17" w:rsidRDefault="00480E17" w:rsidP="00480E17">
      <w:pPr>
        <w:rPr>
          <w:lang w:val="en-US"/>
        </w:rPr>
      </w:pPr>
      <w:r w:rsidRPr="00480E17">
        <w:rPr>
          <w:lang w:val="en-US"/>
        </w:rPr>
        <w:t>Dhingra, A. and Khan, W. (2023) ‘The PERMA model of wellbeing: A comprehensive framework for enhancing reminiscence in the elderly’, Journal of Geriatric Psychology, 10(5).</w:t>
      </w:r>
    </w:p>
    <w:p w14:paraId="0B4F3AA1" w14:textId="77777777" w:rsidR="00480E17" w:rsidRPr="00480E17" w:rsidRDefault="00480E17" w:rsidP="00480E17">
      <w:pPr>
        <w:rPr>
          <w:lang w:val="en-US"/>
        </w:rPr>
      </w:pPr>
      <w:r w:rsidRPr="00480E17">
        <w:rPr>
          <w:lang w:val="en-US"/>
        </w:rPr>
        <w:t>Hart, R. (2021) Positive psychology: The basics. London: Routledge.</w:t>
      </w:r>
    </w:p>
    <w:p w14:paraId="7988EDFA" w14:textId="77777777" w:rsidR="00480E17" w:rsidRPr="00480E17" w:rsidRDefault="00480E17" w:rsidP="00480E17">
      <w:pPr>
        <w:rPr>
          <w:lang w:val="en-US"/>
        </w:rPr>
      </w:pPr>
      <w:r w:rsidRPr="00480E17">
        <w:rPr>
          <w:lang w:val="en-US"/>
        </w:rPr>
        <w:t>Mast, B.T. and Zimmer-</w:t>
      </w:r>
      <w:proofErr w:type="spellStart"/>
      <w:r w:rsidRPr="00480E17">
        <w:rPr>
          <w:lang w:val="en-US"/>
        </w:rPr>
        <w:t>Gembeck</w:t>
      </w:r>
      <w:proofErr w:type="spellEnd"/>
      <w:r w:rsidRPr="00480E17">
        <w:rPr>
          <w:lang w:val="en-US"/>
        </w:rPr>
        <w:t xml:space="preserve">, M.J. (2015) ‘Generativity, ego integrity and the attainment of aging well’, in K.W. </w:t>
      </w:r>
      <w:proofErr w:type="spellStart"/>
      <w:r w:rsidRPr="00480E17">
        <w:rPr>
          <w:lang w:val="en-US"/>
        </w:rPr>
        <w:t>Schaie</w:t>
      </w:r>
      <w:proofErr w:type="spellEnd"/>
      <w:r w:rsidRPr="00480E17">
        <w:rPr>
          <w:lang w:val="en-US"/>
        </w:rPr>
        <w:t xml:space="preserve"> and S.L. Willis (eds.) Handbook of the Psychology of Aging. 8th </w:t>
      </w:r>
      <w:proofErr w:type="spellStart"/>
      <w:r w:rsidRPr="00480E17">
        <w:rPr>
          <w:lang w:val="en-US"/>
        </w:rPr>
        <w:t>edn</w:t>
      </w:r>
      <w:proofErr w:type="spellEnd"/>
      <w:r w:rsidRPr="00480E17">
        <w:rPr>
          <w:lang w:val="en-US"/>
        </w:rPr>
        <w:t>. San Diego: Academic Press, pp. 123-137.</w:t>
      </w:r>
    </w:p>
    <w:p w14:paraId="514AA224" w14:textId="151E9891" w:rsidR="00530936" w:rsidRDefault="00480E17" w:rsidP="00480E17">
      <w:pPr>
        <w:rPr>
          <w:lang w:val="en-US"/>
        </w:rPr>
      </w:pPr>
      <w:r w:rsidRPr="00480E17">
        <w:rPr>
          <w:lang w:val="en-US"/>
        </w:rPr>
        <w:t>Seligman, M.E.P. and Csikszentmihalyi, M. (2000) ‘Positive psychology: An introduction’, American Psychologist, 55(1), pp. 5-14.</w:t>
      </w:r>
    </w:p>
    <w:p w14:paraId="095C464B" w14:textId="595085DB" w:rsidR="00530936" w:rsidRPr="00FD368F" w:rsidRDefault="00530936" w:rsidP="00FD368F">
      <w:pPr>
        <w:rPr>
          <w:lang w:val="en-US"/>
        </w:rPr>
      </w:pPr>
    </w:p>
    <w:sectPr w:rsidR="00530936" w:rsidRPr="00FD36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webkit-standard">
    <w:altName w:val="Cambri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68F"/>
    <w:rsid w:val="00006CB0"/>
    <w:rsid w:val="00030C68"/>
    <w:rsid w:val="00042886"/>
    <w:rsid w:val="000641BA"/>
    <w:rsid w:val="000D6484"/>
    <w:rsid w:val="002D5CB8"/>
    <w:rsid w:val="00325665"/>
    <w:rsid w:val="00392BEF"/>
    <w:rsid w:val="00414D05"/>
    <w:rsid w:val="0042494E"/>
    <w:rsid w:val="00480E17"/>
    <w:rsid w:val="00483AC6"/>
    <w:rsid w:val="004C41CF"/>
    <w:rsid w:val="00524EC6"/>
    <w:rsid w:val="0052781A"/>
    <w:rsid w:val="00530936"/>
    <w:rsid w:val="0058500E"/>
    <w:rsid w:val="00630EBC"/>
    <w:rsid w:val="006643DC"/>
    <w:rsid w:val="006A5DBA"/>
    <w:rsid w:val="006E2372"/>
    <w:rsid w:val="007E5E8A"/>
    <w:rsid w:val="0083519E"/>
    <w:rsid w:val="00872261"/>
    <w:rsid w:val="00950944"/>
    <w:rsid w:val="00981387"/>
    <w:rsid w:val="00A806FE"/>
    <w:rsid w:val="00BB7CE3"/>
    <w:rsid w:val="00C445CD"/>
    <w:rsid w:val="00FC7B79"/>
    <w:rsid w:val="00FD36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DB085"/>
  <w15:chartTrackingRefBased/>
  <w15:docId w15:val="{1D7274A4-0630-4F42-9D58-A8549F2CA0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36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36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36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36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36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36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36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36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36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36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36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36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36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36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36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36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36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368F"/>
    <w:rPr>
      <w:rFonts w:eastAsiaTheme="majorEastAsia" w:cstheme="majorBidi"/>
      <w:color w:val="272727" w:themeColor="text1" w:themeTint="D8"/>
    </w:rPr>
  </w:style>
  <w:style w:type="paragraph" w:styleId="Title">
    <w:name w:val="Title"/>
    <w:basedOn w:val="Normal"/>
    <w:next w:val="Normal"/>
    <w:link w:val="TitleChar"/>
    <w:uiPriority w:val="10"/>
    <w:qFormat/>
    <w:rsid w:val="00FD36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36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36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36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368F"/>
    <w:pPr>
      <w:spacing w:before="160"/>
      <w:jc w:val="center"/>
    </w:pPr>
    <w:rPr>
      <w:i/>
      <w:iCs/>
      <w:color w:val="404040" w:themeColor="text1" w:themeTint="BF"/>
    </w:rPr>
  </w:style>
  <w:style w:type="character" w:customStyle="1" w:styleId="QuoteChar">
    <w:name w:val="Quote Char"/>
    <w:basedOn w:val="DefaultParagraphFont"/>
    <w:link w:val="Quote"/>
    <w:uiPriority w:val="29"/>
    <w:rsid w:val="00FD368F"/>
    <w:rPr>
      <w:i/>
      <w:iCs/>
      <w:color w:val="404040" w:themeColor="text1" w:themeTint="BF"/>
    </w:rPr>
  </w:style>
  <w:style w:type="paragraph" w:styleId="ListParagraph">
    <w:name w:val="List Paragraph"/>
    <w:basedOn w:val="Normal"/>
    <w:uiPriority w:val="34"/>
    <w:qFormat/>
    <w:rsid w:val="00FD368F"/>
    <w:pPr>
      <w:ind w:left="720"/>
      <w:contextualSpacing/>
    </w:pPr>
  </w:style>
  <w:style w:type="character" w:styleId="IntenseEmphasis">
    <w:name w:val="Intense Emphasis"/>
    <w:basedOn w:val="DefaultParagraphFont"/>
    <w:uiPriority w:val="21"/>
    <w:qFormat/>
    <w:rsid w:val="00FD368F"/>
    <w:rPr>
      <w:i/>
      <w:iCs/>
      <w:color w:val="0F4761" w:themeColor="accent1" w:themeShade="BF"/>
    </w:rPr>
  </w:style>
  <w:style w:type="paragraph" w:styleId="IntenseQuote">
    <w:name w:val="Intense Quote"/>
    <w:basedOn w:val="Normal"/>
    <w:next w:val="Normal"/>
    <w:link w:val="IntenseQuoteChar"/>
    <w:uiPriority w:val="30"/>
    <w:qFormat/>
    <w:rsid w:val="00FD36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368F"/>
    <w:rPr>
      <w:i/>
      <w:iCs/>
      <w:color w:val="0F4761" w:themeColor="accent1" w:themeShade="BF"/>
    </w:rPr>
  </w:style>
  <w:style w:type="character" w:styleId="IntenseReference">
    <w:name w:val="Intense Reference"/>
    <w:basedOn w:val="DefaultParagraphFont"/>
    <w:uiPriority w:val="32"/>
    <w:qFormat/>
    <w:rsid w:val="00FD368F"/>
    <w:rPr>
      <w:b/>
      <w:bCs/>
      <w:smallCaps/>
      <w:color w:val="0F4761" w:themeColor="accent1" w:themeShade="BF"/>
      <w:spacing w:val="5"/>
    </w:rPr>
  </w:style>
  <w:style w:type="paragraph" w:customStyle="1" w:styleId="s2">
    <w:name w:val="s2"/>
    <w:basedOn w:val="Normal"/>
    <w:rsid w:val="00392BE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s4">
    <w:name w:val="s4"/>
    <w:basedOn w:val="Normal"/>
    <w:rsid w:val="00392BE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s6">
    <w:name w:val="s6"/>
    <w:basedOn w:val="Normal"/>
    <w:rsid w:val="00392BE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5">
    <w:name w:val="s5"/>
    <w:basedOn w:val="DefaultParagraphFont"/>
    <w:rsid w:val="00392BEF"/>
  </w:style>
  <w:style w:type="character" w:customStyle="1" w:styleId="apple-converted-space">
    <w:name w:val="apple-converted-space"/>
    <w:basedOn w:val="DefaultParagraphFont"/>
    <w:rsid w:val="00392BEF"/>
  </w:style>
  <w:style w:type="paragraph" w:styleId="TOCHeading">
    <w:name w:val="TOC Heading"/>
    <w:basedOn w:val="Heading1"/>
    <w:next w:val="Normal"/>
    <w:uiPriority w:val="39"/>
    <w:unhideWhenUsed/>
    <w:qFormat/>
    <w:rsid w:val="00392BEF"/>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392BEF"/>
    <w:pPr>
      <w:spacing w:before="120" w:after="0"/>
    </w:pPr>
    <w:rPr>
      <w:b/>
      <w:bCs/>
      <w:i/>
      <w:iCs/>
    </w:rPr>
  </w:style>
  <w:style w:type="character" w:styleId="Hyperlink">
    <w:name w:val="Hyperlink"/>
    <w:basedOn w:val="DefaultParagraphFont"/>
    <w:uiPriority w:val="99"/>
    <w:unhideWhenUsed/>
    <w:rsid w:val="00392BEF"/>
    <w:rPr>
      <w:color w:val="467886" w:themeColor="hyperlink"/>
      <w:u w:val="single"/>
    </w:rPr>
  </w:style>
  <w:style w:type="paragraph" w:styleId="TOC2">
    <w:name w:val="toc 2"/>
    <w:basedOn w:val="Normal"/>
    <w:next w:val="Normal"/>
    <w:autoRedefine/>
    <w:uiPriority w:val="39"/>
    <w:semiHidden/>
    <w:unhideWhenUsed/>
    <w:rsid w:val="00392BEF"/>
    <w:pPr>
      <w:spacing w:before="120" w:after="0"/>
      <w:ind w:left="240"/>
    </w:pPr>
    <w:rPr>
      <w:b/>
      <w:bCs/>
      <w:sz w:val="22"/>
      <w:szCs w:val="22"/>
    </w:rPr>
  </w:style>
  <w:style w:type="paragraph" w:styleId="TOC3">
    <w:name w:val="toc 3"/>
    <w:basedOn w:val="Normal"/>
    <w:next w:val="Normal"/>
    <w:autoRedefine/>
    <w:uiPriority w:val="39"/>
    <w:semiHidden/>
    <w:unhideWhenUsed/>
    <w:rsid w:val="00392BEF"/>
    <w:pPr>
      <w:spacing w:after="0"/>
      <w:ind w:left="480"/>
    </w:pPr>
    <w:rPr>
      <w:sz w:val="20"/>
      <w:szCs w:val="20"/>
    </w:rPr>
  </w:style>
  <w:style w:type="paragraph" w:styleId="TOC4">
    <w:name w:val="toc 4"/>
    <w:basedOn w:val="Normal"/>
    <w:next w:val="Normal"/>
    <w:autoRedefine/>
    <w:uiPriority w:val="39"/>
    <w:semiHidden/>
    <w:unhideWhenUsed/>
    <w:rsid w:val="00392BEF"/>
    <w:pPr>
      <w:spacing w:after="0"/>
      <w:ind w:left="720"/>
    </w:pPr>
    <w:rPr>
      <w:sz w:val="20"/>
      <w:szCs w:val="20"/>
    </w:rPr>
  </w:style>
  <w:style w:type="paragraph" w:styleId="TOC5">
    <w:name w:val="toc 5"/>
    <w:basedOn w:val="Normal"/>
    <w:next w:val="Normal"/>
    <w:autoRedefine/>
    <w:uiPriority w:val="39"/>
    <w:semiHidden/>
    <w:unhideWhenUsed/>
    <w:rsid w:val="00392BEF"/>
    <w:pPr>
      <w:spacing w:after="0"/>
      <w:ind w:left="960"/>
    </w:pPr>
    <w:rPr>
      <w:sz w:val="20"/>
      <w:szCs w:val="20"/>
    </w:rPr>
  </w:style>
  <w:style w:type="paragraph" w:styleId="TOC6">
    <w:name w:val="toc 6"/>
    <w:basedOn w:val="Normal"/>
    <w:next w:val="Normal"/>
    <w:autoRedefine/>
    <w:uiPriority w:val="39"/>
    <w:semiHidden/>
    <w:unhideWhenUsed/>
    <w:rsid w:val="00392BEF"/>
    <w:pPr>
      <w:spacing w:after="0"/>
      <w:ind w:left="1200"/>
    </w:pPr>
    <w:rPr>
      <w:sz w:val="20"/>
      <w:szCs w:val="20"/>
    </w:rPr>
  </w:style>
  <w:style w:type="paragraph" w:styleId="TOC7">
    <w:name w:val="toc 7"/>
    <w:basedOn w:val="Normal"/>
    <w:next w:val="Normal"/>
    <w:autoRedefine/>
    <w:uiPriority w:val="39"/>
    <w:semiHidden/>
    <w:unhideWhenUsed/>
    <w:rsid w:val="00392BEF"/>
    <w:pPr>
      <w:spacing w:after="0"/>
      <w:ind w:left="1440"/>
    </w:pPr>
    <w:rPr>
      <w:sz w:val="20"/>
      <w:szCs w:val="20"/>
    </w:rPr>
  </w:style>
  <w:style w:type="paragraph" w:styleId="TOC8">
    <w:name w:val="toc 8"/>
    <w:basedOn w:val="Normal"/>
    <w:next w:val="Normal"/>
    <w:autoRedefine/>
    <w:uiPriority w:val="39"/>
    <w:semiHidden/>
    <w:unhideWhenUsed/>
    <w:rsid w:val="00392BEF"/>
    <w:pPr>
      <w:spacing w:after="0"/>
      <w:ind w:left="1680"/>
    </w:pPr>
    <w:rPr>
      <w:sz w:val="20"/>
      <w:szCs w:val="20"/>
    </w:rPr>
  </w:style>
  <w:style w:type="paragraph" w:styleId="TOC9">
    <w:name w:val="toc 9"/>
    <w:basedOn w:val="Normal"/>
    <w:next w:val="Normal"/>
    <w:autoRedefine/>
    <w:uiPriority w:val="39"/>
    <w:semiHidden/>
    <w:unhideWhenUsed/>
    <w:rsid w:val="00392BEF"/>
    <w:pPr>
      <w:spacing w:after="0"/>
      <w:ind w:left="1920"/>
    </w:pPr>
    <w:rPr>
      <w:sz w:val="20"/>
      <w:szCs w:val="20"/>
    </w:rPr>
  </w:style>
  <w:style w:type="character" w:styleId="UnresolvedMention">
    <w:name w:val="Unresolved Mention"/>
    <w:basedOn w:val="DefaultParagraphFont"/>
    <w:uiPriority w:val="99"/>
    <w:semiHidden/>
    <w:unhideWhenUsed/>
    <w:rsid w:val="0083519E"/>
    <w:rPr>
      <w:color w:val="605E5C"/>
      <w:shd w:val="clear" w:color="auto" w:fill="E1DFDD"/>
    </w:rPr>
  </w:style>
  <w:style w:type="paragraph" w:styleId="Caption">
    <w:name w:val="caption"/>
    <w:basedOn w:val="Normal"/>
    <w:next w:val="Normal"/>
    <w:uiPriority w:val="35"/>
    <w:unhideWhenUsed/>
    <w:qFormat/>
    <w:rsid w:val="00FC7B79"/>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8</Pages>
  <Words>2491</Words>
  <Characters>14199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Ruth Bannor</cp:lastModifiedBy>
  <cp:revision>2</cp:revision>
  <dcterms:created xsi:type="dcterms:W3CDTF">2026-03-21T16:04:00Z</dcterms:created>
  <dcterms:modified xsi:type="dcterms:W3CDTF">2026-03-21T16:04:00Z</dcterms:modified>
</cp:coreProperties>
</file>