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A0C65" w14:textId="77777777" w:rsidR="002E1DA9" w:rsidRPr="002E1DA9" w:rsidRDefault="002E1DA9" w:rsidP="002E1DA9">
      <w:pPr>
        <w:spacing w:line="360" w:lineRule="auto"/>
        <w:jc w:val="center"/>
        <w:rPr>
          <w:rFonts w:ascii="Arial" w:eastAsia="Calibri" w:hAnsi="Arial" w:cs="Arial"/>
          <w:b/>
          <w:bCs/>
        </w:rPr>
      </w:pPr>
      <w:r w:rsidRPr="002E1DA9">
        <w:rPr>
          <w:rFonts w:ascii="Arial" w:eastAsia="Calibri" w:hAnsi="Arial" w:cs="Arial"/>
          <w:b/>
          <w:bCs/>
          <w:noProof/>
          <w:sz w:val="24"/>
          <w:szCs w:val="24"/>
          <w:lang w:val="en-IN" w:eastAsia="en-IN"/>
        </w:rPr>
        <w:drawing>
          <wp:inline distT="0" distB="0" distL="0" distR="0" wp14:anchorId="78CD9D4D" wp14:editId="03188BB0">
            <wp:extent cx="2417383" cy="1009650"/>
            <wp:effectExtent l="0" t="0" r="2540" b="0"/>
            <wp:docPr id="1639840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1954" cy="1019912"/>
                    </a:xfrm>
                    <a:prstGeom prst="rect">
                      <a:avLst/>
                    </a:prstGeom>
                    <a:noFill/>
                  </pic:spPr>
                </pic:pic>
              </a:graphicData>
            </a:graphic>
          </wp:inline>
        </w:drawing>
      </w:r>
    </w:p>
    <w:p w14:paraId="59DA2218" w14:textId="0F755AA8" w:rsidR="002E1DA9" w:rsidRPr="002E1DA9" w:rsidRDefault="456165FD" w:rsidP="58B82618">
      <w:pPr>
        <w:spacing w:line="360" w:lineRule="auto"/>
        <w:jc w:val="center"/>
        <w:rPr>
          <w:rFonts w:ascii="Arial" w:eastAsia="Calibri" w:hAnsi="Arial" w:cs="Arial"/>
          <w:b/>
          <w:bCs/>
          <w:sz w:val="40"/>
          <w:szCs w:val="40"/>
        </w:rPr>
      </w:pPr>
      <w:r w:rsidRPr="58B82618">
        <w:rPr>
          <w:rFonts w:ascii="Arial" w:eastAsia="Calibri" w:hAnsi="Arial" w:cs="Arial"/>
          <w:b/>
          <w:bCs/>
          <w:sz w:val="40"/>
          <w:szCs w:val="40"/>
        </w:rPr>
        <w:t xml:space="preserve">             </w:t>
      </w:r>
      <w:r w:rsidR="38CC1305" w:rsidRPr="58B82618">
        <w:rPr>
          <w:rFonts w:ascii="Arial" w:eastAsia="Calibri" w:hAnsi="Arial" w:cs="Arial"/>
          <w:b/>
          <w:bCs/>
          <w:sz w:val="40"/>
          <w:szCs w:val="40"/>
        </w:rPr>
        <w:t>Programme: BSc Health and Social Care</w:t>
      </w:r>
    </w:p>
    <w:p w14:paraId="54BA07F7" w14:textId="15372E5E" w:rsidR="10B0CD0E" w:rsidRDefault="10B0CD0E" w:rsidP="58B82618">
      <w:pPr>
        <w:spacing w:line="360" w:lineRule="auto"/>
        <w:jc w:val="center"/>
        <w:rPr>
          <w:rFonts w:ascii="Arial" w:eastAsia="Calibri" w:hAnsi="Arial" w:cs="Arial"/>
          <w:b/>
          <w:bCs/>
          <w:sz w:val="40"/>
          <w:szCs w:val="40"/>
        </w:rPr>
      </w:pPr>
      <w:r w:rsidRPr="58B82618">
        <w:rPr>
          <w:rFonts w:ascii="Arial" w:eastAsia="Calibri" w:hAnsi="Arial" w:cs="Arial"/>
          <w:b/>
          <w:bCs/>
          <w:sz w:val="40"/>
          <w:szCs w:val="40"/>
        </w:rPr>
        <w:t xml:space="preserve">                 </w:t>
      </w:r>
      <w:r w:rsidR="38CC1305" w:rsidRPr="58B82618">
        <w:rPr>
          <w:rFonts w:ascii="Arial" w:eastAsia="Calibri" w:hAnsi="Arial" w:cs="Arial"/>
          <w:b/>
          <w:bCs/>
          <w:sz w:val="40"/>
          <w:szCs w:val="40"/>
        </w:rPr>
        <w:t>Module: Introduction to Independent Rese</w:t>
      </w:r>
      <w:r w:rsidR="3A961A9A" w:rsidRPr="58B82618">
        <w:rPr>
          <w:rFonts w:ascii="Arial" w:eastAsia="Calibri" w:hAnsi="Arial" w:cs="Arial"/>
          <w:b/>
          <w:bCs/>
          <w:sz w:val="40"/>
          <w:szCs w:val="40"/>
        </w:rPr>
        <w:t>arch Skills</w:t>
      </w:r>
    </w:p>
    <w:p w14:paraId="199EBB75" w14:textId="638923EA" w:rsidR="3A961A9A" w:rsidRDefault="3A961A9A" w:rsidP="58B82618">
      <w:pPr>
        <w:spacing w:line="360" w:lineRule="auto"/>
        <w:jc w:val="center"/>
        <w:rPr>
          <w:rFonts w:ascii="Arial" w:eastAsia="Calibri" w:hAnsi="Arial" w:cs="Arial"/>
          <w:b/>
          <w:bCs/>
          <w:sz w:val="40"/>
          <w:szCs w:val="40"/>
        </w:rPr>
      </w:pPr>
      <w:r w:rsidRPr="58B82618">
        <w:rPr>
          <w:rFonts w:ascii="Arial" w:eastAsia="Calibri" w:hAnsi="Arial" w:cs="Arial"/>
          <w:b/>
          <w:bCs/>
          <w:sz w:val="40"/>
          <w:szCs w:val="40"/>
        </w:rPr>
        <w:t>Module code: BMHP5019</w:t>
      </w:r>
    </w:p>
    <w:p w14:paraId="46CDA428" w14:textId="1332D1C1" w:rsidR="3A961A9A" w:rsidRDefault="3A961A9A" w:rsidP="58B82618">
      <w:pPr>
        <w:spacing w:line="360" w:lineRule="auto"/>
        <w:jc w:val="center"/>
        <w:rPr>
          <w:rFonts w:ascii="Arial" w:eastAsia="Calibri" w:hAnsi="Arial" w:cs="Arial"/>
          <w:b/>
          <w:bCs/>
          <w:sz w:val="40"/>
          <w:szCs w:val="40"/>
        </w:rPr>
      </w:pPr>
      <w:r w:rsidRPr="58B82618">
        <w:rPr>
          <w:rFonts w:ascii="Arial" w:eastAsia="Calibri" w:hAnsi="Arial" w:cs="Arial"/>
          <w:b/>
          <w:bCs/>
          <w:sz w:val="40"/>
          <w:szCs w:val="40"/>
        </w:rPr>
        <w:t xml:space="preserve">Lecturer: </w:t>
      </w:r>
      <w:r w:rsidR="565CE054" w:rsidRPr="58B82618">
        <w:rPr>
          <w:rFonts w:ascii="Arial" w:eastAsia="Calibri" w:hAnsi="Arial" w:cs="Arial"/>
          <w:b/>
          <w:bCs/>
          <w:sz w:val="40"/>
          <w:szCs w:val="40"/>
        </w:rPr>
        <w:t>Rizwan Nadim</w:t>
      </w:r>
    </w:p>
    <w:p w14:paraId="4BD923ED" w14:textId="37FC7163" w:rsidR="21273DD0" w:rsidRDefault="21273DD0" w:rsidP="58B82618">
      <w:pPr>
        <w:jc w:val="center"/>
        <w:rPr>
          <w:rFonts w:ascii="Arial" w:eastAsia="Calibri" w:hAnsi="Arial" w:cs="Arial"/>
          <w:b/>
          <w:bCs/>
          <w:sz w:val="40"/>
          <w:szCs w:val="40"/>
        </w:rPr>
      </w:pPr>
      <w:r w:rsidRPr="58B82618">
        <w:rPr>
          <w:rFonts w:ascii="Arial" w:eastAsia="Calibri" w:hAnsi="Arial" w:cs="Arial"/>
          <w:b/>
          <w:bCs/>
          <w:sz w:val="40"/>
          <w:szCs w:val="40"/>
        </w:rPr>
        <w:t xml:space="preserve">               </w:t>
      </w:r>
      <w:r w:rsidR="002E1DA9" w:rsidRPr="58B82618">
        <w:rPr>
          <w:rFonts w:ascii="Arial" w:eastAsia="Calibri" w:hAnsi="Arial" w:cs="Arial"/>
          <w:b/>
          <w:bCs/>
          <w:sz w:val="40"/>
          <w:szCs w:val="40"/>
        </w:rPr>
        <w:t xml:space="preserve">Student </w:t>
      </w:r>
      <w:r w:rsidR="5DFB94E3" w:rsidRPr="58B82618">
        <w:rPr>
          <w:rFonts w:ascii="Arial" w:eastAsia="Calibri" w:hAnsi="Arial" w:cs="Arial"/>
          <w:b/>
          <w:bCs/>
          <w:sz w:val="40"/>
          <w:szCs w:val="40"/>
        </w:rPr>
        <w:t>Name: Alessandra</w:t>
      </w:r>
      <w:r w:rsidR="6F6B4F67" w:rsidRPr="58B82618">
        <w:rPr>
          <w:rFonts w:ascii="Arial" w:eastAsia="Calibri" w:hAnsi="Arial" w:cs="Arial"/>
          <w:b/>
          <w:bCs/>
          <w:sz w:val="40"/>
          <w:szCs w:val="40"/>
        </w:rPr>
        <w:t xml:space="preserve"> vinha</w:t>
      </w:r>
      <w:r w:rsidR="35BA3AC5" w:rsidRPr="58B82618">
        <w:rPr>
          <w:rFonts w:ascii="Arial" w:eastAsia="Calibri" w:hAnsi="Arial" w:cs="Arial"/>
          <w:b/>
          <w:bCs/>
          <w:sz w:val="40"/>
          <w:szCs w:val="40"/>
        </w:rPr>
        <w:t>l</w:t>
      </w:r>
    </w:p>
    <w:p w14:paraId="5988578A" w14:textId="0CD82592" w:rsidR="002E1DA9" w:rsidRPr="002E1DA9" w:rsidRDefault="0E1FAA5D" w:rsidP="58B82618">
      <w:pPr>
        <w:jc w:val="center"/>
        <w:rPr>
          <w:rFonts w:ascii="Arial" w:eastAsia="Calibri" w:hAnsi="Arial" w:cs="Arial"/>
          <w:b/>
          <w:bCs/>
          <w:sz w:val="40"/>
          <w:szCs w:val="40"/>
        </w:rPr>
      </w:pPr>
      <w:r w:rsidRPr="58B82618">
        <w:rPr>
          <w:rFonts w:ascii="Arial" w:eastAsia="Calibri" w:hAnsi="Arial" w:cs="Arial"/>
          <w:b/>
          <w:bCs/>
          <w:sz w:val="40"/>
          <w:szCs w:val="40"/>
        </w:rPr>
        <w:t xml:space="preserve"> </w:t>
      </w:r>
      <w:r w:rsidR="2993A6F8" w:rsidRPr="58B82618">
        <w:rPr>
          <w:rFonts w:ascii="Arial" w:eastAsia="Calibri" w:hAnsi="Arial" w:cs="Arial"/>
          <w:b/>
          <w:bCs/>
          <w:sz w:val="40"/>
          <w:szCs w:val="40"/>
        </w:rPr>
        <w:t xml:space="preserve"> </w:t>
      </w:r>
      <w:r w:rsidR="002E1DA9" w:rsidRPr="58B82618">
        <w:rPr>
          <w:rFonts w:ascii="Arial" w:eastAsia="Calibri" w:hAnsi="Arial" w:cs="Arial"/>
          <w:b/>
          <w:bCs/>
          <w:sz w:val="40"/>
          <w:szCs w:val="40"/>
        </w:rPr>
        <w:t>Student Number:</w:t>
      </w:r>
      <w:r w:rsidR="22954CE0" w:rsidRPr="58B82618">
        <w:rPr>
          <w:rFonts w:ascii="Arial" w:eastAsia="Calibri" w:hAnsi="Arial" w:cs="Arial"/>
          <w:b/>
          <w:bCs/>
          <w:sz w:val="40"/>
          <w:szCs w:val="40"/>
        </w:rPr>
        <w:t xml:space="preserve"> </w:t>
      </w:r>
      <w:r w:rsidR="6781E096" w:rsidRPr="58B82618">
        <w:rPr>
          <w:rFonts w:ascii="Arial" w:eastAsia="Calibri" w:hAnsi="Arial" w:cs="Arial"/>
          <w:b/>
          <w:bCs/>
          <w:sz w:val="40"/>
          <w:szCs w:val="40"/>
        </w:rPr>
        <w:t>2244815</w:t>
      </w:r>
    </w:p>
    <w:p w14:paraId="5E9323A5" w14:textId="77777777" w:rsidR="002E1DA9" w:rsidRPr="002E1DA9" w:rsidRDefault="002E1DA9" w:rsidP="58B82618">
      <w:pPr>
        <w:rPr>
          <w:rFonts w:ascii="Arial" w:eastAsia="Calibri" w:hAnsi="Arial" w:cs="Arial"/>
          <w:sz w:val="40"/>
          <w:szCs w:val="40"/>
        </w:rPr>
      </w:pPr>
    </w:p>
    <w:p w14:paraId="4DCB5AF7" w14:textId="77777777" w:rsidR="002E1DA9" w:rsidRPr="002E1DA9" w:rsidRDefault="002E1DA9" w:rsidP="58B82618">
      <w:pPr>
        <w:jc w:val="center"/>
        <w:rPr>
          <w:rFonts w:ascii="Arial" w:eastAsia="Calibri" w:hAnsi="Arial" w:cs="Arial"/>
          <w:sz w:val="40"/>
          <w:szCs w:val="40"/>
        </w:rPr>
      </w:pPr>
    </w:p>
    <w:p w14:paraId="0D6D9066" w14:textId="77777777" w:rsidR="002E1DA9" w:rsidRPr="002E1DA9" w:rsidRDefault="002E1DA9" w:rsidP="58B82618">
      <w:pPr>
        <w:jc w:val="center"/>
        <w:rPr>
          <w:rFonts w:ascii="Arial" w:eastAsia="Calibri" w:hAnsi="Arial" w:cs="Arial"/>
          <w:b/>
          <w:bCs/>
          <w:sz w:val="40"/>
          <w:szCs w:val="40"/>
        </w:rPr>
      </w:pPr>
      <w:r w:rsidRPr="58B82618">
        <w:rPr>
          <w:rFonts w:ascii="Arial" w:eastAsia="Calibri" w:hAnsi="Arial" w:cs="Arial"/>
          <w:b/>
          <w:bCs/>
          <w:sz w:val="40"/>
          <w:szCs w:val="40"/>
        </w:rPr>
        <w:t>Title</w:t>
      </w:r>
    </w:p>
    <w:p w14:paraId="3F49444A" w14:textId="77777777" w:rsidR="002E1DA9" w:rsidRPr="002E1DA9" w:rsidRDefault="002E1DA9" w:rsidP="58B82618">
      <w:pPr>
        <w:jc w:val="center"/>
        <w:rPr>
          <w:rFonts w:ascii="Arial" w:eastAsia="Calibri" w:hAnsi="Arial" w:cs="Arial"/>
          <w:b/>
          <w:bCs/>
          <w:sz w:val="40"/>
          <w:szCs w:val="40"/>
        </w:rPr>
      </w:pPr>
      <w:r w:rsidRPr="58B82618">
        <w:rPr>
          <w:rFonts w:ascii="Arial" w:eastAsia="Calibri" w:hAnsi="Arial" w:cs="Arial"/>
          <w:b/>
          <w:bCs/>
          <w:sz w:val="40"/>
          <w:szCs w:val="40"/>
        </w:rPr>
        <w:t>A Scoping Review of Role of Digital Health Technologies in Supporting Adults with Dementia in the UK: Identifying Themes Using Aveyard’s Simplified Thematic Analysis</w:t>
      </w:r>
    </w:p>
    <w:p w14:paraId="09680759" w14:textId="77777777" w:rsidR="00F8562D" w:rsidRDefault="00F8562D">
      <w:pPr>
        <w:rPr>
          <w:rFonts w:ascii="Times New Roman" w:eastAsiaTheme="majorEastAsia" w:hAnsi="Times New Roman" w:cs="Times New Roman"/>
          <w:color w:val="0F4761" w:themeColor="accent1" w:themeShade="BF"/>
          <w:sz w:val="24"/>
          <w:szCs w:val="24"/>
        </w:rPr>
      </w:pPr>
      <w:r>
        <w:rPr>
          <w:rFonts w:ascii="Times New Roman" w:hAnsi="Times New Roman" w:cs="Times New Roman"/>
          <w:sz w:val="24"/>
          <w:szCs w:val="24"/>
        </w:rPr>
        <w:br w:type="page"/>
      </w:r>
    </w:p>
    <w:sdt>
      <w:sdtPr>
        <w:rPr>
          <w:rFonts w:ascii="Arial" w:eastAsiaTheme="minorEastAsia" w:hAnsi="Arial" w:cs="Arial"/>
          <w:color w:val="auto"/>
          <w:kern w:val="2"/>
          <w:sz w:val="22"/>
          <w:szCs w:val="22"/>
          <w:lang w:val="en-GB"/>
          <w14:ligatures w14:val="standardContextual"/>
        </w:rPr>
        <w:id w:val="-1148822181"/>
        <w:docPartObj>
          <w:docPartGallery w:val="Table of Contents"/>
          <w:docPartUnique/>
        </w:docPartObj>
      </w:sdtPr>
      <w:sdtEndPr>
        <w:rPr>
          <w:b/>
          <w:bCs/>
        </w:rPr>
      </w:sdtEndPr>
      <w:sdtContent>
        <w:p w14:paraId="141A0050" w14:textId="42AF6506" w:rsidR="00A153E1" w:rsidRPr="006C2BA5" w:rsidRDefault="00A153E1" w:rsidP="006C2BA5">
          <w:pPr>
            <w:pStyle w:val="TOCHeading"/>
            <w:spacing w:line="360" w:lineRule="auto"/>
            <w:jc w:val="both"/>
            <w:rPr>
              <w:rFonts w:ascii="Arial" w:hAnsi="Arial" w:cs="Arial"/>
              <w:sz w:val="22"/>
              <w:szCs w:val="22"/>
            </w:rPr>
          </w:pPr>
          <w:r w:rsidRPr="006C2BA5">
            <w:rPr>
              <w:rFonts w:ascii="Arial" w:hAnsi="Arial" w:cs="Arial"/>
              <w:sz w:val="22"/>
              <w:szCs w:val="22"/>
            </w:rPr>
            <w:t>Table of Contents</w:t>
          </w:r>
        </w:p>
        <w:p w14:paraId="173441F9" w14:textId="77777777" w:rsidR="006C2BA5" w:rsidRPr="006C2BA5" w:rsidRDefault="00A153E1"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r w:rsidRPr="006C2BA5">
            <w:rPr>
              <w:rFonts w:ascii="Arial" w:hAnsi="Arial" w:cs="Arial"/>
            </w:rPr>
            <w:fldChar w:fldCharType="begin"/>
          </w:r>
          <w:r w:rsidRPr="006C2BA5">
            <w:rPr>
              <w:rFonts w:ascii="Arial" w:hAnsi="Arial" w:cs="Arial"/>
            </w:rPr>
            <w:instrText xml:space="preserve"> TOC \o "1-3" \h \z \u </w:instrText>
          </w:r>
          <w:r w:rsidRPr="006C2BA5">
            <w:rPr>
              <w:rFonts w:ascii="Arial" w:hAnsi="Arial" w:cs="Arial"/>
            </w:rPr>
            <w:fldChar w:fldCharType="separate"/>
          </w:r>
          <w:hyperlink w:anchor="_Toc222570930" w:history="1">
            <w:r w:rsidR="006C2BA5" w:rsidRPr="006C2BA5">
              <w:rPr>
                <w:rStyle w:val="Hyperlink"/>
                <w:rFonts w:ascii="Arial" w:hAnsi="Arial" w:cs="Arial"/>
                <w:b/>
                <w:noProof/>
              </w:rPr>
              <w:t>Chapter 1: Introduction</w:t>
            </w:r>
            <w:r w:rsidR="006C2BA5" w:rsidRPr="006C2BA5">
              <w:rPr>
                <w:rFonts w:ascii="Arial" w:hAnsi="Arial" w:cs="Arial"/>
                <w:noProof/>
                <w:webHidden/>
              </w:rPr>
              <w:tab/>
            </w:r>
            <w:r w:rsidR="006C2BA5" w:rsidRPr="006C2BA5">
              <w:rPr>
                <w:rFonts w:ascii="Arial" w:hAnsi="Arial" w:cs="Arial"/>
                <w:noProof/>
                <w:webHidden/>
              </w:rPr>
              <w:fldChar w:fldCharType="begin"/>
            </w:r>
            <w:r w:rsidR="006C2BA5" w:rsidRPr="006C2BA5">
              <w:rPr>
                <w:rFonts w:ascii="Arial" w:hAnsi="Arial" w:cs="Arial"/>
                <w:noProof/>
                <w:webHidden/>
              </w:rPr>
              <w:instrText xml:space="preserve"> PAGEREF _Toc222570930 \h </w:instrText>
            </w:r>
            <w:r w:rsidR="006C2BA5" w:rsidRPr="006C2BA5">
              <w:rPr>
                <w:rFonts w:ascii="Arial" w:hAnsi="Arial" w:cs="Arial"/>
                <w:noProof/>
                <w:webHidden/>
              </w:rPr>
            </w:r>
            <w:r w:rsidR="006C2BA5" w:rsidRPr="006C2BA5">
              <w:rPr>
                <w:rFonts w:ascii="Arial" w:hAnsi="Arial" w:cs="Arial"/>
                <w:noProof/>
                <w:webHidden/>
              </w:rPr>
              <w:fldChar w:fldCharType="separate"/>
            </w:r>
            <w:r w:rsidR="006C2BA5" w:rsidRPr="006C2BA5">
              <w:rPr>
                <w:rFonts w:ascii="Arial" w:hAnsi="Arial" w:cs="Arial"/>
                <w:noProof/>
                <w:webHidden/>
              </w:rPr>
              <w:t>3</w:t>
            </w:r>
            <w:r w:rsidR="006C2BA5" w:rsidRPr="006C2BA5">
              <w:rPr>
                <w:rFonts w:ascii="Arial" w:hAnsi="Arial" w:cs="Arial"/>
                <w:noProof/>
                <w:webHidden/>
              </w:rPr>
              <w:fldChar w:fldCharType="end"/>
            </w:r>
          </w:hyperlink>
        </w:p>
        <w:p w14:paraId="4AD3BA55"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1" w:history="1">
            <w:r w:rsidRPr="006C2BA5">
              <w:rPr>
                <w:rStyle w:val="Hyperlink"/>
                <w:rFonts w:ascii="Arial" w:hAnsi="Arial" w:cs="Arial"/>
                <w:b/>
                <w:noProof/>
              </w:rPr>
              <w:t>1.1 Definitions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_Toc222570931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3</w:t>
            </w:r>
            <w:r w:rsidRPr="006C2BA5">
              <w:rPr>
                <w:rFonts w:ascii="Arial" w:hAnsi="Arial" w:cs="Arial"/>
                <w:noProof/>
                <w:webHidden/>
              </w:rPr>
              <w:fldChar w:fldCharType="end"/>
            </w:r>
          </w:hyperlink>
        </w:p>
        <w:p w14:paraId="37A036A8"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2" w:history="1">
            <w:r w:rsidRPr="006C2BA5">
              <w:rPr>
                <w:rStyle w:val="Hyperlink"/>
                <w:rFonts w:ascii="Arial" w:hAnsi="Arial" w:cs="Arial"/>
                <w:b/>
                <w:noProof/>
              </w:rPr>
              <w:t>1.2 Rationale</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_Toc222570932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3</w:t>
            </w:r>
            <w:r w:rsidRPr="006C2BA5">
              <w:rPr>
                <w:rFonts w:ascii="Arial" w:hAnsi="Arial" w:cs="Arial"/>
                <w:noProof/>
                <w:webHidden/>
              </w:rPr>
              <w:fldChar w:fldCharType="end"/>
            </w:r>
          </w:hyperlink>
        </w:p>
        <w:p w14:paraId="185D9477"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3" w:history="1">
            <w:r w:rsidRPr="006C2BA5">
              <w:rPr>
                <w:rStyle w:val="Hyperlink"/>
                <w:rFonts w:ascii="Arial" w:hAnsi="Arial" w:cs="Arial"/>
                <w:b/>
                <w:noProof/>
              </w:rPr>
              <w:t>1.3 Research Aim and Objectives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_Toc222570933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3</w:t>
            </w:r>
            <w:r w:rsidRPr="006C2BA5">
              <w:rPr>
                <w:rFonts w:ascii="Arial" w:hAnsi="Arial" w:cs="Arial"/>
                <w:noProof/>
                <w:webHidden/>
              </w:rPr>
              <w:fldChar w:fldCharType="end"/>
            </w:r>
          </w:hyperlink>
        </w:p>
        <w:p w14:paraId="59154D01"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4" w:history="1">
            <w:r w:rsidRPr="006C2BA5">
              <w:rPr>
                <w:rStyle w:val="Hyperlink"/>
                <w:rFonts w:ascii="Arial" w:hAnsi="Arial" w:cs="Arial"/>
                <w:b/>
                <w:noProof/>
              </w:rPr>
              <w:t>1.4 Research Question</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_Toc222570934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4</w:t>
            </w:r>
            <w:r w:rsidRPr="006C2BA5">
              <w:rPr>
                <w:rFonts w:ascii="Arial" w:hAnsi="Arial" w:cs="Arial"/>
                <w:noProof/>
                <w:webHidden/>
              </w:rPr>
              <w:fldChar w:fldCharType="end"/>
            </w:r>
          </w:hyperlink>
        </w:p>
        <w:p w14:paraId="21380CE9"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5" w:history="1">
            <w:r w:rsidRPr="006C2BA5">
              <w:rPr>
                <w:rStyle w:val="Hyperlink"/>
                <w:rFonts w:ascii="Arial" w:hAnsi="Arial" w:cs="Arial"/>
                <w:b/>
                <w:noProof/>
              </w:rPr>
              <w:t>Chapter 2: Background</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_Toc222570935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5</w:t>
            </w:r>
            <w:r w:rsidRPr="006C2BA5">
              <w:rPr>
                <w:rFonts w:ascii="Arial" w:hAnsi="Arial" w:cs="Arial"/>
                <w:noProof/>
                <w:webHidden/>
              </w:rPr>
              <w:fldChar w:fldCharType="end"/>
            </w:r>
          </w:hyperlink>
        </w:p>
        <w:p w14:paraId="7E540F8C"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6" w:history="1">
            <w:r w:rsidRPr="006C2BA5">
              <w:rPr>
                <w:rStyle w:val="Hyperlink"/>
                <w:rFonts w:ascii="Arial" w:hAnsi="Arial" w:cs="Arial"/>
                <w:b/>
                <w:noProof/>
              </w:rPr>
              <w:t>2.1 Dementia in the UK Context</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_Toc222570936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5</w:t>
            </w:r>
            <w:r w:rsidRPr="006C2BA5">
              <w:rPr>
                <w:rFonts w:ascii="Arial" w:hAnsi="Arial" w:cs="Arial"/>
                <w:noProof/>
                <w:webHidden/>
              </w:rPr>
              <w:fldChar w:fldCharType="end"/>
            </w:r>
          </w:hyperlink>
        </w:p>
        <w:p w14:paraId="79E563F1"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7" w:history="1">
            <w:r w:rsidRPr="006C2BA5">
              <w:rPr>
                <w:rStyle w:val="Hyperlink"/>
                <w:rFonts w:ascii="Arial" w:hAnsi="Arial" w:cs="Arial"/>
                <w:b/>
                <w:noProof/>
              </w:rPr>
              <w:t>2.2 UK Policy and Guidance</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_Toc222570937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5</w:t>
            </w:r>
            <w:r w:rsidRPr="006C2BA5">
              <w:rPr>
                <w:rFonts w:ascii="Arial" w:hAnsi="Arial" w:cs="Arial"/>
                <w:noProof/>
                <w:webHidden/>
              </w:rPr>
              <w:fldChar w:fldCharType="end"/>
            </w:r>
          </w:hyperlink>
        </w:p>
        <w:p w14:paraId="70381EF1"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8" w:history="1">
            <w:r w:rsidRPr="006C2BA5">
              <w:rPr>
                <w:rStyle w:val="Hyperlink"/>
                <w:rFonts w:ascii="Arial" w:hAnsi="Arial" w:cs="Arial"/>
                <w:b/>
                <w:noProof/>
              </w:rPr>
              <w:t>2.3 Directing Digital Health in Dementia Care.</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_Toc222570938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6</w:t>
            </w:r>
            <w:r w:rsidRPr="006C2BA5">
              <w:rPr>
                <w:rFonts w:ascii="Arial" w:hAnsi="Arial" w:cs="Arial"/>
                <w:noProof/>
                <w:webHidden/>
              </w:rPr>
              <w:fldChar w:fldCharType="end"/>
            </w:r>
          </w:hyperlink>
        </w:p>
        <w:p w14:paraId="3407F046"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39" w:history="1">
            <w:r w:rsidRPr="006C2BA5">
              <w:rPr>
                <w:rStyle w:val="Hyperlink"/>
                <w:rFonts w:ascii="Arial" w:hAnsi="Arial" w:cs="Arial"/>
                <w:b/>
                <w:noProof/>
              </w:rPr>
              <w:t>Chapter 3: Methods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_Toc222570939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7</w:t>
            </w:r>
            <w:r w:rsidRPr="006C2BA5">
              <w:rPr>
                <w:rFonts w:ascii="Arial" w:hAnsi="Arial" w:cs="Arial"/>
                <w:noProof/>
                <w:webHidden/>
              </w:rPr>
              <w:fldChar w:fldCharType="end"/>
            </w:r>
          </w:hyperlink>
        </w:p>
        <w:p w14:paraId="2F99767C"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0" w:history="1">
            <w:r w:rsidRPr="006C2BA5">
              <w:rPr>
                <w:rStyle w:val="Hyperlink"/>
                <w:rFonts w:ascii="Arial" w:hAnsi="Arial" w:cs="Arial"/>
                <w:b/>
                <w:noProof/>
              </w:rPr>
              <w:t>3.1 Study Design</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_Toc222570940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7</w:t>
            </w:r>
            <w:r w:rsidRPr="006C2BA5">
              <w:rPr>
                <w:rFonts w:ascii="Arial" w:hAnsi="Arial" w:cs="Arial"/>
                <w:noProof/>
                <w:webHidden/>
              </w:rPr>
              <w:fldChar w:fldCharType="end"/>
            </w:r>
          </w:hyperlink>
        </w:p>
        <w:p w14:paraId="2D6350B5"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1" w:history="1">
            <w:r w:rsidRPr="006C2BA5">
              <w:rPr>
                <w:rStyle w:val="Hyperlink"/>
                <w:rFonts w:ascii="Arial" w:hAnsi="Arial" w:cs="Arial"/>
                <w:b/>
                <w:noProof/>
              </w:rPr>
              <w:t>3.2 Data Mining and Thematic Analysis.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_Toc222570941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7</w:t>
            </w:r>
            <w:r w:rsidRPr="006C2BA5">
              <w:rPr>
                <w:rFonts w:ascii="Arial" w:hAnsi="Arial" w:cs="Arial"/>
                <w:noProof/>
                <w:webHidden/>
              </w:rPr>
              <w:fldChar w:fldCharType="end"/>
            </w:r>
          </w:hyperlink>
        </w:p>
        <w:p w14:paraId="561C0B8A"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2" w:history="1">
            <w:r w:rsidRPr="006C2BA5">
              <w:rPr>
                <w:rStyle w:val="Hyperlink"/>
                <w:rFonts w:ascii="Arial" w:hAnsi="Arial" w:cs="Arial"/>
                <w:b/>
                <w:noProof/>
              </w:rPr>
              <w:t>3.3 Search Strategy</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_Toc222570942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7</w:t>
            </w:r>
            <w:r w:rsidRPr="006C2BA5">
              <w:rPr>
                <w:rFonts w:ascii="Arial" w:hAnsi="Arial" w:cs="Arial"/>
                <w:noProof/>
                <w:webHidden/>
              </w:rPr>
              <w:fldChar w:fldCharType="end"/>
            </w:r>
          </w:hyperlink>
        </w:p>
        <w:p w14:paraId="0CF39A88"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3" w:history="1">
            <w:r w:rsidRPr="006C2BA5">
              <w:rPr>
                <w:rStyle w:val="Hyperlink"/>
                <w:rFonts w:ascii="Arial" w:hAnsi="Arial" w:cs="Arial"/>
                <w:b/>
                <w:noProof/>
              </w:rPr>
              <w:t>3.4 Ethical Considerations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_Toc222570943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7</w:t>
            </w:r>
            <w:r w:rsidRPr="006C2BA5">
              <w:rPr>
                <w:rFonts w:ascii="Arial" w:hAnsi="Arial" w:cs="Arial"/>
                <w:noProof/>
                <w:webHidden/>
              </w:rPr>
              <w:fldChar w:fldCharType="end"/>
            </w:r>
          </w:hyperlink>
        </w:p>
        <w:p w14:paraId="787C0E5F"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4" w:history="1">
            <w:r w:rsidRPr="006C2BA5">
              <w:rPr>
                <w:rStyle w:val="Hyperlink"/>
                <w:rFonts w:ascii="Arial" w:hAnsi="Arial" w:cs="Arial"/>
                <w:b/>
                <w:noProof/>
              </w:rPr>
              <w:t>3.5 Study Selection Process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_Toc222570944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8</w:t>
            </w:r>
            <w:r w:rsidRPr="006C2BA5">
              <w:rPr>
                <w:rFonts w:ascii="Arial" w:hAnsi="Arial" w:cs="Arial"/>
                <w:noProof/>
                <w:webHidden/>
              </w:rPr>
              <w:fldChar w:fldCharType="end"/>
            </w:r>
          </w:hyperlink>
        </w:p>
        <w:p w14:paraId="4A4050D7"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5" w:history="1">
            <w:r w:rsidRPr="006C2BA5">
              <w:rPr>
                <w:rStyle w:val="Hyperlink"/>
                <w:rFonts w:ascii="Arial" w:hAnsi="Arial" w:cs="Arial"/>
                <w:b/>
                <w:noProof/>
              </w:rPr>
              <w:t>3.6 Inclusion and Exclusion criteria.</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_Toc222570945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8</w:t>
            </w:r>
            <w:r w:rsidRPr="006C2BA5">
              <w:rPr>
                <w:rFonts w:ascii="Arial" w:hAnsi="Arial" w:cs="Arial"/>
                <w:noProof/>
                <w:webHidden/>
              </w:rPr>
              <w:fldChar w:fldCharType="end"/>
            </w:r>
          </w:hyperlink>
        </w:p>
        <w:p w14:paraId="206A2B8A"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6" w:history="1">
            <w:r w:rsidRPr="006C2BA5">
              <w:rPr>
                <w:rStyle w:val="Hyperlink"/>
                <w:rFonts w:ascii="Arial" w:eastAsia="Arial" w:hAnsi="Arial" w:cs="Arial"/>
                <w:b/>
                <w:noProof/>
              </w:rPr>
              <w:t>Chapter 4: Results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_Toc222570946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9</w:t>
            </w:r>
            <w:r w:rsidRPr="006C2BA5">
              <w:rPr>
                <w:rFonts w:ascii="Arial" w:hAnsi="Arial" w:cs="Arial"/>
                <w:noProof/>
                <w:webHidden/>
              </w:rPr>
              <w:fldChar w:fldCharType="end"/>
            </w:r>
          </w:hyperlink>
        </w:p>
        <w:p w14:paraId="24150209"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7" w:history="1">
            <w:r w:rsidRPr="006C2BA5">
              <w:rPr>
                <w:rStyle w:val="Hyperlink"/>
                <w:rFonts w:ascii="Arial" w:eastAsia="Arial" w:hAnsi="Arial" w:cs="Arial"/>
                <w:b/>
                <w:noProof/>
              </w:rPr>
              <w:t>Chapter 5: Discussion</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_Toc222570947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12</w:t>
            </w:r>
            <w:r w:rsidRPr="006C2BA5">
              <w:rPr>
                <w:rFonts w:ascii="Arial" w:hAnsi="Arial" w:cs="Arial"/>
                <w:noProof/>
                <w:webHidden/>
              </w:rPr>
              <w:fldChar w:fldCharType="end"/>
            </w:r>
          </w:hyperlink>
        </w:p>
        <w:p w14:paraId="54FBCFE3"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8" w:history="1">
            <w:r w:rsidRPr="006C2BA5">
              <w:rPr>
                <w:rStyle w:val="Hyperlink"/>
                <w:rFonts w:ascii="Arial" w:eastAsia="Arial" w:hAnsi="Arial" w:cs="Arial"/>
                <w:b/>
                <w:noProof/>
              </w:rPr>
              <w:t>Chapter 6: Conclusion and Recommendations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_Toc222570948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14</w:t>
            </w:r>
            <w:r w:rsidRPr="006C2BA5">
              <w:rPr>
                <w:rFonts w:ascii="Arial" w:hAnsi="Arial" w:cs="Arial"/>
                <w:noProof/>
                <w:webHidden/>
              </w:rPr>
              <w:fldChar w:fldCharType="end"/>
            </w:r>
          </w:hyperlink>
        </w:p>
        <w:p w14:paraId="5B630F48"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49" w:history="1">
            <w:r w:rsidRPr="006C2BA5">
              <w:rPr>
                <w:rStyle w:val="Hyperlink"/>
                <w:rFonts w:ascii="Arial" w:eastAsia="Arial" w:hAnsi="Arial" w:cs="Arial"/>
                <w:b/>
                <w:noProof/>
              </w:rPr>
              <w:t>6.1 Conclusion</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_Toc222570949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14</w:t>
            </w:r>
            <w:r w:rsidRPr="006C2BA5">
              <w:rPr>
                <w:rFonts w:ascii="Arial" w:hAnsi="Arial" w:cs="Arial"/>
                <w:noProof/>
                <w:webHidden/>
              </w:rPr>
              <w:fldChar w:fldCharType="end"/>
            </w:r>
          </w:hyperlink>
        </w:p>
        <w:p w14:paraId="024E1281"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50" w:history="1">
            <w:r w:rsidRPr="006C2BA5">
              <w:rPr>
                <w:rStyle w:val="Hyperlink"/>
                <w:rFonts w:ascii="Arial" w:eastAsia="Arial" w:hAnsi="Arial" w:cs="Arial"/>
                <w:b/>
                <w:noProof/>
              </w:rPr>
              <w:t>6.2 Recommendations for Future Research</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_Toc222570950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14</w:t>
            </w:r>
            <w:r w:rsidRPr="006C2BA5">
              <w:rPr>
                <w:rFonts w:ascii="Arial" w:hAnsi="Arial" w:cs="Arial"/>
                <w:noProof/>
                <w:webHidden/>
              </w:rPr>
              <w:fldChar w:fldCharType="end"/>
            </w:r>
          </w:hyperlink>
        </w:p>
        <w:p w14:paraId="08288E12" w14:textId="77777777" w:rsidR="006C2BA5" w:rsidRPr="006C2BA5" w:rsidRDefault="006C2BA5" w:rsidP="006C2BA5">
          <w:pPr>
            <w:pStyle w:val="TOC2"/>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51" w:history="1">
            <w:r w:rsidRPr="006C2BA5">
              <w:rPr>
                <w:rStyle w:val="Hyperlink"/>
                <w:rFonts w:ascii="Arial" w:eastAsia="Arial" w:hAnsi="Arial" w:cs="Arial"/>
                <w:b/>
                <w:noProof/>
              </w:rPr>
              <w:t>6.3 Recommendations for UK Policy and Practice</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_Toc222570951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14</w:t>
            </w:r>
            <w:r w:rsidRPr="006C2BA5">
              <w:rPr>
                <w:rFonts w:ascii="Arial" w:hAnsi="Arial" w:cs="Arial"/>
                <w:noProof/>
                <w:webHidden/>
              </w:rPr>
              <w:fldChar w:fldCharType="end"/>
            </w:r>
          </w:hyperlink>
        </w:p>
        <w:p w14:paraId="16DF0CA7" w14:textId="77777777" w:rsidR="006C2BA5" w:rsidRPr="006C2BA5" w:rsidRDefault="006C2BA5" w:rsidP="006C2BA5">
          <w:pPr>
            <w:pStyle w:val="TOC1"/>
            <w:tabs>
              <w:tab w:val="right" w:leader="dot" w:pos="9016"/>
            </w:tabs>
            <w:spacing w:line="360" w:lineRule="auto"/>
            <w:jc w:val="both"/>
            <w:rPr>
              <w:rFonts w:ascii="Arial" w:eastAsiaTheme="minorEastAsia" w:hAnsi="Arial" w:cs="Arial"/>
              <w:noProof/>
              <w:kern w:val="0"/>
              <w:lang w:val="en-IN" w:eastAsia="en-IN"/>
              <w14:ligatures w14:val="none"/>
            </w:rPr>
          </w:pPr>
          <w:hyperlink w:anchor="_Toc222570952" w:history="1">
            <w:r w:rsidRPr="006C2BA5">
              <w:rPr>
                <w:rStyle w:val="Hyperlink"/>
                <w:rFonts w:ascii="Arial" w:hAnsi="Arial" w:cs="Arial"/>
                <w:b/>
                <w:noProof/>
              </w:rPr>
              <w:t>References</w:t>
            </w:r>
            <w:r w:rsidRPr="006C2BA5">
              <w:rPr>
                <w:rFonts w:ascii="Arial" w:hAnsi="Arial" w:cs="Arial"/>
                <w:noProof/>
                <w:webHidden/>
              </w:rPr>
              <w:tab/>
            </w:r>
            <w:r w:rsidRPr="006C2BA5">
              <w:rPr>
                <w:rFonts w:ascii="Arial" w:hAnsi="Arial" w:cs="Arial"/>
                <w:noProof/>
                <w:webHidden/>
              </w:rPr>
              <w:fldChar w:fldCharType="begin"/>
            </w:r>
            <w:r w:rsidRPr="006C2BA5">
              <w:rPr>
                <w:rFonts w:ascii="Arial" w:hAnsi="Arial" w:cs="Arial"/>
                <w:noProof/>
                <w:webHidden/>
              </w:rPr>
              <w:instrText xml:space="preserve"> PAGEREF _Toc222570952 \h </w:instrText>
            </w:r>
            <w:r w:rsidRPr="006C2BA5">
              <w:rPr>
                <w:rFonts w:ascii="Arial" w:hAnsi="Arial" w:cs="Arial"/>
                <w:noProof/>
                <w:webHidden/>
              </w:rPr>
            </w:r>
            <w:r w:rsidRPr="006C2BA5">
              <w:rPr>
                <w:rFonts w:ascii="Arial" w:hAnsi="Arial" w:cs="Arial"/>
                <w:noProof/>
                <w:webHidden/>
              </w:rPr>
              <w:fldChar w:fldCharType="separate"/>
            </w:r>
            <w:r w:rsidRPr="006C2BA5">
              <w:rPr>
                <w:rFonts w:ascii="Arial" w:hAnsi="Arial" w:cs="Arial"/>
                <w:noProof/>
                <w:webHidden/>
              </w:rPr>
              <w:t>16</w:t>
            </w:r>
            <w:r w:rsidRPr="006C2BA5">
              <w:rPr>
                <w:rFonts w:ascii="Arial" w:hAnsi="Arial" w:cs="Arial"/>
                <w:noProof/>
                <w:webHidden/>
              </w:rPr>
              <w:fldChar w:fldCharType="end"/>
            </w:r>
          </w:hyperlink>
        </w:p>
        <w:p w14:paraId="448AC43F" w14:textId="3B54E3AE" w:rsidR="00A153E1" w:rsidRPr="00BE617F" w:rsidRDefault="00A153E1" w:rsidP="006C2BA5">
          <w:pPr>
            <w:spacing w:line="360" w:lineRule="auto"/>
            <w:jc w:val="both"/>
            <w:rPr>
              <w:rFonts w:ascii="Arial" w:hAnsi="Arial" w:cs="Arial"/>
            </w:rPr>
          </w:pPr>
          <w:r w:rsidRPr="006C2BA5">
            <w:rPr>
              <w:rFonts w:ascii="Arial" w:hAnsi="Arial" w:cs="Arial"/>
              <w:b/>
              <w:bCs/>
              <w:noProof/>
            </w:rPr>
            <w:fldChar w:fldCharType="end"/>
          </w:r>
        </w:p>
      </w:sdtContent>
    </w:sdt>
    <w:p w14:paraId="3BC9841C" w14:textId="77777777" w:rsidR="00F8562D" w:rsidRPr="00BE617F" w:rsidRDefault="00F8562D" w:rsidP="00BE617F">
      <w:pPr>
        <w:spacing w:line="360" w:lineRule="auto"/>
        <w:jc w:val="both"/>
        <w:rPr>
          <w:rFonts w:ascii="Arial" w:eastAsiaTheme="majorEastAsia" w:hAnsi="Arial" w:cs="Arial"/>
          <w:color w:val="0F4761" w:themeColor="accent1" w:themeShade="BF"/>
        </w:rPr>
      </w:pPr>
      <w:r w:rsidRPr="00BE617F">
        <w:rPr>
          <w:rFonts w:ascii="Arial" w:hAnsi="Arial" w:cs="Arial"/>
        </w:rPr>
        <w:br w:type="page"/>
      </w:r>
    </w:p>
    <w:p w14:paraId="6838AB73" w14:textId="76EEA1FE" w:rsidR="003833C5" w:rsidRPr="006C2BA5" w:rsidRDefault="0083686D" w:rsidP="006C2BA5">
      <w:pPr>
        <w:pStyle w:val="Heading1"/>
        <w:spacing w:line="360" w:lineRule="auto"/>
        <w:jc w:val="both"/>
        <w:rPr>
          <w:rFonts w:ascii="Arial" w:hAnsi="Arial" w:cs="Arial"/>
          <w:b/>
          <w:sz w:val="22"/>
          <w:szCs w:val="22"/>
        </w:rPr>
      </w:pPr>
      <w:bookmarkStart w:id="0" w:name="_Toc222570930"/>
      <w:r w:rsidRPr="006C2BA5">
        <w:rPr>
          <w:rFonts w:ascii="Arial" w:hAnsi="Arial" w:cs="Arial"/>
          <w:b/>
          <w:sz w:val="22"/>
          <w:szCs w:val="22"/>
        </w:rPr>
        <w:t xml:space="preserve">Chapter 1: </w:t>
      </w:r>
      <w:r w:rsidR="003833C5" w:rsidRPr="006C2BA5">
        <w:rPr>
          <w:rFonts w:ascii="Arial" w:hAnsi="Arial" w:cs="Arial"/>
          <w:b/>
          <w:sz w:val="22"/>
          <w:szCs w:val="22"/>
        </w:rPr>
        <w:t>Introduction</w:t>
      </w:r>
      <w:bookmarkEnd w:id="0"/>
    </w:p>
    <w:p w14:paraId="77E76E61" w14:textId="37F95A43" w:rsidR="003833C5" w:rsidRDefault="003833C5" w:rsidP="58B82618">
      <w:pPr>
        <w:pStyle w:val="Heading2"/>
        <w:spacing w:line="360" w:lineRule="auto"/>
        <w:jc w:val="both"/>
        <w:rPr>
          <w:rFonts w:ascii="Arial" w:hAnsi="Arial" w:cs="Arial"/>
          <w:b/>
          <w:bCs/>
          <w:sz w:val="22"/>
          <w:szCs w:val="22"/>
        </w:rPr>
      </w:pPr>
      <w:bookmarkStart w:id="1" w:name="_Toc222570931"/>
      <w:r w:rsidRPr="58B82618">
        <w:rPr>
          <w:rFonts w:ascii="Arial" w:hAnsi="Arial" w:cs="Arial"/>
          <w:b/>
          <w:bCs/>
          <w:sz w:val="22"/>
          <w:szCs w:val="22"/>
        </w:rPr>
        <w:t>1.1 Definitions</w:t>
      </w:r>
      <w:bookmarkEnd w:id="1"/>
    </w:p>
    <w:p w14:paraId="4590F054" w14:textId="3278242D" w:rsidR="003833C5" w:rsidRPr="006C2BA5" w:rsidRDefault="00CE07E3" w:rsidP="006C2BA5">
      <w:pPr>
        <w:spacing w:line="360" w:lineRule="auto"/>
        <w:jc w:val="both"/>
        <w:rPr>
          <w:rFonts w:ascii="Arial" w:hAnsi="Arial" w:cs="Arial"/>
        </w:rPr>
      </w:pPr>
      <w:r w:rsidRPr="58B82618">
        <w:rPr>
          <w:rFonts w:ascii="Arial" w:hAnsi="Arial" w:cs="Arial"/>
        </w:rPr>
        <w:t xml:space="preserve">Dementia is a neurodegenerative disease of progression. It leads to reduction in cognition, memory, behaviour and in the capabilities to carry out daily activities </w:t>
      </w:r>
      <w:r w:rsidR="4BED1462" w:rsidRPr="58B82618">
        <w:rPr>
          <w:rFonts w:ascii="Arial" w:hAnsi="Arial" w:cs="Arial"/>
        </w:rPr>
        <w:t xml:space="preserve">gradually. Them </w:t>
      </w:r>
      <w:r w:rsidRPr="58B82618">
        <w:rPr>
          <w:rFonts w:ascii="Arial" w:hAnsi="Arial" w:cs="Arial"/>
        </w:rPr>
        <w:t>applies to most disorders, the most prevalent being the Alzheimer disease</w:t>
      </w:r>
      <w:r w:rsidR="00285FFD" w:rsidRPr="58B82618">
        <w:rPr>
          <w:rFonts w:ascii="Arial" w:hAnsi="Arial" w:cs="Arial"/>
        </w:rPr>
        <w:t xml:space="preserve"> mostly in older people </w:t>
      </w:r>
      <w:r w:rsidR="004C1DB6" w:rsidRPr="58B82618">
        <w:rPr>
          <w:rFonts w:ascii="Arial" w:hAnsi="Arial" w:cs="Arial"/>
        </w:rPr>
        <w:t>(Muzambi et al., 2021)</w:t>
      </w:r>
      <w:r w:rsidR="003833C5" w:rsidRPr="58B82618">
        <w:rPr>
          <w:rFonts w:ascii="Arial" w:hAnsi="Arial" w:cs="Arial"/>
        </w:rPr>
        <w:t>.</w:t>
      </w:r>
    </w:p>
    <w:p w14:paraId="686226D5" w14:textId="1D1F8FE7" w:rsidR="003833C5" w:rsidRPr="006C2BA5" w:rsidRDefault="003833C5" w:rsidP="006C2BA5">
      <w:pPr>
        <w:spacing w:line="360" w:lineRule="auto"/>
        <w:jc w:val="both"/>
        <w:rPr>
          <w:rFonts w:ascii="Arial" w:hAnsi="Arial" w:cs="Arial"/>
        </w:rPr>
      </w:pPr>
      <w:r w:rsidRPr="58B82618">
        <w:rPr>
          <w:rFonts w:ascii="Arial" w:hAnsi="Arial" w:cs="Arial"/>
        </w:rPr>
        <w:t>Digital health technologies refer to use of electronic tools or information systems in aiding, tracking or dispensing medical care.  Assistive technologies are a unique category of digital</w:t>
      </w:r>
      <w:r w:rsidR="78FB042F" w:rsidRPr="58B82618">
        <w:rPr>
          <w:rFonts w:ascii="Arial" w:hAnsi="Arial" w:cs="Arial"/>
        </w:rPr>
        <w:t>.</w:t>
      </w:r>
      <w:r w:rsidRPr="58B82618">
        <w:rPr>
          <w:rFonts w:ascii="Arial" w:hAnsi="Arial" w:cs="Arial"/>
        </w:rPr>
        <w:t xml:space="preserve"> These technologies will aim at maintaining or improving the functional capabilities of an individual</w:t>
      </w:r>
      <w:r w:rsidR="00CD78C8" w:rsidRPr="58B82618">
        <w:rPr>
          <w:rFonts w:ascii="Arial" w:hAnsi="Arial" w:cs="Arial"/>
        </w:rPr>
        <w:t xml:space="preserve"> </w:t>
      </w:r>
      <w:r w:rsidR="00836164" w:rsidRPr="58B82618">
        <w:rPr>
          <w:rFonts w:ascii="Arial" w:hAnsi="Arial" w:cs="Arial"/>
        </w:rPr>
        <w:t>(Unsworth et al., 2021)</w:t>
      </w:r>
      <w:r w:rsidRPr="58B82618">
        <w:rPr>
          <w:rFonts w:ascii="Arial" w:hAnsi="Arial" w:cs="Arial"/>
        </w:rPr>
        <w:t>.</w:t>
      </w:r>
    </w:p>
    <w:p w14:paraId="6A9C98FD" w14:textId="3327AFF3" w:rsidR="003833C5" w:rsidRPr="006C2BA5" w:rsidRDefault="003833C5" w:rsidP="006C2BA5">
      <w:pPr>
        <w:spacing w:line="360" w:lineRule="auto"/>
        <w:jc w:val="both"/>
        <w:rPr>
          <w:rFonts w:ascii="Arial" w:hAnsi="Arial" w:cs="Arial"/>
        </w:rPr>
      </w:pPr>
      <w:r w:rsidRPr="58B82618">
        <w:rPr>
          <w:rFonts w:ascii="Arial" w:hAnsi="Arial" w:cs="Arial"/>
        </w:rPr>
        <w:t xml:space="preserve">A scoping review is a type of an evidence synthesis process that transforms the scope, depth and nature of </w:t>
      </w:r>
      <w:r w:rsidR="00CE52FE" w:rsidRPr="58B82618">
        <w:rPr>
          <w:rFonts w:ascii="Arial" w:hAnsi="Arial" w:cs="Arial"/>
        </w:rPr>
        <w:t>research</w:t>
      </w:r>
      <w:r w:rsidRPr="58B82618">
        <w:rPr>
          <w:rFonts w:ascii="Arial" w:hAnsi="Arial" w:cs="Arial"/>
        </w:rPr>
        <w:t xml:space="preserve"> on a particular field.</w:t>
      </w:r>
      <w:r w:rsidR="014D7567" w:rsidRPr="58B82618">
        <w:rPr>
          <w:rFonts w:ascii="Arial" w:hAnsi="Arial" w:cs="Arial"/>
        </w:rPr>
        <w:t xml:space="preserve"> W</w:t>
      </w:r>
      <w:r w:rsidRPr="58B82618">
        <w:rPr>
          <w:rFonts w:ascii="Arial" w:hAnsi="Arial" w:cs="Arial"/>
        </w:rPr>
        <w:t>here the literature is immature, heterogeneous, or conceptually wide and the scholars can outline the fundamental issues and determine the gaps in knowledge.</w:t>
      </w:r>
    </w:p>
    <w:p w14:paraId="4180A659" w14:textId="0061A2B7" w:rsidR="003833C5" w:rsidRPr="006C2BA5" w:rsidRDefault="003833C5" w:rsidP="58B82618">
      <w:pPr>
        <w:pStyle w:val="Heading2"/>
        <w:spacing w:line="360" w:lineRule="auto"/>
        <w:jc w:val="both"/>
        <w:rPr>
          <w:rFonts w:ascii="Arial" w:hAnsi="Arial" w:cs="Arial"/>
          <w:b/>
          <w:bCs/>
          <w:sz w:val="22"/>
          <w:szCs w:val="22"/>
        </w:rPr>
      </w:pPr>
      <w:bookmarkStart w:id="2" w:name="_Toc222570932"/>
      <w:r w:rsidRPr="58B82618">
        <w:rPr>
          <w:rFonts w:ascii="Arial" w:hAnsi="Arial" w:cs="Arial"/>
          <w:b/>
          <w:bCs/>
          <w:sz w:val="22"/>
          <w:szCs w:val="22"/>
        </w:rPr>
        <w:t>1.2 Rationale</w:t>
      </w:r>
      <w:bookmarkEnd w:id="2"/>
    </w:p>
    <w:p w14:paraId="12213FA4" w14:textId="5F74FE4E" w:rsidR="00F22546" w:rsidRPr="006C2BA5" w:rsidRDefault="003833C5" w:rsidP="006C2BA5">
      <w:pPr>
        <w:spacing w:line="360" w:lineRule="auto"/>
        <w:jc w:val="both"/>
        <w:rPr>
          <w:rFonts w:ascii="Arial" w:hAnsi="Arial" w:cs="Arial"/>
        </w:rPr>
      </w:pPr>
      <w:r w:rsidRPr="58B82618">
        <w:rPr>
          <w:rFonts w:ascii="Arial" w:hAnsi="Arial" w:cs="Arial"/>
        </w:rPr>
        <w:t>Dementia prevalence is rising both nationwide and internationally in the United Kingdom and is placing a long-term strain on health and social care infrastructures. At the same time, the digital transformation has become a particular focus of national strategies, especially those initiated by NHS England.</w:t>
      </w:r>
      <w:r w:rsidR="0331E400" w:rsidRPr="58B82618">
        <w:rPr>
          <w:rFonts w:ascii="Arial" w:hAnsi="Arial" w:cs="Arial"/>
        </w:rPr>
        <w:t xml:space="preserve"> </w:t>
      </w:r>
      <w:r w:rsidRPr="58B82618">
        <w:rPr>
          <w:rFonts w:ascii="Arial" w:hAnsi="Arial" w:cs="Arial"/>
        </w:rPr>
        <w:t xml:space="preserve">The available research has been inconsistent </w:t>
      </w:r>
      <w:bookmarkStart w:id="3" w:name="_Int_wSv8idtP"/>
      <w:r w:rsidRPr="58B82618">
        <w:rPr>
          <w:rFonts w:ascii="Arial" w:hAnsi="Arial" w:cs="Arial"/>
        </w:rPr>
        <w:t>with regard to</w:t>
      </w:r>
      <w:bookmarkEnd w:id="3"/>
      <w:r w:rsidRPr="58B82618">
        <w:rPr>
          <w:rFonts w:ascii="Arial" w:hAnsi="Arial" w:cs="Arial"/>
        </w:rPr>
        <w:t xml:space="preserve"> focus area, scale as well as outcome measures thus making it difficult to establish a consistent picture of their overall contribution. The evaluation of th</w:t>
      </w:r>
      <w:bookmarkStart w:id="4" w:name="_Int_Tn57KnBD"/>
      <w:r w:rsidRPr="58B82618">
        <w:rPr>
          <w:rFonts w:ascii="Arial" w:hAnsi="Arial" w:cs="Arial"/>
        </w:rPr>
        <w:t>e efficiency a</w:t>
      </w:r>
      <w:bookmarkEnd w:id="4"/>
      <w:r w:rsidRPr="58B82618">
        <w:rPr>
          <w:rFonts w:ascii="Arial" w:hAnsi="Arial" w:cs="Arial"/>
        </w:rPr>
        <w:t>nd drawbacks of the digital intervention and the decision on its application is urgent</w:t>
      </w:r>
      <w:r w:rsidR="00BF33A4" w:rsidRPr="58B82618">
        <w:rPr>
          <w:rFonts w:ascii="Arial" w:hAnsi="Arial" w:cs="Arial"/>
        </w:rPr>
        <w:t xml:space="preserve"> (Wolff et al., 2024)</w:t>
      </w:r>
      <w:r w:rsidRPr="58B82618">
        <w:rPr>
          <w:rFonts w:ascii="Arial" w:hAnsi="Arial" w:cs="Arial"/>
        </w:rPr>
        <w:t>.</w:t>
      </w:r>
    </w:p>
    <w:p w14:paraId="36819DF9" w14:textId="5F7AEC0A" w:rsidR="00CE52FE" w:rsidRPr="006C2BA5" w:rsidRDefault="00CE52FE" w:rsidP="006C2BA5">
      <w:pPr>
        <w:pStyle w:val="Heading2"/>
        <w:spacing w:line="360" w:lineRule="auto"/>
        <w:jc w:val="both"/>
        <w:rPr>
          <w:rFonts w:ascii="Arial" w:hAnsi="Arial" w:cs="Arial"/>
          <w:b/>
          <w:sz w:val="22"/>
          <w:szCs w:val="22"/>
        </w:rPr>
      </w:pPr>
      <w:bookmarkStart w:id="5" w:name="_Toc222570933"/>
      <w:r w:rsidRPr="006C2BA5">
        <w:rPr>
          <w:rFonts w:ascii="Arial" w:hAnsi="Arial" w:cs="Arial"/>
          <w:b/>
          <w:sz w:val="22"/>
          <w:szCs w:val="22"/>
        </w:rPr>
        <w:t>1.3 Research Aim and Objectives</w:t>
      </w:r>
      <w:bookmarkEnd w:id="5"/>
      <w:r w:rsidRPr="006C2BA5">
        <w:rPr>
          <w:rFonts w:ascii="Arial" w:hAnsi="Arial" w:cs="Arial"/>
          <w:b/>
          <w:sz w:val="22"/>
          <w:szCs w:val="22"/>
        </w:rPr>
        <w:t xml:space="preserve">  </w:t>
      </w:r>
    </w:p>
    <w:p w14:paraId="25962716" w14:textId="77777777" w:rsidR="00CE52FE" w:rsidRPr="006C2BA5" w:rsidRDefault="00CE52FE" w:rsidP="006C2BA5">
      <w:pPr>
        <w:spacing w:line="360" w:lineRule="auto"/>
        <w:jc w:val="both"/>
        <w:rPr>
          <w:rFonts w:ascii="Arial" w:hAnsi="Arial" w:cs="Arial"/>
        </w:rPr>
      </w:pPr>
      <w:r w:rsidRPr="006C2BA5">
        <w:rPr>
          <w:rFonts w:ascii="Arial" w:hAnsi="Arial" w:cs="Arial"/>
        </w:rPr>
        <w:t xml:space="preserve">The scoping review aims to trace the existing peer-reviewed literature in the UK on dementia care offered to adults through the scoping review approach in a direct manner. </w:t>
      </w:r>
    </w:p>
    <w:p w14:paraId="0C66315D" w14:textId="77777777" w:rsidR="00CE52FE" w:rsidRPr="006C2BA5" w:rsidRDefault="00CE52FE" w:rsidP="006C2BA5">
      <w:pPr>
        <w:spacing w:line="360" w:lineRule="auto"/>
        <w:jc w:val="both"/>
        <w:rPr>
          <w:rFonts w:ascii="Arial" w:hAnsi="Arial" w:cs="Arial"/>
        </w:rPr>
      </w:pPr>
      <w:r w:rsidRPr="58B82618">
        <w:rPr>
          <w:rFonts w:ascii="Arial" w:hAnsi="Arial" w:cs="Arial"/>
        </w:rPr>
        <w:t>The objectives are:</w:t>
      </w:r>
    </w:p>
    <w:p w14:paraId="4780835E" w14:textId="58D0EA60" w:rsidR="00CE52FE" w:rsidRPr="006C2BA5" w:rsidRDefault="00CE52FE" w:rsidP="006C2BA5">
      <w:pPr>
        <w:pStyle w:val="ListParagraph"/>
        <w:numPr>
          <w:ilvl w:val="0"/>
          <w:numId w:val="2"/>
        </w:numPr>
        <w:spacing w:line="360" w:lineRule="auto"/>
        <w:jc w:val="both"/>
        <w:rPr>
          <w:rFonts w:ascii="Arial" w:hAnsi="Arial" w:cs="Arial"/>
        </w:rPr>
      </w:pPr>
      <w:r w:rsidRPr="006C2BA5">
        <w:rPr>
          <w:rFonts w:ascii="Arial" w:hAnsi="Arial" w:cs="Arial"/>
        </w:rPr>
        <w:t xml:space="preserve">To explore and classify key themes in the literature related to dementia care practises, interventions, and service delivery in adult health and social care in the UK.  </w:t>
      </w:r>
    </w:p>
    <w:p w14:paraId="283C8B09" w14:textId="0DDB82DD" w:rsidR="00CE52FE" w:rsidRPr="006C2BA5" w:rsidRDefault="00CE52FE" w:rsidP="006C2BA5">
      <w:pPr>
        <w:pStyle w:val="ListParagraph"/>
        <w:numPr>
          <w:ilvl w:val="0"/>
          <w:numId w:val="2"/>
        </w:numPr>
        <w:spacing w:line="360" w:lineRule="auto"/>
        <w:jc w:val="both"/>
        <w:rPr>
          <w:rFonts w:ascii="Arial" w:hAnsi="Arial" w:cs="Arial"/>
        </w:rPr>
      </w:pPr>
      <w:r w:rsidRPr="58B82618">
        <w:rPr>
          <w:rFonts w:ascii="Arial" w:hAnsi="Arial" w:cs="Arial"/>
        </w:rPr>
        <w:t xml:space="preserve">To illustrate the evidence that is missing to guide future research interests and policy.  </w:t>
      </w:r>
    </w:p>
    <w:p w14:paraId="35AEA299" w14:textId="35A98F34" w:rsidR="00CE52FE" w:rsidRPr="006C2BA5" w:rsidRDefault="00CE52FE" w:rsidP="006C2BA5">
      <w:pPr>
        <w:pStyle w:val="ListParagraph"/>
        <w:numPr>
          <w:ilvl w:val="0"/>
          <w:numId w:val="2"/>
        </w:numPr>
        <w:spacing w:line="360" w:lineRule="auto"/>
        <w:jc w:val="both"/>
        <w:rPr>
          <w:rFonts w:ascii="Arial" w:hAnsi="Arial" w:cs="Arial"/>
        </w:rPr>
      </w:pPr>
      <w:r w:rsidRPr="006C2BA5">
        <w:rPr>
          <w:rFonts w:ascii="Arial" w:hAnsi="Arial" w:cs="Arial"/>
        </w:rPr>
        <w:t>To offer actual-world recommendations on how to use the evidence in UK health, social care, and digital health, including teamwork and technology-based care.</w:t>
      </w:r>
    </w:p>
    <w:p w14:paraId="07A0A89E" w14:textId="0D90D519" w:rsidR="00CE52FE" w:rsidRPr="006C2BA5" w:rsidRDefault="00CE52FE" w:rsidP="58B82618">
      <w:pPr>
        <w:pStyle w:val="Heading2"/>
        <w:spacing w:line="360" w:lineRule="auto"/>
        <w:jc w:val="both"/>
        <w:rPr>
          <w:rFonts w:ascii="Arial" w:hAnsi="Arial" w:cs="Arial"/>
          <w:b/>
          <w:bCs/>
          <w:sz w:val="22"/>
          <w:szCs w:val="22"/>
        </w:rPr>
      </w:pPr>
      <w:bookmarkStart w:id="6" w:name="_Toc222570934"/>
      <w:r w:rsidRPr="58B82618">
        <w:rPr>
          <w:rFonts w:ascii="Arial" w:hAnsi="Arial" w:cs="Arial"/>
          <w:b/>
          <w:bCs/>
          <w:sz w:val="22"/>
          <w:szCs w:val="22"/>
        </w:rPr>
        <w:t xml:space="preserve">1.4 </w:t>
      </w:r>
      <w:r w:rsidR="1B8A51B9" w:rsidRPr="58B82618">
        <w:rPr>
          <w:rFonts w:ascii="Arial" w:hAnsi="Arial" w:cs="Arial"/>
          <w:b/>
          <w:bCs/>
          <w:sz w:val="22"/>
          <w:szCs w:val="22"/>
        </w:rPr>
        <w:t>Research</w:t>
      </w:r>
      <w:r w:rsidRPr="58B82618">
        <w:rPr>
          <w:rFonts w:ascii="Arial" w:hAnsi="Arial" w:cs="Arial"/>
          <w:b/>
          <w:bCs/>
          <w:sz w:val="22"/>
          <w:szCs w:val="22"/>
        </w:rPr>
        <w:t xml:space="preserve"> </w:t>
      </w:r>
      <w:r w:rsidR="658C9BB1" w:rsidRPr="58B82618">
        <w:rPr>
          <w:rFonts w:ascii="Arial" w:hAnsi="Arial" w:cs="Arial"/>
          <w:b/>
          <w:bCs/>
          <w:sz w:val="22"/>
          <w:szCs w:val="22"/>
        </w:rPr>
        <w:t>Question:</w:t>
      </w:r>
      <w:bookmarkEnd w:id="6"/>
      <w:r w:rsidRPr="58B82618">
        <w:rPr>
          <w:rFonts w:ascii="Arial" w:hAnsi="Arial" w:cs="Arial"/>
          <w:b/>
          <w:bCs/>
          <w:sz w:val="22"/>
          <w:szCs w:val="22"/>
        </w:rPr>
        <w:t xml:space="preserve"> </w:t>
      </w:r>
    </w:p>
    <w:p w14:paraId="566B8465" w14:textId="186F7D4A" w:rsidR="003833C5" w:rsidRPr="006C2BA5" w:rsidRDefault="00CE52FE" w:rsidP="006C2BA5">
      <w:pPr>
        <w:spacing w:line="360" w:lineRule="auto"/>
        <w:jc w:val="both"/>
        <w:rPr>
          <w:rFonts w:ascii="Arial" w:hAnsi="Arial" w:cs="Arial"/>
        </w:rPr>
      </w:pPr>
      <w:r w:rsidRPr="58B82618">
        <w:rPr>
          <w:rFonts w:ascii="Arial" w:hAnsi="Arial" w:cs="Arial"/>
        </w:rPr>
        <w:t xml:space="preserve">What does the scholarly literature tell us about adult dementia care in UK health, social care and digital </w:t>
      </w:r>
      <w:r w:rsidR="7207B653" w:rsidRPr="58B82618">
        <w:rPr>
          <w:rFonts w:ascii="Arial" w:hAnsi="Arial" w:cs="Arial"/>
        </w:rPr>
        <w:t xml:space="preserve">health? </w:t>
      </w:r>
    </w:p>
    <w:p w14:paraId="03DD5B1A" w14:textId="550C2106" w:rsidR="003833C5" w:rsidRPr="006C2BA5" w:rsidRDefault="0083686D" w:rsidP="58B82618">
      <w:pPr>
        <w:pStyle w:val="Heading1"/>
        <w:spacing w:line="360" w:lineRule="auto"/>
        <w:jc w:val="both"/>
        <w:rPr>
          <w:rFonts w:ascii="Arial" w:hAnsi="Arial" w:cs="Arial"/>
          <w:b/>
          <w:bCs/>
          <w:sz w:val="22"/>
          <w:szCs w:val="22"/>
        </w:rPr>
      </w:pPr>
      <w:bookmarkStart w:id="7" w:name="_Toc222570935"/>
      <w:r w:rsidRPr="58B82618">
        <w:rPr>
          <w:rFonts w:ascii="Arial" w:hAnsi="Arial" w:cs="Arial"/>
          <w:b/>
          <w:bCs/>
          <w:sz w:val="22"/>
          <w:szCs w:val="22"/>
        </w:rPr>
        <w:t xml:space="preserve">Chapter </w:t>
      </w:r>
      <w:r w:rsidR="003833C5" w:rsidRPr="58B82618">
        <w:rPr>
          <w:rFonts w:ascii="Arial" w:hAnsi="Arial" w:cs="Arial"/>
          <w:b/>
          <w:bCs/>
          <w:sz w:val="22"/>
          <w:szCs w:val="22"/>
        </w:rPr>
        <w:t>2</w:t>
      </w:r>
      <w:r w:rsidRPr="58B82618">
        <w:rPr>
          <w:rFonts w:ascii="Arial" w:hAnsi="Arial" w:cs="Arial"/>
          <w:b/>
          <w:bCs/>
          <w:sz w:val="22"/>
          <w:szCs w:val="22"/>
        </w:rPr>
        <w:t>:</w:t>
      </w:r>
      <w:r w:rsidR="003833C5" w:rsidRPr="58B82618">
        <w:rPr>
          <w:rFonts w:ascii="Arial" w:hAnsi="Arial" w:cs="Arial"/>
          <w:b/>
          <w:bCs/>
          <w:sz w:val="22"/>
          <w:szCs w:val="22"/>
        </w:rPr>
        <w:t xml:space="preserve"> Background</w:t>
      </w:r>
      <w:bookmarkEnd w:id="7"/>
    </w:p>
    <w:p w14:paraId="431D4D18" w14:textId="6F186EBF" w:rsidR="003833C5" w:rsidRPr="006C2BA5" w:rsidRDefault="003833C5" w:rsidP="58B82618">
      <w:pPr>
        <w:pStyle w:val="Heading2"/>
        <w:spacing w:line="360" w:lineRule="auto"/>
        <w:jc w:val="both"/>
        <w:rPr>
          <w:rFonts w:ascii="Arial" w:hAnsi="Arial" w:cs="Arial"/>
          <w:b/>
          <w:bCs/>
          <w:sz w:val="22"/>
          <w:szCs w:val="22"/>
        </w:rPr>
      </w:pPr>
      <w:bookmarkStart w:id="8" w:name="_Toc222570936"/>
      <w:r w:rsidRPr="58B82618">
        <w:rPr>
          <w:rFonts w:ascii="Arial" w:hAnsi="Arial" w:cs="Arial"/>
          <w:b/>
          <w:bCs/>
          <w:sz w:val="22"/>
          <w:szCs w:val="22"/>
        </w:rPr>
        <w:t>2.1 Dementia in the UK Context</w:t>
      </w:r>
      <w:bookmarkEnd w:id="8"/>
    </w:p>
    <w:p w14:paraId="29E78758" w14:textId="387077AD" w:rsidR="003833C5" w:rsidRPr="006C2BA5" w:rsidRDefault="00814680" w:rsidP="006C2BA5">
      <w:pPr>
        <w:spacing w:line="360" w:lineRule="auto"/>
        <w:jc w:val="both"/>
        <w:rPr>
          <w:rFonts w:ascii="Arial" w:hAnsi="Arial" w:cs="Arial"/>
        </w:rPr>
      </w:pPr>
      <w:r w:rsidRPr="006C2BA5">
        <w:rPr>
          <w:rFonts w:ascii="Arial" w:hAnsi="Arial" w:cs="Arial"/>
        </w:rPr>
        <w:t xml:space="preserve">Dementia is the most significant social problem in the United Kingdom. </w:t>
      </w:r>
      <w:r w:rsidR="003833C5" w:rsidRPr="006C2BA5">
        <w:rPr>
          <w:rFonts w:ascii="Arial" w:hAnsi="Arial" w:cs="Arial"/>
        </w:rPr>
        <w:t>Recent statistics provided by the Alzheimer Society show that there are around 900,000 sufferers of dementia in the UK currently which the statistics are expected to significantly increase over the next few decades as the older generation grows older. Extended lifespan has led to an increasing percentage of the aged with age being the greatest risk factor in the development of dementia. Such change in population implies a lot in terms of health and social care provision since greater complexity of long-term care needs is often linked with dementia</w:t>
      </w:r>
      <w:r w:rsidR="005463A7" w:rsidRPr="006C2BA5">
        <w:rPr>
          <w:rFonts w:ascii="Arial" w:hAnsi="Arial" w:cs="Arial"/>
        </w:rPr>
        <w:t xml:space="preserve"> (Brookes, 2023)</w:t>
      </w:r>
      <w:r w:rsidR="003833C5" w:rsidRPr="006C2BA5">
        <w:rPr>
          <w:rFonts w:ascii="Arial" w:hAnsi="Arial" w:cs="Arial"/>
        </w:rPr>
        <w:t>.</w:t>
      </w:r>
    </w:p>
    <w:p w14:paraId="5D6B71E4" w14:textId="72D2C951" w:rsidR="003833C5" w:rsidRPr="006C2BA5" w:rsidRDefault="003833C5" w:rsidP="006C2BA5">
      <w:pPr>
        <w:spacing w:line="360" w:lineRule="auto"/>
        <w:jc w:val="both"/>
        <w:rPr>
          <w:rFonts w:ascii="Arial" w:hAnsi="Arial" w:cs="Arial"/>
        </w:rPr>
      </w:pPr>
      <w:r w:rsidRPr="58B82618">
        <w:rPr>
          <w:rFonts w:ascii="Arial" w:hAnsi="Arial" w:cs="Arial"/>
        </w:rPr>
        <w:t xml:space="preserve">The condition places a continuous burden on the primary and secondary health care. Dementia individuals are prone to </w:t>
      </w:r>
      <w:r w:rsidR="00BF33A4" w:rsidRPr="58B82618">
        <w:rPr>
          <w:rFonts w:ascii="Arial" w:hAnsi="Arial" w:cs="Arial"/>
        </w:rPr>
        <w:t>hospitalisation;</w:t>
      </w:r>
      <w:r w:rsidRPr="58B82618">
        <w:rPr>
          <w:rFonts w:ascii="Arial" w:hAnsi="Arial" w:cs="Arial"/>
        </w:rPr>
        <w:t xml:space="preserve"> prolonged inpatient stays as well as high readmission than individuals without a cognitive impairment are. In the community settings, the general practitioners, memory clinics and community mental health teams are central in detection, surveillance and continued care. NHS England states that there is still a priority to improve the rate of early diagnosis and support after diagnosis </w:t>
      </w:r>
      <w:r w:rsidR="0118EFB6" w:rsidRPr="58B82618">
        <w:rPr>
          <w:rFonts w:ascii="Arial" w:hAnsi="Arial" w:cs="Arial"/>
        </w:rPr>
        <w:t>which,</w:t>
      </w:r>
      <w:r w:rsidRPr="58B82618">
        <w:rPr>
          <w:rFonts w:ascii="Arial" w:hAnsi="Arial" w:cs="Arial"/>
        </w:rPr>
        <w:t xml:space="preserve"> yet services usually work with capacity limitation.</w:t>
      </w:r>
    </w:p>
    <w:p w14:paraId="0B3B1930" w14:textId="0E18ED63" w:rsidR="0022008F" w:rsidRPr="006C2BA5" w:rsidRDefault="0022008F" w:rsidP="006C2BA5">
      <w:pPr>
        <w:spacing w:line="360" w:lineRule="auto"/>
        <w:jc w:val="both"/>
        <w:rPr>
          <w:rFonts w:ascii="Arial" w:hAnsi="Arial" w:cs="Arial"/>
        </w:rPr>
      </w:pPr>
      <w:r w:rsidRPr="58B82618">
        <w:rPr>
          <w:rFonts w:ascii="Arial" w:hAnsi="Arial" w:cs="Arial"/>
        </w:rPr>
        <w:t>Besides NHS, the local authorities are increasingly struggling to offer home-based services, accommodation and protection to the dementia patients. . Parenting produces considerable emotional, economic, and physical strains on the families. The annual economic burden of dementia in the UK is estimated to be billions of pounds that include spending in the healthcare sector, social sector expenses as well as unpaid care. These aspects emphasise the need to design supportive structures that should be sustainable in preserving the quality of care</w:t>
      </w:r>
      <w:r w:rsidR="6B9E277D" w:rsidRPr="58B82618">
        <w:rPr>
          <w:rFonts w:ascii="Arial" w:hAnsi="Arial" w:cs="Arial"/>
        </w:rPr>
        <w:t xml:space="preserve"> </w:t>
      </w:r>
      <w:r w:rsidRPr="58B82618">
        <w:rPr>
          <w:rFonts w:ascii="Arial" w:hAnsi="Arial" w:cs="Arial"/>
        </w:rPr>
        <w:t xml:space="preserve"> and addressing the pressure that reaches the system-wide (Lasrado et al., 2025).</w:t>
      </w:r>
    </w:p>
    <w:p w14:paraId="75420D2B" w14:textId="77777777" w:rsidR="0022008F" w:rsidRPr="006C2BA5" w:rsidRDefault="0022008F" w:rsidP="58B82618">
      <w:pPr>
        <w:pStyle w:val="Heading2"/>
        <w:spacing w:line="360" w:lineRule="auto"/>
        <w:jc w:val="both"/>
        <w:rPr>
          <w:rFonts w:ascii="Arial" w:hAnsi="Arial" w:cs="Arial"/>
          <w:b/>
          <w:bCs/>
          <w:sz w:val="22"/>
          <w:szCs w:val="22"/>
        </w:rPr>
      </w:pPr>
      <w:bookmarkStart w:id="9" w:name="_Toc222570937"/>
      <w:r w:rsidRPr="58B82618">
        <w:rPr>
          <w:rFonts w:ascii="Arial" w:hAnsi="Arial" w:cs="Arial"/>
          <w:b/>
          <w:bCs/>
          <w:sz w:val="22"/>
          <w:szCs w:val="22"/>
        </w:rPr>
        <w:t>2.2 UK Policy and Guidance</w:t>
      </w:r>
      <w:bookmarkEnd w:id="9"/>
    </w:p>
    <w:p w14:paraId="5869D593" w14:textId="4DAC050F" w:rsidR="0022008F" w:rsidRPr="006C2BA5" w:rsidRDefault="0022008F" w:rsidP="006C2BA5">
      <w:pPr>
        <w:spacing w:line="360" w:lineRule="auto"/>
        <w:jc w:val="both"/>
        <w:rPr>
          <w:rFonts w:ascii="Arial" w:hAnsi="Arial" w:cs="Arial"/>
        </w:rPr>
      </w:pPr>
      <w:r w:rsidRPr="006C2BA5">
        <w:rPr>
          <w:rFonts w:ascii="Arial" w:hAnsi="Arial" w:cs="Arial"/>
        </w:rPr>
        <w:t xml:space="preserve">To address those issues, national policy pays more attention to the enhancement of dementia care and the advancement of digitalization. Dementia plans aim at developing early detection strategies, person centred care and a combination of health and social services. </w:t>
      </w:r>
    </w:p>
    <w:p w14:paraId="1EBD3377" w14:textId="2B0F630C" w:rsidR="0022008F" w:rsidRPr="006C2BA5" w:rsidRDefault="0022008F" w:rsidP="006C2BA5">
      <w:pPr>
        <w:spacing w:line="360" w:lineRule="auto"/>
        <w:jc w:val="both"/>
        <w:rPr>
          <w:rFonts w:ascii="Arial" w:hAnsi="Arial" w:cs="Arial"/>
        </w:rPr>
      </w:pPr>
      <w:r w:rsidRPr="58B82618">
        <w:rPr>
          <w:rFonts w:ascii="Arial" w:hAnsi="Arial" w:cs="Arial"/>
        </w:rPr>
        <w:t>Goals established by policy are to increase efficiency, unnecessary hospital stays, and patient autonomy, which can be achieved by utilising technology-based care.</w:t>
      </w:r>
      <w:r w:rsidR="00411A66" w:rsidRPr="58B82618">
        <w:rPr>
          <w:rFonts w:ascii="Arial" w:hAnsi="Arial" w:cs="Arial"/>
        </w:rPr>
        <w:t xml:space="preserve"> </w:t>
      </w:r>
      <w:r w:rsidRPr="58B82618">
        <w:rPr>
          <w:rFonts w:ascii="Arial" w:hAnsi="Arial" w:cs="Arial"/>
        </w:rPr>
        <w:t>The use of assistive technologies promoted by the National Institute of Health and Care Excellence remains safe, independent, and well when applied in an evidence-based manner that is ethically appropriate (Neal et al., 2025).</w:t>
      </w:r>
    </w:p>
    <w:p w14:paraId="47B5AA95" w14:textId="0F37DEB2" w:rsidR="003833C5" w:rsidRPr="006C2BA5" w:rsidRDefault="0022008F" w:rsidP="006C2BA5">
      <w:pPr>
        <w:spacing w:line="360" w:lineRule="auto"/>
        <w:jc w:val="both"/>
        <w:rPr>
          <w:rFonts w:ascii="Arial" w:hAnsi="Arial" w:cs="Arial"/>
        </w:rPr>
      </w:pPr>
      <w:r w:rsidRPr="58B82618">
        <w:rPr>
          <w:rFonts w:ascii="Arial" w:hAnsi="Arial" w:cs="Arial"/>
        </w:rPr>
        <w:t>There are various local authorities that promote the use of technology-based caregiving such as fall detectors, door sensors, and emergency response alarms. Newer community care pathways adopt the digital health applications and remote monitoring configurations.</w:t>
      </w:r>
      <w:r w:rsidR="00411A66" w:rsidRPr="58B82618">
        <w:rPr>
          <w:rFonts w:ascii="Arial" w:hAnsi="Arial" w:cs="Arial"/>
        </w:rPr>
        <w:t xml:space="preserve"> </w:t>
      </w:r>
      <w:r w:rsidRPr="58B82618">
        <w:rPr>
          <w:rFonts w:ascii="Arial" w:hAnsi="Arial" w:cs="Arial"/>
        </w:rPr>
        <w:t xml:space="preserve">Implementation is influenced by </w:t>
      </w:r>
      <w:r w:rsidR="00617EFD" w:rsidRPr="58B82618">
        <w:rPr>
          <w:rFonts w:ascii="Arial" w:hAnsi="Arial" w:cs="Arial"/>
        </w:rPr>
        <w:t xml:space="preserve">access of resources, digital literacy, availability of workforce, </w:t>
      </w:r>
      <w:r w:rsidRPr="58B82618">
        <w:rPr>
          <w:rFonts w:ascii="Arial" w:hAnsi="Arial" w:cs="Arial"/>
        </w:rPr>
        <w:t>local commissioning choices</w:t>
      </w:r>
      <w:r w:rsidR="00617EFD" w:rsidRPr="58B82618">
        <w:rPr>
          <w:rFonts w:ascii="Arial" w:hAnsi="Arial" w:cs="Arial"/>
        </w:rPr>
        <w:t xml:space="preserve"> </w:t>
      </w:r>
      <w:r w:rsidR="00F8742B" w:rsidRPr="58B82618">
        <w:rPr>
          <w:rFonts w:ascii="Arial" w:hAnsi="Arial" w:cs="Arial"/>
        </w:rPr>
        <w:t>(Wherton et al., 2025)</w:t>
      </w:r>
      <w:r w:rsidR="003833C5" w:rsidRPr="58B82618">
        <w:rPr>
          <w:rFonts w:ascii="Arial" w:hAnsi="Arial" w:cs="Arial"/>
        </w:rPr>
        <w:t>.</w:t>
      </w:r>
    </w:p>
    <w:p w14:paraId="2B7487DB" w14:textId="77777777" w:rsidR="002A624A" w:rsidRPr="006C2BA5" w:rsidRDefault="003833C5" w:rsidP="58B82618">
      <w:pPr>
        <w:pStyle w:val="Heading2"/>
        <w:spacing w:line="360" w:lineRule="auto"/>
        <w:jc w:val="both"/>
        <w:rPr>
          <w:rFonts w:ascii="Arial" w:hAnsi="Arial" w:cs="Arial"/>
          <w:b/>
          <w:bCs/>
          <w:sz w:val="22"/>
          <w:szCs w:val="22"/>
        </w:rPr>
      </w:pPr>
      <w:bookmarkStart w:id="10" w:name="_Toc222570938"/>
      <w:r w:rsidRPr="58B82618">
        <w:rPr>
          <w:rFonts w:ascii="Arial" w:hAnsi="Arial" w:cs="Arial"/>
          <w:b/>
          <w:bCs/>
          <w:sz w:val="22"/>
          <w:szCs w:val="22"/>
        </w:rPr>
        <w:t>2.3 Directing Digital Health in Dementia Care.</w:t>
      </w:r>
      <w:bookmarkEnd w:id="10"/>
    </w:p>
    <w:p w14:paraId="453298B4" w14:textId="1C118C16" w:rsidR="003833C5" w:rsidRPr="006C2BA5" w:rsidRDefault="003833C5" w:rsidP="006C2BA5">
      <w:pPr>
        <w:spacing w:line="360" w:lineRule="auto"/>
        <w:jc w:val="both"/>
        <w:rPr>
          <w:rFonts w:ascii="Arial" w:hAnsi="Arial" w:cs="Arial"/>
        </w:rPr>
      </w:pPr>
      <w:r w:rsidRPr="58B82618">
        <w:rPr>
          <w:rFonts w:ascii="Arial" w:hAnsi="Arial" w:cs="Arial"/>
        </w:rPr>
        <w:t xml:space="preserve">Dementia care has a wide range of digital health technologies. Telehealth devices facilitate distance appointments between consumers, caregivers and medical workers, hence decreasing the volume of travel needs and providing continuous control. Home-based monitoring systems use sensors to track movement patterns, falls or change of routine, thus possessing the aspect of identifying an initial sign of deterioration. </w:t>
      </w:r>
      <w:r w:rsidR="00561AA2" w:rsidRPr="58B82618">
        <w:rPr>
          <w:rFonts w:ascii="Arial" w:hAnsi="Arial" w:cs="Arial"/>
        </w:rPr>
        <w:t xml:space="preserve">The mobile applications can assist the patients in keeping track of </w:t>
      </w:r>
      <w:r w:rsidR="009950D4" w:rsidRPr="58B82618">
        <w:rPr>
          <w:rFonts w:ascii="Arial" w:hAnsi="Arial" w:cs="Arial"/>
        </w:rPr>
        <w:t>provide the carers with access to the practitioners, facilitate mental processes</w:t>
      </w:r>
      <w:r w:rsidR="006D536A" w:rsidRPr="58B82618">
        <w:rPr>
          <w:rFonts w:ascii="Arial" w:hAnsi="Arial" w:cs="Arial"/>
        </w:rPr>
        <w:t xml:space="preserve">, </w:t>
      </w:r>
      <w:r w:rsidR="00561AA2" w:rsidRPr="58B82618">
        <w:rPr>
          <w:rFonts w:ascii="Arial" w:hAnsi="Arial" w:cs="Arial"/>
        </w:rPr>
        <w:t xml:space="preserve">medication regimen. Personal safety among individuals who have the potential to become vagrant can be taken care of using GPS-enabled devices. </w:t>
      </w:r>
      <w:r w:rsidRPr="58B82618">
        <w:rPr>
          <w:rFonts w:ascii="Arial" w:hAnsi="Arial" w:cs="Arial"/>
        </w:rPr>
        <w:t>In the case of stretched services, digital follow-ups can be used to uphold more proactive and preventive care patterns as well</w:t>
      </w:r>
      <w:r w:rsidR="00626E2F" w:rsidRPr="58B82618">
        <w:rPr>
          <w:rFonts w:ascii="Arial" w:hAnsi="Arial" w:cs="Arial"/>
        </w:rPr>
        <w:t xml:space="preserve"> (Nwofe et al., 2025)</w:t>
      </w:r>
      <w:r w:rsidRPr="58B82618">
        <w:rPr>
          <w:rFonts w:ascii="Arial" w:hAnsi="Arial" w:cs="Arial"/>
        </w:rPr>
        <w:t>.</w:t>
      </w:r>
    </w:p>
    <w:p w14:paraId="14122442" w14:textId="71092F45" w:rsidR="00CE52FE" w:rsidRPr="006C2BA5" w:rsidRDefault="00561AA2" w:rsidP="006C2BA5">
      <w:pPr>
        <w:spacing w:line="360" w:lineRule="auto"/>
        <w:jc w:val="both"/>
        <w:rPr>
          <w:rFonts w:ascii="Arial" w:hAnsi="Arial" w:cs="Arial"/>
        </w:rPr>
      </w:pPr>
      <w:r w:rsidRPr="58B82618">
        <w:rPr>
          <w:rFonts w:ascii="Arial" w:hAnsi="Arial" w:cs="Arial"/>
        </w:rPr>
        <w:t xml:space="preserve">Nevertheless, there are </w:t>
      </w:r>
      <w:bookmarkStart w:id="11" w:name="_Int_AL2qo5js"/>
      <w:r w:rsidRPr="58B82618">
        <w:rPr>
          <w:rFonts w:ascii="Arial" w:hAnsi="Arial" w:cs="Arial"/>
        </w:rPr>
        <w:t>a number of</w:t>
      </w:r>
      <w:bookmarkEnd w:id="11"/>
      <w:r w:rsidRPr="58B82618">
        <w:rPr>
          <w:rFonts w:ascii="Arial" w:hAnsi="Arial" w:cs="Arial"/>
        </w:rPr>
        <w:t xml:space="preserve"> obstacles that should be </w:t>
      </w:r>
      <w:bookmarkStart w:id="12" w:name="_Int_dg7BZYf9"/>
      <w:r w:rsidRPr="58B82618">
        <w:rPr>
          <w:rFonts w:ascii="Arial" w:hAnsi="Arial" w:cs="Arial"/>
        </w:rPr>
        <w:t>taken into account</w:t>
      </w:r>
      <w:bookmarkEnd w:id="12"/>
      <w:r w:rsidRPr="58B82618">
        <w:rPr>
          <w:rFonts w:ascii="Arial" w:hAnsi="Arial" w:cs="Arial"/>
        </w:rPr>
        <w:t>. Digital exclusion is one of the key issues of concern particularly within the ageing demographic since older individuals might not have access to affordable and reliable devices, access to the internet, as well as lack digital skills. The impairment of cognitions may also be used in limiting the use of some technologies</w:t>
      </w:r>
      <w:r w:rsidR="4BADE58D" w:rsidRPr="58B82618">
        <w:rPr>
          <w:rFonts w:ascii="Arial" w:hAnsi="Arial" w:cs="Arial"/>
        </w:rPr>
        <w:t>.</w:t>
      </w:r>
    </w:p>
    <w:p w14:paraId="0AAB6CDA" w14:textId="08C8E4A5" w:rsidR="00CE52FE" w:rsidRPr="006C2BA5" w:rsidRDefault="00CE52FE" w:rsidP="006C2BA5">
      <w:pPr>
        <w:spacing w:line="360" w:lineRule="auto"/>
        <w:jc w:val="both"/>
        <w:rPr>
          <w:rFonts w:ascii="Arial" w:hAnsi="Arial" w:cs="Arial"/>
        </w:rPr>
      </w:pPr>
      <w:r w:rsidRPr="58B82618">
        <w:rPr>
          <w:rFonts w:ascii="Arial" w:hAnsi="Arial" w:cs="Arial"/>
        </w:rPr>
        <w:t>Non-uniformity of measuring outcomes under different studies can also be noticed; some of these studies are focused on clinical measures, some on quality of life and other studies are centred on service utilisation. This lack of homogeneity leads to the disjointed nature of the evidence base, thus complicating the work of providing conclusive statements on overall usefulness. Moreover, even the literature is mostly based on pilot projects or small-scale interventions, which makes it hard to extrapolate</w:t>
      </w:r>
      <w:r w:rsidR="00BE1671" w:rsidRPr="58B82618">
        <w:rPr>
          <w:rFonts w:ascii="Arial" w:hAnsi="Arial" w:cs="Arial"/>
        </w:rPr>
        <w:t xml:space="preserve"> (Wallcook, 2021)</w:t>
      </w:r>
      <w:r w:rsidRPr="58B82618">
        <w:rPr>
          <w:rFonts w:ascii="Arial" w:hAnsi="Arial" w:cs="Arial"/>
        </w:rPr>
        <w:t>.</w:t>
      </w:r>
      <w:r w:rsidR="005A0E5F" w:rsidRPr="58B82618">
        <w:rPr>
          <w:rFonts w:ascii="Arial" w:hAnsi="Arial" w:cs="Arial"/>
        </w:rPr>
        <w:t xml:space="preserve"> </w:t>
      </w:r>
      <w:r w:rsidRPr="58B82618">
        <w:rPr>
          <w:rFonts w:ascii="Arial" w:hAnsi="Arial" w:cs="Arial"/>
        </w:rPr>
        <w:t>Combined, the rising policy interest of digital innovation and increasing pressures on services in response to intensifying service demands and the complexity of the demands of persons with dementia highlight the need to have a systematic mapping of available research</w:t>
      </w:r>
      <w:r w:rsidR="0035111F" w:rsidRPr="58B82618">
        <w:rPr>
          <w:rFonts w:ascii="Arial" w:hAnsi="Arial" w:cs="Arial"/>
        </w:rPr>
        <w:t xml:space="preserve"> </w:t>
      </w:r>
      <w:r w:rsidR="00D52EEB" w:rsidRPr="58B82618">
        <w:rPr>
          <w:rFonts w:ascii="Arial" w:hAnsi="Arial" w:cs="Arial"/>
        </w:rPr>
        <w:t>(Abdulazeem et al., 2025)</w:t>
      </w:r>
      <w:r w:rsidRPr="58B82618">
        <w:rPr>
          <w:rFonts w:ascii="Arial" w:hAnsi="Arial" w:cs="Arial"/>
        </w:rPr>
        <w:t>.</w:t>
      </w:r>
    </w:p>
    <w:p w14:paraId="59539543" w14:textId="79BA5610" w:rsidR="0038375A" w:rsidRPr="006C2BA5" w:rsidRDefault="00D52EEB" w:rsidP="006C2BA5">
      <w:pPr>
        <w:spacing w:line="360" w:lineRule="auto"/>
        <w:jc w:val="both"/>
        <w:rPr>
          <w:rFonts w:ascii="Arial" w:hAnsi="Arial" w:cs="Arial"/>
        </w:rPr>
      </w:pPr>
      <w:r w:rsidRPr="006C2BA5">
        <w:rPr>
          <w:rFonts w:ascii="Arial" w:hAnsi="Arial" w:cs="Arial"/>
        </w:rPr>
        <w:t xml:space="preserve"> </w:t>
      </w:r>
    </w:p>
    <w:p w14:paraId="4C7D787C" w14:textId="77777777" w:rsidR="0038375A" w:rsidRPr="006C2BA5" w:rsidRDefault="0038375A" w:rsidP="006C2BA5">
      <w:pPr>
        <w:spacing w:line="360" w:lineRule="auto"/>
        <w:jc w:val="both"/>
        <w:rPr>
          <w:rFonts w:ascii="Arial" w:hAnsi="Arial" w:cs="Arial"/>
        </w:rPr>
      </w:pPr>
      <w:r w:rsidRPr="006C2BA5">
        <w:rPr>
          <w:rFonts w:ascii="Arial" w:hAnsi="Arial" w:cs="Arial"/>
        </w:rPr>
        <w:br w:type="page"/>
      </w:r>
    </w:p>
    <w:p w14:paraId="6D7B9C64" w14:textId="52C37414" w:rsidR="00CE52FE" w:rsidRPr="006C2BA5" w:rsidRDefault="0028559B" w:rsidP="58B82618">
      <w:pPr>
        <w:pStyle w:val="Heading1"/>
        <w:spacing w:line="360" w:lineRule="auto"/>
        <w:jc w:val="both"/>
        <w:rPr>
          <w:rFonts w:ascii="Arial" w:hAnsi="Arial" w:cs="Arial"/>
          <w:b/>
          <w:bCs/>
          <w:sz w:val="22"/>
          <w:szCs w:val="22"/>
        </w:rPr>
      </w:pPr>
      <w:bookmarkStart w:id="13" w:name="_Toc222570939"/>
      <w:r w:rsidRPr="58B82618">
        <w:rPr>
          <w:rFonts w:ascii="Arial" w:hAnsi="Arial" w:cs="Arial"/>
          <w:b/>
          <w:bCs/>
          <w:sz w:val="22"/>
          <w:szCs w:val="22"/>
        </w:rPr>
        <w:t xml:space="preserve">Chapter 3: </w:t>
      </w:r>
      <w:r w:rsidR="00CE52FE" w:rsidRPr="58B82618">
        <w:rPr>
          <w:rFonts w:ascii="Arial" w:hAnsi="Arial" w:cs="Arial"/>
          <w:b/>
          <w:bCs/>
          <w:sz w:val="22"/>
          <w:szCs w:val="22"/>
        </w:rPr>
        <w:t>Methods</w:t>
      </w:r>
      <w:bookmarkEnd w:id="13"/>
      <w:r w:rsidR="00CE52FE" w:rsidRPr="58B82618">
        <w:rPr>
          <w:rFonts w:ascii="Arial" w:hAnsi="Arial" w:cs="Arial"/>
          <w:b/>
          <w:bCs/>
          <w:sz w:val="22"/>
          <w:szCs w:val="22"/>
        </w:rPr>
        <w:t xml:space="preserve">  </w:t>
      </w:r>
    </w:p>
    <w:p w14:paraId="37B97D7B" w14:textId="6F991473" w:rsidR="00CE52FE" w:rsidRPr="006C2BA5" w:rsidRDefault="00CE52FE" w:rsidP="006C2BA5">
      <w:pPr>
        <w:pStyle w:val="Heading2"/>
        <w:spacing w:line="360" w:lineRule="auto"/>
        <w:jc w:val="both"/>
        <w:rPr>
          <w:rFonts w:ascii="Arial" w:hAnsi="Arial" w:cs="Arial"/>
          <w:sz w:val="22"/>
          <w:szCs w:val="22"/>
        </w:rPr>
      </w:pPr>
      <w:bookmarkStart w:id="14" w:name="_Toc222570940"/>
      <w:r w:rsidRPr="006C2BA5">
        <w:rPr>
          <w:rFonts w:ascii="Arial" w:hAnsi="Arial" w:cs="Arial"/>
          <w:b/>
          <w:sz w:val="22"/>
          <w:szCs w:val="22"/>
        </w:rPr>
        <w:t>3.1 Study Design</w:t>
      </w:r>
      <w:bookmarkEnd w:id="14"/>
      <w:r w:rsidRPr="006C2BA5">
        <w:rPr>
          <w:rFonts w:ascii="Arial" w:hAnsi="Arial" w:cs="Arial"/>
          <w:sz w:val="22"/>
          <w:szCs w:val="22"/>
        </w:rPr>
        <w:t xml:space="preserve">  </w:t>
      </w:r>
    </w:p>
    <w:p w14:paraId="0FB28C80" w14:textId="67735D39" w:rsidR="00CE52FE" w:rsidRPr="006C2BA5" w:rsidRDefault="00CE52FE" w:rsidP="006C2BA5">
      <w:pPr>
        <w:spacing w:line="360" w:lineRule="auto"/>
        <w:jc w:val="both"/>
        <w:rPr>
          <w:rFonts w:ascii="Arial" w:hAnsi="Arial" w:cs="Arial"/>
        </w:rPr>
      </w:pPr>
      <w:r w:rsidRPr="58B82618">
        <w:rPr>
          <w:rFonts w:ascii="Arial" w:hAnsi="Arial" w:cs="Arial"/>
        </w:rPr>
        <w:t>The current research paper took the scoping review form. A scoping review can be described as a type of evidence synthesis that is conducted with the purpose of mapping the expanse and character of research in a particular area, not to assess the performance of a particular intervention. The framework that informed the methodological approac</w:t>
      </w:r>
      <w:r w:rsidR="00914CA6" w:rsidRPr="58B82618">
        <w:rPr>
          <w:rFonts w:ascii="Arial" w:hAnsi="Arial" w:cs="Arial"/>
        </w:rPr>
        <w:t xml:space="preserve">h </w:t>
      </w:r>
      <w:r w:rsidRPr="58B82618">
        <w:rPr>
          <w:rFonts w:ascii="Arial" w:hAnsi="Arial" w:cs="Arial"/>
        </w:rPr>
        <w:t xml:space="preserve">and it outlined major steps such as defining the research question, </w:t>
      </w:r>
      <w:bookmarkStart w:id="15" w:name="_Int_7XB2yrUW"/>
      <w:r w:rsidRPr="58B82618">
        <w:rPr>
          <w:rFonts w:ascii="Arial" w:hAnsi="Arial" w:cs="Arial"/>
        </w:rPr>
        <w:t>locating</w:t>
      </w:r>
      <w:bookmarkEnd w:id="15"/>
      <w:r w:rsidRPr="58B82618">
        <w:rPr>
          <w:rFonts w:ascii="Arial" w:hAnsi="Arial" w:cs="Arial"/>
        </w:rPr>
        <w:t xml:space="preserve"> the studies related to the topic, selecting the studies, data charting and hypothesis compilation</w:t>
      </w:r>
      <w:r w:rsidR="00F4341A" w:rsidRPr="58B82618">
        <w:rPr>
          <w:rFonts w:ascii="Arial" w:hAnsi="Arial" w:cs="Arial"/>
        </w:rPr>
        <w:t xml:space="preserve"> (Manu and Akotia, 2021)</w:t>
      </w:r>
      <w:r w:rsidRPr="58B82618">
        <w:rPr>
          <w:rFonts w:ascii="Arial" w:hAnsi="Arial" w:cs="Arial"/>
        </w:rPr>
        <w:t>.</w:t>
      </w:r>
    </w:p>
    <w:p w14:paraId="4B6AFDF7" w14:textId="394D3407" w:rsidR="00CE52FE" w:rsidRPr="006C2BA5" w:rsidRDefault="00CE52FE" w:rsidP="006C2BA5">
      <w:pPr>
        <w:spacing w:line="360" w:lineRule="auto"/>
        <w:jc w:val="both"/>
        <w:rPr>
          <w:rFonts w:ascii="Arial" w:hAnsi="Arial" w:cs="Arial"/>
        </w:rPr>
      </w:pPr>
      <w:r w:rsidRPr="006C2BA5">
        <w:rPr>
          <w:rFonts w:ascii="Arial" w:hAnsi="Arial" w:cs="Arial"/>
        </w:rPr>
        <w:t>Scoping review was considered the right choice of topic since digital health in dementia care is associated with different technologies, service contexts, and outcome measures. It was</w:t>
      </w:r>
      <w:r w:rsidR="00FB4069" w:rsidRPr="006C2BA5">
        <w:rPr>
          <w:rFonts w:ascii="Arial" w:hAnsi="Arial" w:cs="Arial"/>
        </w:rPr>
        <w:t xml:space="preserve"> </w:t>
      </w:r>
      <w:r w:rsidRPr="006C2BA5">
        <w:rPr>
          <w:rFonts w:ascii="Arial" w:hAnsi="Arial" w:cs="Arial"/>
        </w:rPr>
        <w:t>means of investigating patterns, themes and gaps in the UK based research. Theoretical simplified method of thematic analysis was used to analyse the chosen studies</w:t>
      </w:r>
      <w:r w:rsidR="00CC53F2" w:rsidRPr="006C2BA5">
        <w:rPr>
          <w:rFonts w:ascii="Arial" w:hAnsi="Arial" w:cs="Arial"/>
        </w:rPr>
        <w:t xml:space="preserve"> </w:t>
      </w:r>
      <w:r w:rsidR="002D4755" w:rsidRPr="006C2BA5">
        <w:rPr>
          <w:rFonts w:ascii="Arial" w:hAnsi="Arial" w:cs="Arial"/>
        </w:rPr>
        <w:t>(Khalil et al., 2022)</w:t>
      </w:r>
      <w:r w:rsidRPr="006C2BA5">
        <w:rPr>
          <w:rFonts w:ascii="Arial" w:hAnsi="Arial" w:cs="Arial"/>
        </w:rPr>
        <w:t>.</w:t>
      </w:r>
    </w:p>
    <w:p w14:paraId="3C1B7212" w14:textId="0F0FD468" w:rsidR="00731B86" w:rsidRPr="006C2BA5" w:rsidRDefault="00731B86" w:rsidP="58B82618">
      <w:pPr>
        <w:pStyle w:val="Heading2"/>
        <w:spacing w:line="360" w:lineRule="auto"/>
        <w:jc w:val="both"/>
        <w:rPr>
          <w:rFonts w:ascii="Arial" w:hAnsi="Arial" w:cs="Arial"/>
          <w:b/>
          <w:bCs/>
          <w:sz w:val="22"/>
          <w:szCs w:val="22"/>
        </w:rPr>
      </w:pPr>
      <w:bookmarkStart w:id="16" w:name="_Toc222570941"/>
      <w:r w:rsidRPr="58B82618">
        <w:rPr>
          <w:rFonts w:ascii="Arial" w:hAnsi="Arial" w:cs="Arial"/>
          <w:b/>
          <w:bCs/>
          <w:sz w:val="22"/>
          <w:szCs w:val="22"/>
        </w:rPr>
        <w:t>3.</w:t>
      </w:r>
      <w:r w:rsidR="007E65B8" w:rsidRPr="58B82618">
        <w:rPr>
          <w:rFonts w:ascii="Arial" w:hAnsi="Arial" w:cs="Arial"/>
          <w:b/>
          <w:bCs/>
          <w:sz w:val="22"/>
          <w:szCs w:val="22"/>
        </w:rPr>
        <w:t>2</w:t>
      </w:r>
      <w:r w:rsidRPr="58B82618">
        <w:rPr>
          <w:rFonts w:ascii="Arial" w:hAnsi="Arial" w:cs="Arial"/>
          <w:b/>
          <w:bCs/>
          <w:sz w:val="22"/>
          <w:szCs w:val="22"/>
        </w:rPr>
        <w:t xml:space="preserve"> Data </w:t>
      </w:r>
      <w:r w:rsidR="1B3E7786" w:rsidRPr="58B82618">
        <w:rPr>
          <w:rFonts w:ascii="Arial" w:hAnsi="Arial" w:cs="Arial"/>
          <w:b/>
          <w:bCs/>
          <w:sz w:val="22"/>
          <w:szCs w:val="22"/>
        </w:rPr>
        <w:t>Collection</w:t>
      </w:r>
      <w:r w:rsidRPr="58B82618">
        <w:rPr>
          <w:rFonts w:ascii="Arial" w:hAnsi="Arial" w:cs="Arial"/>
          <w:b/>
          <w:bCs/>
          <w:sz w:val="22"/>
          <w:szCs w:val="22"/>
        </w:rPr>
        <w:t xml:space="preserve"> and Thematic Analysis.</w:t>
      </w:r>
      <w:bookmarkEnd w:id="16"/>
    </w:p>
    <w:p w14:paraId="322C2150" w14:textId="29BBA14D" w:rsidR="00042BEB" w:rsidRPr="006C2BA5" w:rsidRDefault="00731B86" w:rsidP="006C2BA5">
      <w:pPr>
        <w:spacing w:line="360" w:lineRule="auto"/>
        <w:jc w:val="both"/>
        <w:rPr>
          <w:rFonts w:ascii="Arial" w:hAnsi="Arial" w:cs="Arial"/>
        </w:rPr>
      </w:pPr>
      <w:r w:rsidRPr="006C2BA5">
        <w:rPr>
          <w:rFonts w:ascii="Arial" w:hAnsi="Arial" w:cs="Arial"/>
        </w:rPr>
        <w:t xml:space="preserve">Data retrieval consisted of summarising the objectives, methods of each of the included studies, sample features and important results. The procedure of the thematic analysis was conducted in steps. </w:t>
      </w:r>
      <w:r w:rsidR="00603692" w:rsidRPr="006C2BA5">
        <w:rPr>
          <w:rFonts w:ascii="Arial" w:hAnsi="Arial" w:cs="Arial"/>
        </w:rPr>
        <w:t>All the articles were read once and after that again to understand the general text. Early codes were created by determining repeat concepts of the research question.</w:t>
      </w:r>
      <w:r w:rsidRPr="006C2BA5">
        <w:rPr>
          <w:rFonts w:ascii="Arial" w:hAnsi="Arial" w:cs="Arial"/>
        </w:rPr>
        <w:t xml:space="preserve"> </w:t>
      </w:r>
      <w:r w:rsidR="00D11BA3" w:rsidRPr="006C2BA5">
        <w:rPr>
          <w:rFonts w:ascii="Arial" w:hAnsi="Arial" w:cs="Arial"/>
        </w:rPr>
        <w:t>T</w:t>
      </w:r>
      <w:r w:rsidRPr="006C2BA5">
        <w:rPr>
          <w:rFonts w:ascii="Arial" w:hAnsi="Arial" w:cs="Arial"/>
        </w:rPr>
        <w:t>he review of themes and refinement of the theme were done to ensure clarity, coherence, and direct relation to the objectives of the review. To ensure analysis focus, the research question was used in coding</w:t>
      </w:r>
      <w:r w:rsidR="00042BEB" w:rsidRPr="006C2BA5">
        <w:rPr>
          <w:rFonts w:ascii="Arial" w:hAnsi="Arial" w:cs="Arial"/>
        </w:rPr>
        <w:t xml:space="preserve"> (Herzog et al., 2025)</w:t>
      </w:r>
      <w:r w:rsidRPr="006C2BA5">
        <w:rPr>
          <w:rFonts w:ascii="Arial" w:hAnsi="Arial" w:cs="Arial"/>
        </w:rPr>
        <w:t>.</w:t>
      </w:r>
    </w:p>
    <w:p w14:paraId="58819019" w14:textId="02AED1CD" w:rsidR="00CE52FE" w:rsidRPr="006C2BA5" w:rsidRDefault="00CE52FE" w:rsidP="006C2BA5">
      <w:pPr>
        <w:pStyle w:val="Heading2"/>
        <w:spacing w:line="360" w:lineRule="auto"/>
        <w:jc w:val="both"/>
        <w:rPr>
          <w:rFonts w:ascii="Arial" w:hAnsi="Arial" w:cs="Arial"/>
          <w:b/>
          <w:sz w:val="22"/>
          <w:szCs w:val="22"/>
        </w:rPr>
      </w:pPr>
      <w:bookmarkStart w:id="17" w:name="_Toc222570942"/>
      <w:r w:rsidRPr="006C2BA5">
        <w:rPr>
          <w:rFonts w:ascii="Arial" w:hAnsi="Arial" w:cs="Arial"/>
          <w:b/>
          <w:sz w:val="22"/>
          <w:szCs w:val="22"/>
        </w:rPr>
        <w:t>3.</w:t>
      </w:r>
      <w:r w:rsidR="007E65B8" w:rsidRPr="006C2BA5">
        <w:rPr>
          <w:rFonts w:ascii="Arial" w:hAnsi="Arial" w:cs="Arial"/>
          <w:b/>
          <w:sz w:val="22"/>
          <w:szCs w:val="22"/>
        </w:rPr>
        <w:t>3</w:t>
      </w:r>
      <w:r w:rsidRPr="006C2BA5">
        <w:rPr>
          <w:rFonts w:ascii="Arial" w:hAnsi="Arial" w:cs="Arial"/>
          <w:b/>
          <w:sz w:val="22"/>
          <w:szCs w:val="22"/>
        </w:rPr>
        <w:t xml:space="preserve"> Search Strategy</w:t>
      </w:r>
      <w:bookmarkEnd w:id="17"/>
      <w:r w:rsidRPr="006C2BA5">
        <w:rPr>
          <w:rFonts w:ascii="Arial" w:hAnsi="Arial" w:cs="Arial"/>
          <w:b/>
          <w:sz w:val="22"/>
          <w:szCs w:val="22"/>
        </w:rPr>
        <w:t xml:space="preserve">  </w:t>
      </w:r>
    </w:p>
    <w:p w14:paraId="04F8B84F" w14:textId="244D1990" w:rsidR="00290B0B" w:rsidRPr="006C2BA5" w:rsidRDefault="00603692" w:rsidP="006C2BA5">
      <w:pPr>
        <w:spacing w:line="360" w:lineRule="auto"/>
        <w:jc w:val="both"/>
        <w:rPr>
          <w:rFonts w:ascii="Arial" w:hAnsi="Arial" w:cs="Arial"/>
        </w:rPr>
      </w:pPr>
      <w:r w:rsidRPr="006C2BA5">
        <w:rPr>
          <w:rFonts w:ascii="Arial" w:hAnsi="Arial" w:cs="Arial"/>
        </w:rPr>
        <w:t xml:space="preserve">A search was done in four electronic databases namely PubMed, CINAHL, Scopus and Web of Science in a systematic way. These information databases are inclusive of health, social care, and interdisciplinary studies. The </w:t>
      </w:r>
      <w:r w:rsidR="002732A5" w:rsidRPr="006C2BA5">
        <w:rPr>
          <w:rFonts w:ascii="Arial" w:hAnsi="Arial" w:cs="Arial"/>
        </w:rPr>
        <w:t xml:space="preserve">AND </w:t>
      </w:r>
      <w:r w:rsidRPr="006C2BA5">
        <w:rPr>
          <w:rFonts w:ascii="Arial" w:hAnsi="Arial" w:cs="Arial"/>
        </w:rPr>
        <w:t xml:space="preserve">Boolean operators were used to create the search terms, </w:t>
      </w:r>
      <w:r w:rsidR="002732A5" w:rsidRPr="006C2BA5">
        <w:rPr>
          <w:rFonts w:ascii="Arial" w:hAnsi="Arial" w:cs="Arial"/>
        </w:rPr>
        <w:t xml:space="preserve">e.g. </w:t>
      </w:r>
      <w:r w:rsidRPr="006C2BA5">
        <w:rPr>
          <w:rFonts w:ascii="Arial" w:hAnsi="Arial" w:cs="Arial"/>
        </w:rPr>
        <w:t>dementia AND digital health AND United Kingdom. They were narrowed down to peer-reviewed journal articles of the definite time frame by the philtres (Sebo and Sebo, 2025).</w:t>
      </w:r>
      <w:r w:rsidR="00290B0B" w:rsidRPr="006C2BA5">
        <w:rPr>
          <w:rFonts w:ascii="Arial" w:hAnsi="Arial" w:cs="Arial"/>
        </w:rPr>
        <w:t xml:space="preserve"> </w:t>
      </w:r>
    </w:p>
    <w:p w14:paraId="4F719C83" w14:textId="0C6D7753" w:rsidR="007E65B8" w:rsidRPr="006C2BA5" w:rsidRDefault="007E65B8" w:rsidP="58B82618">
      <w:pPr>
        <w:pStyle w:val="Heading2"/>
        <w:spacing w:line="360" w:lineRule="auto"/>
        <w:jc w:val="both"/>
        <w:rPr>
          <w:rFonts w:ascii="Arial" w:hAnsi="Arial" w:cs="Arial"/>
          <w:b/>
          <w:bCs/>
          <w:sz w:val="22"/>
          <w:szCs w:val="22"/>
        </w:rPr>
      </w:pPr>
      <w:bookmarkStart w:id="18" w:name="_Toc222570943"/>
      <w:r w:rsidRPr="58B82618">
        <w:rPr>
          <w:rFonts w:ascii="Arial" w:hAnsi="Arial" w:cs="Arial"/>
          <w:b/>
          <w:bCs/>
          <w:sz w:val="22"/>
          <w:szCs w:val="22"/>
        </w:rPr>
        <w:t xml:space="preserve">3.4 Ethical </w:t>
      </w:r>
      <w:r w:rsidR="079A61EA" w:rsidRPr="58B82618">
        <w:rPr>
          <w:rFonts w:ascii="Arial" w:hAnsi="Arial" w:cs="Arial"/>
          <w:b/>
          <w:bCs/>
          <w:sz w:val="22"/>
          <w:szCs w:val="22"/>
        </w:rPr>
        <w:t xml:space="preserve">Research </w:t>
      </w:r>
      <w:r w:rsidRPr="58B82618">
        <w:rPr>
          <w:rFonts w:ascii="Arial" w:hAnsi="Arial" w:cs="Arial"/>
          <w:b/>
          <w:bCs/>
          <w:sz w:val="22"/>
          <w:szCs w:val="22"/>
        </w:rPr>
        <w:t>Considerations</w:t>
      </w:r>
      <w:bookmarkEnd w:id="18"/>
      <w:r w:rsidRPr="58B82618">
        <w:rPr>
          <w:rFonts w:ascii="Arial" w:hAnsi="Arial" w:cs="Arial"/>
          <w:b/>
          <w:bCs/>
          <w:sz w:val="22"/>
          <w:szCs w:val="22"/>
        </w:rPr>
        <w:t xml:space="preserve">  </w:t>
      </w:r>
    </w:p>
    <w:p w14:paraId="77B0A9DE" w14:textId="44FA4ABD" w:rsidR="007E65B8" w:rsidRPr="006C2BA5" w:rsidRDefault="007E65B8" w:rsidP="006C2BA5">
      <w:pPr>
        <w:spacing w:line="360" w:lineRule="auto"/>
        <w:jc w:val="both"/>
        <w:rPr>
          <w:rFonts w:ascii="Arial" w:hAnsi="Arial" w:cs="Arial"/>
        </w:rPr>
      </w:pPr>
      <w:r w:rsidRPr="006C2BA5">
        <w:rPr>
          <w:rFonts w:ascii="Arial" w:hAnsi="Arial" w:cs="Arial"/>
        </w:rPr>
        <w:t>This was a review, which included secondary analysis of published research and required no direct interaction with participants; therefore, NHS ethical approval was not needed. Ethical issues focusing on proper citation, true depiction of findings, and evading selective reporting were put into focus</w:t>
      </w:r>
      <w:r w:rsidR="00E66ED7" w:rsidRPr="006C2BA5">
        <w:rPr>
          <w:rFonts w:ascii="Arial" w:hAnsi="Arial" w:cs="Arial"/>
        </w:rPr>
        <w:t xml:space="preserve"> </w:t>
      </w:r>
      <w:r w:rsidR="00E0188D" w:rsidRPr="006C2BA5">
        <w:rPr>
          <w:rFonts w:ascii="Arial" w:hAnsi="Arial" w:cs="Arial"/>
        </w:rPr>
        <w:t>(</w:t>
      </w:r>
      <w:proofErr w:type="spellStart"/>
      <w:r w:rsidR="00E0188D" w:rsidRPr="006C2BA5">
        <w:rPr>
          <w:rFonts w:ascii="Arial" w:hAnsi="Arial" w:cs="Arial"/>
        </w:rPr>
        <w:t>Ghamrawi</w:t>
      </w:r>
      <w:proofErr w:type="spellEnd"/>
      <w:r w:rsidR="00E0188D" w:rsidRPr="006C2BA5">
        <w:rPr>
          <w:rFonts w:ascii="Arial" w:hAnsi="Arial" w:cs="Arial"/>
        </w:rPr>
        <w:t xml:space="preserve"> et al., 2025)</w:t>
      </w:r>
      <w:r w:rsidRPr="006C2BA5">
        <w:rPr>
          <w:rFonts w:ascii="Arial" w:hAnsi="Arial" w:cs="Arial"/>
        </w:rPr>
        <w:t>.</w:t>
      </w:r>
    </w:p>
    <w:p w14:paraId="6533A78F" w14:textId="056B8017" w:rsidR="00CE52FE" w:rsidRPr="006C2BA5" w:rsidRDefault="00CE52FE" w:rsidP="006C2BA5">
      <w:pPr>
        <w:pStyle w:val="Heading2"/>
        <w:spacing w:line="360" w:lineRule="auto"/>
        <w:jc w:val="both"/>
        <w:rPr>
          <w:rFonts w:ascii="Arial" w:hAnsi="Arial" w:cs="Arial"/>
          <w:b/>
          <w:sz w:val="22"/>
          <w:szCs w:val="22"/>
        </w:rPr>
      </w:pPr>
      <w:bookmarkStart w:id="19" w:name="_Toc222570944"/>
      <w:r w:rsidRPr="006C2BA5">
        <w:rPr>
          <w:rFonts w:ascii="Arial" w:hAnsi="Arial" w:cs="Arial"/>
          <w:b/>
          <w:sz w:val="22"/>
          <w:szCs w:val="22"/>
        </w:rPr>
        <w:t>3.</w:t>
      </w:r>
      <w:r w:rsidR="007E65B8" w:rsidRPr="006C2BA5">
        <w:rPr>
          <w:rFonts w:ascii="Arial" w:hAnsi="Arial" w:cs="Arial"/>
          <w:b/>
          <w:sz w:val="22"/>
          <w:szCs w:val="22"/>
        </w:rPr>
        <w:t>5</w:t>
      </w:r>
      <w:r w:rsidRPr="006C2BA5">
        <w:rPr>
          <w:rFonts w:ascii="Arial" w:hAnsi="Arial" w:cs="Arial"/>
          <w:b/>
          <w:sz w:val="22"/>
          <w:szCs w:val="22"/>
        </w:rPr>
        <w:t xml:space="preserve"> Study Selection Process</w:t>
      </w:r>
      <w:bookmarkEnd w:id="19"/>
      <w:r w:rsidRPr="006C2BA5">
        <w:rPr>
          <w:rFonts w:ascii="Arial" w:hAnsi="Arial" w:cs="Arial"/>
          <w:b/>
          <w:sz w:val="22"/>
          <w:szCs w:val="22"/>
        </w:rPr>
        <w:t xml:space="preserve">  </w:t>
      </w:r>
    </w:p>
    <w:p w14:paraId="2BD38871" w14:textId="1BC7F99D" w:rsidR="005C2B8C" w:rsidRPr="006C2BA5" w:rsidRDefault="00CE52FE" w:rsidP="006C2BA5">
      <w:pPr>
        <w:spacing w:line="360" w:lineRule="auto"/>
        <w:jc w:val="both"/>
        <w:rPr>
          <w:rFonts w:ascii="Arial" w:hAnsi="Arial" w:cs="Arial"/>
        </w:rPr>
      </w:pPr>
      <w:r w:rsidRPr="58B82618">
        <w:rPr>
          <w:rFonts w:ascii="Arial" w:hAnsi="Arial" w:cs="Arial"/>
        </w:rPr>
        <w:t xml:space="preserve">The first database search provided a wide range of records. The relevance of titles and abstracts to digital health and dementia in a UK setting were utilised. Before screening, duplication was eliminated. At this point, studies that were not eligible in terms of the inclusion criteria were eliminated. Articles with </w:t>
      </w:r>
      <w:r w:rsidR="37E52903" w:rsidRPr="58B82618">
        <w:rPr>
          <w:rFonts w:ascii="Arial" w:hAnsi="Arial" w:cs="Arial"/>
        </w:rPr>
        <w:t>full text</w:t>
      </w:r>
      <w:r w:rsidRPr="58B82618">
        <w:rPr>
          <w:rFonts w:ascii="Arial" w:hAnsi="Arial" w:cs="Arial"/>
        </w:rPr>
        <w:t xml:space="preserve"> were next analysed and made sure they were eligible.</w:t>
      </w:r>
      <w:r w:rsidR="00E0188D" w:rsidRPr="58B82618">
        <w:rPr>
          <w:rFonts w:ascii="Arial" w:hAnsi="Arial" w:cs="Arial"/>
        </w:rPr>
        <w:t xml:space="preserve"> </w:t>
      </w:r>
      <w:r w:rsidRPr="58B82618">
        <w:rPr>
          <w:rFonts w:ascii="Arial" w:hAnsi="Arial" w:cs="Arial"/>
        </w:rPr>
        <w:t>After this, three to six peer-reviewed studies were picked and analysed as a final sample</w:t>
      </w:r>
      <w:r w:rsidR="00135436" w:rsidRPr="58B82618">
        <w:rPr>
          <w:rFonts w:ascii="Arial" w:hAnsi="Arial" w:cs="Arial"/>
        </w:rPr>
        <w:t xml:space="preserve"> with transparency</w:t>
      </w:r>
      <w:r w:rsidR="005D3545" w:rsidRPr="58B82618">
        <w:rPr>
          <w:rFonts w:ascii="Arial" w:hAnsi="Arial" w:cs="Arial"/>
        </w:rPr>
        <w:t xml:space="preserve"> and had a systematic filtering goal (Mathur and VanderWeele, 2021).</w:t>
      </w:r>
      <w:r w:rsidR="001F1E24" w:rsidRPr="58B82618">
        <w:rPr>
          <w:rFonts w:ascii="Arial" w:hAnsi="Arial" w:cs="Arial"/>
        </w:rPr>
        <w:t xml:space="preserve"> </w:t>
      </w:r>
    </w:p>
    <w:p w14:paraId="0BCA002A" w14:textId="77388DFA" w:rsidR="007E65B8" w:rsidRPr="006C2BA5" w:rsidRDefault="007E65B8" w:rsidP="006C2BA5">
      <w:pPr>
        <w:pStyle w:val="Heading2"/>
        <w:spacing w:line="360" w:lineRule="auto"/>
        <w:jc w:val="both"/>
        <w:rPr>
          <w:rFonts w:ascii="Arial" w:hAnsi="Arial" w:cs="Arial"/>
          <w:b/>
          <w:sz w:val="22"/>
          <w:szCs w:val="22"/>
        </w:rPr>
      </w:pPr>
      <w:bookmarkStart w:id="20" w:name="_Toc222570945"/>
      <w:r w:rsidRPr="006C2BA5">
        <w:rPr>
          <w:rFonts w:ascii="Arial" w:hAnsi="Arial" w:cs="Arial"/>
          <w:b/>
          <w:sz w:val="22"/>
          <w:szCs w:val="22"/>
        </w:rPr>
        <w:t>3.6 Inclusion and Exclusion criteria.</w:t>
      </w:r>
      <w:bookmarkEnd w:id="20"/>
      <w:r w:rsidRPr="006C2BA5">
        <w:rPr>
          <w:rFonts w:ascii="Arial" w:hAnsi="Arial" w:cs="Arial"/>
          <w:b/>
          <w:sz w:val="22"/>
          <w:szCs w:val="22"/>
        </w:rPr>
        <w:t xml:space="preserve">  </w:t>
      </w:r>
    </w:p>
    <w:p w14:paraId="5F74F1FF" w14:textId="77777777" w:rsidR="007E65B8" w:rsidRPr="006C2BA5" w:rsidRDefault="007E65B8" w:rsidP="006C2BA5">
      <w:pPr>
        <w:spacing w:line="360" w:lineRule="auto"/>
        <w:jc w:val="both"/>
        <w:rPr>
          <w:rFonts w:ascii="Arial" w:hAnsi="Arial" w:cs="Arial"/>
        </w:rPr>
      </w:pPr>
      <w:r w:rsidRPr="006C2BA5">
        <w:rPr>
          <w:rFonts w:ascii="Arial" w:hAnsi="Arial" w:cs="Arial"/>
        </w:rPr>
        <w:t xml:space="preserve">The study selection criteria are as follows:  </w:t>
      </w:r>
    </w:p>
    <w:tbl>
      <w:tblPr>
        <w:tblStyle w:val="TableGrid"/>
        <w:tblW w:w="0" w:type="auto"/>
        <w:tblLook w:val="04A0" w:firstRow="1" w:lastRow="0" w:firstColumn="1" w:lastColumn="0" w:noHBand="0" w:noVBand="1"/>
      </w:tblPr>
      <w:tblGrid>
        <w:gridCol w:w="4508"/>
        <w:gridCol w:w="4508"/>
      </w:tblGrid>
      <w:tr w:rsidR="003B0108" w:rsidRPr="006C2BA5" w14:paraId="258405D2" w14:textId="77777777" w:rsidTr="003B0108">
        <w:tc>
          <w:tcPr>
            <w:tcW w:w="4508" w:type="dxa"/>
          </w:tcPr>
          <w:p w14:paraId="1B594515" w14:textId="4DD7EF53" w:rsidR="003B0108" w:rsidRPr="006C2BA5" w:rsidRDefault="003B0108" w:rsidP="006C2BA5">
            <w:pPr>
              <w:spacing w:line="360" w:lineRule="auto"/>
              <w:jc w:val="both"/>
              <w:rPr>
                <w:rFonts w:ascii="Arial" w:hAnsi="Arial" w:cs="Arial"/>
              </w:rPr>
            </w:pPr>
            <w:r w:rsidRPr="006C2BA5">
              <w:rPr>
                <w:rFonts w:ascii="Arial" w:hAnsi="Arial" w:cs="Arial"/>
              </w:rPr>
              <w:t xml:space="preserve">Inclusion criteria </w:t>
            </w:r>
          </w:p>
        </w:tc>
        <w:tc>
          <w:tcPr>
            <w:tcW w:w="4508" w:type="dxa"/>
          </w:tcPr>
          <w:p w14:paraId="4ABBE66F" w14:textId="70129E86" w:rsidR="003B0108" w:rsidRPr="006C2BA5" w:rsidRDefault="003B0108" w:rsidP="006C2BA5">
            <w:pPr>
              <w:spacing w:line="360" w:lineRule="auto"/>
              <w:jc w:val="both"/>
              <w:rPr>
                <w:rFonts w:ascii="Arial" w:hAnsi="Arial" w:cs="Arial"/>
              </w:rPr>
            </w:pPr>
            <w:r w:rsidRPr="006C2BA5">
              <w:rPr>
                <w:rFonts w:ascii="Arial" w:hAnsi="Arial" w:cs="Arial"/>
              </w:rPr>
              <w:t>Exclusion criteria</w:t>
            </w:r>
          </w:p>
        </w:tc>
      </w:tr>
      <w:tr w:rsidR="003B0108" w:rsidRPr="006C2BA5" w14:paraId="530612A9" w14:textId="77777777" w:rsidTr="003B0108">
        <w:tc>
          <w:tcPr>
            <w:tcW w:w="4508" w:type="dxa"/>
          </w:tcPr>
          <w:p w14:paraId="54E0066E" w14:textId="78D439CF" w:rsidR="003B0108" w:rsidRPr="006C2BA5" w:rsidRDefault="00D20A5A" w:rsidP="006C2BA5">
            <w:pPr>
              <w:spacing w:line="360" w:lineRule="auto"/>
              <w:jc w:val="both"/>
              <w:rPr>
                <w:rFonts w:ascii="Arial" w:hAnsi="Arial" w:cs="Arial"/>
              </w:rPr>
            </w:pPr>
            <w:r w:rsidRPr="006C2BA5">
              <w:rPr>
                <w:rFonts w:ascii="Arial" w:hAnsi="Arial" w:cs="Arial"/>
              </w:rPr>
              <w:t xml:space="preserve">Reviewed journal articles </w:t>
            </w:r>
          </w:p>
        </w:tc>
        <w:tc>
          <w:tcPr>
            <w:tcW w:w="4508" w:type="dxa"/>
          </w:tcPr>
          <w:p w14:paraId="31638C31" w14:textId="55C2930A" w:rsidR="003B0108" w:rsidRPr="006C2BA5" w:rsidRDefault="00D20A5A" w:rsidP="006C2BA5">
            <w:pPr>
              <w:spacing w:line="360" w:lineRule="auto"/>
              <w:jc w:val="both"/>
              <w:rPr>
                <w:rFonts w:ascii="Arial" w:hAnsi="Arial" w:cs="Arial"/>
              </w:rPr>
            </w:pPr>
            <w:r w:rsidRPr="006C2BA5">
              <w:rPr>
                <w:rFonts w:ascii="Arial" w:hAnsi="Arial" w:cs="Arial"/>
              </w:rPr>
              <w:t>editorials/opinions pieces</w:t>
            </w:r>
          </w:p>
        </w:tc>
      </w:tr>
      <w:tr w:rsidR="003B0108" w:rsidRPr="006C2BA5" w14:paraId="7B189D63" w14:textId="77777777" w:rsidTr="003B0108">
        <w:tc>
          <w:tcPr>
            <w:tcW w:w="4508" w:type="dxa"/>
          </w:tcPr>
          <w:p w14:paraId="2B06B596" w14:textId="75E33B68" w:rsidR="003B0108" w:rsidRPr="006C2BA5" w:rsidRDefault="00946D6F" w:rsidP="006C2BA5">
            <w:pPr>
              <w:spacing w:line="360" w:lineRule="auto"/>
              <w:jc w:val="both"/>
              <w:rPr>
                <w:rFonts w:ascii="Arial" w:hAnsi="Arial" w:cs="Arial"/>
              </w:rPr>
            </w:pPr>
            <w:r w:rsidRPr="006C2BA5">
              <w:rPr>
                <w:rFonts w:ascii="Arial" w:hAnsi="Arial" w:cs="Arial"/>
              </w:rPr>
              <w:t>Published between 2021–2026</w:t>
            </w:r>
          </w:p>
        </w:tc>
        <w:tc>
          <w:tcPr>
            <w:tcW w:w="4508" w:type="dxa"/>
          </w:tcPr>
          <w:p w14:paraId="3B710D51" w14:textId="56C0E0A0" w:rsidR="003B0108" w:rsidRPr="006C2BA5" w:rsidRDefault="0011717F" w:rsidP="006C2BA5">
            <w:pPr>
              <w:spacing w:line="360" w:lineRule="auto"/>
              <w:jc w:val="both"/>
              <w:rPr>
                <w:rFonts w:ascii="Arial" w:hAnsi="Arial" w:cs="Arial"/>
              </w:rPr>
            </w:pPr>
            <w:r w:rsidRPr="006C2BA5">
              <w:rPr>
                <w:rFonts w:ascii="Arial" w:hAnsi="Arial" w:cs="Arial"/>
              </w:rPr>
              <w:t>Policy documents or guidance papers</w:t>
            </w:r>
          </w:p>
        </w:tc>
      </w:tr>
      <w:tr w:rsidR="003B0108" w:rsidRPr="006C2BA5" w14:paraId="2F27A76D" w14:textId="77777777" w:rsidTr="003B0108">
        <w:tc>
          <w:tcPr>
            <w:tcW w:w="4508" w:type="dxa"/>
          </w:tcPr>
          <w:p w14:paraId="7A5ACB4F" w14:textId="4A85B302" w:rsidR="003B0108" w:rsidRPr="006C2BA5" w:rsidRDefault="0011717F" w:rsidP="006C2BA5">
            <w:pPr>
              <w:spacing w:line="360" w:lineRule="auto"/>
              <w:jc w:val="both"/>
              <w:rPr>
                <w:rFonts w:ascii="Arial" w:hAnsi="Arial" w:cs="Arial"/>
              </w:rPr>
            </w:pPr>
            <w:r w:rsidRPr="006C2BA5">
              <w:rPr>
                <w:rFonts w:ascii="Arial" w:hAnsi="Arial" w:cs="Arial"/>
              </w:rPr>
              <w:t>UK-based studies</w:t>
            </w:r>
          </w:p>
        </w:tc>
        <w:tc>
          <w:tcPr>
            <w:tcW w:w="4508" w:type="dxa"/>
          </w:tcPr>
          <w:p w14:paraId="083688B8" w14:textId="25240F7A" w:rsidR="003B0108" w:rsidRPr="006C2BA5" w:rsidRDefault="0011717F" w:rsidP="006C2BA5">
            <w:pPr>
              <w:spacing w:line="360" w:lineRule="auto"/>
              <w:jc w:val="both"/>
              <w:rPr>
                <w:rFonts w:ascii="Arial" w:hAnsi="Arial" w:cs="Arial"/>
              </w:rPr>
            </w:pPr>
            <w:r w:rsidRPr="006C2BA5">
              <w:rPr>
                <w:rFonts w:ascii="Arial" w:hAnsi="Arial" w:cs="Arial"/>
              </w:rPr>
              <w:t>Commentary papers</w:t>
            </w:r>
          </w:p>
        </w:tc>
      </w:tr>
      <w:tr w:rsidR="003B0108" w:rsidRPr="006C2BA5" w14:paraId="184CE08D" w14:textId="77777777" w:rsidTr="003B0108">
        <w:tc>
          <w:tcPr>
            <w:tcW w:w="4508" w:type="dxa"/>
          </w:tcPr>
          <w:p w14:paraId="1F4EDD5C" w14:textId="72614644" w:rsidR="003B0108" w:rsidRPr="006C2BA5" w:rsidRDefault="00491F37" w:rsidP="006C2BA5">
            <w:pPr>
              <w:spacing w:line="360" w:lineRule="auto"/>
              <w:jc w:val="both"/>
              <w:rPr>
                <w:rFonts w:ascii="Arial" w:hAnsi="Arial" w:cs="Arial"/>
              </w:rPr>
            </w:pPr>
            <w:r w:rsidRPr="006C2BA5">
              <w:rPr>
                <w:rFonts w:ascii="Arial" w:hAnsi="Arial" w:cs="Arial"/>
              </w:rPr>
              <w:t>Primary or secondary research</w:t>
            </w:r>
          </w:p>
        </w:tc>
        <w:tc>
          <w:tcPr>
            <w:tcW w:w="4508" w:type="dxa"/>
          </w:tcPr>
          <w:p w14:paraId="2F8EE751" w14:textId="5775BB72" w:rsidR="003B0108" w:rsidRPr="006C2BA5" w:rsidRDefault="00491F37" w:rsidP="006C2BA5">
            <w:pPr>
              <w:spacing w:line="360" w:lineRule="auto"/>
              <w:jc w:val="both"/>
              <w:rPr>
                <w:rFonts w:ascii="Arial" w:hAnsi="Arial" w:cs="Arial"/>
              </w:rPr>
            </w:pPr>
            <w:r w:rsidRPr="006C2BA5">
              <w:rPr>
                <w:rFonts w:ascii="Arial" w:hAnsi="Arial" w:cs="Arial"/>
              </w:rPr>
              <w:t>Studies conducted outside the UK</w:t>
            </w:r>
          </w:p>
        </w:tc>
      </w:tr>
    </w:tbl>
    <w:p w14:paraId="6ABC41F9" w14:textId="24C80FEF" w:rsidR="007E65B8" w:rsidRPr="006C2BA5" w:rsidRDefault="007E65B8" w:rsidP="006C2BA5">
      <w:pPr>
        <w:spacing w:line="360" w:lineRule="auto"/>
        <w:jc w:val="both"/>
        <w:rPr>
          <w:rFonts w:ascii="Arial" w:hAnsi="Arial" w:cs="Arial"/>
        </w:rPr>
      </w:pPr>
      <w:r w:rsidRPr="006C2BA5">
        <w:rPr>
          <w:rFonts w:ascii="Arial" w:hAnsi="Arial" w:cs="Arial"/>
        </w:rPr>
        <w:t>These criteria were to make certain that the chosen studies were in line with modern practise in the UK and able to answer the review question directly.</w:t>
      </w:r>
    </w:p>
    <w:p w14:paraId="3E2F8D63" w14:textId="77777777" w:rsidR="00374BB5" w:rsidRPr="006C2BA5" w:rsidRDefault="00374BB5" w:rsidP="006C2BA5">
      <w:pPr>
        <w:spacing w:line="360" w:lineRule="auto"/>
        <w:jc w:val="both"/>
        <w:rPr>
          <w:rFonts w:ascii="Arial" w:hAnsi="Arial" w:cs="Arial"/>
        </w:rPr>
      </w:pPr>
      <w:r w:rsidRPr="006C2BA5">
        <w:rPr>
          <w:rFonts w:ascii="Arial" w:hAnsi="Arial" w:cs="Arial"/>
        </w:rPr>
        <w:br w:type="page"/>
      </w:r>
    </w:p>
    <w:p w14:paraId="7E6B454B" w14:textId="77777777" w:rsidR="00374BB5" w:rsidRPr="006C2BA5" w:rsidRDefault="00374BB5" w:rsidP="006C2BA5">
      <w:pPr>
        <w:pStyle w:val="Heading1"/>
        <w:spacing w:line="360" w:lineRule="auto"/>
        <w:jc w:val="both"/>
        <w:rPr>
          <w:rFonts w:ascii="Arial" w:eastAsia="Arial" w:hAnsi="Arial" w:cs="Arial"/>
          <w:b/>
          <w:sz w:val="22"/>
          <w:szCs w:val="22"/>
        </w:rPr>
      </w:pPr>
      <w:bookmarkStart w:id="21" w:name="_Toc222570946"/>
      <w:r w:rsidRPr="006C2BA5">
        <w:rPr>
          <w:rFonts w:ascii="Arial" w:eastAsia="Arial" w:hAnsi="Arial" w:cs="Arial"/>
          <w:b/>
          <w:sz w:val="22"/>
          <w:szCs w:val="22"/>
        </w:rPr>
        <w:t>Chapter 4: Results</w:t>
      </w:r>
      <w:bookmarkEnd w:id="21"/>
      <w:r w:rsidRPr="006C2BA5">
        <w:rPr>
          <w:rFonts w:ascii="Arial" w:eastAsia="Arial" w:hAnsi="Arial" w:cs="Arial"/>
          <w:b/>
          <w:sz w:val="22"/>
          <w:szCs w:val="22"/>
        </w:rPr>
        <w:t xml:space="preserve"> </w:t>
      </w:r>
    </w:p>
    <w:p w14:paraId="79263AE6" w14:textId="0CFF2064" w:rsidR="00374BB5" w:rsidRDefault="00374BB5" w:rsidP="58B82618">
      <w:pPr>
        <w:spacing w:after="200" w:line="360" w:lineRule="auto"/>
        <w:jc w:val="both"/>
        <w:rPr>
          <w:rFonts w:ascii="Arial" w:eastAsia="Arial" w:hAnsi="Arial" w:cs="Arial"/>
        </w:rPr>
      </w:pPr>
      <w:r w:rsidRPr="58B82618">
        <w:rPr>
          <w:rFonts w:ascii="Arial" w:eastAsia="Arial" w:hAnsi="Arial" w:cs="Arial"/>
        </w:rPr>
        <w:t>Five studies were included, met the inclusion criteria, and were analysed with the simplified form of thematic analysis developed by Aveyard (UK-relevant). They were three major research studies (Nwofe et al., 2025, Wherton et al., 2025, Wallcook, 2021, Wolff et al., 2024), a single systematic review of reviews (Neal et al., 2025), and a bibliometric analysis (Abdulazeem et al., 2025). Each of the studies reviewed the existence of digital health technologies regarding communit</w:t>
      </w:r>
      <w:r w:rsidR="45F01E01" w:rsidRPr="58B82618">
        <w:rPr>
          <w:rFonts w:ascii="Arial" w:eastAsia="Arial" w:hAnsi="Arial" w:cs="Arial"/>
        </w:rPr>
        <w:t xml:space="preserve"> y or social care related to adult dementia care.</w:t>
      </w:r>
    </w:p>
    <w:p w14:paraId="534FA04D" w14:textId="360560D4" w:rsidR="45F01E01" w:rsidRDefault="45F01E01" w:rsidP="58B82618">
      <w:pPr>
        <w:spacing w:after="200" w:line="360" w:lineRule="auto"/>
        <w:jc w:val="both"/>
        <w:rPr>
          <w:rFonts w:ascii="Arial" w:eastAsia="Arial" w:hAnsi="Arial" w:cs="Arial"/>
        </w:rPr>
      </w:pPr>
      <w:r w:rsidRPr="58B82618">
        <w:rPr>
          <w:rFonts w:ascii="Arial" w:eastAsia="Arial" w:hAnsi="Arial" w:cs="Arial"/>
        </w:rPr>
        <w:t>Primary coding revealed the presence of similar themes, among them being barriers to implementation, digital exclusion, involvement of caregivers, monitoring of safety, person-centred design, ethical issues, service integration, and variability of outcomes.</w:t>
      </w:r>
    </w:p>
    <w:p w14:paraId="53B16775" w14:textId="1A383CDA" w:rsidR="00374BB5" w:rsidRPr="006C2BA5" w:rsidRDefault="00374BB5" w:rsidP="006C2BA5">
      <w:pPr>
        <w:spacing w:line="360" w:lineRule="auto"/>
        <w:jc w:val="both"/>
        <w:rPr>
          <w:rFonts w:ascii="Arial" w:hAnsi="Arial" w:cs="Arial"/>
          <w:b/>
        </w:rPr>
      </w:pPr>
      <w:r w:rsidRPr="006C2BA5">
        <w:rPr>
          <w:rFonts w:ascii="Arial" w:hAnsi="Arial" w:cs="Arial"/>
          <w:b/>
        </w:rPr>
        <w:t>Summary of Included Studies</w:t>
      </w:r>
    </w:p>
    <w:tbl>
      <w:tblPr>
        <w:tblStyle w:val="TableGrid"/>
        <w:tblW w:w="0" w:type="auto"/>
        <w:tblLook w:val="04A0" w:firstRow="1" w:lastRow="0" w:firstColumn="1" w:lastColumn="0" w:noHBand="0" w:noVBand="1"/>
      </w:tblPr>
      <w:tblGrid>
        <w:gridCol w:w="1621"/>
        <w:gridCol w:w="1714"/>
        <w:gridCol w:w="1789"/>
        <w:gridCol w:w="3892"/>
      </w:tblGrid>
      <w:tr w:rsidR="00C17430" w:rsidRPr="006C2BA5" w14:paraId="2CE8F2E4" w14:textId="77777777" w:rsidTr="00474CD7">
        <w:tc>
          <w:tcPr>
            <w:tcW w:w="0" w:type="auto"/>
            <w:hideMark/>
          </w:tcPr>
          <w:p w14:paraId="288B84CF" w14:textId="77777777" w:rsidR="00474CD7" w:rsidRPr="00474CD7" w:rsidRDefault="00474CD7" w:rsidP="006C2BA5">
            <w:pPr>
              <w:spacing w:line="360" w:lineRule="auto"/>
              <w:jc w:val="both"/>
              <w:rPr>
                <w:rFonts w:ascii="Arial" w:eastAsia="Times New Roman" w:hAnsi="Arial" w:cs="Arial"/>
                <w:b/>
                <w:bCs/>
                <w:kern w:val="0"/>
                <w:lang w:val="en-IN" w:eastAsia="en-IN"/>
                <w14:ligatures w14:val="none"/>
              </w:rPr>
            </w:pPr>
            <w:r w:rsidRPr="00474CD7">
              <w:rPr>
                <w:rFonts w:ascii="Arial" w:eastAsia="Times New Roman" w:hAnsi="Arial" w:cs="Arial"/>
                <w:b/>
                <w:bCs/>
                <w:kern w:val="0"/>
                <w:lang w:val="en-IN" w:eastAsia="en-IN"/>
                <w14:ligatures w14:val="none"/>
              </w:rPr>
              <w:t>Study</w:t>
            </w:r>
          </w:p>
        </w:tc>
        <w:tc>
          <w:tcPr>
            <w:tcW w:w="0" w:type="auto"/>
            <w:hideMark/>
          </w:tcPr>
          <w:p w14:paraId="0B72D01F" w14:textId="77777777" w:rsidR="00474CD7" w:rsidRPr="00474CD7" w:rsidRDefault="00474CD7" w:rsidP="006C2BA5">
            <w:pPr>
              <w:spacing w:line="360" w:lineRule="auto"/>
              <w:jc w:val="both"/>
              <w:rPr>
                <w:rFonts w:ascii="Arial" w:eastAsia="Times New Roman" w:hAnsi="Arial" w:cs="Arial"/>
                <w:b/>
                <w:bCs/>
                <w:kern w:val="0"/>
                <w:lang w:val="en-IN" w:eastAsia="en-IN"/>
                <w14:ligatures w14:val="none"/>
              </w:rPr>
            </w:pPr>
            <w:r w:rsidRPr="00474CD7">
              <w:rPr>
                <w:rFonts w:ascii="Arial" w:eastAsia="Times New Roman" w:hAnsi="Arial" w:cs="Arial"/>
                <w:b/>
                <w:bCs/>
                <w:kern w:val="0"/>
                <w:lang w:val="en-IN" w:eastAsia="en-IN"/>
                <w14:ligatures w14:val="none"/>
              </w:rPr>
              <w:t>Design</w:t>
            </w:r>
          </w:p>
        </w:tc>
        <w:tc>
          <w:tcPr>
            <w:tcW w:w="0" w:type="auto"/>
            <w:hideMark/>
          </w:tcPr>
          <w:p w14:paraId="4EA6DD59" w14:textId="77777777" w:rsidR="00474CD7" w:rsidRPr="00474CD7" w:rsidRDefault="00474CD7" w:rsidP="006C2BA5">
            <w:pPr>
              <w:spacing w:line="360" w:lineRule="auto"/>
              <w:jc w:val="both"/>
              <w:rPr>
                <w:rFonts w:ascii="Arial" w:eastAsia="Times New Roman" w:hAnsi="Arial" w:cs="Arial"/>
                <w:b/>
                <w:bCs/>
                <w:kern w:val="0"/>
                <w:lang w:val="en-IN" w:eastAsia="en-IN"/>
                <w14:ligatures w14:val="none"/>
              </w:rPr>
            </w:pPr>
            <w:r w:rsidRPr="00474CD7">
              <w:rPr>
                <w:rFonts w:ascii="Arial" w:eastAsia="Times New Roman" w:hAnsi="Arial" w:cs="Arial"/>
                <w:b/>
                <w:bCs/>
                <w:kern w:val="0"/>
                <w:lang w:val="en-IN" w:eastAsia="en-IN"/>
                <w14:ligatures w14:val="none"/>
              </w:rPr>
              <w:t>Technology Focus</w:t>
            </w:r>
          </w:p>
        </w:tc>
        <w:tc>
          <w:tcPr>
            <w:tcW w:w="0" w:type="auto"/>
            <w:hideMark/>
          </w:tcPr>
          <w:p w14:paraId="72867FFD" w14:textId="77777777" w:rsidR="00474CD7" w:rsidRPr="00474CD7" w:rsidRDefault="00474CD7" w:rsidP="006C2BA5">
            <w:pPr>
              <w:spacing w:line="360" w:lineRule="auto"/>
              <w:jc w:val="both"/>
              <w:rPr>
                <w:rFonts w:ascii="Arial" w:eastAsia="Times New Roman" w:hAnsi="Arial" w:cs="Arial"/>
                <w:b/>
                <w:bCs/>
                <w:kern w:val="0"/>
                <w:lang w:val="en-IN" w:eastAsia="en-IN"/>
                <w14:ligatures w14:val="none"/>
              </w:rPr>
            </w:pPr>
            <w:r w:rsidRPr="00474CD7">
              <w:rPr>
                <w:rFonts w:ascii="Arial" w:eastAsia="Times New Roman" w:hAnsi="Arial" w:cs="Arial"/>
                <w:b/>
                <w:bCs/>
                <w:kern w:val="0"/>
                <w:lang w:val="en-IN" w:eastAsia="en-IN"/>
                <w14:ligatures w14:val="none"/>
              </w:rPr>
              <w:t>Key Findings</w:t>
            </w:r>
          </w:p>
        </w:tc>
      </w:tr>
      <w:tr w:rsidR="00C17430" w:rsidRPr="006C2BA5" w14:paraId="6845C2F7" w14:textId="77777777" w:rsidTr="00474CD7">
        <w:tc>
          <w:tcPr>
            <w:tcW w:w="0" w:type="auto"/>
            <w:hideMark/>
          </w:tcPr>
          <w:p w14:paraId="7FBAD08B"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proofErr w:type="spellStart"/>
            <w:r w:rsidRPr="00474CD7">
              <w:rPr>
                <w:rFonts w:ascii="Arial" w:eastAsia="Times New Roman" w:hAnsi="Arial" w:cs="Arial"/>
                <w:kern w:val="0"/>
                <w:lang w:val="en-IN" w:eastAsia="en-IN"/>
                <w14:ligatures w14:val="none"/>
              </w:rPr>
              <w:t>Nwofe</w:t>
            </w:r>
            <w:proofErr w:type="spellEnd"/>
            <w:r w:rsidRPr="00474CD7">
              <w:rPr>
                <w:rFonts w:ascii="Arial" w:eastAsia="Times New Roman" w:hAnsi="Arial" w:cs="Arial"/>
                <w:kern w:val="0"/>
                <w:lang w:val="en-IN" w:eastAsia="en-IN"/>
                <w14:ligatures w14:val="none"/>
              </w:rPr>
              <w:t xml:space="preserve"> et al. (2025)</w:t>
            </w:r>
          </w:p>
        </w:tc>
        <w:tc>
          <w:tcPr>
            <w:tcW w:w="0" w:type="auto"/>
            <w:hideMark/>
          </w:tcPr>
          <w:p w14:paraId="3CDF5BC8" w14:textId="4DBE49B0"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Qualitative study</w:t>
            </w:r>
          </w:p>
        </w:tc>
        <w:tc>
          <w:tcPr>
            <w:tcW w:w="0" w:type="auto"/>
            <w:hideMark/>
          </w:tcPr>
          <w:p w14:paraId="5FD0E816"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GPS tracking devices</w:t>
            </w:r>
          </w:p>
        </w:tc>
        <w:tc>
          <w:tcPr>
            <w:tcW w:w="0" w:type="auto"/>
            <w:hideMark/>
          </w:tcPr>
          <w:p w14:paraId="6C648B6D" w14:textId="0ED7198A" w:rsidR="00474CD7" w:rsidRPr="00474CD7" w:rsidRDefault="00C17430" w:rsidP="006C2BA5">
            <w:pPr>
              <w:spacing w:line="360" w:lineRule="auto"/>
              <w:jc w:val="both"/>
              <w:rPr>
                <w:rFonts w:ascii="Arial" w:eastAsia="Times New Roman" w:hAnsi="Arial" w:cs="Arial"/>
                <w:kern w:val="0"/>
                <w:lang w:val="en-IN" w:eastAsia="en-IN"/>
                <w14:ligatures w14:val="none"/>
              </w:rPr>
            </w:pPr>
            <w:r w:rsidRPr="006C2BA5">
              <w:rPr>
                <w:rFonts w:ascii="Arial" w:eastAsia="Times New Roman" w:hAnsi="Arial" w:cs="Arial"/>
                <w:kern w:val="0"/>
                <w:lang w:val="en-IN" w:eastAsia="en-IN"/>
                <w14:ligatures w14:val="none"/>
              </w:rPr>
              <w:t>Works best when incorporated into techno-organisational networks, better safety and reassurance of the caregivers and inter-agency coordination was necessary.</w:t>
            </w:r>
          </w:p>
        </w:tc>
      </w:tr>
      <w:tr w:rsidR="00C17430" w:rsidRPr="006C2BA5" w14:paraId="162D3D6F" w14:textId="77777777" w:rsidTr="00474CD7">
        <w:tc>
          <w:tcPr>
            <w:tcW w:w="0" w:type="auto"/>
            <w:hideMark/>
          </w:tcPr>
          <w:p w14:paraId="57556CFF"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proofErr w:type="spellStart"/>
            <w:r w:rsidRPr="00474CD7">
              <w:rPr>
                <w:rFonts w:ascii="Arial" w:eastAsia="Times New Roman" w:hAnsi="Arial" w:cs="Arial"/>
                <w:kern w:val="0"/>
                <w:lang w:val="en-IN" w:eastAsia="en-IN"/>
                <w14:ligatures w14:val="none"/>
              </w:rPr>
              <w:t>Wherton</w:t>
            </w:r>
            <w:proofErr w:type="spellEnd"/>
            <w:r w:rsidRPr="00474CD7">
              <w:rPr>
                <w:rFonts w:ascii="Arial" w:eastAsia="Times New Roman" w:hAnsi="Arial" w:cs="Arial"/>
                <w:kern w:val="0"/>
                <w:lang w:val="en-IN" w:eastAsia="en-IN"/>
                <w14:ligatures w14:val="none"/>
              </w:rPr>
              <w:t xml:space="preserve"> et al. (2025)</w:t>
            </w:r>
          </w:p>
        </w:tc>
        <w:tc>
          <w:tcPr>
            <w:tcW w:w="0" w:type="auto"/>
            <w:hideMark/>
          </w:tcPr>
          <w:p w14:paraId="034368BA"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Mixed-methods rapid evaluation</w:t>
            </w:r>
          </w:p>
        </w:tc>
        <w:tc>
          <w:tcPr>
            <w:tcW w:w="0" w:type="auto"/>
            <w:hideMark/>
          </w:tcPr>
          <w:p w14:paraId="4C15653C"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Home sensor systems</w:t>
            </w:r>
          </w:p>
        </w:tc>
        <w:tc>
          <w:tcPr>
            <w:tcW w:w="0" w:type="auto"/>
            <w:hideMark/>
          </w:tcPr>
          <w:p w14:paraId="6BD99B71" w14:textId="31CB14A2" w:rsidR="00474CD7" w:rsidRPr="00474CD7" w:rsidRDefault="00C17430" w:rsidP="006C2BA5">
            <w:pPr>
              <w:spacing w:line="360" w:lineRule="auto"/>
              <w:jc w:val="both"/>
              <w:rPr>
                <w:rFonts w:ascii="Arial" w:eastAsia="Times New Roman" w:hAnsi="Arial" w:cs="Arial"/>
                <w:kern w:val="0"/>
                <w:lang w:val="en-IN" w:eastAsia="en-IN"/>
                <w14:ligatures w14:val="none"/>
              </w:rPr>
            </w:pPr>
            <w:r w:rsidRPr="006C2BA5">
              <w:rPr>
                <w:rFonts w:ascii="Arial" w:eastAsia="Times New Roman" w:hAnsi="Arial" w:cs="Arial"/>
                <w:kern w:val="0"/>
                <w:lang w:val="en-IN" w:eastAsia="en-IN"/>
                <w14:ligatures w14:val="none"/>
              </w:rPr>
              <w:t>Strengthened early behaviours change detection, enabled crisis prevention and would be implemented through workforce preparedness and commissioning alignment.</w:t>
            </w:r>
          </w:p>
        </w:tc>
      </w:tr>
      <w:tr w:rsidR="00C17430" w:rsidRPr="006C2BA5" w14:paraId="53BF7335" w14:textId="77777777" w:rsidTr="00474CD7">
        <w:tc>
          <w:tcPr>
            <w:tcW w:w="0" w:type="auto"/>
            <w:hideMark/>
          </w:tcPr>
          <w:p w14:paraId="609A76B5"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Neal et al. (2025)</w:t>
            </w:r>
          </w:p>
        </w:tc>
        <w:tc>
          <w:tcPr>
            <w:tcW w:w="0" w:type="auto"/>
            <w:hideMark/>
          </w:tcPr>
          <w:p w14:paraId="20C8DE1D"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Systematic review of reviews</w:t>
            </w:r>
          </w:p>
        </w:tc>
        <w:tc>
          <w:tcPr>
            <w:tcW w:w="0" w:type="auto"/>
            <w:hideMark/>
          </w:tcPr>
          <w:p w14:paraId="54FDC8A3"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Digital assistive technologies</w:t>
            </w:r>
          </w:p>
        </w:tc>
        <w:tc>
          <w:tcPr>
            <w:tcW w:w="0" w:type="auto"/>
            <w:hideMark/>
          </w:tcPr>
          <w:p w14:paraId="270707B5" w14:textId="4DB11459" w:rsidR="00474CD7" w:rsidRPr="00474CD7" w:rsidRDefault="00C17430" w:rsidP="006C2BA5">
            <w:pPr>
              <w:spacing w:line="360" w:lineRule="auto"/>
              <w:jc w:val="both"/>
              <w:rPr>
                <w:rFonts w:ascii="Arial" w:eastAsia="Times New Roman" w:hAnsi="Arial" w:cs="Arial"/>
                <w:kern w:val="0"/>
                <w:lang w:val="en-IN" w:eastAsia="en-IN"/>
                <w14:ligatures w14:val="none"/>
              </w:rPr>
            </w:pPr>
            <w:r w:rsidRPr="006C2BA5">
              <w:rPr>
                <w:rFonts w:ascii="Arial" w:eastAsia="Times New Roman" w:hAnsi="Arial" w:cs="Arial"/>
                <w:kern w:val="0"/>
                <w:lang w:val="en-IN" w:eastAsia="en-IN"/>
                <w14:ligatures w14:val="none"/>
              </w:rPr>
              <w:t>Position wherein there is moderate safety and independence evidence, little long-term quality-of-life evidence, and scalability evidence is still weak.</w:t>
            </w:r>
          </w:p>
        </w:tc>
      </w:tr>
      <w:tr w:rsidR="00C17430" w:rsidRPr="006C2BA5" w14:paraId="13F5FD32" w14:textId="77777777" w:rsidTr="00474CD7">
        <w:tc>
          <w:tcPr>
            <w:tcW w:w="0" w:type="auto"/>
            <w:hideMark/>
          </w:tcPr>
          <w:p w14:paraId="72B3AAE4"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Wolff et al. (2024)</w:t>
            </w:r>
          </w:p>
        </w:tc>
        <w:tc>
          <w:tcPr>
            <w:tcW w:w="0" w:type="auto"/>
            <w:hideMark/>
          </w:tcPr>
          <w:p w14:paraId="71AFE995"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Guideline-based evaluative research</w:t>
            </w:r>
          </w:p>
        </w:tc>
        <w:tc>
          <w:tcPr>
            <w:tcW w:w="0" w:type="auto"/>
            <w:hideMark/>
          </w:tcPr>
          <w:p w14:paraId="04A0E39B"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Equity-focused digital health design</w:t>
            </w:r>
          </w:p>
        </w:tc>
        <w:tc>
          <w:tcPr>
            <w:tcW w:w="0" w:type="auto"/>
            <w:hideMark/>
          </w:tcPr>
          <w:p w14:paraId="2B486922"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Highlighted risk of digital exclusion; recommended equity-based implementation models in UK dementia care.</w:t>
            </w:r>
          </w:p>
        </w:tc>
      </w:tr>
      <w:tr w:rsidR="00C17430" w:rsidRPr="006C2BA5" w14:paraId="22EB98C8" w14:textId="77777777" w:rsidTr="00474CD7">
        <w:tc>
          <w:tcPr>
            <w:tcW w:w="0" w:type="auto"/>
            <w:hideMark/>
          </w:tcPr>
          <w:p w14:paraId="5EFF1159"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Abdulazeem et al. (2025)</w:t>
            </w:r>
          </w:p>
        </w:tc>
        <w:tc>
          <w:tcPr>
            <w:tcW w:w="0" w:type="auto"/>
            <w:hideMark/>
          </w:tcPr>
          <w:p w14:paraId="7A496748"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Bibliometric analysis</w:t>
            </w:r>
          </w:p>
        </w:tc>
        <w:tc>
          <w:tcPr>
            <w:tcW w:w="0" w:type="auto"/>
            <w:hideMark/>
          </w:tcPr>
          <w:p w14:paraId="6D0C4132"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Digital health technologies (general)</w:t>
            </w:r>
          </w:p>
        </w:tc>
        <w:tc>
          <w:tcPr>
            <w:tcW w:w="0" w:type="auto"/>
            <w:hideMark/>
          </w:tcPr>
          <w:p w14:paraId="0A2E07BD" w14:textId="77777777" w:rsidR="00474CD7" w:rsidRPr="00474CD7" w:rsidRDefault="00474CD7" w:rsidP="006C2BA5">
            <w:pPr>
              <w:spacing w:line="360" w:lineRule="auto"/>
              <w:jc w:val="both"/>
              <w:rPr>
                <w:rFonts w:ascii="Arial" w:eastAsia="Times New Roman" w:hAnsi="Arial" w:cs="Arial"/>
                <w:kern w:val="0"/>
                <w:lang w:val="en-IN" w:eastAsia="en-IN"/>
                <w14:ligatures w14:val="none"/>
              </w:rPr>
            </w:pPr>
            <w:r w:rsidRPr="00474CD7">
              <w:rPr>
                <w:rFonts w:ascii="Arial" w:eastAsia="Times New Roman" w:hAnsi="Arial" w:cs="Arial"/>
                <w:kern w:val="0"/>
                <w:lang w:val="en-IN" w:eastAsia="en-IN"/>
                <w14:ligatures w14:val="none"/>
              </w:rPr>
              <w:t>Identified fragmented evidence base; variability in outcome measures; limited standardisation across studies.</w:t>
            </w:r>
          </w:p>
        </w:tc>
      </w:tr>
    </w:tbl>
    <w:p w14:paraId="70B1390F" w14:textId="226B5DF8"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 xml:space="preserve">                                         </w:t>
      </w:r>
    </w:p>
    <w:p w14:paraId="59E6F58D"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Theme 1: Implementation and Organisational Integration</w:t>
      </w:r>
    </w:p>
    <w:p w14:paraId="0C66FADE" w14:textId="4403FE87" w:rsidR="00374BB5" w:rsidRPr="006C2BA5" w:rsidRDefault="00374BB5" w:rsidP="58B82618">
      <w:pPr>
        <w:spacing w:after="200" w:line="360" w:lineRule="auto"/>
        <w:jc w:val="both"/>
        <w:rPr>
          <w:rFonts w:ascii="Arial" w:eastAsia="Arial" w:hAnsi="Arial" w:cs="Arial"/>
          <w:b/>
          <w:bCs/>
        </w:rPr>
      </w:pPr>
      <w:r w:rsidRPr="58B82618">
        <w:rPr>
          <w:rFonts w:ascii="Arial" w:eastAsia="Arial" w:hAnsi="Arial" w:cs="Arial"/>
        </w:rPr>
        <w:t xml:space="preserve"> The experience here always indicates that digital health technologies cannot be successful only due to the efficiency of the device, but also organisational integration. Implementation of home sensors in the UK social care needs a coordination among the local authority, care providers, and technical suppliers, which underscores the need to align the commissioning and participative workforce (Wherton et al., 2025). GPS tracking technologies were based on steady techno-organisational networks, such as emergency response and collaboration between caregivers (Nwofe et al., 2025).</w:t>
      </w:r>
    </w:p>
    <w:p w14:paraId="65B2C58D" w14:textId="77777777" w:rsidR="00374BB5" w:rsidRPr="006C2BA5" w:rsidRDefault="00374BB5" w:rsidP="006C2BA5">
      <w:pPr>
        <w:spacing w:after="200" w:line="360" w:lineRule="auto"/>
        <w:jc w:val="both"/>
        <w:rPr>
          <w:rFonts w:ascii="Arial" w:eastAsia="Arial" w:hAnsi="Arial" w:cs="Arial"/>
          <w:b/>
        </w:rPr>
      </w:pPr>
      <w:r w:rsidRPr="006C2BA5">
        <w:rPr>
          <w:rFonts w:ascii="Arial" w:eastAsia="Arial" w:hAnsi="Arial" w:cs="Arial"/>
          <w:b/>
        </w:rPr>
        <w:t>Theme 2: Equity, Accessibility and Digital Exclusion</w:t>
      </w:r>
    </w:p>
    <w:p w14:paraId="1651A730" w14:textId="1DC8B56B" w:rsidR="00374BB5" w:rsidRPr="006C2BA5" w:rsidRDefault="00374BB5" w:rsidP="58B82618">
      <w:pPr>
        <w:spacing w:after="200" w:line="360" w:lineRule="auto"/>
        <w:jc w:val="both"/>
        <w:rPr>
          <w:rFonts w:ascii="Arial" w:eastAsia="Arial" w:hAnsi="Arial" w:cs="Arial"/>
          <w:b/>
          <w:bCs/>
        </w:rPr>
      </w:pPr>
      <w:r w:rsidRPr="58B82618">
        <w:rPr>
          <w:rFonts w:ascii="Arial" w:eastAsia="Arial" w:hAnsi="Arial" w:cs="Arial"/>
        </w:rPr>
        <w:t xml:space="preserve"> Issues of acceptability especially to persons with a severe level of dementia or lacking what can be described as technological confidence (Neal et al., 2025). Collectively, these results imply that accessibility depends on both systemic factors like affordability and individual factors like cognitive deterioration, making it important to implement specific approaches to digital inclusion (Wolff et al., 2024).</w:t>
      </w:r>
    </w:p>
    <w:p w14:paraId="5587A4AB"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Theme 3: Safety, Independence and Quality of Life</w:t>
      </w:r>
    </w:p>
    <w:p w14:paraId="4FC511DB" w14:textId="30F12632" w:rsidR="00374BB5" w:rsidRPr="006C2BA5" w:rsidRDefault="00374BB5" w:rsidP="006C2BA5">
      <w:pPr>
        <w:spacing w:after="200" w:line="360" w:lineRule="auto"/>
        <w:jc w:val="both"/>
        <w:rPr>
          <w:rFonts w:ascii="Arial" w:eastAsia="Arial" w:hAnsi="Arial" w:cs="Arial"/>
        </w:rPr>
      </w:pPr>
      <w:r w:rsidRPr="58B82618">
        <w:rPr>
          <w:rFonts w:ascii="Arial" w:eastAsia="Arial" w:hAnsi="Arial" w:cs="Arial"/>
        </w:rPr>
        <w:t xml:space="preserve"> The reviewed articles suggest that digital health technologies can be effective in terms of reducing safety and extending independent living. GPS devices enhanced the confidence of caregivers and facilitated safer societal movement of dementia patients (Nwofe et al., 2025). Home sensor systems enhanced the </w:t>
      </w:r>
      <w:r w:rsidR="587B2787" w:rsidRPr="58B82618">
        <w:rPr>
          <w:rFonts w:ascii="Arial" w:eastAsia="Arial" w:hAnsi="Arial" w:cs="Arial"/>
        </w:rPr>
        <w:t>pre-emptive</w:t>
      </w:r>
      <w:r w:rsidRPr="58B82618">
        <w:rPr>
          <w:rFonts w:ascii="Arial" w:eastAsia="Arial" w:hAnsi="Arial" w:cs="Arial"/>
        </w:rPr>
        <w:t xml:space="preserve"> detection of the changes in behaviour, which could de-escalate the </w:t>
      </w:r>
      <w:r w:rsidR="6F2933F7" w:rsidRPr="58B82618">
        <w:rPr>
          <w:rFonts w:ascii="Arial" w:eastAsia="Arial" w:hAnsi="Arial" w:cs="Arial"/>
        </w:rPr>
        <w:t>crisis</w:t>
      </w:r>
      <w:r w:rsidRPr="58B82618">
        <w:rPr>
          <w:rFonts w:ascii="Arial" w:eastAsia="Arial" w:hAnsi="Arial" w:cs="Arial"/>
        </w:rPr>
        <w:t>, as well as the number of hospital admissions (Wherton et al., 2025). Assistive technologies show mixed skills in enhancing the safety outcomes in community dwelling adults though limited data on the quality of life over the years is applicable (Neal et al., 2025). Lack of consistency in measuring the outcomes of studies as it makes it harder to assess the overall effectiveness (Abdulazeem et al., 2025).</w:t>
      </w:r>
    </w:p>
    <w:p w14:paraId="11A4BBE7" w14:textId="7DB6D41E" w:rsidR="00C17430" w:rsidRPr="006C2BA5" w:rsidRDefault="00C17430" w:rsidP="58B82618">
      <w:pPr>
        <w:spacing w:line="360" w:lineRule="auto"/>
        <w:jc w:val="both"/>
        <w:rPr>
          <w:rFonts w:ascii="Arial" w:eastAsia="Arial" w:hAnsi="Arial" w:cs="Arial"/>
        </w:rPr>
      </w:pPr>
    </w:p>
    <w:p w14:paraId="11B2A357" w14:textId="7F7A4B39" w:rsidR="00374BB5" w:rsidRPr="006C2BA5" w:rsidRDefault="4EBE41B5" w:rsidP="006C2BA5">
      <w:pPr>
        <w:pStyle w:val="Heading1"/>
        <w:spacing w:line="360" w:lineRule="auto"/>
        <w:jc w:val="both"/>
        <w:rPr>
          <w:rFonts w:ascii="Arial" w:eastAsia="Arial" w:hAnsi="Arial" w:cs="Arial"/>
          <w:b/>
          <w:sz w:val="22"/>
          <w:szCs w:val="22"/>
        </w:rPr>
      </w:pPr>
      <w:bookmarkStart w:id="22" w:name="_Toc222570947"/>
      <w:r w:rsidRPr="006C2BA5">
        <w:rPr>
          <w:rFonts w:ascii="Arial" w:eastAsia="Arial" w:hAnsi="Arial" w:cs="Arial"/>
          <w:b/>
          <w:sz w:val="22"/>
          <w:szCs w:val="22"/>
        </w:rPr>
        <w:t>Chapter 5: Discussion</w:t>
      </w:r>
      <w:bookmarkEnd w:id="22"/>
    </w:p>
    <w:p w14:paraId="2485AE9B" w14:textId="1CFE0E85" w:rsidR="5D7E327F" w:rsidRDefault="5D7E327F" w:rsidP="5D7E327F">
      <w:pPr>
        <w:spacing w:after="200" w:line="360" w:lineRule="auto"/>
        <w:jc w:val="both"/>
        <w:rPr>
          <w:rFonts w:ascii="Arial" w:eastAsia="Arial" w:hAnsi="Arial" w:cs="Arial"/>
        </w:rPr>
      </w:pPr>
    </w:p>
    <w:p w14:paraId="153693C0" w14:textId="0E5EEAAB" w:rsidR="5D7E327F" w:rsidRDefault="5D7E327F" w:rsidP="5D7E327F">
      <w:pPr>
        <w:spacing w:after="200" w:line="360" w:lineRule="auto"/>
        <w:jc w:val="both"/>
        <w:rPr>
          <w:rFonts w:ascii="Arial" w:eastAsia="Arial" w:hAnsi="Arial" w:cs="Arial"/>
        </w:rPr>
      </w:pPr>
    </w:p>
    <w:p w14:paraId="0D30FBF4"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The purpose of this scoping review was to investigate major trends in literature in the UK concerning the role of digital health technologies in dementia care and determine evidence gaps. Three major themes were determined, namely implementation and integration issues, equity and digital exclusion, and safety and autonomy outcomes.</w:t>
      </w:r>
    </w:p>
    <w:p w14:paraId="2B3E6DB9"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Implementation and Integration Challenges</w:t>
      </w:r>
    </w:p>
    <w:p w14:paraId="150420E2"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Incorporated in the studies, it was observed in the UK that implementation was a key and widespread concern in dementia care via the Internet. There have been indications that effectiveness in technology does not guarantee achieving success, but instead organisational preparedness and structural alignment are the overriding factors. Local commissioning decisions, workforce engagement and collaboration between agencies were critical factors that determined the adoption of home sensor systems, and therefore, the implementation is determined by the contextual service factors, but not the functionality of the devices alone (</w:t>
      </w:r>
      <w:proofErr w:type="spellStart"/>
      <w:r w:rsidRPr="006C2BA5">
        <w:rPr>
          <w:rFonts w:ascii="Arial" w:eastAsia="Arial" w:hAnsi="Arial" w:cs="Arial"/>
        </w:rPr>
        <w:t>Wherton</w:t>
      </w:r>
      <w:proofErr w:type="spellEnd"/>
      <w:r w:rsidRPr="006C2BA5">
        <w:rPr>
          <w:rFonts w:ascii="Arial" w:eastAsia="Arial" w:hAnsi="Arial" w:cs="Arial"/>
        </w:rPr>
        <w:t xml:space="preserve"> et al., 2025). GPS tracking technologies necessitated aligned networks of caregivers, providers of services and emergency response systems to be effective in community contexts (</w:t>
      </w:r>
      <w:proofErr w:type="spellStart"/>
      <w:r w:rsidRPr="006C2BA5">
        <w:rPr>
          <w:rFonts w:ascii="Arial" w:eastAsia="Arial" w:hAnsi="Arial" w:cs="Arial"/>
        </w:rPr>
        <w:t>Nwofe</w:t>
      </w:r>
      <w:proofErr w:type="spellEnd"/>
      <w:r w:rsidRPr="006C2BA5">
        <w:rPr>
          <w:rFonts w:ascii="Arial" w:eastAsia="Arial" w:hAnsi="Arial" w:cs="Arial"/>
        </w:rPr>
        <w:t xml:space="preserve"> et al., 2025). The findings are consistent with the aim of the review that was to examine the service delivery practices in the UK dementia care. This concern to point out that not all assistive technologies are brought to scale at the pilot level or small-scale settings, which does not provide a high level of confidence in scalability (Neal et al., 2025). There were also weak methods such as small size of sample and limited periods of evaluation. The authors of </w:t>
      </w:r>
    </w:p>
    <w:p w14:paraId="5A6E4D4D"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Equity and Digital Exclusion</w:t>
      </w:r>
    </w:p>
    <w:p w14:paraId="54985C96"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The issue of digital inequality was found to be a major issue throughout the literature reviews. Even though national policy is shifting toward greater support of digital transformation, what is being seen is that equities are not always receiving the consideration it warrants. Digital health efforts will contribute to affirming prevailing socioeconomic inequalities in the absence of instituted equity-</w:t>
      </w:r>
      <w:proofErr w:type="spellStart"/>
      <w:r w:rsidRPr="006C2BA5">
        <w:rPr>
          <w:rFonts w:ascii="Arial" w:eastAsia="Arial" w:hAnsi="Arial" w:cs="Arial"/>
        </w:rPr>
        <w:t>centered</w:t>
      </w:r>
      <w:proofErr w:type="spellEnd"/>
      <w:r w:rsidRPr="006C2BA5">
        <w:rPr>
          <w:rFonts w:ascii="Arial" w:eastAsia="Arial" w:hAnsi="Arial" w:cs="Arial"/>
        </w:rPr>
        <w:t xml:space="preserve"> models, especially when it comes to older adults, whose digital literacy or financial capabilities are still insufficient (Wolff et al., 2024). People with dementia have certain usability obstacles coupled with impaired cognitive ability, weakness in memory and lost confidence in engaging with new technologies (</w:t>
      </w:r>
      <w:proofErr w:type="spellStart"/>
      <w:r w:rsidRPr="006C2BA5">
        <w:rPr>
          <w:rFonts w:ascii="Arial" w:eastAsia="Arial" w:hAnsi="Arial" w:cs="Arial"/>
        </w:rPr>
        <w:t>Wallcook</w:t>
      </w:r>
      <w:proofErr w:type="spellEnd"/>
      <w:r w:rsidRPr="006C2BA5">
        <w:rPr>
          <w:rFonts w:ascii="Arial" w:eastAsia="Arial" w:hAnsi="Arial" w:cs="Arial"/>
        </w:rPr>
        <w:t>, 2021). Similar concerns challenges associated with acceptability, which may be problematic with people with advanced dementia and lack familiarity with complex digital interfaces (Neal et al., 2025). The review objective of determining evidence and practice gaps is directly associated with this theme. There is also a significant conflict between an optimistic policy view on digital innovation and the reality of the accessibility barrier. The reviewed studies further seldom address the issue of rural connectivity, or the issue of culturally diverse populations, which indicates underrepresentation of the current research. The inclusion of digital is a major concern in future studies and fair enforcement of policies.</w:t>
      </w:r>
    </w:p>
    <w:p w14:paraId="7424C99F"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Safety, Independence and Outcomes</w:t>
      </w:r>
    </w:p>
    <w:p w14:paraId="4257BE84"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The evidence with regard to the outcomes of safety and independence was relatively stronger compared to the evidence with regard to implementation or equity. A number of researches proposed that the use of digital health technologies can positively boost community-based dementia care in the right context. GPS tracking increased the level of confidence and safe outdoor activity of the caregivers and allowed greater autonomy along with minimizing the level of anxiety caused by wandering (</w:t>
      </w:r>
      <w:proofErr w:type="spellStart"/>
      <w:r w:rsidRPr="006C2BA5">
        <w:rPr>
          <w:rFonts w:ascii="Arial" w:eastAsia="Arial" w:hAnsi="Arial" w:cs="Arial"/>
        </w:rPr>
        <w:t>Nwofe</w:t>
      </w:r>
      <w:proofErr w:type="spellEnd"/>
      <w:r w:rsidRPr="006C2BA5">
        <w:rPr>
          <w:rFonts w:ascii="Arial" w:eastAsia="Arial" w:hAnsi="Arial" w:cs="Arial"/>
        </w:rPr>
        <w:t xml:space="preserve"> et al., 2025). Home sensor systems enabled the early detection of changes in behaviour or routine and this could permit preventive action and potentially lessen the events of crisis or hospital admissions (</w:t>
      </w:r>
      <w:proofErr w:type="spellStart"/>
      <w:r w:rsidRPr="006C2BA5">
        <w:rPr>
          <w:rFonts w:ascii="Arial" w:eastAsia="Arial" w:hAnsi="Arial" w:cs="Arial"/>
        </w:rPr>
        <w:t>Wherton</w:t>
      </w:r>
      <w:proofErr w:type="spellEnd"/>
      <w:r w:rsidRPr="006C2BA5">
        <w:rPr>
          <w:rFonts w:ascii="Arial" w:eastAsia="Arial" w:hAnsi="Arial" w:cs="Arial"/>
        </w:rPr>
        <w:t xml:space="preserve"> et al., 2025). Assistive technologies show medium-evidence of reducing dependency and safety rates among community-dwelling adults, but the long-term quality-of-life outcomes are still scarce (Neal et al., 2025). There was a contradiction in the definitions and measures of effectiveness. Variation in reporting the outcomes and some reports were more outcome oriented (service utilisation outcomes) whereas others were more subjective (wellbeing outcomes) (Abdulazeem et al., 2025). Such non-standardisation makes it difficult to compare and has restrictions on translation into national policy. All these constraints point to a tentative optimism on the challenge of technologies that are aided by systematic implementation structures and inclusive designs.</w:t>
      </w:r>
    </w:p>
    <w:p w14:paraId="3B349B34"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b/>
        </w:rPr>
        <w:t>Strengths and Weaknesses of Reviewed Studies</w:t>
      </w:r>
    </w:p>
    <w:p w14:paraId="6C32FE24"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Strengths are real world UK settings and methodological diversity especially mixed methods methodologies that reflect both the quantitative results and the qualitative experiences. This increases the contextual clarity.</w:t>
      </w:r>
    </w:p>
    <w:p w14:paraId="7B4CACA0" w14:textId="77777777" w:rsidR="00374BB5" w:rsidRPr="006C2BA5" w:rsidRDefault="00374BB5" w:rsidP="006C2BA5">
      <w:pPr>
        <w:spacing w:after="200" w:line="360" w:lineRule="auto"/>
        <w:jc w:val="both"/>
        <w:rPr>
          <w:rFonts w:ascii="Arial" w:eastAsia="Arial" w:hAnsi="Arial" w:cs="Arial"/>
        </w:rPr>
      </w:pPr>
      <w:r w:rsidRPr="00375B1E">
        <w:rPr>
          <w:rFonts w:ascii="Arial" w:eastAsia="Arial" w:hAnsi="Arial" w:cs="Arial"/>
        </w:rPr>
        <w:t>Limitations such as small samples, length of studies and lack of representation of individuals with advanced dementia are regarded as weaknesses. Besides, there were not many studies on cost-effectiveness of their long-term outcomes, which is a relevant aspect in the sustainability of the NHS. In general, promising the evidence base is uneven and needs to be consolidated more.</w:t>
      </w:r>
    </w:p>
    <w:p w14:paraId="480DF8F6" w14:textId="3BDA3652" w:rsidR="00375B1E" w:rsidRDefault="00375B1E" w:rsidP="00375B1E">
      <w:pPr>
        <w:spacing w:after="200" w:line="360" w:lineRule="auto"/>
        <w:jc w:val="both"/>
        <w:rPr>
          <w:rFonts w:ascii="Arial" w:eastAsia="Arial" w:hAnsi="Arial" w:cs="Arial"/>
        </w:rPr>
      </w:pPr>
    </w:p>
    <w:p w14:paraId="543A7CE7" w14:textId="154F4AE1" w:rsidR="1FCCA6BA" w:rsidRDefault="1FCCA6BA" w:rsidP="23E8857D">
      <w:pPr>
        <w:spacing w:after="200" w:line="360" w:lineRule="auto"/>
        <w:jc w:val="both"/>
        <w:rPr>
          <w:rFonts w:ascii="Arial" w:eastAsia="Arial" w:hAnsi="Arial" w:cs="Arial"/>
        </w:rPr>
      </w:pPr>
      <w:r w:rsidRPr="23E8857D">
        <w:rPr>
          <w:rFonts w:ascii="Arial" w:eastAsia="Arial" w:hAnsi="Arial" w:cs="Arial"/>
        </w:rPr>
        <w:t xml:space="preserve"> </w:t>
      </w:r>
    </w:p>
    <w:p w14:paraId="06AFDBA0" w14:textId="77777777" w:rsidR="00374BB5" w:rsidRPr="006C2BA5" w:rsidRDefault="00374BB5" w:rsidP="006C2BA5">
      <w:pPr>
        <w:spacing w:line="360" w:lineRule="auto"/>
        <w:jc w:val="both"/>
        <w:rPr>
          <w:rFonts w:ascii="Arial" w:eastAsia="Arial" w:hAnsi="Arial" w:cs="Arial"/>
          <w:b/>
        </w:rPr>
      </w:pPr>
      <w:r w:rsidRPr="006C2BA5">
        <w:rPr>
          <w:rFonts w:ascii="Arial" w:eastAsia="Arial" w:hAnsi="Arial" w:cs="Arial"/>
          <w:b/>
        </w:rPr>
        <w:br w:type="page"/>
      </w:r>
    </w:p>
    <w:p w14:paraId="47877893" w14:textId="25DC121E" w:rsidR="00374BB5" w:rsidRPr="006C2BA5" w:rsidRDefault="00374BB5" w:rsidP="006C2BA5">
      <w:pPr>
        <w:pStyle w:val="Heading1"/>
        <w:spacing w:line="360" w:lineRule="auto"/>
        <w:jc w:val="both"/>
        <w:rPr>
          <w:rFonts w:ascii="Arial" w:eastAsia="Arial" w:hAnsi="Arial" w:cs="Arial"/>
          <w:b/>
          <w:sz w:val="22"/>
          <w:szCs w:val="22"/>
        </w:rPr>
      </w:pPr>
      <w:bookmarkStart w:id="23" w:name="_Toc222570948"/>
      <w:r w:rsidRPr="006C2BA5">
        <w:rPr>
          <w:rFonts w:ascii="Arial" w:eastAsia="Arial" w:hAnsi="Arial" w:cs="Arial"/>
          <w:b/>
          <w:sz w:val="22"/>
          <w:szCs w:val="22"/>
        </w:rPr>
        <w:t>Chapter 6: Conclusion and Recommendations</w:t>
      </w:r>
      <w:bookmarkEnd w:id="23"/>
      <w:r w:rsidRPr="006C2BA5">
        <w:rPr>
          <w:rFonts w:ascii="Arial" w:eastAsia="Arial" w:hAnsi="Arial" w:cs="Arial"/>
          <w:b/>
          <w:sz w:val="22"/>
          <w:szCs w:val="22"/>
        </w:rPr>
        <w:t xml:space="preserve"> </w:t>
      </w:r>
    </w:p>
    <w:p w14:paraId="33298262" w14:textId="43BA904B" w:rsidR="00374BB5" w:rsidRPr="006C2BA5" w:rsidRDefault="006C2BA5" w:rsidP="006C2BA5">
      <w:pPr>
        <w:pStyle w:val="Heading2"/>
        <w:spacing w:line="360" w:lineRule="auto"/>
        <w:jc w:val="both"/>
        <w:rPr>
          <w:rFonts w:ascii="Arial" w:eastAsia="Arial" w:hAnsi="Arial" w:cs="Arial"/>
          <w:b/>
          <w:sz w:val="22"/>
          <w:szCs w:val="22"/>
        </w:rPr>
      </w:pPr>
      <w:bookmarkStart w:id="24" w:name="_Toc222570949"/>
      <w:r>
        <w:rPr>
          <w:rFonts w:ascii="Arial" w:eastAsia="Arial" w:hAnsi="Arial" w:cs="Arial"/>
          <w:b/>
          <w:sz w:val="22"/>
          <w:szCs w:val="22"/>
        </w:rPr>
        <w:t xml:space="preserve">6.1 </w:t>
      </w:r>
      <w:r w:rsidR="00374BB5" w:rsidRPr="006C2BA5">
        <w:rPr>
          <w:rFonts w:ascii="Arial" w:eastAsia="Arial" w:hAnsi="Arial" w:cs="Arial"/>
          <w:b/>
          <w:sz w:val="22"/>
          <w:szCs w:val="22"/>
        </w:rPr>
        <w:t>Conclusion</w:t>
      </w:r>
      <w:bookmarkEnd w:id="24"/>
    </w:p>
    <w:p w14:paraId="5A7BC16B"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This scoping review identified existing UK peer-reviewed studies on topic of digital health technologies in dementia care. Three themes were recognized, and they are problems in implementation and integration, equity and digital exclusion, and benefits of safety and independence. Research findings suggest that GPS tracking and home sensors as digital technologies can improve safety and reassurance of caregivers. Nonetheless, this is only successful when there is organisational preparedness and co-ordination of care pathways. The use continues to be affected by the local commissioning structures.</w:t>
      </w:r>
    </w:p>
    <w:p w14:paraId="58B7FB37"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 xml:space="preserve">The issue of equity is an important one. Digital interventions can increase inequalities unless they are specifically designed with inclusiveness and called upon to support it. Incidentally, digital literacy, affordability, and cognitive access were to be </w:t>
      </w:r>
      <w:proofErr w:type="spellStart"/>
      <w:r w:rsidRPr="006C2BA5">
        <w:rPr>
          <w:rFonts w:ascii="Arial" w:eastAsia="Arial" w:hAnsi="Arial" w:cs="Arial"/>
        </w:rPr>
        <w:t>considered.vLimited</w:t>
      </w:r>
      <w:proofErr w:type="spellEnd"/>
      <w:r w:rsidRPr="006C2BA5">
        <w:rPr>
          <w:rFonts w:ascii="Arial" w:eastAsia="Arial" w:hAnsi="Arial" w:cs="Arial"/>
        </w:rPr>
        <w:t xml:space="preserve"> time methodology was also apparent. The fragmentation of research methodology and reporting of results. The evidence base thus allows inference of cautious although not conclusive data on long-term efficacy. Digital health technologies are a potential part of the UK dementia care, which needs to be organized, implemented in a more balanced manner, and supported with more robust evaluation tools.</w:t>
      </w:r>
    </w:p>
    <w:p w14:paraId="252D428D" w14:textId="673E5493" w:rsidR="00374BB5" w:rsidRPr="006C2BA5" w:rsidRDefault="006C2BA5" w:rsidP="006C2BA5">
      <w:pPr>
        <w:pStyle w:val="Heading2"/>
        <w:spacing w:line="360" w:lineRule="auto"/>
        <w:jc w:val="both"/>
        <w:rPr>
          <w:rFonts w:ascii="Arial" w:eastAsia="Arial" w:hAnsi="Arial" w:cs="Arial"/>
          <w:b/>
          <w:sz w:val="22"/>
          <w:szCs w:val="22"/>
        </w:rPr>
      </w:pPr>
      <w:bookmarkStart w:id="25" w:name="_Toc222570950"/>
      <w:r>
        <w:rPr>
          <w:rFonts w:ascii="Arial" w:eastAsia="Arial" w:hAnsi="Arial" w:cs="Arial"/>
          <w:b/>
          <w:sz w:val="22"/>
          <w:szCs w:val="22"/>
        </w:rPr>
        <w:t xml:space="preserve">6.2 </w:t>
      </w:r>
      <w:r w:rsidR="00374BB5" w:rsidRPr="006C2BA5">
        <w:rPr>
          <w:rFonts w:ascii="Arial" w:eastAsia="Arial" w:hAnsi="Arial" w:cs="Arial"/>
          <w:b/>
          <w:sz w:val="22"/>
          <w:szCs w:val="22"/>
        </w:rPr>
        <w:t>Recommendations for Future Research</w:t>
      </w:r>
      <w:bookmarkEnd w:id="25"/>
    </w:p>
    <w:p w14:paraId="545EDF55" w14:textId="77777777" w:rsidR="00374BB5" w:rsidRPr="006C2BA5" w:rsidRDefault="00374BB5" w:rsidP="006C2BA5">
      <w:pPr>
        <w:spacing w:after="200" w:line="360" w:lineRule="auto"/>
        <w:jc w:val="both"/>
        <w:rPr>
          <w:rFonts w:ascii="Arial" w:eastAsia="Arial" w:hAnsi="Arial" w:cs="Arial"/>
          <w:b/>
        </w:rPr>
      </w:pPr>
      <w:r w:rsidRPr="006C2BA5">
        <w:rPr>
          <w:rFonts w:ascii="Arial" w:eastAsia="Arial" w:hAnsi="Arial" w:cs="Arial"/>
        </w:rPr>
        <w:t>Further investigations are advised to undertake bigger longitudinal studies on different regions in the UK. Comparability should be enhanced by developing standardised measure of outcomes. There should be a higher inclusion of people with severe dementia to manage representation gaps. Priorities to cost-effectiveness analysis, which would also guide the decision making by NHS commissioning, are also necessary.</w:t>
      </w:r>
    </w:p>
    <w:p w14:paraId="56AA9DFD" w14:textId="5D3F889B" w:rsidR="00374BB5" w:rsidRPr="006C2BA5" w:rsidRDefault="006C2BA5" w:rsidP="006C2BA5">
      <w:pPr>
        <w:pStyle w:val="Heading2"/>
        <w:spacing w:line="360" w:lineRule="auto"/>
        <w:jc w:val="both"/>
        <w:rPr>
          <w:rFonts w:ascii="Arial" w:eastAsia="Arial" w:hAnsi="Arial" w:cs="Arial"/>
          <w:b/>
          <w:sz w:val="22"/>
          <w:szCs w:val="22"/>
        </w:rPr>
      </w:pPr>
      <w:bookmarkStart w:id="26" w:name="_Toc222570951"/>
      <w:r>
        <w:rPr>
          <w:rFonts w:ascii="Arial" w:eastAsia="Arial" w:hAnsi="Arial" w:cs="Arial"/>
          <w:b/>
          <w:sz w:val="22"/>
          <w:szCs w:val="22"/>
        </w:rPr>
        <w:t xml:space="preserve">6.3 </w:t>
      </w:r>
      <w:r w:rsidR="00374BB5" w:rsidRPr="006C2BA5">
        <w:rPr>
          <w:rFonts w:ascii="Arial" w:eastAsia="Arial" w:hAnsi="Arial" w:cs="Arial"/>
          <w:b/>
          <w:sz w:val="22"/>
          <w:szCs w:val="22"/>
        </w:rPr>
        <w:t>Recommendations for UK Policy and Practice</w:t>
      </w:r>
      <w:bookmarkEnd w:id="26"/>
    </w:p>
    <w:p w14:paraId="6A7BD224" w14:textId="77777777" w:rsidR="00374BB5" w:rsidRPr="006C2BA5" w:rsidRDefault="00374BB5" w:rsidP="006C2BA5">
      <w:pPr>
        <w:spacing w:after="200" w:line="360" w:lineRule="auto"/>
        <w:jc w:val="both"/>
        <w:rPr>
          <w:rFonts w:ascii="Arial" w:eastAsia="Arial" w:hAnsi="Arial" w:cs="Arial"/>
        </w:rPr>
      </w:pPr>
      <w:r w:rsidRPr="006C2BA5">
        <w:rPr>
          <w:rFonts w:ascii="Arial" w:eastAsia="Arial" w:hAnsi="Arial" w:cs="Arial"/>
        </w:rPr>
        <w:t>The systematic integration and coordinated dementia care pathways of digital health technologies should be a first priority by UK policy and practice as opposed to the use of short-term or singular pilot programs. The sustainable implementation covers organisational readiness, commissioning alignment and inter-agency collaboration, which implies that digital tools should be integrated with the current NHS and local authority structure in order to have a long-term effect (</w:t>
      </w:r>
      <w:proofErr w:type="spellStart"/>
      <w:r w:rsidRPr="006C2BA5">
        <w:rPr>
          <w:rFonts w:ascii="Arial" w:eastAsia="Arial" w:hAnsi="Arial" w:cs="Arial"/>
        </w:rPr>
        <w:t>Wherton</w:t>
      </w:r>
      <w:proofErr w:type="spellEnd"/>
      <w:r w:rsidRPr="006C2BA5">
        <w:rPr>
          <w:rFonts w:ascii="Arial" w:eastAsia="Arial" w:hAnsi="Arial" w:cs="Arial"/>
        </w:rPr>
        <w:t xml:space="preserve"> et al., 2025). The workforce training should be considered as the necessary investment to make sure that the practitioners have the digital skills needed to facilitate the adoption and continuous tracking of technologies (Neal et al., 2025). </w:t>
      </w:r>
    </w:p>
    <w:p w14:paraId="2B39AA1D" w14:textId="6B6F0CF2" w:rsidR="00374BB5" w:rsidRPr="006C2BA5" w:rsidRDefault="006C2BA5" w:rsidP="006C2BA5">
      <w:pPr>
        <w:spacing w:after="200" w:line="360" w:lineRule="auto"/>
        <w:jc w:val="both"/>
        <w:rPr>
          <w:rFonts w:ascii="Arial" w:eastAsia="Arial" w:hAnsi="Arial" w:cs="Arial"/>
        </w:rPr>
      </w:pPr>
      <w:r>
        <w:rPr>
          <w:rFonts w:ascii="Arial" w:eastAsia="Arial" w:hAnsi="Arial" w:cs="Arial"/>
        </w:rPr>
        <w:t>P</w:t>
      </w:r>
      <w:r w:rsidR="00374BB5" w:rsidRPr="006C2BA5">
        <w:rPr>
          <w:rFonts w:ascii="Arial" w:eastAsia="Arial" w:hAnsi="Arial" w:cs="Arial"/>
        </w:rPr>
        <w:t xml:space="preserve">rocurement and service design should be based on equity-oriented guidelines to avoid the increasing </w:t>
      </w:r>
      <w:proofErr w:type="spellStart"/>
      <w:r w:rsidR="00374BB5" w:rsidRPr="006C2BA5">
        <w:rPr>
          <w:rFonts w:ascii="Arial" w:eastAsia="Arial" w:hAnsi="Arial" w:cs="Arial"/>
        </w:rPr>
        <w:t>socialeconomic</w:t>
      </w:r>
      <w:proofErr w:type="spellEnd"/>
      <w:r w:rsidR="00374BB5" w:rsidRPr="006C2BA5">
        <w:rPr>
          <w:rFonts w:ascii="Arial" w:eastAsia="Arial" w:hAnsi="Arial" w:cs="Arial"/>
        </w:rPr>
        <w:t xml:space="preserve"> inequality, especially between those who cannot use digital tools or people with impaired cognition (Wolff et al., 2024). The processes of up and down developments and implication on the people living with the dementia and their caregivers should be entrenched in the methodologies of co-design to make them more usable, acceptable and trusted. Moreover, </w:t>
      </w:r>
      <w:proofErr w:type="spellStart"/>
      <w:r w:rsidR="00374BB5" w:rsidRPr="006C2BA5">
        <w:rPr>
          <w:rFonts w:ascii="Arial" w:eastAsia="Arial" w:hAnsi="Arial" w:cs="Arial"/>
        </w:rPr>
        <w:t>standardiSed</w:t>
      </w:r>
      <w:proofErr w:type="spellEnd"/>
      <w:r w:rsidR="00374BB5" w:rsidRPr="006C2BA5">
        <w:rPr>
          <w:rFonts w:ascii="Arial" w:eastAsia="Arial" w:hAnsi="Arial" w:cs="Arial"/>
        </w:rPr>
        <w:t xml:space="preserve"> patterns in evaluating evidence must be implemented to enhance the comparability of evidence and self-determination in commissioning decisions (Abdulazeem et al., 2025). Digital transformation should thus be focused on embracing inclusion, sustainability and strong assessment that helps in ensuring safer and person-centred dementia care in the UK.</w:t>
      </w:r>
    </w:p>
    <w:p w14:paraId="2D374B8C" w14:textId="665AA317" w:rsidR="00C011A3" w:rsidRPr="00BE617F" w:rsidRDefault="00C011A3" w:rsidP="00BE617F">
      <w:pPr>
        <w:spacing w:line="360" w:lineRule="auto"/>
        <w:jc w:val="both"/>
        <w:rPr>
          <w:rFonts w:ascii="Arial" w:hAnsi="Arial" w:cs="Arial"/>
        </w:rPr>
      </w:pPr>
      <w:r w:rsidRPr="00BE617F">
        <w:rPr>
          <w:rFonts w:ascii="Arial" w:hAnsi="Arial" w:cs="Arial"/>
        </w:rPr>
        <w:br w:type="page"/>
      </w:r>
    </w:p>
    <w:p w14:paraId="122E0D89" w14:textId="4A795ED1" w:rsidR="007E65B8" w:rsidRPr="006C2BA5" w:rsidRDefault="000B588E" w:rsidP="00BE617F">
      <w:pPr>
        <w:pStyle w:val="Heading1"/>
        <w:spacing w:line="360" w:lineRule="auto"/>
        <w:jc w:val="both"/>
        <w:rPr>
          <w:rFonts w:ascii="Arial" w:hAnsi="Arial" w:cs="Arial"/>
          <w:b/>
          <w:sz w:val="22"/>
          <w:szCs w:val="22"/>
        </w:rPr>
      </w:pPr>
      <w:bookmarkStart w:id="27" w:name="_Toc222570952"/>
      <w:r w:rsidRPr="006C2BA5">
        <w:rPr>
          <w:rFonts w:ascii="Arial" w:hAnsi="Arial" w:cs="Arial"/>
          <w:b/>
          <w:sz w:val="22"/>
          <w:szCs w:val="22"/>
        </w:rPr>
        <w:t>References</w:t>
      </w:r>
      <w:bookmarkEnd w:id="27"/>
    </w:p>
    <w:p w14:paraId="67F9AAF1"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Abdulazeem, H., Borges do Nascimento, I.J., Weerasekara, I., </w:t>
      </w:r>
      <w:proofErr w:type="spellStart"/>
      <w:r w:rsidRPr="00BE617F">
        <w:rPr>
          <w:rFonts w:ascii="Arial" w:hAnsi="Arial" w:cs="Arial"/>
        </w:rPr>
        <w:t>Sharifan</w:t>
      </w:r>
      <w:proofErr w:type="spellEnd"/>
      <w:r w:rsidRPr="00BE617F">
        <w:rPr>
          <w:rFonts w:ascii="Arial" w:hAnsi="Arial" w:cs="Arial"/>
        </w:rPr>
        <w:t xml:space="preserve">, A., Grandi Bianco, V., Cunningham, C., Kularathne, I., Deeken, G., de Barros, J., </w:t>
      </w:r>
      <w:proofErr w:type="spellStart"/>
      <w:r w:rsidRPr="00BE617F">
        <w:rPr>
          <w:rFonts w:ascii="Arial" w:hAnsi="Arial" w:cs="Arial"/>
        </w:rPr>
        <w:t>Sathian</w:t>
      </w:r>
      <w:proofErr w:type="spellEnd"/>
      <w:r w:rsidRPr="00BE617F">
        <w:rPr>
          <w:rFonts w:ascii="Arial" w:hAnsi="Arial" w:cs="Arial"/>
        </w:rPr>
        <w:t>, B. and Østengaard, L. (2025) Use of digital health technologies for dementia care: bibliometric analysis and report. </w:t>
      </w:r>
      <w:r w:rsidRPr="00BE617F">
        <w:rPr>
          <w:rFonts w:ascii="Arial" w:hAnsi="Arial" w:cs="Arial"/>
          <w:i/>
          <w:iCs/>
        </w:rPr>
        <w:t>JMIR Mental Health</w:t>
      </w:r>
      <w:r w:rsidRPr="00BE617F">
        <w:rPr>
          <w:rFonts w:ascii="Arial" w:hAnsi="Arial" w:cs="Arial"/>
        </w:rPr>
        <w:t>, </w:t>
      </w:r>
      <w:r w:rsidRPr="00BE617F">
        <w:rPr>
          <w:rFonts w:ascii="Arial" w:hAnsi="Arial" w:cs="Arial"/>
          <w:i/>
          <w:iCs/>
        </w:rPr>
        <w:t>12</w:t>
      </w:r>
      <w:r w:rsidRPr="00BE617F">
        <w:rPr>
          <w:rFonts w:ascii="Arial" w:hAnsi="Arial" w:cs="Arial"/>
        </w:rPr>
        <w:t xml:space="preserve">, p.e64445. Available at: </w:t>
      </w:r>
      <w:hyperlink r:id="rId9" w:history="1">
        <w:r w:rsidRPr="00BE617F">
          <w:rPr>
            <w:rStyle w:val="Hyperlink"/>
            <w:rFonts w:ascii="Arial" w:hAnsi="Arial" w:cs="Arial"/>
          </w:rPr>
          <w:t>https://mental.jmir.org/2025/1/e64445</w:t>
        </w:r>
      </w:hyperlink>
    </w:p>
    <w:p w14:paraId="0EE6A2AC" w14:textId="77777777" w:rsidR="00164682" w:rsidRPr="00BE617F" w:rsidRDefault="00164682" w:rsidP="00BE617F">
      <w:pPr>
        <w:spacing w:line="360" w:lineRule="auto"/>
        <w:jc w:val="both"/>
        <w:rPr>
          <w:rFonts w:ascii="Arial" w:hAnsi="Arial" w:cs="Arial"/>
        </w:rPr>
      </w:pPr>
      <w:r w:rsidRPr="00BE617F">
        <w:rPr>
          <w:rFonts w:ascii="Arial" w:hAnsi="Arial" w:cs="Arial"/>
        </w:rPr>
        <w:t>Brookes, G. (2023) Killer, thief or companion? A corpus-based study of dementia metaphors in UK tabloids. </w:t>
      </w:r>
      <w:r w:rsidRPr="00BE617F">
        <w:rPr>
          <w:rFonts w:ascii="Arial" w:hAnsi="Arial" w:cs="Arial"/>
          <w:i/>
          <w:iCs/>
        </w:rPr>
        <w:t>Metaphor and Symbol</w:t>
      </w:r>
      <w:r w:rsidRPr="00BE617F">
        <w:rPr>
          <w:rFonts w:ascii="Arial" w:hAnsi="Arial" w:cs="Arial"/>
        </w:rPr>
        <w:t>, </w:t>
      </w:r>
      <w:r w:rsidRPr="00BE617F">
        <w:rPr>
          <w:rFonts w:ascii="Arial" w:hAnsi="Arial" w:cs="Arial"/>
          <w:i/>
          <w:iCs/>
        </w:rPr>
        <w:t>38</w:t>
      </w:r>
      <w:r w:rsidRPr="00BE617F">
        <w:rPr>
          <w:rFonts w:ascii="Arial" w:hAnsi="Arial" w:cs="Arial"/>
        </w:rPr>
        <w:t xml:space="preserve">(3), pp.213-230. Available at: </w:t>
      </w:r>
      <w:hyperlink r:id="rId10" w:history="1">
        <w:r w:rsidRPr="00BE617F">
          <w:rPr>
            <w:rStyle w:val="Hyperlink"/>
            <w:rFonts w:ascii="Arial" w:hAnsi="Arial" w:cs="Arial"/>
          </w:rPr>
          <w:t>https://doi.org/10.1080/10926488.2022.2142472</w:t>
        </w:r>
      </w:hyperlink>
      <w:r w:rsidRPr="00BE617F">
        <w:rPr>
          <w:rFonts w:ascii="Arial" w:hAnsi="Arial" w:cs="Arial"/>
        </w:rPr>
        <w:t xml:space="preserve"> </w:t>
      </w:r>
    </w:p>
    <w:p w14:paraId="40FB590E" w14:textId="77777777" w:rsidR="00164682" w:rsidRPr="00BE617F" w:rsidRDefault="00164682" w:rsidP="00BE617F">
      <w:pPr>
        <w:spacing w:line="360" w:lineRule="auto"/>
        <w:jc w:val="both"/>
        <w:rPr>
          <w:rFonts w:ascii="Arial" w:hAnsi="Arial" w:cs="Arial"/>
        </w:rPr>
      </w:pPr>
      <w:r w:rsidRPr="58B82618">
        <w:rPr>
          <w:rFonts w:ascii="Arial" w:hAnsi="Arial" w:cs="Arial"/>
        </w:rPr>
        <w:t>Ghamrawi, N., Shal, T., Ghamrawi, N.A., Abu-</w:t>
      </w:r>
      <w:bookmarkStart w:id="28" w:name="_Int_Tm9yeqJz"/>
      <w:r w:rsidRPr="58B82618">
        <w:rPr>
          <w:rFonts w:ascii="Arial" w:hAnsi="Arial" w:cs="Arial"/>
        </w:rPr>
        <w:t>Tineh</w:t>
      </w:r>
      <w:bookmarkEnd w:id="28"/>
      <w:r w:rsidRPr="58B82618">
        <w:rPr>
          <w:rFonts w:ascii="Arial" w:hAnsi="Arial" w:cs="Arial"/>
        </w:rPr>
        <w:t>, A., Alshaboul, Y. and Alazaizeh, M.A. (2025) A step-by-step approach to systematic reviews in educational research. </w:t>
      </w:r>
      <w:r w:rsidRPr="58B82618">
        <w:rPr>
          <w:rFonts w:ascii="Arial" w:hAnsi="Arial" w:cs="Arial"/>
          <w:i/>
          <w:iCs/>
        </w:rPr>
        <w:t>European Journal of Educational Research</w:t>
      </w:r>
      <w:r w:rsidRPr="58B82618">
        <w:rPr>
          <w:rFonts w:ascii="Arial" w:hAnsi="Arial" w:cs="Arial"/>
        </w:rPr>
        <w:t>, </w:t>
      </w:r>
      <w:r w:rsidRPr="58B82618">
        <w:rPr>
          <w:rFonts w:ascii="Arial" w:hAnsi="Arial" w:cs="Arial"/>
          <w:i/>
          <w:iCs/>
        </w:rPr>
        <w:t>14</w:t>
      </w:r>
      <w:r w:rsidRPr="58B82618">
        <w:rPr>
          <w:rFonts w:ascii="Arial" w:hAnsi="Arial" w:cs="Arial"/>
        </w:rPr>
        <w:t xml:space="preserve">(2), pp.549-566. Available at: </w:t>
      </w:r>
      <w:hyperlink r:id="rId11">
        <w:r w:rsidRPr="58B82618">
          <w:rPr>
            <w:rStyle w:val="Hyperlink"/>
            <w:rFonts w:ascii="Arial" w:hAnsi="Arial" w:cs="Arial"/>
          </w:rPr>
          <w:t>https://www.eu-jer.com/articles/EU-JER_14_2_549.pdf</w:t>
        </w:r>
      </w:hyperlink>
      <w:r w:rsidRPr="58B82618">
        <w:rPr>
          <w:rFonts w:ascii="Arial" w:hAnsi="Arial" w:cs="Arial"/>
        </w:rPr>
        <w:t xml:space="preserve"> </w:t>
      </w:r>
    </w:p>
    <w:p w14:paraId="05944D40" w14:textId="77777777" w:rsidR="00164682" w:rsidRPr="00BE617F" w:rsidRDefault="00164682" w:rsidP="00BE617F">
      <w:pPr>
        <w:spacing w:line="360" w:lineRule="auto"/>
        <w:jc w:val="both"/>
        <w:rPr>
          <w:rFonts w:ascii="Arial" w:hAnsi="Arial" w:cs="Arial"/>
        </w:rPr>
      </w:pPr>
      <w:r w:rsidRPr="00BE617F">
        <w:rPr>
          <w:rFonts w:ascii="Arial" w:hAnsi="Arial" w:cs="Arial"/>
        </w:rPr>
        <w:t>Herzog, C., Handke, C. and Hitters, E. (2025) Digging in or building bridges? A scoping review of thematic analysis. </w:t>
      </w:r>
      <w:r w:rsidRPr="00BE617F">
        <w:rPr>
          <w:rFonts w:ascii="Arial" w:hAnsi="Arial" w:cs="Arial"/>
          <w:i/>
          <w:iCs/>
        </w:rPr>
        <w:t>Frontiers in Research Metrics and Analytics</w:t>
      </w:r>
      <w:r w:rsidRPr="00BE617F">
        <w:rPr>
          <w:rFonts w:ascii="Arial" w:hAnsi="Arial" w:cs="Arial"/>
        </w:rPr>
        <w:t>, </w:t>
      </w:r>
      <w:r w:rsidRPr="00BE617F">
        <w:rPr>
          <w:rFonts w:ascii="Arial" w:hAnsi="Arial" w:cs="Arial"/>
          <w:i/>
          <w:iCs/>
        </w:rPr>
        <w:t>10</w:t>
      </w:r>
      <w:r w:rsidRPr="00BE617F">
        <w:rPr>
          <w:rFonts w:ascii="Arial" w:hAnsi="Arial" w:cs="Arial"/>
        </w:rPr>
        <w:t xml:space="preserve">, p.1617380. Available at: </w:t>
      </w:r>
      <w:hyperlink r:id="rId12" w:history="1">
        <w:r w:rsidRPr="00BE617F">
          <w:rPr>
            <w:rStyle w:val="Hyperlink"/>
            <w:rFonts w:ascii="Arial" w:hAnsi="Arial" w:cs="Arial"/>
          </w:rPr>
          <w:t>https://www.frontiersin.org/journals/research-metrics-and-analytics/articles/10.3389/frma.2025.1617380/pdf</w:t>
        </w:r>
      </w:hyperlink>
    </w:p>
    <w:p w14:paraId="25643797"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Khalil, H., Peters, M.D., McInerney, P.A., Godfrey, C.M., Alexander, L., Evans, C., Pieper, D., </w:t>
      </w:r>
      <w:proofErr w:type="spellStart"/>
      <w:r w:rsidRPr="00BE617F">
        <w:rPr>
          <w:rFonts w:ascii="Arial" w:hAnsi="Arial" w:cs="Arial"/>
        </w:rPr>
        <w:t>Moraes</w:t>
      </w:r>
      <w:proofErr w:type="spellEnd"/>
      <w:r w:rsidRPr="00BE617F">
        <w:rPr>
          <w:rFonts w:ascii="Arial" w:hAnsi="Arial" w:cs="Arial"/>
        </w:rPr>
        <w:t xml:space="preserve">, E.B., </w:t>
      </w:r>
      <w:proofErr w:type="spellStart"/>
      <w:r w:rsidRPr="00BE617F">
        <w:rPr>
          <w:rFonts w:ascii="Arial" w:hAnsi="Arial" w:cs="Arial"/>
        </w:rPr>
        <w:t>Tricco</w:t>
      </w:r>
      <w:proofErr w:type="spellEnd"/>
      <w:r w:rsidRPr="00BE617F">
        <w:rPr>
          <w:rFonts w:ascii="Arial" w:hAnsi="Arial" w:cs="Arial"/>
        </w:rPr>
        <w:t>, A.C., Munn, Z. and Pollock, D. (2022) The role of scoping reviews in reducing research waste. </w:t>
      </w:r>
      <w:r w:rsidRPr="00BE617F">
        <w:rPr>
          <w:rFonts w:ascii="Arial" w:hAnsi="Arial" w:cs="Arial"/>
          <w:i/>
          <w:iCs/>
        </w:rPr>
        <w:t>Journal of clinical epidemiology</w:t>
      </w:r>
      <w:r w:rsidRPr="00BE617F">
        <w:rPr>
          <w:rFonts w:ascii="Arial" w:hAnsi="Arial" w:cs="Arial"/>
        </w:rPr>
        <w:t>, </w:t>
      </w:r>
      <w:r w:rsidRPr="00BE617F">
        <w:rPr>
          <w:rFonts w:ascii="Arial" w:hAnsi="Arial" w:cs="Arial"/>
          <w:i/>
          <w:iCs/>
        </w:rPr>
        <w:t>152</w:t>
      </w:r>
      <w:r w:rsidRPr="00BE617F">
        <w:rPr>
          <w:rFonts w:ascii="Arial" w:hAnsi="Arial" w:cs="Arial"/>
        </w:rPr>
        <w:t xml:space="preserve">, pp.30-35. Available at: </w:t>
      </w:r>
      <w:hyperlink r:id="rId13" w:history="1">
        <w:r w:rsidRPr="00BE617F">
          <w:rPr>
            <w:rStyle w:val="Hyperlink"/>
            <w:rFonts w:ascii="Arial" w:hAnsi="Arial" w:cs="Arial"/>
          </w:rPr>
          <w:t>https://rgu-repository.worktribe.com/OutputFile/1764603</w:t>
        </w:r>
      </w:hyperlink>
      <w:r w:rsidRPr="00BE617F">
        <w:rPr>
          <w:rFonts w:ascii="Arial" w:hAnsi="Arial" w:cs="Arial"/>
        </w:rPr>
        <w:t xml:space="preserve"> </w:t>
      </w:r>
    </w:p>
    <w:p w14:paraId="10B55D32"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Lasrado, R., </w:t>
      </w:r>
      <w:proofErr w:type="spellStart"/>
      <w:r w:rsidRPr="00BE617F">
        <w:rPr>
          <w:rFonts w:ascii="Arial" w:hAnsi="Arial" w:cs="Arial"/>
        </w:rPr>
        <w:t>Szulewska</w:t>
      </w:r>
      <w:proofErr w:type="spellEnd"/>
      <w:r w:rsidRPr="00BE617F">
        <w:rPr>
          <w:rFonts w:ascii="Arial" w:hAnsi="Arial" w:cs="Arial"/>
        </w:rPr>
        <w:t xml:space="preserve">, K., Dixon, J., Maharani, A., Robinson, C., Cooper, M., </w:t>
      </w:r>
      <w:proofErr w:type="spellStart"/>
      <w:r w:rsidRPr="00BE617F">
        <w:rPr>
          <w:rFonts w:ascii="Arial" w:hAnsi="Arial" w:cs="Arial"/>
        </w:rPr>
        <w:t>Panagioti</w:t>
      </w:r>
      <w:proofErr w:type="spellEnd"/>
      <w:r w:rsidRPr="00BE617F">
        <w:rPr>
          <w:rFonts w:ascii="Arial" w:hAnsi="Arial" w:cs="Arial"/>
        </w:rPr>
        <w:t>, M. and Blakeman, T. (2025) Understanding Safeguarding for People Living with Dementia: A Realist Review of Conceptualization and Practice. </w:t>
      </w:r>
      <w:r w:rsidRPr="00BE617F">
        <w:rPr>
          <w:rFonts w:ascii="Arial" w:hAnsi="Arial" w:cs="Arial"/>
          <w:i/>
          <w:iCs/>
        </w:rPr>
        <w:t>Trauma, Violence, &amp; Abuse</w:t>
      </w:r>
      <w:r w:rsidRPr="00BE617F">
        <w:rPr>
          <w:rFonts w:ascii="Arial" w:hAnsi="Arial" w:cs="Arial"/>
        </w:rPr>
        <w:t xml:space="preserve">, p.15248380251375488. Available at: </w:t>
      </w:r>
      <w:hyperlink r:id="rId14" w:history="1">
        <w:r w:rsidRPr="00BE617F">
          <w:rPr>
            <w:rStyle w:val="Hyperlink"/>
            <w:rFonts w:ascii="Arial" w:hAnsi="Arial" w:cs="Arial"/>
          </w:rPr>
          <w:t>https://doi.org/10.1177/15248380251375488</w:t>
        </w:r>
      </w:hyperlink>
      <w:r w:rsidRPr="00BE617F">
        <w:rPr>
          <w:rFonts w:ascii="Arial" w:hAnsi="Arial" w:cs="Arial"/>
        </w:rPr>
        <w:t xml:space="preserve"> </w:t>
      </w:r>
    </w:p>
    <w:p w14:paraId="18C509A1"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Manu, E. and </w:t>
      </w:r>
      <w:proofErr w:type="spellStart"/>
      <w:r w:rsidRPr="00BE617F">
        <w:rPr>
          <w:rFonts w:ascii="Arial" w:hAnsi="Arial" w:cs="Arial"/>
        </w:rPr>
        <w:t>Akotia</w:t>
      </w:r>
      <w:proofErr w:type="spellEnd"/>
      <w:r w:rsidRPr="00BE617F">
        <w:rPr>
          <w:rFonts w:ascii="Arial" w:hAnsi="Arial" w:cs="Arial"/>
        </w:rPr>
        <w:t>, J. (2021) Introduction to secondary research methods in the built environment. In </w:t>
      </w:r>
      <w:r w:rsidRPr="00BE617F">
        <w:rPr>
          <w:rFonts w:ascii="Arial" w:hAnsi="Arial" w:cs="Arial"/>
          <w:i/>
          <w:iCs/>
        </w:rPr>
        <w:t>Secondary research methods in the built environment</w:t>
      </w:r>
      <w:r w:rsidRPr="00BE617F">
        <w:rPr>
          <w:rFonts w:ascii="Arial" w:hAnsi="Arial" w:cs="Arial"/>
        </w:rPr>
        <w:t xml:space="preserve"> (pp. 1-15). Routledge. </w:t>
      </w:r>
    </w:p>
    <w:p w14:paraId="5A0F1D62" w14:textId="77777777" w:rsidR="00164682" w:rsidRPr="00BE617F" w:rsidRDefault="00164682" w:rsidP="00BE617F">
      <w:pPr>
        <w:spacing w:line="360" w:lineRule="auto"/>
        <w:jc w:val="both"/>
        <w:rPr>
          <w:rFonts w:ascii="Arial" w:hAnsi="Arial" w:cs="Arial"/>
        </w:rPr>
      </w:pPr>
      <w:r w:rsidRPr="00BE617F">
        <w:rPr>
          <w:rFonts w:ascii="Arial" w:hAnsi="Arial" w:cs="Arial"/>
        </w:rPr>
        <w:t>Mathur, M.B. and VanderWeele, T.J. (2021) Estimating publication bias in meta</w:t>
      </w:r>
      <w:r w:rsidRPr="00BE617F">
        <w:rPr>
          <w:rFonts w:ascii="Cambria Math" w:hAnsi="Cambria Math" w:cs="Cambria Math"/>
        </w:rPr>
        <w:t>‐</w:t>
      </w:r>
      <w:r w:rsidRPr="00BE617F">
        <w:rPr>
          <w:rFonts w:ascii="Arial" w:hAnsi="Arial" w:cs="Arial"/>
        </w:rPr>
        <w:t>analyses of peer</w:t>
      </w:r>
      <w:r w:rsidRPr="00BE617F">
        <w:rPr>
          <w:rFonts w:ascii="Cambria Math" w:hAnsi="Cambria Math" w:cs="Cambria Math"/>
        </w:rPr>
        <w:t>‐</w:t>
      </w:r>
      <w:r w:rsidRPr="00BE617F">
        <w:rPr>
          <w:rFonts w:ascii="Arial" w:hAnsi="Arial" w:cs="Arial"/>
        </w:rPr>
        <w:t>reviewed studies: A meta</w:t>
      </w:r>
      <w:r w:rsidRPr="00BE617F">
        <w:rPr>
          <w:rFonts w:ascii="Cambria Math" w:hAnsi="Cambria Math" w:cs="Cambria Math"/>
        </w:rPr>
        <w:t>‐</w:t>
      </w:r>
      <w:r w:rsidRPr="00BE617F">
        <w:rPr>
          <w:rFonts w:ascii="Arial" w:hAnsi="Arial" w:cs="Arial"/>
        </w:rPr>
        <w:t>meta</w:t>
      </w:r>
      <w:r w:rsidRPr="00BE617F">
        <w:rPr>
          <w:rFonts w:ascii="Cambria Math" w:hAnsi="Cambria Math" w:cs="Cambria Math"/>
        </w:rPr>
        <w:t>‐</w:t>
      </w:r>
      <w:r w:rsidRPr="00BE617F">
        <w:rPr>
          <w:rFonts w:ascii="Arial" w:hAnsi="Arial" w:cs="Arial"/>
        </w:rPr>
        <w:t>analysis across disciplines and journal tiers. </w:t>
      </w:r>
      <w:r w:rsidRPr="00BE617F">
        <w:rPr>
          <w:rFonts w:ascii="Arial" w:hAnsi="Arial" w:cs="Arial"/>
          <w:i/>
          <w:iCs/>
        </w:rPr>
        <w:t>Research Synthesis Methods</w:t>
      </w:r>
      <w:r w:rsidRPr="00BE617F">
        <w:rPr>
          <w:rFonts w:ascii="Arial" w:hAnsi="Arial" w:cs="Arial"/>
        </w:rPr>
        <w:t>, </w:t>
      </w:r>
      <w:r w:rsidRPr="00BE617F">
        <w:rPr>
          <w:rFonts w:ascii="Arial" w:hAnsi="Arial" w:cs="Arial"/>
          <w:i/>
          <w:iCs/>
        </w:rPr>
        <w:t>12</w:t>
      </w:r>
      <w:r w:rsidRPr="00BE617F">
        <w:rPr>
          <w:rFonts w:ascii="Arial" w:hAnsi="Arial" w:cs="Arial"/>
        </w:rPr>
        <w:t xml:space="preserve">(2), pp.176-191. Available at: </w:t>
      </w:r>
      <w:hyperlink r:id="rId15" w:history="1">
        <w:r w:rsidRPr="00BE617F">
          <w:rPr>
            <w:rStyle w:val="Hyperlink"/>
            <w:rFonts w:ascii="Arial" w:hAnsi="Arial" w:cs="Arial"/>
          </w:rPr>
          <w:t>https://pmc.ncbi.nlm.nih.gov/articles/PMC7954980/pdf/nihms-1671115.pdf</w:t>
        </w:r>
      </w:hyperlink>
    </w:p>
    <w:p w14:paraId="10E725C6"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Muzambi, R., Bhaskaran, K., Smeeth, L., </w:t>
      </w:r>
      <w:proofErr w:type="spellStart"/>
      <w:r w:rsidRPr="00BE617F">
        <w:rPr>
          <w:rFonts w:ascii="Arial" w:hAnsi="Arial" w:cs="Arial"/>
        </w:rPr>
        <w:t>Brayne</w:t>
      </w:r>
      <w:proofErr w:type="spellEnd"/>
      <w:r w:rsidRPr="00BE617F">
        <w:rPr>
          <w:rFonts w:ascii="Arial" w:hAnsi="Arial" w:cs="Arial"/>
        </w:rPr>
        <w:t>, C., Chaturvedi, N. and Warren-Gash, C. (2021) Assessment of common infections and incident dementia using UK primary and secondary care data: a historical cohort study. </w:t>
      </w:r>
      <w:r w:rsidRPr="00BE617F">
        <w:rPr>
          <w:rFonts w:ascii="Arial" w:hAnsi="Arial" w:cs="Arial"/>
          <w:i/>
          <w:iCs/>
        </w:rPr>
        <w:t>The Lancet Healthy Longevity</w:t>
      </w:r>
      <w:r w:rsidRPr="00BE617F">
        <w:rPr>
          <w:rFonts w:ascii="Arial" w:hAnsi="Arial" w:cs="Arial"/>
        </w:rPr>
        <w:t>, </w:t>
      </w:r>
      <w:r w:rsidRPr="00BE617F">
        <w:rPr>
          <w:rFonts w:ascii="Arial" w:hAnsi="Arial" w:cs="Arial"/>
          <w:i/>
          <w:iCs/>
        </w:rPr>
        <w:t>2</w:t>
      </w:r>
      <w:r w:rsidRPr="00BE617F">
        <w:rPr>
          <w:rFonts w:ascii="Arial" w:hAnsi="Arial" w:cs="Arial"/>
        </w:rPr>
        <w:t xml:space="preserve">(7), pp.e426-e435. Available at: </w:t>
      </w:r>
      <w:hyperlink r:id="rId16" w:history="1">
        <w:r w:rsidRPr="00BE617F">
          <w:rPr>
            <w:rStyle w:val="Hyperlink"/>
            <w:rFonts w:ascii="Arial" w:hAnsi="Arial" w:cs="Arial"/>
          </w:rPr>
          <w:t>https://doi.org/10.1016/S2666-7568(21)00118-5</w:t>
        </w:r>
      </w:hyperlink>
      <w:r w:rsidRPr="00BE617F">
        <w:rPr>
          <w:rFonts w:ascii="Arial" w:hAnsi="Arial" w:cs="Arial"/>
        </w:rPr>
        <w:t xml:space="preserve"> </w:t>
      </w:r>
    </w:p>
    <w:p w14:paraId="0EA0E95C"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Neal, D., Craven, M.P., Cross, J., Evans, S., Fox, C., </w:t>
      </w:r>
      <w:proofErr w:type="spellStart"/>
      <w:r w:rsidRPr="00BE617F">
        <w:rPr>
          <w:rFonts w:ascii="Arial" w:hAnsi="Arial" w:cs="Arial"/>
        </w:rPr>
        <w:t>Oksnebjerg</w:t>
      </w:r>
      <w:proofErr w:type="spellEnd"/>
      <w:r w:rsidRPr="00BE617F">
        <w:rPr>
          <w:rFonts w:ascii="Arial" w:hAnsi="Arial" w:cs="Arial"/>
        </w:rPr>
        <w:t xml:space="preserve">, L., Alexandre, I., </w:t>
      </w:r>
      <w:proofErr w:type="spellStart"/>
      <w:r w:rsidRPr="00BE617F">
        <w:rPr>
          <w:rFonts w:ascii="Arial" w:hAnsi="Arial" w:cs="Arial"/>
        </w:rPr>
        <w:t>Aryankhesal</w:t>
      </w:r>
      <w:proofErr w:type="spellEnd"/>
      <w:r w:rsidRPr="00BE617F">
        <w:rPr>
          <w:rFonts w:ascii="Arial" w:hAnsi="Arial" w:cs="Arial"/>
        </w:rPr>
        <w:t xml:space="preserve">, A., Astell, A., </w:t>
      </w:r>
      <w:proofErr w:type="spellStart"/>
      <w:r w:rsidRPr="00BE617F">
        <w:rPr>
          <w:rFonts w:ascii="Arial" w:hAnsi="Arial" w:cs="Arial"/>
        </w:rPr>
        <w:t>Begde</w:t>
      </w:r>
      <w:proofErr w:type="spellEnd"/>
      <w:r w:rsidRPr="00BE617F">
        <w:rPr>
          <w:rFonts w:ascii="Arial" w:hAnsi="Arial" w:cs="Arial"/>
        </w:rPr>
        <w:t>, A. and Ditton, A. (2025) Digital assistive technologies for community-dwelling people with dementia: A systematic review of systematic reviews by the INTERDEM AI &amp; assistive technology taskforce. </w:t>
      </w:r>
      <w:r w:rsidRPr="00BE617F">
        <w:rPr>
          <w:rFonts w:ascii="Arial" w:hAnsi="Arial" w:cs="Arial"/>
          <w:i/>
          <w:iCs/>
        </w:rPr>
        <w:t>Digital health</w:t>
      </w:r>
      <w:r w:rsidRPr="00BE617F">
        <w:rPr>
          <w:rFonts w:ascii="Arial" w:hAnsi="Arial" w:cs="Arial"/>
        </w:rPr>
        <w:t>, </w:t>
      </w:r>
      <w:r w:rsidRPr="00BE617F">
        <w:rPr>
          <w:rFonts w:ascii="Arial" w:hAnsi="Arial" w:cs="Arial"/>
          <w:i/>
          <w:iCs/>
        </w:rPr>
        <w:t>11</w:t>
      </w:r>
      <w:r w:rsidRPr="00BE617F">
        <w:rPr>
          <w:rFonts w:ascii="Arial" w:hAnsi="Arial" w:cs="Arial"/>
        </w:rPr>
        <w:t xml:space="preserve">, p.20552076251362353. Available at:  </w:t>
      </w:r>
      <w:hyperlink r:id="rId17" w:history="1">
        <w:r w:rsidRPr="00BE617F">
          <w:rPr>
            <w:rStyle w:val="Hyperlink"/>
            <w:rFonts w:ascii="Arial" w:hAnsi="Arial" w:cs="Arial"/>
          </w:rPr>
          <w:t>https://journals.sagepub.com/doi/pdf/10.1177/20552076251362353</w:t>
        </w:r>
      </w:hyperlink>
      <w:r w:rsidRPr="00BE617F">
        <w:rPr>
          <w:rFonts w:ascii="Arial" w:hAnsi="Arial" w:cs="Arial"/>
        </w:rPr>
        <w:t xml:space="preserve"> </w:t>
      </w:r>
    </w:p>
    <w:p w14:paraId="4E252C63" w14:textId="77777777" w:rsidR="00164682" w:rsidRPr="00BE617F" w:rsidRDefault="00164682" w:rsidP="00BE617F">
      <w:pPr>
        <w:spacing w:line="360" w:lineRule="auto"/>
        <w:jc w:val="both"/>
        <w:rPr>
          <w:rFonts w:ascii="Arial" w:hAnsi="Arial" w:cs="Arial"/>
        </w:rPr>
      </w:pPr>
      <w:proofErr w:type="spellStart"/>
      <w:r w:rsidRPr="00BE617F">
        <w:rPr>
          <w:rFonts w:ascii="Arial" w:hAnsi="Arial" w:cs="Arial"/>
        </w:rPr>
        <w:t>Nwofe</w:t>
      </w:r>
      <w:proofErr w:type="spellEnd"/>
      <w:r w:rsidRPr="00BE617F">
        <w:rPr>
          <w:rFonts w:ascii="Arial" w:hAnsi="Arial" w:cs="Arial"/>
        </w:rPr>
        <w:t>, E.S., Bishop, D., Rooke, C., Seelam, K., Porter, J., Windle, K. and Doyle, M. (2025) Techno-organisational network and reliable implementation of GPS technology for people with dementia and their caregivers in the community. </w:t>
      </w:r>
      <w:r w:rsidRPr="00BE617F">
        <w:rPr>
          <w:rFonts w:ascii="Arial" w:hAnsi="Arial" w:cs="Arial"/>
          <w:i/>
          <w:iCs/>
        </w:rPr>
        <w:t>Disability and Rehabilitation: Assistive Technology</w:t>
      </w:r>
      <w:r w:rsidRPr="00BE617F">
        <w:rPr>
          <w:rFonts w:ascii="Arial" w:hAnsi="Arial" w:cs="Arial"/>
        </w:rPr>
        <w:t>, </w:t>
      </w:r>
      <w:r w:rsidRPr="00BE617F">
        <w:rPr>
          <w:rFonts w:ascii="Arial" w:hAnsi="Arial" w:cs="Arial"/>
          <w:i/>
          <w:iCs/>
        </w:rPr>
        <w:t>20</w:t>
      </w:r>
      <w:r w:rsidRPr="00BE617F">
        <w:rPr>
          <w:rFonts w:ascii="Arial" w:hAnsi="Arial" w:cs="Arial"/>
        </w:rPr>
        <w:t xml:space="preserve">(7), pp.2298-2314. Available at: </w:t>
      </w:r>
      <w:hyperlink r:id="rId18" w:history="1">
        <w:r w:rsidRPr="00BE617F">
          <w:rPr>
            <w:rStyle w:val="Hyperlink"/>
            <w:rFonts w:ascii="Arial" w:hAnsi="Arial" w:cs="Arial"/>
          </w:rPr>
          <w:t>https://doi.org/10.1080/17483107.2025.2501079</w:t>
        </w:r>
      </w:hyperlink>
      <w:r w:rsidRPr="00BE617F">
        <w:rPr>
          <w:rFonts w:ascii="Arial" w:hAnsi="Arial" w:cs="Arial"/>
        </w:rPr>
        <w:t xml:space="preserve"> </w:t>
      </w:r>
    </w:p>
    <w:p w14:paraId="0324B420" w14:textId="77777777" w:rsidR="00164682" w:rsidRPr="00BE617F" w:rsidRDefault="00164682" w:rsidP="00BE617F">
      <w:pPr>
        <w:spacing w:line="360" w:lineRule="auto"/>
        <w:jc w:val="both"/>
        <w:rPr>
          <w:rFonts w:ascii="Arial" w:hAnsi="Arial" w:cs="Arial"/>
        </w:rPr>
      </w:pPr>
      <w:r w:rsidRPr="00BE617F">
        <w:rPr>
          <w:rFonts w:ascii="Arial" w:hAnsi="Arial" w:cs="Arial"/>
        </w:rPr>
        <w:t>Sebo, P. and Sebo, M. (2025) Comparing the performance of Retraction Watch Database, PubMed, and Web of Science in identifying retracted publications in medicine. </w:t>
      </w:r>
      <w:r w:rsidRPr="00BE617F">
        <w:rPr>
          <w:rFonts w:ascii="Arial" w:hAnsi="Arial" w:cs="Arial"/>
          <w:i/>
          <w:iCs/>
        </w:rPr>
        <w:t>Accountability in Research</w:t>
      </w:r>
      <w:r w:rsidRPr="00BE617F">
        <w:rPr>
          <w:rFonts w:ascii="Arial" w:hAnsi="Arial" w:cs="Arial"/>
        </w:rPr>
        <w:t xml:space="preserve">, pp.1-25. Available at: </w:t>
      </w:r>
      <w:hyperlink r:id="rId19" w:history="1">
        <w:r w:rsidRPr="00BE617F">
          <w:rPr>
            <w:rStyle w:val="Hyperlink"/>
            <w:rFonts w:ascii="Arial" w:hAnsi="Arial" w:cs="Arial"/>
          </w:rPr>
          <w:t>https://www.tandfonline.com/doi/pdf/10.1080/08989621.2025.2484555</w:t>
        </w:r>
      </w:hyperlink>
    </w:p>
    <w:p w14:paraId="321EE127" w14:textId="77777777" w:rsidR="00164682" w:rsidRPr="00BE617F" w:rsidRDefault="00164682" w:rsidP="00BE617F">
      <w:pPr>
        <w:spacing w:line="360" w:lineRule="auto"/>
        <w:jc w:val="both"/>
        <w:rPr>
          <w:rFonts w:ascii="Arial" w:hAnsi="Arial" w:cs="Arial"/>
        </w:rPr>
      </w:pPr>
      <w:r w:rsidRPr="00BE617F">
        <w:rPr>
          <w:rFonts w:ascii="Arial" w:hAnsi="Arial" w:cs="Arial"/>
        </w:rPr>
        <w:t xml:space="preserve">Unsworth, H., Dillon, B., Collinson, L., Powell, H., Salmon, M., Oladapo, T., </w:t>
      </w:r>
      <w:proofErr w:type="spellStart"/>
      <w:r w:rsidRPr="00BE617F">
        <w:rPr>
          <w:rFonts w:ascii="Arial" w:hAnsi="Arial" w:cs="Arial"/>
        </w:rPr>
        <w:t>Ayiku</w:t>
      </w:r>
      <w:proofErr w:type="spellEnd"/>
      <w:r w:rsidRPr="00BE617F">
        <w:rPr>
          <w:rFonts w:ascii="Arial" w:hAnsi="Arial" w:cs="Arial"/>
        </w:rPr>
        <w:t>, L., Shield, G., Holden, J., Patel, N. and Campbell, M. (2021) The NICE Evidence Standards Framework for digital health and care technologies–Developing and maintaining an innovative evidence framework with global impact. </w:t>
      </w:r>
      <w:r w:rsidRPr="00BE617F">
        <w:rPr>
          <w:rFonts w:ascii="Arial" w:hAnsi="Arial" w:cs="Arial"/>
          <w:i/>
          <w:iCs/>
        </w:rPr>
        <w:t>Digital health</w:t>
      </w:r>
      <w:r w:rsidRPr="00BE617F">
        <w:rPr>
          <w:rFonts w:ascii="Arial" w:hAnsi="Arial" w:cs="Arial"/>
        </w:rPr>
        <w:t>, </w:t>
      </w:r>
      <w:r w:rsidRPr="00BE617F">
        <w:rPr>
          <w:rFonts w:ascii="Arial" w:hAnsi="Arial" w:cs="Arial"/>
          <w:i/>
          <w:iCs/>
        </w:rPr>
        <w:t>7</w:t>
      </w:r>
      <w:r w:rsidRPr="00BE617F">
        <w:rPr>
          <w:rFonts w:ascii="Arial" w:hAnsi="Arial" w:cs="Arial"/>
        </w:rPr>
        <w:t xml:space="preserve">, p.20552076211018617. Available at: </w:t>
      </w:r>
      <w:hyperlink r:id="rId20" w:history="1">
        <w:r w:rsidRPr="00BE617F">
          <w:rPr>
            <w:rStyle w:val="Hyperlink"/>
            <w:rFonts w:ascii="Arial" w:hAnsi="Arial" w:cs="Arial"/>
          </w:rPr>
          <w:t>https://doi.org/10.1177/20552076211018617</w:t>
        </w:r>
      </w:hyperlink>
      <w:r w:rsidRPr="00BE617F">
        <w:rPr>
          <w:rFonts w:ascii="Arial" w:hAnsi="Arial" w:cs="Arial"/>
        </w:rPr>
        <w:t xml:space="preserve"> </w:t>
      </w:r>
    </w:p>
    <w:p w14:paraId="65B0717B" w14:textId="77777777" w:rsidR="00164682" w:rsidRPr="00BE617F" w:rsidRDefault="00164682" w:rsidP="00BE617F">
      <w:pPr>
        <w:spacing w:line="360" w:lineRule="auto"/>
        <w:jc w:val="both"/>
        <w:rPr>
          <w:rFonts w:ascii="Arial" w:hAnsi="Arial" w:cs="Arial"/>
        </w:rPr>
      </w:pPr>
      <w:proofErr w:type="spellStart"/>
      <w:r w:rsidRPr="00BE617F">
        <w:rPr>
          <w:rFonts w:ascii="Arial" w:hAnsi="Arial" w:cs="Arial"/>
        </w:rPr>
        <w:t>Wallcook</w:t>
      </w:r>
      <w:proofErr w:type="spellEnd"/>
      <w:r w:rsidRPr="00BE617F">
        <w:rPr>
          <w:rFonts w:ascii="Arial" w:hAnsi="Arial" w:cs="Arial"/>
        </w:rPr>
        <w:t>, S. (2021) </w:t>
      </w:r>
      <w:r w:rsidRPr="00BE617F">
        <w:rPr>
          <w:rFonts w:ascii="Arial" w:hAnsi="Arial" w:cs="Arial"/>
          <w:i/>
          <w:iCs/>
        </w:rPr>
        <w:t>Conditions of everyday technology use and its interplay in the lives of older adults with and without dementia</w:t>
      </w:r>
      <w:r w:rsidRPr="00BE617F">
        <w:rPr>
          <w:rFonts w:ascii="Arial" w:hAnsi="Arial" w:cs="Arial"/>
        </w:rPr>
        <w:t xml:space="preserve">. Karolinska Institute. Available at: </w:t>
      </w:r>
      <w:hyperlink r:id="rId21" w:history="1">
        <w:r w:rsidRPr="00BE617F">
          <w:rPr>
            <w:rStyle w:val="Hyperlink"/>
            <w:rFonts w:ascii="Arial" w:hAnsi="Arial" w:cs="Arial"/>
          </w:rPr>
          <w:t>https://openarchive.ki.se/articles/thesis/Conditions_of_everyday_technology_use_and_its_Interplay_in_the_lives_of_older_adults_with_and_without_dementia/26918770/1/files/48964156.pdf</w:t>
        </w:r>
      </w:hyperlink>
      <w:r w:rsidRPr="00BE617F">
        <w:rPr>
          <w:rFonts w:ascii="Arial" w:hAnsi="Arial" w:cs="Arial"/>
        </w:rPr>
        <w:t xml:space="preserve"> </w:t>
      </w:r>
    </w:p>
    <w:p w14:paraId="3CFE6422" w14:textId="77777777" w:rsidR="00164682" w:rsidRPr="00BE617F" w:rsidRDefault="00164682" w:rsidP="00BE617F">
      <w:pPr>
        <w:spacing w:line="360" w:lineRule="auto"/>
        <w:jc w:val="both"/>
        <w:rPr>
          <w:rFonts w:ascii="Arial" w:hAnsi="Arial" w:cs="Arial"/>
        </w:rPr>
      </w:pPr>
      <w:proofErr w:type="spellStart"/>
      <w:r w:rsidRPr="00BE617F">
        <w:rPr>
          <w:rFonts w:ascii="Arial" w:hAnsi="Arial" w:cs="Arial"/>
        </w:rPr>
        <w:t>Wherton</w:t>
      </w:r>
      <w:proofErr w:type="spellEnd"/>
      <w:r w:rsidRPr="00BE617F">
        <w:rPr>
          <w:rFonts w:ascii="Arial" w:hAnsi="Arial" w:cs="Arial"/>
        </w:rPr>
        <w:t>, J., Stockwell, S., Newhouse, N., Redding, S., Todsen, A.L., Potter, C., Petrou, S., Marjanovic, S. and Shaw, S. (2025) Adopting and embedding home sensors in social care: findings from a mixed methods, rapid evaluation. </w:t>
      </w:r>
      <w:r w:rsidRPr="00BE617F">
        <w:rPr>
          <w:rFonts w:ascii="Arial" w:hAnsi="Arial" w:cs="Arial"/>
          <w:i/>
          <w:iCs/>
        </w:rPr>
        <w:t>NIHR Open Research</w:t>
      </w:r>
      <w:r w:rsidRPr="00BE617F">
        <w:rPr>
          <w:rFonts w:ascii="Arial" w:hAnsi="Arial" w:cs="Arial"/>
        </w:rPr>
        <w:t>, </w:t>
      </w:r>
      <w:r w:rsidRPr="00BE617F">
        <w:rPr>
          <w:rFonts w:ascii="Arial" w:hAnsi="Arial" w:cs="Arial"/>
          <w:i/>
          <w:iCs/>
        </w:rPr>
        <w:t>5</w:t>
      </w:r>
      <w:r w:rsidRPr="00BE617F">
        <w:rPr>
          <w:rFonts w:ascii="Arial" w:hAnsi="Arial" w:cs="Arial"/>
        </w:rPr>
        <w:t xml:space="preserve">, p.71. Available at: </w:t>
      </w:r>
      <w:hyperlink r:id="rId22" w:history="1">
        <w:r w:rsidRPr="00BE617F">
          <w:rPr>
            <w:rStyle w:val="Hyperlink"/>
            <w:rFonts w:ascii="Arial" w:hAnsi="Arial" w:cs="Arial"/>
          </w:rPr>
          <w:t>https://pmc.ncbi.nlm.nih.gov/articles/PMC12511854/</w:t>
        </w:r>
      </w:hyperlink>
      <w:r w:rsidRPr="00BE617F">
        <w:rPr>
          <w:rFonts w:ascii="Arial" w:hAnsi="Arial" w:cs="Arial"/>
        </w:rPr>
        <w:t xml:space="preserve"> </w:t>
      </w:r>
    </w:p>
    <w:p w14:paraId="3677634F" w14:textId="2A3DC618" w:rsidR="00580861" w:rsidRPr="00164682" w:rsidRDefault="00164682" w:rsidP="00F8562D">
      <w:pPr>
        <w:spacing w:line="360" w:lineRule="auto"/>
        <w:jc w:val="both"/>
        <w:rPr>
          <w:rFonts w:ascii="Arial" w:hAnsi="Arial" w:cs="Arial"/>
        </w:rPr>
      </w:pPr>
      <w:r w:rsidRPr="00BE617F">
        <w:rPr>
          <w:rFonts w:ascii="Arial" w:hAnsi="Arial" w:cs="Arial"/>
        </w:rPr>
        <w:t>Wolff, B., Nielsen, S. and Kiwanuka, A. (2024) Practical guidelines for developing digital health solutions to increase equity in dementia care in the UK. </w:t>
      </w:r>
      <w:r w:rsidRPr="00BE617F">
        <w:rPr>
          <w:rFonts w:ascii="Arial" w:hAnsi="Arial" w:cs="Arial"/>
          <w:i/>
          <w:iCs/>
        </w:rPr>
        <w:t>Frontiers in digital health</w:t>
      </w:r>
      <w:r w:rsidRPr="00BE617F">
        <w:rPr>
          <w:rFonts w:ascii="Arial" w:hAnsi="Arial" w:cs="Arial"/>
        </w:rPr>
        <w:t>, </w:t>
      </w:r>
      <w:r w:rsidRPr="00BE617F">
        <w:rPr>
          <w:rFonts w:ascii="Arial" w:hAnsi="Arial" w:cs="Arial"/>
          <w:i/>
          <w:iCs/>
        </w:rPr>
        <w:t>6</w:t>
      </w:r>
      <w:r w:rsidRPr="00BE617F">
        <w:rPr>
          <w:rFonts w:ascii="Arial" w:hAnsi="Arial" w:cs="Arial"/>
        </w:rPr>
        <w:t xml:space="preserve">, p.1490156. Available at: </w:t>
      </w:r>
      <w:hyperlink r:id="rId23" w:history="1">
        <w:r w:rsidRPr="00BE617F">
          <w:rPr>
            <w:rStyle w:val="Hyperlink"/>
            <w:rFonts w:ascii="Arial" w:hAnsi="Arial" w:cs="Arial"/>
          </w:rPr>
          <w:t>https://doi.org/10.3389/fdgth.2024.1490156</w:t>
        </w:r>
      </w:hyperlink>
    </w:p>
    <w:sectPr w:rsidR="00580861" w:rsidRPr="0016468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C32FF" w14:textId="77777777" w:rsidR="00540232" w:rsidRDefault="00540232" w:rsidP="009B2EF0">
      <w:pPr>
        <w:spacing w:after="0" w:line="240" w:lineRule="auto"/>
      </w:pPr>
      <w:r>
        <w:separator/>
      </w:r>
    </w:p>
  </w:endnote>
  <w:endnote w:type="continuationSeparator" w:id="0">
    <w:p w14:paraId="59ED3648" w14:textId="77777777" w:rsidR="00540232" w:rsidRDefault="00540232" w:rsidP="009B2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839898"/>
      <w:docPartObj>
        <w:docPartGallery w:val="Page Numbers (Bottom of Page)"/>
        <w:docPartUnique/>
      </w:docPartObj>
    </w:sdtPr>
    <w:sdtEndPr>
      <w:rPr>
        <w:noProof/>
      </w:rPr>
    </w:sdtEndPr>
    <w:sdtContent>
      <w:p w14:paraId="6019AC88" w14:textId="51201693" w:rsidR="009B2EF0" w:rsidRDefault="009B2EF0">
        <w:pPr>
          <w:pStyle w:val="Footer"/>
          <w:jc w:val="center"/>
        </w:pPr>
        <w:r>
          <w:fldChar w:fldCharType="begin"/>
        </w:r>
        <w:r>
          <w:instrText xml:space="preserve"> PAGE   \* MERGEFORMAT </w:instrText>
        </w:r>
        <w:r>
          <w:fldChar w:fldCharType="separate"/>
        </w:r>
        <w:r w:rsidR="006C2BA5">
          <w:rPr>
            <w:noProof/>
          </w:rPr>
          <w:t>17</w:t>
        </w:r>
        <w:r>
          <w:rPr>
            <w:noProof/>
          </w:rPr>
          <w:fldChar w:fldCharType="end"/>
        </w:r>
      </w:p>
    </w:sdtContent>
  </w:sdt>
  <w:p w14:paraId="1342B65F" w14:textId="77777777" w:rsidR="009B2EF0" w:rsidRDefault="009B2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EE470" w14:textId="77777777" w:rsidR="00540232" w:rsidRDefault="00540232" w:rsidP="009B2EF0">
      <w:pPr>
        <w:spacing w:after="0" w:line="240" w:lineRule="auto"/>
      </w:pPr>
      <w:r>
        <w:separator/>
      </w:r>
    </w:p>
  </w:footnote>
  <w:footnote w:type="continuationSeparator" w:id="0">
    <w:p w14:paraId="1DC50D37" w14:textId="77777777" w:rsidR="00540232" w:rsidRDefault="00540232" w:rsidP="009B2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B82618" w14:paraId="6A24F75E" w14:textId="77777777" w:rsidTr="58B82618">
      <w:trPr>
        <w:trHeight w:val="300"/>
      </w:trPr>
      <w:tc>
        <w:tcPr>
          <w:tcW w:w="3005" w:type="dxa"/>
        </w:tcPr>
        <w:p w14:paraId="142AD92E" w14:textId="21298A33" w:rsidR="58B82618" w:rsidRDefault="58B82618" w:rsidP="58B82618">
          <w:pPr>
            <w:pStyle w:val="Header"/>
            <w:ind w:left="-115"/>
          </w:pPr>
        </w:p>
      </w:tc>
      <w:tc>
        <w:tcPr>
          <w:tcW w:w="3005" w:type="dxa"/>
        </w:tcPr>
        <w:p w14:paraId="22F33A33" w14:textId="646043B8" w:rsidR="58B82618" w:rsidRDefault="58B82618" w:rsidP="58B82618">
          <w:pPr>
            <w:pStyle w:val="Header"/>
            <w:jc w:val="center"/>
          </w:pPr>
        </w:p>
      </w:tc>
      <w:tc>
        <w:tcPr>
          <w:tcW w:w="3005" w:type="dxa"/>
        </w:tcPr>
        <w:p w14:paraId="58A49E58" w14:textId="158B89BB" w:rsidR="58B82618" w:rsidRDefault="58B82618" w:rsidP="58B82618">
          <w:pPr>
            <w:pStyle w:val="Header"/>
            <w:ind w:right="-115"/>
            <w:jc w:val="right"/>
          </w:pPr>
        </w:p>
      </w:tc>
    </w:tr>
  </w:tbl>
  <w:p w14:paraId="30C512FF" w14:textId="356D577C" w:rsidR="58B82618" w:rsidRDefault="58B82618" w:rsidP="58B82618">
    <w:pPr>
      <w:pStyle w:val="Header"/>
    </w:pPr>
  </w:p>
</w:hdr>
</file>

<file path=word/intelligence2.xml><?xml version="1.0" encoding="utf-8"?>
<int2:intelligence xmlns:int2="http://schemas.microsoft.com/office/intelligence/2020/intelligence" xmlns:oel="http://schemas.microsoft.com/office/2019/extlst">
  <int2:observations>
    <int2:textHash int2:hashCode="kX/LMd7UAxab2o" int2:id="0BHJEOMk">
      <int2:state int2:value="Rejected" int2:type="spell"/>
    </int2:textHash>
    <int2:textHash int2:hashCode="EshYpWZbJSF+jo" int2:id="1afG6hfy">
      <int2:state int2:value="Rejected" int2:type="spell"/>
    </int2:textHash>
    <int2:textHash int2:hashCode="Rf6bMmxBEVTJl5" int2:id="3W4HPBd5">
      <int2:state int2:value="Rejected" int2:type="spell"/>
    </int2:textHash>
    <int2:textHash int2:hashCode="CPpCf/oa+zO32D" int2:id="3zU6u5Dk">
      <int2:state int2:value="Rejected" int2:type="spell"/>
    </int2:textHash>
    <int2:textHash int2:hashCode="PFTQbrZJnCfPJ1" int2:id="G74O5NUZ">
      <int2:state int2:value="Rejected" int2:type="spell"/>
    </int2:textHash>
    <int2:textHash int2:hashCode="rtWnrc8fCHVIlj" int2:id="MF5XZXry">
      <int2:state int2:value="Rejected" int2:type="spell"/>
    </int2:textHash>
    <int2:textHash int2:hashCode="FSPQVzOptVzmM7" int2:id="UdlsC6TB">
      <int2:state int2:value="Rejected" int2:type="spell"/>
    </int2:textHash>
    <int2:textHash int2:hashCode="iGYYYegUYkpY/G" int2:id="UoY8Wlwh">
      <int2:state int2:value="Rejected" int2:type="spell"/>
    </int2:textHash>
    <int2:textHash int2:hashCode="AAsEG6Hmemy+oC" int2:id="ZSitexNq">
      <int2:state int2:value="Rejected" int2:type="spell"/>
    </int2:textHash>
    <int2:textHash int2:hashCode="eQFPAaannmy25q" int2:id="ZciXp1QZ">
      <int2:state int2:value="Rejected" int2:type="spell"/>
    </int2:textHash>
    <int2:textHash int2:hashCode="3x61YmpCF2EFgu" int2:id="bJnsFuBB">
      <int2:state int2:value="Rejected" int2:type="spell"/>
    </int2:textHash>
    <int2:textHash int2:hashCode="WJcxe3VogMenLx" int2:id="hepcGYZa">
      <int2:state int2:value="Rejected" int2:type="spell"/>
    </int2:textHash>
    <int2:textHash int2:hashCode="R8G5E421oKweaW" int2:id="mGLbdf5w">
      <int2:state int2:value="Rejected" int2:type="style"/>
    </int2:textHash>
    <int2:textHash int2:hashCode="p6L+0KhO7I9XWZ" int2:id="p8WRSERa">
      <int2:state int2:value="Rejected" int2:type="spell"/>
    </int2:textHash>
    <int2:textHash int2:hashCode="rF011OieLpeetZ" int2:id="yoEjR2r6">
      <int2:state int2:value="Rejected" int2:type="spell"/>
    </int2:textHash>
    <int2:bookmark int2:bookmarkName="_Int_dg7BZYf9" int2:invalidationBookmarkName="" int2:hashCode="wYBAQbIVzVCihN" int2:id="ovMPNruX">
      <int2:state int2:value="Rejected" int2:type="style"/>
    </int2:bookmark>
    <int2:bookmark int2:bookmarkName="_Int_Tn57KnBD" int2:invalidationBookmarkName="" int2:hashCode="VlrB9KXKbj8VJK" int2:id="23CKcHan">
      <int2:state int2:value="Rejected" int2:type="style"/>
    </int2:bookmark>
    <int2:bookmark int2:bookmarkName="_Int_Tm9yeqJz" int2:invalidationBookmarkName="" int2:hashCode="o2jeEfooXoS71f" int2:id="5AMXjPX2">
      <int2:state int2:value="Rejected" int2:type="spell"/>
    </int2:bookmark>
    <int2:bookmark int2:bookmarkName="_Int_AL2qo5js" int2:invalidationBookmarkName="" int2:hashCode="0lXQ0GySJQ8tJA" int2:id="BU4oKBvC">
      <int2:state int2:value="Rejected" int2:type="style"/>
    </int2:bookmark>
    <int2:bookmark int2:bookmarkName="_Int_wSv8idtP" int2:invalidationBookmarkName="" int2:hashCode="iDhG48yymgb3lG" int2:id="MLoJPFZi">
      <int2:state int2:value="Rejected" int2:type="style"/>
    </int2:bookmark>
    <int2:bookmark int2:bookmarkName="_Int_7XB2yrUW" int2:invalidationBookmarkName="" int2:hashCode="6m6VBL9zrKDane" int2:id="oDufj3Q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593E"/>
    <w:multiLevelType w:val="hybridMultilevel"/>
    <w:tmpl w:val="B55C0B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98106A"/>
    <w:multiLevelType w:val="hybridMultilevel"/>
    <w:tmpl w:val="ECF4DD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1FB7A15"/>
    <w:multiLevelType w:val="multilevel"/>
    <w:tmpl w:val="80D0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671286">
    <w:abstractNumId w:val="2"/>
  </w:num>
  <w:num w:numId="2" w16cid:durableId="908350086">
    <w:abstractNumId w:val="1"/>
  </w:num>
  <w:num w:numId="3" w16cid:durableId="172532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3C5"/>
    <w:rsid w:val="0000666B"/>
    <w:rsid w:val="0000688E"/>
    <w:rsid w:val="00042BEB"/>
    <w:rsid w:val="000A2D5A"/>
    <w:rsid w:val="000A7687"/>
    <w:rsid w:val="000B588E"/>
    <w:rsid w:val="000E0214"/>
    <w:rsid w:val="00113D8E"/>
    <w:rsid w:val="0011717F"/>
    <w:rsid w:val="00135436"/>
    <w:rsid w:val="00164682"/>
    <w:rsid w:val="0017209F"/>
    <w:rsid w:val="00193D77"/>
    <w:rsid w:val="001A70CB"/>
    <w:rsid w:val="001B4B70"/>
    <w:rsid w:val="001D15EF"/>
    <w:rsid w:val="001F1E24"/>
    <w:rsid w:val="001F43F4"/>
    <w:rsid w:val="0022008F"/>
    <w:rsid w:val="002367C6"/>
    <w:rsid w:val="00244BA1"/>
    <w:rsid w:val="00265BF4"/>
    <w:rsid w:val="002732A5"/>
    <w:rsid w:val="0028559B"/>
    <w:rsid w:val="00285FFD"/>
    <w:rsid w:val="00290B0B"/>
    <w:rsid w:val="00292AB8"/>
    <w:rsid w:val="002A624A"/>
    <w:rsid w:val="002B4FDF"/>
    <w:rsid w:val="002D4755"/>
    <w:rsid w:val="002E1DA9"/>
    <w:rsid w:val="003236E0"/>
    <w:rsid w:val="0035111F"/>
    <w:rsid w:val="003702C0"/>
    <w:rsid w:val="00374BB5"/>
    <w:rsid w:val="00375B1E"/>
    <w:rsid w:val="003833C5"/>
    <w:rsid w:val="0038375A"/>
    <w:rsid w:val="003A1369"/>
    <w:rsid w:val="003B0108"/>
    <w:rsid w:val="0040319B"/>
    <w:rsid w:val="00411A66"/>
    <w:rsid w:val="00431AC3"/>
    <w:rsid w:val="00433CE3"/>
    <w:rsid w:val="00462872"/>
    <w:rsid w:val="0046773B"/>
    <w:rsid w:val="00474CD7"/>
    <w:rsid w:val="00485E2A"/>
    <w:rsid w:val="00491F37"/>
    <w:rsid w:val="004B0346"/>
    <w:rsid w:val="004C1DB6"/>
    <w:rsid w:val="004F6D51"/>
    <w:rsid w:val="00540232"/>
    <w:rsid w:val="005463A7"/>
    <w:rsid w:val="00561AA2"/>
    <w:rsid w:val="00562F93"/>
    <w:rsid w:val="00580861"/>
    <w:rsid w:val="00591C83"/>
    <w:rsid w:val="00596083"/>
    <w:rsid w:val="005A0E5F"/>
    <w:rsid w:val="005A6D0B"/>
    <w:rsid w:val="005B061B"/>
    <w:rsid w:val="005C2B8C"/>
    <w:rsid w:val="005D3545"/>
    <w:rsid w:val="00603692"/>
    <w:rsid w:val="00606E06"/>
    <w:rsid w:val="00607113"/>
    <w:rsid w:val="00617EFD"/>
    <w:rsid w:val="006264BC"/>
    <w:rsid w:val="00626E2F"/>
    <w:rsid w:val="006A4242"/>
    <w:rsid w:val="006B0A93"/>
    <w:rsid w:val="006B1B45"/>
    <w:rsid w:val="006B5AE5"/>
    <w:rsid w:val="006C0962"/>
    <w:rsid w:val="006C2BA5"/>
    <w:rsid w:val="006D536A"/>
    <w:rsid w:val="006D66B4"/>
    <w:rsid w:val="00731B86"/>
    <w:rsid w:val="00733988"/>
    <w:rsid w:val="007E078E"/>
    <w:rsid w:val="007E3EEC"/>
    <w:rsid w:val="007E65B8"/>
    <w:rsid w:val="007F1786"/>
    <w:rsid w:val="00814680"/>
    <w:rsid w:val="00836164"/>
    <w:rsid w:val="0083686D"/>
    <w:rsid w:val="00836876"/>
    <w:rsid w:val="008450C3"/>
    <w:rsid w:val="008547E6"/>
    <w:rsid w:val="008B77B2"/>
    <w:rsid w:val="008D616A"/>
    <w:rsid w:val="00906E38"/>
    <w:rsid w:val="00914CA6"/>
    <w:rsid w:val="0092692E"/>
    <w:rsid w:val="00933BF8"/>
    <w:rsid w:val="0093725D"/>
    <w:rsid w:val="00946D6F"/>
    <w:rsid w:val="00957041"/>
    <w:rsid w:val="009950D4"/>
    <w:rsid w:val="00995B9D"/>
    <w:rsid w:val="009B2EF0"/>
    <w:rsid w:val="009D1048"/>
    <w:rsid w:val="009E0CFA"/>
    <w:rsid w:val="00A153E1"/>
    <w:rsid w:val="00A214FE"/>
    <w:rsid w:val="00A31A79"/>
    <w:rsid w:val="00A328B3"/>
    <w:rsid w:val="00A37B9D"/>
    <w:rsid w:val="00A72602"/>
    <w:rsid w:val="00A841AF"/>
    <w:rsid w:val="00B56FDE"/>
    <w:rsid w:val="00B57E30"/>
    <w:rsid w:val="00BC2C18"/>
    <w:rsid w:val="00BE05E4"/>
    <w:rsid w:val="00BE1671"/>
    <w:rsid w:val="00BE16D6"/>
    <w:rsid w:val="00BE617F"/>
    <w:rsid w:val="00BF33A4"/>
    <w:rsid w:val="00C011A3"/>
    <w:rsid w:val="00C0218F"/>
    <w:rsid w:val="00C06438"/>
    <w:rsid w:val="00C17430"/>
    <w:rsid w:val="00C21A52"/>
    <w:rsid w:val="00C83983"/>
    <w:rsid w:val="00CA3AC4"/>
    <w:rsid w:val="00CA3EF2"/>
    <w:rsid w:val="00CC53F2"/>
    <w:rsid w:val="00CC74F1"/>
    <w:rsid w:val="00CD78C8"/>
    <w:rsid w:val="00CE07E3"/>
    <w:rsid w:val="00CE52FE"/>
    <w:rsid w:val="00CF0AAF"/>
    <w:rsid w:val="00D064D1"/>
    <w:rsid w:val="00D11BA3"/>
    <w:rsid w:val="00D134E1"/>
    <w:rsid w:val="00D20A5A"/>
    <w:rsid w:val="00D52EEB"/>
    <w:rsid w:val="00D66A1A"/>
    <w:rsid w:val="00DA0706"/>
    <w:rsid w:val="00DB259B"/>
    <w:rsid w:val="00DC7714"/>
    <w:rsid w:val="00DF2E38"/>
    <w:rsid w:val="00DF53C7"/>
    <w:rsid w:val="00E0188D"/>
    <w:rsid w:val="00E66ED7"/>
    <w:rsid w:val="00EA683F"/>
    <w:rsid w:val="00EE57D3"/>
    <w:rsid w:val="00F22546"/>
    <w:rsid w:val="00F4341A"/>
    <w:rsid w:val="00F6609F"/>
    <w:rsid w:val="00F8562D"/>
    <w:rsid w:val="00F8742B"/>
    <w:rsid w:val="00FB4069"/>
    <w:rsid w:val="00FD663B"/>
    <w:rsid w:val="00FD79BE"/>
    <w:rsid w:val="0118EFB6"/>
    <w:rsid w:val="014D7567"/>
    <w:rsid w:val="0331E400"/>
    <w:rsid w:val="079A61EA"/>
    <w:rsid w:val="0E1FAA5D"/>
    <w:rsid w:val="10B0CD0E"/>
    <w:rsid w:val="119B71CA"/>
    <w:rsid w:val="1B3E7786"/>
    <w:rsid w:val="1B8A51B9"/>
    <w:rsid w:val="1DFFA538"/>
    <w:rsid w:val="1FCCA6BA"/>
    <w:rsid w:val="211BC7A4"/>
    <w:rsid w:val="21273DD0"/>
    <w:rsid w:val="22954CE0"/>
    <w:rsid w:val="23E8857D"/>
    <w:rsid w:val="2650EE6B"/>
    <w:rsid w:val="2993A6F8"/>
    <w:rsid w:val="299E0B05"/>
    <w:rsid w:val="2CD22B32"/>
    <w:rsid w:val="2CDAB6EB"/>
    <w:rsid w:val="3355E2D6"/>
    <w:rsid w:val="35BA3AC5"/>
    <w:rsid w:val="37E52903"/>
    <w:rsid w:val="38CC1305"/>
    <w:rsid w:val="3A961A9A"/>
    <w:rsid w:val="43BD6DA2"/>
    <w:rsid w:val="456165FD"/>
    <w:rsid w:val="45F01E01"/>
    <w:rsid w:val="4BADE58D"/>
    <w:rsid w:val="4BED1462"/>
    <w:rsid w:val="4C4B67C4"/>
    <w:rsid w:val="4EBE41B5"/>
    <w:rsid w:val="5050754F"/>
    <w:rsid w:val="565CE054"/>
    <w:rsid w:val="56FF6F96"/>
    <w:rsid w:val="587B2787"/>
    <w:rsid w:val="58B82618"/>
    <w:rsid w:val="5D497CE7"/>
    <w:rsid w:val="5D7E327F"/>
    <w:rsid w:val="5DFB94E3"/>
    <w:rsid w:val="5E19EAA8"/>
    <w:rsid w:val="61752B52"/>
    <w:rsid w:val="658C9BB1"/>
    <w:rsid w:val="6781E096"/>
    <w:rsid w:val="69DF9881"/>
    <w:rsid w:val="6B9E277D"/>
    <w:rsid w:val="6BF6BF0F"/>
    <w:rsid w:val="6F2933F7"/>
    <w:rsid w:val="6F6B4F67"/>
    <w:rsid w:val="7207B653"/>
    <w:rsid w:val="78FB042F"/>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E8BE9"/>
  <w15:chartTrackingRefBased/>
  <w15:docId w15:val="{15606508-26A4-40D4-B5CA-D85E69ED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833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33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3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33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3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3C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3833C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833C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833C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833C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833C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833C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833C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833C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833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3C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3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3C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33C5"/>
    <w:pPr>
      <w:spacing w:before="160"/>
      <w:jc w:val="center"/>
    </w:pPr>
    <w:rPr>
      <w:i/>
      <w:iCs/>
      <w:color w:val="404040" w:themeColor="text1" w:themeTint="BF"/>
    </w:rPr>
  </w:style>
  <w:style w:type="character" w:customStyle="1" w:styleId="QuoteChar">
    <w:name w:val="Quote Char"/>
    <w:basedOn w:val="DefaultParagraphFont"/>
    <w:link w:val="Quote"/>
    <w:uiPriority w:val="29"/>
    <w:rsid w:val="003833C5"/>
    <w:rPr>
      <w:i/>
      <w:iCs/>
      <w:color w:val="404040" w:themeColor="text1" w:themeTint="BF"/>
      <w:lang w:val="en-GB"/>
    </w:rPr>
  </w:style>
  <w:style w:type="paragraph" w:styleId="ListParagraph">
    <w:name w:val="List Paragraph"/>
    <w:basedOn w:val="Normal"/>
    <w:uiPriority w:val="34"/>
    <w:qFormat/>
    <w:rsid w:val="003833C5"/>
    <w:pPr>
      <w:ind w:left="720"/>
      <w:contextualSpacing/>
    </w:pPr>
  </w:style>
  <w:style w:type="character" w:styleId="IntenseEmphasis">
    <w:name w:val="Intense Emphasis"/>
    <w:basedOn w:val="DefaultParagraphFont"/>
    <w:uiPriority w:val="21"/>
    <w:qFormat/>
    <w:rsid w:val="003833C5"/>
    <w:rPr>
      <w:i/>
      <w:iCs/>
      <w:color w:val="0F4761" w:themeColor="accent1" w:themeShade="BF"/>
    </w:rPr>
  </w:style>
  <w:style w:type="paragraph" w:styleId="IntenseQuote">
    <w:name w:val="Intense Quote"/>
    <w:basedOn w:val="Normal"/>
    <w:next w:val="Normal"/>
    <w:link w:val="IntenseQuoteChar"/>
    <w:uiPriority w:val="30"/>
    <w:qFormat/>
    <w:rsid w:val="003833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3C5"/>
    <w:rPr>
      <w:i/>
      <w:iCs/>
      <w:color w:val="0F4761" w:themeColor="accent1" w:themeShade="BF"/>
      <w:lang w:val="en-GB"/>
    </w:rPr>
  </w:style>
  <w:style w:type="character" w:styleId="IntenseReference">
    <w:name w:val="Intense Reference"/>
    <w:basedOn w:val="DefaultParagraphFont"/>
    <w:uiPriority w:val="32"/>
    <w:qFormat/>
    <w:rsid w:val="003833C5"/>
    <w:rPr>
      <w:b/>
      <w:bCs/>
      <w:smallCaps/>
      <w:color w:val="0F4761" w:themeColor="accent1" w:themeShade="BF"/>
      <w:spacing w:val="5"/>
    </w:rPr>
  </w:style>
  <w:style w:type="character" w:styleId="Hyperlink">
    <w:name w:val="Hyperlink"/>
    <w:basedOn w:val="DefaultParagraphFont"/>
    <w:uiPriority w:val="99"/>
    <w:unhideWhenUsed/>
    <w:rsid w:val="004C1DB6"/>
    <w:rPr>
      <w:color w:val="467886" w:themeColor="hyperlink"/>
      <w:u w:val="single"/>
    </w:rPr>
  </w:style>
  <w:style w:type="character" w:customStyle="1" w:styleId="UnresolvedMention1">
    <w:name w:val="Unresolved Mention1"/>
    <w:basedOn w:val="DefaultParagraphFont"/>
    <w:uiPriority w:val="99"/>
    <w:semiHidden/>
    <w:unhideWhenUsed/>
    <w:rsid w:val="004C1DB6"/>
    <w:rPr>
      <w:color w:val="605E5C"/>
      <w:shd w:val="clear" w:color="auto" w:fill="E1DFDD"/>
    </w:rPr>
  </w:style>
  <w:style w:type="table" w:styleId="TableGrid">
    <w:name w:val="Table Grid"/>
    <w:basedOn w:val="TableNormal"/>
    <w:uiPriority w:val="39"/>
    <w:rsid w:val="003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2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EF0"/>
    <w:rPr>
      <w:lang w:val="en-GB"/>
    </w:rPr>
  </w:style>
  <w:style w:type="paragraph" w:styleId="Footer">
    <w:name w:val="footer"/>
    <w:basedOn w:val="Normal"/>
    <w:link w:val="FooterChar"/>
    <w:uiPriority w:val="99"/>
    <w:unhideWhenUsed/>
    <w:rsid w:val="009B2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EF0"/>
    <w:rPr>
      <w:lang w:val="en-GB"/>
    </w:rPr>
  </w:style>
  <w:style w:type="paragraph" w:styleId="TOCHeading">
    <w:name w:val="TOC Heading"/>
    <w:basedOn w:val="Heading1"/>
    <w:next w:val="Normal"/>
    <w:uiPriority w:val="39"/>
    <w:unhideWhenUsed/>
    <w:qFormat/>
    <w:rsid w:val="00A153E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53E1"/>
    <w:pPr>
      <w:spacing w:after="100"/>
    </w:pPr>
  </w:style>
  <w:style w:type="paragraph" w:styleId="TOC2">
    <w:name w:val="toc 2"/>
    <w:basedOn w:val="Normal"/>
    <w:next w:val="Normal"/>
    <w:autoRedefine/>
    <w:uiPriority w:val="39"/>
    <w:unhideWhenUsed/>
    <w:rsid w:val="00A153E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165427">
      <w:bodyDiv w:val="1"/>
      <w:marLeft w:val="0"/>
      <w:marRight w:val="0"/>
      <w:marTop w:val="0"/>
      <w:marBottom w:val="0"/>
      <w:divBdr>
        <w:top w:val="none" w:sz="0" w:space="0" w:color="auto"/>
        <w:left w:val="none" w:sz="0" w:space="0" w:color="auto"/>
        <w:bottom w:val="none" w:sz="0" w:space="0" w:color="auto"/>
        <w:right w:val="none" w:sz="0" w:space="0" w:color="auto"/>
      </w:divBdr>
    </w:div>
    <w:div w:id="1074818046">
      <w:bodyDiv w:val="1"/>
      <w:marLeft w:val="0"/>
      <w:marRight w:val="0"/>
      <w:marTop w:val="0"/>
      <w:marBottom w:val="0"/>
      <w:divBdr>
        <w:top w:val="none" w:sz="0" w:space="0" w:color="auto"/>
        <w:left w:val="none" w:sz="0" w:space="0" w:color="auto"/>
        <w:bottom w:val="none" w:sz="0" w:space="0" w:color="auto"/>
        <w:right w:val="none" w:sz="0" w:space="0" w:color="auto"/>
      </w:divBdr>
    </w:div>
    <w:div w:id="176372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rgu-repository.worktribe.com/OutputFile/1764603" TargetMode="External" /><Relationship Id="rId18" Type="http://schemas.openxmlformats.org/officeDocument/2006/relationships/hyperlink" Target="https://doi.org/10.1080/17483107.2025.2501079"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openarchive.ki.se/articles/thesis/Conditions_of_everyday_technology_use_and_its_Interplay_in_the_lives_of_older_adults_with_and_without_dementia/26918770/1/files/48964156.pdf" TargetMode="External" /><Relationship Id="rId7" Type="http://schemas.openxmlformats.org/officeDocument/2006/relationships/endnotes" Target="endnotes.xml" /><Relationship Id="rId12" Type="http://schemas.openxmlformats.org/officeDocument/2006/relationships/hyperlink" Target="https://www.frontiersin.org/journals/research-metrics-and-analytics/articles/10.3389/frma.2025.1617380/pdf" TargetMode="External" /><Relationship Id="rId17" Type="http://schemas.openxmlformats.org/officeDocument/2006/relationships/hyperlink" Target="https://journals.sagepub.com/doi/pdf/10.1177/20552076251362353"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1016/S2666-7568(21)00118-5" TargetMode="External" /><Relationship Id="rId20" Type="http://schemas.openxmlformats.org/officeDocument/2006/relationships/hyperlink" Target="https://doi.org/10.1177/2055207621101861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u-jer.com/articles/EU-JER_14_2_549.pdf" TargetMode="External" /><Relationship Id="rId24"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pmc.ncbi.nlm.nih.gov/articles/PMC7954980/pdf/nihms-1671115.pdf" TargetMode="External" /><Relationship Id="rId23" Type="http://schemas.openxmlformats.org/officeDocument/2006/relationships/hyperlink" Target="https://doi.org/10.3389/fdgth.2024.1490156" TargetMode="External" /><Relationship Id="rId28" Type="http://schemas.microsoft.com/office/2020/10/relationships/intelligence" Target="intelligence2.xml" /><Relationship Id="rId10" Type="http://schemas.openxmlformats.org/officeDocument/2006/relationships/hyperlink" Target="https://doi.org/10.1080/10926488.2022.2142472" TargetMode="External" /><Relationship Id="rId19" Type="http://schemas.openxmlformats.org/officeDocument/2006/relationships/hyperlink" Target="https://www.tandfonline.com/doi/pdf/10.1080/08989621.2025.2484555" TargetMode="External" /><Relationship Id="rId4" Type="http://schemas.openxmlformats.org/officeDocument/2006/relationships/settings" Target="settings.xml" /><Relationship Id="rId9" Type="http://schemas.openxmlformats.org/officeDocument/2006/relationships/hyperlink" Target="https://mental.jmir.org/2025/1/e64445" TargetMode="External" /><Relationship Id="rId14" Type="http://schemas.openxmlformats.org/officeDocument/2006/relationships/hyperlink" Target="https://doi.org/10.1177/15248380251375488" TargetMode="External" /><Relationship Id="rId22" Type="http://schemas.openxmlformats.org/officeDocument/2006/relationships/hyperlink" Target="https://pmc.ncbi.nlm.nih.gov/articles/PMC12511854/"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CFC70-0F70-4A80-9E26-0DF8CE9A56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4863</Words>
  <Characters>27722</Characters>
  <Application>Microsoft Office Word</Application>
  <DocSecurity>0</DocSecurity>
  <Lines>231</Lines>
  <Paragraphs>65</Paragraphs>
  <ScaleCrop>false</ScaleCrop>
  <Company/>
  <LinksUpToDate>false</LinksUpToDate>
  <CharactersWithSpaces>32520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alessandra vinhal vinhal</cp:lastModifiedBy>
  <cp:revision>2</cp:revision>
  <dcterms:created xsi:type="dcterms:W3CDTF">2026-03-29T12:13:00Z</dcterms:created>
  <dcterms:modified xsi:type="dcterms:W3CDTF">2026-03-29T12:13:00Z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7f55e01e-d9b5-477b-a3aa-a661b1311a97</vt:lpwstr>
  </property>
</Properties>
</file>