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8730F2" w14:textId="0D3A07DC" w:rsidR="009744D9" w:rsidRPr="00AC7208" w:rsidRDefault="009744D9" w:rsidP="006852B7">
      <w:pPr>
        <w:jc w:val="center"/>
        <w:rPr>
          <w:b/>
        </w:rPr>
      </w:pPr>
      <w:r w:rsidRPr="00AC7208">
        <w:rPr>
          <w:b/>
        </w:rPr>
        <w:t>Epona</w:t>
      </w:r>
    </w:p>
    <w:p w14:paraId="166D6D16" w14:textId="77777777" w:rsidR="009744D9" w:rsidRDefault="009744D9" w:rsidP="006B61FC"/>
    <w:p w14:paraId="7EFEAF2B" w14:textId="77777777" w:rsidR="006B61FC" w:rsidRDefault="006B61FC" w:rsidP="006B61FC">
      <w:r>
        <w:t xml:space="preserve">Epona is a pre-Roman </w:t>
      </w:r>
      <w:r>
        <w:t>deity</w:t>
      </w:r>
      <w:r>
        <w:t xml:space="preserve"> but features heavily throughout the Roman empire and is one of few Celtic deities to be completely assimilated into the Roman world</w:t>
      </w:r>
      <w:r>
        <w:rPr>
          <w:rStyle w:val="FootnoteReference"/>
        </w:rPr>
        <w:footnoteReference w:id="1"/>
      </w:r>
      <w:r>
        <w:t>, entering the Pantheon as a goddess of the stable</w:t>
      </w:r>
      <w:r>
        <w:rPr>
          <w:rStyle w:val="FootnoteReference"/>
        </w:rPr>
        <w:footnoteReference w:id="2"/>
      </w:r>
      <w:r>
        <w:t>, even having her own festival on the 18th of December which further suggests her acceptance in the Roman world</w:t>
      </w:r>
      <w:r>
        <w:rPr>
          <w:rStyle w:val="FootnoteReference"/>
        </w:rPr>
        <w:footnoteReference w:id="3"/>
      </w:r>
      <w:r>
        <w:t xml:space="preserve">. </w:t>
      </w:r>
    </w:p>
    <w:p w14:paraId="0B92FE15" w14:textId="77777777" w:rsidR="006B61FC" w:rsidRDefault="006B61FC" w:rsidP="006B61FC">
      <w:bookmarkStart w:id="0" w:name="_GoBack"/>
      <w:bookmarkEnd w:id="0"/>
    </w:p>
    <w:p w14:paraId="212A300A" w14:textId="77777777" w:rsidR="00FF02FD" w:rsidRDefault="006B61FC" w:rsidP="006B61FC">
      <w:r>
        <w:t xml:space="preserve">Epona is known most commonly as a horse </w:t>
      </w:r>
      <w:r>
        <w:t>deity</w:t>
      </w:r>
      <w:r>
        <w:t>, for which she is protector of horses and cavalrymen in h</w:t>
      </w:r>
      <w:r>
        <w:t>er most basic form</w:t>
      </w:r>
      <w:r>
        <w:rPr>
          <w:rStyle w:val="FootnoteReference"/>
        </w:rPr>
        <w:footnoteReference w:id="4"/>
      </w:r>
      <w:r>
        <w:t xml:space="preserve">, she is undeniably linked to horses in imagery and is always portrayed with at least one horse if not many, she is very commonly presented riding side saddle or standing next to her companion </w:t>
      </w:r>
      <w:r>
        <w:t>who always takes form of a mare</w:t>
      </w:r>
      <w:r>
        <w:rPr>
          <w:rStyle w:val="FootnoteReference"/>
        </w:rPr>
        <w:footnoteReference w:id="5"/>
      </w:r>
      <w:r>
        <w:t>. For example, a relief of Epona with seven horses was found near Stuttgart, Germany which shows no</w:t>
      </w:r>
      <w:r w:rsidR="006852B7">
        <w:t>t only a multitude of horses bu</w:t>
      </w:r>
      <w:r>
        <w:t>t features a priest sacrificing a young boar which can link the worship of Epona with animal sacrifice being performed in dedication to the goddess</w:t>
      </w:r>
      <w:r>
        <w:rPr>
          <w:rStyle w:val="FootnoteReference"/>
        </w:rPr>
        <w:footnoteReference w:id="6"/>
      </w:r>
      <w:r>
        <w:t>. Green suggests that Epona is at no point depicted without a horse</w:t>
      </w:r>
      <w:r>
        <w:rPr>
          <w:rStyle w:val="FootnoteReference"/>
        </w:rPr>
        <w:footnoteReference w:id="7"/>
      </w:r>
      <w:r>
        <w:t xml:space="preserve"> but I think that without the presence of a horse or inscription it would be near impossible to say if a deity was indeed Epona or not. As a goddess who is </w:t>
      </w:r>
      <w:r w:rsidR="006852B7">
        <w:t>widespread</w:t>
      </w:r>
      <w:r>
        <w:t xml:space="preserve"> throughout the Celtic world, iconographic evidence of Epona follows trends making representations differ from region and country, thus adding additional information on who Epona was and what she represented to her worshipers. Though this trend is rather specific to burgundy in archaeological evidence found there Epona is portrayed with a foal, either feeding from its mother, or oats from Epona's own hand or sleeping beneath the mare, wh</w:t>
      </w:r>
      <w:r>
        <w:t>ich again is a constant feature</w:t>
      </w:r>
      <w:r>
        <w:rPr>
          <w:rStyle w:val="FootnoteReference"/>
        </w:rPr>
        <w:footnoteReference w:id="8"/>
      </w:r>
      <w:r w:rsidR="006852B7">
        <w:t>,</w:t>
      </w:r>
      <w:r>
        <w:t xml:space="preserve"> the presence of the foal, however, could be a link to fertility so we may see Epona as a symbol of horse breeding. Differing in interpretation again but perhaps showing a similar message in regions of Germany Epona is shown with many horses beside her which could also indicate fertility and plenty</w:t>
      </w:r>
      <w:r>
        <w:rPr>
          <w:rStyle w:val="FootnoteReference"/>
        </w:rPr>
        <w:footnoteReference w:id="9"/>
      </w:r>
      <w:r>
        <w:t xml:space="preserve">. </w:t>
      </w:r>
      <w:r w:rsidR="006852B7">
        <w:t>Again,</w:t>
      </w:r>
      <w:r>
        <w:t xml:space="preserve"> hinting at fertility is the representation of Epona found in Wiltshire, England which shows Epona stood between two horses, one being female and the other male</w:t>
      </w:r>
      <w:r>
        <w:rPr>
          <w:rStyle w:val="FootnoteReference"/>
        </w:rPr>
        <w:footnoteReference w:id="10"/>
      </w:r>
      <w:r>
        <w:t>. A representation of Epona with f</w:t>
      </w:r>
      <w:r>
        <w:t>ruit and bread from Luxembourg</w:t>
      </w:r>
      <w:r>
        <w:rPr>
          <w:rStyle w:val="FootnoteReference"/>
        </w:rPr>
        <w:footnoteReference w:id="11"/>
      </w:r>
      <w:r>
        <w:t>suggests not only fertility but also of the harvest and the fertility of the ground, not only this but a representation of Epona in a triple form</w:t>
      </w:r>
      <w:r w:rsidR="009744D9">
        <w:rPr>
          <w:rStyle w:val="FootnoteReference"/>
        </w:rPr>
        <w:footnoteReference w:id="12"/>
      </w:r>
      <w:r>
        <w:t>, is a potential link to the mother goddesses which suggests further again fertility in women's ability to bear children and of harvest.</w:t>
      </w:r>
    </w:p>
    <w:p w14:paraId="6A81C340" w14:textId="77777777" w:rsidR="009744D9" w:rsidRDefault="009744D9" w:rsidP="006B61FC"/>
    <w:p w14:paraId="0F2C635E" w14:textId="77777777" w:rsidR="009744D9" w:rsidRDefault="009744D9" w:rsidP="006B61FC">
      <w:r w:rsidRPr="009744D9">
        <w:t>It would be an understatement to say Epona was a popular deity there is a multitude of evidence showing her importance to her devotees. She was venerated rather widely in Gaul, however</w:t>
      </w:r>
      <w:r w:rsidR="006852B7">
        <w:t>, Epona</w:t>
      </w:r>
      <w:r w:rsidRPr="009744D9">
        <w:t xml:space="preserve"> was also a presence in Africa, Britain and even into Italy with a relief </w:t>
      </w:r>
      <w:r w:rsidRPr="009744D9">
        <w:lastRenderedPageBreak/>
        <w:t>surviving in Pompeii of Epona in her usual styl</w:t>
      </w:r>
      <w:r w:rsidR="006852B7">
        <w:t>e riding side-</w:t>
      </w:r>
      <w:r>
        <w:t>saddle on a horse</w:t>
      </w:r>
      <w:r>
        <w:rPr>
          <w:rStyle w:val="FootnoteReference"/>
        </w:rPr>
        <w:footnoteReference w:id="13"/>
      </w:r>
      <w:r w:rsidR="006852B7">
        <w:t>. S</w:t>
      </w:r>
      <w:r w:rsidRPr="009744D9">
        <w:t>he is equally here featured with a snake beneath the horse, it is noted by Dixon-Kennedy that the snake is the natural enemy of the horse which makes a repr</w:t>
      </w:r>
      <w:r>
        <w:t>esentation with a snake unusual</w:t>
      </w:r>
      <w:r>
        <w:rPr>
          <w:rStyle w:val="FootnoteReference"/>
        </w:rPr>
        <w:footnoteReference w:id="14"/>
      </w:r>
      <w:r w:rsidRPr="009744D9">
        <w:t>. I think it is a potential link to Epona’s devotees of cavalrymen being at war and thus a representation of an enemy and the horse above this symbolising a defeat of the ‘enemy’ or snake. In the classical world, there are even references to Epona in literature an issue with evidence provided by a classical source is the potential for misrepresentation and exaggeration provided by classical authors. Caesar refers to or equates Celtic gods to Roman as though they are identical with his own deities in his Gallic Wars</w:t>
      </w:r>
      <w:r>
        <w:rPr>
          <w:rStyle w:val="FootnoteReference"/>
        </w:rPr>
        <w:footnoteReference w:id="15"/>
      </w:r>
      <w:r w:rsidRPr="009744D9">
        <w:t>. Green notes that Caesar may have been unaware of his error and erasure as the gods hold such a strong resemblance and that the predisposed idea of this being deliberate in order to promote Roman religion</w:t>
      </w:r>
      <w:r>
        <w:rPr>
          <w:rStyle w:val="FootnoteReference"/>
        </w:rPr>
        <w:footnoteReference w:id="16"/>
      </w:r>
      <w:r w:rsidRPr="009744D9">
        <w:t>. A mention of Epona is made in Apuleius’s Metamorphosis whereupon seeking peace in a stable the hero (as it were) of the tale seeks ‘salvation’ by paying respect to Epona in her ‘devoted</w:t>
      </w:r>
      <w:r>
        <w:t>ly garlanded with fresh roses’</w:t>
      </w:r>
      <w:r>
        <w:rPr>
          <w:rStyle w:val="FootnoteReference"/>
        </w:rPr>
        <w:footnoteReference w:id="17"/>
      </w:r>
      <w:r w:rsidRPr="009744D9">
        <w:t>shrine, this shows the importance Epona held to her devotees and indeed the importance of Horses in the ancient world.</w:t>
      </w:r>
    </w:p>
    <w:p w14:paraId="34ECBCF4" w14:textId="77777777" w:rsidR="009744D9" w:rsidRDefault="009744D9" w:rsidP="006B61FC"/>
    <w:p w14:paraId="7919B221" w14:textId="77777777" w:rsidR="009744D9" w:rsidRDefault="009744D9" w:rsidP="009744D9">
      <w:r>
        <w:t xml:space="preserve">There are a few significant issues we encounter when studying </w:t>
      </w:r>
      <w:r>
        <w:t>Celtic</w:t>
      </w:r>
      <w:r>
        <w:t xml:space="preserve"> gods and religion. Different scholars have various issues, </w:t>
      </w:r>
      <w:r>
        <w:t>Ferguson</w:t>
      </w:r>
      <w:r>
        <w:t xml:space="preserve"> argues that the main issue of discussing </w:t>
      </w:r>
      <w:r>
        <w:t>Celtic</w:t>
      </w:r>
      <w:r>
        <w:t xml:space="preserve"> religions being the presence of a ‘complex polytheism’</w:t>
      </w:r>
      <w:r>
        <w:rPr>
          <w:rStyle w:val="FootnoteReference"/>
        </w:rPr>
        <w:footnoteReference w:id="18"/>
      </w:r>
      <w:r>
        <w:t xml:space="preserve"> by which he means that the multitude of gods despite much evidence, for</w:t>
      </w:r>
      <w:r w:rsidR="00865352">
        <w:t xml:space="preserve"> </w:t>
      </w:r>
      <w:r>
        <w:t xml:space="preserve">example welsh and </w:t>
      </w:r>
      <w:r w:rsidR="006852B7">
        <w:t>Irish</w:t>
      </w:r>
      <w:r>
        <w:t xml:space="preserve"> myth, </w:t>
      </w:r>
      <w:r w:rsidR="006852B7">
        <w:t>inscriptions</w:t>
      </w:r>
      <w:r>
        <w:t xml:space="preserve"> across the </w:t>
      </w:r>
      <w:r w:rsidR="006852B7">
        <w:t>Celtic</w:t>
      </w:r>
      <w:r>
        <w:t xml:space="preserve"> world he thinks of </w:t>
      </w:r>
      <w:r w:rsidR="006852B7">
        <w:t>Celtic</w:t>
      </w:r>
      <w:r>
        <w:t xml:space="preserve"> religion as a ‘sprawling vital complexity close to life and functional’</w:t>
      </w:r>
      <w:r>
        <w:rPr>
          <w:rStyle w:val="FootnoteReference"/>
        </w:rPr>
        <w:footnoteReference w:id="19"/>
      </w:r>
      <w:r>
        <w:t xml:space="preserve">. It is unusual to find this as an issue, as </w:t>
      </w:r>
      <w:r w:rsidR="006852B7">
        <w:t>Ferguson</w:t>
      </w:r>
      <w:r>
        <w:t xml:space="preserve"> says, most all ancient and polytheistic religions are close to life and functionality, Rives in his book religion in the Roman </w:t>
      </w:r>
      <w:r w:rsidR="006852B7">
        <w:t>empire uses t</w:t>
      </w:r>
      <w:r>
        <w:t xml:space="preserve">his definition of religion to explain its relationship with the ancient world ‘even the concept of religion does not seem to have been part of the </w:t>
      </w:r>
      <w:r w:rsidR="006852B7">
        <w:t>traditional G</w:t>
      </w:r>
      <w:r>
        <w:t>raeco</w:t>
      </w:r>
      <w:r w:rsidR="006852B7">
        <w:t>-R</w:t>
      </w:r>
      <w:r>
        <w:t xml:space="preserve">oman culture.. in its more general </w:t>
      </w:r>
      <w:r w:rsidR="006852B7">
        <w:t>sense</w:t>
      </w:r>
      <w:r>
        <w:t xml:space="preserve"> of a conception of, reverence for, and desire to please some superhuman force’</w:t>
      </w:r>
      <w:r>
        <w:rPr>
          <w:rStyle w:val="FootnoteReference"/>
        </w:rPr>
        <w:footnoteReference w:id="20"/>
      </w:r>
      <w:r>
        <w:t xml:space="preserve"> </w:t>
      </w:r>
      <w:r w:rsidR="006852B7">
        <w:t xml:space="preserve">and despite </w:t>
      </w:r>
      <w:r>
        <w:t xml:space="preserve">this is it pivotal to look beyond the pragmatics to religion and beyond into the </w:t>
      </w:r>
      <w:r w:rsidR="006852B7">
        <w:t>deeper meaning of t</w:t>
      </w:r>
      <w:r>
        <w:t xml:space="preserve">hese gods. </w:t>
      </w:r>
      <w:r w:rsidR="006852B7">
        <w:t>Yes,</w:t>
      </w:r>
      <w:r>
        <w:t xml:space="preserve"> gods took a place and a </w:t>
      </w:r>
      <w:r w:rsidR="006852B7">
        <w:t>functionality</w:t>
      </w:r>
      <w:r>
        <w:t xml:space="preserve"> in real life but it</w:t>
      </w:r>
      <w:r w:rsidR="006852B7">
        <w:t>’</w:t>
      </w:r>
      <w:r>
        <w:t xml:space="preserve">s important </w:t>
      </w:r>
      <w:r w:rsidR="006852B7">
        <w:t>to remember t</w:t>
      </w:r>
      <w:r>
        <w:t xml:space="preserve">hat the ancient people truly </w:t>
      </w:r>
      <w:r w:rsidR="006852B7">
        <w:t xml:space="preserve">believed in these deities, and </w:t>
      </w:r>
      <w:r>
        <w:t xml:space="preserve">took prayer and devotion seriously </w:t>
      </w:r>
      <w:r>
        <w:rPr>
          <w:i/>
        </w:rPr>
        <w:t>because</w:t>
      </w:r>
      <w:r>
        <w:t xml:space="preserve"> they </w:t>
      </w:r>
      <w:r w:rsidR="006852B7">
        <w:t>believed</w:t>
      </w:r>
      <w:r>
        <w:t xml:space="preserve">, the gods took purpose beyond the functionality and </w:t>
      </w:r>
      <w:r w:rsidR="006852B7">
        <w:t>explanations</w:t>
      </w:r>
      <w:r>
        <w:t xml:space="preserve"> they were able to </w:t>
      </w:r>
      <w:r w:rsidR="006852B7">
        <w:t>achieve</w:t>
      </w:r>
      <w:r>
        <w:t xml:space="preserve"> in daily life. Miranda Green considers what I agree to be a considerable issue with evidence and this is that there is little physical (or otherwise) evidence which pre-dates th</w:t>
      </w:r>
      <w:r w:rsidR="006852B7">
        <w:t>e Romans, it is all Romano Celt</w:t>
      </w:r>
      <w:r>
        <w:t xml:space="preserve">ic and with this we have a Roman influence over the previous </w:t>
      </w:r>
      <w:r w:rsidR="006852B7">
        <w:t>indigenous</w:t>
      </w:r>
      <w:r>
        <w:t xml:space="preserve"> worship</w:t>
      </w:r>
      <w:r w:rsidRPr="001D7153">
        <w:t xml:space="preserve"> </w:t>
      </w:r>
      <w:r>
        <w:t xml:space="preserve">Greens issue with the problematic evidence is best summed up in her own words ‘the lack of free </w:t>
      </w:r>
      <w:r w:rsidR="006852B7">
        <w:t>Celtic</w:t>
      </w:r>
      <w:r>
        <w:t xml:space="preserve"> </w:t>
      </w:r>
      <w:r w:rsidR="006852B7">
        <w:t>epigraphy</w:t>
      </w:r>
      <w:r>
        <w:t xml:space="preserve"> and comparative </w:t>
      </w:r>
      <w:r w:rsidR="006852B7">
        <w:t>paucity</w:t>
      </w:r>
      <w:r>
        <w:t xml:space="preserve"> of pre-Roman religious </w:t>
      </w:r>
      <w:r w:rsidR="006852B7">
        <w:t>imagery</w:t>
      </w:r>
      <w:r>
        <w:t xml:space="preserve"> means that inevitably we have to </w:t>
      </w:r>
      <w:r w:rsidR="006852B7">
        <w:t>observer</w:t>
      </w:r>
      <w:r>
        <w:t xml:space="preserve"> </w:t>
      </w:r>
      <w:r w:rsidR="006852B7">
        <w:t>Celtic</w:t>
      </w:r>
      <w:r>
        <w:t xml:space="preserve"> gods through a window </w:t>
      </w:r>
      <w:r>
        <w:lastRenderedPageBreak/>
        <w:t>created by Rome’</w:t>
      </w:r>
      <w:r>
        <w:rPr>
          <w:rStyle w:val="FootnoteReference"/>
        </w:rPr>
        <w:footnoteReference w:id="21"/>
      </w:r>
      <w:r>
        <w:t xml:space="preserve">. Green states regarding Epona that she is one of few who remains </w:t>
      </w:r>
      <w:r w:rsidR="006852B7">
        <w:t>indigenous</w:t>
      </w:r>
      <w:r>
        <w:t xml:space="preserve"> but that her image is still owing to Roman iconography</w:t>
      </w:r>
      <w:r>
        <w:rPr>
          <w:rStyle w:val="FootnoteReference"/>
        </w:rPr>
        <w:footnoteReference w:id="22"/>
      </w:r>
      <w:r>
        <w:t xml:space="preserve">. </w:t>
      </w:r>
    </w:p>
    <w:p w14:paraId="69D3A5DB" w14:textId="77777777" w:rsidR="009744D9" w:rsidRDefault="009744D9" w:rsidP="009744D9"/>
    <w:p w14:paraId="778EA4C9" w14:textId="77777777" w:rsidR="00865352" w:rsidRDefault="00865352" w:rsidP="009744D9">
      <w:r>
        <w:t xml:space="preserve">Taking everything into consideration, although Epona is a Celtic goddess and was clearly in existence pre-Roman invasion she has become a product of her time. Her image altered and her meaning perhaps understated and misjudged by the Roman peoples, her continued worship by the Celts has allowed us to witness her, her rites and her influences through her dedicated devotees who continued her worship and seeing that she was important enough to have transitioned into the Pantheon, while her Celtic companions such as </w:t>
      </w:r>
      <w:r w:rsidR="006852B7">
        <w:t>Taranis</w:t>
      </w:r>
      <w:r>
        <w:t xml:space="preserve"> were absorbed into the Roman circle rather than merged. The importance of a mother goddess not to be understated in her value to Celtic communities, Epona taking this form with her overt fertility and femininity. </w:t>
      </w:r>
    </w:p>
    <w:p w14:paraId="3654B83E" w14:textId="77777777" w:rsidR="009744D9" w:rsidRPr="00E808FD" w:rsidRDefault="009744D9" w:rsidP="009744D9">
      <w:pPr>
        <w:rPr>
          <w:rFonts w:ascii="Times New Roman" w:eastAsia="Times New Roman" w:hAnsi="Times New Roman" w:cs="Times New Roman"/>
        </w:rPr>
      </w:pPr>
    </w:p>
    <w:p w14:paraId="6B2CFADD" w14:textId="77777777" w:rsidR="009744D9" w:rsidRPr="008A2479" w:rsidRDefault="009744D9" w:rsidP="009744D9"/>
    <w:p w14:paraId="37A0D00B" w14:textId="247F97E0" w:rsidR="009744D9" w:rsidRDefault="009744D9" w:rsidP="006B61FC"/>
    <w:p w14:paraId="4DF22B17" w14:textId="5E6BEC77" w:rsidR="000F31C4" w:rsidRDefault="000F31C4" w:rsidP="006B61FC"/>
    <w:p w14:paraId="6D5B8CA3" w14:textId="6C2F2945" w:rsidR="000F31C4" w:rsidRDefault="000F31C4" w:rsidP="006B61FC"/>
    <w:p w14:paraId="684F372C" w14:textId="42047D9C" w:rsidR="000F31C4" w:rsidRDefault="000F31C4" w:rsidP="006B61FC"/>
    <w:p w14:paraId="41538F5B" w14:textId="3DAF6D0D" w:rsidR="000F31C4" w:rsidRDefault="000F31C4" w:rsidP="006B61FC"/>
    <w:p w14:paraId="0DF76125" w14:textId="66567E9D" w:rsidR="000F31C4" w:rsidRDefault="000F31C4" w:rsidP="006B61FC"/>
    <w:p w14:paraId="1F443364" w14:textId="16743B74" w:rsidR="000F31C4" w:rsidRDefault="000F31C4" w:rsidP="006B61FC"/>
    <w:p w14:paraId="0419867E" w14:textId="62494FD6" w:rsidR="000F31C4" w:rsidRDefault="000F31C4" w:rsidP="006B61FC"/>
    <w:p w14:paraId="3188AA32" w14:textId="62F617C1" w:rsidR="000F31C4" w:rsidRDefault="000F31C4" w:rsidP="006B61FC"/>
    <w:p w14:paraId="15FA2DEB" w14:textId="39C04BF1" w:rsidR="000F31C4" w:rsidRDefault="000F31C4" w:rsidP="006B61FC"/>
    <w:p w14:paraId="212E1F8A" w14:textId="017CB373" w:rsidR="000F31C4" w:rsidRDefault="000F31C4" w:rsidP="006B61FC"/>
    <w:p w14:paraId="27FCECBD" w14:textId="2D12DDB6" w:rsidR="000F31C4" w:rsidRDefault="000F31C4" w:rsidP="006B61FC"/>
    <w:p w14:paraId="47D0664C" w14:textId="20F14545" w:rsidR="000F31C4" w:rsidRDefault="000F31C4" w:rsidP="006B61FC"/>
    <w:p w14:paraId="62FB2727" w14:textId="581A011F" w:rsidR="000F31C4" w:rsidRDefault="000F31C4" w:rsidP="006B61FC"/>
    <w:p w14:paraId="78A9E90F" w14:textId="295EECBF" w:rsidR="000F31C4" w:rsidRDefault="000F31C4" w:rsidP="006B61FC"/>
    <w:p w14:paraId="39AD1E73" w14:textId="4175EB0F" w:rsidR="000F31C4" w:rsidRDefault="000F31C4" w:rsidP="006B61FC"/>
    <w:p w14:paraId="63C76AA6" w14:textId="74535817" w:rsidR="000F31C4" w:rsidRDefault="000F31C4" w:rsidP="006B61FC"/>
    <w:p w14:paraId="3C6758E0" w14:textId="63C96037" w:rsidR="000F31C4" w:rsidRDefault="000F31C4" w:rsidP="006B61FC"/>
    <w:p w14:paraId="3F7D0BD3" w14:textId="3B3B826E" w:rsidR="000F31C4" w:rsidRDefault="000F31C4" w:rsidP="006B61FC"/>
    <w:p w14:paraId="75079B90" w14:textId="3FE7C8D7" w:rsidR="000F31C4" w:rsidRDefault="000F31C4" w:rsidP="006B61FC"/>
    <w:p w14:paraId="3A10BEBE" w14:textId="2F72424F" w:rsidR="000F31C4" w:rsidRDefault="000F31C4" w:rsidP="006B61FC"/>
    <w:p w14:paraId="4D66AEE2" w14:textId="774FFA4D" w:rsidR="000F31C4" w:rsidRDefault="000F31C4" w:rsidP="006B61FC"/>
    <w:p w14:paraId="524252E2" w14:textId="55728C21" w:rsidR="000F31C4" w:rsidRDefault="000F31C4" w:rsidP="006B61FC"/>
    <w:p w14:paraId="2676BAA3" w14:textId="33E2C13A" w:rsidR="000F31C4" w:rsidRDefault="000F31C4" w:rsidP="006B61FC"/>
    <w:p w14:paraId="1D1BA8E3" w14:textId="492AC5A3" w:rsidR="000F31C4" w:rsidRDefault="000F31C4" w:rsidP="006B61FC"/>
    <w:p w14:paraId="08ECC866" w14:textId="7ED09DC9" w:rsidR="000F31C4" w:rsidRDefault="000F31C4" w:rsidP="006B61FC"/>
    <w:p w14:paraId="244212B8" w14:textId="15D4E980" w:rsidR="000F31C4" w:rsidRDefault="000F31C4" w:rsidP="006B61FC"/>
    <w:p w14:paraId="240E8002" w14:textId="5B51A285" w:rsidR="000F31C4" w:rsidRDefault="000F31C4" w:rsidP="006B61FC"/>
    <w:p w14:paraId="65D4A154" w14:textId="293E0BA1" w:rsidR="000F31C4" w:rsidRDefault="000F31C4" w:rsidP="006B61FC"/>
    <w:p w14:paraId="4C50D97B" w14:textId="54B43426" w:rsidR="000F31C4" w:rsidRDefault="000F31C4" w:rsidP="006B61FC"/>
    <w:p w14:paraId="2750F22D" w14:textId="52691788" w:rsidR="000F31C4" w:rsidRDefault="000F31C4" w:rsidP="006B61FC"/>
    <w:p w14:paraId="24B8A695" w14:textId="0BE4117A" w:rsidR="000F31C4" w:rsidRPr="00AC7208" w:rsidRDefault="000F31C4" w:rsidP="006B61FC">
      <w:pPr>
        <w:rPr>
          <w:b/>
        </w:rPr>
      </w:pPr>
      <w:r w:rsidRPr="00AC7208">
        <w:rPr>
          <w:b/>
        </w:rPr>
        <w:lastRenderedPageBreak/>
        <w:t xml:space="preserve">Bibliography </w:t>
      </w:r>
    </w:p>
    <w:p w14:paraId="477F3130" w14:textId="758EDD4B" w:rsidR="000F31C4" w:rsidRPr="00AC7208" w:rsidRDefault="000F31C4" w:rsidP="006B61FC">
      <w:pPr>
        <w:rPr>
          <w:b/>
        </w:rPr>
      </w:pPr>
    </w:p>
    <w:p w14:paraId="1AA68825" w14:textId="612AB07F" w:rsidR="000F31C4" w:rsidRPr="00AC7208" w:rsidRDefault="000F31C4" w:rsidP="006B61FC">
      <w:pPr>
        <w:rPr>
          <w:b/>
        </w:rPr>
      </w:pPr>
      <w:r w:rsidRPr="00AC7208">
        <w:rPr>
          <w:b/>
        </w:rPr>
        <w:t>Modern Scholarship</w:t>
      </w:r>
    </w:p>
    <w:p w14:paraId="27AD8C45" w14:textId="77777777" w:rsidR="000F31C4" w:rsidRDefault="000F31C4" w:rsidP="006B61FC"/>
    <w:p w14:paraId="26FFFBBD" w14:textId="4024F804" w:rsidR="000F31C4" w:rsidRDefault="000F31C4" w:rsidP="006B61FC">
      <w:r>
        <w:t>J, Ferguson. (1977). The Religions of the Roman Empire. Open University Press.</w:t>
      </w:r>
    </w:p>
    <w:p w14:paraId="654B7988" w14:textId="1B824C92" w:rsidR="000F31C4" w:rsidRDefault="000F31C4" w:rsidP="006B61FC"/>
    <w:p w14:paraId="70C041AC" w14:textId="3DC1DD11" w:rsidR="000F31C4" w:rsidRDefault="000F31C4" w:rsidP="006B61FC">
      <w:r>
        <w:t xml:space="preserve">J, Rives. (2007). Religion in the Roman Empire. Oxford, Blackwell Publishing. </w:t>
      </w:r>
    </w:p>
    <w:p w14:paraId="514AA25A" w14:textId="374333FB" w:rsidR="000F31C4" w:rsidRDefault="000F31C4" w:rsidP="006B61FC"/>
    <w:p w14:paraId="282E037F" w14:textId="658E6515" w:rsidR="000F31C4" w:rsidRDefault="000F31C4" w:rsidP="006B61FC">
      <w:r>
        <w:t>M, Dixon-Kennedy. (1996). Celtic Myth and Legend. London, Blandford.</w:t>
      </w:r>
    </w:p>
    <w:p w14:paraId="22C8C620" w14:textId="0B6577E5" w:rsidR="00AC7208" w:rsidRDefault="00AC7208" w:rsidP="006B61FC"/>
    <w:p w14:paraId="4EB53D7E" w14:textId="03E4D128" w:rsidR="00AC7208" w:rsidRDefault="00AC7208" w:rsidP="006B61FC">
      <w:r>
        <w:t xml:space="preserve">M, Green (1995). The Celtic World. Routledge. </w:t>
      </w:r>
    </w:p>
    <w:p w14:paraId="3E617458" w14:textId="3BB92425" w:rsidR="000F31C4" w:rsidRDefault="000F31C4" w:rsidP="006B61FC"/>
    <w:p w14:paraId="48AC608E" w14:textId="4D00A1BB" w:rsidR="000F31C4" w:rsidRDefault="000F31C4" w:rsidP="006B61FC">
      <w:r>
        <w:t>M, Green. (1992) Dictionary of C</w:t>
      </w:r>
      <w:r w:rsidR="00AC7208">
        <w:t>eltic Myth and Legend. Thames and Hudson.</w:t>
      </w:r>
    </w:p>
    <w:p w14:paraId="3733661E" w14:textId="39E22AC7" w:rsidR="00AC7208" w:rsidRDefault="00AC7208" w:rsidP="006B61FC"/>
    <w:p w14:paraId="348FD70E" w14:textId="77777777" w:rsidR="00AC7208" w:rsidRDefault="00AC7208" w:rsidP="006B61FC"/>
    <w:p w14:paraId="21643AEC" w14:textId="1D353EF0" w:rsidR="000F31C4" w:rsidRDefault="000F31C4" w:rsidP="006B61FC"/>
    <w:p w14:paraId="1EBC3071" w14:textId="7C38932A" w:rsidR="000F31C4" w:rsidRPr="00AC7208" w:rsidRDefault="000F31C4" w:rsidP="006B61FC">
      <w:pPr>
        <w:rPr>
          <w:b/>
        </w:rPr>
      </w:pPr>
      <w:r w:rsidRPr="00AC7208">
        <w:rPr>
          <w:b/>
        </w:rPr>
        <w:t>Ancient Sources</w:t>
      </w:r>
    </w:p>
    <w:p w14:paraId="2172B5D6" w14:textId="48B684B8" w:rsidR="00AC7208" w:rsidRDefault="00AC7208" w:rsidP="006B61FC"/>
    <w:p w14:paraId="1D0E669B" w14:textId="6F85F084" w:rsidR="00AC7208" w:rsidRDefault="00AC7208" w:rsidP="006B61FC">
      <w:r>
        <w:t xml:space="preserve">Caesar. De Bello </w:t>
      </w:r>
      <w:proofErr w:type="spellStart"/>
      <w:r>
        <w:t>Gallico</w:t>
      </w:r>
      <w:proofErr w:type="spellEnd"/>
      <w:r>
        <w:t xml:space="preserve">. (trans.). 1869. W.S. Bohn. Harper and Brothers. </w:t>
      </w:r>
    </w:p>
    <w:p w14:paraId="0068DAA3" w14:textId="51985B3B" w:rsidR="00AC7208" w:rsidRDefault="00AC7208" w:rsidP="006B61FC"/>
    <w:p w14:paraId="5CF0D33B" w14:textId="465B5BEB" w:rsidR="00AC7208" w:rsidRDefault="00AC7208" w:rsidP="006B61FC">
      <w:r>
        <w:t xml:space="preserve">Apuleius. Metamorphosis (The Golden Ass). (trans.). 1994. P.G. Walsh. </w:t>
      </w:r>
    </w:p>
    <w:sectPr w:rsidR="00AC7208" w:rsidSect="001A2E6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22D1F4" w14:textId="77777777" w:rsidR="000E4864" w:rsidRDefault="000E4864" w:rsidP="006B61FC">
      <w:r>
        <w:separator/>
      </w:r>
    </w:p>
  </w:endnote>
  <w:endnote w:type="continuationSeparator" w:id="0">
    <w:p w14:paraId="4CE501B1" w14:textId="77777777" w:rsidR="000E4864" w:rsidRDefault="000E4864" w:rsidP="006B61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169201" w14:textId="77777777" w:rsidR="000E4864" w:rsidRDefault="000E4864" w:rsidP="006B61FC">
      <w:r>
        <w:separator/>
      </w:r>
    </w:p>
  </w:footnote>
  <w:footnote w:type="continuationSeparator" w:id="0">
    <w:p w14:paraId="7CEDA968" w14:textId="77777777" w:rsidR="000E4864" w:rsidRDefault="000E4864" w:rsidP="006B61FC">
      <w:r>
        <w:continuationSeparator/>
      </w:r>
    </w:p>
  </w:footnote>
  <w:footnote w:id="1">
    <w:p w14:paraId="449552A2" w14:textId="276D167C" w:rsidR="006B61FC" w:rsidRDefault="006B61FC">
      <w:pPr>
        <w:pStyle w:val="FootnoteText"/>
      </w:pPr>
      <w:r>
        <w:rPr>
          <w:rStyle w:val="FootnoteReference"/>
        </w:rPr>
        <w:footnoteRef/>
      </w:r>
      <w:r w:rsidR="004B274A">
        <w:t xml:space="preserve"> </w:t>
      </w:r>
      <w:r w:rsidR="006852B7">
        <w:t>Ferguson</w:t>
      </w:r>
      <w:r w:rsidR="004B274A">
        <w:t>, 1977</w:t>
      </w:r>
      <w:r w:rsidR="000F31C4">
        <w:t>.</w:t>
      </w:r>
    </w:p>
  </w:footnote>
  <w:footnote w:id="2">
    <w:p w14:paraId="2F8FF69B" w14:textId="01835C00" w:rsidR="006B61FC" w:rsidRDefault="006B61FC">
      <w:pPr>
        <w:pStyle w:val="FootnoteText"/>
      </w:pPr>
      <w:r>
        <w:rPr>
          <w:rStyle w:val="FootnoteReference"/>
        </w:rPr>
        <w:footnoteRef/>
      </w:r>
      <w:r>
        <w:t xml:space="preserve"> Rives</w:t>
      </w:r>
      <w:r w:rsidR="004B274A">
        <w:t>, 2007</w:t>
      </w:r>
      <w:r w:rsidR="000F31C4">
        <w:t>.</w:t>
      </w:r>
    </w:p>
  </w:footnote>
  <w:footnote w:id="3">
    <w:p w14:paraId="40F46569" w14:textId="71CDDC25" w:rsidR="006B61FC" w:rsidRDefault="006B61FC">
      <w:pPr>
        <w:pStyle w:val="FootnoteText"/>
      </w:pPr>
      <w:r>
        <w:rPr>
          <w:rStyle w:val="FootnoteReference"/>
        </w:rPr>
        <w:footnoteRef/>
      </w:r>
      <w:r>
        <w:t xml:space="preserve"> </w:t>
      </w:r>
      <w:r w:rsidR="004B274A">
        <w:t>Green, 1992</w:t>
      </w:r>
      <w:r w:rsidR="000F31C4">
        <w:t>.</w:t>
      </w:r>
    </w:p>
  </w:footnote>
  <w:footnote w:id="4">
    <w:p w14:paraId="7AE34375" w14:textId="138BB5E5" w:rsidR="006B61FC" w:rsidRDefault="006B61FC">
      <w:pPr>
        <w:pStyle w:val="FootnoteText"/>
      </w:pPr>
      <w:r>
        <w:rPr>
          <w:rStyle w:val="FootnoteReference"/>
        </w:rPr>
        <w:footnoteRef/>
      </w:r>
      <w:r>
        <w:t xml:space="preserve"> </w:t>
      </w:r>
      <w:r w:rsidR="004B274A">
        <w:t>Green, 1992</w:t>
      </w:r>
      <w:r w:rsidR="000F31C4">
        <w:t>.</w:t>
      </w:r>
    </w:p>
  </w:footnote>
  <w:footnote w:id="5">
    <w:p w14:paraId="7B9FE94B" w14:textId="7EA4CE4F" w:rsidR="006B61FC" w:rsidRDefault="006B61FC">
      <w:pPr>
        <w:pStyle w:val="FootnoteText"/>
      </w:pPr>
      <w:r>
        <w:rPr>
          <w:rStyle w:val="FootnoteReference"/>
        </w:rPr>
        <w:footnoteRef/>
      </w:r>
      <w:r w:rsidR="004B274A">
        <w:t xml:space="preserve"> </w:t>
      </w:r>
      <w:r w:rsidR="004B274A">
        <w:t>Green, 1992</w:t>
      </w:r>
      <w:r w:rsidR="000F31C4">
        <w:t>.</w:t>
      </w:r>
    </w:p>
  </w:footnote>
  <w:footnote w:id="6">
    <w:p w14:paraId="40C5E3F2" w14:textId="7B9F7331" w:rsidR="006B61FC" w:rsidRDefault="006B61FC">
      <w:pPr>
        <w:pStyle w:val="FootnoteText"/>
      </w:pPr>
      <w:r>
        <w:rPr>
          <w:rStyle w:val="FootnoteReference"/>
        </w:rPr>
        <w:footnoteRef/>
      </w:r>
      <w:r>
        <w:t xml:space="preserve"> </w:t>
      </w:r>
      <w:r w:rsidR="004B274A">
        <w:t>Green, 1995, pp. 440, figure 23.5</w:t>
      </w:r>
      <w:r w:rsidR="000F31C4">
        <w:t>.</w:t>
      </w:r>
    </w:p>
  </w:footnote>
  <w:footnote w:id="7">
    <w:p w14:paraId="02C6A4F1" w14:textId="0C56F294" w:rsidR="006B61FC" w:rsidRDefault="006B61FC">
      <w:pPr>
        <w:pStyle w:val="FootnoteText"/>
      </w:pPr>
      <w:r>
        <w:rPr>
          <w:rStyle w:val="FootnoteReference"/>
        </w:rPr>
        <w:footnoteRef/>
      </w:r>
      <w:r>
        <w:t xml:space="preserve"> </w:t>
      </w:r>
      <w:r w:rsidR="004B274A">
        <w:t>Green, 1992</w:t>
      </w:r>
      <w:r w:rsidR="000F31C4">
        <w:t>.</w:t>
      </w:r>
    </w:p>
  </w:footnote>
  <w:footnote w:id="8">
    <w:p w14:paraId="19B265DA" w14:textId="2F1323F3" w:rsidR="006B61FC" w:rsidRDefault="006B61FC">
      <w:pPr>
        <w:pStyle w:val="FootnoteText"/>
      </w:pPr>
      <w:r>
        <w:rPr>
          <w:rStyle w:val="FootnoteReference"/>
        </w:rPr>
        <w:footnoteRef/>
      </w:r>
      <w:r>
        <w:t xml:space="preserve"> </w:t>
      </w:r>
      <w:r w:rsidR="004B274A">
        <w:t>Green, 1992</w:t>
      </w:r>
      <w:r w:rsidR="000F31C4">
        <w:t>.</w:t>
      </w:r>
    </w:p>
  </w:footnote>
  <w:footnote w:id="9">
    <w:p w14:paraId="6BFA2DCB" w14:textId="4E570674" w:rsidR="006B61FC" w:rsidRDefault="006B61FC">
      <w:pPr>
        <w:pStyle w:val="FootnoteText"/>
      </w:pPr>
      <w:r>
        <w:rPr>
          <w:rStyle w:val="FootnoteReference"/>
        </w:rPr>
        <w:footnoteRef/>
      </w:r>
      <w:r>
        <w:t xml:space="preserve"> </w:t>
      </w:r>
      <w:r w:rsidR="00667612">
        <w:t>Green, 1995, pp. 440, figure 23.5</w:t>
      </w:r>
      <w:r w:rsidR="000F31C4">
        <w:t>.</w:t>
      </w:r>
    </w:p>
  </w:footnote>
  <w:footnote w:id="10">
    <w:p w14:paraId="6A9B4C07" w14:textId="6206605D" w:rsidR="00667612" w:rsidRDefault="006B61FC">
      <w:pPr>
        <w:pStyle w:val="FootnoteText"/>
      </w:pPr>
      <w:r>
        <w:rPr>
          <w:rStyle w:val="FootnoteReference"/>
        </w:rPr>
        <w:footnoteRef/>
      </w:r>
      <w:r>
        <w:t xml:space="preserve"> </w:t>
      </w:r>
      <w:r w:rsidR="00667612">
        <w:t xml:space="preserve">Green, 1995, Available at: </w:t>
      </w:r>
      <w:r w:rsidR="00667612" w:rsidRPr="00667612">
        <w:t>https://balkancelts.files.wordpress.com/2012/09/epo-1.jpg</w:t>
      </w:r>
    </w:p>
  </w:footnote>
  <w:footnote w:id="11">
    <w:p w14:paraId="76159756" w14:textId="0DCEA5A5" w:rsidR="006B61FC" w:rsidRDefault="006B61FC">
      <w:pPr>
        <w:pStyle w:val="FootnoteText"/>
      </w:pPr>
      <w:r>
        <w:rPr>
          <w:rStyle w:val="FootnoteReference"/>
        </w:rPr>
        <w:footnoteRef/>
      </w:r>
      <w:r>
        <w:t xml:space="preserve"> </w:t>
      </w:r>
      <w:r w:rsidR="000F31C4">
        <w:t>Green, 1992</w:t>
      </w:r>
      <w:r w:rsidR="00667612">
        <w:t xml:space="preserve"> , pp. 93</w:t>
      </w:r>
      <w:r w:rsidR="000F31C4">
        <w:t>.</w:t>
      </w:r>
    </w:p>
  </w:footnote>
  <w:footnote w:id="12">
    <w:p w14:paraId="355BB7DA" w14:textId="36A690C8" w:rsidR="009744D9" w:rsidRDefault="009744D9">
      <w:pPr>
        <w:pStyle w:val="FootnoteText"/>
      </w:pPr>
      <w:r>
        <w:rPr>
          <w:rStyle w:val="FootnoteReference"/>
        </w:rPr>
        <w:footnoteRef/>
      </w:r>
      <w:r w:rsidR="000F31C4">
        <w:t xml:space="preserve"> Green, 1992, PP. 155.</w:t>
      </w:r>
      <w:r>
        <w:t xml:space="preserve"> </w:t>
      </w:r>
    </w:p>
  </w:footnote>
  <w:footnote w:id="13">
    <w:p w14:paraId="1AA8F88B" w14:textId="1F046C84" w:rsidR="009744D9" w:rsidRPr="004B274A" w:rsidRDefault="009744D9">
      <w:pPr>
        <w:pStyle w:val="FootnoteText"/>
        <w:rPr>
          <w:b/>
        </w:rPr>
      </w:pPr>
      <w:r>
        <w:rPr>
          <w:rStyle w:val="FootnoteReference"/>
        </w:rPr>
        <w:footnoteRef/>
      </w:r>
      <w:r>
        <w:t xml:space="preserve"> </w:t>
      </w:r>
      <w:r w:rsidR="004B274A">
        <w:t>Green, 1992</w:t>
      </w:r>
      <w:r w:rsidR="000F31C4">
        <w:t>.</w:t>
      </w:r>
    </w:p>
  </w:footnote>
  <w:footnote w:id="14">
    <w:p w14:paraId="5F53B7DF" w14:textId="07C3BE4A" w:rsidR="009744D9" w:rsidRDefault="009744D9">
      <w:pPr>
        <w:pStyle w:val="FootnoteText"/>
      </w:pPr>
      <w:r>
        <w:rPr>
          <w:rStyle w:val="FootnoteReference"/>
        </w:rPr>
        <w:footnoteRef/>
      </w:r>
      <w:r w:rsidR="004B274A">
        <w:t xml:space="preserve"> Dixon-Kennedy, 1996</w:t>
      </w:r>
      <w:r w:rsidR="000F31C4">
        <w:t>.</w:t>
      </w:r>
    </w:p>
  </w:footnote>
  <w:footnote w:id="15">
    <w:p w14:paraId="29C1DBE0" w14:textId="3DF6AC4E" w:rsidR="009744D9" w:rsidRDefault="009744D9">
      <w:pPr>
        <w:pStyle w:val="FootnoteText"/>
      </w:pPr>
      <w:r>
        <w:rPr>
          <w:rStyle w:val="FootnoteReference"/>
        </w:rPr>
        <w:footnoteRef/>
      </w:r>
      <w:r>
        <w:t xml:space="preserve"> </w:t>
      </w:r>
      <w:proofErr w:type="spellStart"/>
      <w:r w:rsidR="004B274A">
        <w:t>Caes</w:t>
      </w:r>
      <w:proofErr w:type="spellEnd"/>
      <w:r w:rsidR="004B274A">
        <w:t xml:space="preserve">. BG. 6, 17. </w:t>
      </w:r>
    </w:p>
  </w:footnote>
  <w:footnote w:id="16">
    <w:p w14:paraId="0D1CEF81" w14:textId="7B67CCCC" w:rsidR="009744D9" w:rsidRDefault="009744D9">
      <w:pPr>
        <w:pStyle w:val="FootnoteText"/>
      </w:pPr>
      <w:r>
        <w:rPr>
          <w:rStyle w:val="FootnoteReference"/>
        </w:rPr>
        <w:footnoteRef/>
      </w:r>
      <w:r>
        <w:t xml:space="preserve"> </w:t>
      </w:r>
      <w:r w:rsidR="004B274A">
        <w:t>Green, 1995</w:t>
      </w:r>
      <w:r w:rsidR="000F31C4">
        <w:t>.</w:t>
      </w:r>
    </w:p>
  </w:footnote>
  <w:footnote w:id="17">
    <w:p w14:paraId="2A1CD426" w14:textId="212B1A58" w:rsidR="009744D9" w:rsidRDefault="009744D9">
      <w:pPr>
        <w:pStyle w:val="FootnoteText"/>
      </w:pPr>
      <w:r>
        <w:rPr>
          <w:rStyle w:val="FootnoteReference"/>
        </w:rPr>
        <w:footnoteRef/>
      </w:r>
      <w:r>
        <w:t xml:space="preserve"> </w:t>
      </w:r>
      <w:proofErr w:type="spellStart"/>
      <w:r w:rsidR="004B274A">
        <w:t>Apul</w:t>
      </w:r>
      <w:proofErr w:type="spellEnd"/>
      <w:r w:rsidR="004B274A">
        <w:t xml:space="preserve">. Met. 3, 27. </w:t>
      </w:r>
    </w:p>
  </w:footnote>
  <w:footnote w:id="18">
    <w:p w14:paraId="2F0376B2" w14:textId="092B9B93" w:rsidR="009744D9" w:rsidRDefault="009744D9" w:rsidP="009744D9">
      <w:pPr>
        <w:pStyle w:val="FootnoteText"/>
      </w:pPr>
      <w:r>
        <w:rPr>
          <w:rStyle w:val="FootnoteReference"/>
        </w:rPr>
        <w:footnoteRef/>
      </w:r>
      <w:r>
        <w:t xml:space="preserve"> </w:t>
      </w:r>
      <w:r w:rsidR="004B274A">
        <w:t>Ferguson, 1977</w:t>
      </w:r>
      <w:r w:rsidR="000F31C4">
        <w:t>.</w:t>
      </w:r>
    </w:p>
  </w:footnote>
  <w:footnote w:id="19">
    <w:p w14:paraId="32ED49AE" w14:textId="68FC169D" w:rsidR="009744D9" w:rsidRDefault="009744D9" w:rsidP="009744D9">
      <w:pPr>
        <w:pStyle w:val="FootnoteText"/>
      </w:pPr>
      <w:r>
        <w:rPr>
          <w:rStyle w:val="FootnoteReference"/>
        </w:rPr>
        <w:footnoteRef/>
      </w:r>
      <w:r>
        <w:t xml:space="preserve"> </w:t>
      </w:r>
      <w:r w:rsidR="004B274A">
        <w:t>Fe</w:t>
      </w:r>
      <w:r>
        <w:t>rguson</w:t>
      </w:r>
      <w:r w:rsidR="004B274A">
        <w:t>, 1977</w:t>
      </w:r>
      <w:r w:rsidR="000F31C4">
        <w:t>.</w:t>
      </w:r>
    </w:p>
  </w:footnote>
  <w:footnote w:id="20">
    <w:p w14:paraId="543068D5" w14:textId="29FC786D" w:rsidR="009744D9" w:rsidRDefault="009744D9" w:rsidP="009744D9">
      <w:pPr>
        <w:pStyle w:val="FootnoteText"/>
      </w:pPr>
      <w:r>
        <w:rPr>
          <w:rStyle w:val="FootnoteReference"/>
        </w:rPr>
        <w:footnoteRef/>
      </w:r>
      <w:r w:rsidR="004B274A">
        <w:t xml:space="preserve"> Rives, 2007</w:t>
      </w:r>
      <w:r w:rsidR="000F31C4">
        <w:t>.</w:t>
      </w:r>
    </w:p>
  </w:footnote>
  <w:footnote w:id="21">
    <w:p w14:paraId="60329E4D" w14:textId="55A4BCF2" w:rsidR="009744D9" w:rsidRDefault="009744D9" w:rsidP="009744D9">
      <w:pPr>
        <w:pStyle w:val="FootnoteText"/>
      </w:pPr>
      <w:r>
        <w:rPr>
          <w:rStyle w:val="FootnoteReference"/>
        </w:rPr>
        <w:footnoteRef/>
      </w:r>
      <w:r w:rsidR="004B274A">
        <w:t xml:space="preserve"> </w:t>
      </w:r>
      <w:r w:rsidR="004B274A">
        <w:t>Green, 1995</w:t>
      </w:r>
      <w:r w:rsidR="000F31C4">
        <w:t>.</w:t>
      </w:r>
    </w:p>
  </w:footnote>
  <w:footnote w:id="22">
    <w:p w14:paraId="556D885C" w14:textId="4953876F" w:rsidR="000F31C4" w:rsidRDefault="009744D9" w:rsidP="009744D9">
      <w:pPr>
        <w:pStyle w:val="FootnoteText"/>
      </w:pPr>
      <w:r>
        <w:rPr>
          <w:rStyle w:val="FootnoteReference"/>
        </w:rPr>
        <w:footnoteRef/>
      </w:r>
      <w:r>
        <w:t xml:space="preserve"> </w:t>
      </w:r>
      <w:r w:rsidR="004B274A">
        <w:t>Green, 1995</w:t>
      </w:r>
      <w:r w:rsidR="000F31C4">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1FC"/>
    <w:rsid w:val="000E4864"/>
    <w:rsid w:val="000F31C4"/>
    <w:rsid w:val="0013105A"/>
    <w:rsid w:val="001A2E63"/>
    <w:rsid w:val="004B274A"/>
    <w:rsid w:val="00667612"/>
    <w:rsid w:val="006852B7"/>
    <w:rsid w:val="006B61FC"/>
    <w:rsid w:val="00865352"/>
    <w:rsid w:val="009744D9"/>
    <w:rsid w:val="00A64B80"/>
    <w:rsid w:val="00AC7208"/>
    <w:rsid w:val="00B7022A"/>
    <w:rsid w:val="00B95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7989A"/>
  <w15:chartTrackingRefBased/>
  <w15:docId w15:val="{493094DC-C476-E44E-9C35-B71127758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B61F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B61FC"/>
    <w:rPr>
      <w:sz w:val="20"/>
      <w:szCs w:val="20"/>
    </w:rPr>
  </w:style>
  <w:style w:type="character" w:customStyle="1" w:styleId="FootnoteTextChar">
    <w:name w:val="Footnote Text Char"/>
    <w:basedOn w:val="DefaultParagraphFont"/>
    <w:link w:val="FootnoteText"/>
    <w:uiPriority w:val="99"/>
    <w:semiHidden/>
    <w:rsid w:val="006B61FC"/>
    <w:rPr>
      <w:sz w:val="20"/>
      <w:szCs w:val="20"/>
    </w:rPr>
  </w:style>
  <w:style w:type="character" w:styleId="FootnoteReference">
    <w:name w:val="footnote reference"/>
    <w:basedOn w:val="DefaultParagraphFont"/>
    <w:uiPriority w:val="99"/>
    <w:semiHidden/>
    <w:unhideWhenUsed/>
    <w:rsid w:val="006B61FC"/>
    <w:rPr>
      <w:vertAlign w:val="superscript"/>
    </w:rPr>
  </w:style>
  <w:style w:type="character" w:styleId="Hyperlink">
    <w:name w:val="Hyperlink"/>
    <w:basedOn w:val="DefaultParagraphFont"/>
    <w:uiPriority w:val="99"/>
    <w:unhideWhenUsed/>
    <w:rsid w:val="00667612"/>
    <w:rPr>
      <w:color w:val="0563C1" w:themeColor="hyperlink"/>
      <w:u w:val="single"/>
    </w:rPr>
  </w:style>
  <w:style w:type="character" w:styleId="UnresolvedMention">
    <w:name w:val="Unresolved Mention"/>
    <w:basedOn w:val="DefaultParagraphFont"/>
    <w:uiPriority w:val="99"/>
    <w:semiHidden/>
    <w:unhideWhenUsed/>
    <w:rsid w:val="006676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4</Pages>
  <Words>1114</Words>
  <Characters>6350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Stone (1600194)</dc:creator>
  <cp:keywords/>
  <dc:description/>
  <cp:lastModifiedBy>Charlotte Stone (1600194)</cp:lastModifiedBy>
  <cp:revision>1</cp:revision>
  <dcterms:created xsi:type="dcterms:W3CDTF">2018-09-28T17:21:00Z</dcterms:created>
  <dcterms:modified xsi:type="dcterms:W3CDTF">2018-09-28T18:41:00Z</dcterms:modified>
</cp:coreProperties>
</file>