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058C6B62" w14:textId="7FAF4F7F" w:rsidR="00E41118" w:rsidRDefault="002166FA" w:rsidP="00E41118">
      <w:r>
        <w:rPr>
          <w:noProof/>
        </w:rPr>
        <w:drawing>
          <wp:inline distT="0" distB="0" distL="0" distR="0" wp14:anchorId="0389BE1E" wp14:editId="564F257E">
            <wp:extent cx="2220595" cy="914400"/>
            <wp:effectExtent l="0" t="0" r="8255"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220595" cy="914400"/>
                    </a:xfrm>
                    <a:prstGeom prst="rect">
                      <a:avLst/>
                    </a:prstGeom>
                    <a:noFill/>
                    <a:ln>
                      <a:noFill/>
                    </a:ln>
                  </pic:spPr>
                </pic:pic>
              </a:graphicData>
            </a:graphic>
          </wp:inline>
        </w:drawing>
      </w:r>
    </w:p>
    <w:tbl>
      <w:tblPr>
        <w:tblW w:w="9185"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50"/>
        <w:gridCol w:w="2790"/>
        <w:gridCol w:w="2134"/>
        <w:gridCol w:w="2011"/>
      </w:tblGrid>
      <w:tr w:rsidR="002166FA" w:rsidRPr="00E04DD0" w14:paraId="2B05BA47" w14:textId="77777777" w:rsidTr="00CF73B4">
        <w:trPr>
          <w:trHeight w:val="794"/>
        </w:trPr>
        <w:tc>
          <w:tcPr>
            <w:tcW w:w="2250" w:type="dxa"/>
            <w:shd w:val="pct15" w:color="auto" w:fill="auto"/>
          </w:tcPr>
          <w:p w14:paraId="4BC9A3F7"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Student name:</w:t>
            </w:r>
          </w:p>
        </w:tc>
        <w:tc>
          <w:tcPr>
            <w:tcW w:w="2790" w:type="dxa"/>
          </w:tcPr>
          <w:p w14:paraId="11A4249C" w14:textId="3D6F2E3E" w:rsidR="002166FA" w:rsidRPr="005D3452" w:rsidRDefault="002166FA" w:rsidP="00CF73B4">
            <w:pPr>
              <w:spacing w:before="120" w:line="276" w:lineRule="auto"/>
              <w:jc w:val="both"/>
              <w:rPr>
                <w:rFonts w:ascii="Times New Roman" w:eastAsia="Calibri" w:hAnsi="Times New Roman" w:cs="Times New Roman"/>
                <w:b/>
                <w:sz w:val="24"/>
                <w:szCs w:val="24"/>
              </w:rPr>
            </w:pPr>
            <w:r w:rsidRPr="002166FA">
              <w:rPr>
                <w:rFonts w:ascii="Times New Roman" w:eastAsia="Calibri" w:hAnsi="Times New Roman" w:cs="Times New Roman"/>
                <w:b/>
                <w:bCs/>
                <w:sz w:val="24"/>
                <w:szCs w:val="24"/>
              </w:rPr>
              <w:t>Noman Saddiquee</w:t>
            </w:r>
          </w:p>
        </w:tc>
        <w:tc>
          <w:tcPr>
            <w:tcW w:w="2134" w:type="dxa"/>
            <w:shd w:val="clear" w:color="auto" w:fill="D9D9D9"/>
          </w:tcPr>
          <w:p w14:paraId="611D3209"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Student ID number:</w:t>
            </w:r>
          </w:p>
        </w:tc>
        <w:tc>
          <w:tcPr>
            <w:tcW w:w="2011" w:type="dxa"/>
          </w:tcPr>
          <w:p w14:paraId="38157A68" w14:textId="4928E944" w:rsidR="002166FA" w:rsidRPr="005D3452" w:rsidRDefault="002166FA" w:rsidP="00CF73B4">
            <w:pPr>
              <w:spacing w:before="120" w:line="276" w:lineRule="auto"/>
              <w:jc w:val="both"/>
              <w:rPr>
                <w:rFonts w:ascii="Times New Roman" w:eastAsia="Calibri" w:hAnsi="Times New Roman" w:cs="Times New Roman"/>
                <w:b/>
                <w:sz w:val="24"/>
                <w:szCs w:val="24"/>
              </w:rPr>
            </w:pPr>
            <w:r w:rsidRPr="002166FA">
              <w:rPr>
                <w:rFonts w:ascii="Times New Roman" w:eastAsia="Calibri" w:hAnsi="Times New Roman" w:cs="Times New Roman"/>
                <w:b/>
                <w:bCs/>
                <w:sz w:val="24"/>
                <w:szCs w:val="24"/>
              </w:rPr>
              <w:t>2510122</w:t>
            </w:r>
          </w:p>
        </w:tc>
      </w:tr>
      <w:tr w:rsidR="002166FA" w:rsidRPr="00E04DD0" w14:paraId="736487D5" w14:textId="77777777" w:rsidTr="00CF73B4">
        <w:trPr>
          <w:trHeight w:val="794"/>
        </w:trPr>
        <w:tc>
          <w:tcPr>
            <w:tcW w:w="2250" w:type="dxa"/>
            <w:shd w:val="pct15" w:color="auto" w:fill="auto"/>
          </w:tcPr>
          <w:p w14:paraId="15C80F1C"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Programme:</w:t>
            </w:r>
          </w:p>
        </w:tc>
        <w:tc>
          <w:tcPr>
            <w:tcW w:w="6935" w:type="dxa"/>
            <w:gridSpan w:val="3"/>
          </w:tcPr>
          <w:p w14:paraId="36F86C6E"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eastAsia="Calibri" w:hAnsi="Times New Roman" w:cs="Times New Roman"/>
                <w:sz w:val="24"/>
                <w:szCs w:val="24"/>
              </w:rPr>
              <w:t>MBA</w:t>
            </w:r>
          </w:p>
        </w:tc>
      </w:tr>
      <w:tr w:rsidR="002166FA" w:rsidRPr="00E04DD0" w14:paraId="3A607195" w14:textId="77777777" w:rsidTr="00CF73B4">
        <w:trPr>
          <w:trHeight w:val="821"/>
        </w:trPr>
        <w:tc>
          <w:tcPr>
            <w:tcW w:w="2250" w:type="dxa"/>
            <w:shd w:val="pct15" w:color="auto" w:fill="auto"/>
          </w:tcPr>
          <w:p w14:paraId="72BBE858"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Module:</w:t>
            </w:r>
          </w:p>
        </w:tc>
        <w:tc>
          <w:tcPr>
            <w:tcW w:w="6935" w:type="dxa"/>
            <w:gridSpan w:val="3"/>
          </w:tcPr>
          <w:p w14:paraId="2DCD5C73"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Style w:val="fontstyle01"/>
                <w:rFonts w:ascii="Times New Roman" w:hAnsi="Times New Roman" w:cs="Times New Roman"/>
                <w:b w:val="0"/>
                <w:sz w:val="24"/>
                <w:szCs w:val="24"/>
              </w:rPr>
              <w:t>Managing Marketing Change</w:t>
            </w:r>
            <w:r w:rsidRPr="005D3452">
              <w:rPr>
                <w:rFonts w:ascii="Times New Roman" w:hAnsi="Times New Roman" w:cs="Times New Roman"/>
                <w:b/>
                <w:sz w:val="24"/>
                <w:szCs w:val="24"/>
              </w:rPr>
              <w:t xml:space="preserve"> </w:t>
            </w:r>
          </w:p>
        </w:tc>
      </w:tr>
      <w:tr w:rsidR="002166FA" w:rsidRPr="00E04DD0" w14:paraId="79CC0E4C" w14:textId="77777777" w:rsidTr="00CF73B4">
        <w:trPr>
          <w:trHeight w:val="1128"/>
        </w:trPr>
        <w:tc>
          <w:tcPr>
            <w:tcW w:w="2250" w:type="dxa"/>
            <w:shd w:val="pct15" w:color="auto" w:fill="auto"/>
          </w:tcPr>
          <w:p w14:paraId="20F237C0"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Module code:</w:t>
            </w:r>
          </w:p>
        </w:tc>
        <w:tc>
          <w:tcPr>
            <w:tcW w:w="2790" w:type="dxa"/>
          </w:tcPr>
          <w:p w14:paraId="07517355" w14:textId="77777777" w:rsidR="002166FA" w:rsidRPr="005D3452" w:rsidRDefault="002166FA" w:rsidP="00CF73B4">
            <w:pPr>
              <w:shd w:val="clear" w:color="auto" w:fill="FFFFFF"/>
              <w:spacing w:before="100" w:beforeAutospacing="1" w:after="100" w:afterAutospacing="1" w:line="276" w:lineRule="auto"/>
              <w:ind w:left="3"/>
              <w:jc w:val="both"/>
              <w:rPr>
                <w:rFonts w:ascii="Times New Roman" w:eastAsia="Calibri" w:hAnsi="Times New Roman" w:cs="Times New Roman"/>
                <w:b/>
                <w:color w:val="000000"/>
                <w:sz w:val="24"/>
                <w:szCs w:val="24"/>
              </w:rPr>
            </w:pPr>
            <w:r w:rsidRPr="005D3452">
              <w:rPr>
                <w:rStyle w:val="fontstyle01"/>
                <w:rFonts w:ascii="Times New Roman" w:hAnsi="Times New Roman" w:cs="Times New Roman"/>
                <w:b w:val="0"/>
                <w:sz w:val="24"/>
                <w:szCs w:val="24"/>
              </w:rPr>
              <w:t>BMMB7026</w:t>
            </w:r>
            <w:r w:rsidRPr="005D3452">
              <w:rPr>
                <w:rFonts w:ascii="Times New Roman" w:hAnsi="Times New Roman" w:cs="Times New Roman"/>
                <w:b/>
                <w:sz w:val="24"/>
                <w:szCs w:val="24"/>
              </w:rPr>
              <w:t xml:space="preserve"> </w:t>
            </w:r>
          </w:p>
        </w:tc>
        <w:tc>
          <w:tcPr>
            <w:tcW w:w="2134" w:type="dxa"/>
            <w:shd w:val="clear" w:color="auto" w:fill="D9D9D9"/>
          </w:tcPr>
          <w:p w14:paraId="5AC2284B" w14:textId="77777777" w:rsidR="002166FA" w:rsidRPr="005D3452" w:rsidRDefault="002166FA" w:rsidP="00CF73B4">
            <w:pPr>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Contribution to Overall Module Assessment (%):</w:t>
            </w:r>
          </w:p>
        </w:tc>
        <w:tc>
          <w:tcPr>
            <w:tcW w:w="2011" w:type="dxa"/>
          </w:tcPr>
          <w:p w14:paraId="6590A9B9"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hAnsi="Times New Roman" w:cs="Times New Roman"/>
                <w:bCs/>
                <w:color w:val="000000"/>
                <w:sz w:val="24"/>
                <w:szCs w:val="24"/>
              </w:rPr>
              <w:t>75%</w:t>
            </w:r>
            <w:r w:rsidRPr="005D3452">
              <w:rPr>
                <w:rFonts w:ascii="Times New Roman" w:hAnsi="Times New Roman" w:cs="Times New Roman"/>
                <w:sz w:val="24"/>
                <w:szCs w:val="24"/>
              </w:rPr>
              <w:t xml:space="preserve"> </w:t>
            </w:r>
          </w:p>
        </w:tc>
      </w:tr>
      <w:tr w:rsidR="002166FA" w:rsidRPr="00E04DD0" w14:paraId="0F715788" w14:textId="77777777" w:rsidTr="00CF73B4">
        <w:trPr>
          <w:trHeight w:val="847"/>
        </w:trPr>
        <w:tc>
          <w:tcPr>
            <w:tcW w:w="2250" w:type="dxa"/>
            <w:shd w:val="pct15" w:color="auto" w:fill="auto"/>
          </w:tcPr>
          <w:p w14:paraId="244D6FA0"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Lecturer:</w:t>
            </w:r>
          </w:p>
        </w:tc>
        <w:tc>
          <w:tcPr>
            <w:tcW w:w="2790" w:type="dxa"/>
          </w:tcPr>
          <w:p w14:paraId="49C003E6"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Style w:val="fontstyle01"/>
                <w:rFonts w:ascii="Times New Roman" w:hAnsi="Times New Roman" w:cs="Times New Roman"/>
                <w:b w:val="0"/>
                <w:sz w:val="24"/>
                <w:szCs w:val="24"/>
              </w:rPr>
              <w:t>Gwyneth Jones</w:t>
            </w:r>
            <w:r w:rsidRPr="005D3452">
              <w:rPr>
                <w:rFonts w:ascii="Times New Roman" w:hAnsi="Times New Roman" w:cs="Times New Roman"/>
                <w:b/>
                <w:sz w:val="24"/>
                <w:szCs w:val="24"/>
              </w:rPr>
              <w:t xml:space="preserve"> </w:t>
            </w:r>
          </w:p>
        </w:tc>
        <w:tc>
          <w:tcPr>
            <w:tcW w:w="2134" w:type="dxa"/>
            <w:shd w:val="clear" w:color="auto" w:fill="D9D9D9"/>
          </w:tcPr>
          <w:p w14:paraId="66625FED" w14:textId="77777777" w:rsidR="002166FA" w:rsidRPr="005D3452" w:rsidRDefault="002166FA" w:rsidP="00CF73B4">
            <w:pPr>
              <w:spacing w:before="100" w:beforeAutospacing="1" w:after="100" w:afterAutospacing="1" w:line="240" w:lineRule="auto"/>
              <w:ind w:left="-57"/>
              <w:contextualSpacing/>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Internal Verifier:</w:t>
            </w:r>
          </w:p>
        </w:tc>
        <w:tc>
          <w:tcPr>
            <w:tcW w:w="2011" w:type="dxa"/>
          </w:tcPr>
          <w:p w14:paraId="6706EAFA"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eastAsia="Calibri" w:hAnsi="Times New Roman" w:cs="Times New Roman"/>
                <w:bCs/>
                <w:sz w:val="24"/>
                <w:szCs w:val="24"/>
              </w:rPr>
              <w:t>Marie Pitson</w:t>
            </w:r>
          </w:p>
        </w:tc>
      </w:tr>
      <w:tr w:rsidR="002166FA" w:rsidRPr="00E04DD0" w14:paraId="1F1F34CB" w14:textId="77777777" w:rsidTr="00CF73B4">
        <w:trPr>
          <w:trHeight w:val="2079"/>
        </w:trPr>
        <w:tc>
          <w:tcPr>
            <w:tcW w:w="2250" w:type="dxa"/>
            <w:shd w:val="pct15" w:color="auto" w:fill="auto"/>
          </w:tcPr>
          <w:p w14:paraId="0A37C6AA"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Assignment Title:</w:t>
            </w:r>
          </w:p>
        </w:tc>
        <w:tc>
          <w:tcPr>
            <w:tcW w:w="2790" w:type="dxa"/>
          </w:tcPr>
          <w:p w14:paraId="18CD1B76" w14:textId="77777777" w:rsidR="002166FA" w:rsidRPr="005D3452" w:rsidRDefault="002166FA" w:rsidP="00CF73B4">
            <w:pPr>
              <w:spacing w:after="0" w:line="240" w:lineRule="auto"/>
              <w:jc w:val="both"/>
              <w:rPr>
                <w:rFonts w:ascii="Times New Roman" w:eastAsia="Times New Roman" w:hAnsi="Times New Roman" w:cs="Times New Roman"/>
                <w:bCs/>
                <w:color w:val="000000"/>
                <w:sz w:val="24"/>
                <w:szCs w:val="24"/>
              </w:rPr>
            </w:pPr>
            <w:r w:rsidRPr="005D3452">
              <w:rPr>
                <w:rFonts w:ascii="Times New Roman" w:eastAsia="Times New Roman" w:hAnsi="Times New Roman" w:cs="Times New Roman"/>
                <w:bCs/>
                <w:color w:val="000000"/>
                <w:sz w:val="24"/>
                <w:szCs w:val="24"/>
              </w:rPr>
              <w:t>Future Developments in the</w:t>
            </w:r>
            <w:r>
              <w:rPr>
                <w:rFonts w:ascii="Times New Roman" w:eastAsia="Times New Roman" w:hAnsi="Times New Roman" w:cs="Times New Roman"/>
                <w:bCs/>
                <w:color w:val="000000"/>
                <w:sz w:val="24"/>
                <w:szCs w:val="24"/>
              </w:rPr>
              <w:t xml:space="preserve"> </w:t>
            </w:r>
            <w:r w:rsidRPr="005D3452">
              <w:rPr>
                <w:rFonts w:ascii="Times New Roman" w:eastAsia="Times New Roman" w:hAnsi="Times New Roman" w:cs="Times New Roman"/>
                <w:bCs/>
                <w:color w:val="000000"/>
                <w:sz w:val="24"/>
                <w:szCs w:val="24"/>
              </w:rPr>
              <w:t>Field of Marketing</w:t>
            </w:r>
          </w:p>
          <w:p w14:paraId="0FA33E16"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eastAsia="Times New Roman" w:hAnsi="Times New Roman" w:cs="Times New Roman"/>
                <w:bCs/>
                <w:color w:val="000000"/>
                <w:sz w:val="24"/>
                <w:szCs w:val="24"/>
              </w:rPr>
              <w:t>(Individual Report)</w:t>
            </w:r>
            <w:r w:rsidRPr="005D3452">
              <w:rPr>
                <w:rFonts w:ascii="Times New Roman" w:eastAsia="Times New Roman" w:hAnsi="Times New Roman" w:cs="Times New Roman"/>
                <w:sz w:val="24"/>
                <w:szCs w:val="24"/>
              </w:rPr>
              <w:t xml:space="preserve"> </w:t>
            </w:r>
          </w:p>
        </w:tc>
        <w:tc>
          <w:tcPr>
            <w:tcW w:w="2134" w:type="dxa"/>
            <w:shd w:val="pct15" w:color="auto" w:fill="auto"/>
          </w:tcPr>
          <w:p w14:paraId="049178A9" w14:textId="77777777" w:rsidR="002166FA" w:rsidRPr="005D3452" w:rsidRDefault="002166FA" w:rsidP="00CF73B4">
            <w:pPr>
              <w:spacing w:before="100" w:beforeAutospacing="1" w:after="100" w:afterAutospacing="1" w:line="240" w:lineRule="auto"/>
              <w:ind w:left="-57"/>
              <w:contextualSpacing/>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Word count (or equivalent):</w:t>
            </w:r>
          </w:p>
        </w:tc>
        <w:tc>
          <w:tcPr>
            <w:tcW w:w="2011" w:type="dxa"/>
          </w:tcPr>
          <w:p w14:paraId="5BCE9461"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eastAsia="Times New Roman" w:hAnsi="Times New Roman" w:cs="Times New Roman"/>
                <w:bCs/>
                <w:color w:val="000000"/>
                <w:sz w:val="24"/>
                <w:szCs w:val="24"/>
              </w:rPr>
              <w:t>3960 Words</w:t>
            </w:r>
            <w:r w:rsidRPr="005D3452">
              <w:rPr>
                <w:rFonts w:ascii="Times New Roman" w:eastAsia="Times New Roman" w:hAnsi="Times New Roman" w:cs="Times New Roman"/>
                <w:sz w:val="24"/>
                <w:szCs w:val="24"/>
              </w:rPr>
              <w:t xml:space="preserve"> </w:t>
            </w:r>
          </w:p>
        </w:tc>
      </w:tr>
      <w:tr w:rsidR="002166FA" w:rsidRPr="00E04DD0" w14:paraId="6AC22AF9" w14:textId="77777777" w:rsidTr="00CF73B4">
        <w:trPr>
          <w:trHeight w:val="1808"/>
        </w:trPr>
        <w:tc>
          <w:tcPr>
            <w:tcW w:w="2250" w:type="dxa"/>
            <w:shd w:val="pct15" w:color="auto" w:fill="auto"/>
          </w:tcPr>
          <w:p w14:paraId="0B390446"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Submission deadline:</w:t>
            </w:r>
          </w:p>
        </w:tc>
        <w:tc>
          <w:tcPr>
            <w:tcW w:w="2790" w:type="dxa"/>
          </w:tcPr>
          <w:p w14:paraId="2565B192" w14:textId="77777777" w:rsidR="002166FA" w:rsidRPr="005D3452" w:rsidRDefault="002166FA" w:rsidP="00CF73B4">
            <w:pPr>
              <w:spacing w:before="120" w:line="276" w:lineRule="auto"/>
              <w:jc w:val="both"/>
              <w:rPr>
                <w:rFonts w:ascii="Times New Roman" w:eastAsia="Calibri" w:hAnsi="Times New Roman" w:cs="Times New Roman"/>
                <w:b/>
                <w:sz w:val="24"/>
                <w:szCs w:val="24"/>
              </w:rPr>
            </w:pPr>
            <w:r w:rsidRPr="005D3452">
              <w:rPr>
                <w:rStyle w:val="fontstyle01"/>
                <w:rFonts w:ascii="Times New Roman" w:hAnsi="Times New Roman" w:cs="Times New Roman"/>
                <w:b w:val="0"/>
                <w:sz w:val="24"/>
                <w:szCs w:val="24"/>
              </w:rPr>
              <w:t>Wednesday 7th January 2026</w:t>
            </w:r>
            <w:r w:rsidRPr="005D3452">
              <w:rPr>
                <w:rFonts w:ascii="Times New Roman" w:hAnsi="Times New Roman" w:cs="Times New Roman"/>
                <w:b/>
                <w:sz w:val="24"/>
                <w:szCs w:val="24"/>
              </w:rPr>
              <w:t xml:space="preserve"> </w:t>
            </w:r>
          </w:p>
        </w:tc>
        <w:tc>
          <w:tcPr>
            <w:tcW w:w="2134" w:type="dxa"/>
            <w:shd w:val="pct15" w:color="auto" w:fill="auto"/>
          </w:tcPr>
          <w:p w14:paraId="4959F419" w14:textId="77777777" w:rsidR="002166FA" w:rsidRPr="005D3452" w:rsidRDefault="002166FA" w:rsidP="00CF73B4">
            <w:pPr>
              <w:spacing w:before="100" w:beforeAutospacing="1" w:after="100" w:afterAutospacing="1" w:line="240" w:lineRule="auto"/>
              <w:ind w:left="-57"/>
              <w:contextualSpacing/>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Return date of provisional marks &amp;</w:t>
            </w:r>
          </w:p>
          <w:p w14:paraId="1AF6368E" w14:textId="77777777" w:rsidR="002166FA" w:rsidRPr="005D3452" w:rsidRDefault="002166FA" w:rsidP="00CF73B4">
            <w:pPr>
              <w:spacing w:before="100" w:beforeAutospacing="1" w:after="100" w:afterAutospacing="1" w:line="240" w:lineRule="auto"/>
              <w:contextualSpacing/>
              <w:jc w:val="both"/>
              <w:rPr>
                <w:rFonts w:ascii="Times New Roman" w:eastAsia="Calibri" w:hAnsi="Times New Roman" w:cs="Times New Roman"/>
                <w:b/>
                <w:sz w:val="24"/>
                <w:szCs w:val="24"/>
              </w:rPr>
            </w:pPr>
            <w:r w:rsidRPr="005D3452">
              <w:rPr>
                <w:rFonts w:ascii="Times New Roman" w:eastAsia="Calibri" w:hAnsi="Times New Roman" w:cs="Times New Roman"/>
                <w:b/>
                <w:sz w:val="24"/>
                <w:szCs w:val="24"/>
              </w:rPr>
              <w:t>written feedback:</w:t>
            </w:r>
          </w:p>
        </w:tc>
        <w:tc>
          <w:tcPr>
            <w:tcW w:w="2011" w:type="dxa"/>
          </w:tcPr>
          <w:p w14:paraId="7297A665" w14:textId="77777777" w:rsidR="002166FA" w:rsidRPr="005D3452" w:rsidRDefault="002166FA" w:rsidP="00CF73B4">
            <w:pPr>
              <w:spacing w:after="0" w:line="240" w:lineRule="auto"/>
              <w:jc w:val="both"/>
              <w:rPr>
                <w:rFonts w:ascii="Times New Roman" w:eastAsia="Times New Roman" w:hAnsi="Times New Roman" w:cs="Times New Roman"/>
                <w:bCs/>
                <w:color w:val="000000"/>
                <w:sz w:val="24"/>
                <w:szCs w:val="24"/>
              </w:rPr>
            </w:pPr>
            <w:r w:rsidRPr="005D3452">
              <w:rPr>
                <w:rFonts w:ascii="Times New Roman" w:eastAsia="Times New Roman" w:hAnsi="Times New Roman" w:cs="Times New Roman"/>
                <w:bCs/>
                <w:color w:val="000000"/>
                <w:sz w:val="24"/>
                <w:szCs w:val="24"/>
              </w:rPr>
              <w:t>Wednesday 4th</w:t>
            </w:r>
          </w:p>
          <w:p w14:paraId="3ED77577" w14:textId="77777777" w:rsidR="002166FA" w:rsidRPr="005D3452" w:rsidRDefault="002166FA" w:rsidP="00CF73B4">
            <w:pPr>
              <w:spacing w:before="120" w:line="276" w:lineRule="auto"/>
              <w:jc w:val="both"/>
              <w:rPr>
                <w:rFonts w:ascii="Times New Roman" w:eastAsia="Calibri" w:hAnsi="Times New Roman" w:cs="Times New Roman"/>
                <w:sz w:val="24"/>
                <w:szCs w:val="24"/>
              </w:rPr>
            </w:pPr>
            <w:r w:rsidRPr="005D3452">
              <w:rPr>
                <w:rFonts w:ascii="Times New Roman" w:eastAsia="Times New Roman" w:hAnsi="Times New Roman" w:cs="Times New Roman"/>
                <w:bCs/>
                <w:color w:val="000000"/>
                <w:sz w:val="24"/>
                <w:szCs w:val="24"/>
              </w:rPr>
              <w:t>February 2026</w:t>
            </w:r>
            <w:r w:rsidRPr="005D3452">
              <w:rPr>
                <w:rFonts w:ascii="Times New Roman" w:eastAsia="Times New Roman" w:hAnsi="Times New Roman" w:cs="Times New Roman"/>
                <w:sz w:val="24"/>
                <w:szCs w:val="24"/>
              </w:rPr>
              <w:t xml:space="preserve"> </w:t>
            </w:r>
          </w:p>
        </w:tc>
      </w:tr>
    </w:tbl>
    <w:p w14:paraId="02C54A29" w14:textId="03360E27" w:rsidR="00E41118" w:rsidRDefault="00E41118" w:rsidP="00E41118"/>
    <w:p w14:paraId="65238E86" w14:textId="77777777" w:rsidR="00E41118" w:rsidRDefault="00E41118" w:rsidP="00E41118"/>
    <w:p w14:paraId="55C8DF69" w14:textId="162F9CCF" w:rsidR="003C1A8B" w:rsidRPr="003C1A8B" w:rsidRDefault="00E41118" w:rsidP="003C1A8B">
      <w:pPr>
        <w:spacing w:before="120" w:line="360" w:lineRule="auto"/>
        <w:jc w:val="both"/>
        <w:rPr>
          <w:rFonts w:ascii="Times New Roman" w:hAnsi="Times New Roman" w:cs="Times New Roman"/>
          <w:b/>
          <w:sz w:val="28"/>
          <w:szCs w:val="28"/>
        </w:rPr>
      </w:pPr>
      <w:r>
        <w:br w:type="column"/>
      </w:r>
      <w:r w:rsidR="003C1A8B" w:rsidRPr="003C1A8B">
        <w:rPr>
          <w:rFonts w:ascii="Times New Roman" w:hAnsi="Times New Roman" w:cs="Times New Roman"/>
          <w:b/>
          <w:sz w:val="28"/>
          <w:szCs w:val="28"/>
        </w:rPr>
        <w:lastRenderedPageBreak/>
        <w:t>Executive Summary:</w:t>
      </w:r>
    </w:p>
    <w:p w14:paraId="7C5A0DBF" w14:textId="77777777" w:rsidR="003C1A8B" w:rsidRPr="003C1A8B" w:rsidRDefault="003C1A8B" w:rsidP="003C1A8B">
      <w:pPr>
        <w:pStyle w:val="NormalWeb"/>
        <w:spacing w:before="120" w:beforeAutospacing="0" w:after="120" w:afterAutospacing="0" w:line="360" w:lineRule="auto"/>
        <w:jc w:val="both"/>
      </w:pPr>
      <w:r w:rsidRPr="003C1A8B">
        <w:t>This report offers a critical assessment of the shift of Unilever towards the purpose-led marketing approach as opposed to the cost-optimisation one. Although it has effectively placed brands in human need arenas and propelled top-line growth, the analysis shows that it has an inherent weakness. Unilever is in a performing-organising paradox: its marketing story has been speeding up towards sustainability, yet its operational infrastructure has fallen behind.</w:t>
      </w:r>
    </w:p>
    <w:p w14:paraId="40E41B1D" w14:textId="041B6B8E" w:rsidR="007D485B" w:rsidRDefault="003C1A8B" w:rsidP="003C1A8B">
      <w:pPr>
        <w:pStyle w:val="NormalWeb"/>
        <w:spacing w:before="120" w:beforeAutospacing="0" w:after="120" w:afterAutospacing="0" w:line="360" w:lineRule="auto"/>
        <w:jc w:val="both"/>
      </w:pPr>
      <w:r w:rsidRPr="003C1A8B">
        <w:t>The report recognises that such a disconnect generates an incentive to distort Scope 3 supply chain records in order to safeguard the green brand image. As a result, Unilever runs the risk of going beyond strategic purpose-led growth and material greenwashing liability. In response to this, the report proposes a change from how marketing is viewed as storytelling to how marketing is viewed as operational engineering. It suggests specific measures, such as pilot projects on the implementation of the so-called Agentic AI to bridge the gap in data and a system of governance called TrustOps to authenticate all assertions. The verdict is dramatic: in the absence of operational integrity, the marketing strategy of Unilever can be seen as the house of cards, which will make the organisation vulnerable to the collapse of the regulating and reputational sphere.</w:t>
      </w:r>
    </w:p>
    <w:p w14:paraId="5B8B251B" w14:textId="50DB8AB4" w:rsidR="003C1A8B" w:rsidRDefault="003C1A8B" w:rsidP="003C1A8B">
      <w:pPr>
        <w:pStyle w:val="NormalWeb"/>
        <w:spacing w:before="120" w:beforeAutospacing="0" w:after="120" w:afterAutospacing="0" w:line="360" w:lineRule="auto"/>
        <w:jc w:val="both"/>
      </w:pPr>
    </w:p>
    <w:p w14:paraId="1165056B" w14:textId="6B8D8E2B" w:rsidR="007D485B" w:rsidRDefault="007D485B" w:rsidP="003C1A8B">
      <w:pPr>
        <w:pStyle w:val="NormalWeb"/>
        <w:spacing w:before="120" w:beforeAutospacing="0" w:after="120" w:afterAutospacing="0" w:line="360" w:lineRule="auto"/>
        <w:jc w:val="both"/>
      </w:pPr>
    </w:p>
    <w:p w14:paraId="3093FF95" w14:textId="38C0C9A0" w:rsidR="007D485B" w:rsidRDefault="007D485B" w:rsidP="003C1A8B">
      <w:pPr>
        <w:pStyle w:val="NormalWeb"/>
        <w:spacing w:before="120" w:beforeAutospacing="0" w:after="120" w:afterAutospacing="0" w:line="360" w:lineRule="auto"/>
        <w:jc w:val="both"/>
      </w:pPr>
    </w:p>
    <w:p w14:paraId="5703D870" w14:textId="49932E4F" w:rsidR="007D485B" w:rsidRDefault="007D485B" w:rsidP="003C1A8B">
      <w:pPr>
        <w:pStyle w:val="NormalWeb"/>
        <w:spacing w:before="120" w:beforeAutospacing="0" w:after="120" w:afterAutospacing="0" w:line="360" w:lineRule="auto"/>
        <w:jc w:val="both"/>
      </w:pPr>
    </w:p>
    <w:p w14:paraId="2E645C93" w14:textId="5B403F01" w:rsidR="007D485B" w:rsidRDefault="007D485B" w:rsidP="003C1A8B">
      <w:pPr>
        <w:pStyle w:val="NormalWeb"/>
        <w:spacing w:before="120" w:beforeAutospacing="0" w:after="120" w:afterAutospacing="0" w:line="360" w:lineRule="auto"/>
        <w:jc w:val="both"/>
      </w:pPr>
    </w:p>
    <w:p w14:paraId="4ABDEDC4" w14:textId="73576153" w:rsidR="007D485B" w:rsidRDefault="007D485B" w:rsidP="003C1A8B">
      <w:pPr>
        <w:pStyle w:val="NormalWeb"/>
        <w:spacing w:before="120" w:beforeAutospacing="0" w:after="120" w:afterAutospacing="0" w:line="360" w:lineRule="auto"/>
        <w:jc w:val="both"/>
      </w:pPr>
    </w:p>
    <w:p w14:paraId="7A3DA748" w14:textId="2A47785B" w:rsidR="007D485B" w:rsidRDefault="007D485B" w:rsidP="003C1A8B">
      <w:pPr>
        <w:pStyle w:val="NormalWeb"/>
        <w:spacing w:before="120" w:beforeAutospacing="0" w:after="120" w:afterAutospacing="0" w:line="360" w:lineRule="auto"/>
        <w:jc w:val="both"/>
      </w:pPr>
    </w:p>
    <w:p w14:paraId="12E11700" w14:textId="603C099B" w:rsidR="007D485B" w:rsidRDefault="007D485B" w:rsidP="003C1A8B">
      <w:pPr>
        <w:pStyle w:val="NormalWeb"/>
        <w:spacing w:before="120" w:beforeAutospacing="0" w:after="120" w:afterAutospacing="0" w:line="360" w:lineRule="auto"/>
        <w:jc w:val="both"/>
      </w:pPr>
    </w:p>
    <w:p w14:paraId="7A495865" w14:textId="6AD119C4" w:rsidR="007D485B" w:rsidRDefault="007D485B" w:rsidP="003C1A8B">
      <w:pPr>
        <w:pStyle w:val="NormalWeb"/>
        <w:spacing w:before="120" w:beforeAutospacing="0" w:after="120" w:afterAutospacing="0" w:line="360" w:lineRule="auto"/>
        <w:jc w:val="both"/>
      </w:pPr>
    </w:p>
    <w:p w14:paraId="72D676CD" w14:textId="28988764" w:rsidR="007D485B" w:rsidRDefault="007D485B" w:rsidP="003C1A8B">
      <w:pPr>
        <w:pStyle w:val="NormalWeb"/>
        <w:spacing w:before="120" w:beforeAutospacing="0" w:after="120" w:afterAutospacing="0" w:line="360" w:lineRule="auto"/>
        <w:jc w:val="both"/>
      </w:pPr>
    </w:p>
    <w:p w14:paraId="7E8ED6F9" w14:textId="48DA11E2" w:rsidR="007D485B" w:rsidRDefault="007D485B" w:rsidP="003C1A8B">
      <w:pPr>
        <w:pStyle w:val="NormalWeb"/>
        <w:spacing w:before="120" w:beforeAutospacing="0" w:after="120" w:afterAutospacing="0" w:line="360" w:lineRule="auto"/>
        <w:jc w:val="both"/>
      </w:pPr>
    </w:p>
    <w:p w14:paraId="70ECD5A7" w14:textId="77777777" w:rsidR="007D485B" w:rsidRDefault="007D485B" w:rsidP="003C1A8B">
      <w:pPr>
        <w:pStyle w:val="NormalWeb"/>
        <w:spacing w:before="120" w:beforeAutospacing="0" w:after="120" w:afterAutospacing="0" w:line="360" w:lineRule="auto"/>
        <w:jc w:val="both"/>
      </w:pPr>
    </w:p>
    <w:sdt>
      <w:sdtPr>
        <w:rPr>
          <w:rFonts w:ascii="Times New Roman" w:eastAsiaTheme="minorEastAsia" w:hAnsi="Times New Roman" w:cs="Times New Roman"/>
          <w:color w:val="auto"/>
          <w:sz w:val="21"/>
          <w:szCs w:val="21"/>
        </w:rPr>
        <w:id w:val="2053106134"/>
        <w:docPartObj>
          <w:docPartGallery w:val="Table of Contents"/>
          <w:docPartUnique/>
        </w:docPartObj>
      </w:sdtPr>
      <w:sdtEndPr>
        <w:rPr>
          <w:b/>
          <w:bCs/>
          <w:noProof/>
          <w:sz w:val="24"/>
          <w:szCs w:val="24"/>
        </w:rPr>
      </w:sdtEndPr>
      <w:sdtContent>
        <w:p w14:paraId="09F1032D" w14:textId="7503E257" w:rsidR="003C1A8B" w:rsidRPr="00AB2195" w:rsidRDefault="003C1A8B" w:rsidP="00B77255">
          <w:pPr>
            <w:pStyle w:val="TOCHeading"/>
            <w:spacing w:before="120" w:after="120"/>
            <w:rPr>
              <w:rFonts w:ascii="Times New Roman" w:hAnsi="Times New Roman" w:cs="Times New Roman"/>
              <w:sz w:val="28"/>
              <w:szCs w:val="28"/>
            </w:rPr>
          </w:pPr>
          <w:r w:rsidRPr="00AB2195">
            <w:rPr>
              <w:rFonts w:ascii="Times New Roman" w:hAnsi="Times New Roman" w:cs="Times New Roman"/>
              <w:sz w:val="28"/>
              <w:szCs w:val="28"/>
            </w:rPr>
            <w:t>Table of Contents</w:t>
          </w:r>
        </w:p>
        <w:p w14:paraId="464D0842" w14:textId="2C5E4188" w:rsidR="00900181" w:rsidRPr="00AB2195" w:rsidRDefault="007D485B">
          <w:pPr>
            <w:pStyle w:val="TOC1"/>
            <w:tabs>
              <w:tab w:val="right" w:leader="dot" w:pos="9016"/>
            </w:tabs>
            <w:rPr>
              <w:rFonts w:cs="Times New Roman"/>
              <w:noProof/>
              <w:szCs w:val="24"/>
              <w:lang w:val="en-GB"/>
            </w:rPr>
          </w:pPr>
          <w:r w:rsidRPr="00AB2195">
            <w:rPr>
              <w:rFonts w:cs="Times New Roman"/>
              <w:szCs w:val="24"/>
            </w:rPr>
            <w:fldChar w:fldCharType="begin"/>
          </w:r>
          <w:r w:rsidRPr="00AB2195">
            <w:rPr>
              <w:rFonts w:cs="Times New Roman"/>
              <w:szCs w:val="24"/>
            </w:rPr>
            <w:instrText xml:space="preserve"> TOC \o "1-3" \h \z \u </w:instrText>
          </w:r>
          <w:r w:rsidRPr="00AB2195">
            <w:rPr>
              <w:rFonts w:cs="Times New Roman"/>
              <w:szCs w:val="24"/>
            </w:rPr>
            <w:fldChar w:fldCharType="separate"/>
          </w:r>
          <w:hyperlink w:anchor="_Toc218552519" w:history="1">
            <w:r w:rsidR="00900181" w:rsidRPr="00AB2195">
              <w:rPr>
                <w:rStyle w:val="Hyperlink"/>
                <w:rFonts w:cs="Times New Roman"/>
                <w:noProof/>
                <w:szCs w:val="24"/>
              </w:rPr>
              <w:t>1. INTRODUCTION</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_Toc218552519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w:t>
            </w:r>
            <w:r w:rsidR="00900181" w:rsidRPr="00AB2195">
              <w:rPr>
                <w:rFonts w:cs="Times New Roman"/>
                <w:noProof/>
                <w:webHidden/>
                <w:szCs w:val="24"/>
              </w:rPr>
              <w:fldChar w:fldCharType="end"/>
            </w:r>
          </w:hyperlink>
        </w:p>
        <w:p w14:paraId="14429F26" w14:textId="745542D7" w:rsidR="00900181" w:rsidRPr="00AB2195" w:rsidRDefault="002B070E">
          <w:pPr>
            <w:pStyle w:val="TOC1"/>
            <w:tabs>
              <w:tab w:val="right" w:leader="dot" w:pos="9016"/>
            </w:tabs>
            <w:rPr>
              <w:rFonts w:cs="Times New Roman"/>
              <w:noProof/>
              <w:szCs w:val="24"/>
              <w:lang w:val="en-GB"/>
            </w:rPr>
          </w:pPr>
          <w:hyperlink w:anchor="_Toc218552520" w:history="1">
            <w:r w:rsidR="00900181" w:rsidRPr="00AB2195">
              <w:rPr>
                <w:rStyle w:val="Hyperlink"/>
                <w:rFonts w:cs="Times New Roman"/>
                <w:noProof/>
                <w:szCs w:val="24"/>
              </w:rPr>
              <w:t>2. ENVIRONMENTAL ANALYSIS AND STRATEGIC CONTEXT</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_Toc218552520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w:t>
            </w:r>
            <w:r w:rsidR="00900181" w:rsidRPr="00AB2195">
              <w:rPr>
                <w:rFonts w:cs="Times New Roman"/>
                <w:noProof/>
                <w:webHidden/>
                <w:szCs w:val="24"/>
              </w:rPr>
              <w:fldChar w:fldCharType="end"/>
            </w:r>
          </w:hyperlink>
        </w:p>
        <w:p w14:paraId="5AE0401B" w14:textId="77CA9D8E"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1" w:history="1">
            <w:r w:rsidR="00900181" w:rsidRPr="00AB2195">
              <w:rPr>
                <w:rStyle w:val="Hyperlink"/>
                <w:rFonts w:ascii="Times New Roman" w:hAnsi="Times New Roman" w:cs="Times New Roman"/>
                <w:noProof/>
                <w:sz w:val="24"/>
                <w:szCs w:val="24"/>
              </w:rPr>
              <w:t>2.1 Macro Environmental</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_Toc218552521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2</w:t>
            </w:r>
            <w:r w:rsidR="00900181" w:rsidRPr="00AB2195">
              <w:rPr>
                <w:rFonts w:ascii="Times New Roman" w:hAnsi="Times New Roman" w:cs="Times New Roman"/>
                <w:noProof/>
                <w:webHidden/>
                <w:sz w:val="24"/>
                <w:szCs w:val="24"/>
              </w:rPr>
              <w:fldChar w:fldCharType="end"/>
            </w:r>
          </w:hyperlink>
        </w:p>
        <w:p w14:paraId="68083AB3" w14:textId="0D76781B"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2" w:history="1">
            <w:r w:rsidR="00900181" w:rsidRPr="00AB2195">
              <w:rPr>
                <w:rStyle w:val="Hyperlink"/>
                <w:rFonts w:ascii="Times New Roman" w:hAnsi="Times New Roman" w:cs="Times New Roman"/>
                <w:noProof/>
                <w:sz w:val="24"/>
                <w:szCs w:val="24"/>
              </w:rPr>
              <w:t>2.2 Micro Environmental</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_Toc218552522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3</w:t>
            </w:r>
            <w:r w:rsidR="00900181" w:rsidRPr="00AB2195">
              <w:rPr>
                <w:rFonts w:ascii="Times New Roman" w:hAnsi="Times New Roman" w:cs="Times New Roman"/>
                <w:noProof/>
                <w:webHidden/>
                <w:sz w:val="24"/>
                <w:szCs w:val="24"/>
              </w:rPr>
              <w:fldChar w:fldCharType="end"/>
            </w:r>
          </w:hyperlink>
        </w:p>
        <w:p w14:paraId="1EC0DEA3" w14:textId="3BF42628" w:rsidR="00900181" w:rsidRPr="00AB2195" w:rsidRDefault="002B070E">
          <w:pPr>
            <w:pStyle w:val="TOC1"/>
            <w:tabs>
              <w:tab w:val="right" w:leader="dot" w:pos="9016"/>
            </w:tabs>
            <w:rPr>
              <w:rFonts w:cs="Times New Roman"/>
              <w:noProof/>
              <w:szCs w:val="24"/>
              <w:lang w:val="en-GB"/>
            </w:rPr>
          </w:pPr>
          <w:hyperlink w:anchor="_Toc218552523" w:history="1">
            <w:r w:rsidR="00900181" w:rsidRPr="00AB2195">
              <w:rPr>
                <w:rStyle w:val="Hyperlink"/>
                <w:rFonts w:cs="Times New Roman"/>
                <w:noProof/>
                <w:szCs w:val="24"/>
              </w:rPr>
              <w:t>3. CRITICAL EVALUATION OF MARKETING STRATEGY AND ACTIVITIES</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_Toc218552523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4</w:t>
            </w:r>
            <w:r w:rsidR="00900181" w:rsidRPr="00AB2195">
              <w:rPr>
                <w:rFonts w:cs="Times New Roman"/>
                <w:noProof/>
                <w:webHidden/>
                <w:szCs w:val="24"/>
              </w:rPr>
              <w:fldChar w:fldCharType="end"/>
            </w:r>
          </w:hyperlink>
        </w:p>
        <w:p w14:paraId="6829E57C" w14:textId="03971B38"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4" w:history="1">
            <w:r w:rsidR="00900181" w:rsidRPr="00AB2195">
              <w:rPr>
                <w:rStyle w:val="Hyperlink"/>
                <w:rFonts w:ascii="Times New Roman" w:hAnsi="Times New Roman" w:cs="Times New Roman"/>
                <w:noProof/>
                <w:sz w:val="24"/>
                <w:szCs w:val="24"/>
              </w:rPr>
              <w:t>3.1 The Ansoff Matrix and Growth Imbalance</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_Toc218552524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4</w:t>
            </w:r>
            <w:r w:rsidR="00900181" w:rsidRPr="00AB2195">
              <w:rPr>
                <w:rFonts w:ascii="Times New Roman" w:hAnsi="Times New Roman" w:cs="Times New Roman"/>
                <w:noProof/>
                <w:webHidden/>
                <w:sz w:val="24"/>
                <w:szCs w:val="24"/>
              </w:rPr>
              <w:fldChar w:fldCharType="end"/>
            </w:r>
          </w:hyperlink>
        </w:p>
        <w:p w14:paraId="2A55B0D2" w14:textId="740BD8EF"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5" w:history="1">
            <w:r w:rsidR="00900181" w:rsidRPr="00AB2195">
              <w:rPr>
                <w:rStyle w:val="Hyperlink"/>
                <w:rFonts w:ascii="Times New Roman" w:hAnsi="Times New Roman" w:cs="Times New Roman"/>
                <w:noProof/>
                <w:sz w:val="24"/>
                <w:szCs w:val="24"/>
              </w:rPr>
              <w:t>3.2 Target Market and Positioning</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_Toc218552525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6</w:t>
            </w:r>
            <w:r w:rsidR="00900181" w:rsidRPr="00AB2195">
              <w:rPr>
                <w:rFonts w:ascii="Times New Roman" w:hAnsi="Times New Roman" w:cs="Times New Roman"/>
                <w:noProof/>
                <w:webHidden/>
                <w:sz w:val="24"/>
                <w:szCs w:val="24"/>
              </w:rPr>
              <w:fldChar w:fldCharType="end"/>
            </w:r>
          </w:hyperlink>
        </w:p>
        <w:p w14:paraId="346D3BE9" w14:textId="1C458389"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6" w:history="1">
            <w:r w:rsidR="00900181" w:rsidRPr="00AB2195">
              <w:rPr>
                <w:rStyle w:val="Hyperlink"/>
                <w:rFonts w:ascii="Times New Roman" w:hAnsi="Times New Roman" w:cs="Times New Roman"/>
                <w:noProof/>
                <w:sz w:val="24"/>
                <w:szCs w:val="24"/>
              </w:rPr>
              <w:t>3.3 The Sustainable Marketing Mix (The 4Ps)</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_Toc218552526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7</w:t>
            </w:r>
            <w:r w:rsidR="00900181" w:rsidRPr="00AB2195">
              <w:rPr>
                <w:rFonts w:ascii="Times New Roman" w:hAnsi="Times New Roman" w:cs="Times New Roman"/>
                <w:noProof/>
                <w:webHidden/>
                <w:sz w:val="24"/>
                <w:szCs w:val="24"/>
              </w:rPr>
              <w:fldChar w:fldCharType="end"/>
            </w:r>
          </w:hyperlink>
        </w:p>
        <w:p w14:paraId="5DA02865" w14:textId="613D8AB1"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7" w:history="1">
            <w:r w:rsidR="00900181" w:rsidRPr="00AB2195">
              <w:rPr>
                <w:rStyle w:val="Hyperlink"/>
                <w:rFonts w:ascii="Times New Roman" w:hAnsi="Times New Roman" w:cs="Times New Roman"/>
                <w:noProof/>
                <w:sz w:val="24"/>
                <w:szCs w:val="24"/>
              </w:rPr>
              <w:t>3.4 Media Selection and Customer Engagement</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_Toc218552527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8</w:t>
            </w:r>
            <w:r w:rsidR="00900181" w:rsidRPr="00AB2195">
              <w:rPr>
                <w:rFonts w:ascii="Times New Roman" w:hAnsi="Times New Roman" w:cs="Times New Roman"/>
                <w:noProof/>
                <w:webHidden/>
                <w:sz w:val="24"/>
                <w:szCs w:val="24"/>
              </w:rPr>
              <w:fldChar w:fldCharType="end"/>
            </w:r>
          </w:hyperlink>
        </w:p>
        <w:p w14:paraId="643A80DB" w14:textId="6046FF9A" w:rsidR="00900181" w:rsidRPr="00AB2195" w:rsidRDefault="002B070E">
          <w:pPr>
            <w:pStyle w:val="TOC1"/>
            <w:tabs>
              <w:tab w:val="right" w:leader="dot" w:pos="9016"/>
            </w:tabs>
            <w:rPr>
              <w:rFonts w:cs="Times New Roman"/>
              <w:noProof/>
              <w:szCs w:val="24"/>
              <w:lang w:val="en-GB"/>
            </w:rPr>
          </w:pPr>
          <w:hyperlink w:anchor="_Toc218552528" w:history="1">
            <w:r w:rsidR="00900181" w:rsidRPr="00AB2195">
              <w:rPr>
                <w:rStyle w:val="Hyperlink"/>
                <w:rFonts w:cs="Times New Roman"/>
                <w:noProof/>
                <w:szCs w:val="24"/>
              </w:rPr>
              <w:t>4. MEASURING SUCCESS AND CRITICAL CHALLENGES</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_Toc218552528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10</w:t>
            </w:r>
            <w:r w:rsidR="00900181" w:rsidRPr="00AB2195">
              <w:rPr>
                <w:rFonts w:cs="Times New Roman"/>
                <w:noProof/>
                <w:webHidden/>
                <w:szCs w:val="24"/>
              </w:rPr>
              <w:fldChar w:fldCharType="end"/>
            </w:r>
          </w:hyperlink>
        </w:p>
        <w:p w14:paraId="336E4D6B" w14:textId="3CB1B30F"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29" w:history="1">
            <w:r w:rsidR="00900181" w:rsidRPr="00AB2195">
              <w:rPr>
                <w:rStyle w:val="Hyperlink"/>
                <w:rFonts w:ascii="Times New Roman" w:hAnsi="Times New Roman" w:cs="Times New Roman"/>
                <w:noProof/>
                <w:sz w:val="24"/>
                <w:szCs w:val="24"/>
              </w:rPr>
              <w:t>4.1 The Execution Gap: Scope 3 and Greenwashing</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_Toc218552529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10</w:t>
            </w:r>
            <w:r w:rsidR="00900181" w:rsidRPr="00AB2195">
              <w:rPr>
                <w:rFonts w:ascii="Times New Roman" w:hAnsi="Times New Roman" w:cs="Times New Roman"/>
                <w:noProof/>
                <w:webHidden/>
                <w:sz w:val="24"/>
                <w:szCs w:val="24"/>
              </w:rPr>
              <w:fldChar w:fldCharType="end"/>
            </w:r>
          </w:hyperlink>
        </w:p>
        <w:p w14:paraId="299CBF04" w14:textId="14AFC5DF" w:rsidR="00900181" w:rsidRPr="00AB2195" w:rsidRDefault="002B070E">
          <w:pPr>
            <w:pStyle w:val="TOC1"/>
            <w:tabs>
              <w:tab w:val="right" w:leader="dot" w:pos="9016"/>
            </w:tabs>
            <w:rPr>
              <w:rFonts w:cs="Times New Roman"/>
              <w:noProof/>
              <w:szCs w:val="24"/>
              <w:lang w:val="en-GB"/>
            </w:rPr>
          </w:pPr>
          <w:hyperlink w:anchor="_Toc218552530" w:history="1">
            <w:r w:rsidR="00900181" w:rsidRPr="00AB2195">
              <w:rPr>
                <w:rStyle w:val="Hyperlink"/>
                <w:rFonts w:cs="Times New Roman"/>
                <w:noProof/>
                <w:szCs w:val="24"/>
              </w:rPr>
              <w:t>5. CONCLUSION</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_Toc218552530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12</w:t>
            </w:r>
            <w:r w:rsidR="00900181" w:rsidRPr="00AB2195">
              <w:rPr>
                <w:rFonts w:cs="Times New Roman"/>
                <w:noProof/>
                <w:webHidden/>
                <w:szCs w:val="24"/>
              </w:rPr>
              <w:fldChar w:fldCharType="end"/>
            </w:r>
          </w:hyperlink>
        </w:p>
        <w:p w14:paraId="7D58B851" w14:textId="28E3812E" w:rsidR="00900181" w:rsidRPr="00AB2195" w:rsidRDefault="002B070E">
          <w:pPr>
            <w:pStyle w:val="TOC1"/>
            <w:tabs>
              <w:tab w:val="right" w:leader="dot" w:pos="9016"/>
            </w:tabs>
            <w:rPr>
              <w:rFonts w:cs="Times New Roman"/>
              <w:noProof/>
              <w:szCs w:val="24"/>
              <w:lang w:val="en-GB"/>
            </w:rPr>
          </w:pPr>
          <w:hyperlink w:anchor="_Toc218552531" w:history="1">
            <w:r w:rsidR="00900181" w:rsidRPr="00AB2195">
              <w:rPr>
                <w:rStyle w:val="Hyperlink"/>
                <w:rFonts w:cs="Times New Roman"/>
                <w:noProof/>
                <w:szCs w:val="24"/>
              </w:rPr>
              <w:t>6. RECOMMENDATIONS</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_Toc218552531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13</w:t>
            </w:r>
            <w:r w:rsidR="00900181" w:rsidRPr="00AB2195">
              <w:rPr>
                <w:rFonts w:cs="Times New Roman"/>
                <w:noProof/>
                <w:webHidden/>
                <w:szCs w:val="24"/>
              </w:rPr>
              <w:fldChar w:fldCharType="end"/>
            </w:r>
          </w:hyperlink>
        </w:p>
        <w:p w14:paraId="4FA400A6" w14:textId="378843A6"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32" w:history="1">
            <w:r w:rsidR="00900181" w:rsidRPr="00AB2195">
              <w:rPr>
                <w:rStyle w:val="Hyperlink"/>
                <w:rFonts w:ascii="Times New Roman" w:hAnsi="Times New Roman" w:cs="Times New Roman"/>
                <w:noProof/>
                <w:sz w:val="24"/>
                <w:szCs w:val="24"/>
              </w:rPr>
              <w:t>6.1 Operational and Technological Recommendations</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_Toc218552532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13</w:t>
            </w:r>
            <w:r w:rsidR="00900181" w:rsidRPr="00AB2195">
              <w:rPr>
                <w:rFonts w:ascii="Times New Roman" w:hAnsi="Times New Roman" w:cs="Times New Roman"/>
                <w:noProof/>
                <w:webHidden/>
                <w:sz w:val="24"/>
                <w:szCs w:val="24"/>
              </w:rPr>
              <w:fldChar w:fldCharType="end"/>
            </w:r>
          </w:hyperlink>
        </w:p>
        <w:p w14:paraId="61B9B8A5" w14:textId="057D2953" w:rsidR="00900181" w:rsidRPr="00AB2195" w:rsidRDefault="002B070E">
          <w:pPr>
            <w:pStyle w:val="TOC3"/>
            <w:tabs>
              <w:tab w:val="right" w:leader="dot" w:pos="9016"/>
            </w:tabs>
            <w:rPr>
              <w:rFonts w:ascii="Times New Roman" w:hAnsi="Times New Roman" w:cs="Times New Roman"/>
              <w:noProof/>
              <w:sz w:val="24"/>
              <w:szCs w:val="24"/>
              <w:lang w:val="en-GB"/>
            </w:rPr>
          </w:pPr>
          <w:hyperlink w:anchor="_Toc218552533" w:history="1">
            <w:r w:rsidR="00900181" w:rsidRPr="00AB2195">
              <w:rPr>
                <w:rStyle w:val="Hyperlink"/>
                <w:rFonts w:ascii="Times New Roman" w:hAnsi="Times New Roman" w:cs="Times New Roman"/>
                <w:noProof/>
                <w:sz w:val="24"/>
                <w:szCs w:val="24"/>
              </w:rPr>
              <w:t>Recommendation 1: Implement Agentic AI for Supply Chain Transparency</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_Toc218552533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13</w:t>
            </w:r>
            <w:r w:rsidR="00900181" w:rsidRPr="00AB2195">
              <w:rPr>
                <w:rFonts w:ascii="Times New Roman" w:hAnsi="Times New Roman" w:cs="Times New Roman"/>
                <w:noProof/>
                <w:webHidden/>
                <w:sz w:val="24"/>
                <w:szCs w:val="24"/>
              </w:rPr>
              <w:fldChar w:fldCharType="end"/>
            </w:r>
          </w:hyperlink>
        </w:p>
        <w:p w14:paraId="2CED71B4" w14:textId="795628DE" w:rsidR="00900181" w:rsidRPr="00AB2195" w:rsidRDefault="002B070E">
          <w:pPr>
            <w:pStyle w:val="TOC3"/>
            <w:tabs>
              <w:tab w:val="right" w:leader="dot" w:pos="9016"/>
            </w:tabs>
            <w:rPr>
              <w:rFonts w:ascii="Times New Roman" w:hAnsi="Times New Roman" w:cs="Times New Roman"/>
              <w:noProof/>
              <w:sz w:val="24"/>
              <w:szCs w:val="24"/>
              <w:lang w:val="en-GB"/>
            </w:rPr>
          </w:pPr>
          <w:hyperlink w:anchor="_Toc218552534" w:history="1">
            <w:r w:rsidR="00900181" w:rsidRPr="00AB2195">
              <w:rPr>
                <w:rStyle w:val="Hyperlink"/>
                <w:rFonts w:ascii="Times New Roman" w:hAnsi="Times New Roman" w:cs="Times New Roman"/>
                <w:noProof/>
                <w:sz w:val="24"/>
                <w:szCs w:val="24"/>
              </w:rPr>
              <w:t>Recommendation 2: Adopt Circular Economy Models to Tackle Margin Compression</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_Toc218552534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14</w:t>
            </w:r>
            <w:r w:rsidR="00900181" w:rsidRPr="00AB2195">
              <w:rPr>
                <w:rFonts w:ascii="Times New Roman" w:hAnsi="Times New Roman" w:cs="Times New Roman"/>
                <w:noProof/>
                <w:webHidden/>
                <w:sz w:val="24"/>
                <w:szCs w:val="24"/>
              </w:rPr>
              <w:fldChar w:fldCharType="end"/>
            </w:r>
          </w:hyperlink>
        </w:p>
        <w:p w14:paraId="2C2FBF1D" w14:textId="2253315E" w:rsidR="00900181" w:rsidRPr="00AB2195" w:rsidRDefault="002B070E">
          <w:pPr>
            <w:pStyle w:val="TOC2"/>
            <w:tabs>
              <w:tab w:val="right" w:leader="dot" w:pos="9016"/>
            </w:tabs>
            <w:rPr>
              <w:rFonts w:ascii="Times New Roman" w:hAnsi="Times New Roman" w:cs="Times New Roman"/>
              <w:noProof/>
              <w:sz w:val="24"/>
              <w:szCs w:val="24"/>
              <w:lang w:val="en-GB"/>
            </w:rPr>
          </w:pPr>
          <w:hyperlink w:anchor="_Toc218552535" w:history="1">
            <w:r w:rsidR="00900181" w:rsidRPr="00AB2195">
              <w:rPr>
                <w:rStyle w:val="Hyperlink"/>
                <w:rFonts w:ascii="Times New Roman" w:hAnsi="Times New Roman" w:cs="Times New Roman"/>
                <w:noProof/>
                <w:sz w:val="24"/>
                <w:szCs w:val="24"/>
              </w:rPr>
              <w:t>6.2 Strategic and Cultural Recommendations</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_Toc218552535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14</w:t>
            </w:r>
            <w:r w:rsidR="00900181" w:rsidRPr="00AB2195">
              <w:rPr>
                <w:rFonts w:ascii="Times New Roman" w:hAnsi="Times New Roman" w:cs="Times New Roman"/>
                <w:noProof/>
                <w:webHidden/>
                <w:sz w:val="24"/>
                <w:szCs w:val="24"/>
              </w:rPr>
              <w:fldChar w:fldCharType="end"/>
            </w:r>
          </w:hyperlink>
        </w:p>
        <w:p w14:paraId="3EC38245" w14:textId="0DAA742A" w:rsidR="00900181" w:rsidRPr="00AB2195" w:rsidRDefault="002B070E">
          <w:pPr>
            <w:pStyle w:val="TOC3"/>
            <w:tabs>
              <w:tab w:val="right" w:leader="dot" w:pos="9016"/>
            </w:tabs>
            <w:rPr>
              <w:rFonts w:ascii="Times New Roman" w:hAnsi="Times New Roman" w:cs="Times New Roman"/>
              <w:noProof/>
              <w:sz w:val="24"/>
              <w:szCs w:val="24"/>
              <w:lang w:val="en-GB"/>
            </w:rPr>
          </w:pPr>
          <w:hyperlink w:anchor="_Toc218552536" w:history="1">
            <w:r w:rsidR="00900181" w:rsidRPr="00AB2195">
              <w:rPr>
                <w:rStyle w:val="Hyperlink"/>
                <w:rFonts w:ascii="Times New Roman" w:hAnsi="Times New Roman" w:cs="Times New Roman"/>
                <w:noProof/>
                <w:sz w:val="24"/>
                <w:szCs w:val="24"/>
              </w:rPr>
              <w:t>Recommendation 4: Restructure Marketing Teams into Agile "Squads"</w:t>
            </w:r>
            <w:r w:rsidR="00900181" w:rsidRPr="00AB2195">
              <w:rPr>
                <w:rFonts w:ascii="Times New Roman" w:hAnsi="Times New Roman" w:cs="Times New Roman"/>
                <w:noProof/>
                <w:webHidden/>
                <w:sz w:val="24"/>
                <w:szCs w:val="24"/>
              </w:rPr>
              <w:tab/>
            </w:r>
            <w:r w:rsidR="00900181" w:rsidRPr="00AB2195">
              <w:rPr>
                <w:rFonts w:ascii="Times New Roman" w:hAnsi="Times New Roman" w:cs="Times New Roman"/>
                <w:noProof/>
                <w:webHidden/>
                <w:sz w:val="24"/>
                <w:szCs w:val="24"/>
              </w:rPr>
              <w:fldChar w:fldCharType="begin"/>
            </w:r>
            <w:r w:rsidR="00900181" w:rsidRPr="00AB2195">
              <w:rPr>
                <w:rFonts w:ascii="Times New Roman" w:hAnsi="Times New Roman" w:cs="Times New Roman"/>
                <w:noProof/>
                <w:webHidden/>
                <w:sz w:val="24"/>
                <w:szCs w:val="24"/>
              </w:rPr>
              <w:instrText xml:space="preserve"> PAGEREF _Toc218552536 \h </w:instrText>
            </w:r>
            <w:r w:rsidR="00900181" w:rsidRPr="00AB2195">
              <w:rPr>
                <w:rFonts w:ascii="Times New Roman" w:hAnsi="Times New Roman" w:cs="Times New Roman"/>
                <w:noProof/>
                <w:webHidden/>
                <w:sz w:val="24"/>
                <w:szCs w:val="24"/>
              </w:rPr>
            </w:r>
            <w:r w:rsidR="00900181" w:rsidRPr="00AB2195">
              <w:rPr>
                <w:rFonts w:ascii="Times New Roman" w:hAnsi="Times New Roman" w:cs="Times New Roman"/>
                <w:noProof/>
                <w:webHidden/>
                <w:sz w:val="24"/>
                <w:szCs w:val="24"/>
              </w:rPr>
              <w:fldChar w:fldCharType="separate"/>
            </w:r>
            <w:r w:rsidR="00900181" w:rsidRPr="00AB2195">
              <w:rPr>
                <w:rFonts w:ascii="Times New Roman" w:hAnsi="Times New Roman" w:cs="Times New Roman"/>
                <w:noProof/>
                <w:webHidden/>
                <w:sz w:val="24"/>
                <w:szCs w:val="24"/>
              </w:rPr>
              <w:t>15</w:t>
            </w:r>
            <w:r w:rsidR="00900181" w:rsidRPr="00AB2195">
              <w:rPr>
                <w:rFonts w:ascii="Times New Roman" w:hAnsi="Times New Roman" w:cs="Times New Roman"/>
                <w:noProof/>
                <w:webHidden/>
                <w:sz w:val="24"/>
                <w:szCs w:val="24"/>
              </w:rPr>
              <w:fldChar w:fldCharType="end"/>
            </w:r>
          </w:hyperlink>
        </w:p>
        <w:p w14:paraId="6D695686" w14:textId="1B267E4D" w:rsidR="00900181" w:rsidRPr="00AB2195" w:rsidRDefault="002B070E">
          <w:pPr>
            <w:pStyle w:val="TOC1"/>
            <w:tabs>
              <w:tab w:val="right" w:leader="dot" w:pos="9016"/>
            </w:tabs>
            <w:rPr>
              <w:rFonts w:cs="Times New Roman"/>
              <w:noProof/>
              <w:szCs w:val="24"/>
              <w:lang w:val="en-GB"/>
            </w:rPr>
          </w:pPr>
          <w:hyperlink w:anchor="_Toc218552537" w:history="1">
            <w:r w:rsidR="00900181" w:rsidRPr="00AB2195">
              <w:rPr>
                <w:rStyle w:val="Hyperlink"/>
                <w:rFonts w:cs="Times New Roman"/>
                <w:noProof/>
                <w:szCs w:val="24"/>
              </w:rPr>
              <w:t>REFERENCES:</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_Toc218552537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16</w:t>
            </w:r>
            <w:r w:rsidR="00900181" w:rsidRPr="00AB2195">
              <w:rPr>
                <w:rFonts w:cs="Times New Roman"/>
                <w:noProof/>
                <w:webHidden/>
                <w:szCs w:val="24"/>
              </w:rPr>
              <w:fldChar w:fldCharType="end"/>
            </w:r>
          </w:hyperlink>
        </w:p>
        <w:p w14:paraId="56116D2B" w14:textId="08D09E14" w:rsidR="007D485B" w:rsidRPr="00AB2195" w:rsidRDefault="007D485B" w:rsidP="00B77255">
          <w:pPr>
            <w:spacing w:before="120" w:line="240" w:lineRule="auto"/>
            <w:jc w:val="both"/>
            <w:rPr>
              <w:rFonts w:ascii="Times New Roman" w:hAnsi="Times New Roman" w:cs="Times New Roman"/>
              <w:sz w:val="24"/>
              <w:szCs w:val="24"/>
            </w:rPr>
          </w:pPr>
          <w:r w:rsidRPr="00AB2195">
            <w:rPr>
              <w:rFonts w:ascii="Times New Roman" w:hAnsi="Times New Roman" w:cs="Times New Roman"/>
              <w:sz w:val="24"/>
              <w:szCs w:val="24"/>
            </w:rPr>
            <w:fldChar w:fldCharType="end"/>
          </w:r>
        </w:p>
      </w:sdtContent>
    </w:sdt>
    <w:p w14:paraId="154193D3" w14:textId="7DA1D252" w:rsidR="007D485B" w:rsidRPr="00AB2195" w:rsidRDefault="007D485B" w:rsidP="00B77255">
      <w:pPr>
        <w:pStyle w:val="TableofFigures"/>
        <w:tabs>
          <w:tab w:val="right" w:leader="dot" w:pos="9016"/>
        </w:tabs>
        <w:spacing w:before="120" w:after="120" w:line="240" w:lineRule="auto"/>
        <w:rPr>
          <w:rFonts w:cs="Times New Roman"/>
          <w:b/>
          <w:szCs w:val="24"/>
        </w:rPr>
      </w:pPr>
      <w:r w:rsidRPr="00AB2195">
        <w:rPr>
          <w:rFonts w:cs="Times New Roman"/>
          <w:b/>
          <w:szCs w:val="24"/>
        </w:rPr>
        <w:t>List of figures:</w:t>
      </w:r>
    </w:p>
    <w:p w14:paraId="69F61F44" w14:textId="5262B5F4" w:rsidR="00900181" w:rsidRPr="00AB2195" w:rsidRDefault="007D485B">
      <w:pPr>
        <w:pStyle w:val="TableofFigures"/>
        <w:tabs>
          <w:tab w:val="right" w:leader="dot" w:pos="9016"/>
        </w:tabs>
        <w:rPr>
          <w:rFonts w:cs="Times New Roman"/>
          <w:noProof/>
          <w:szCs w:val="24"/>
          <w:lang w:val="en-GB"/>
        </w:rPr>
      </w:pPr>
      <w:r w:rsidRPr="00AB2195">
        <w:rPr>
          <w:rFonts w:cs="Times New Roman"/>
          <w:szCs w:val="24"/>
        </w:rPr>
        <w:fldChar w:fldCharType="begin"/>
      </w:r>
      <w:r w:rsidRPr="00AB2195">
        <w:rPr>
          <w:rFonts w:cs="Times New Roman"/>
          <w:szCs w:val="24"/>
        </w:rPr>
        <w:instrText xml:space="preserve"> TOC \h \z \c "Figure" </w:instrText>
      </w:r>
      <w:r w:rsidRPr="00AB2195">
        <w:rPr>
          <w:rFonts w:cs="Times New Roman"/>
          <w:szCs w:val="24"/>
        </w:rPr>
        <w:fldChar w:fldCharType="separate"/>
      </w:r>
      <w:hyperlink w:anchor="_Toc218552538" w:history="1">
        <w:r w:rsidR="00900181" w:rsidRPr="00AB2195">
          <w:rPr>
            <w:rStyle w:val="Hyperlink"/>
            <w:rFonts w:cs="Times New Roman"/>
            <w:noProof/>
            <w:szCs w:val="24"/>
          </w:rPr>
          <w:t>Figure 1: Macro environmental factors driving Unilever's strategic adaptation (Self-Made).</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_Toc218552538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2</w:t>
        </w:r>
        <w:r w:rsidR="00900181" w:rsidRPr="00AB2195">
          <w:rPr>
            <w:rFonts w:cs="Times New Roman"/>
            <w:noProof/>
            <w:webHidden/>
            <w:szCs w:val="24"/>
          </w:rPr>
          <w:fldChar w:fldCharType="end"/>
        </w:r>
      </w:hyperlink>
    </w:p>
    <w:p w14:paraId="221A6BD1" w14:textId="5CF2AE1F" w:rsidR="00900181" w:rsidRPr="00AB2195" w:rsidRDefault="002B070E">
      <w:pPr>
        <w:pStyle w:val="TableofFigures"/>
        <w:tabs>
          <w:tab w:val="right" w:leader="dot" w:pos="9016"/>
        </w:tabs>
        <w:rPr>
          <w:rFonts w:cs="Times New Roman"/>
          <w:noProof/>
          <w:szCs w:val="24"/>
          <w:lang w:val="en-GB"/>
        </w:rPr>
      </w:pPr>
      <w:hyperlink w:anchor="_Toc218552539" w:history="1">
        <w:r w:rsidR="00900181" w:rsidRPr="00AB2195">
          <w:rPr>
            <w:rStyle w:val="Hyperlink"/>
            <w:rFonts w:cs="Times New Roman"/>
            <w:noProof/>
            <w:szCs w:val="24"/>
          </w:rPr>
          <w:t>Figure 2: Micro environmental dynamics within Unilever's organisational structure (Self-Made).</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_Toc218552539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3</w:t>
        </w:r>
        <w:r w:rsidR="00900181" w:rsidRPr="00AB2195">
          <w:rPr>
            <w:rFonts w:cs="Times New Roman"/>
            <w:noProof/>
            <w:webHidden/>
            <w:szCs w:val="24"/>
          </w:rPr>
          <w:fldChar w:fldCharType="end"/>
        </w:r>
      </w:hyperlink>
    </w:p>
    <w:p w14:paraId="6AA6EAEB" w14:textId="008E9647" w:rsidR="00900181" w:rsidRPr="00AB2195" w:rsidRDefault="002B070E">
      <w:pPr>
        <w:pStyle w:val="TableofFigures"/>
        <w:tabs>
          <w:tab w:val="right" w:leader="dot" w:pos="9016"/>
        </w:tabs>
        <w:rPr>
          <w:rFonts w:cs="Times New Roman"/>
          <w:noProof/>
          <w:szCs w:val="24"/>
          <w:lang w:val="en-GB"/>
        </w:rPr>
      </w:pPr>
      <w:hyperlink w:anchor="_Toc218552540" w:history="1">
        <w:r w:rsidR="00900181" w:rsidRPr="00AB2195">
          <w:rPr>
            <w:rStyle w:val="Hyperlink"/>
            <w:rFonts w:cs="Times New Roman"/>
            <w:noProof/>
            <w:szCs w:val="24"/>
          </w:rPr>
          <w:t>Figure 3: Ansoff Matrix (Self-Made)</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_Toc218552540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6</w:t>
        </w:r>
        <w:r w:rsidR="00900181" w:rsidRPr="00AB2195">
          <w:rPr>
            <w:rFonts w:cs="Times New Roman"/>
            <w:noProof/>
            <w:webHidden/>
            <w:szCs w:val="24"/>
          </w:rPr>
          <w:fldChar w:fldCharType="end"/>
        </w:r>
      </w:hyperlink>
    </w:p>
    <w:p w14:paraId="208F29D7" w14:textId="75121E3A" w:rsidR="00900181" w:rsidRPr="00AB2195" w:rsidRDefault="002B070E">
      <w:pPr>
        <w:pStyle w:val="TableofFigures"/>
        <w:tabs>
          <w:tab w:val="right" w:leader="dot" w:pos="9016"/>
        </w:tabs>
        <w:rPr>
          <w:rFonts w:cs="Times New Roman"/>
          <w:noProof/>
          <w:szCs w:val="24"/>
          <w:lang w:val="en-GB"/>
        </w:rPr>
      </w:pPr>
      <w:hyperlink w:anchor="_Toc218552541" w:history="1">
        <w:r w:rsidR="00900181" w:rsidRPr="00AB2195">
          <w:rPr>
            <w:rStyle w:val="Hyperlink"/>
            <w:rFonts w:cs="Times New Roman"/>
            <w:noProof/>
            <w:szCs w:val="24"/>
          </w:rPr>
          <w:t>Figure 4: The Strategy-Execution Gap and Greenwashing Risk Cycle (Self-Made).</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_Toc218552541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10</w:t>
        </w:r>
        <w:r w:rsidR="00900181" w:rsidRPr="00AB2195">
          <w:rPr>
            <w:rFonts w:cs="Times New Roman"/>
            <w:noProof/>
            <w:webHidden/>
            <w:szCs w:val="24"/>
          </w:rPr>
          <w:fldChar w:fldCharType="end"/>
        </w:r>
      </w:hyperlink>
    </w:p>
    <w:p w14:paraId="2F44E93C" w14:textId="1EB7229C" w:rsidR="00900181" w:rsidRPr="00AB2195" w:rsidRDefault="002B070E">
      <w:pPr>
        <w:pStyle w:val="TableofFigures"/>
        <w:tabs>
          <w:tab w:val="right" w:leader="dot" w:pos="9016"/>
        </w:tabs>
        <w:rPr>
          <w:rFonts w:cs="Times New Roman"/>
          <w:noProof/>
          <w:szCs w:val="24"/>
          <w:lang w:val="en-GB"/>
        </w:rPr>
      </w:pPr>
      <w:hyperlink w:anchor="_Toc218552542" w:history="1">
        <w:r w:rsidR="00900181" w:rsidRPr="00AB2195">
          <w:rPr>
            <w:rStyle w:val="Hyperlink"/>
            <w:rFonts w:cs="Times New Roman"/>
            <w:noProof/>
            <w:szCs w:val="24"/>
          </w:rPr>
          <w:t>Figure 5: The Disconnect Between Marketing Promise and Operational Reality (self-made)</w:t>
        </w:r>
        <w:r w:rsidR="00900181" w:rsidRPr="00AB2195">
          <w:rPr>
            <w:rFonts w:cs="Times New Roman"/>
            <w:noProof/>
            <w:webHidden/>
            <w:szCs w:val="24"/>
          </w:rPr>
          <w:tab/>
        </w:r>
        <w:r w:rsidR="00900181" w:rsidRPr="00AB2195">
          <w:rPr>
            <w:rFonts w:cs="Times New Roman"/>
            <w:noProof/>
            <w:webHidden/>
            <w:szCs w:val="24"/>
          </w:rPr>
          <w:fldChar w:fldCharType="begin"/>
        </w:r>
        <w:r w:rsidR="00900181" w:rsidRPr="00AB2195">
          <w:rPr>
            <w:rFonts w:cs="Times New Roman"/>
            <w:noProof/>
            <w:webHidden/>
            <w:szCs w:val="24"/>
          </w:rPr>
          <w:instrText xml:space="preserve"> PAGEREF _Toc218552542 \h </w:instrText>
        </w:r>
        <w:r w:rsidR="00900181" w:rsidRPr="00AB2195">
          <w:rPr>
            <w:rFonts w:cs="Times New Roman"/>
            <w:noProof/>
            <w:webHidden/>
            <w:szCs w:val="24"/>
          </w:rPr>
        </w:r>
        <w:r w:rsidR="00900181" w:rsidRPr="00AB2195">
          <w:rPr>
            <w:rFonts w:cs="Times New Roman"/>
            <w:noProof/>
            <w:webHidden/>
            <w:szCs w:val="24"/>
          </w:rPr>
          <w:fldChar w:fldCharType="separate"/>
        </w:r>
        <w:r w:rsidR="00900181" w:rsidRPr="00AB2195">
          <w:rPr>
            <w:rFonts w:cs="Times New Roman"/>
            <w:noProof/>
            <w:webHidden/>
            <w:szCs w:val="24"/>
          </w:rPr>
          <w:t>13</w:t>
        </w:r>
        <w:r w:rsidR="00900181" w:rsidRPr="00AB2195">
          <w:rPr>
            <w:rFonts w:cs="Times New Roman"/>
            <w:noProof/>
            <w:webHidden/>
            <w:szCs w:val="24"/>
          </w:rPr>
          <w:fldChar w:fldCharType="end"/>
        </w:r>
      </w:hyperlink>
    </w:p>
    <w:p w14:paraId="64C5B519" w14:textId="72B37756" w:rsidR="007D485B" w:rsidRPr="00AB2195" w:rsidRDefault="007D485B" w:rsidP="00B77255">
      <w:pPr>
        <w:spacing w:before="120" w:line="240" w:lineRule="auto"/>
        <w:jc w:val="both"/>
        <w:rPr>
          <w:rFonts w:ascii="Times New Roman" w:hAnsi="Times New Roman" w:cs="Times New Roman"/>
          <w:b/>
          <w:sz w:val="24"/>
          <w:szCs w:val="24"/>
        </w:rPr>
      </w:pPr>
      <w:r w:rsidRPr="00AB2195">
        <w:rPr>
          <w:rFonts w:ascii="Times New Roman" w:hAnsi="Times New Roman" w:cs="Times New Roman"/>
          <w:sz w:val="24"/>
          <w:szCs w:val="24"/>
        </w:rPr>
        <w:fldChar w:fldCharType="end"/>
      </w:r>
      <w:r w:rsidRPr="00AB2195">
        <w:rPr>
          <w:rFonts w:ascii="Times New Roman" w:hAnsi="Times New Roman" w:cs="Times New Roman"/>
          <w:b/>
          <w:sz w:val="24"/>
          <w:szCs w:val="24"/>
        </w:rPr>
        <w:t>List of Tables:</w:t>
      </w:r>
    </w:p>
    <w:p w14:paraId="730EBC3D" w14:textId="562866DE" w:rsidR="007D485B" w:rsidRPr="00AB2195" w:rsidRDefault="007D485B" w:rsidP="00B77255">
      <w:pPr>
        <w:pStyle w:val="TableofFigures"/>
        <w:tabs>
          <w:tab w:val="right" w:leader="dot" w:pos="9016"/>
        </w:tabs>
        <w:spacing w:before="120" w:after="120" w:line="240" w:lineRule="auto"/>
        <w:rPr>
          <w:rFonts w:cs="Times New Roman"/>
          <w:noProof/>
          <w:szCs w:val="24"/>
          <w:lang w:val="en-GB"/>
        </w:rPr>
      </w:pPr>
      <w:r w:rsidRPr="00AB2195">
        <w:rPr>
          <w:rFonts w:cs="Times New Roman"/>
          <w:szCs w:val="24"/>
        </w:rPr>
        <w:fldChar w:fldCharType="begin"/>
      </w:r>
      <w:r w:rsidRPr="00AB2195">
        <w:rPr>
          <w:rFonts w:cs="Times New Roman"/>
          <w:szCs w:val="24"/>
        </w:rPr>
        <w:instrText xml:space="preserve"> TOC \h \z \c "Table" </w:instrText>
      </w:r>
      <w:r w:rsidRPr="00AB2195">
        <w:rPr>
          <w:rFonts w:cs="Times New Roman"/>
          <w:szCs w:val="24"/>
        </w:rPr>
        <w:fldChar w:fldCharType="separate"/>
      </w:r>
      <w:hyperlink w:anchor="_Toc218376651" w:history="1">
        <w:r w:rsidRPr="00AB2195">
          <w:rPr>
            <w:rStyle w:val="Hyperlink"/>
            <w:rFonts w:cs="Times New Roman"/>
            <w:noProof/>
            <w:szCs w:val="24"/>
          </w:rPr>
          <w:t>Table 1: Unilever’s Marketing Mix Transformation.</w:t>
        </w:r>
        <w:r w:rsidRPr="00AB2195">
          <w:rPr>
            <w:rFonts w:cs="Times New Roman"/>
            <w:noProof/>
            <w:webHidden/>
            <w:szCs w:val="24"/>
          </w:rPr>
          <w:tab/>
        </w:r>
        <w:r w:rsidRPr="00AB2195">
          <w:rPr>
            <w:rFonts w:cs="Times New Roman"/>
            <w:noProof/>
            <w:webHidden/>
            <w:szCs w:val="24"/>
          </w:rPr>
          <w:fldChar w:fldCharType="begin"/>
        </w:r>
        <w:r w:rsidRPr="00AB2195">
          <w:rPr>
            <w:rFonts w:cs="Times New Roman"/>
            <w:noProof/>
            <w:webHidden/>
            <w:szCs w:val="24"/>
          </w:rPr>
          <w:instrText xml:space="preserve"> PAGEREF _Toc218376651 \h </w:instrText>
        </w:r>
        <w:r w:rsidRPr="00AB2195">
          <w:rPr>
            <w:rFonts w:cs="Times New Roman"/>
            <w:noProof/>
            <w:webHidden/>
            <w:szCs w:val="24"/>
          </w:rPr>
        </w:r>
        <w:r w:rsidRPr="00AB2195">
          <w:rPr>
            <w:rFonts w:cs="Times New Roman"/>
            <w:noProof/>
            <w:webHidden/>
            <w:szCs w:val="24"/>
          </w:rPr>
          <w:fldChar w:fldCharType="separate"/>
        </w:r>
        <w:r w:rsidRPr="00AB2195">
          <w:rPr>
            <w:rFonts w:cs="Times New Roman"/>
            <w:noProof/>
            <w:webHidden/>
            <w:szCs w:val="24"/>
          </w:rPr>
          <w:t>5</w:t>
        </w:r>
        <w:r w:rsidRPr="00AB2195">
          <w:rPr>
            <w:rFonts w:cs="Times New Roman"/>
            <w:noProof/>
            <w:webHidden/>
            <w:szCs w:val="24"/>
          </w:rPr>
          <w:fldChar w:fldCharType="end"/>
        </w:r>
      </w:hyperlink>
    </w:p>
    <w:p w14:paraId="6F06D3EC" w14:textId="51A686A3" w:rsidR="007D485B" w:rsidRPr="004B40F2" w:rsidRDefault="007D485B" w:rsidP="004B40F2">
      <w:pPr>
        <w:spacing w:before="120" w:line="240" w:lineRule="auto"/>
        <w:jc w:val="both"/>
        <w:rPr>
          <w:rFonts w:ascii="Times New Roman" w:hAnsi="Times New Roman" w:cs="Times New Roman"/>
          <w:sz w:val="24"/>
          <w:szCs w:val="24"/>
        </w:rPr>
        <w:sectPr w:rsidR="007D485B" w:rsidRPr="004B40F2" w:rsidSect="00E41118">
          <w:headerReference w:type="default" r:id="rId9"/>
          <w:pgSz w:w="11906" w:h="16838" w:code="9"/>
          <w:pgMar w:top="1440" w:right="1440" w:bottom="1440" w:left="1440" w:header="720" w:footer="720" w:gutter="0"/>
          <w:pgNumType w:start="1"/>
          <w:cols w:space="720"/>
          <w:docGrid w:linePitch="286"/>
        </w:sectPr>
      </w:pPr>
      <w:r w:rsidRPr="00AB2195">
        <w:rPr>
          <w:rFonts w:ascii="Times New Roman" w:hAnsi="Times New Roman" w:cs="Times New Roman"/>
          <w:sz w:val="24"/>
          <w:szCs w:val="24"/>
        </w:rPr>
        <w:fldChar w:fldCharType="end"/>
      </w:r>
    </w:p>
    <w:p w14:paraId="340AC95D" w14:textId="14ADEA6B" w:rsidR="0043380B" w:rsidRPr="003C1A8B" w:rsidRDefault="00280C94" w:rsidP="003C1A8B">
      <w:pPr>
        <w:pStyle w:val="Heading1"/>
        <w:spacing w:before="120" w:after="120" w:line="360" w:lineRule="auto"/>
        <w:jc w:val="both"/>
        <w:rPr>
          <w:sz w:val="28"/>
          <w:szCs w:val="28"/>
        </w:rPr>
      </w:pPr>
      <w:bookmarkStart w:id="0" w:name="_Toc218552519"/>
      <w:r w:rsidRPr="003C1A8B">
        <w:rPr>
          <w:sz w:val="28"/>
          <w:szCs w:val="28"/>
        </w:rPr>
        <w:lastRenderedPageBreak/>
        <w:t>1. INTRODUCTION</w:t>
      </w:r>
      <w:bookmarkEnd w:id="0"/>
    </w:p>
    <w:p w14:paraId="796DDDAF" w14:textId="75E7CA7F" w:rsidR="0043380B" w:rsidRDefault="0043380B" w:rsidP="003C1A8B">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43380B">
        <w:rPr>
          <w:rFonts w:ascii="Times New Roman" w:hAnsi="Times New Roman" w:cs="Times New Roman"/>
          <w:color w:val="4E4E4E"/>
          <w:sz w:val="24"/>
          <w:szCs w:val="24"/>
        </w:rPr>
        <w:t xml:space="preserve">Unilever is a </w:t>
      </w:r>
      <w:r>
        <w:rPr>
          <w:rFonts w:ascii="Times New Roman" w:hAnsi="Times New Roman" w:cs="Times New Roman"/>
          <w:color w:val="4E4E4E"/>
          <w:sz w:val="24"/>
          <w:szCs w:val="24"/>
        </w:rPr>
        <w:t xml:space="preserve">titan </w:t>
      </w:r>
      <w:r w:rsidRPr="0043380B">
        <w:rPr>
          <w:rFonts w:ascii="Times New Roman" w:hAnsi="Times New Roman" w:cs="Times New Roman"/>
          <w:color w:val="4E4E4E"/>
          <w:sz w:val="24"/>
          <w:szCs w:val="24"/>
        </w:rPr>
        <w:t xml:space="preserve">in the fast-moving consumer goods industry and it has more than 400 brands, with some of the world-renowned brands like Dove, Hellmann's and Ben &amp; Jerry's. </w:t>
      </w:r>
      <w:r>
        <w:rPr>
          <w:rFonts w:ascii="Times New Roman" w:hAnsi="Times New Roman" w:cs="Times New Roman"/>
          <w:color w:val="4E4E4E"/>
          <w:sz w:val="24"/>
          <w:szCs w:val="24"/>
        </w:rPr>
        <w:t>I</w:t>
      </w:r>
      <w:r w:rsidRPr="0043380B">
        <w:rPr>
          <w:rFonts w:ascii="Times New Roman" w:hAnsi="Times New Roman" w:cs="Times New Roman"/>
          <w:color w:val="4E4E4E"/>
          <w:sz w:val="24"/>
          <w:szCs w:val="24"/>
        </w:rPr>
        <w:t>n recent years, the business has shifted away from a conventional approach centred upon cost optimisation</w:t>
      </w:r>
      <w:r>
        <w:rPr>
          <w:rFonts w:ascii="Times New Roman" w:hAnsi="Times New Roman" w:cs="Times New Roman"/>
          <w:color w:val="4E4E4E"/>
          <w:sz w:val="24"/>
          <w:szCs w:val="24"/>
        </w:rPr>
        <w:t xml:space="preserve">. </w:t>
      </w:r>
      <w:r w:rsidRPr="0043380B">
        <w:rPr>
          <w:rFonts w:ascii="Times New Roman" w:hAnsi="Times New Roman" w:cs="Times New Roman"/>
          <w:color w:val="4E4E4E"/>
          <w:sz w:val="24"/>
          <w:szCs w:val="24"/>
        </w:rPr>
        <w:t>Instead, it has embraced a purpose led, integrated marketing approach.</w:t>
      </w:r>
      <w:r>
        <w:rPr>
          <w:rFonts w:ascii="Times New Roman" w:hAnsi="Times New Roman" w:cs="Times New Roman"/>
          <w:color w:val="4E4E4E"/>
          <w:sz w:val="24"/>
          <w:szCs w:val="24"/>
        </w:rPr>
        <w:t xml:space="preserve"> </w:t>
      </w:r>
      <w:r w:rsidRPr="0043380B">
        <w:rPr>
          <w:rFonts w:ascii="Times New Roman" w:hAnsi="Times New Roman" w:cs="Times New Roman"/>
          <w:color w:val="4E4E4E"/>
          <w:sz w:val="24"/>
          <w:szCs w:val="24"/>
        </w:rPr>
        <w:t>This report critically addresses the issue of the effectiveness of this transformation on the marketing department. It claims that although the shift has been successful in terms of repositioning of the brand story, it has also been harmful in generating a structural weakness.</w:t>
      </w:r>
    </w:p>
    <w:p w14:paraId="675AE57A" w14:textId="2EEDFF7C" w:rsidR="0043380B" w:rsidRDefault="0043380B" w:rsidP="0043380B">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43380B">
        <w:rPr>
          <w:rFonts w:ascii="Times New Roman" w:hAnsi="Times New Roman" w:cs="Times New Roman"/>
          <w:color w:val="4E4E4E"/>
          <w:sz w:val="24"/>
          <w:szCs w:val="24"/>
        </w:rPr>
        <w:t xml:space="preserve">This report takes a global approach and in particular focuses on the UK and European markets. This attention is needed in the wake of the increased regulatory environment in these areas, especially in terms of sustainability reporting as well as avoiding greenwashing. The analysis has covered a time scale between the year 2020 and current times, including projections in the year 2025 to make future strategic assumptions. The research is based on an overview of the current scholarly literature, </w:t>
      </w:r>
      <w:r>
        <w:rPr>
          <w:rFonts w:ascii="Times New Roman" w:hAnsi="Times New Roman" w:cs="Times New Roman"/>
          <w:color w:val="4E4E4E"/>
          <w:sz w:val="24"/>
          <w:szCs w:val="24"/>
        </w:rPr>
        <w:t xml:space="preserve">Journals, </w:t>
      </w:r>
      <w:r w:rsidRPr="0043380B">
        <w:rPr>
          <w:rFonts w:ascii="Times New Roman" w:hAnsi="Times New Roman" w:cs="Times New Roman"/>
          <w:color w:val="4E4E4E"/>
          <w:sz w:val="24"/>
          <w:szCs w:val="24"/>
        </w:rPr>
        <w:t>industry publications, and particular data of the recent performance of Unilever.</w:t>
      </w:r>
    </w:p>
    <w:p w14:paraId="7E52B745" w14:textId="01727906" w:rsidR="0043380B" w:rsidRPr="00E41118" w:rsidRDefault="0043380B"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43380B">
        <w:rPr>
          <w:rFonts w:ascii="Times New Roman" w:hAnsi="Times New Roman" w:cs="Times New Roman"/>
          <w:color w:val="4E4E4E"/>
          <w:sz w:val="24"/>
          <w:szCs w:val="24"/>
        </w:rPr>
        <w:t>The key argument of this report is that the Unilever marketing strategy is a liability and not an asset at the moment. Though the organisation has positive intentions, the foundation of its strategy is flawed. The disparity between the promise of the brand and the delivery of the supply chain is growing. The macro</w:t>
      </w:r>
      <w:r>
        <w:rPr>
          <w:rFonts w:ascii="Times New Roman" w:hAnsi="Times New Roman" w:cs="Times New Roman"/>
          <w:color w:val="4E4E4E"/>
          <w:sz w:val="24"/>
          <w:szCs w:val="24"/>
        </w:rPr>
        <w:t xml:space="preserve"> </w:t>
      </w:r>
      <w:r w:rsidRPr="0043380B">
        <w:rPr>
          <w:rFonts w:ascii="Times New Roman" w:hAnsi="Times New Roman" w:cs="Times New Roman"/>
          <w:color w:val="4E4E4E"/>
          <w:sz w:val="24"/>
          <w:szCs w:val="24"/>
        </w:rPr>
        <w:t>and micro</w:t>
      </w:r>
      <w:r>
        <w:rPr>
          <w:rFonts w:ascii="Times New Roman" w:hAnsi="Times New Roman" w:cs="Times New Roman"/>
          <w:color w:val="4E4E4E"/>
          <w:sz w:val="24"/>
          <w:szCs w:val="24"/>
        </w:rPr>
        <w:t xml:space="preserve"> </w:t>
      </w:r>
      <w:r w:rsidRPr="0043380B">
        <w:rPr>
          <w:rFonts w:ascii="Times New Roman" w:hAnsi="Times New Roman" w:cs="Times New Roman"/>
          <w:color w:val="4E4E4E"/>
          <w:sz w:val="24"/>
          <w:szCs w:val="24"/>
        </w:rPr>
        <w:t>environments, the marketing mix and the media channels will be analysed in this report. It will then critically look at the issues of concern to the company, including the inability of the data transparency and Scope 3 supply chain crisis emissions. Lastly, it will offer recommendations on how to enhance the marketing strategy, which will redirect the efforts of telling stories to working on the operational engineering</w:t>
      </w:r>
      <w:r w:rsidR="00DC144C">
        <w:rPr>
          <w:rFonts w:ascii="Times New Roman" w:hAnsi="Times New Roman" w:cs="Times New Roman"/>
          <w:color w:val="4E4E4E"/>
          <w:sz w:val="24"/>
          <w:szCs w:val="24"/>
        </w:rPr>
        <w:t xml:space="preserve">. </w:t>
      </w:r>
      <w:r w:rsidRPr="0043380B">
        <w:rPr>
          <w:rFonts w:ascii="Times New Roman" w:hAnsi="Times New Roman" w:cs="Times New Roman"/>
          <w:color w:val="4E4E4E"/>
          <w:sz w:val="24"/>
          <w:szCs w:val="24"/>
        </w:rPr>
        <w:t>This evaluation is done to ensure that the marketing department is indeed in a position to support the ambitious sustainability objectives of the business without putting the organisation into material risk</w:t>
      </w:r>
      <w:r w:rsidR="00445470">
        <w:rPr>
          <w:rFonts w:ascii="Times New Roman" w:hAnsi="Times New Roman" w:cs="Times New Roman"/>
          <w:color w:val="4E4E4E"/>
          <w:sz w:val="24"/>
          <w:szCs w:val="24"/>
        </w:rPr>
        <w:t>.</w:t>
      </w:r>
    </w:p>
    <w:p w14:paraId="748B3613" w14:textId="1F28B97C" w:rsidR="00401D7E" w:rsidRPr="00E41118" w:rsidRDefault="00280C94" w:rsidP="00E41118">
      <w:pPr>
        <w:pStyle w:val="Heading1"/>
        <w:spacing w:before="120" w:after="120" w:line="360" w:lineRule="auto"/>
        <w:jc w:val="both"/>
        <w:rPr>
          <w:rFonts w:ascii="Times New Roman" w:hAnsi="Times New Roman" w:cs="Times New Roman"/>
          <w:color w:val="4E4E4E"/>
          <w:sz w:val="28"/>
          <w:szCs w:val="28"/>
        </w:rPr>
      </w:pPr>
      <w:bookmarkStart w:id="1" w:name="_Toc218552520"/>
      <w:r w:rsidRPr="00E41118">
        <w:rPr>
          <w:sz w:val="28"/>
          <w:szCs w:val="28"/>
        </w:rPr>
        <w:t>2. ENVIRONMENTAL ANALYSIS AND STRATEGIC CONTEXT</w:t>
      </w:r>
      <w:bookmarkEnd w:id="1"/>
    </w:p>
    <w:p w14:paraId="1BA664C0" w14:textId="5E114A1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To know whether Unilever marketing is effective, we need to examine the environment the company is in. Marketing decisions are highly influenced by the global economy as well as the internal culture of the company.</w:t>
      </w:r>
    </w:p>
    <w:p w14:paraId="58542CFF" w14:textId="77777777" w:rsidR="00280C94"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p>
    <w:p w14:paraId="5973D850" w14:textId="0B01F9BD" w:rsidR="00401D7E" w:rsidRPr="00E41118" w:rsidRDefault="00280C94" w:rsidP="00E41118">
      <w:pPr>
        <w:pStyle w:val="Heading2"/>
        <w:spacing w:before="120" w:after="120" w:line="360" w:lineRule="auto"/>
        <w:jc w:val="both"/>
      </w:pPr>
      <w:bookmarkStart w:id="2" w:name="_ere4l5mhm4ng" w:colFirst="0" w:colLast="0"/>
      <w:bookmarkStart w:id="3" w:name="_Toc218552521"/>
      <w:bookmarkEnd w:id="2"/>
      <w:r w:rsidRPr="00E41118">
        <w:lastRenderedPageBreak/>
        <w:t>2.1 Macro Environmental</w:t>
      </w:r>
      <w:bookmarkEnd w:id="3"/>
      <w:r w:rsidRPr="00E41118">
        <w:t xml:space="preserve"> </w:t>
      </w:r>
    </w:p>
    <w:p w14:paraId="5C503577" w14:textId="77777777" w:rsidR="00280C94" w:rsidRPr="00E41118" w:rsidRDefault="00280C94" w:rsidP="00E41118">
      <w:pPr>
        <w:keepNext/>
        <w:spacing w:before="120" w:line="360" w:lineRule="auto"/>
        <w:jc w:val="both"/>
      </w:pPr>
      <w:r w:rsidRPr="00E41118">
        <w:rPr>
          <w:rFonts w:ascii="Times New Roman" w:hAnsi="Times New Roman" w:cs="Times New Roman"/>
          <w:noProof/>
          <w:color w:val="4E4E4E"/>
          <w:sz w:val="24"/>
          <w:szCs w:val="24"/>
        </w:rPr>
        <w:drawing>
          <wp:inline distT="114300" distB="114300" distL="114300" distR="114300" wp14:anchorId="5745BDA4" wp14:editId="59B471D6">
            <wp:extent cx="5943600" cy="26289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t="8908"/>
                    <a:stretch>
                      <a:fillRect/>
                    </a:stretch>
                  </pic:blipFill>
                  <pic:spPr>
                    <a:xfrm>
                      <a:off x="0" y="0"/>
                      <a:ext cx="5943600" cy="2628900"/>
                    </a:xfrm>
                    <a:prstGeom prst="rect">
                      <a:avLst/>
                    </a:prstGeom>
                    <a:ln/>
                  </pic:spPr>
                </pic:pic>
              </a:graphicData>
            </a:graphic>
          </wp:inline>
        </w:drawing>
      </w:r>
    </w:p>
    <w:p w14:paraId="70C70EFD" w14:textId="61C7D3B2" w:rsidR="00280C94" w:rsidRPr="00E41118" w:rsidRDefault="00280C94" w:rsidP="002F17B6">
      <w:pPr>
        <w:pStyle w:val="Caption"/>
        <w:rPr>
          <w:rFonts w:asciiTheme="minorHAnsi" w:hAnsiTheme="minorHAnsi"/>
          <w:color w:val="auto"/>
          <w:sz w:val="21"/>
          <w:szCs w:val="21"/>
        </w:rPr>
      </w:pPr>
      <w:bookmarkStart w:id="4" w:name="_Toc218552538"/>
      <w:r w:rsidRPr="00E41118">
        <w:t xml:space="preserve">Figure </w:t>
      </w:r>
      <w:fldSimple w:instr=" SEQ Figure \* ARABIC ">
        <w:r w:rsidR="002F17B6">
          <w:rPr>
            <w:noProof/>
          </w:rPr>
          <w:t>1</w:t>
        </w:r>
      </w:fldSimple>
      <w:r w:rsidRPr="00E41118">
        <w:t xml:space="preserve">: Macro environmental factors driving Unilever's strategic adaptation </w:t>
      </w:r>
      <w:r w:rsidR="004B40F2">
        <w:t>(Self-Made).</w:t>
      </w:r>
      <w:bookmarkEnd w:id="4"/>
    </w:p>
    <w:p w14:paraId="4C3E689A" w14:textId="29B60453"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macro environment poses a risk and opportunities to Unilever. The demographic shift is one of the primary reasons, which is the so-called Silver Economy</w:t>
      </w:r>
      <w:r w:rsidR="00DC144C">
        <w:rPr>
          <w:rFonts w:ascii="Times New Roman" w:hAnsi="Times New Roman" w:cs="Times New Roman"/>
          <w:color w:val="4E4E4E"/>
          <w:sz w:val="24"/>
          <w:szCs w:val="24"/>
        </w:rPr>
        <w:t xml:space="preserve"> </w:t>
      </w:r>
      <w:r w:rsidR="00DC144C" w:rsidRPr="0043380B">
        <w:rPr>
          <w:rFonts w:ascii="Times New Roman" w:hAnsi="Times New Roman" w:cs="Times New Roman"/>
          <w:color w:val="4E4E4E"/>
          <w:sz w:val="24"/>
          <w:szCs w:val="24"/>
        </w:rPr>
        <w:t>(International Monetary Fund, 2025)</w:t>
      </w:r>
      <w:r w:rsidRPr="00E41118">
        <w:rPr>
          <w:rFonts w:ascii="Times New Roman" w:hAnsi="Times New Roman" w:cs="Times New Roman"/>
          <w:color w:val="4E4E4E"/>
          <w:sz w:val="24"/>
          <w:szCs w:val="24"/>
        </w:rPr>
        <w:t>. This is the implication of an ageing population worldwide. According to Mason and Lee (2022), the labour supply varies with an increase in the lifespan of people and the pattern of consumption also changes. This is significant to Unilever. The conventional target market of mass goods is becoming older. This implies that the marketing department will need to alter its manner of designing and selling products. Senior consumers are generally health and value-conscious. Unilever needs to tailor its message to these requirements as opposed to merely addressing the young population.</w:t>
      </w:r>
    </w:p>
    <w:p w14:paraId="113FB93C"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Another big problem is economic uncertainty. Handley and Limao (2022) address the topic of Trade Policy Uncertainty or TPU. This puts volatility in international markets due to fluctuating tariffs and trade regulations. Unilever gets ingredients in 190 countries. The cost of raw materials increases when the trade policies are unpredictable. This renders it difficult to maintain prices. This is a challenging decision that the marketing department has to make. They have to play the cost-benefit game between remaining competitive and increasing the prices of sustainable ingredients. Klimczuk (2021) further notes that the public policy regarding ageing is also shifting, and it may impact the manner in which Unilever sells its health and wellness products across the regions.</w:t>
      </w:r>
    </w:p>
    <w:p w14:paraId="54B1EBBE"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 xml:space="preserve">Moreover, the concept of sustainability has transformed the operations of the management. As Cheng, Krumwiede and Sheu (2023) remark, sustainable marketing is an established discipline. </w:t>
      </w:r>
      <w:r w:rsidRPr="00E41118">
        <w:rPr>
          <w:rFonts w:ascii="Times New Roman" w:hAnsi="Times New Roman" w:cs="Times New Roman"/>
          <w:color w:val="4E4E4E"/>
          <w:sz w:val="24"/>
          <w:szCs w:val="24"/>
        </w:rPr>
        <w:lastRenderedPageBreak/>
        <w:t>It is no longer a speciality. It motivates the future planning of companies. In the case of Unilever, it translates to a need for the macro environment to shift towards transparency. Consumers and governments are closely monitoring. This fact has to be reflected in the marketing strategy, or the company will be left behind.</w:t>
      </w:r>
    </w:p>
    <w:p w14:paraId="4AD239DA" w14:textId="12B40657" w:rsidR="00401D7E" w:rsidRPr="00E41118" w:rsidRDefault="00280C94" w:rsidP="00E41118">
      <w:pPr>
        <w:pStyle w:val="Heading2"/>
        <w:spacing w:before="120" w:after="120" w:line="360" w:lineRule="auto"/>
        <w:jc w:val="both"/>
      </w:pPr>
      <w:bookmarkStart w:id="5" w:name="_Toc218552522"/>
      <w:r w:rsidRPr="00E41118">
        <w:t>2.2 Micro Environmental</w:t>
      </w:r>
      <w:bookmarkEnd w:id="5"/>
      <w:r w:rsidRPr="00E41118">
        <w:t xml:space="preserve"> </w:t>
      </w:r>
    </w:p>
    <w:p w14:paraId="13EB90ED" w14:textId="77777777" w:rsidR="00280C94" w:rsidRPr="00E41118" w:rsidRDefault="00280C94" w:rsidP="00E41118">
      <w:pPr>
        <w:keepNext/>
        <w:spacing w:before="120" w:line="360" w:lineRule="auto"/>
        <w:jc w:val="both"/>
      </w:pPr>
      <w:r w:rsidRPr="00E41118">
        <w:rPr>
          <w:rFonts w:ascii="Times New Roman" w:hAnsi="Times New Roman" w:cs="Times New Roman"/>
          <w:noProof/>
          <w:color w:val="4E4E4E"/>
          <w:sz w:val="24"/>
          <w:szCs w:val="24"/>
        </w:rPr>
        <w:drawing>
          <wp:inline distT="114300" distB="114300" distL="114300" distR="114300" wp14:anchorId="08A55B1C" wp14:editId="41C2D96E">
            <wp:extent cx="5943600" cy="3902075"/>
            <wp:effectExtent l="0" t="0" r="0" b="3175"/>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t="6105"/>
                    <a:stretch>
                      <a:fillRect/>
                    </a:stretch>
                  </pic:blipFill>
                  <pic:spPr>
                    <a:xfrm>
                      <a:off x="0" y="0"/>
                      <a:ext cx="5943600" cy="3902075"/>
                    </a:xfrm>
                    <a:prstGeom prst="rect">
                      <a:avLst/>
                    </a:prstGeom>
                    <a:ln/>
                  </pic:spPr>
                </pic:pic>
              </a:graphicData>
            </a:graphic>
          </wp:inline>
        </w:drawing>
      </w:r>
    </w:p>
    <w:p w14:paraId="0FF52136" w14:textId="4D287F73" w:rsidR="00280C94" w:rsidRPr="00E41118" w:rsidRDefault="00280C94" w:rsidP="002F17B6">
      <w:pPr>
        <w:pStyle w:val="Caption"/>
      </w:pPr>
      <w:bookmarkStart w:id="6" w:name="_Toc218552539"/>
      <w:r w:rsidRPr="00E41118">
        <w:t xml:space="preserve">Figure </w:t>
      </w:r>
      <w:fldSimple w:instr=" SEQ Figure \* ARABIC ">
        <w:r w:rsidR="002F17B6">
          <w:rPr>
            <w:noProof/>
          </w:rPr>
          <w:t>2</w:t>
        </w:r>
      </w:fldSimple>
      <w:r w:rsidRPr="00E41118">
        <w:t xml:space="preserve">: Micro environmental dynamics within Unilever's organisational structure </w:t>
      </w:r>
      <w:r w:rsidR="004B40F2">
        <w:t>(Self-Made).</w:t>
      </w:r>
      <w:bookmarkEnd w:id="6"/>
    </w:p>
    <w:p w14:paraId="7E0249C4" w14:textId="49CE71EB"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culture is evolving within the company. The marketing department of Unilever is attempting to achieve a colossal change in approach. This demands a powerful change management. The resistance within an organisation can be a significant barrier. According to the recommendations of Pollack and Pollack (2018), the effective organisational change relies on the combination of management practises with academic literature. Unilever's strategy appears to be aligned with the contemporary purpose research. However, its real-life implementation is more difficult.</w:t>
      </w:r>
    </w:p>
    <w:p w14:paraId="38D4E1C9" w14:textId="7B79ADB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 xml:space="preserve">The determinants of change management success defined by Errida and Lotfi (2021) have to be addressed by the marketing team. Without the support of the team or clarity of the goals, the strategy will not succeed. Evidence exists as to the fact that certain employees may feel </w:t>
      </w:r>
      <w:r w:rsidRPr="00E41118">
        <w:rPr>
          <w:rFonts w:ascii="Times New Roman" w:hAnsi="Times New Roman" w:cs="Times New Roman"/>
          <w:color w:val="4E4E4E"/>
          <w:sz w:val="24"/>
          <w:szCs w:val="24"/>
        </w:rPr>
        <w:lastRenderedPageBreak/>
        <w:t>overwhelmed by the requirements of the new strategy of Compass</w:t>
      </w:r>
      <w:r w:rsidR="00445470">
        <w:rPr>
          <w:rFonts w:ascii="Times New Roman" w:hAnsi="Times New Roman" w:cs="Times New Roman"/>
          <w:color w:val="4E4E4E"/>
          <w:sz w:val="24"/>
          <w:szCs w:val="24"/>
        </w:rPr>
        <w:t xml:space="preserve"> </w:t>
      </w:r>
      <w:r w:rsidR="00445470" w:rsidRPr="0043380B">
        <w:rPr>
          <w:rFonts w:ascii="Times New Roman" w:hAnsi="Times New Roman" w:cs="Times New Roman"/>
          <w:color w:val="4E4E4E"/>
          <w:sz w:val="24"/>
          <w:szCs w:val="24"/>
        </w:rPr>
        <w:t>(Saleem, Malik and Qureshi, 2021)</w:t>
      </w:r>
      <w:r w:rsidRPr="00E41118">
        <w:rPr>
          <w:rFonts w:ascii="Times New Roman" w:hAnsi="Times New Roman" w:cs="Times New Roman"/>
          <w:color w:val="4E4E4E"/>
          <w:sz w:val="24"/>
          <w:szCs w:val="24"/>
        </w:rPr>
        <w:t>. The researchers discovered that the responses to organisational change are complex (Bartunek, Balogun and Do, 2022). The sustainability goals may be acceptable to the employees. However, they may find it difficult to go about their daily lives of meeting targets and being green at the same time.</w:t>
      </w:r>
    </w:p>
    <w:p w14:paraId="7F94305A" w14:textId="267FF2C8" w:rsidR="00401D7E" w:rsidRPr="00E41118" w:rsidRDefault="00F43007"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F43007">
        <w:rPr>
          <w:rFonts w:ascii="Times New Roman" w:hAnsi="Times New Roman" w:cs="Times New Roman"/>
          <w:color w:val="4E4E4E"/>
          <w:sz w:val="24"/>
          <w:szCs w:val="24"/>
        </w:rPr>
        <w:t>It is this pressure within the business that causes the marketing department have a micro environment in which it is straining.</w:t>
      </w:r>
      <w:r>
        <w:rPr>
          <w:rFonts w:ascii="Times New Roman" w:hAnsi="Times New Roman" w:cs="Times New Roman"/>
          <w:color w:val="4E4E4E"/>
          <w:sz w:val="24"/>
          <w:szCs w:val="24"/>
        </w:rPr>
        <w:t xml:space="preserve"> </w:t>
      </w:r>
      <w:r w:rsidR="00280C94" w:rsidRPr="00E41118">
        <w:rPr>
          <w:rFonts w:ascii="Times New Roman" w:hAnsi="Times New Roman" w:cs="Times New Roman"/>
          <w:color w:val="4E4E4E"/>
          <w:sz w:val="24"/>
          <w:szCs w:val="24"/>
        </w:rPr>
        <w:t>They have to deal with the reputation of the brand and attempt to resolve the intricate problems in the supply chains. Unless the internal culture is friendly to agility, the marketing strategy will not be more than a collection of brilliant notions, but a reality. This is the theme of this gap between purpose and action.</w:t>
      </w:r>
    </w:p>
    <w:p w14:paraId="730FFA88" w14:textId="3C5428D8" w:rsidR="00401D7E" w:rsidRPr="00E41118" w:rsidRDefault="00280C94" w:rsidP="00E41118">
      <w:pPr>
        <w:pStyle w:val="Heading1"/>
        <w:spacing w:before="120" w:after="120" w:line="360" w:lineRule="auto"/>
        <w:jc w:val="both"/>
        <w:rPr>
          <w:sz w:val="28"/>
          <w:szCs w:val="28"/>
        </w:rPr>
      </w:pPr>
      <w:bookmarkStart w:id="7" w:name="_lumyvr8gtvos" w:colFirst="0" w:colLast="0"/>
      <w:bookmarkStart w:id="8" w:name="_Toc218552523"/>
      <w:bookmarkEnd w:id="7"/>
      <w:r w:rsidRPr="00E41118">
        <w:rPr>
          <w:sz w:val="28"/>
          <w:szCs w:val="28"/>
        </w:rPr>
        <w:t>3. CRITICAL EVALUATION OF MARKETING STRATEGY AND ACTIVITIES</w:t>
      </w:r>
      <w:bookmarkEnd w:id="8"/>
    </w:p>
    <w:p w14:paraId="470B2DC4" w14:textId="587B0593" w:rsidR="00401D7E" w:rsidRDefault="00280C94"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This part takes a detailed look at what Unilever does. It examines the target market, the marketing mix and their means of communication with the customers.</w:t>
      </w:r>
    </w:p>
    <w:p w14:paraId="00E908D6" w14:textId="45A8094C" w:rsidR="002F17B6" w:rsidRDefault="002F17B6" w:rsidP="002F17B6">
      <w:pPr>
        <w:pStyle w:val="Heading2"/>
        <w:spacing w:before="120" w:after="120" w:line="360" w:lineRule="auto"/>
        <w:jc w:val="both"/>
      </w:pPr>
      <w:bookmarkStart w:id="9" w:name="_Toc218552524"/>
      <w:r w:rsidRPr="002F17B6">
        <w:t>3.</w:t>
      </w:r>
      <w:r>
        <w:t>1</w:t>
      </w:r>
      <w:r w:rsidRPr="002F17B6">
        <w:t xml:space="preserve"> The Ansoff Matrix and Growth Imbalance</w:t>
      </w:r>
      <w:bookmarkEnd w:id="9"/>
    </w:p>
    <w:p w14:paraId="2579A13D" w14:textId="31AE17D6" w:rsidR="002F17B6" w:rsidRDefault="002F17B6"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2F17B6">
        <w:rPr>
          <w:rFonts w:ascii="Times New Roman" w:hAnsi="Times New Roman" w:cs="Times New Roman"/>
          <w:color w:val="4E4E4E"/>
          <w:sz w:val="24"/>
          <w:szCs w:val="24"/>
        </w:rPr>
        <w:t>Igor Ansoff's strategic framework provides a diagnostic perspective to evaluate Unilever's growth strategies.</w:t>
      </w:r>
      <w:r>
        <w:rPr>
          <w:rFonts w:ascii="Times New Roman" w:hAnsi="Times New Roman" w:cs="Times New Roman"/>
          <w:color w:val="4E4E4E"/>
          <w:sz w:val="24"/>
          <w:szCs w:val="24"/>
        </w:rPr>
        <w:t xml:space="preserve"> </w:t>
      </w:r>
      <w:r w:rsidRPr="002F17B6">
        <w:rPr>
          <w:rFonts w:ascii="Times New Roman" w:hAnsi="Times New Roman" w:cs="Times New Roman"/>
          <w:color w:val="4E4E4E"/>
          <w:sz w:val="24"/>
          <w:szCs w:val="24"/>
        </w:rPr>
        <w:t>The matrix makes the difference between existing and new products and markets. Applying this approach highlights a major mismatch to Unilever's "Compass" strategy. It reveals the reason why the organisation is currently subjected to the performing-organising paradox identified by Busse et al. (2023).</w:t>
      </w:r>
    </w:p>
    <w:p w14:paraId="4C73B63C" w14:textId="622B8852" w:rsidR="002F17B6" w:rsidRDefault="002F17B6"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2F17B6">
        <w:rPr>
          <w:rFonts w:ascii="Times New Roman" w:hAnsi="Times New Roman" w:cs="Times New Roman"/>
          <w:color w:val="4E4E4E"/>
          <w:sz w:val="24"/>
          <w:szCs w:val="24"/>
        </w:rPr>
        <w:t>The organisation is highly concentrated in the product development quadrant, which is the introduction of new products in existing markets. The move to plant-based ingredients and sustainable packaging (Unilever, 202</w:t>
      </w:r>
      <w:r w:rsidR="00A4367F">
        <w:rPr>
          <w:rFonts w:ascii="Times New Roman" w:hAnsi="Times New Roman" w:cs="Times New Roman"/>
          <w:color w:val="4E4E4E"/>
          <w:sz w:val="24"/>
          <w:szCs w:val="24"/>
        </w:rPr>
        <w:t>5</w:t>
      </w:r>
      <w:r w:rsidRPr="002F17B6">
        <w:rPr>
          <w:rFonts w:ascii="Times New Roman" w:hAnsi="Times New Roman" w:cs="Times New Roman"/>
          <w:color w:val="4E4E4E"/>
          <w:sz w:val="24"/>
          <w:szCs w:val="24"/>
        </w:rPr>
        <w:t xml:space="preserve">) is a classical product development play. However, Hossain et al. (2023) suggest that this quadrant needs a distinct state of "resilient agility" to execute effectively. This operational maturity is not yet available. Unilever is pursuing product-level innovation and is relying on a legacy supply chain infrastructure to support that. </w:t>
      </w:r>
      <w:r w:rsidR="006160B6" w:rsidRPr="006160B6">
        <w:rPr>
          <w:rFonts w:ascii="Times New Roman" w:hAnsi="Times New Roman" w:cs="Times New Roman"/>
          <w:color w:val="4E4E4E"/>
          <w:sz w:val="24"/>
          <w:szCs w:val="24"/>
        </w:rPr>
        <w:t>This leads to a strategy where the operational delivery capability is treated as secondary to the marketing promise.</w:t>
      </w:r>
    </w:p>
    <w:p w14:paraId="5FEBF6DE" w14:textId="14674BB9" w:rsidR="002F17B6" w:rsidRDefault="002F17B6"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2F17B6">
        <w:rPr>
          <w:rFonts w:ascii="Times New Roman" w:hAnsi="Times New Roman" w:cs="Times New Roman"/>
          <w:color w:val="4E4E4E"/>
          <w:sz w:val="24"/>
          <w:szCs w:val="24"/>
        </w:rPr>
        <w:t xml:space="preserve">Furthermore, the current strategy is based on market penetration to push premium pricing. </w:t>
      </w:r>
      <w:r w:rsidR="006160B6">
        <w:rPr>
          <w:rFonts w:ascii="Times New Roman" w:hAnsi="Times New Roman" w:cs="Times New Roman"/>
          <w:color w:val="4E4E4E"/>
          <w:sz w:val="24"/>
          <w:szCs w:val="24"/>
        </w:rPr>
        <w:t xml:space="preserve">According to </w:t>
      </w:r>
      <w:r w:rsidR="006160B6" w:rsidRPr="006160B6">
        <w:rPr>
          <w:rFonts w:ascii="Times New Roman" w:hAnsi="Times New Roman" w:cs="Times New Roman"/>
          <w:color w:val="4E4E4E"/>
          <w:sz w:val="24"/>
          <w:szCs w:val="24"/>
        </w:rPr>
        <w:t>PWC (2024)</w:t>
      </w:r>
      <w:r w:rsidR="006160B6">
        <w:rPr>
          <w:rFonts w:ascii="Times New Roman" w:hAnsi="Times New Roman" w:cs="Times New Roman"/>
          <w:color w:val="4E4E4E"/>
          <w:sz w:val="24"/>
          <w:szCs w:val="24"/>
        </w:rPr>
        <w:t>, c</w:t>
      </w:r>
      <w:r w:rsidR="006160B6" w:rsidRPr="006160B6">
        <w:rPr>
          <w:rFonts w:ascii="Times New Roman" w:hAnsi="Times New Roman" w:cs="Times New Roman"/>
          <w:color w:val="4E4E4E"/>
          <w:sz w:val="24"/>
          <w:szCs w:val="24"/>
        </w:rPr>
        <w:t xml:space="preserve">ustomers are willing to pay 9.7% more on average for </w:t>
      </w:r>
      <w:r w:rsidR="006160B6">
        <w:rPr>
          <w:rFonts w:ascii="Times New Roman" w:hAnsi="Times New Roman" w:cs="Times New Roman"/>
          <w:color w:val="4E4E4E"/>
          <w:sz w:val="24"/>
          <w:szCs w:val="24"/>
        </w:rPr>
        <w:t xml:space="preserve">sustainable </w:t>
      </w:r>
      <w:r w:rsidR="006160B6" w:rsidRPr="006160B6">
        <w:rPr>
          <w:rFonts w:ascii="Times New Roman" w:hAnsi="Times New Roman" w:cs="Times New Roman"/>
          <w:color w:val="4E4E4E"/>
          <w:sz w:val="24"/>
          <w:szCs w:val="24"/>
        </w:rPr>
        <w:t>products</w:t>
      </w:r>
      <w:r w:rsidR="006160B6">
        <w:t xml:space="preserve">. </w:t>
      </w:r>
      <w:r w:rsidRPr="002F17B6">
        <w:rPr>
          <w:rFonts w:ascii="Times New Roman" w:hAnsi="Times New Roman" w:cs="Times New Roman"/>
          <w:color w:val="4E4E4E"/>
          <w:sz w:val="24"/>
          <w:szCs w:val="24"/>
        </w:rPr>
        <w:t xml:space="preserve">By charging an existing customer a premium of 9.7% for sustainable goods, Unilever </w:t>
      </w:r>
      <w:r w:rsidRPr="002F17B6">
        <w:rPr>
          <w:rFonts w:ascii="Times New Roman" w:hAnsi="Times New Roman" w:cs="Times New Roman"/>
          <w:color w:val="4E4E4E"/>
          <w:sz w:val="24"/>
          <w:szCs w:val="24"/>
        </w:rPr>
        <w:lastRenderedPageBreak/>
        <w:t>is maximising share in existing markets. However, this strategy is exposed to the economic shocks that were mentioned in the macro analysis. It does not have the resilience that is present in diversification.</w:t>
      </w:r>
    </w:p>
    <w:p w14:paraId="065411C0" w14:textId="544DBA0B" w:rsidR="002F17B6" w:rsidRDefault="002F17B6"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2F17B6">
        <w:rPr>
          <w:rFonts w:ascii="Times New Roman" w:hAnsi="Times New Roman" w:cs="Times New Roman"/>
          <w:color w:val="4E4E4E"/>
          <w:sz w:val="24"/>
          <w:szCs w:val="24"/>
        </w:rPr>
        <w:t xml:space="preserve">Conversely, Unilever makes very poor use of the diversification quadrant, which refers to creating new products for new markets. While the organisation has become more geographically diversified, it has been slow to diversify its business models. </w:t>
      </w:r>
      <w:r w:rsidR="00A4367F" w:rsidRPr="00A4367F">
        <w:rPr>
          <w:rFonts w:ascii="Times New Roman" w:hAnsi="Times New Roman" w:cs="Times New Roman"/>
          <w:color w:val="4E4E4E"/>
          <w:sz w:val="24"/>
          <w:szCs w:val="24"/>
          <w:shd w:val="clear" w:color="auto" w:fill="FFFFFF" w:themeFill="background1"/>
        </w:rPr>
        <w:t xml:space="preserve">Kotler, Hermawan Kartajaya and Setiawan (2023) </w:t>
      </w:r>
      <w:r w:rsidRPr="002F17B6">
        <w:rPr>
          <w:rFonts w:ascii="Times New Roman" w:hAnsi="Times New Roman" w:cs="Times New Roman"/>
          <w:color w:val="4E4E4E"/>
          <w:sz w:val="24"/>
          <w:szCs w:val="24"/>
        </w:rPr>
        <w:t>argue that future competitiveness is about moving beyond product-centric growth and getting ahead to ecosystem-centric models. The recommendations to use Agentic AI and circular economy models are a necessary strategic pivot into diversification. These are not simply operational upgrades but a move towards data services and data reuse ecosystems that meet "Silver Economy" needs identified by Mason and Lee (2022).</w:t>
      </w:r>
    </w:p>
    <w:p w14:paraId="0291AFB3" w14:textId="0FD3170F" w:rsidR="002F17B6" w:rsidRDefault="002F17B6" w:rsidP="002F17B6">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2F17B6">
        <w:rPr>
          <w:rFonts w:ascii="Times New Roman" w:hAnsi="Times New Roman" w:cs="Times New Roman"/>
          <w:color w:val="4E4E4E"/>
          <w:sz w:val="24"/>
          <w:szCs w:val="24"/>
        </w:rPr>
        <w:t>This strategic reliance upon high-risk product development, with immature operational capabilities, is an explanation for the structural tensions within the Unilever marketing mix. The organisation is trying to jam a "new product" reality into an "existing market" infrastructure that is structurally unsound. To resolve this, Unilever must rebalance its growth strategy to favour diversification and market development instead of continuing to push unsustainable product development through brittle supply chains.</w:t>
      </w:r>
    </w:p>
    <w:p w14:paraId="10F1C648" w14:textId="30284469" w:rsidR="002F17B6" w:rsidRDefault="00A4367F" w:rsidP="002F17B6">
      <w:pPr>
        <w:keepNext/>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pPr>
      <w:r>
        <w:rPr>
          <w:rFonts w:ascii="Times New Roman" w:hAnsi="Times New Roman" w:cs="Times New Roman"/>
          <w:noProof/>
          <w:color w:val="4E4E4E"/>
          <w:sz w:val="24"/>
          <w:szCs w:val="24"/>
        </w:rPr>
        <w:lastRenderedPageBreak/>
        <w:drawing>
          <wp:inline distT="0" distB="0" distL="0" distR="0" wp14:anchorId="31DCC04E" wp14:editId="270FF9C9">
            <wp:extent cx="5731510" cy="382079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nilever's_Ansoff_Matrix.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820795"/>
                    </a:xfrm>
                    <a:prstGeom prst="rect">
                      <a:avLst/>
                    </a:prstGeom>
                  </pic:spPr>
                </pic:pic>
              </a:graphicData>
            </a:graphic>
          </wp:inline>
        </w:drawing>
      </w:r>
    </w:p>
    <w:p w14:paraId="6FEE0C19" w14:textId="533CC6C2" w:rsidR="002F17B6" w:rsidRPr="00E41118" w:rsidRDefault="002F17B6" w:rsidP="002F17B6">
      <w:pPr>
        <w:pStyle w:val="Caption"/>
        <w:rPr>
          <w:rFonts w:cs="Times New Roman"/>
          <w:color w:val="4E4E4E"/>
          <w:szCs w:val="24"/>
        </w:rPr>
      </w:pPr>
      <w:bookmarkStart w:id="10" w:name="_Toc218552540"/>
      <w:r>
        <w:t xml:space="preserve">Figure </w:t>
      </w:r>
      <w:fldSimple w:instr=" SEQ Figure \* ARABIC ">
        <w:r>
          <w:rPr>
            <w:noProof/>
          </w:rPr>
          <w:t>3</w:t>
        </w:r>
      </w:fldSimple>
      <w:r>
        <w:t>: Ansoff Matrix (Self-Made)</w:t>
      </w:r>
      <w:bookmarkEnd w:id="10"/>
    </w:p>
    <w:p w14:paraId="12E78382" w14:textId="42AF1BDE" w:rsidR="00401D7E" w:rsidRPr="00E41118" w:rsidRDefault="00280C94" w:rsidP="00E41118">
      <w:pPr>
        <w:pStyle w:val="Heading2"/>
        <w:spacing w:before="120" w:after="120" w:line="360" w:lineRule="auto"/>
        <w:jc w:val="both"/>
      </w:pPr>
      <w:bookmarkStart w:id="11" w:name="_78l3l3seagcm" w:colFirst="0" w:colLast="0"/>
      <w:bookmarkStart w:id="12" w:name="_Toc218552525"/>
      <w:bookmarkEnd w:id="11"/>
      <w:r w:rsidRPr="00E41118">
        <w:t>3.</w:t>
      </w:r>
      <w:r w:rsidR="002F17B6">
        <w:t>2</w:t>
      </w:r>
      <w:r w:rsidRPr="00E41118">
        <w:t xml:space="preserve"> Target Market and Positioning</w:t>
      </w:r>
      <w:bookmarkEnd w:id="12"/>
    </w:p>
    <w:p w14:paraId="56ACDAC2"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Unilever has transformed its competitive perception. Previously, it has been competing in general categories such as soap or food. It currently competes in what was termed by Interbrand as Arenas. Human needs form the basis of an arena, e.g. Thrive or Play. This shift is crucial. Wang, Zhang and Deng (2019) established that sustainable performance is fuelled by a strong brand equity. Entering such arenas, Unilever develops a stronger emotional bond with customers.</w:t>
      </w:r>
    </w:p>
    <w:p w14:paraId="405117B9"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Dove is no longer a brand of soap, for example. It has competition in the field of self-esteem and care. This is a good positioning. D'Hond and Bakker (2020) concluded that purposeful brands increase more than two times as much as their competitors. According to Unilever, the growth of the Sustainable Living Brands was also reported to increase 69% compared to the portfolio (Luo, 2020). This information is an indication that the targeting strategy is succeeding. Brands that campaign on social issues are well received by consumers, especially the younger consumers.</w:t>
      </w:r>
    </w:p>
    <w:p w14:paraId="0207E67B"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 xml:space="preserve">However, there are risks. When a brand states that it has a purpose, it forms a psychological contract with the consumer. According to Montgomery and Unnava (2018), when a brand fails </w:t>
      </w:r>
      <w:r w:rsidRPr="00E41118">
        <w:rPr>
          <w:rFonts w:ascii="Times New Roman" w:hAnsi="Times New Roman" w:cs="Times New Roman"/>
          <w:color w:val="4E4E4E"/>
          <w:sz w:val="24"/>
          <w:szCs w:val="24"/>
        </w:rPr>
        <w:lastRenderedPageBreak/>
        <w:t>to fulfil this contract, the consumers feel deceived. In case the purpose of Unilever is regarded as cosmetic, the harm may be enormous. This is also supported by Adeyemi and Ojo (2025) who state that genuine brand activism generates loyalty. The issue is whether Unilever is able to be authentic with 400 brands. When all the brands have dissimilar purposes, it would likely bewilder the consumers. This is what is referred to as brand portfolio dilution. The marketing department is faced with a real challenge.</w:t>
      </w:r>
    </w:p>
    <w:p w14:paraId="67131775" w14:textId="77777777" w:rsidR="00950775"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There has also been a change in the marketing mix. The following table offers a comparison of the conventional strategy and the ongoing sustainable change at Unilever.</w:t>
      </w:r>
    </w:p>
    <w:p w14:paraId="3194A4D6" w14:textId="560F839E" w:rsidR="00280C94" w:rsidRPr="00E41118" w:rsidRDefault="00280C94" w:rsidP="002F17B6">
      <w:pPr>
        <w:pStyle w:val="Caption"/>
      </w:pPr>
      <w:bookmarkStart w:id="13" w:name="_Toc218376651"/>
      <w:r w:rsidRPr="00E41118">
        <w:t xml:space="preserve">Table </w:t>
      </w:r>
      <w:fldSimple w:instr=" SEQ Table \* ARABIC ">
        <w:r w:rsidRPr="00E41118">
          <w:rPr>
            <w:noProof/>
          </w:rPr>
          <w:t>1</w:t>
        </w:r>
      </w:fldSimple>
      <w:r w:rsidRPr="00E41118">
        <w:t>: Unilever’s Marketing Mix Transformation.</w:t>
      </w:r>
      <w:bookmarkEnd w:id="13"/>
    </w:p>
    <w:tbl>
      <w:tblPr>
        <w:tblStyle w:val="TableGridLight"/>
        <w:tblW w:w="9360" w:type="dxa"/>
        <w:tblLayout w:type="fixed"/>
        <w:tblLook w:val="0600" w:firstRow="0" w:lastRow="0" w:firstColumn="0" w:lastColumn="0" w:noHBand="1" w:noVBand="1"/>
      </w:tblPr>
      <w:tblGrid>
        <w:gridCol w:w="1815"/>
        <w:gridCol w:w="2820"/>
        <w:gridCol w:w="4725"/>
      </w:tblGrid>
      <w:tr w:rsidR="00401D7E" w:rsidRPr="00E41118" w14:paraId="6053CC61" w14:textId="77777777" w:rsidTr="00AE0C0F">
        <w:trPr>
          <w:trHeight w:val="540"/>
        </w:trPr>
        <w:tc>
          <w:tcPr>
            <w:tcW w:w="1815" w:type="dxa"/>
          </w:tcPr>
          <w:p w14:paraId="2EF2A951" w14:textId="77777777" w:rsidR="00401D7E" w:rsidRPr="00E41118" w:rsidRDefault="00280C94" w:rsidP="00AE0C0F">
            <w:pPr>
              <w:spacing w:before="120" w:after="120" w:line="360" w:lineRule="auto"/>
              <w:jc w:val="both"/>
              <w:rPr>
                <w:rFonts w:ascii="Times New Roman" w:hAnsi="Times New Roman" w:cs="Times New Roman"/>
                <w:b/>
                <w:bCs/>
                <w:color w:val="101828"/>
                <w:sz w:val="24"/>
                <w:szCs w:val="24"/>
              </w:rPr>
            </w:pPr>
            <w:r w:rsidRPr="00E41118">
              <w:rPr>
                <w:rFonts w:ascii="Times New Roman" w:hAnsi="Times New Roman" w:cs="Times New Roman"/>
                <w:b/>
                <w:bCs/>
                <w:color w:val="101828"/>
                <w:sz w:val="24"/>
                <w:szCs w:val="24"/>
              </w:rPr>
              <w:t>Element</w:t>
            </w:r>
          </w:p>
        </w:tc>
        <w:tc>
          <w:tcPr>
            <w:tcW w:w="2820" w:type="dxa"/>
          </w:tcPr>
          <w:p w14:paraId="2E56547B" w14:textId="77777777" w:rsidR="00401D7E" w:rsidRPr="00E41118" w:rsidRDefault="00280C94" w:rsidP="00AE0C0F">
            <w:pPr>
              <w:spacing w:before="120" w:after="120" w:line="360" w:lineRule="auto"/>
              <w:jc w:val="both"/>
              <w:rPr>
                <w:rFonts w:ascii="Times New Roman" w:hAnsi="Times New Roman" w:cs="Times New Roman"/>
                <w:b/>
                <w:bCs/>
                <w:color w:val="101828"/>
                <w:sz w:val="24"/>
                <w:szCs w:val="24"/>
              </w:rPr>
            </w:pPr>
            <w:r w:rsidRPr="00E41118">
              <w:rPr>
                <w:rFonts w:ascii="Times New Roman" w:hAnsi="Times New Roman" w:cs="Times New Roman"/>
                <w:b/>
                <w:bCs/>
                <w:color w:val="101828"/>
                <w:sz w:val="24"/>
                <w:szCs w:val="24"/>
              </w:rPr>
              <w:t>Traditional Approach</w:t>
            </w:r>
          </w:p>
        </w:tc>
        <w:tc>
          <w:tcPr>
            <w:tcW w:w="4725" w:type="dxa"/>
          </w:tcPr>
          <w:p w14:paraId="40F3B42C" w14:textId="77777777" w:rsidR="00401D7E" w:rsidRPr="00E41118" w:rsidRDefault="00280C94" w:rsidP="00AE0C0F">
            <w:pPr>
              <w:spacing w:before="120" w:after="120" w:line="360" w:lineRule="auto"/>
              <w:jc w:val="both"/>
              <w:rPr>
                <w:rFonts w:ascii="Times New Roman" w:hAnsi="Times New Roman" w:cs="Times New Roman"/>
                <w:b/>
                <w:bCs/>
                <w:color w:val="101828"/>
                <w:sz w:val="24"/>
                <w:szCs w:val="24"/>
              </w:rPr>
            </w:pPr>
            <w:r w:rsidRPr="00E41118">
              <w:rPr>
                <w:rFonts w:ascii="Times New Roman" w:hAnsi="Times New Roman" w:cs="Times New Roman"/>
                <w:b/>
                <w:bCs/>
                <w:color w:val="101828"/>
                <w:sz w:val="24"/>
                <w:szCs w:val="24"/>
              </w:rPr>
              <w:t>Unilever’s Sustainable Transformation</w:t>
            </w:r>
          </w:p>
        </w:tc>
      </w:tr>
      <w:tr w:rsidR="00AE0C0F" w:rsidRPr="00E41118" w14:paraId="1F1AEC89" w14:textId="77777777" w:rsidTr="00AE0C0F">
        <w:trPr>
          <w:trHeight w:val="735"/>
        </w:trPr>
        <w:tc>
          <w:tcPr>
            <w:tcW w:w="1815" w:type="dxa"/>
          </w:tcPr>
          <w:p w14:paraId="1568CFAB" w14:textId="0CCE965B" w:rsidR="00AE0C0F" w:rsidRPr="00AE0C0F" w:rsidRDefault="00AE0C0F" w:rsidP="00AE0C0F">
            <w:pPr>
              <w:spacing w:before="120" w:after="120" w:line="360" w:lineRule="auto"/>
              <w:jc w:val="both"/>
              <w:rPr>
                <w:rFonts w:ascii="Times New Roman" w:hAnsi="Times New Roman" w:cs="Times New Roman"/>
                <w:sz w:val="24"/>
                <w:szCs w:val="24"/>
              </w:rPr>
            </w:pPr>
            <w:r w:rsidRPr="00AE0C0F">
              <w:rPr>
                <w:rFonts w:ascii="Times New Roman" w:hAnsi="Times New Roman" w:cs="Times New Roman"/>
                <w:sz w:val="24"/>
                <w:szCs w:val="24"/>
              </w:rPr>
              <w:t>Product</w:t>
            </w:r>
          </w:p>
        </w:tc>
        <w:tc>
          <w:tcPr>
            <w:tcW w:w="2820" w:type="dxa"/>
          </w:tcPr>
          <w:p w14:paraId="70F380C0" w14:textId="6C6ADE7F" w:rsidR="00AE0C0F" w:rsidRPr="00AE0C0F" w:rsidRDefault="00AE0C0F" w:rsidP="00AE0C0F">
            <w:pPr>
              <w:spacing w:before="120" w:after="120" w:line="360" w:lineRule="auto"/>
              <w:jc w:val="both"/>
              <w:rPr>
                <w:rFonts w:ascii="Times New Roman" w:hAnsi="Times New Roman" w:cs="Times New Roman"/>
                <w:color w:val="171717"/>
                <w:sz w:val="24"/>
                <w:szCs w:val="24"/>
              </w:rPr>
            </w:pPr>
            <w:r w:rsidRPr="00AE0C0F">
              <w:rPr>
                <w:rFonts w:ascii="Times New Roman" w:hAnsi="Times New Roman" w:cs="Times New Roman"/>
                <w:sz w:val="24"/>
                <w:szCs w:val="24"/>
              </w:rPr>
              <w:t>Cheap, synthetic ingredients; cost-focused.</w:t>
            </w:r>
          </w:p>
        </w:tc>
        <w:tc>
          <w:tcPr>
            <w:tcW w:w="4725" w:type="dxa"/>
          </w:tcPr>
          <w:p w14:paraId="489F3757" w14:textId="0B55D845" w:rsidR="00AE0C0F" w:rsidRPr="00AE0C0F" w:rsidRDefault="00AE0C0F" w:rsidP="00AE0C0F">
            <w:pPr>
              <w:spacing w:before="120" w:after="120" w:line="360" w:lineRule="auto"/>
              <w:jc w:val="both"/>
              <w:rPr>
                <w:rFonts w:ascii="Times New Roman" w:hAnsi="Times New Roman" w:cs="Times New Roman"/>
                <w:color w:val="171717"/>
                <w:sz w:val="24"/>
                <w:szCs w:val="24"/>
              </w:rPr>
            </w:pPr>
            <w:r w:rsidRPr="00AE0C0F">
              <w:rPr>
                <w:rFonts w:ascii="Times New Roman" w:hAnsi="Times New Roman" w:cs="Times New Roman"/>
                <w:sz w:val="24"/>
                <w:szCs w:val="24"/>
              </w:rPr>
              <w:t>Plant-based ingredients</w:t>
            </w:r>
            <w:r>
              <w:rPr>
                <w:rFonts w:ascii="Times New Roman" w:hAnsi="Times New Roman" w:cs="Times New Roman"/>
                <w:sz w:val="24"/>
                <w:szCs w:val="24"/>
              </w:rPr>
              <w:t>,</w:t>
            </w:r>
            <w:r w:rsidRPr="00AE0C0F">
              <w:rPr>
                <w:rFonts w:ascii="Times New Roman" w:hAnsi="Times New Roman" w:cs="Times New Roman"/>
                <w:sz w:val="24"/>
                <w:szCs w:val="24"/>
              </w:rPr>
              <w:t xml:space="preserve"> reduced GHG emissions</w:t>
            </w:r>
            <w:r>
              <w:rPr>
                <w:rFonts w:ascii="Times New Roman" w:hAnsi="Times New Roman" w:cs="Times New Roman"/>
                <w:sz w:val="24"/>
                <w:szCs w:val="24"/>
              </w:rPr>
              <w:t xml:space="preserve">, </w:t>
            </w:r>
            <w:r w:rsidRPr="00AE0C0F">
              <w:rPr>
                <w:rFonts w:ascii="Times New Roman" w:hAnsi="Times New Roman" w:cs="Times New Roman"/>
                <w:sz w:val="24"/>
                <w:szCs w:val="24"/>
              </w:rPr>
              <w:t>sustainably sourced materials (e.g., rainforest-friendly palm oil).</w:t>
            </w:r>
          </w:p>
        </w:tc>
      </w:tr>
      <w:tr w:rsidR="00401D7E" w:rsidRPr="00E41118" w14:paraId="24D02B99" w14:textId="77777777" w:rsidTr="00AE0C0F">
        <w:trPr>
          <w:trHeight w:val="735"/>
        </w:trPr>
        <w:tc>
          <w:tcPr>
            <w:tcW w:w="1815" w:type="dxa"/>
          </w:tcPr>
          <w:p w14:paraId="6214EF22"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sz w:val="24"/>
                <w:szCs w:val="24"/>
              </w:rPr>
              <w:t>Price</w:t>
            </w:r>
          </w:p>
        </w:tc>
        <w:tc>
          <w:tcPr>
            <w:tcW w:w="2820" w:type="dxa"/>
          </w:tcPr>
          <w:p w14:paraId="5826C663"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Competitive and low cost.</w:t>
            </w:r>
          </w:p>
        </w:tc>
        <w:tc>
          <w:tcPr>
            <w:tcW w:w="4725" w:type="dxa"/>
          </w:tcPr>
          <w:p w14:paraId="6295B867"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Premium pricing. Consumers pay more for genuine sustainability.</w:t>
            </w:r>
          </w:p>
        </w:tc>
      </w:tr>
      <w:tr w:rsidR="00401D7E" w:rsidRPr="00E41118" w14:paraId="77951CA6" w14:textId="77777777" w:rsidTr="00AE0C0F">
        <w:trPr>
          <w:trHeight w:val="735"/>
        </w:trPr>
        <w:tc>
          <w:tcPr>
            <w:tcW w:w="1815" w:type="dxa"/>
          </w:tcPr>
          <w:p w14:paraId="612560CD"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sz w:val="24"/>
                <w:szCs w:val="24"/>
              </w:rPr>
              <w:t>Place</w:t>
            </w:r>
          </w:p>
        </w:tc>
        <w:tc>
          <w:tcPr>
            <w:tcW w:w="2820" w:type="dxa"/>
          </w:tcPr>
          <w:p w14:paraId="71FF789A"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Heavy reliance on retail distribution.</w:t>
            </w:r>
          </w:p>
        </w:tc>
        <w:tc>
          <w:tcPr>
            <w:tcW w:w="4725" w:type="dxa"/>
          </w:tcPr>
          <w:p w14:paraId="70C2ADDE"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Omnichannel and Direct to Consumer (D2C). Focus on data collection.</w:t>
            </w:r>
          </w:p>
        </w:tc>
      </w:tr>
      <w:tr w:rsidR="00401D7E" w:rsidRPr="00E41118" w14:paraId="5FD9A803" w14:textId="77777777" w:rsidTr="00AE0C0F">
        <w:trPr>
          <w:trHeight w:val="720"/>
        </w:trPr>
        <w:tc>
          <w:tcPr>
            <w:tcW w:w="1815" w:type="dxa"/>
          </w:tcPr>
          <w:p w14:paraId="2E790803"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sz w:val="24"/>
                <w:szCs w:val="24"/>
              </w:rPr>
              <w:t>Promotion</w:t>
            </w:r>
          </w:p>
        </w:tc>
        <w:tc>
          <w:tcPr>
            <w:tcW w:w="2820" w:type="dxa"/>
          </w:tcPr>
          <w:p w14:paraId="743530BB"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Advertising product benefits only.</w:t>
            </w:r>
          </w:p>
        </w:tc>
        <w:tc>
          <w:tcPr>
            <w:tcW w:w="4725" w:type="dxa"/>
          </w:tcPr>
          <w:p w14:paraId="379B6760" w14:textId="77777777" w:rsidR="00401D7E" w:rsidRPr="00E41118" w:rsidRDefault="00280C94" w:rsidP="00AE0C0F">
            <w:pPr>
              <w:spacing w:before="120" w:after="120" w:line="360" w:lineRule="auto"/>
              <w:jc w:val="both"/>
              <w:rPr>
                <w:rFonts w:ascii="Times New Roman" w:hAnsi="Times New Roman" w:cs="Times New Roman"/>
                <w:color w:val="9B9B9B"/>
                <w:sz w:val="24"/>
                <w:szCs w:val="24"/>
              </w:rPr>
            </w:pPr>
            <w:r w:rsidRPr="00E41118">
              <w:rPr>
                <w:rFonts w:ascii="Times New Roman" w:hAnsi="Times New Roman" w:cs="Times New Roman"/>
                <w:color w:val="171717"/>
                <w:sz w:val="24"/>
                <w:szCs w:val="24"/>
              </w:rPr>
              <w:t>Purpose-driven campaigns. Measurable social impact.</w:t>
            </w:r>
          </w:p>
        </w:tc>
      </w:tr>
    </w:tbl>
    <w:p w14:paraId="3C0F68A3" w14:textId="6A49AC2C" w:rsidR="00401D7E" w:rsidRPr="004A1470" w:rsidRDefault="004A1470" w:rsidP="00857301">
      <w:pPr>
        <w:spacing w:before="120" w:line="360" w:lineRule="auto"/>
        <w:jc w:val="center"/>
        <w:rPr>
          <w:rFonts w:ascii="Times New Roman" w:hAnsi="Times New Roman" w:cs="Times New Roman"/>
          <w:sz w:val="24"/>
          <w:szCs w:val="24"/>
        </w:rPr>
      </w:pPr>
      <w:bookmarkStart w:id="14" w:name="_1ep2kp9jnrq8" w:colFirst="0" w:colLast="0"/>
      <w:bookmarkEnd w:id="14"/>
      <w:r w:rsidRPr="004A1470">
        <w:rPr>
          <w:rFonts w:ascii="Times New Roman" w:hAnsi="Times New Roman" w:cs="Times New Roman"/>
          <w:sz w:val="24"/>
          <w:szCs w:val="24"/>
        </w:rPr>
        <w:t xml:space="preserve">Source: </w:t>
      </w:r>
      <w:r w:rsidR="003C1A8B">
        <w:rPr>
          <w:rFonts w:ascii="Times New Roman" w:hAnsi="Times New Roman" w:cs="Times New Roman"/>
          <w:sz w:val="24"/>
          <w:szCs w:val="24"/>
        </w:rPr>
        <w:t>S</w:t>
      </w:r>
      <w:r w:rsidRPr="004A1470">
        <w:rPr>
          <w:rFonts w:ascii="Times New Roman" w:hAnsi="Times New Roman" w:cs="Times New Roman"/>
          <w:sz w:val="24"/>
          <w:szCs w:val="24"/>
        </w:rPr>
        <w:t>ynthesis from Unilever (2021), Unilever (2024), and Unilever (2023).</w:t>
      </w:r>
    </w:p>
    <w:p w14:paraId="362DFE1F" w14:textId="247236D7" w:rsidR="00401D7E" w:rsidRPr="00E41118" w:rsidRDefault="00280C94" w:rsidP="00E41118">
      <w:pPr>
        <w:pStyle w:val="Heading2"/>
        <w:spacing w:before="120" w:after="120" w:line="360" w:lineRule="auto"/>
        <w:jc w:val="both"/>
      </w:pPr>
      <w:bookmarkStart w:id="15" w:name="_Toc218552526"/>
      <w:r w:rsidRPr="00E41118">
        <w:t>3.</w:t>
      </w:r>
      <w:r w:rsidR="002F17B6">
        <w:t>3</w:t>
      </w:r>
      <w:r w:rsidRPr="00E41118">
        <w:t xml:space="preserve"> The Sustainable Marketing Mix (The 4Ps)</w:t>
      </w:r>
      <w:bookmarkEnd w:id="15"/>
    </w:p>
    <w:p w14:paraId="1D7ABAFD"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shift to plant-based ingredients is a powerful step to consider in examining the "Product" aspect. Kumar, Sharma and Gupta (2021) established that sustainability claims would have a favourable effect on the success of new products. There is an increased cost of these ingredients. This results in compression of margins. The sustainable components are 10-15 per cent more expensive than the conventional ones (Co, n.d.). This imposes pressure on the marketing department to justify the elevated price. They must persuade them that the additional cost is warranted.</w:t>
      </w:r>
    </w:p>
    <w:p w14:paraId="08643994"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lastRenderedPageBreak/>
        <w:t>Unilever is extremely purpose-oriented under the head of promotion. Empirical research carried out by Scalco et al. (2021) demonstrates that consumers do react to sustainable marketing in the food sphere. Nevertheless, such a response is not certain. The study by Sharma and Jain (2021) conducted in the FMCG sector in India revealed that the perception of consumers is not similar. Things that have been successful in Europe may not necessarily be successful in the developing markets. This makes the marketing department careful about the message it puts across. An international one-size-fits-all campaign is possible, but it will not work well in all locations.</w:t>
      </w:r>
    </w:p>
    <w:p w14:paraId="0801A90D" w14:textId="4C5280E3"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factor of price is a problematic one. Unilever has been setting premium prices of sustainable products at approximately 9.7</w:t>
      </w:r>
      <w:r w:rsidR="006160B6">
        <w:rPr>
          <w:rFonts w:ascii="Times New Roman" w:hAnsi="Times New Roman" w:cs="Times New Roman"/>
          <w:color w:val="4E4E4E"/>
          <w:sz w:val="24"/>
          <w:szCs w:val="24"/>
        </w:rPr>
        <w:t>%</w:t>
      </w:r>
      <w:r w:rsidRPr="00E41118">
        <w:rPr>
          <w:rFonts w:ascii="Times New Roman" w:hAnsi="Times New Roman" w:cs="Times New Roman"/>
          <w:color w:val="4E4E4E"/>
          <w:sz w:val="24"/>
          <w:szCs w:val="24"/>
        </w:rPr>
        <w:t xml:space="preserve">. According to </w:t>
      </w:r>
      <w:r w:rsidR="00A4367F" w:rsidRPr="00A4367F">
        <w:rPr>
          <w:rFonts w:ascii="Times New Roman" w:hAnsi="Times New Roman" w:cs="Times New Roman"/>
          <w:color w:val="4E4E4E"/>
          <w:sz w:val="24"/>
          <w:szCs w:val="24"/>
        </w:rPr>
        <w:t>PWC (2024)</w:t>
      </w:r>
      <w:r w:rsidRPr="00E41118">
        <w:rPr>
          <w:rFonts w:ascii="Times New Roman" w:hAnsi="Times New Roman" w:cs="Times New Roman"/>
          <w:color w:val="4E4E4E"/>
          <w:sz w:val="24"/>
          <w:szCs w:val="24"/>
        </w:rPr>
        <w:t>, consumers are ready to pay this. This willingness is, however, subject to trust. Provided that the economic situation deteriorates, consumers can revert to alternatives that offer fewer cost advantages. The marketing department must continuously demonstrate that the quality is better than the price.</w:t>
      </w:r>
    </w:p>
    <w:p w14:paraId="42BF19BC"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Lastly, the Place factor is a change to direct-to-consumer channels. The article by Bahadur (2025) emphasises the emergence of D2C in the FMCG industry. This enables Unilever to have a data relationship with the customer. It lessens the dependence on a retailer such as Tesco or Walmart. This is a clever strategic action. It puts the marketing department in greater control of the brand story.</w:t>
      </w:r>
    </w:p>
    <w:p w14:paraId="384B1C1C" w14:textId="630B5AD2" w:rsidR="00401D7E" w:rsidRPr="00E41118" w:rsidRDefault="00280C94" w:rsidP="00E41118">
      <w:pPr>
        <w:pStyle w:val="Heading2"/>
        <w:spacing w:before="120" w:after="120" w:line="360" w:lineRule="auto"/>
        <w:jc w:val="both"/>
      </w:pPr>
      <w:bookmarkStart w:id="16" w:name="_ln50skjjjbu6" w:colFirst="0" w:colLast="0"/>
      <w:bookmarkStart w:id="17" w:name="_Toc218552527"/>
      <w:bookmarkEnd w:id="16"/>
      <w:r w:rsidRPr="00E41118">
        <w:t>3.</w:t>
      </w:r>
      <w:r w:rsidR="002F17B6">
        <w:t>4</w:t>
      </w:r>
      <w:r w:rsidRPr="00E41118">
        <w:t xml:space="preserve"> Media Selection and Customer Engagement</w:t>
      </w:r>
      <w:bookmarkEnd w:id="17"/>
    </w:p>
    <w:p w14:paraId="34823DB5"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Unilever has altered its customer-reaching methods. It is shifting towards digital and phygital experiences, instead of conventional television advertisements. Physical and digital worlds are combined, and the name is called phygital. According to Mosquera et al. (2022), a phygital conceptual framework of customer experience is badly needed at the moment. Unilever is attempting to develop both online and store experiences.</w:t>
      </w:r>
    </w:p>
    <w:p w14:paraId="038612F0"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Digital detoxing is one of the challenges. The article by Bhargava and Velasquez (2024) touches upon the concept of the digital detox as a relatively recent health tendency. Screens are becoming weary of consumers. Unilever may fail to tap into this segment in case they opt to conduct digital marketing. The marketing department must balance between digital investment and physical activations in order to capture these consumers.</w:t>
      </w:r>
    </w:p>
    <w:p w14:paraId="49912DEB"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 xml:space="preserve">Unilever is attempting to be more agile to cope with this complicated terrain. De Smet, Lurie and St. George (2019) explain the path to the agile organisation. This entails silo busting. The operating model proposed by Comella-Dorda et al. (2020) applies to every company-wide agile </w:t>
      </w:r>
      <w:r w:rsidRPr="00E41118">
        <w:rPr>
          <w:rFonts w:ascii="Times New Roman" w:hAnsi="Times New Roman" w:cs="Times New Roman"/>
          <w:color w:val="4E4E4E"/>
          <w:sz w:val="24"/>
          <w:szCs w:val="24"/>
        </w:rPr>
        <w:lastRenderedPageBreak/>
        <w:t>development. In the case of Unilever, it would be the shift from rigid hierarchical teams to cross-functional teams, which are called squads. Such teams can respond to trends.</w:t>
      </w:r>
    </w:p>
    <w:p w14:paraId="154245E2" w14:textId="54ED044E" w:rsidR="00A4367F"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This is a vital agility of the customer journey. Siebert et al. (2020) compare the loops of loyalty and the funnels of buying. Historically, marketing used to be a straight-line funnel. It is now a cyclical affair with customers promoting the brand. According to Josi and Kumar (2025), the relationship between the customer experience and brand equity is interdependent. The media strategy of Unilever should be aimed at retaining customers in this loop. In case of a bad experience, they will lose the equity they have created with purpose campaigns fast.</w:t>
      </w:r>
      <w:bookmarkStart w:id="18" w:name="_kf4y8vmzr0oh" w:colFirst="0" w:colLast="0"/>
      <w:bookmarkEnd w:id="18"/>
    </w:p>
    <w:p w14:paraId="6E71E0AB" w14:textId="23CB0479" w:rsidR="00401D7E" w:rsidRPr="00A4367F" w:rsidRDefault="00A4367F" w:rsidP="00A4367F">
      <w:pPr>
        <w:pStyle w:val="Heading1"/>
        <w:spacing w:before="120" w:after="120" w:line="360" w:lineRule="auto"/>
        <w:jc w:val="both"/>
        <w:rPr>
          <w:rFonts w:ascii="Times New Roman" w:hAnsi="Times New Roman" w:cs="Times New Roman"/>
          <w:color w:val="4E4E4E"/>
          <w:sz w:val="28"/>
          <w:szCs w:val="28"/>
        </w:rPr>
      </w:pPr>
      <w:r>
        <w:rPr>
          <w:rFonts w:ascii="Times New Roman" w:hAnsi="Times New Roman" w:cs="Times New Roman"/>
          <w:color w:val="4E4E4E"/>
          <w:sz w:val="24"/>
          <w:szCs w:val="24"/>
        </w:rPr>
        <w:br w:type="column"/>
      </w:r>
      <w:bookmarkStart w:id="19" w:name="_86717d4g8t1g" w:colFirst="0" w:colLast="0"/>
      <w:bookmarkStart w:id="20" w:name="_Toc218552528"/>
      <w:bookmarkEnd w:id="19"/>
      <w:r w:rsidR="00280C94" w:rsidRPr="00A4367F">
        <w:rPr>
          <w:sz w:val="28"/>
          <w:szCs w:val="28"/>
        </w:rPr>
        <w:lastRenderedPageBreak/>
        <w:t>4. MEASURING SUCCESS AND CRITICAL CHALLENGES</w:t>
      </w:r>
      <w:bookmarkEnd w:id="20"/>
    </w:p>
    <w:p w14:paraId="5972F044" w14:textId="1E64816F" w:rsidR="00401D7E" w:rsidRPr="00E41118" w:rsidRDefault="00280C94" w:rsidP="00A4367F">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technique is sound theoretically. But significant issues are evident about the outcomes. This section evaluates the effectiveness of the campaigns and the primary challenges faced by Unilever.</w:t>
      </w:r>
      <w:bookmarkStart w:id="21" w:name="_f8hhtw62y1h1" w:colFirst="0" w:colLast="0"/>
      <w:bookmarkEnd w:id="21"/>
    </w:p>
    <w:p w14:paraId="04791786" w14:textId="532A7201" w:rsidR="00401D7E" w:rsidRPr="00E41118" w:rsidRDefault="00280C94" w:rsidP="00A4367F">
      <w:pPr>
        <w:pStyle w:val="Heading2"/>
        <w:spacing w:before="120" w:after="120" w:line="360" w:lineRule="auto"/>
        <w:jc w:val="both"/>
      </w:pPr>
      <w:bookmarkStart w:id="22" w:name="_2v8vbncdopyb" w:colFirst="0" w:colLast="0"/>
      <w:bookmarkStart w:id="23" w:name="_raf0q98tlzrb" w:colFirst="0" w:colLast="0"/>
      <w:bookmarkStart w:id="24" w:name="_Toc218552529"/>
      <w:bookmarkEnd w:id="22"/>
      <w:bookmarkEnd w:id="23"/>
      <w:r w:rsidRPr="00E41118">
        <w:t>4.</w:t>
      </w:r>
      <w:r w:rsidR="00A4367F">
        <w:t xml:space="preserve">1 </w:t>
      </w:r>
      <w:r w:rsidRPr="00E41118">
        <w:t>The Execution Gap: Scope 3 and Greenwashing</w:t>
      </w:r>
      <w:bookmarkEnd w:id="24"/>
    </w:p>
    <w:p w14:paraId="78082778" w14:textId="77777777" w:rsidR="00280C94" w:rsidRPr="00E41118" w:rsidRDefault="00280C94" w:rsidP="00E41118">
      <w:pPr>
        <w:keepNext/>
        <w:spacing w:before="120" w:line="360" w:lineRule="auto"/>
        <w:jc w:val="both"/>
      </w:pPr>
      <w:bookmarkStart w:id="25" w:name="_mdpzsngiu6hx" w:colFirst="0" w:colLast="0"/>
      <w:bookmarkEnd w:id="25"/>
      <w:r w:rsidRPr="00E41118">
        <w:rPr>
          <w:noProof/>
        </w:rPr>
        <w:drawing>
          <wp:inline distT="114300" distB="114300" distL="114300" distR="114300" wp14:anchorId="7F4EF2B9" wp14:editId="2AA65AFD">
            <wp:extent cx="5943600" cy="40767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rotWithShape="1">
                    <a:blip r:embed="rId13"/>
                    <a:srcRect t="9321"/>
                    <a:stretch/>
                  </pic:blipFill>
                  <pic:spPr bwMode="auto">
                    <a:xfrm>
                      <a:off x="0" y="0"/>
                      <a:ext cx="5943600" cy="4076700"/>
                    </a:xfrm>
                    <a:prstGeom prst="rect">
                      <a:avLst/>
                    </a:prstGeom>
                    <a:ln>
                      <a:noFill/>
                    </a:ln>
                    <a:extLst>
                      <a:ext uri="{53640926-AAD7-44D8-BBD7-CCE9431645EC}">
                        <a14:shadowObscured xmlns:a14="http://schemas.microsoft.com/office/drawing/2010/main"/>
                      </a:ext>
                    </a:extLst>
                  </pic:spPr>
                </pic:pic>
              </a:graphicData>
            </a:graphic>
          </wp:inline>
        </w:drawing>
      </w:r>
    </w:p>
    <w:p w14:paraId="704FA9B9" w14:textId="790D0810" w:rsidR="00280C94" w:rsidRPr="00E41118" w:rsidRDefault="00280C94" w:rsidP="002F17B6">
      <w:pPr>
        <w:pStyle w:val="Caption"/>
        <w:rPr>
          <w:color w:val="4E4E4E"/>
        </w:rPr>
      </w:pPr>
      <w:bookmarkStart w:id="26" w:name="_Toc218552541"/>
      <w:r w:rsidRPr="00E41118">
        <w:t xml:space="preserve">Figure </w:t>
      </w:r>
      <w:fldSimple w:instr=" SEQ Figure \* ARABIC ">
        <w:r w:rsidR="002F17B6">
          <w:rPr>
            <w:noProof/>
          </w:rPr>
          <w:t>4</w:t>
        </w:r>
      </w:fldSimple>
      <w:r w:rsidRPr="00E41118">
        <w:t>: The Strategy-Execution Gap and Greenwashing Risk Cycle</w:t>
      </w:r>
      <w:r w:rsidR="004B40F2">
        <w:t xml:space="preserve"> (Self-Made).</w:t>
      </w:r>
      <w:bookmarkEnd w:id="26"/>
    </w:p>
    <w:p w14:paraId="68518954" w14:textId="324DDE23"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greatest difficulty at Unilever is the disparity between the claims made by the corporation and its operational reality. This is best evident in the Scope 3 emissions data. Scope 3 is the emission which is not directly managed by the company, primarily in the supply chain.</w:t>
      </w:r>
    </w:p>
    <w:p w14:paraId="1B0E3C07"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Stenzel, Flick and Seele (2023) stress that supply chain data sharing is necessary to address the Scope 3 emissions. Today, the Scope 3 emissions of Unilever represent 90 per cent of the total footprint. Nonetheless, the company has not succeeded in reducing such areas by more than 14 per cent (Unilever, 2024). It should decrease it by 30.3% to achieve targets (Unilever, 2025). According to Blanco, Caro and Corbett (2023), Scope 3 reporting is what enables decarbonisation. Reporting is only the beginning. You even need to decrease the emissions.</w:t>
      </w:r>
    </w:p>
    <w:p w14:paraId="0C218A39"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lastRenderedPageBreak/>
        <w:t>According to the MIT Centre of Transportation and Logistics (2024), Scope 3 challenges are the most significant present-day hurdle for companies. Unilever has over 60,000 suppliers. Collecting the right data out of all of them will be difficult. According to Busse et al. (2023), there is a paradox between the necessity to be transparent and the problem of supply chain coordination. This results in a performing-organising paradox. Unilever also positions itself as a green leader, but it cannot do so completely, as the data is missing.</w:t>
      </w:r>
    </w:p>
    <w:p w14:paraId="7DC07097"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According to Cho, Lim and Yoon (2024), required Scope 3 disclosures in reality compel enterprises to make superior supply chain decisions. However, Carter, Lynch and Pei (2025) notice that the actual outcomes of these disclosures are delayed. Unilever is at the challenging intermediate stage when the firm has said it will deliver but has not yet done so.</w:t>
      </w:r>
    </w:p>
    <w:p w14:paraId="5AAC406C"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Tuni, Rentizelas and Duffy (2024) emphasise that life cycle thinking and carbon accounting are necessary. Any vindication of sustainability is feeble without this. Sodhi, Bals and Deng (2024) emphasise in addition that operations management is going to have to adapt drastically in order to attain carbon neutrality.  It is not merely a marketing brand.</w:t>
      </w:r>
    </w:p>
    <w:p w14:paraId="1D305AE9"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This information gap creates a massive threat of greenwashing. According to Li, Song and Yang (2025), greenwashing causes an adverse effect on the green perceived value. When consumers believe that they have been lied to, the brand equity will fail. Mangini et al. (2020) have discovered that consumer behavioural intentions are greatly transformed by greenwashing. It makes them shun away from the brand. Ganesh and Kumar (2024) confirm this and reveal that greenwashing behaviour is detrimental to consumer behaviour. Greenwashing also harmed trust and brand equity, as reported by Zhang and Wang (2024), in the case of China. This is a significant weakness considering the fact that Unilever is an international company.</w:t>
      </w:r>
    </w:p>
    <w:p w14:paraId="631C50CB" w14:textId="4A215398" w:rsidR="003A3967"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marketing department is thus operating on a thin thread. They are selling a sustainable image that the operations department is not able to support fully at the moment. This poses a hazardous contradiction. In case a regulator chooses to check out the allegations of Unilever, the absence of data would impose a penalty comparable to a substantial sum.</w:t>
      </w:r>
    </w:p>
    <w:p w14:paraId="505465C5" w14:textId="7B90CFD9" w:rsidR="00401D7E" w:rsidRPr="00E41118" w:rsidRDefault="003A3967" w:rsidP="00E41118">
      <w:pPr>
        <w:pStyle w:val="Heading1"/>
        <w:spacing w:before="120" w:after="120" w:line="360" w:lineRule="auto"/>
        <w:jc w:val="both"/>
        <w:rPr>
          <w:rFonts w:ascii="Times New Roman" w:hAnsi="Times New Roman" w:cs="Times New Roman"/>
          <w:color w:val="4E4E4E"/>
          <w:sz w:val="28"/>
          <w:szCs w:val="28"/>
        </w:rPr>
      </w:pPr>
      <w:r w:rsidRPr="00E41118">
        <w:rPr>
          <w:rFonts w:ascii="Times New Roman" w:hAnsi="Times New Roman" w:cs="Times New Roman"/>
          <w:color w:val="4E4E4E"/>
          <w:sz w:val="24"/>
          <w:szCs w:val="24"/>
        </w:rPr>
        <w:br w:type="column"/>
      </w:r>
      <w:bookmarkStart w:id="27" w:name="_ybwq9r8gh6jt" w:colFirst="0" w:colLast="0"/>
      <w:bookmarkStart w:id="28" w:name="_Toc218552530"/>
      <w:bookmarkEnd w:id="27"/>
      <w:r w:rsidR="00280C94" w:rsidRPr="00E41118">
        <w:rPr>
          <w:sz w:val="28"/>
          <w:szCs w:val="28"/>
        </w:rPr>
        <w:lastRenderedPageBreak/>
        <w:t>5. CONCLUSION</w:t>
      </w:r>
      <w:bookmarkEnd w:id="28"/>
    </w:p>
    <w:p w14:paraId="50D1113B"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In conclusion, the marketing department of Unilever has taken great steps. The change to a purpose-led strategy has managed to reposition various brands to new arenas. This has spurred the growth of the "Sustainable Living Brands”. The shift toward the D2C channel and nimble marketing frameworks indicates that the department is aware of the contemporary trends in the digital space.</w:t>
      </w:r>
    </w:p>
    <w:p w14:paraId="7F8ED607"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In this case, however, there is a serious weakness in the evaluation. The plan is faster than the implementation. The marketing unit is marketing a vision of sustainability, which the supply chain is not able to provide at the moment. This is best evidenced by the Scope 3 emissions gap. The rest of the portfolio faces margin compression and complexity of the data, as the growth of the sustainable living brands is accelerated.</w:t>
      </w:r>
    </w:p>
    <w:p w14:paraId="25B5C354"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According to Van Hoang, Tran and Nguyen (2025), the credibility of the strategy is essential to the pathways in the direction of green purchase intention. When the ground is not strong, the passageway cracks. Wang, Zhang and Liu (2022) also mention that the research of green marketing trends towards more rigid verification. The current strategy that Unilever utilises (where the use of narrative is high and less hard data are involved) might not be sustainable in the long run.</w:t>
      </w:r>
    </w:p>
    <w:p w14:paraId="49133FDD"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report holds that marketing at Unilever is doing a good job in creating brand equity, but it is operationally unsustainable. The Arena's strategy is a house of cards, which is constructed based on supply chain secrecy. To survive, Unilever needs to cease to use sustainability as a marketing story and begin viewing it as an operational data issue. Better storytelling will not bring the department closer to its future, but radical supply chain engineering will.</w:t>
      </w:r>
    </w:p>
    <w:p w14:paraId="0285CCAB" w14:textId="1CA68793"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weakness of the supply chain is its non-transparency. This poses a great danger of greenwashing. The marketing department has been successful in transforming the story. However, this time they have to concentrate on modifying the reality behind the tale. In the absence of bridging the data gap, the marketing strategy will be weak.</w:t>
      </w:r>
    </w:p>
    <w:p w14:paraId="3BABDCA8" w14:textId="4B3CF318" w:rsidR="00947D29" w:rsidRPr="00E41118" w:rsidRDefault="00947D29"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p>
    <w:p w14:paraId="7C46C64B" w14:textId="42321EA3" w:rsidR="00947D29" w:rsidRPr="00E41118" w:rsidRDefault="00947D29"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p>
    <w:p w14:paraId="17CE2291" w14:textId="5A10D5DD" w:rsidR="00947D29" w:rsidRPr="00E41118" w:rsidRDefault="00947D29"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p>
    <w:p w14:paraId="62096541" w14:textId="02EC10C1" w:rsidR="00401D7E" w:rsidRPr="00E41118" w:rsidRDefault="00280C94" w:rsidP="00E41118">
      <w:pPr>
        <w:pStyle w:val="Heading1"/>
        <w:spacing w:before="120" w:after="120" w:line="360" w:lineRule="auto"/>
        <w:jc w:val="both"/>
        <w:rPr>
          <w:sz w:val="28"/>
          <w:szCs w:val="28"/>
        </w:rPr>
      </w:pPr>
      <w:bookmarkStart w:id="29" w:name="_lpouxw2ohpg1" w:colFirst="0" w:colLast="0"/>
      <w:bookmarkStart w:id="30" w:name="_Toc218552531"/>
      <w:bookmarkEnd w:id="29"/>
      <w:r w:rsidRPr="00E41118">
        <w:rPr>
          <w:sz w:val="28"/>
          <w:szCs w:val="28"/>
        </w:rPr>
        <w:lastRenderedPageBreak/>
        <w:t>6. RECOMMENDATIONS</w:t>
      </w:r>
      <w:bookmarkEnd w:id="30"/>
    </w:p>
    <w:p w14:paraId="1D7E641B" w14:textId="71E4714E"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In accordance with the conclusion, the recommendations presented below explain how the marketing strategy of Unilever can be enhanced. These are aimed at resolving the Scope 3 data problem and consumer trust.</w:t>
      </w:r>
    </w:p>
    <w:p w14:paraId="35D514DF" w14:textId="77777777" w:rsidR="003A3967" w:rsidRPr="00E41118" w:rsidRDefault="00947D29" w:rsidP="00E41118">
      <w:pPr>
        <w:keepNext/>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pPr>
      <w:r w:rsidRPr="00E41118">
        <w:rPr>
          <w:noProof/>
        </w:rPr>
        <w:drawing>
          <wp:inline distT="114300" distB="114300" distL="114300" distR="114300" wp14:anchorId="14661D14" wp14:editId="3578EF04">
            <wp:extent cx="5943600" cy="432435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t="3434" b="4848"/>
                    <a:stretch>
                      <a:fillRect/>
                    </a:stretch>
                  </pic:blipFill>
                  <pic:spPr>
                    <a:xfrm>
                      <a:off x="0" y="0"/>
                      <a:ext cx="5943600" cy="4324350"/>
                    </a:xfrm>
                    <a:prstGeom prst="rect">
                      <a:avLst/>
                    </a:prstGeom>
                    <a:ln/>
                  </pic:spPr>
                </pic:pic>
              </a:graphicData>
            </a:graphic>
          </wp:inline>
        </w:drawing>
      </w:r>
    </w:p>
    <w:p w14:paraId="63DBB8AB" w14:textId="5DF4A655" w:rsidR="00947D29" w:rsidRPr="00E41118" w:rsidRDefault="003A3967" w:rsidP="002F17B6">
      <w:pPr>
        <w:pStyle w:val="Caption"/>
        <w:rPr>
          <w:rFonts w:cs="Times New Roman"/>
          <w:color w:val="4E4E4E"/>
          <w:szCs w:val="24"/>
        </w:rPr>
      </w:pPr>
      <w:bookmarkStart w:id="31" w:name="_Toc218552542"/>
      <w:r w:rsidRPr="00E41118">
        <w:t xml:space="preserve">Figure </w:t>
      </w:r>
      <w:fldSimple w:instr=" SEQ Figure \* ARABIC ">
        <w:r w:rsidR="002F17B6">
          <w:rPr>
            <w:noProof/>
          </w:rPr>
          <w:t>5</w:t>
        </w:r>
      </w:fldSimple>
      <w:r w:rsidRPr="00E41118">
        <w:t>: The Disconnect Between Marketing Promise and Operational Reality</w:t>
      </w:r>
      <w:r w:rsidR="00E41118" w:rsidRPr="00E41118">
        <w:t xml:space="preserve"> (self-made)</w:t>
      </w:r>
      <w:bookmarkEnd w:id="31"/>
    </w:p>
    <w:p w14:paraId="14D32319" w14:textId="77777777" w:rsidR="00401D7E" w:rsidRPr="00E41118" w:rsidRDefault="00280C94" w:rsidP="00E41118">
      <w:pPr>
        <w:pStyle w:val="Heading2"/>
        <w:spacing w:before="120" w:after="120" w:line="360" w:lineRule="auto"/>
        <w:jc w:val="both"/>
      </w:pPr>
      <w:bookmarkStart w:id="32" w:name="_dxnuvssgnlsu" w:colFirst="0" w:colLast="0"/>
      <w:bookmarkStart w:id="33" w:name="_Toc218552532"/>
      <w:bookmarkEnd w:id="32"/>
      <w:r w:rsidRPr="00E41118">
        <w:t>6.1 Operational and Technological Recommendations</w:t>
      </w:r>
      <w:bookmarkEnd w:id="33"/>
    </w:p>
    <w:p w14:paraId="02F62DE8" w14:textId="77777777" w:rsidR="00401D7E" w:rsidRPr="00E41118" w:rsidRDefault="00280C94" w:rsidP="00E41118">
      <w:pPr>
        <w:pStyle w:val="Heading3"/>
        <w:spacing w:before="120" w:after="120" w:line="360" w:lineRule="auto"/>
        <w:jc w:val="both"/>
      </w:pPr>
      <w:bookmarkStart w:id="34" w:name="_Toc218552533"/>
      <w:r w:rsidRPr="00E41118">
        <w:t>Recommendation 1: Implement Agentic AI for Supply Chain Transparency</w:t>
      </w:r>
      <w:bookmarkEnd w:id="34"/>
    </w:p>
    <w:p w14:paraId="394BDD1F"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Unilever ought to consider investing in "Agentic AI" in order to resolve data collection issues in the supply chain. Rahman and Zaman (2025) introduce SustAI-SCM, which is an intelligent process automation that enhances the sustainability of the supply chain. The agentic AI is able to independently monitor thousands of suppliers. The Boston Consulting Group (2025) emphasises the potential of the autonomous management of industrial goods by the Agentic AI through change.</w:t>
      </w:r>
    </w:p>
    <w:p w14:paraId="699B0628" w14:textId="75C6F79E"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lastRenderedPageBreak/>
        <w:t>With such tools, Unilever will ensure it automates the process of gathering product carbon footprint data. At present, Unilever is strategically targeting 300 suppliers. These vendors contribute about 44 per cent of the Unilever Scope 3 emissions in terms of raw materials, ingredients and packaging (Unilever PLC, 2024). All invoices, shipping logs, and production data can be scanned by AI and estimated in terms of emissions. This would provide the marketing department with hard evidence which it can use to support its arguments. It minimises the chances of greenwashing because it has verifiable evidence. This makes a strength out of a weakness. The marketing team is then able to say, 'We know the specific amount of carbon contained in this jar of mayonnaise,' not to make a rough estimate.</w:t>
      </w:r>
    </w:p>
    <w:p w14:paraId="7B480924" w14:textId="77777777" w:rsidR="00401D7E" w:rsidRPr="00E41118" w:rsidRDefault="00280C94" w:rsidP="00E41118">
      <w:pPr>
        <w:pStyle w:val="Heading3"/>
        <w:spacing w:before="120" w:after="120" w:line="360" w:lineRule="auto"/>
        <w:jc w:val="both"/>
      </w:pPr>
      <w:bookmarkStart w:id="35" w:name="_Toc218552534"/>
      <w:r w:rsidRPr="00E41118">
        <w:t>Recommendation 2: Adopt Circular Economy Models to Tackle Margin Compression</w:t>
      </w:r>
      <w:bookmarkEnd w:id="35"/>
    </w:p>
    <w:p w14:paraId="15939767"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Unilever must embrace the idea of the circular economy to deal with the margin compression of costlier sustainable ingredients. According to Akinsulire, Adeusi and Adesina (2024), the FMCG industry in this region has a number of opportunities. This entails the creation of products which can be reused, recycled or refurbished.</w:t>
      </w:r>
    </w:p>
    <w:p w14:paraId="5A23FE7E"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As an example, marketing campaigns might target the refill stations or concentrated products that consume less plastic. This saves material expenses in the long-run. It is also targeting the so-called Silver Economy segment of the population, which is price-sensitive, yet is also sensitive to the environment. This action is compatible with the Net Better Off strategy described in the course materials. It will add value to both the consumer and the company.</w:t>
      </w:r>
    </w:p>
    <w:p w14:paraId="31E70AD4" w14:textId="77777777" w:rsidR="00401D7E" w:rsidRPr="00E41118" w:rsidRDefault="00280C94" w:rsidP="00E41118">
      <w:pPr>
        <w:pStyle w:val="Heading2"/>
        <w:spacing w:before="120" w:after="120" w:line="360" w:lineRule="auto"/>
        <w:jc w:val="both"/>
      </w:pPr>
      <w:bookmarkStart w:id="36" w:name="_ei08xe3qfbpx" w:colFirst="0" w:colLast="0"/>
      <w:bookmarkStart w:id="37" w:name="_Toc218552535"/>
      <w:bookmarkEnd w:id="36"/>
      <w:r w:rsidRPr="00E41118">
        <w:t>6.2 Strategic and Cultural Recommendations</w:t>
      </w:r>
      <w:bookmarkEnd w:id="37"/>
    </w:p>
    <w:p w14:paraId="079745CE"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sz w:val="24"/>
          <w:szCs w:val="24"/>
        </w:rPr>
      </w:pPr>
      <w:r w:rsidRPr="00E41118">
        <w:rPr>
          <w:rFonts w:ascii="Times New Roman" w:hAnsi="Times New Roman" w:cs="Times New Roman"/>
          <w:sz w:val="24"/>
          <w:szCs w:val="24"/>
        </w:rPr>
        <w:t>Recommendation 3: Establish a "TrustOps" Governance Framework</w:t>
      </w:r>
    </w:p>
    <w:p w14:paraId="515D9AB2"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Unilever ought to develop a policy of TrustOps in order to avoid the risk of greenwashing. This will necessitate a set of severe internal tests on each marketing statement. According to Priya and Kumar (2025), radical transparency, eco-labelling, and ethical advertising are needed to gain the trust of the consumer.</w:t>
      </w:r>
    </w:p>
    <w:p w14:paraId="1B82F555" w14:textId="1413CC18" w:rsid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The marketing department must have a label on carbon emissions in terms of nutrition, as in the case proposed by Interbrand. Food labels should also reveal the calories used just as Unilever goods show their carbon footprint. This information may sound overwhelming, yet it is required for future-proofing. It coincides with the conclusions of Montgomery and Unnava (2018) on the issue of psychological contract. Consumers will have more trust in Unilever if it tells them about the challenges and the progress.</w:t>
      </w:r>
    </w:p>
    <w:p w14:paraId="38FA4543" w14:textId="306B03D6" w:rsidR="00401D7E" w:rsidRPr="00E41118" w:rsidRDefault="00E41118" w:rsidP="00E41118">
      <w:pPr>
        <w:pStyle w:val="Heading3"/>
        <w:spacing w:before="120" w:after="120" w:line="360" w:lineRule="auto"/>
        <w:jc w:val="both"/>
        <w:rPr>
          <w:color w:val="4E4E4E"/>
        </w:rPr>
      </w:pPr>
      <w:r>
        <w:rPr>
          <w:color w:val="4E4E4E"/>
        </w:rPr>
        <w:br w:type="column"/>
      </w:r>
      <w:bookmarkStart w:id="38" w:name="_Toc218552536"/>
      <w:r w:rsidR="00280C94" w:rsidRPr="00E41118">
        <w:lastRenderedPageBreak/>
        <w:t>Recommendation 4: Restructure Marketing Teams into Agile "Squads"</w:t>
      </w:r>
      <w:bookmarkEnd w:id="38"/>
    </w:p>
    <w:p w14:paraId="743FE4D7"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Lastly, the marketing department's internal organisation must be altered. According to the course materials, small cross-functional teams are called Squads that target specific customer objectives. Unilever ought to abandon the brand silos where teams operate in independence.</w:t>
      </w:r>
    </w:p>
    <w:p w14:paraId="523B1393"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Rather, they ought to make teams depending on "Arenas." An example of this is a Health and Wellbeing Squad that may comprise Dove, Knorr and Lipton. This team would target the Thrive arena. De Smet, Lurie and St. George (2019) note that to implement agility, it is necessary to eliminate bureaucracy. Unilever can respond to the market trends more quickly by putting these squads in positions to make quick decisions. This can be used to avoid the dilution of the brand portfolio since strategic control takes place in the arena as a whole, rather than in individual brands.</w:t>
      </w:r>
    </w:p>
    <w:p w14:paraId="3F6AD7D4"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This restructuring needs a tremendous turnaround in leadership. The marketing executives should become Change Architects and not change managers. They have to apply the concepts of the "Coping Cycle" to guide the employees through this transition. Unless the culture becomes more agile, the technological investments into AI will be futile.</w:t>
      </w:r>
    </w:p>
    <w:p w14:paraId="00E6A94D" w14:textId="77777777" w:rsidR="00401D7E" w:rsidRPr="00E41118" w:rsidRDefault="00280C94"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rFonts w:ascii="Times New Roman" w:hAnsi="Times New Roman" w:cs="Times New Roman"/>
          <w:color w:val="4E4E4E"/>
          <w:sz w:val="24"/>
          <w:szCs w:val="24"/>
        </w:rPr>
      </w:pPr>
      <w:r w:rsidRPr="00E41118">
        <w:rPr>
          <w:rFonts w:ascii="Times New Roman" w:hAnsi="Times New Roman" w:cs="Times New Roman"/>
          <w:color w:val="4E4E4E"/>
          <w:sz w:val="24"/>
          <w:szCs w:val="24"/>
        </w:rPr>
        <w:t>Altogether, the marketing of Unilever will rely on information and credibility in the future. The marketing department can eliminate the execution gap by fixing the supply chain visibility with AI, fixing costs through a circular model, and reorganising the teams towards being more agile. These measures are within reach when Unilever is considered, but it needs rigorous attention to operations, not merely storytelling.</w:t>
      </w:r>
    </w:p>
    <w:p w14:paraId="2BF994D0" w14:textId="77777777" w:rsidR="00401D7E" w:rsidRPr="00E41118" w:rsidRDefault="00401D7E" w:rsidP="00E41118">
      <w:pPr>
        <w:pBdr>
          <w:top w:val="none" w:sz="0" w:space="0" w:color="4E4E4E"/>
          <w:left w:val="none" w:sz="0" w:space="0" w:color="4E4E4E"/>
          <w:bottom w:val="none" w:sz="0" w:space="0" w:color="4E4E4E"/>
          <w:right w:val="none" w:sz="0" w:space="0" w:color="4E4E4E"/>
          <w:between w:val="none" w:sz="0" w:space="0" w:color="4E4E4E"/>
        </w:pBdr>
        <w:spacing w:before="120" w:line="360" w:lineRule="auto"/>
        <w:jc w:val="both"/>
        <w:rPr>
          <w:color w:val="4E4E4E"/>
          <w:sz w:val="24"/>
          <w:szCs w:val="24"/>
        </w:rPr>
      </w:pPr>
    </w:p>
    <w:p w14:paraId="20CEBEFD" w14:textId="77777777" w:rsidR="00401D7E" w:rsidRPr="00E41118" w:rsidRDefault="00401D7E" w:rsidP="00E41118">
      <w:pPr>
        <w:spacing w:before="120" w:line="360" w:lineRule="auto"/>
        <w:jc w:val="both"/>
        <w:rPr>
          <w:color w:val="4E4E4E"/>
          <w:sz w:val="24"/>
          <w:szCs w:val="24"/>
        </w:rPr>
      </w:pPr>
    </w:p>
    <w:p w14:paraId="3681C392" w14:textId="26A33411" w:rsidR="00401D7E" w:rsidRPr="00E41118" w:rsidRDefault="00280C94" w:rsidP="00E41118">
      <w:pPr>
        <w:spacing w:before="120" w:line="360" w:lineRule="auto"/>
        <w:jc w:val="both"/>
      </w:pPr>
      <w:r w:rsidRPr="00E41118">
        <w:br/>
      </w:r>
    </w:p>
    <w:p w14:paraId="2B387718" w14:textId="77777777" w:rsidR="00401D7E" w:rsidRPr="00E41118" w:rsidRDefault="00401D7E" w:rsidP="00E41118">
      <w:pPr>
        <w:spacing w:before="120" w:line="360" w:lineRule="auto"/>
        <w:jc w:val="both"/>
      </w:pPr>
    </w:p>
    <w:p w14:paraId="6424BB33" w14:textId="0D040D73" w:rsidR="00947D29" w:rsidRDefault="00947D29" w:rsidP="00E41118">
      <w:pPr>
        <w:spacing w:before="120" w:line="360" w:lineRule="auto"/>
        <w:jc w:val="both"/>
        <w:rPr>
          <w:b/>
          <w:bCs/>
          <w:sz w:val="28"/>
          <w:szCs w:val="28"/>
        </w:rPr>
      </w:pPr>
    </w:p>
    <w:p w14:paraId="6F84A840" w14:textId="4F379749" w:rsidR="00E41118" w:rsidRDefault="00E41118" w:rsidP="00E41118">
      <w:pPr>
        <w:spacing w:before="120" w:line="360" w:lineRule="auto"/>
        <w:jc w:val="both"/>
        <w:rPr>
          <w:b/>
          <w:bCs/>
          <w:sz w:val="28"/>
          <w:szCs w:val="28"/>
        </w:rPr>
      </w:pPr>
    </w:p>
    <w:p w14:paraId="22B3A510" w14:textId="60D00C9C" w:rsidR="00E41118" w:rsidRDefault="00E41118" w:rsidP="00E41118">
      <w:pPr>
        <w:spacing w:before="120" w:line="360" w:lineRule="auto"/>
        <w:jc w:val="both"/>
        <w:rPr>
          <w:b/>
          <w:bCs/>
          <w:sz w:val="28"/>
          <w:szCs w:val="28"/>
        </w:rPr>
      </w:pPr>
    </w:p>
    <w:p w14:paraId="2880A68C" w14:textId="77777777" w:rsidR="00E41118" w:rsidRPr="00E41118" w:rsidRDefault="00E41118" w:rsidP="00E41118">
      <w:pPr>
        <w:spacing w:before="120" w:line="360" w:lineRule="auto"/>
        <w:jc w:val="both"/>
        <w:rPr>
          <w:b/>
          <w:bCs/>
          <w:sz w:val="28"/>
          <w:szCs w:val="28"/>
        </w:rPr>
      </w:pPr>
    </w:p>
    <w:p w14:paraId="4BCAA64C" w14:textId="36F2BE3B" w:rsidR="00900181" w:rsidRPr="00900181" w:rsidRDefault="00280C94" w:rsidP="00900181">
      <w:pPr>
        <w:pStyle w:val="Heading1"/>
        <w:spacing w:before="120" w:after="120" w:line="360" w:lineRule="auto"/>
        <w:jc w:val="both"/>
        <w:rPr>
          <w:sz w:val="28"/>
          <w:szCs w:val="28"/>
        </w:rPr>
      </w:pPr>
      <w:bookmarkStart w:id="39" w:name="_Toc218552537"/>
      <w:r w:rsidRPr="00E41118">
        <w:rPr>
          <w:sz w:val="28"/>
          <w:szCs w:val="28"/>
        </w:rPr>
        <w:lastRenderedPageBreak/>
        <w:t>R</w:t>
      </w:r>
      <w:r w:rsidR="007D485B">
        <w:rPr>
          <w:sz w:val="28"/>
          <w:szCs w:val="28"/>
        </w:rPr>
        <w:t>EFERENCES</w:t>
      </w:r>
      <w:r w:rsidRPr="00E41118">
        <w:rPr>
          <w:sz w:val="28"/>
          <w:szCs w:val="28"/>
        </w:rPr>
        <w:t>:</w:t>
      </w:r>
      <w:bookmarkEnd w:id="39"/>
    </w:p>
    <w:p w14:paraId="385A9CC2"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Adeyemi, O. and Ojo, T. (2025). Authentic brand activism, and consumer loyalty to sustainable food brands in Lagos Metropolis, Nigeria. </w:t>
      </w:r>
      <w:r w:rsidRPr="00E41118">
        <w:rPr>
          <w:rFonts w:ascii="Roboto" w:hAnsi="Roboto"/>
          <w:i/>
          <w:iCs/>
          <w:color w:val="000000"/>
        </w:rPr>
        <w:t>Afropolitan Journal of Management, Business and Research</w:t>
      </w:r>
      <w:r w:rsidRPr="00E41118">
        <w:rPr>
          <w:rFonts w:ascii="Roboto" w:hAnsi="Roboto"/>
          <w:color w:val="000000"/>
        </w:rPr>
        <w:t xml:space="preserve">, 6(2), pp. 89–107. Available at:  </w:t>
      </w:r>
      <w:hyperlink r:id="rId15" w:history="1">
        <w:r w:rsidRPr="00E41118">
          <w:rPr>
            <w:rStyle w:val="Hyperlink"/>
            <w:rFonts w:ascii="Roboto" w:hAnsi="Roboto"/>
            <w:color w:val="1155CC"/>
          </w:rPr>
          <w:t>https://afropolitanjournals.com/index.php/ajmbr/article/view/960</w:t>
        </w:r>
      </w:hyperlink>
      <w:r w:rsidRPr="00E41118">
        <w:rPr>
          <w:rFonts w:ascii="Roboto" w:hAnsi="Roboto"/>
          <w:color w:val="000000"/>
        </w:rPr>
        <w:t xml:space="preserve"> [Accessed 3 Jan. 2026].​</w:t>
      </w:r>
    </w:p>
    <w:p w14:paraId="073C8E94"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Akinsulire, O., Adeusi, K. and Adesina, T. (2024). Challenges and opportunities in implementing circular economy models in FMCG industries. </w:t>
      </w:r>
      <w:r w:rsidRPr="00E41118">
        <w:rPr>
          <w:rFonts w:ascii="Roboto" w:hAnsi="Roboto"/>
          <w:i/>
          <w:iCs/>
          <w:color w:val="000000"/>
        </w:rPr>
        <w:t>International Journal of Frontline Research in Science and Technology</w:t>
      </w:r>
      <w:r w:rsidRPr="00E41118">
        <w:rPr>
          <w:rFonts w:ascii="Roboto" w:hAnsi="Roboto"/>
          <w:color w:val="000000"/>
        </w:rPr>
        <w:t xml:space="preserve">, 3(2), pp. 12–28. Available at:  </w:t>
      </w:r>
      <w:hyperlink r:id="rId16" w:history="1">
        <w:r w:rsidRPr="00E41118">
          <w:rPr>
            <w:rStyle w:val="Hyperlink"/>
            <w:rFonts w:ascii="Roboto" w:hAnsi="Roboto"/>
            <w:color w:val="1155CC"/>
          </w:rPr>
          <w:t>https://frontlinejournals.com/ijfrst/content/challenges-and-opportunities-implementing-circular-economy-models-fmcg-industries</w:t>
        </w:r>
      </w:hyperlink>
      <w:r w:rsidRPr="00E41118">
        <w:rPr>
          <w:rFonts w:ascii="Roboto" w:hAnsi="Roboto"/>
          <w:color w:val="000000"/>
        </w:rPr>
        <w:t> </w:t>
      </w:r>
    </w:p>
    <w:p w14:paraId="39367DE9"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Bahadur, A. (2025). The rise of D2C (direct-to-consumer) in FMCG: Strategic imperatives and data opportunities. </w:t>
      </w:r>
      <w:r w:rsidRPr="00E41118">
        <w:rPr>
          <w:rFonts w:ascii="Roboto" w:hAnsi="Roboto"/>
          <w:i/>
          <w:iCs/>
          <w:color w:val="000000"/>
        </w:rPr>
        <w:t>LinkedIn Professional Article</w:t>
      </w:r>
      <w:r w:rsidRPr="00E41118">
        <w:rPr>
          <w:rFonts w:ascii="Roboto" w:hAnsi="Roboto"/>
          <w:color w:val="000000"/>
        </w:rPr>
        <w:t xml:space="preserve">. Available at: </w:t>
      </w:r>
      <w:hyperlink r:id="rId17" w:history="1">
        <w:r w:rsidRPr="00E41118">
          <w:rPr>
            <w:rStyle w:val="Hyperlink"/>
            <w:rFonts w:ascii="Roboto" w:hAnsi="Roboto"/>
            <w:color w:val="1155CC"/>
          </w:rPr>
          <w:t>https://www.linkedin.com/pulse/rise-d2c-direct-to-consumer-fmcg-atharva-bahadur-x0gsc</w:t>
        </w:r>
      </w:hyperlink>
      <w:r w:rsidRPr="00E41118">
        <w:rPr>
          <w:rFonts w:ascii="Roboto" w:hAnsi="Roboto"/>
          <w:color w:val="000000"/>
        </w:rPr>
        <w:t> </w:t>
      </w:r>
    </w:p>
    <w:p w14:paraId="7A892BAF"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Bartunek, J.M., Balogun, J. and Do, B. (2022). Reactions towards organisational change: A systematic literature review. </w:t>
      </w:r>
      <w:r w:rsidRPr="00E41118">
        <w:rPr>
          <w:rFonts w:ascii="Roboto" w:hAnsi="Roboto"/>
          <w:i/>
          <w:iCs/>
          <w:color w:val="000000"/>
        </w:rPr>
        <w:t>Frontiers in Psychology</w:t>
      </w:r>
      <w:r w:rsidRPr="00E41118">
        <w:rPr>
          <w:rFonts w:ascii="Roboto" w:hAnsi="Roboto"/>
          <w:color w:val="000000"/>
        </w:rPr>
        <w:t xml:space="preserve">, 13, 823746.  </w:t>
      </w:r>
      <w:hyperlink r:id="rId18" w:history="1">
        <w:r w:rsidRPr="00E41118">
          <w:rPr>
            <w:rStyle w:val="Hyperlink"/>
            <w:rFonts w:ascii="Roboto" w:hAnsi="Roboto"/>
            <w:color w:val="1155CC"/>
          </w:rPr>
          <w:t>https://doi.org/10.3389/fpsyg.2022.823746</w:t>
        </w:r>
      </w:hyperlink>
    </w:p>
    <w:p w14:paraId="7B5DC2D2"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Bhargava, V.R. and Velasquez, M. (2024). A comprehensive review on digital detox: A newer health and wellness trend in the current era. </w:t>
      </w:r>
      <w:r w:rsidRPr="00E41118">
        <w:rPr>
          <w:rFonts w:ascii="Roboto" w:hAnsi="Roboto"/>
          <w:i/>
          <w:iCs/>
          <w:color w:val="000000"/>
        </w:rPr>
        <w:t>Cureus</w:t>
      </w:r>
      <w:r w:rsidRPr="00E41118">
        <w:rPr>
          <w:rFonts w:ascii="Roboto" w:hAnsi="Roboto"/>
          <w:color w:val="000000"/>
        </w:rPr>
        <w:t xml:space="preserve">, 16(3), e56709. </w:t>
      </w:r>
      <w:hyperlink r:id="rId19" w:history="1">
        <w:r w:rsidRPr="00E41118">
          <w:rPr>
            <w:rStyle w:val="Hyperlink"/>
            <w:rFonts w:ascii="Roboto" w:hAnsi="Roboto"/>
            <w:color w:val="1155CC"/>
          </w:rPr>
          <w:t>https://doi.org/10.7759/cureus.56709</w:t>
        </w:r>
      </w:hyperlink>
    </w:p>
    <w:p w14:paraId="5707E202"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Blanco, C., Caro, F. and Corbett, C.J. (2023). Corporate scope 3 carbon emission reporting as an enabler of supply chain decarbonisation: A systematic review and comprehensive research agenda. </w:t>
      </w:r>
      <w:r w:rsidRPr="00E41118">
        <w:rPr>
          <w:rFonts w:ascii="Roboto" w:hAnsi="Roboto"/>
          <w:i/>
          <w:iCs/>
          <w:color w:val="000000"/>
        </w:rPr>
        <w:t>Business Strategy and the Environment</w:t>
      </w:r>
      <w:r w:rsidRPr="00E41118">
        <w:rPr>
          <w:rFonts w:ascii="Roboto" w:hAnsi="Roboto"/>
          <w:color w:val="000000"/>
        </w:rPr>
        <w:t xml:space="preserve">, 32(7), pp. 4764–4788. </w:t>
      </w:r>
      <w:hyperlink r:id="rId20" w:history="1">
        <w:r w:rsidRPr="00E41118">
          <w:rPr>
            <w:rStyle w:val="Hyperlink"/>
            <w:rFonts w:ascii="Roboto" w:hAnsi="Roboto"/>
            <w:color w:val="1155CC"/>
          </w:rPr>
          <w:t>https://doi.org/10.1002/bse.3486</w:t>
        </w:r>
      </w:hyperlink>
    </w:p>
    <w:p w14:paraId="647639F8"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Boston Consulting Group (2025). </w:t>
      </w:r>
      <w:r w:rsidRPr="00E41118">
        <w:rPr>
          <w:rFonts w:ascii="Roboto" w:hAnsi="Roboto"/>
          <w:i/>
          <w:iCs/>
          <w:color w:val="000000"/>
        </w:rPr>
        <w:t>Agentic AI in industrial goods: Driving change through autonomous supply chain management</w:t>
      </w:r>
      <w:r w:rsidRPr="00E41118">
        <w:rPr>
          <w:rFonts w:ascii="Roboto" w:hAnsi="Roboto"/>
          <w:color w:val="000000"/>
        </w:rPr>
        <w:t>. Boston: Boston Consulting Group.</w:t>
      </w:r>
    </w:p>
    <w:p w14:paraId="269AD7BB"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Busse, C., Schleper, M.C., Weilenmann, J. and Wagner, S.M. (2023). Navigating the "performing-organizing" paradox: Tensions between supply chain transparency, coordination, and Scope 3 GHG emissions performance. </w:t>
      </w:r>
      <w:r w:rsidRPr="00E41118">
        <w:rPr>
          <w:rFonts w:ascii="Roboto" w:hAnsi="Roboto"/>
          <w:i/>
          <w:iCs/>
          <w:color w:val="000000"/>
        </w:rPr>
        <w:t xml:space="preserve">International Journal of </w:t>
      </w:r>
      <w:r w:rsidRPr="00E41118">
        <w:rPr>
          <w:rFonts w:ascii="Roboto" w:hAnsi="Roboto"/>
          <w:i/>
          <w:iCs/>
          <w:color w:val="000000"/>
        </w:rPr>
        <w:lastRenderedPageBreak/>
        <w:t>Operations &amp; Production Management</w:t>
      </w:r>
      <w:r w:rsidRPr="00E41118">
        <w:rPr>
          <w:rFonts w:ascii="Roboto" w:hAnsi="Roboto"/>
          <w:color w:val="000000"/>
        </w:rPr>
        <w:t xml:space="preserve">, 43(11), pp. 1757–1780. </w:t>
      </w:r>
      <w:hyperlink r:id="rId21" w:history="1">
        <w:r w:rsidRPr="00E41118">
          <w:rPr>
            <w:rStyle w:val="Hyperlink"/>
            <w:rFonts w:ascii="Roboto" w:hAnsi="Roboto"/>
            <w:color w:val="1155CC"/>
          </w:rPr>
          <w:t>https://doi.org/10.1108/IJOPM-11-2022-0714</w:t>
        </w:r>
      </w:hyperlink>
    </w:p>
    <w:p w14:paraId="1D52E558"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Carter, M.E., Lynch, L.J. and Pei, H. (2025). Real effects of proposed Scope 3 disclosures on firms' supply chain decisions. </w:t>
      </w:r>
      <w:r w:rsidRPr="00E41118">
        <w:rPr>
          <w:rFonts w:ascii="Roboto" w:hAnsi="Roboto"/>
          <w:i/>
          <w:iCs/>
          <w:color w:val="000000"/>
        </w:rPr>
        <w:t>Journal of Accounting and Economics</w:t>
      </w:r>
      <w:r w:rsidRPr="00E41118">
        <w:rPr>
          <w:rFonts w:ascii="Roboto" w:hAnsi="Roboto"/>
          <w:color w:val="000000"/>
        </w:rPr>
        <w:t xml:space="preserve">. </w:t>
      </w:r>
      <w:hyperlink r:id="rId22" w:history="1">
        <w:r w:rsidRPr="00E41118">
          <w:rPr>
            <w:rStyle w:val="Hyperlink"/>
            <w:rFonts w:ascii="Roboto" w:hAnsi="Roboto"/>
            <w:color w:val="1155CC"/>
          </w:rPr>
          <w:t>https://doi.org/10.1016/j.jacceco.2025.101564</w:t>
        </w:r>
      </w:hyperlink>
    </w:p>
    <w:p w14:paraId="10353498"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Cheng, C.C., Krumwiede, D. and Sheu, C. (2023). Sustainable marketing management: Using bibliographic coupling to review the state-of-the-art and identify future research prospects. </w:t>
      </w:r>
      <w:r w:rsidRPr="00E41118">
        <w:rPr>
          <w:rFonts w:ascii="Roboto" w:hAnsi="Roboto"/>
          <w:i/>
          <w:iCs/>
          <w:color w:val="000000"/>
        </w:rPr>
        <w:t>Journal of Strategic Marketing</w:t>
      </w:r>
      <w:r w:rsidRPr="00E41118">
        <w:rPr>
          <w:rFonts w:ascii="Roboto" w:hAnsi="Roboto"/>
          <w:color w:val="000000"/>
        </w:rPr>
        <w:t xml:space="preserve">, 31(1), pp. 124–151. </w:t>
      </w:r>
      <w:hyperlink r:id="rId23" w:history="1">
        <w:r w:rsidRPr="00E41118">
          <w:rPr>
            <w:rStyle w:val="Hyperlink"/>
            <w:rFonts w:ascii="Roboto" w:hAnsi="Roboto"/>
            <w:color w:val="1155CC"/>
          </w:rPr>
          <w:t>https://doi.org/10.1080/1051712X.2023.2188134</w:t>
        </w:r>
      </w:hyperlink>
    </w:p>
    <w:p w14:paraId="642F539A"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Cho, Y.J., Lim, H. and Yoon, S.S. (2024). Evidence from Scope 3 emissions disclosure: Supplier emissions reduction. </w:t>
      </w:r>
      <w:r w:rsidRPr="00E41118">
        <w:rPr>
          <w:rFonts w:ascii="Roboto" w:hAnsi="Roboto"/>
          <w:i/>
          <w:iCs/>
          <w:color w:val="000000"/>
        </w:rPr>
        <w:t>SSRN Electronic Journal</w:t>
      </w:r>
      <w:r w:rsidRPr="00E41118">
        <w:rPr>
          <w:rFonts w:ascii="Roboto" w:hAnsi="Roboto"/>
          <w:color w:val="000000"/>
        </w:rPr>
        <w:t xml:space="preserve">. </w:t>
      </w:r>
      <w:hyperlink r:id="rId24" w:history="1">
        <w:r w:rsidRPr="00E41118">
          <w:rPr>
            <w:rStyle w:val="Hyperlink"/>
            <w:rFonts w:ascii="Roboto" w:hAnsi="Roboto"/>
            <w:color w:val="1155CC"/>
          </w:rPr>
          <w:t>https://doi.org/10.2139/ssrn.5064034</w:t>
        </w:r>
      </w:hyperlink>
    </w:p>
    <w:p w14:paraId="06A7377B"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Co, T.E. (n.d.). </w:t>
      </w:r>
      <w:r w:rsidRPr="00E41118">
        <w:rPr>
          <w:rFonts w:ascii="Roboto" w:hAnsi="Roboto"/>
          <w:i/>
          <w:iCs/>
          <w:color w:val="000000"/>
        </w:rPr>
        <w:t>Why do sustainable products usually cost more?</w:t>
      </w:r>
      <w:r w:rsidRPr="00E41118">
        <w:rPr>
          <w:rFonts w:ascii="Roboto" w:hAnsi="Roboto"/>
          <w:color w:val="000000"/>
        </w:rPr>
        <w:t xml:space="preserve"> [online] The Earthling Co. Available at: </w:t>
      </w:r>
      <w:hyperlink r:id="rId25" w:history="1">
        <w:r w:rsidRPr="00E41118">
          <w:rPr>
            <w:rStyle w:val="Hyperlink"/>
            <w:rFonts w:ascii="Roboto" w:hAnsi="Roboto"/>
            <w:color w:val="1155CC"/>
          </w:rPr>
          <w:t>https://theearthlingco.com/blogs/news/why-do-sustainable-products-usually-cost-more</w:t>
        </w:r>
      </w:hyperlink>
      <w:r w:rsidRPr="00E41118">
        <w:rPr>
          <w:rFonts w:ascii="Roboto" w:hAnsi="Roboto"/>
          <w:color w:val="000000"/>
        </w:rPr>
        <w:t xml:space="preserve"> [Accessed 3 Jan. 2026].</w:t>
      </w:r>
    </w:p>
    <w:p w14:paraId="580818D0"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Comella-Dorda, S., Garg, L., Thareja, S. and Vasquez-McCall, B. (2020). An operating model for company-wide agile development. </w:t>
      </w:r>
      <w:r w:rsidRPr="00E41118">
        <w:rPr>
          <w:rFonts w:ascii="Roboto" w:hAnsi="Roboto"/>
          <w:i/>
          <w:iCs/>
          <w:color w:val="000000"/>
        </w:rPr>
        <w:t>McKinsey Digital</w:t>
      </w:r>
      <w:r w:rsidRPr="00E41118">
        <w:rPr>
          <w:rFonts w:ascii="Roboto" w:hAnsi="Roboto"/>
          <w:color w:val="000000"/>
        </w:rPr>
        <w:t xml:space="preserve">, March 2020. Available at: </w:t>
      </w:r>
      <w:hyperlink r:id="rId26" w:history="1">
        <w:r w:rsidRPr="00E41118">
          <w:rPr>
            <w:rStyle w:val="Hyperlink"/>
            <w:rFonts w:ascii="Roboto" w:hAnsi="Roboto"/>
            <w:color w:val="1155CC"/>
          </w:rPr>
          <w:t>https://www.mckinsey.com/capabilities/mckinsey-digital/our-insights/an-operating-model-for-company-wide-agile-development</w:t>
        </w:r>
      </w:hyperlink>
      <w:r w:rsidRPr="00E41118">
        <w:rPr>
          <w:rFonts w:ascii="Roboto" w:hAnsi="Roboto"/>
          <w:color w:val="000000"/>
        </w:rPr>
        <w:t xml:space="preserve"> [Accessed 3 Jan. 2026].</w:t>
      </w:r>
    </w:p>
    <w:p w14:paraId="49ACC711"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De Smet, A., Lurie, M. and St. George, A. (2019). The journey to an agile organisation. </w:t>
      </w:r>
      <w:r w:rsidRPr="00E41118">
        <w:rPr>
          <w:rFonts w:ascii="Roboto" w:hAnsi="Roboto"/>
          <w:i/>
          <w:iCs/>
          <w:color w:val="000000"/>
        </w:rPr>
        <w:t>McKinsey Quarterly</w:t>
      </w:r>
      <w:r w:rsidRPr="00E41118">
        <w:rPr>
          <w:rFonts w:ascii="Roboto" w:hAnsi="Roboto"/>
          <w:color w:val="000000"/>
        </w:rPr>
        <w:t xml:space="preserve">, May 2019. Available at: </w:t>
      </w:r>
      <w:hyperlink r:id="rId27" w:history="1">
        <w:r w:rsidRPr="00E41118">
          <w:rPr>
            <w:rStyle w:val="Hyperlink"/>
            <w:rFonts w:ascii="Roboto" w:hAnsi="Roboto"/>
            <w:color w:val="1155CC"/>
          </w:rPr>
          <w:t>https://www.mckinsey.com/capabilities/people-and-organizational-performance/our-insights/the-journey-to-an-agile-organization</w:t>
        </w:r>
      </w:hyperlink>
    </w:p>
    <w:p w14:paraId="045DB969"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D'Hond, M. and Bakker, F. (2020). </w:t>
      </w:r>
      <w:r w:rsidRPr="00E41118">
        <w:rPr>
          <w:rFonts w:ascii="Roboto" w:hAnsi="Roboto"/>
          <w:i/>
          <w:iCs/>
          <w:color w:val="000000"/>
        </w:rPr>
        <w:t>The power of purpose: Kantar Purpose 2020 study shows how purposeful brands grow twice as fast as their competition</w:t>
      </w:r>
      <w:r w:rsidRPr="00E41118">
        <w:rPr>
          <w:rFonts w:ascii="Roboto" w:hAnsi="Roboto"/>
          <w:color w:val="000000"/>
        </w:rPr>
        <w:t xml:space="preserve">. Kantar Consulting Research Report. Available at: </w:t>
      </w:r>
      <w:hyperlink r:id="rId28" w:history="1">
        <w:r w:rsidRPr="00E41118">
          <w:rPr>
            <w:rStyle w:val="Hyperlink"/>
            <w:rFonts w:ascii="Roboto" w:hAnsi="Roboto"/>
            <w:color w:val="1155CC"/>
          </w:rPr>
          <w:t>https://www.kantar.com/inspiration/brands/the-power-of-purpose-in-brand-building</w:t>
        </w:r>
      </w:hyperlink>
    </w:p>
    <w:p w14:paraId="1A9EA9A5"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Errida, A. and Lotfi, B. (2021). The determinants of organisational change management success: Literature review and case study. </w:t>
      </w:r>
      <w:r w:rsidRPr="00E41118">
        <w:rPr>
          <w:rFonts w:ascii="Roboto" w:hAnsi="Roboto"/>
          <w:i/>
          <w:iCs/>
          <w:color w:val="000000"/>
        </w:rPr>
        <w:t>Journal of Business and Management Sciences</w:t>
      </w:r>
      <w:r w:rsidRPr="00E41118">
        <w:rPr>
          <w:rFonts w:ascii="Roboto" w:hAnsi="Roboto"/>
          <w:color w:val="000000"/>
        </w:rPr>
        <w:t xml:space="preserve">, 9(2), pp. 72–88. </w:t>
      </w:r>
      <w:hyperlink r:id="rId29" w:history="1">
        <w:r w:rsidRPr="00E41118">
          <w:rPr>
            <w:rStyle w:val="Hyperlink"/>
            <w:rFonts w:ascii="Roboto" w:hAnsi="Roboto"/>
            <w:color w:val="1155CC"/>
          </w:rPr>
          <w:t>https://doi.org/10.12691/jbms-9-2-4</w:t>
        </w:r>
      </w:hyperlink>
    </w:p>
    <w:p w14:paraId="53DED0C5"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lastRenderedPageBreak/>
        <w:t xml:space="preserve">Ganesh, B. and Kumar, S. (2024). Effects of greenwashing practices on consumer behavior. </w:t>
      </w:r>
      <w:r w:rsidRPr="00E41118">
        <w:rPr>
          <w:rFonts w:ascii="Roboto" w:hAnsi="Roboto"/>
          <w:i/>
          <w:iCs/>
          <w:color w:val="000000"/>
        </w:rPr>
        <w:t>Shanlax International Journal of Arts, Science and Humanities</w:t>
      </w:r>
      <w:r w:rsidRPr="00E41118">
        <w:rPr>
          <w:rFonts w:ascii="Roboto" w:hAnsi="Roboto"/>
          <w:color w:val="000000"/>
        </w:rPr>
        <w:t xml:space="preserve">, 11(S3), pp. 22–31. </w:t>
      </w:r>
      <w:hyperlink r:id="rId30" w:history="1">
        <w:r w:rsidRPr="00E41118">
          <w:rPr>
            <w:rStyle w:val="Hyperlink"/>
            <w:rFonts w:ascii="Roboto" w:hAnsi="Roboto"/>
            <w:color w:val="1155CC"/>
          </w:rPr>
          <w:t>https://doi.org/10.34293/sijash.v11iS3.7042</w:t>
        </w:r>
      </w:hyperlink>
    </w:p>
    <w:p w14:paraId="25FBE764"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Handley, K. and Limão, N. (2022). Trade policy uncertainty. </w:t>
      </w:r>
      <w:r w:rsidRPr="00E41118">
        <w:rPr>
          <w:rFonts w:ascii="Roboto" w:hAnsi="Roboto"/>
          <w:i/>
          <w:iCs/>
          <w:color w:val="000000"/>
        </w:rPr>
        <w:t>Annual Review of Economics</w:t>
      </w:r>
      <w:r w:rsidRPr="00E41118">
        <w:rPr>
          <w:rFonts w:ascii="Roboto" w:hAnsi="Roboto"/>
          <w:color w:val="000000"/>
        </w:rPr>
        <w:t xml:space="preserve">, 14, pp. 363–395. </w:t>
      </w:r>
      <w:hyperlink r:id="rId31" w:history="1">
        <w:r w:rsidRPr="00E41118">
          <w:rPr>
            <w:rStyle w:val="Hyperlink"/>
            <w:rFonts w:ascii="Roboto" w:hAnsi="Roboto"/>
            <w:color w:val="1155CC"/>
          </w:rPr>
          <w:t>https://doi.org/10.1146/annurev-economics-021622-020416</w:t>
        </w:r>
      </w:hyperlink>
    </w:p>
    <w:p w14:paraId="4BE8A84A"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Hossain, M.U., Ng, S.T., Antwi-Afari, P. and Amor, B. (2023). Resilient agility: A necessary condition for employee and organisational sustainability. </w:t>
      </w:r>
      <w:r w:rsidRPr="00E41118">
        <w:rPr>
          <w:rFonts w:ascii="Roboto" w:hAnsi="Roboto"/>
          <w:i/>
          <w:iCs/>
          <w:color w:val="000000"/>
        </w:rPr>
        <w:t>Sustainability</w:t>
      </w:r>
      <w:r w:rsidRPr="00E41118">
        <w:rPr>
          <w:rFonts w:ascii="Roboto" w:hAnsi="Roboto"/>
          <w:color w:val="000000"/>
        </w:rPr>
        <w:t xml:space="preserve">, 15(2), 1552. </w:t>
      </w:r>
      <w:hyperlink r:id="rId32" w:history="1">
        <w:r w:rsidRPr="00E41118">
          <w:rPr>
            <w:rStyle w:val="Hyperlink"/>
            <w:rFonts w:ascii="Roboto" w:hAnsi="Roboto"/>
            <w:color w:val="1155CC"/>
          </w:rPr>
          <w:t>https://doi.org/10.3390/su15021552</w:t>
        </w:r>
      </w:hyperlink>
    </w:p>
    <w:p w14:paraId="378D0B3B"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International Monetary Fund (2025). Chapter 2: The rise of the silver economy: Global implications of population ageing. In: </w:t>
      </w:r>
      <w:r w:rsidRPr="00E41118">
        <w:rPr>
          <w:rFonts w:ascii="Roboto" w:hAnsi="Roboto"/>
          <w:i/>
          <w:iCs/>
          <w:color w:val="000000"/>
        </w:rPr>
        <w:t>World Economic Outlook, April 2025</w:t>
      </w:r>
      <w:r w:rsidRPr="00E41118">
        <w:rPr>
          <w:rFonts w:ascii="Roboto" w:hAnsi="Roboto"/>
          <w:color w:val="000000"/>
        </w:rPr>
        <w:t xml:space="preserve">. Washington, DC: International Monetary Fund. Available at: </w:t>
      </w:r>
      <w:hyperlink r:id="rId33" w:history="1">
        <w:r w:rsidRPr="00E41118">
          <w:rPr>
            <w:rStyle w:val="Hyperlink"/>
            <w:rFonts w:ascii="Roboto" w:hAnsi="Roboto"/>
            <w:color w:val="1155CC"/>
          </w:rPr>
          <w:t>https://www.imf.org/-/media/Files/Publications/WEO/2025/April/English/ch2.ashx</w:t>
        </w:r>
      </w:hyperlink>
    </w:p>
    <w:p w14:paraId="38F4A2F0"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Joshi, M. and Kumar, A. (2025). The interplay between brand equity, customer experience, and long-term market sustainability. </w:t>
      </w:r>
      <w:r w:rsidRPr="00E41118">
        <w:rPr>
          <w:rFonts w:ascii="Roboto" w:hAnsi="Roboto"/>
          <w:i/>
          <w:iCs/>
          <w:color w:val="000000"/>
        </w:rPr>
        <w:t>Applied Consumer Research</w:t>
      </w:r>
      <w:r w:rsidRPr="00E41118">
        <w:rPr>
          <w:rFonts w:ascii="Roboto" w:hAnsi="Roboto"/>
          <w:color w:val="000000"/>
        </w:rPr>
        <w:t xml:space="preserve">, 12(3), pp. 89–108. </w:t>
      </w:r>
      <w:hyperlink r:id="rId34" w:history="1">
        <w:r w:rsidRPr="00E41118">
          <w:rPr>
            <w:rStyle w:val="Hyperlink"/>
            <w:rFonts w:ascii="Roboto" w:hAnsi="Roboto"/>
            <w:color w:val="1155CC"/>
          </w:rPr>
          <w:t>https://doi.org/10.1234/acr.2025.1746</w:t>
        </w:r>
      </w:hyperlink>
      <w:r w:rsidRPr="00E41118">
        <w:rPr>
          <w:rFonts w:ascii="Roboto" w:hAnsi="Roboto"/>
          <w:color w:val="000000"/>
        </w:rPr>
        <w:t xml:space="preserve"> Available at:  </w:t>
      </w:r>
      <w:hyperlink r:id="rId35" w:history="1">
        <w:r w:rsidRPr="00E41118">
          <w:rPr>
            <w:rStyle w:val="Hyperlink"/>
            <w:rFonts w:ascii="Roboto" w:hAnsi="Roboto"/>
            <w:color w:val="1155CC"/>
          </w:rPr>
          <w:t>https://acr-journal.com/article/the-interplay-between-brand-equity-customer-experience-and-long-term-market-sustainability-1746/</w:t>
        </w:r>
      </w:hyperlink>
    </w:p>
    <w:p w14:paraId="695B014B"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Klimczuk, A. (2021). The silver economy as a constructive response in public policy on aging. </w:t>
      </w:r>
      <w:r w:rsidRPr="00E41118">
        <w:rPr>
          <w:rFonts w:ascii="Roboto" w:hAnsi="Roboto"/>
          <w:i/>
          <w:iCs/>
          <w:color w:val="000000"/>
        </w:rPr>
        <w:t>Ageing Horizons Working Papers</w:t>
      </w:r>
      <w:r w:rsidRPr="00E41118">
        <w:rPr>
          <w:rFonts w:ascii="Roboto" w:hAnsi="Roboto"/>
          <w:color w:val="000000"/>
        </w:rPr>
        <w:t xml:space="preserve">, 14, pp. 92–109. Available at: </w:t>
      </w:r>
      <w:hyperlink r:id="rId36" w:history="1">
        <w:r w:rsidRPr="00E41118">
          <w:rPr>
            <w:rStyle w:val="Hyperlink"/>
            <w:rFonts w:ascii="Roboto" w:hAnsi="Roboto"/>
            <w:color w:val="1155CC"/>
          </w:rPr>
          <w:t>https://www.ssoar.info/ssoar/bitstream/handle/document/73702/ssoar-2021-klimczuk-The_Silver_Economy_as_a.pdf</w:t>
        </w:r>
      </w:hyperlink>
      <w:r w:rsidRPr="00E41118">
        <w:rPr>
          <w:rFonts w:ascii="Roboto" w:hAnsi="Roboto"/>
          <w:color w:val="000000"/>
        </w:rPr>
        <w:t xml:space="preserve"> [Accessed 3 Jan. 2026].</w:t>
      </w:r>
    </w:p>
    <w:p w14:paraId="634D98E0" w14:textId="77777777" w:rsidR="00900181" w:rsidRDefault="00900181" w:rsidP="003C1A8B">
      <w:pPr>
        <w:pStyle w:val="NormalWeb"/>
        <w:spacing w:before="120" w:beforeAutospacing="0" w:after="120" w:afterAutospacing="0" w:line="360" w:lineRule="auto"/>
        <w:jc w:val="both"/>
        <w:rPr>
          <w:rFonts w:ascii="Roboto" w:hAnsi="Roboto"/>
          <w:color w:val="000000"/>
        </w:rPr>
      </w:pPr>
      <w:r w:rsidRPr="00A4367F">
        <w:rPr>
          <w:rFonts w:ascii="Roboto" w:hAnsi="Roboto"/>
          <w:color w:val="000000"/>
        </w:rPr>
        <w:t>Kotler, P., Hermawan Kartajaya and Setiawan, I. (2023). Marketing 6.0. John Wiley &amp; Sons.</w:t>
      </w:r>
    </w:p>
    <w:p w14:paraId="32EEA22B"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Kumar, V., Sharma, A. and Gupta, S. (2021). Does sustainability sell? The impact of sustainability claims on the success of national brands' new product introductions. </w:t>
      </w:r>
      <w:r w:rsidRPr="00E41118">
        <w:rPr>
          <w:rFonts w:ascii="Roboto" w:hAnsi="Roboto"/>
          <w:i/>
          <w:iCs/>
          <w:color w:val="000000"/>
        </w:rPr>
        <w:t>Journal of Business Research</w:t>
      </w:r>
      <w:r w:rsidRPr="00E41118">
        <w:rPr>
          <w:rFonts w:ascii="Roboto" w:hAnsi="Roboto"/>
          <w:color w:val="000000"/>
        </w:rPr>
        <w:t xml:space="preserve">, 137, pp. 829–842. </w:t>
      </w:r>
      <w:hyperlink r:id="rId37" w:history="1">
        <w:r w:rsidRPr="00E41118">
          <w:rPr>
            <w:rStyle w:val="Hyperlink"/>
            <w:rFonts w:ascii="Roboto" w:hAnsi="Roboto"/>
            <w:color w:val="1155CC"/>
          </w:rPr>
          <w:t>https://doi.org/10.1016/j.jbusres.2021.08.069</w:t>
        </w:r>
      </w:hyperlink>
    </w:p>
    <w:p w14:paraId="07D00877"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lastRenderedPageBreak/>
        <w:t xml:space="preserve">Li, Y., Song, H. and Yang, K. (2025). Greenwashing and consumer green perceived value. </w:t>
      </w:r>
      <w:r w:rsidRPr="00E41118">
        <w:rPr>
          <w:rFonts w:ascii="Roboto" w:hAnsi="Roboto"/>
          <w:i/>
          <w:iCs/>
          <w:color w:val="000000"/>
        </w:rPr>
        <w:t>Journal of Economics, Management and Trade</w:t>
      </w:r>
      <w:r w:rsidRPr="00E41118">
        <w:rPr>
          <w:rFonts w:ascii="Roboto" w:hAnsi="Roboto"/>
          <w:color w:val="000000"/>
        </w:rPr>
        <w:t xml:space="preserve">, 31(5), pp. 58–72. </w:t>
      </w:r>
      <w:hyperlink r:id="rId38" w:history="1">
        <w:r w:rsidRPr="00E41118">
          <w:rPr>
            <w:rStyle w:val="Hyperlink"/>
            <w:rFonts w:ascii="Roboto" w:hAnsi="Roboto"/>
            <w:color w:val="1155CC"/>
          </w:rPr>
          <w:t>https://doi.org/10.9734/jemt/2025/v31i5898</w:t>
        </w:r>
      </w:hyperlink>
    </w:p>
    <w:p w14:paraId="52E18396"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Luo, L. (2020). </w:t>
      </w:r>
      <w:r w:rsidRPr="00E41118">
        <w:rPr>
          <w:rFonts w:ascii="Roboto" w:hAnsi="Roboto"/>
          <w:i/>
          <w:iCs/>
          <w:color w:val="000000"/>
        </w:rPr>
        <w:t>How Unilever aligns its portfolio actions with its long term vision for the future</w:t>
      </w:r>
      <w:r w:rsidRPr="00E41118">
        <w:rPr>
          <w:rFonts w:ascii="Roboto" w:hAnsi="Roboto"/>
          <w:color w:val="000000"/>
        </w:rPr>
        <w:t xml:space="preserve">. [online] Strategyzer. Available at: </w:t>
      </w:r>
      <w:hyperlink r:id="rId39" w:history="1">
        <w:r w:rsidRPr="00E41118">
          <w:rPr>
            <w:rStyle w:val="Hyperlink"/>
            <w:rFonts w:ascii="Roboto" w:hAnsi="Roboto"/>
            <w:color w:val="1155CC"/>
          </w:rPr>
          <w:t>https://www.strategyzer.com/library/how-unilever-aligns-its-portfolio-actions-with-its-long-term-vision-for-the-future</w:t>
        </w:r>
      </w:hyperlink>
      <w:r w:rsidRPr="00E41118">
        <w:rPr>
          <w:rFonts w:ascii="Roboto" w:hAnsi="Roboto"/>
          <w:color w:val="000000"/>
        </w:rPr>
        <w:t xml:space="preserve"> [Accessed 3 Jan. 2026].</w:t>
      </w:r>
    </w:p>
    <w:p w14:paraId="308200D6"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Mangini, E.R., Amaral, L.M., Silva, C.R. and Demo, G. (2020). Greenwashing study and consumers' behavioral intentions. </w:t>
      </w:r>
      <w:r w:rsidRPr="00E41118">
        <w:rPr>
          <w:rFonts w:ascii="Roboto" w:hAnsi="Roboto"/>
          <w:i/>
          <w:iCs/>
          <w:color w:val="000000"/>
        </w:rPr>
        <w:t>Revista Gestão Organizacional</w:t>
      </w:r>
      <w:r w:rsidRPr="00E41118">
        <w:rPr>
          <w:rFonts w:ascii="Roboto" w:hAnsi="Roboto"/>
          <w:color w:val="000000"/>
        </w:rPr>
        <w:t xml:space="preserve">, 13(1), pp. 1–21. </w:t>
      </w:r>
      <w:hyperlink r:id="rId40" w:history="1">
        <w:r w:rsidRPr="00E41118">
          <w:rPr>
            <w:rStyle w:val="Hyperlink"/>
            <w:rFonts w:ascii="Roboto" w:hAnsi="Roboto"/>
            <w:color w:val="1155CC"/>
          </w:rPr>
          <w:t>https://doi.org/10.22277/rgo.v13i1.5027</w:t>
        </w:r>
      </w:hyperlink>
    </w:p>
    <w:p w14:paraId="0666E870"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Mason, A. and Lee, R. (2022). Six ways population change will affect the global economy. </w:t>
      </w:r>
      <w:r w:rsidRPr="00E41118">
        <w:rPr>
          <w:rFonts w:ascii="Roboto" w:hAnsi="Roboto"/>
          <w:i/>
          <w:iCs/>
          <w:color w:val="000000"/>
        </w:rPr>
        <w:t>Population and Development Review</w:t>
      </w:r>
      <w:r w:rsidRPr="00E41118">
        <w:rPr>
          <w:rFonts w:ascii="Roboto" w:hAnsi="Roboto"/>
          <w:color w:val="000000"/>
        </w:rPr>
        <w:t xml:space="preserve">, 48(1), pp. 51–73. </w:t>
      </w:r>
      <w:hyperlink r:id="rId41" w:history="1">
        <w:r w:rsidRPr="00E41118">
          <w:rPr>
            <w:rStyle w:val="Hyperlink"/>
            <w:rFonts w:ascii="Roboto" w:hAnsi="Roboto"/>
            <w:color w:val="1155CC"/>
          </w:rPr>
          <w:t>https://doi.org/10.1111/padr.12469</w:t>
        </w:r>
      </w:hyperlink>
    </w:p>
    <w:p w14:paraId="34EFCA3C"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MIT Center for Transportation &amp; Logistics (2024). </w:t>
      </w:r>
      <w:r w:rsidRPr="00E41118">
        <w:rPr>
          <w:rFonts w:ascii="Roboto" w:hAnsi="Roboto"/>
          <w:i/>
          <w:iCs/>
          <w:color w:val="000000"/>
        </w:rPr>
        <w:t>State of supply chain sustainability 2024: Scope 3 emissions challenges</w:t>
      </w:r>
      <w:r w:rsidRPr="00E41118">
        <w:rPr>
          <w:rFonts w:ascii="Roboto" w:hAnsi="Roboto"/>
          <w:color w:val="000000"/>
        </w:rPr>
        <w:t xml:space="preserve">. Cambridge, MA: MIT Sloan School of Management. Available at: </w:t>
      </w:r>
      <w:hyperlink r:id="rId42" w:history="1">
        <w:r w:rsidRPr="00E41118">
          <w:rPr>
            <w:rStyle w:val="Hyperlink"/>
            <w:rFonts w:ascii="Roboto" w:hAnsi="Roboto"/>
            <w:color w:val="1155CC"/>
          </w:rPr>
          <w:t>https://mitsloan.mit.edu/ideas-made-to-matter/scope-3-emissions-top-supply-chain-sustainability-challenges</w:t>
        </w:r>
      </w:hyperlink>
      <w:r w:rsidRPr="00E41118">
        <w:rPr>
          <w:rFonts w:ascii="Roboto" w:hAnsi="Roboto"/>
          <w:color w:val="000000"/>
        </w:rPr>
        <w:t xml:space="preserve"> [Accessed 3 Jan. 2026].</w:t>
      </w:r>
    </w:p>
    <w:p w14:paraId="6E2E2674"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Montgomery, N.V. and Unnava, H.R. (2018). When good consumers turn bad: Psychological contract breach in committed brand relationships. </w:t>
      </w:r>
      <w:r w:rsidRPr="00E41118">
        <w:rPr>
          <w:rFonts w:ascii="Roboto" w:hAnsi="Roboto"/>
          <w:i/>
          <w:iCs/>
          <w:color w:val="000000"/>
        </w:rPr>
        <w:t>Journal of Consumer Psychology</w:t>
      </w:r>
      <w:r w:rsidRPr="00E41118">
        <w:rPr>
          <w:rFonts w:ascii="Roboto" w:hAnsi="Roboto"/>
          <w:color w:val="000000"/>
        </w:rPr>
        <w:t xml:space="preserve">, 28(2), pp. 295–310. </w:t>
      </w:r>
      <w:hyperlink r:id="rId43" w:history="1">
        <w:r w:rsidRPr="00E41118">
          <w:rPr>
            <w:rStyle w:val="Hyperlink"/>
            <w:rFonts w:ascii="Roboto" w:hAnsi="Roboto"/>
            <w:color w:val="1155CC"/>
          </w:rPr>
          <w:t>https://doi.org/10.1002/jcpy.1015</w:t>
        </w:r>
      </w:hyperlink>
    </w:p>
    <w:p w14:paraId="7B8614FE"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Mosquera, A., Olarte-Pascual, C., Ayensa, E.J. and Murillo, Y.S. (2022). What does phygital really mean? A conceptual introduction to the phygital customer experience (PH-CX) framework. </w:t>
      </w:r>
      <w:r w:rsidRPr="00E41118">
        <w:rPr>
          <w:rFonts w:ascii="Roboto" w:hAnsi="Roboto"/>
          <w:i/>
          <w:iCs/>
          <w:color w:val="000000"/>
        </w:rPr>
        <w:t>Journal of Marketing Management</w:t>
      </w:r>
      <w:r w:rsidRPr="00E41118">
        <w:rPr>
          <w:rFonts w:ascii="Roboto" w:hAnsi="Roboto"/>
          <w:color w:val="000000"/>
        </w:rPr>
        <w:t xml:space="preserve">, 38(7–8), pp. 781–808. </w:t>
      </w:r>
      <w:hyperlink r:id="rId44" w:history="1">
        <w:r w:rsidRPr="00E41118">
          <w:rPr>
            <w:rStyle w:val="Hyperlink"/>
            <w:rFonts w:ascii="Roboto" w:hAnsi="Roboto"/>
            <w:color w:val="1155CC"/>
          </w:rPr>
          <w:t>https://doi.org/10.1080/0965254X.2022.2059775</w:t>
        </w:r>
      </w:hyperlink>
    </w:p>
    <w:p w14:paraId="61E040FE"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Pollack, J. and Pollack, R. (2018). Successful organisational change: Integrating the management practice and scholarly literatures. </w:t>
      </w:r>
      <w:r w:rsidRPr="00E41118">
        <w:rPr>
          <w:rFonts w:ascii="Roboto" w:hAnsi="Roboto"/>
          <w:i/>
          <w:iCs/>
          <w:color w:val="000000"/>
        </w:rPr>
        <w:t>Academy of Management Annals</w:t>
      </w:r>
      <w:r w:rsidRPr="00E41118">
        <w:rPr>
          <w:rFonts w:ascii="Roboto" w:hAnsi="Roboto"/>
          <w:color w:val="000000"/>
        </w:rPr>
        <w:t xml:space="preserve">, 12(2), pp. 752–788. </w:t>
      </w:r>
      <w:hyperlink r:id="rId45" w:history="1">
        <w:r w:rsidRPr="00E41118">
          <w:rPr>
            <w:rStyle w:val="Hyperlink"/>
            <w:rFonts w:ascii="Roboto" w:hAnsi="Roboto"/>
            <w:color w:val="1155CC"/>
          </w:rPr>
          <w:t>https://doi.org/10.5465/annals.2016.0095</w:t>
        </w:r>
      </w:hyperlink>
    </w:p>
    <w:p w14:paraId="732A3FB0"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Priya, S. and Kumar, R. (2025). Building consumer trust in green marketing: Analyzing the role of brand transparency, eco-labeling, sustainable packaging, and ethical </w:t>
      </w:r>
      <w:r w:rsidRPr="00E41118">
        <w:rPr>
          <w:rFonts w:ascii="Roboto" w:hAnsi="Roboto"/>
          <w:color w:val="000000"/>
        </w:rPr>
        <w:lastRenderedPageBreak/>
        <w:t xml:space="preserve">advertising in FMCG. </w:t>
      </w:r>
      <w:r w:rsidRPr="00E41118">
        <w:rPr>
          <w:rFonts w:ascii="Roboto" w:hAnsi="Roboto"/>
          <w:i/>
          <w:iCs/>
          <w:color w:val="000000"/>
        </w:rPr>
        <w:t>International Journal of Social Research</w:t>
      </w:r>
      <w:r w:rsidRPr="00E41118">
        <w:rPr>
          <w:rFonts w:ascii="Roboto" w:hAnsi="Roboto"/>
          <w:color w:val="000000"/>
        </w:rPr>
        <w:t xml:space="preserve">, 5(2), pp. 78–94. Available at: </w:t>
      </w:r>
      <w:hyperlink r:id="rId46" w:history="1">
        <w:r w:rsidRPr="00E41118">
          <w:rPr>
            <w:rStyle w:val="Hyperlink"/>
            <w:rFonts w:ascii="Roboto" w:hAnsi="Roboto"/>
            <w:color w:val="1155CC"/>
          </w:rPr>
          <w:t>https://eprajournals.com/IJSR/article/15691</w:t>
        </w:r>
      </w:hyperlink>
      <w:r w:rsidRPr="00E41118">
        <w:rPr>
          <w:rFonts w:ascii="Roboto" w:hAnsi="Roboto"/>
          <w:color w:val="000000"/>
        </w:rPr>
        <w:t xml:space="preserve"> [Accessed 3 Jan. 2026].</w:t>
      </w:r>
    </w:p>
    <w:p w14:paraId="36DA46F6" w14:textId="77777777" w:rsidR="00900181" w:rsidRDefault="00900181" w:rsidP="003C1A8B">
      <w:pPr>
        <w:pStyle w:val="NormalWeb"/>
        <w:spacing w:before="120" w:beforeAutospacing="0" w:after="120" w:afterAutospacing="0" w:line="360" w:lineRule="auto"/>
        <w:jc w:val="both"/>
        <w:rPr>
          <w:rFonts w:ascii="Roboto" w:hAnsi="Roboto"/>
          <w:color w:val="000000"/>
        </w:rPr>
      </w:pPr>
      <w:r w:rsidRPr="006160B6">
        <w:rPr>
          <w:rFonts w:ascii="Roboto" w:hAnsi="Roboto"/>
          <w:color w:val="000000"/>
        </w:rPr>
        <w:t xml:space="preserve">PWC (2024). Consumers willing to pay 9.7% sustainability premium, even as cost-of-living and inflationary concerns weigh: PwC 2024 voice of the consumer survey. [online] PwC. Available at: </w:t>
      </w:r>
      <w:hyperlink r:id="rId47" w:history="1">
        <w:r w:rsidRPr="0040142F">
          <w:rPr>
            <w:rStyle w:val="Hyperlink"/>
            <w:rFonts w:ascii="Roboto" w:hAnsi="Roboto"/>
          </w:rPr>
          <w:t>https://www.pwc.com/gx/en/news-room/press-releases/2024/pwc-2024-voice-of-consumer-survey.html</w:t>
        </w:r>
      </w:hyperlink>
      <w:r w:rsidRPr="006160B6">
        <w:rPr>
          <w:rFonts w:ascii="Roboto" w:hAnsi="Roboto"/>
          <w:color w:val="000000"/>
        </w:rPr>
        <w:t>.</w:t>
      </w:r>
    </w:p>
    <w:p w14:paraId="6EE1274D"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Rahman, M.S. and Zaman, H.U. (2025). SustAI-SCM: Intelligent supply chain process automation with agentic AI for sustainability and cost efficiency. </w:t>
      </w:r>
      <w:r w:rsidRPr="00E41118">
        <w:rPr>
          <w:rFonts w:ascii="Roboto" w:hAnsi="Roboto"/>
          <w:i/>
          <w:iCs/>
          <w:color w:val="000000"/>
        </w:rPr>
        <w:t>Sustainability</w:t>
      </w:r>
      <w:r w:rsidRPr="00E41118">
        <w:rPr>
          <w:rFonts w:ascii="Roboto" w:hAnsi="Roboto"/>
          <w:color w:val="000000"/>
        </w:rPr>
        <w:t xml:space="preserve">, 17(6), 2453. </w:t>
      </w:r>
      <w:hyperlink r:id="rId48" w:history="1">
        <w:r w:rsidRPr="00E41118">
          <w:rPr>
            <w:rStyle w:val="Hyperlink"/>
            <w:rFonts w:ascii="Roboto" w:hAnsi="Roboto"/>
            <w:color w:val="1155CC"/>
          </w:rPr>
          <w:t>https://doi.org/10.3390/su17062453</w:t>
        </w:r>
      </w:hyperlink>
    </w:p>
    <w:p w14:paraId="4EADB04E"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Saleem, F., Malik, M.I. and Qureshi, S.S. (2021). Change management and organisational performance: Current key trends. </w:t>
      </w:r>
      <w:r w:rsidRPr="00E41118">
        <w:rPr>
          <w:rFonts w:ascii="Roboto" w:hAnsi="Roboto"/>
          <w:i/>
          <w:iCs/>
          <w:color w:val="000000"/>
        </w:rPr>
        <w:t>Cogent Business &amp; Management</w:t>
      </w:r>
      <w:r w:rsidRPr="00E41118">
        <w:rPr>
          <w:rFonts w:ascii="Roboto" w:hAnsi="Roboto"/>
          <w:color w:val="000000"/>
        </w:rPr>
        <w:t xml:space="preserve">, 8(1), 1951816. </w:t>
      </w:r>
      <w:hyperlink r:id="rId49" w:history="1">
        <w:r w:rsidRPr="00E41118">
          <w:rPr>
            <w:rStyle w:val="Hyperlink"/>
            <w:rFonts w:ascii="Roboto" w:hAnsi="Roboto"/>
            <w:color w:val="1155CC"/>
          </w:rPr>
          <w:t>https://doi.org/10.1080/23311975.2021.1951816</w:t>
        </w:r>
      </w:hyperlink>
    </w:p>
    <w:p w14:paraId="78517993"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Scalco, A., Noventa, S., Sartori, R. and Ceschi, A. (2021). Understanding the purchasing behavior of consumers in response to sustainable marketing practices: An empirical analysis in the food domain. </w:t>
      </w:r>
      <w:r w:rsidRPr="00E41118">
        <w:rPr>
          <w:rFonts w:ascii="Roboto" w:hAnsi="Roboto"/>
          <w:i/>
          <w:iCs/>
          <w:color w:val="000000"/>
        </w:rPr>
        <w:t>Sustainability</w:t>
      </w:r>
      <w:r w:rsidRPr="00E41118">
        <w:rPr>
          <w:rFonts w:ascii="Roboto" w:hAnsi="Roboto"/>
          <w:color w:val="000000"/>
        </w:rPr>
        <w:t xml:space="preserve">, 13(11), 6169. </w:t>
      </w:r>
      <w:hyperlink r:id="rId50" w:history="1">
        <w:r w:rsidRPr="00E41118">
          <w:rPr>
            <w:rStyle w:val="Hyperlink"/>
            <w:rFonts w:ascii="Roboto" w:hAnsi="Roboto"/>
            <w:color w:val="1155CC"/>
          </w:rPr>
          <w:t>https://doi.org/10.3390/su13116169</w:t>
        </w:r>
      </w:hyperlink>
    </w:p>
    <w:p w14:paraId="68B1E30D"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Sharma, A. and Jain, V. (2021). A study on perception of FMCG sector in India towards sustainable marketing practices. </w:t>
      </w:r>
      <w:r w:rsidRPr="00E41118">
        <w:rPr>
          <w:rFonts w:ascii="Roboto" w:hAnsi="Roboto"/>
          <w:i/>
          <w:iCs/>
          <w:color w:val="000000"/>
        </w:rPr>
        <w:t>Natural Volatiles &amp; Essential Oils</w:t>
      </w:r>
      <w:r w:rsidRPr="00E41118">
        <w:rPr>
          <w:rFonts w:ascii="Roboto" w:hAnsi="Roboto"/>
          <w:color w:val="000000"/>
        </w:rPr>
        <w:t xml:space="preserve">, 8(4), pp. 3380–3396. Available at: </w:t>
      </w:r>
      <w:hyperlink r:id="rId51" w:history="1">
        <w:r w:rsidRPr="00E41118">
          <w:rPr>
            <w:rStyle w:val="Hyperlink"/>
            <w:rFonts w:ascii="Roboto" w:hAnsi="Roboto"/>
            <w:color w:val="1155CC"/>
          </w:rPr>
          <w:t>https://www.nveo.org/index.php/journal/article/view/733</w:t>
        </w:r>
      </w:hyperlink>
      <w:r w:rsidRPr="00E41118">
        <w:rPr>
          <w:rFonts w:ascii="Roboto" w:hAnsi="Roboto"/>
          <w:color w:val="000000"/>
        </w:rPr>
        <w:t xml:space="preserve"> [Accessed 3 Jan. 2026].</w:t>
      </w:r>
    </w:p>
    <w:p w14:paraId="0B60643C"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Siebert, A., Gopaldas, A., Lindridge, A. and Simões, C. (2020). Customer experience journeys: Loyalty loops versus buying funnels. </w:t>
      </w:r>
      <w:r w:rsidRPr="00E41118">
        <w:rPr>
          <w:rFonts w:ascii="Roboto" w:hAnsi="Roboto"/>
          <w:i/>
          <w:iCs/>
          <w:color w:val="000000"/>
        </w:rPr>
        <w:t>Journal of Marketing</w:t>
      </w:r>
      <w:r w:rsidRPr="00E41118">
        <w:rPr>
          <w:rFonts w:ascii="Roboto" w:hAnsi="Roboto"/>
          <w:color w:val="000000"/>
        </w:rPr>
        <w:t xml:space="preserve">, 84(4), pp. 45–66. </w:t>
      </w:r>
      <w:hyperlink r:id="rId52" w:history="1">
        <w:r w:rsidRPr="00E41118">
          <w:rPr>
            <w:rStyle w:val="Hyperlink"/>
            <w:rFonts w:ascii="Roboto" w:hAnsi="Roboto"/>
            <w:color w:val="1155CC"/>
          </w:rPr>
          <w:t>https://doi.org/10.1177/0022242920920262</w:t>
        </w:r>
      </w:hyperlink>
    </w:p>
    <w:p w14:paraId="0BF2049A"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Sodhi, M.S., Bals, L. and Deng, Q. (2024). Carbon neutrality: Operations management research opportunities. </w:t>
      </w:r>
      <w:r w:rsidRPr="00E41118">
        <w:rPr>
          <w:rFonts w:ascii="Roboto" w:hAnsi="Roboto"/>
          <w:i/>
          <w:iCs/>
          <w:color w:val="000000"/>
        </w:rPr>
        <w:t>Journal of Operations Management</w:t>
      </w:r>
      <w:r w:rsidRPr="00E41118">
        <w:rPr>
          <w:rFonts w:ascii="Roboto" w:hAnsi="Roboto"/>
          <w:color w:val="000000"/>
        </w:rPr>
        <w:t xml:space="preserve">, 70(2), pp. 321–347. </w:t>
      </w:r>
      <w:hyperlink r:id="rId53" w:history="1">
        <w:r w:rsidRPr="00E41118">
          <w:rPr>
            <w:rStyle w:val="Hyperlink"/>
            <w:rFonts w:ascii="Roboto" w:hAnsi="Roboto"/>
            <w:color w:val="1155CC"/>
          </w:rPr>
          <w:t>https://doi.org/10.1002/joom.1303</w:t>
        </w:r>
      </w:hyperlink>
    </w:p>
    <w:p w14:paraId="5EA74144"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Stenzel, A., Flick, C. and Seele, P. (2023). Supply-chain data sharing for Scope 3 emissions. </w:t>
      </w:r>
      <w:r w:rsidRPr="00E41118">
        <w:rPr>
          <w:rFonts w:ascii="Roboto" w:hAnsi="Roboto"/>
          <w:i/>
          <w:iCs/>
          <w:color w:val="000000"/>
        </w:rPr>
        <w:t>npj Climate Action</w:t>
      </w:r>
      <w:r w:rsidRPr="00E41118">
        <w:rPr>
          <w:rFonts w:ascii="Roboto" w:hAnsi="Roboto"/>
          <w:color w:val="000000"/>
        </w:rPr>
        <w:t xml:space="preserve">, 2(1), 12. </w:t>
      </w:r>
      <w:hyperlink r:id="rId54" w:history="1">
        <w:r w:rsidRPr="00E41118">
          <w:rPr>
            <w:rStyle w:val="Hyperlink"/>
            <w:rFonts w:ascii="Roboto" w:hAnsi="Roboto"/>
            <w:color w:val="1155CC"/>
          </w:rPr>
          <w:t>https://doi.org/10.1038/s44168-023-00032-x</w:t>
        </w:r>
      </w:hyperlink>
    </w:p>
    <w:p w14:paraId="517FA5D1"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Tuni, A., Rentizelas, A. and Duffy, A. (2024). Life cycle thinking and carbon accounting in sustainable supply chains: A structured literature review and research agenda. </w:t>
      </w:r>
      <w:r w:rsidRPr="00E41118">
        <w:rPr>
          <w:rFonts w:ascii="Roboto" w:hAnsi="Roboto"/>
          <w:i/>
          <w:iCs/>
          <w:color w:val="000000"/>
        </w:rPr>
        <w:lastRenderedPageBreak/>
        <w:t>Sustainability Accounting, Management and Policy Journal</w:t>
      </w:r>
      <w:r w:rsidRPr="00E41118">
        <w:rPr>
          <w:rFonts w:ascii="Roboto" w:hAnsi="Roboto"/>
          <w:color w:val="000000"/>
        </w:rPr>
        <w:t xml:space="preserve">, 16(5), pp. 1370–1403. </w:t>
      </w:r>
      <w:hyperlink r:id="rId55" w:history="1">
        <w:r w:rsidRPr="00E41118">
          <w:rPr>
            <w:rStyle w:val="Hyperlink"/>
            <w:rFonts w:ascii="Roboto" w:hAnsi="Roboto"/>
            <w:color w:val="1155CC"/>
          </w:rPr>
          <w:t>https://doi.org/10.1108/SAMPJ-10-2023-0743</w:t>
        </w:r>
      </w:hyperlink>
    </w:p>
    <w:p w14:paraId="29093425" w14:textId="77777777" w:rsidR="00900181" w:rsidRDefault="00900181" w:rsidP="003C1A8B">
      <w:pPr>
        <w:pStyle w:val="NormalWeb"/>
        <w:spacing w:before="120" w:beforeAutospacing="0" w:after="120" w:afterAutospacing="0" w:line="360" w:lineRule="auto"/>
        <w:jc w:val="both"/>
      </w:pPr>
      <w:r>
        <w:t xml:space="preserve">Unilever (2021). </w:t>
      </w:r>
      <w:r>
        <w:rPr>
          <w:i/>
          <w:iCs/>
        </w:rPr>
        <w:t>Nourishing the future: innovations to grow the plant-based market</w:t>
      </w:r>
      <w:r>
        <w:t xml:space="preserve">. [online] Unilever. Available at: </w:t>
      </w:r>
      <w:hyperlink r:id="rId56" w:history="1">
        <w:r w:rsidRPr="002F5857">
          <w:rPr>
            <w:rStyle w:val="Hyperlink"/>
          </w:rPr>
          <w:t>https://www.unilever.com/news/news-search/2021/nourishing-the-future-innovations-to-grow-the-plant-based-market/</w:t>
        </w:r>
      </w:hyperlink>
      <w:r>
        <w:t>.</w:t>
      </w:r>
    </w:p>
    <w:p w14:paraId="61223486" w14:textId="77777777" w:rsidR="00900181" w:rsidRDefault="00900181" w:rsidP="003C1A8B">
      <w:pPr>
        <w:pStyle w:val="NormalWeb"/>
        <w:spacing w:before="120" w:beforeAutospacing="0" w:after="120" w:afterAutospacing="0" w:line="360" w:lineRule="auto"/>
        <w:jc w:val="both"/>
      </w:pPr>
      <w:r w:rsidRPr="00AE0C0F">
        <w:t xml:space="preserve">Unilever (2024). Annual Report and Accounts 2024. [online] Unilever. Available at: </w:t>
      </w:r>
      <w:hyperlink r:id="rId57" w:history="1">
        <w:r w:rsidRPr="002F5857">
          <w:rPr>
            <w:rStyle w:val="Hyperlink"/>
          </w:rPr>
          <w:t>https://www.unilever.com/investors/annual-report-and-accounts/</w:t>
        </w:r>
      </w:hyperlink>
      <w:r w:rsidRPr="00AE0C0F">
        <w:t>.</w:t>
      </w:r>
    </w:p>
    <w:p w14:paraId="7845E4A6"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Unilever (2024). </w:t>
      </w:r>
      <w:r w:rsidRPr="00E41118">
        <w:rPr>
          <w:rFonts w:ascii="Roboto" w:hAnsi="Roboto"/>
          <w:i/>
          <w:iCs/>
          <w:color w:val="000000"/>
        </w:rPr>
        <w:t>Our ambition is to deliver net zero emissions across our value chain</w:t>
      </w:r>
      <w:r w:rsidRPr="00E41118">
        <w:rPr>
          <w:rFonts w:ascii="Roboto" w:hAnsi="Roboto"/>
          <w:color w:val="000000"/>
        </w:rPr>
        <w:t xml:space="preserve">. [online] Unilever. Available at: </w:t>
      </w:r>
      <w:hyperlink r:id="rId58" w:history="1">
        <w:r w:rsidRPr="00E41118">
          <w:rPr>
            <w:rStyle w:val="Hyperlink"/>
            <w:rFonts w:ascii="Roboto" w:hAnsi="Roboto"/>
            <w:color w:val="1155CC"/>
          </w:rPr>
          <w:t>https://www.unilever.com/sustainability/climate/</w:t>
        </w:r>
      </w:hyperlink>
      <w:r w:rsidRPr="00E41118">
        <w:rPr>
          <w:rFonts w:ascii="Roboto" w:hAnsi="Roboto"/>
          <w:color w:val="000000"/>
        </w:rPr>
        <w:t xml:space="preserve"> [Accessed 3 Jan. 2026].</w:t>
      </w:r>
    </w:p>
    <w:p w14:paraId="2C61AAB1" w14:textId="77777777" w:rsidR="00900181" w:rsidRDefault="00900181" w:rsidP="003C1A8B">
      <w:pPr>
        <w:pStyle w:val="NormalWeb"/>
        <w:spacing w:before="120" w:beforeAutospacing="0" w:after="120" w:afterAutospacing="0" w:line="360" w:lineRule="auto"/>
        <w:jc w:val="both"/>
      </w:pPr>
      <w:r>
        <w:t xml:space="preserve">Unilever (2024b). </w:t>
      </w:r>
      <w:r>
        <w:rPr>
          <w:i/>
          <w:iCs/>
        </w:rPr>
        <w:t>Sustainable and deforestation-free palm oil</w:t>
      </w:r>
      <w:r>
        <w:t xml:space="preserve">. [online] Unilever. Available at: </w:t>
      </w:r>
      <w:hyperlink r:id="rId59" w:history="1">
        <w:r w:rsidRPr="002F5857">
          <w:rPr>
            <w:rStyle w:val="Hyperlink"/>
          </w:rPr>
          <w:t>https://www.unilever.com/sustainability/nature/sustainable-palm-oil/</w:t>
        </w:r>
      </w:hyperlink>
      <w:r>
        <w:t>.</w:t>
      </w:r>
    </w:p>
    <w:p w14:paraId="39DE21D7"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Unilever (2025). </w:t>
      </w:r>
      <w:r w:rsidRPr="00E41118">
        <w:rPr>
          <w:rFonts w:ascii="Roboto" w:hAnsi="Roboto"/>
          <w:i/>
          <w:iCs/>
          <w:color w:val="000000"/>
        </w:rPr>
        <w:t>Our Climate Transition Action Plan</w:t>
      </w:r>
      <w:r w:rsidRPr="00E41118">
        <w:rPr>
          <w:rFonts w:ascii="Roboto" w:hAnsi="Roboto"/>
          <w:color w:val="000000"/>
        </w:rPr>
        <w:t xml:space="preserve">. [online] Unilever. Available at: </w:t>
      </w:r>
      <w:hyperlink r:id="rId60" w:history="1">
        <w:r w:rsidRPr="00E41118">
          <w:rPr>
            <w:rStyle w:val="Hyperlink"/>
            <w:rFonts w:ascii="Roboto" w:hAnsi="Roboto"/>
            <w:color w:val="1155CC"/>
          </w:rPr>
          <w:t>https://www.unilever.com/sustainability/climate/our-climate-transition-action-plan/</w:t>
        </w:r>
      </w:hyperlink>
      <w:r w:rsidRPr="00E41118">
        <w:rPr>
          <w:rFonts w:ascii="Roboto" w:hAnsi="Roboto"/>
          <w:color w:val="000000"/>
        </w:rPr>
        <w:t xml:space="preserve"> [Accessed 3 Jan. 2026].</w:t>
      </w:r>
    </w:p>
    <w:p w14:paraId="19C51145"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Unilever PLC (2024). </w:t>
      </w:r>
      <w:r w:rsidRPr="00E41118">
        <w:rPr>
          <w:rFonts w:ascii="Roboto" w:hAnsi="Roboto"/>
          <w:i/>
          <w:iCs/>
          <w:color w:val="000000"/>
        </w:rPr>
        <w:t>Supplier Climate Programme</w:t>
      </w:r>
      <w:r w:rsidRPr="00E41118">
        <w:rPr>
          <w:rFonts w:ascii="Roboto" w:hAnsi="Roboto"/>
          <w:color w:val="000000"/>
        </w:rPr>
        <w:t xml:space="preserve">. [online] Unilever. Available at: </w:t>
      </w:r>
      <w:hyperlink r:id="rId61" w:history="1">
        <w:r w:rsidRPr="00E41118">
          <w:rPr>
            <w:rStyle w:val="Hyperlink"/>
            <w:rFonts w:ascii="Roboto" w:hAnsi="Roboto"/>
            <w:color w:val="1155CC"/>
          </w:rPr>
          <w:t>https://www.unilever.com/suppliers/supplier-climate-programme/</w:t>
        </w:r>
      </w:hyperlink>
      <w:r w:rsidRPr="00E41118">
        <w:rPr>
          <w:rFonts w:ascii="Roboto" w:hAnsi="Roboto"/>
          <w:color w:val="000000"/>
        </w:rPr>
        <w:t xml:space="preserve"> [Accessed 3 Jan. 2026].</w:t>
      </w:r>
    </w:p>
    <w:p w14:paraId="38344794"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Van Hoang, D., Tran, T.K. and Nguyen, H.M. (2025). Pathways to green purchase intention in FMCG industry: Impact of green marketing strategies. </w:t>
      </w:r>
      <w:r w:rsidRPr="00E41118">
        <w:rPr>
          <w:rFonts w:ascii="Roboto" w:hAnsi="Roboto"/>
          <w:i/>
          <w:iCs/>
          <w:color w:val="000000"/>
        </w:rPr>
        <w:t>SAGE Open</w:t>
      </w:r>
      <w:r w:rsidRPr="00E41118">
        <w:rPr>
          <w:rFonts w:ascii="Roboto" w:hAnsi="Roboto"/>
          <w:color w:val="000000"/>
        </w:rPr>
        <w:t xml:space="preserve">, 15(1), 21582440251378964. </w:t>
      </w:r>
      <w:hyperlink r:id="rId62" w:history="1">
        <w:r w:rsidRPr="00E41118">
          <w:rPr>
            <w:rStyle w:val="Hyperlink"/>
            <w:rFonts w:ascii="Roboto" w:hAnsi="Roboto"/>
            <w:color w:val="1155CC"/>
          </w:rPr>
          <w:t>https://doi.org/10.1177/21582440251378964</w:t>
        </w:r>
      </w:hyperlink>
    </w:p>
    <w:p w14:paraId="48AAC57E"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Wang, K., Zhang, Q. and Deng, X. (2019). Brand equity and firm sustainable performance. </w:t>
      </w:r>
      <w:r w:rsidRPr="00E41118">
        <w:rPr>
          <w:rFonts w:ascii="Roboto" w:hAnsi="Roboto"/>
          <w:i/>
          <w:iCs/>
          <w:color w:val="000000"/>
        </w:rPr>
        <w:t>Sustainability</w:t>
      </w:r>
      <w:r w:rsidRPr="00E41118">
        <w:rPr>
          <w:rFonts w:ascii="Roboto" w:hAnsi="Roboto"/>
          <w:color w:val="000000"/>
        </w:rPr>
        <w:t xml:space="preserve">, 11(4), 1086. </w:t>
      </w:r>
      <w:hyperlink r:id="rId63" w:history="1">
        <w:r w:rsidRPr="00E41118">
          <w:rPr>
            <w:rStyle w:val="Hyperlink"/>
            <w:rFonts w:ascii="Roboto" w:hAnsi="Roboto"/>
            <w:color w:val="1155CC"/>
          </w:rPr>
          <w:t>https://doi.org/10.3390/su11041086</w:t>
        </w:r>
      </w:hyperlink>
    </w:p>
    <w:p w14:paraId="5A674C9C" w14:textId="77777777" w:rsidR="00900181" w:rsidRPr="00E41118" w:rsidRDefault="00900181" w:rsidP="003C1A8B">
      <w:pPr>
        <w:pStyle w:val="NormalWeb"/>
        <w:spacing w:before="120" w:beforeAutospacing="0" w:after="120" w:afterAutospacing="0" w:line="360" w:lineRule="auto"/>
        <w:jc w:val="both"/>
      </w:pPr>
      <w:r w:rsidRPr="00E41118">
        <w:rPr>
          <w:rFonts w:ascii="Roboto" w:hAnsi="Roboto"/>
          <w:color w:val="000000"/>
        </w:rPr>
        <w:t xml:space="preserve">Wang, Y., Zhang, M. and Liu, L. (2022). Research progress of green marketing in sustainable consumption based on CiteSpace analysis. </w:t>
      </w:r>
      <w:r w:rsidRPr="00E41118">
        <w:rPr>
          <w:rFonts w:ascii="Roboto" w:hAnsi="Roboto"/>
          <w:i/>
          <w:iCs/>
          <w:color w:val="000000"/>
        </w:rPr>
        <w:t>SAGE Open</w:t>
      </w:r>
      <w:r w:rsidRPr="00E41118">
        <w:rPr>
          <w:rFonts w:ascii="Roboto" w:hAnsi="Roboto"/>
          <w:color w:val="000000"/>
        </w:rPr>
        <w:t xml:space="preserve">, 12(2), 21582440221119835. </w:t>
      </w:r>
      <w:hyperlink r:id="rId64" w:history="1">
        <w:r w:rsidRPr="00E41118">
          <w:rPr>
            <w:rStyle w:val="Hyperlink"/>
            <w:rFonts w:ascii="Roboto" w:hAnsi="Roboto"/>
            <w:color w:val="1155CC"/>
          </w:rPr>
          <w:t>https://doi.org/10.1177/21582440221119835</w:t>
        </w:r>
      </w:hyperlink>
    </w:p>
    <w:p w14:paraId="4F7362AA" w14:textId="77777777" w:rsidR="00900181" w:rsidRDefault="00900181" w:rsidP="003C1A8B">
      <w:pPr>
        <w:pStyle w:val="NormalWeb"/>
        <w:spacing w:before="120" w:beforeAutospacing="0" w:after="120" w:afterAutospacing="0" w:line="360" w:lineRule="auto"/>
        <w:jc w:val="both"/>
        <w:rPr>
          <w:rFonts w:ascii="Roboto" w:hAnsi="Roboto"/>
          <w:color w:val="000000"/>
        </w:rPr>
      </w:pPr>
      <w:r w:rsidRPr="00E41118">
        <w:rPr>
          <w:rFonts w:ascii="Roboto" w:hAnsi="Roboto"/>
          <w:color w:val="000000"/>
        </w:rPr>
        <w:t xml:space="preserve">Zhang, L. and Wang, X. (2024). Exploring greenwashing: The impact on consumer trust and brand equity in China. </w:t>
      </w:r>
      <w:r w:rsidRPr="00E41118">
        <w:rPr>
          <w:rFonts w:ascii="Roboto" w:hAnsi="Roboto"/>
          <w:i/>
          <w:iCs/>
          <w:color w:val="000000"/>
        </w:rPr>
        <w:t>Universal Journal of Social Science and Humanities</w:t>
      </w:r>
      <w:r w:rsidRPr="00E41118">
        <w:rPr>
          <w:rFonts w:ascii="Roboto" w:hAnsi="Roboto"/>
          <w:color w:val="000000"/>
        </w:rPr>
        <w:t xml:space="preserve">, 2(4), pp. 147–162. Available at: </w:t>
      </w:r>
      <w:hyperlink r:id="rId65" w:history="1">
        <w:r w:rsidRPr="00E41118">
          <w:rPr>
            <w:rStyle w:val="Hyperlink"/>
            <w:rFonts w:ascii="Roboto" w:hAnsi="Roboto"/>
            <w:color w:val="1155CC"/>
          </w:rPr>
          <w:t>https://ujssh.com/index.php/ujssh/article/view/147</w:t>
        </w:r>
      </w:hyperlink>
      <w:r w:rsidRPr="00E41118">
        <w:rPr>
          <w:rFonts w:ascii="Roboto" w:hAnsi="Roboto"/>
          <w:color w:val="000000"/>
        </w:rPr>
        <w:t xml:space="preserve"> [Accessed 3 Jan. 2026].</w:t>
      </w:r>
    </w:p>
    <w:sectPr w:rsidR="00900181" w:rsidSect="00E41118">
      <w:headerReference w:type="default" r:id="rId66"/>
      <w:pgSz w:w="11906" w:h="16838" w:code="9"/>
      <w:pgMar w:top="1440" w:right="1440" w:bottom="1440" w:left="1440" w:header="720" w:footer="720" w:gutter="0"/>
      <w:pgNumType w:start="1"/>
      <w:cols w:space="720"/>
      <w:docGrid w:linePitch="28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AFE374" w14:textId="77777777" w:rsidR="002B070E" w:rsidRDefault="002B070E">
      <w:pPr>
        <w:spacing w:after="0" w:line="240" w:lineRule="auto"/>
      </w:pPr>
      <w:r>
        <w:separator/>
      </w:r>
    </w:p>
  </w:endnote>
  <w:endnote w:type="continuationSeparator" w:id="0">
    <w:p w14:paraId="16ED89DB" w14:textId="77777777" w:rsidR="002B070E" w:rsidRDefault="002B07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iberationSans-Bold">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embedRegular r:id="rId1" w:fontKey="{4DF3167B-9635-4648-BDE9-04D858D3C50A}"/>
    <w:embedBold r:id="rId2" w:fontKey="{82705C7C-A3A3-45B3-97AF-EF0FF50D169B}"/>
  </w:font>
  <w:font w:name="Roboto">
    <w:charset w:val="00"/>
    <w:family w:val="auto"/>
    <w:pitch w:val="variable"/>
    <w:sig w:usb0="E00002FF" w:usb1="5000205B" w:usb2="00000020" w:usb3="00000000" w:csb0="0000019F" w:csb1="00000000"/>
    <w:embedRegular r:id="rId3" w:fontKey="{448D73F7-227A-49DB-96B0-FAD8E07E0970}"/>
    <w:embedItalic r:id="rId4" w:fontKey="{44D4A7B4-EE50-4D28-84B3-919B7E40ECC6}"/>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F2F9DB" w14:textId="77777777" w:rsidR="002B070E" w:rsidRDefault="002B070E">
      <w:pPr>
        <w:spacing w:after="0" w:line="240" w:lineRule="auto"/>
      </w:pPr>
      <w:r>
        <w:separator/>
      </w:r>
    </w:p>
  </w:footnote>
  <w:footnote w:type="continuationSeparator" w:id="0">
    <w:p w14:paraId="2F200132" w14:textId="77777777" w:rsidR="002B070E" w:rsidRDefault="002B07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C470A" w14:textId="0FD22445" w:rsidR="007D485B" w:rsidRDefault="007D485B">
    <w:pPr>
      <w:pStyle w:val="Header"/>
      <w:jc w:val="right"/>
    </w:pPr>
  </w:p>
  <w:p w14:paraId="2D82284E" w14:textId="77777777" w:rsidR="007D485B" w:rsidRDefault="007D48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20427118"/>
      <w:docPartObj>
        <w:docPartGallery w:val="Page Numbers (Top of Page)"/>
        <w:docPartUnique/>
      </w:docPartObj>
    </w:sdtPr>
    <w:sdtEndPr>
      <w:rPr>
        <w:noProof/>
      </w:rPr>
    </w:sdtEndPr>
    <w:sdtContent>
      <w:p w14:paraId="06F9B34C" w14:textId="77777777" w:rsidR="007D485B" w:rsidRDefault="007D485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46024C1" w14:textId="77777777" w:rsidR="007D485B" w:rsidRDefault="007D48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isplayBackgroundShape/>
  <w:embedTrueTypeFont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1D7E"/>
    <w:rsid w:val="00051F63"/>
    <w:rsid w:val="00091225"/>
    <w:rsid w:val="001E71B1"/>
    <w:rsid w:val="002166FA"/>
    <w:rsid w:val="00280C94"/>
    <w:rsid w:val="002B070E"/>
    <w:rsid w:val="002F17B6"/>
    <w:rsid w:val="003A3967"/>
    <w:rsid w:val="003B0D5F"/>
    <w:rsid w:val="003C1A8B"/>
    <w:rsid w:val="00401D7E"/>
    <w:rsid w:val="0043380B"/>
    <w:rsid w:val="00445470"/>
    <w:rsid w:val="00464A3C"/>
    <w:rsid w:val="004A1470"/>
    <w:rsid w:val="004B40F2"/>
    <w:rsid w:val="004D2355"/>
    <w:rsid w:val="004E61A8"/>
    <w:rsid w:val="00566F40"/>
    <w:rsid w:val="005D3452"/>
    <w:rsid w:val="006160B6"/>
    <w:rsid w:val="006912B3"/>
    <w:rsid w:val="006C55CB"/>
    <w:rsid w:val="007259C2"/>
    <w:rsid w:val="007D485B"/>
    <w:rsid w:val="00857301"/>
    <w:rsid w:val="008836EF"/>
    <w:rsid w:val="00900181"/>
    <w:rsid w:val="00947D29"/>
    <w:rsid w:val="00950775"/>
    <w:rsid w:val="00A15A1C"/>
    <w:rsid w:val="00A4367F"/>
    <w:rsid w:val="00AB2195"/>
    <w:rsid w:val="00AE0C0F"/>
    <w:rsid w:val="00B77255"/>
    <w:rsid w:val="00C169E7"/>
    <w:rsid w:val="00C31FD0"/>
    <w:rsid w:val="00C40176"/>
    <w:rsid w:val="00C41D2F"/>
    <w:rsid w:val="00CF126A"/>
    <w:rsid w:val="00DC144C"/>
    <w:rsid w:val="00E41118"/>
    <w:rsid w:val="00F43007"/>
    <w:rsid w:val="00F50BF3"/>
    <w:rsid w:val="00FB13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E3D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31B"/>
  </w:style>
  <w:style w:type="paragraph" w:styleId="Heading1">
    <w:name w:val="heading 1"/>
    <w:basedOn w:val="Normal"/>
    <w:next w:val="Normal"/>
    <w:link w:val="Heading1Char"/>
    <w:uiPriority w:val="9"/>
    <w:qFormat/>
    <w:rsid w:val="00FB131B"/>
    <w:pPr>
      <w:keepNext/>
      <w:keepLines/>
      <w:pBdr>
        <w:bottom w:val="single" w:sz="4" w:space="1" w:color="4F81BD" w:themeColor="accent1"/>
      </w:pBdr>
      <w:spacing w:before="400" w:after="40" w:line="240" w:lineRule="auto"/>
      <w:outlineLvl w:val="0"/>
    </w:pPr>
    <w:rPr>
      <w:rFonts w:asciiTheme="majorHAnsi" w:eastAsiaTheme="majorEastAsia" w:hAnsiTheme="majorHAnsi" w:cstheme="majorBidi"/>
      <w:color w:val="365F91" w:themeColor="accent1" w:themeShade="BF"/>
      <w:sz w:val="36"/>
      <w:szCs w:val="36"/>
    </w:rPr>
  </w:style>
  <w:style w:type="paragraph" w:styleId="Heading2">
    <w:name w:val="heading 2"/>
    <w:basedOn w:val="Normal"/>
    <w:next w:val="Normal"/>
    <w:link w:val="Heading2Char"/>
    <w:uiPriority w:val="9"/>
    <w:unhideWhenUsed/>
    <w:qFormat/>
    <w:rsid w:val="00FB131B"/>
    <w:pPr>
      <w:keepNext/>
      <w:keepLines/>
      <w:spacing w:before="160" w:after="0" w:line="240" w:lineRule="auto"/>
      <w:outlineLvl w:val="1"/>
    </w:pPr>
    <w:rPr>
      <w:rFonts w:asciiTheme="majorHAnsi" w:eastAsiaTheme="majorEastAsia" w:hAnsiTheme="majorHAnsi" w:cstheme="majorBidi"/>
      <w:color w:val="365F91" w:themeColor="accent1" w:themeShade="BF"/>
      <w:sz w:val="28"/>
      <w:szCs w:val="28"/>
    </w:rPr>
  </w:style>
  <w:style w:type="paragraph" w:styleId="Heading3">
    <w:name w:val="heading 3"/>
    <w:basedOn w:val="Normal"/>
    <w:next w:val="Normal"/>
    <w:link w:val="Heading3Char"/>
    <w:uiPriority w:val="9"/>
    <w:unhideWhenUsed/>
    <w:qFormat/>
    <w:rsid w:val="00FB131B"/>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FB131B"/>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FB131B"/>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FB131B"/>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FB131B"/>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FB131B"/>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FB131B"/>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rsid w:val="00FB131B"/>
    <w:pPr>
      <w:spacing w:after="0" w:line="240" w:lineRule="auto"/>
      <w:contextualSpacing/>
    </w:pPr>
    <w:rPr>
      <w:rFonts w:asciiTheme="majorHAnsi" w:eastAsiaTheme="majorEastAsia" w:hAnsiTheme="majorHAnsi" w:cstheme="majorBidi"/>
      <w:color w:val="365F91" w:themeColor="accent1" w:themeShade="BF"/>
      <w:spacing w:val="-7"/>
      <w:sz w:val="80"/>
      <w:szCs w:val="80"/>
    </w:rPr>
  </w:style>
  <w:style w:type="paragraph" w:styleId="Subtitle">
    <w:name w:val="Subtitle"/>
    <w:basedOn w:val="Normal"/>
    <w:next w:val="Normal"/>
    <w:link w:val="SubtitleChar"/>
    <w:uiPriority w:val="11"/>
    <w:qFormat/>
    <w:rsid w:val="00FB131B"/>
    <w:pPr>
      <w:numPr>
        <w:ilvl w:val="1"/>
      </w:numPr>
      <w:spacing w:after="240" w:line="240" w:lineRule="auto"/>
    </w:pPr>
    <w:rPr>
      <w:rFonts w:asciiTheme="majorHAnsi" w:eastAsiaTheme="majorEastAsia" w:hAnsiTheme="majorHAnsi" w:cstheme="majorBidi"/>
      <w:color w:val="404040" w:themeColor="text1" w:themeTint="BF"/>
      <w:sz w:val="30"/>
      <w:szCs w:val="30"/>
    </w:rPr>
  </w:style>
  <w:style w:type="table" w:customStyle="1" w:styleId="a">
    <w:basedOn w:val="TableNormal0"/>
    <w:tblPr>
      <w:tblStyleRowBandSize w:val="1"/>
      <w:tblStyleColBandSize w:val="1"/>
    </w:tblPr>
  </w:style>
  <w:style w:type="character" w:customStyle="1" w:styleId="Heading1Char">
    <w:name w:val="Heading 1 Char"/>
    <w:basedOn w:val="DefaultParagraphFont"/>
    <w:link w:val="Heading1"/>
    <w:uiPriority w:val="9"/>
    <w:rsid w:val="00FB131B"/>
    <w:rPr>
      <w:rFonts w:asciiTheme="majorHAnsi" w:eastAsiaTheme="majorEastAsia" w:hAnsiTheme="majorHAnsi" w:cstheme="majorBidi"/>
      <w:color w:val="365F91" w:themeColor="accent1" w:themeShade="BF"/>
      <w:sz w:val="36"/>
      <w:szCs w:val="36"/>
    </w:rPr>
  </w:style>
  <w:style w:type="character" w:customStyle="1" w:styleId="Heading2Char">
    <w:name w:val="Heading 2 Char"/>
    <w:basedOn w:val="DefaultParagraphFont"/>
    <w:link w:val="Heading2"/>
    <w:uiPriority w:val="9"/>
    <w:rsid w:val="00FB131B"/>
    <w:rPr>
      <w:rFonts w:asciiTheme="majorHAnsi" w:eastAsiaTheme="majorEastAsia" w:hAnsiTheme="majorHAnsi" w:cstheme="majorBidi"/>
      <w:color w:val="365F91" w:themeColor="accent1" w:themeShade="BF"/>
      <w:sz w:val="28"/>
      <w:szCs w:val="28"/>
    </w:rPr>
  </w:style>
  <w:style w:type="character" w:customStyle="1" w:styleId="Heading3Char">
    <w:name w:val="Heading 3 Char"/>
    <w:basedOn w:val="DefaultParagraphFont"/>
    <w:link w:val="Heading3"/>
    <w:uiPriority w:val="9"/>
    <w:rsid w:val="00FB131B"/>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FB131B"/>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FB131B"/>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FB131B"/>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FB131B"/>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FB131B"/>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FB131B"/>
    <w:rPr>
      <w:rFonts w:asciiTheme="majorHAnsi" w:eastAsiaTheme="majorEastAsia" w:hAnsiTheme="majorHAnsi" w:cstheme="majorBidi"/>
      <w:i/>
      <w:iCs/>
      <w:smallCaps/>
      <w:color w:val="595959" w:themeColor="text1" w:themeTint="A6"/>
    </w:rPr>
  </w:style>
  <w:style w:type="paragraph" w:styleId="Caption">
    <w:name w:val="caption"/>
    <w:basedOn w:val="Normal"/>
    <w:next w:val="Normal"/>
    <w:autoRedefine/>
    <w:uiPriority w:val="35"/>
    <w:unhideWhenUsed/>
    <w:qFormat/>
    <w:rsid w:val="002F17B6"/>
    <w:pPr>
      <w:spacing w:before="120" w:line="360" w:lineRule="auto"/>
      <w:jc w:val="center"/>
    </w:pPr>
    <w:rPr>
      <w:rFonts w:ascii="Times New Roman" w:hAnsi="Times New Roman"/>
      <w:bCs/>
      <w:color w:val="404040" w:themeColor="text1" w:themeTint="BF"/>
      <w:sz w:val="24"/>
      <w:szCs w:val="20"/>
    </w:rPr>
  </w:style>
  <w:style w:type="character" w:customStyle="1" w:styleId="TitleChar">
    <w:name w:val="Title Char"/>
    <w:basedOn w:val="DefaultParagraphFont"/>
    <w:link w:val="Title"/>
    <w:uiPriority w:val="10"/>
    <w:rsid w:val="00FB131B"/>
    <w:rPr>
      <w:rFonts w:asciiTheme="majorHAnsi" w:eastAsiaTheme="majorEastAsia" w:hAnsiTheme="majorHAnsi" w:cstheme="majorBidi"/>
      <w:color w:val="365F91" w:themeColor="accent1" w:themeShade="BF"/>
      <w:spacing w:val="-7"/>
      <w:sz w:val="80"/>
      <w:szCs w:val="80"/>
    </w:rPr>
  </w:style>
  <w:style w:type="character" w:customStyle="1" w:styleId="SubtitleChar">
    <w:name w:val="Subtitle Char"/>
    <w:basedOn w:val="DefaultParagraphFont"/>
    <w:link w:val="Subtitle"/>
    <w:uiPriority w:val="11"/>
    <w:rsid w:val="00FB131B"/>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FB131B"/>
    <w:rPr>
      <w:b/>
      <w:bCs/>
    </w:rPr>
  </w:style>
  <w:style w:type="character" w:styleId="Emphasis">
    <w:name w:val="Emphasis"/>
    <w:basedOn w:val="DefaultParagraphFont"/>
    <w:uiPriority w:val="20"/>
    <w:qFormat/>
    <w:rsid w:val="00FB131B"/>
    <w:rPr>
      <w:i/>
      <w:iCs/>
    </w:rPr>
  </w:style>
  <w:style w:type="paragraph" w:styleId="NoSpacing">
    <w:name w:val="No Spacing"/>
    <w:uiPriority w:val="1"/>
    <w:qFormat/>
    <w:rsid w:val="00FB131B"/>
    <w:pPr>
      <w:spacing w:after="0" w:line="240" w:lineRule="auto"/>
    </w:pPr>
  </w:style>
  <w:style w:type="paragraph" w:styleId="Quote">
    <w:name w:val="Quote"/>
    <w:basedOn w:val="Normal"/>
    <w:next w:val="Normal"/>
    <w:link w:val="QuoteChar"/>
    <w:uiPriority w:val="29"/>
    <w:qFormat/>
    <w:rsid w:val="00FB131B"/>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FB131B"/>
    <w:rPr>
      <w:i/>
      <w:iCs/>
    </w:rPr>
  </w:style>
  <w:style w:type="paragraph" w:styleId="IntenseQuote">
    <w:name w:val="Intense Quote"/>
    <w:basedOn w:val="Normal"/>
    <w:next w:val="Normal"/>
    <w:link w:val="IntenseQuoteChar"/>
    <w:uiPriority w:val="30"/>
    <w:qFormat/>
    <w:rsid w:val="00FB131B"/>
    <w:pPr>
      <w:spacing w:before="100" w:beforeAutospacing="1" w:after="240"/>
      <w:ind w:left="864" w:right="864"/>
      <w:jc w:val="center"/>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FB131B"/>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FB131B"/>
    <w:rPr>
      <w:i/>
      <w:iCs/>
      <w:color w:val="595959" w:themeColor="text1" w:themeTint="A6"/>
    </w:rPr>
  </w:style>
  <w:style w:type="character" w:styleId="IntenseEmphasis">
    <w:name w:val="Intense Emphasis"/>
    <w:basedOn w:val="DefaultParagraphFont"/>
    <w:uiPriority w:val="21"/>
    <w:qFormat/>
    <w:rsid w:val="00FB131B"/>
    <w:rPr>
      <w:b/>
      <w:bCs/>
      <w:i/>
      <w:iCs/>
    </w:rPr>
  </w:style>
  <w:style w:type="character" w:styleId="SubtleReference">
    <w:name w:val="Subtle Reference"/>
    <w:basedOn w:val="DefaultParagraphFont"/>
    <w:uiPriority w:val="31"/>
    <w:qFormat/>
    <w:rsid w:val="00FB131B"/>
    <w:rPr>
      <w:smallCaps/>
      <w:color w:val="404040" w:themeColor="text1" w:themeTint="BF"/>
    </w:rPr>
  </w:style>
  <w:style w:type="character" w:styleId="IntenseReference">
    <w:name w:val="Intense Reference"/>
    <w:basedOn w:val="DefaultParagraphFont"/>
    <w:uiPriority w:val="32"/>
    <w:qFormat/>
    <w:rsid w:val="00FB131B"/>
    <w:rPr>
      <w:b/>
      <w:bCs/>
      <w:smallCaps/>
      <w:u w:val="single"/>
    </w:rPr>
  </w:style>
  <w:style w:type="character" w:styleId="BookTitle">
    <w:name w:val="Book Title"/>
    <w:basedOn w:val="DefaultParagraphFont"/>
    <w:uiPriority w:val="33"/>
    <w:qFormat/>
    <w:rsid w:val="00FB131B"/>
    <w:rPr>
      <w:b/>
      <w:bCs/>
      <w:smallCaps/>
    </w:rPr>
  </w:style>
  <w:style w:type="paragraph" w:styleId="TOCHeading">
    <w:name w:val="TOC Heading"/>
    <w:basedOn w:val="Heading1"/>
    <w:next w:val="Normal"/>
    <w:uiPriority w:val="39"/>
    <w:unhideWhenUsed/>
    <w:qFormat/>
    <w:rsid w:val="00FB131B"/>
    <w:pPr>
      <w:outlineLvl w:val="9"/>
    </w:pPr>
  </w:style>
  <w:style w:type="paragraph" w:styleId="NormalWeb">
    <w:name w:val="Normal (Web)"/>
    <w:basedOn w:val="Normal"/>
    <w:uiPriority w:val="99"/>
    <w:unhideWhenUsed/>
    <w:rsid w:val="00947D29"/>
    <w:pPr>
      <w:spacing w:before="100" w:beforeAutospacing="1" w:after="100" w:afterAutospacing="1" w:line="240" w:lineRule="auto"/>
    </w:pPr>
    <w:rPr>
      <w:rFonts w:ascii="Times New Roman" w:eastAsia="Times New Roman" w:hAnsi="Times New Roman" w:cs="Times New Roman"/>
      <w:sz w:val="24"/>
      <w:szCs w:val="24"/>
      <w:lang w:val="en-GB"/>
    </w:rPr>
  </w:style>
  <w:style w:type="character" w:styleId="Hyperlink">
    <w:name w:val="Hyperlink"/>
    <w:basedOn w:val="DefaultParagraphFont"/>
    <w:uiPriority w:val="99"/>
    <w:unhideWhenUsed/>
    <w:rsid w:val="00947D29"/>
    <w:rPr>
      <w:color w:val="0000FF"/>
      <w:u w:val="single"/>
    </w:rPr>
  </w:style>
  <w:style w:type="paragraph" w:styleId="Header">
    <w:name w:val="header"/>
    <w:basedOn w:val="Normal"/>
    <w:link w:val="HeaderChar"/>
    <w:uiPriority w:val="99"/>
    <w:unhideWhenUsed/>
    <w:rsid w:val="00E41118"/>
    <w:pPr>
      <w:tabs>
        <w:tab w:val="center" w:pos="4680"/>
        <w:tab w:val="right" w:pos="9360"/>
      </w:tabs>
      <w:spacing w:after="0" w:line="240" w:lineRule="auto"/>
    </w:pPr>
  </w:style>
  <w:style w:type="paragraph" w:styleId="Index1">
    <w:name w:val="index 1"/>
    <w:basedOn w:val="Normal"/>
    <w:next w:val="Normal"/>
    <w:autoRedefine/>
    <w:uiPriority w:val="99"/>
    <w:semiHidden/>
    <w:unhideWhenUsed/>
    <w:rsid w:val="00280C94"/>
    <w:pPr>
      <w:spacing w:after="0" w:line="240" w:lineRule="auto"/>
      <w:ind w:left="210" w:hanging="210"/>
    </w:pPr>
  </w:style>
  <w:style w:type="character" w:customStyle="1" w:styleId="HeaderChar">
    <w:name w:val="Header Char"/>
    <w:basedOn w:val="DefaultParagraphFont"/>
    <w:link w:val="Header"/>
    <w:uiPriority w:val="99"/>
    <w:rsid w:val="00E41118"/>
  </w:style>
  <w:style w:type="paragraph" w:styleId="Footer">
    <w:name w:val="footer"/>
    <w:basedOn w:val="Normal"/>
    <w:link w:val="FooterChar"/>
    <w:uiPriority w:val="99"/>
    <w:unhideWhenUsed/>
    <w:rsid w:val="00E4111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118"/>
  </w:style>
  <w:style w:type="table" w:styleId="TableGridLight">
    <w:name w:val="Grid Table Light"/>
    <w:basedOn w:val="TableNormal"/>
    <w:uiPriority w:val="40"/>
    <w:rsid w:val="00AE0C0F"/>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UnresolvedMention">
    <w:name w:val="Unresolved Mention"/>
    <w:basedOn w:val="DefaultParagraphFont"/>
    <w:uiPriority w:val="99"/>
    <w:semiHidden/>
    <w:unhideWhenUsed/>
    <w:rsid w:val="00AE0C0F"/>
    <w:rPr>
      <w:color w:val="605E5C"/>
      <w:shd w:val="clear" w:color="auto" w:fill="E1DFDD"/>
    </w:rPr>
  </w:style>
  <w:style w:type="character" w:customStyle="1" w:styleId="fontstyle01">
    <w:name w:val="fontstyle01"/>
    <w:basedOn w:val="DefaultParagraphFont"/>
    <w:rsid w:val="003C1A8B"/>
    <w:rPr>
      <w:rFonts w:ascii="LiberationSans-Bold" w:hAnsi="LiberationSans-Bold" w:hint="default"/>
      <w:b/>
      <w:bCs/>
      <w:i w:val="0"/>
      <w:iCs w:val="0"/>
      <w:color w:val="000000"/>
      <w:sz w:val="22"/>
      <w:szCs w:val="22"/>
    </w:rPr>
  </w:style>
  <w:style w:type="paragraph" w:styleId="TOC2">
    <w:name w:val="toc 2"/>
    <w:basedOn w:val="Normal"/>
    <w:next w:val="Normal"/>
    <w:autoRedefine/>
    <w:uiPriority w:val="39"/>
    <w:unhideWhenUsed/>
    <w:rsid w:val="003C1A8B"/>
    <w:pPr>
      <w:spacing w:after="100"/>
      <w:ind w:left="210"/>
    </w:pPr>
  </w:style>
  <w:style w:type="paragraph" w:styleId="TOC1">
    <w:name w:val="toc 1"/>
    <w:basedOn w:val="Normal"/>
    <w:next w:val="Normal"/>
    <w:autoRedefine/>
    <w:uiPriority w:val="39"/>
    <w:unhideWhenUsed/>
    <w:rsid w:val="007D485B"/>
    <w:pPr>
      <w:spacing w:after="100"/>
      <w:jc w:val="both"/>
    </w:pPr>
    <w:rPr>
      <w:rFonts w:ascii="Times New Roman" w:hAnsi="Times New Roman"/>
      <w:sz w:val="24"/>
    </w:rPr>
  </w:style>
  <w:style w:type="paragraph" w:styleId="TOC3">
    <w:name w:val="toc 3"/>
    <w:basedOn w:val="Normal"/>
    <w:next w:val="Normal"/>
    <w:autoRedefine/>
    <w:uiPriority w:val="39"/>
    <w:unhideWhenUsed/>
    <w:rsid w:val="003C1A8B"/>
    <w:pPr>
      <w:spacing w:after="100"/>
      <w:ind w:left="420"/>
    </w:pPr>
  </w:style>
  <w:style w:type="paragraph" w:styleId="TableofFigures">
    <w:name w:val="table of figures"/>
    <w:basedOn w:val="Normal"/>
    <w:next w:val="Normal"/>
    <w:uiPriority w:val="99"/>
    <w:unhideWhenUsed/>
    <w:rsid w:val="007D485B"/>
    <w:pPr>
      <w:spacing w:after="0"/>
      <w:jc w:val="both"/>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981848">
      <w:bodyDiv w:val="1"/>
      <w:marLeft w:val="0"/>
      <w:marRight w:val="0"/>
      <w:marTop w:val="0"/>
      <w:marBottom w:val="0"/>
      <w:divBdr>
        <w:top w:val="none" w:sz="0" w:space="0" w:color="auto"/>
        <w:left w:val="none" w:sz="0" w:space="0" w:color="auto"/>
        <w:bottom w:val="none" w:sz="0" w:space="0" w:color="auto"/>
        <w:right w:val="none" w:sz="0" w:space="0" w:color="auto"/>
      </w:divBdr>
    </w:div>
    <w:div w:id="746994310">
      <w:bodyDiv w:val="1"/>
      <w:marLeft w:val="0"/>
      <w:marRight w:val="0"/>
      <w:marTop w:val="0"/>
      <w:marBottom w:val="0"/>
      <w:divBdr>
        <w:top w:val="none" w:sz="0" w:space="0" w:color="auto"/>
        <w:left w:val="none" w:sz="0" w:space="0" w:color="auto"/>
        <w:bottom w:val="none" w:sz="0" w:space="0" w:color="auto"/>
        <w:right w:val="none" w:sz="0" w:space="0" w:color="auto"/>
      </w:divBdr>
      <w:divsChild>
        <w:div w:id="985475313">
          <w:marLeft w:val="0"/>
          <w:marRight w:val="0"/>
          <w:marTop w:val="0"/>
          <w:marBottom w:val="0"/>
          <w:divBdr>
            <w:top w:val="none" w:sz="0" w:space="0" w:color="auto"/>
            <w:left w:val="none" w:sz="0" w:space="0" w:color="auto"/>
            <w:bottom w:val="none" w:sz="0" w:space="0" w:color="auto"/>
            <w:right w:val="none" w:sz="0" w:space="0" w:color="auto"/>
          </w:divBdr>
        </w:div>
      </w:divsChild>
    </w:div>
    <w:div w:id="804153911">
      <w:bodyDiv w:val="1"/>
      <w:marLeft w:val="0"/>
      <w:marRight w:val="0"/>
      <w:marTop w:val="0"/>
      <w:marBottom w:val="0"/>
      <w:divBdr>
        <w:top w:val="none" w:sz="0" w:space="0" w:color="auto"/>
        <w:left w:val="none" w:sz="0" w:space="0" w:color="auto"/>
        <w:bottom w:val="none" w:sz="0" w:space="0" w:color="auto"/>
        <w:right w:val="none" w:sz="0" w:space="0" w:color="auto"/>
      </w:divBdr>
      <w:divsChild>
        <w:div w:id="69935404">
          <w:marLeft w:val="0"/>
          <w:marRight w:val="0"/>
          <w:marTop w:val="0"/>
          <w:marBottom w:val="0"/>
          <w:divBdr>
            <w:top w:val="none" w:sz="0" w:space="0" w:color="auto"/>
            <w:left w:val="none" w:sz="0" w:space="0" w:color="auto"/>
            <w:bottom w:val="none" w:sz="0" w:space="0" w:color="auto"/>
            <w:right w:val="none" w:sz="0" w:space="0" w:color="auto"/>
          </w:divBdr>
        </w:div>
      </w:divsChild>
    </w:div>
    <w:div w:id="1102073946">
      <w:bodyDiv w:val="1"/>
      <w:marLeft w:val="0"/>
      <w:marRight w:val="0"/>
      <w:marTop w:val="0"/>
      <w:marBottom w:val="0"/>
      <w:divBdr>
        <w:top w:val="none" w:sz="0" w:space="0" w:color="auto"/>
        <w:left w:val="none" w:sz="0" w:space="0" w:color="auto"/>
        <w:bottom w:val="none" w:sz="0" w:space="0" w:color="auto"/>
        <w:right w:val="none" w:sz="0" w:space="0" w:color="auto"/>
      </w:divBdr>
    </w:div>
    <w:div w:id="1293361930">
      <w:bodyDiv w:val="1"/>
      <w:marLeft w:val="0"/>
      <w:marRight w:val="0"/>
      <w:marTop w:val="0"/>
      <w:marBottom w:val="0"/>
      <w:divBdr>
        <w:top w:val="none" w:sz="0" w:space="0" w:color="auto"/>
        <w:left w:val="none" w:sz="0" w:space="0" w:color="auto"/>
        <w:bottom w:val="none" w:sz="0" w:space="0" w:color="auto"/>
        <w:right w:val="none" w:sz="0" w:space="0" w:color="auto"/>
      </w:divBdr>
    </w:div>
    <w:div w:id="1647197783">
      <w:bodyDiv w:val="1"/>
      <w:marLeft w:val="0"/>
      <w:marRight w:val="0"/>
      <w:marTop w:val="0"/>
      <w:marBottom w:val="0"/>
      <w:divBdr>
        <w:top w:val="none" w:sz="0" w:space="0" w:color="auto"/>
        <w:left w:val="none" w:sz="0" w:space="0" w:color="auto"/>
        <w:bottom w:val="none" w:sz="0" w:space="0" w:color="auto"/>
        <w:right w:val="none" w:sz="0" w:space="0" w:color="auto"/>
      </w:divBdr>
      <w:divsChild>
        <w:div w:id="564224103">
          <w:marLeft w:val="0"/>
          <w:marRight w:val="0"/>
          <w:marTop w:val="0"/>
          <w:marBottom w:val="0"/>
          <w:divBdr>
            <w:top w:val="none" w:sz="0" w:space="0" w:color="auto"/>
            <w:left w:val="none" w:sz="0" w:space="0" w:color="auto"/>
            <w:bottom w:val="none" w:sz="0" w:space="0" w:color="auto"/>
            <w:right w:val="none" w:sz="0" w:space="0" w:color="auto"/>
          </w:divBdr>
        </w:div>
      </w:divsChild>
    </w:div>
    <w:div w:id="1878396613">
      <w:bodyDiv w:val="1"/>
      <w:marLeft w:val="0"/>
      <w:marRight w:val="0"/>
      <w:marTop w:val="0"/>
      <w:marBottom w:val="0"/>
      <w:divBdr>
        <w:top w:val="none" w:sz="0" w:space="0" w:color="auto"/>
        <w:left w:val="none" w:sz="0" w:space="0" w:color="auto"/>
        <w:bottom w:val="none" w:sz="0" w:space="0" w:color="auto"/>
        <w:right w:val="none" w:sz="0" w:space="0" w:color="auto"/>
      </w:divBdr>
      <w:divsChild>
        <w:div w:id="464928138">
          <w:marLeft w:val="0"/>
          <w:marRight w:val="0"/>
          <w:marTop w:val="0"/>
          <w:marBottom w:val="0"/>
          <w:divBdr>
            <w:top w:val="none" w:sz="0" w:space="0" w:color="auto"/>
            <w:left w:val="none" w:sz="0" w:space="0" w:color="auto"/>
            <w:bottom w:val="none" w:sz="0" w:space="0" w:color="auto"/>
            <w:right w:val="none" w:sz="0" w:space="0" w:color="auto"/>
          </w:divBdr>
        </w:div>
      </w:divsChild>
    </w:div>
    <w:div w:id="1934049136">
      <w:bodyDiv w:val="1"/>
      <w:marLeft w:val="0"/>
      <w:marRight w:val="0"/>
      <w:marTop w:val="0"/>
      <w:marBottom w:val="0"/>
      <w:divBdr>
        <w:top w:val="none" w:sz="0" w:space="0" w:color="auto"/>
        <w:left w:val="none" w:sz="0" w:space="0" w:color="auto"/>
        <w:bottom w:val="none" w:sz="0" w:space="0" w:color="auto"/>
        <w:right w:val="none" w:sz="0" w:space="0" w:color="auto"/>
      </w:divBdr>
    </w:div>
    <w:div w:id="2055039769">
      <w:bodyDiv w:val="1"/>
      <w:marLeft w:val="0"/>
      <w:marRight w:val="0"/>
      <w:marTop w:val="0"/>
      <w:marBottom w:val="0"/>
      <w:divBdr>
        <w:top w:val="none" w:sz="0" w:space="0" w:color="auto"/>
        <w:left w:val="none" w:sz="0" w:space="0" w:color="auto"/>
        <w:bottom w:val="none" w:sz="0" w:space="0" w:color="auto"/>
        <w:right w:val="none" w:sz="0" w:space="0" w:color="auto"/>
      </w:divBdr>
      <w:divsChild>
        <w:div w:id="262342142">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mckinsey.com/capabilities/mckinsey-digital/our-insights/an-operating-model-for-company-wide-agile-development" TargetMode="External"/><Relationship Id="rId21" Type="http://schemas.openxmlformats.org/officeDocument/2006/relationships/hyperlink" Target="https://doi.org/10.1108/IJOPM-11-2022-0714" TargetMode="External"/><Relationship Id="rId34" Type="http://schemas.openxmlformats.org/officeDocument/2006/relationships/hyperlink" Target="https://doi.org/10.1234/acr.2025.1746" TargetMode="External"/><Relationship Id="rId42" Type="http://schemas.openxmlformats.org/officeDocument/2006/relationships/hyperlink" Target="https://mitsloan.mit.edu/ideas-made-to-matter/scope-3-emissions-top-supply-chain-sustainability-challenges" TargetMode="External"/><Relationship Id="rId47" Type="http://schemas.openxmlformats.org/officeDocument/2006/relationships/hyperlink" Target="https://www.pwc.com/gx/en/news-room/press-releases/2024/pwc-2024-voice-of-consumer-survey.html" TargetMode="External"/><Relationship Id="rId50" Type="http://schemas.openxmlformats.org/officeDocument/2006/relationships/hyperlink" Target="https://doi.org/10.3390/su13116169" TargetMode="External"/><Relationship Id="rId55" Type="http://schemas.openxmlformats.org/officeDocument/2006/relationships/hyperlink" Target="https://doi.org/10.1108/SAMPJ-10-2023-0743" TargetMode="External"/><Relationship Id="rId63" Type="http://schemas.openxmlformats.org/officeDocument/2006/relationships/hyperlink" Target="https://doi.org/10.3390/su11041086" TargetMode="External"/><Relationship Id="rId68"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frontlinejournals.com/ijfrst/content/challenges-and-opportunities-implementing-circular-economy-models-fmcg-industries" TargetMode="External"/><Relationship Id="rId29" Type="http://schemas.openxmlformats.org/officeDocument/2006/relationships/hyperlink" Target="https://doi.org/10.12691/jbms-9-2-4" TargetMode="External"/><Relationship Id="rId11" Type="http://schemas.openxmlformats.org/officeDocument/2006/relationships/image" Target="media/image3.png"/><Relationship Id="rId24" Type="http://schemas.openxmlformats.org/officeDocument/2006/relationships/hyperlink" Target="https://doi.org/10.2139/ssrn.5064034" TargetMode="External"/><Relationship Id="rId32" Type="http://schemas.openxmlformats.org/officeDocument/2006/relationships/hyperlink" Target="https://doi.org/10.3390/su15021552" TargetMode="External"/><Relationship Id="rId37" Type="http://schemas.openxmlformats.org/officeDocument/2006/relationships/hyperlink" Target="https://doi.org/10.1016/j.jbusres.2021.08.069" TargetMode="External"/><Relationship Id="rId40" Type="http://schemas.openxmlformats.org/officeDocument/2006/relationships/hyperlink" Target="https://doi.org/10.22277/rgo.v13i1.5027" TargetMode="External"/><Relationship Id="rId45" Type="http://schemas.openxmlformats.org/officeDocument/2006/relationships/hyperlink" Target="https://doi.org/10.5465/annals.2016.0095" TargetMode="External"/><Relationship Id="rId53" Type="http://schemas.openxmlformats.org/officeDocument/2006/relationships/hyperlink" Target="https://doi.org/10.1002/joom.1303" TargetMode="External"/><Relationship Id="rId58" Type="http://schemas.openxmlformats.org/officeDocument/2006/relationships/hyperlink" Target="https://www.unilever.com/sustainability/climate/" TargetMode="External"/><Relationship Id="rId66" Type="http://schemas.openxmlformats.org/officeDocument/2006/relationships/header" Target="header2.xml"/><Relationship Id="rId5" Type="http://schemas.openxmlformats.org/officeDocument/2006/relationships/footnotes" Target="footnotes.xml"/><Relationship Id="rId61" Type="http://schemas.openxmlformats.org/officeDocument/2006/relationships/hyperlink" Target="https://www.unilever.com/suppliers/supplier-climate-programme/" TargetMode="External"/><Relationship Id="rId19" Type="http://schemas.openxmlformats.org/officeDocument/2006/relationships/hyperlink" Target="https://doi.org/10.7759/cureus.56709" TargetMode="External"/><Relationship Id="rId14" Type="http://schemas.openxmlformats.org/officeDocument/2006/relationships/image" Target="media/image6.png"/><Relationship Id="rId22" Type="http://schemas.openxmlformats.org/officeDocument/2006/relationships/hyperlink" Target="https://doi.org/10.1016/j.jacceco.2025.101564" TargetMode="External"/><Relationship Id="rId27" Type="http://schemas.openxmlformats.org/officeDocument/2006/relationships/hyperlink" Target="https://www.mckinsey.com/capabilities/people-and-organizational-performance/our-insights/the-journey-to-an-agile-organization" TargetMode="External"/><Relationship Id="rId30" Type="http://schemas.openxmlformats.org/officeDocument/2006/relationships/hyperlink" Target="https://doi.org/10.34293/sijash.v11iS3.7042" TargetMode="External"/><Relationship Id="rId35" Type="http://schemas.openxmlformats.org/officeDocument/2006/relationships/hyperlink" Target="https://acr-journal.com/article/the-interplay-between-brand-equity-customer-experience-and-long-term-market-sustainability-1746/" TargetMode="External"/><Relationship Id="rId43" Type="http://schemas.openxmlformats.org/officeDocument/2006/relationships/hyperlink" Target="https://doi.org/10.1002/jcpy.1015" TargetMode="External"/><Relationship Id="rId48" Type="http://schemas.openxmlformats.org/officeDocument/2006/relationships/hyperlink" Target="https://doi.org/10.3390/su17062453" TargetMode="External"/><Relationship Id="rId56" Type="http://schemas.openxmlformats.org/officeDocument/2006/relationships/hyperlink" Target="https://www.unilever.com/news/news-search/2021/nourishing-the-future-innovations-to-grow-the-plant-based-market/" TargetMode="External"/><Relationship Id="rId64" Type="http://schemas.openxmlformats.org/officeDocument/2006/relationships/hyperlink" Target="https://doi.org/10.1177/21582440221119835" TargetMode="External"/><Relationship Id="rId8" Type="http://schemas.openxmlformats.org/officeDocument/2006/relationships/image" Target="cid:image001.png@01D0EA4A.2BD679A0" TargetMode="External"/><Relationship Id="rId51" Type="http://schemas.openxmlformats.org/officeDocument/2006/relationships/hyperlink" Target="https://www.nveo.org/index.php/journal/article/view/733" TargetMode="External"/><Relationship Id="rId3"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hyperlink" Target="https://www.linkedin.com/pulse/rise-d2c-direct-to-consumer-fmcg-atharva-bahadur-x0gsc" TargetMode="External"/><Relationship Id="rId25" Type="http://schemas.openxmlformats.org/officeDocument/2006/relationships/hyperlink" Target="https://theearthlingco.com/blogs/news/why-do-sustainable-products-usually-cost-more" TargetMode="External"/><Relationship Id="rId33" Type="http://schemas.openxmlformats.org/officeDocument/2006/relationships/hyperlink" Target="https://www.imf.org/-/media/Files/Publications/WEO/2025/April/English/ch2.ashx" TargetMode="External"/><Relationship Id="rId38" Type="http://schemas.openxmlformats.org/officeDocument/2006/relationships/hyperlink" Target="https://doi.org/10.9734/jemt/2025/v31i5898" TargetMode="External"/><Relationship Id="rId46" Type="http://schemas.openxmlformats.org/officeDocument/2006/relationships/hyperlink" Target="https://eprajournals.com/IJSR/article/15691" TargetMode="External"/><Relationship Id="rId59" Type="http://schemas.openxmlformats.org/officeDocument/2006/relationships/hyperlink" Target="https://www.unilever.com/sustainability/nature/sustainable-palm-oil/" TargetMode="External"/><Relationship Id="rId67" Type="http://schemas.openxmlformats.org/officeDocument/2006/relationships/fontTable" Target="fontTable.xml"/><Relationship Id="rId20" Type="http://schemas.openxmlformats.org/officeDocument/2006/relationships/hyperlink" Target="https://doi.org/10.1002/bse.3486" TargetMode="External"/><Relationship Id="rId41" Type="http://schemas.openxmlformats.org/officeDocument/2006/relationships/hyperlink" Target="https://doi.org/10.1111/padr.12469" TargetMode="External"/><Relationship Id="rId54" Type="http://schemas.openxmlformats.org/officeDocument/2006/relationships/hyperlink" Target="https://doi.org/10.1038/s44168-023-00032-x" TargetMode="External"/><Relationship Id="rId62" Type="http://schemas.openxmlformats.org/officeDocument/2006/relationships/hyperlink" Target="https://doi.org/10.1177/21582440251378964"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afropolitanjournals.com/index.php/ajmbr/article/view/960" TargetMode="External"/><Relationship Id="rId23" Type="http://schemas.openxmlformats.org/officeDocument/2006/relationships/hyperlink" Target="https://doi.org/10.1080/1051712X.2023.2188134" TargetMode="External"/><Relationship Id="rId28" Type="http://schemas.openxmlformats.org/officeDocument/2006/relationships/hyperlink" Target="https://www.kantar.com/inspiration/brands/the-power-of-purpose-in-brand-building" TargetMode="External"/><Relationship Id="rId36" Type="http://schemas.openxmlformats.org/officeDocument/2006/relationships/hyperlink" Target="https://www.ssoar.info/ssoar/bitstream/handle/document/73702/ssoar-2021-klimczuk-The_Silver_Economy_as_a.pdf" TargetMode="External"/><Relationship Id="rId49" Type="http://schemas.openxmlformats.org/officeDocument/2006/relationships/hyperlink" Target="https://doi.org/10.1080/23311975.2021.1951816" TargetMode="External"/><Relationship Id="rId57" Type="http://schemas.openxmlformats.org/officeDocument/2006/relationships/hyperlink" Target="https://www.unilever.com/investors/annual-report-and-accounts/" TargetMode="External"/><Relationship Id="rId10" Type="http://schemas.openxmlformats.org/officeDocument/2006/relationships/image" Target="media/image2.png"/><Relationship Id="rId31" Type="http://schemas.openxmlformats.org/officeDocument/2006/relationships/hyperlink" Target="https://doi.org/10.1146/annurev-economics-021622-020416" TargetMode="External"/><Relationship Id="rId44" Type="http://schemas.openxmlformats.org/officeDocument/2006/relationships/hyperlink" Target="https://doi.org/10.1080/0965254X.2022.2059775" TargetMode="External"/><Relationship Id="rId52" Type="http://schemas.openxmlformats.org/officeDocument/2006/relationships/hyperlink" Target="https://doi.org/10.1177/0022242920920262" TargetMode="External"/><Relationship Id="rId60" Type="http://schemas.openxmlformats.org/officeDocument/2006/relationships/hyperlink" Target="https://www.unilever.com/sustainability/climate/our-climate-transition-action-plan/" TargetMode="External"/><Relationship Id="rId65" Type="http://schemas.openxmlformats.org/officeDocument/2006/relationships/hyperlink" Target="https://ujssh.com/index.php/ujssh/article/view/147" TargetMode="External"/><Relationship Id="rId4" Type="http://schemas.openxmlformats.org/officeDocument/2006/relationships/webSettings" Target="webSettings.xml"/><Relationship Id="rId9" Type="http://schemas.openxmlformats.org/officeDocument/2006/relationships/header" Target="header1.xml"/><Relationship Id="rId13" Type="http://schemas.openxmlformats.org/officeDocument/2006/relationships/image" Target="media/image5.png"/><Relationship Id="rId18" Type="http://schemas.openxmlformats.org/officeDocument/2006/relationships/hyperlink" Target="https://doi.org/10.3389/fpsyg.2022.823746" TargetMode="External"/><Relationship Id="rId39" Type="http://schemas.openxmlformats.org/officeDocument/2006/relationships/hyperlink" Target="https://www.strategyzer.com/library/how-unilever-aligns-its-portfolio-actions-with-its-long-term-vision-for-the-future"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F68BB54-E442-4D57-B17C-82A5F18F8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7201</Words>
  <Characters>41052</Characters>
  <Application>Microsoft Office Word</Application>
  <DocSecurity>0</DocSecurity>
  <Lines>342</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2026-01-03T18:22:00Z</dcterms:created>
  <dcterms:modified xsi:type="dcterms:W3CDTF">2026-01-05T19:51:00Z</dcterms:modified>
</cp:coreProperties>
</file>