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3DC" w:rsidRDefault="009673DC" w:rsidP="009673DC">
      <w:r w:rsidRPr="00F0191E">
        <w:rPr>
          <w:noProof/>
          <w:lang w:val="en-US"/>
        </w:rPr>
        <w:drawing>
          <wp:inline distT="0" distB="0" distL="0" distR="0">
            <wp:extent cx="3714750" cy="1231900"/>
            <wp:effectExtent l="0" t="0" r="0" b="6350"/>
            <wp:docPr id="2"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14750" cy="1231900"/>
                    </a:xfrm>
                    <a:prstGeom prst="rect">
                      <a:avLst/>
                    </a:prstGeom>
                    <a:noFill/>
                    <a:ln>
                      <a:noFill/>
                    </a:ln>
                  </pic:spPr>
                </pic:pic>
              </a:graphicData>
            </a:graphic>
          </wp:inline>
        </w:drawing>
      </w:r>
    </w:p>
    <w:p w:rsidR="009673DC" w:rsidRDefault="009673DC" w:rsidP="009673DC"/>
    <w:p w:rsidR="009673DC" w:rsidRPr="00427418" w:rsidRDefault="009673DC" w:rsidP="009673DC">
      <w:pPr>
        <w:rPr>
          <w:lang w:val="bg-BG"/>
        </w:rPr>
      </w:pPr>
    </w:p>
    <w:p w:rsidR="009673DC" w:rsidRDefault="009673DC" w:rsidP="009673DC"/>
    <w:p w:rsidR="009673DC" w:rsidRPr="00784181" w:rsidRDefault="009673DC" w:rsidP="009673DC">
      <w:pPr>
        <w:spacing w:line="360" w:lineRule="auto"/>
        <w:jc w:val="center"/>
        <w:rPr>
          <w:rFonts w:ascii="Arial" w:hAnsi="Arial" w:cs="Arial"/>
          <w:b/>
          <w:bCs/>
        </w:rPr>
      </w:pPr>
      <w:r w:rsidRPr="00784181">
        <w:rPr>
          <w:rFonts w:ascii="Arial" w:hAnsi="Arial" w:cs="Arial"/>
          <w:b/>
          <w:bCs/>
        </w:rPr>
        <w:t>BA BUSINESS MANAGEMENT</w:t>
      </w:r>
    </w:p>
    <w:p w:rsidR="009673DC" w:rsidRPr="00784181" w:rsidRDefault="009673DC" w:rsidP="009673DC">
      <w:pPr>
        <w:spacing w:line="360" w:lineRule="auto"/>
        <w:jc w:val="center"/>
        <w:rPr>
          <w:rFonts w:ascii="Arial" w:hAnsi="Arial" w:cs="Arial"/>
          <w:b/>
          <w:bCs/>
        </w:rPr>
      </w:pPr>
      <w:r>
        <w:rPr>
          <w:rFonts w:ascii="Arial" w:hAnsi="Arial" w:cs="Arial"/>
          <w:b/>
          <w:bCs/>
        </w:rPr>
        <w:t>Assignment 2</w:t>
      </w:r>
    </w:p>
    <w:p w:rsidR="009673DC" w:rsidRPr="00784181" w:rsidRDefault="009673DC" w:rsidP="009673DC"/>
    <w:p w:rsidR="009673DC" w:rsidRPr="00784181" w:rsidRDefault="009673DC" w:rsidP="009673DC"/>
    <w:p w:rsidR="009673DC" w:rsidRPr="00784181" w:rsidRDefault="009673DC" w:rsidP="009673DC"/>
    <w:p w:rsidR="009673DC" w:rsidRPr="00784181" w:rsidRDefault="009673DC" w:rsidP="009673DC"/>
    <w:p w:rsidR="009673DC" w:rsidRPr="00784181" w:rsidRDefault="009673DC" w:rsidP="009673DC">
      <w:pPr>
        <w:spacing w:line="360" w:lineRule="auto"/>
        <w:jc w:val="both"/>
        <w:rPr>
          <w:rFonts w:ascii="Arial" w:hAnsi="Arial" w:cs="Arial"/>
        </w:rPr>
      </w:pPr>
      <w:r w:rsidRPr="00784181">
        <w:rPr>
          <w:rFonts w:ascii="Arial" w:hAnsi="Arial" w:cs="Arial"/>
          <w:b/>
          <w:bCs/>
        </w:rPr>
        <w:t>Module</w:t>
      </w:r>
      <w:r w:rsidRPr="00784181">
        <w:rPr>
          <w:rFonts w:ascii="Arial" w:hAnsi="Arial" w:cs="Arial"/>
        </w:rPr>
        <w:t xml:space="preserve">: </w:t>
      </w:r>
      <w:r>
        <w:rPr>
          <w:rFonts w:ascii="Arial" w:hAnsi="Arial" w:cs="Arial"/>
        </w:rPr>
        <w:t>Community Engagement</w:t>
      </w:r>
    </w:p>
    <w:p w:rsidR="009673DC" w:rsidRPr="00784181" w:rsidRDefault="009673DC" w:rsidP="009673DC">
      <w:pPr>
        <w:spacing w:line="360" w:lineRule="auto"/>
        <w:jc w:val="both"/>
        <w:rPr>
          <w:rFonts w:ascii="Arial" w:hAnsi="Arial" w:cs="Arial"/>
        </w:rPr>
      </w:pPr>
      <w:r w:rsidRPr="00784181">
        <w:rPr>
          <w:rFonts w:ascii="Arial" w:hAnsi="Arial" w:cs="Arial"/>
          <w:b/>
          <w:bCs/>
        </w:rPr>
        <w:t>Code</w:t>
      </w:r>
      <w:r>
        <w:rPr>
          <w:rFonts w:ascii="Arial" w:hAnsi="Arial" w:cs="Arial"/>
        </w:rPr>
        <w:t>: LCBB4002</w:t>
      </w:r>
    </w:p>
    <w:p w:rsidR="009673DC" w:rsidRPr="00784181" w:rsidRDefault="009673DC" w:rsidP="009673DC">
      <w:pPr>
        <w:spacing w:line="360" w:lineRule="auto"/>
        <w:jc w:val="both"/>
        <w:rPr>
          <w:rFonts w:ascii="Arial" w:hAnsi="Arial" w:cs="Arial"/>
        </w:rPr>
      </w:pPr>
      <w:r w:rsidRPr="00784181">
        <w:rPr>
          <w:rFonts w:ascii="Arial" w:hAnsi="Arial" w:cs="Arial"/>
          <w:b/>
          <w:bCs/>
        </w:rPr>
        <w:t>Lecturer</w:t>
      </w:r>
      <w:r w:rsidRPr="00784181">
        <w:rPr>
          <w:rFonts w:ascii="Arial" w:hAnsi="Arial" w:cs="Arial"/>
        </w:rPr>
        <w:t xml:space="preserve">: Dr. </w:t>
      </w:r>
      <w:r>
        <w:rPr>
          <w:rFonts w:ascii="Arial" w:hAnsi="Arial" w:cs="Arial"/>
        </w:rPr>
        <w:t>Molly Jack</w:t>
      </w:r>
    </w:p>
    <w:p w:rsidR="009673DC" w:rsidRPr="00941F26" w:rsidRDefault="009673DC" w:rsidP="009673DC">
      <w:pPr>
        <w:tabs>
          <w:tab w:val="left" w:pos="1224"/>
        </w:tabs>
        <w:spacing w:line="360" w:lineRule="auto"/>
        <w:jc w:val="both"/>
        <w:rPr>
          <w:rFonts w:ascii="Arial" w:hAnsi="Arial" w:cs="Arial"/>
          <w:b/>
          <w:bCs/>
          <w:lang w:val="nl-NL"/>
        </w:rPr>
      </w:pPr>
      <w:r w:rsidRPr="00941F26">
        <w:rPr>
          <w:rFonts w:ascii="Arial" w:hAnsi="Arial" w:cs="Arial"/>
          <w:b/>
          <w:bCs/>
          <w:lang w:val="nl-NL"/>
        </w:rPr>
        <w:t xml:space="preserve">Name: </w:t>
      </w:r>
      <w:r w:rsidRPr="00941F26">
        <w:rPr>
          <w:rFonts w:ascii="Arial" w:hAnsi="Arial" w:cs="Arial"/>
          <w:lang w:val="nl-NL"/>
        </w:rPr>
        <w:t>Borislav</w:t>
      </w:r>
      <w:r>
        <w:rPr>
          <w:rFonts w:ascii="Arial" w:hAnsi="Arial" w:cs="Arial"/>
          <w:lang w:val="nl-NL"/>
        </w:rPr>
        <w:t xml:space="preserve"> </w:t>
      </w:r>
      <w:r w:rsidRPr="00941F26">
        <w:rPr>
          <w:rFonts w:ascii="Arial" w:hAnsi="Arial" w:cs="Arial"/>
          <w:lang w:val="nl-NL"/>
        </w:rPr>
        <w:t>Nenkov</w:t>
      </w:r>
    </w:p>
    <w:p w:rsidR="009673DC" w:rsidRPr="00941F26" w:rsidRDefault="009673DC" w:rsidP="009673DC">
      <w:pPr>
        <w:spacing w:line="360" w:lineRule="auto"/>
        <w:jc w:val="both"/>
        <w:rPr>
          <w:rFonts w:ascii="Arial" w:hAnsi="Arial" w:cs="Arial"/>
          <w:b/>
          <w:bCs/>
          <w:lang w:val="nl-NL"/>
        </w:rPr>
      </w:pPr>
      <w:r w:rsidRPr="00941F26">
        <w:rPr>
          <w:rFonts w:ascii="Arial" w:hAnsi="Arial" w:cs="Arial"/>
          <w:b/>
          <w:bCs/>
          <w:lang w:val="nl-NL"/>
        </w:rPr>
        <w:t xml:space="preserve">Student </w:t>
      </w:r>
      <w:r w:rsidRPr="00941F26">
        <w:rPr>
          <w:rFonts w:ascii="Arial" w:hAnsi="Arial" w:cs="Arial"/>
          <w:lang w:val="nl-NL"/>
        </w:rPr>
        <w:t>ID:2242940</w:t>
      </w:r>
    </w:p>
    <w:p w:rsidR="009673DC" w:rsidRPr="00941F26" w:rsidRDefault="009673DC" w:rsidP="009673DC">
      <w:pPr>
        <w:spacing w:line="360" w:lineRule="auto"/>
        <w:jc w:val="center"/>
        <w:rPr>
          <w:rFonts w:ascii="Arial" w:hAnsi="Arial" w:cs="Arial"/>
          <w:b/>
          <w:bCs/>
          <w:lang w:val="nl-NL"/>
        </w:rPr>
      </w:pPr>
    </w:p>
    <w:p w:rsidR="009673DC" w:rsidRPr="00941F26" w:rsidRDefault="009673DC" w:rsidP="009673DC">
      <w:pPr>
        <w:spacing w:line="360" w:lineRule="auto"/>
        <w:jc w:val="center"/>
        <w:rPr>
          <w:rFonts w:ascii="Arial" w:hAnsi="Arial" w:cs="Arial"/>
          <w:b/>
          <w:bCs/>
          <w:lang w:val="nl-NL"/>
        </w:rPr>
      </w:pPr>
    </w:p>
    <w:p w:rsidR="009673DC" w:rsidRPr="00941F26" w:rsidRDefault="009673DC" w:rsidP="009673DC">
      <w:pPr>
        <w:spacing w:line="360" w:lineRule="auto"/>
        <w:rPr>
          <w:rFonts w:ascii="Arial" w:hAnsi="Arial" w:cs="Arial"/>
          <w:b/>
          <w:bCs/>
          <w:lang w:val="nl-NL"/>
        </w:rPr>
      </w:pPr>
    </w:p>
    <w:p w:rsidR="009673DC" w:rsidRPr="00941F26" w:rsidRDefault="009673DC" w:rsidP="009673DC">
      <w:pPr>
        <w:spacing w:line="360" w:lineRule="auto"/>
        <w:rPr>
          <w:rFonts w:ascii="Arial" w:hAnsi="Arial" w:cs="Arial"/>
          <w:b/>
          <w:bCs/>
          <w:lang w:val="nl-NL"/>
        </w:rPr>
      </w:pPr>
    </w:p>
    <w:p w:rsidR="009673DC" w:rsidRPr="00784181" w:rsidRDefault="009673DC" w:rsidP="009673DC">
      <w:pPr>
        <w:spacing w:line="360" w:lineRule="auto"/>
        <w:jc w:val="center"/>
        <w:rPr>
          <w:rFonts w:ascii="Arial" w:hAnsi="Arial" w:cs="Arial"/>
          <w:b/>
          <w:bCs/>
        </w:rPr>
      </w:pPr>
      <w:r w:rsidRPr="001D7325">
        <w:rPr>
          <w:rFonts w:ascii="Arial" w:hAnsi="Arial" w:cs="Arial"/>
          <w:b/>
          <w:bCs/>
        </w:rPr>
        <w:t xml:space="preserve">SUBMITTED ON THE </w:t>
      </w:r>
      <w:r>
        <w:rPr>
          <w:rFonts w:ascii="Arial" w:hAnsi="Arial" w:cs="Arial"/>
          <w:b/>
          <w:bCs/>
        </w:rPr>
        <w:t>17</w:t>
      </w:r>
      <w:r>
        <w:rPr>
          <w:rFonts w:ascii="Arial" w:hAnsi="Arial" w:cs="Arial"/>
          <w:b/>
          <w:bCs/>
          <w:vertAlign w:val="superscript"/>
        </w:rPr>
        <w:t>th</w:t>
      </w:r>
      <w:r>
        <w:rPr>
          <w:rFonts w:ascii="Arial" w:hAnsi="Arial" w:cs="Arial"/>
          <w:b/>
          <w:bCs/>
        </w:rPr>
        <w:t xml:space="preserve"> December </w:t>
      </w:r>
      <w:r w:rsidRPr="001D7325">
        <w:rPr>
          <w:rFonts w:ascii="Arial" w:hAnsi="Arial" w:cs="Arial"/>
          <w:b/>
          <w:bCs/>
        </w:rPr>
        <w:t>2023</w:t>
      </w:r>
    </w:p>
    <w:sdt>
      <w:sdtPr>
        <w:id w:val="-1856800788"/>
        <w:docPartObj>
          <w:docPartGallery w:val="Table of Contents"/>
          <w:docPartUnique/>
        </w:docPartObj>
      </w:sdtPr>
      <w:sdtEndPr>
        <w:rPr>
          <w:b/>
          <w:bCs/>
        </w:rPr>
      </w:sdtEndPr>
      <w:sdtContent>
        <w:p w:rsidR="00C47564" w:rsidRDefault="00224F69" w:rsidP="00224F69">
          <w:pPr>
            <w:pStyle w:val="NoSpacing"/>
            <w:rPr>
              <w:rFonts w:ascii="Arial" w:hAnsi="Arial" w:cs="Arial"/>
              <w:b/>
              <w:sz w:val="32"/>
              <w:szCs w:val="32"/>
            </w:rPr>
          </w:pPr>
          <w:r w:rsidRPr="00224F69">
            <w:rPr>
              <w:rFonts w:ascii="Arial" w:hAnsi="Arial" w:cs="Arial"/>
              <w:b/>
              <w:sz w:val="32"/>
              <w:szCs w:val="32"/>
            </w:rPr>
            <w:t>Table of Contents</w:t>
          </w:r>
        </w:p>
        <w:p w:rsidR="00224F69" w:rsidRPr="006810E4" w:rsidRDefault="00224F69" w:rsidP="00224F69">
          <w:pPr>
            <w:pStyle w:val="NoSpacing"/>
            <w:rPr>
              <w:rFonts w:ascii="Arial" w:hAnsi="Arial" w:cs="Arial"/>
            </w:rPr>
          </w:pPr>
        </w:p>
        <w:p w:rsidR="00C47564" w:rsidRDefault="005F4BE8">
          <w:pPr>
            <w:pStyle w:val="TOC1"/>
            <w:tabs>
              <w:tab w:val="right" w:leader="dot" w:pos="9350"/>
            </w:tabs>
            <w:rPr>
              <w:noProof/>
            </w:rPr>
          </w:pPr>
          <w:r w:rsidRPr="005F4BE8">
            <w:fldChar w:fldCharType="begin"/>
          </w:r>
          <w:r w:rsidR="00C47564">
            <w:instrText xml:space="preserve"> TOC \o "1-3" \h \z \u </w:instrText>
          </w:r>
          <w:r w:rsidRPr="005F4BE8">
            <w:fldChar w:fldCharType="separate"/>
          </w:r>
          <w:hyperlink w:anchor="_Toc152448354" w:history="1">
            <w:r w:rsidR="00C47564" w:rsidRPr="00C927A4">
              <w:rPr>
                <w:rStyle w:val="Hyperlink"/>
                <w:rFonts w:ascii="Arial" w:hAnsi="Arial" w:cs="Arial"/>
                <w:noProof/>
              </w:rPr>
              <w:t>Introduction</w:t>
            </w:r>
            <w:r w:rsidR="00C47564">
              <w:rPr>
                <w:noProof/>
                <w:webHidden/>
              </w:rPr>
              <w:tab/>
            </w:r>
            <w:r>
              <w:rPr>
                <w:noProof/>
                <w:webHidden/>
              </w:rPr>
              <w:fldChar w:fldCharType="begin"/>
            </w:r>
            <w:r w:rsidR="00C47564">
              <w:rPr>
                <w:noProof/>
                <w:webHidden/>
              </w:rPr>
              <w:instrText xml:space="preserve"> PAGEREF _Toc152448354 \h </w:instrText>
            </w:r>
            <w:r>
              <w:rPr>
                <w:noProof/>
                <w:webHidden/>
              </w:rPr>
            </w:r>
            <w:r>
              <w:rPr>
                <w:noProof/>
                <w:webHidden/>
              </w:rPr>
              <w:fldChar w:fldCharType="separate"/>
            </w:r>
            <w:r w:rsidR="00C47564">
              <w:rPr>
                <w:noProof/>
                <w:webHidden/>
              </w:rPr>
              <w:t>3</w:t>
            </w:r>
            <w:r>
              <w:rPr>
                <w:noProof/>
                <w:webHidden/>
              </w:rPr>
              <w:fldChar w:fldCharType="end"/>
            </w:r>
          </w:hyperlink>
        </w:p>
        <w:p w:rsidR="00C47564" w:rsidRDefault="005F4BE8">
          <w:pPr>
            <w:pStyle w:val="TOC1"/>
            <w:tabs>
              <w:tab w:val="right" w:leader="dot" w:pos="9350"/>
            </w:tabs>
            <w:rPr>
              <w:noProof/>
            </w:rPr>
          </w:pPr>
          <w:hyperlink w:anchor="_Toc152448355" w:history="1">
            <w:r w:rsidR="00C47564" w:rsidRPr="00C927A4">
              <w:rPr>
                <w:rStyle w:val="Hyperlink"/>
                <w:rFonts w:ascii="Arial" w:hAnsi="Arial" w:cs="Arial"/>
                <w:noProof/>
              </w:rPr>
              <w:t>Project Description and Justification</w:t>
            </w:r>
            <w:r w:rsidR="00C47564">
              <w:rPr>
                <w:noProof/>
                <w:webHidden/>
              </w:rPr>
              <w:tab/>
            </w:r>
            <w:r>
              <w:rPr>
                <w:noProof/>
                <w:webHidden/>
              </w:rPr>
              <w:fldChar w:fldCharType="begin"/>
            </w:r>
            <w:r w:rsidR="00C47564">
              <w:rPr>
                <w:noProof/>
                <w:webHidden/>
              </w:rPr>
              <w:instrText xml:space="preserve"> PAGEREF _Toc152448355 \h </w:instrText>
            </w:r>
            <w:r>
              <w:rPr>
                <w:noProof/>
                <w:webHidden/>
              </w:rPr>
            </w:r>
            <w:r>
              <w:rPr>
                <w:noProof/>
                <w:webHidden/>
              </w:rPr>
              <w:fldChar w:fldCharType="separate"/>
            </w:r>
            <w:r w:rsidR="00C47564">
              <w:rPr>
                <w:noProof/>
                <w:webHidden/>
              </w:rPr>
              <w:t>3</w:t>
            </w:r>
            <w:r>
              <w:rPr>
                <w:noProof/>
                <w:webHidden/>
              </w:rPr>
              <w:fldChar w:fldCharType="end"/>
            </w:r>
          </w:hyperlink>
        </w:p>
        <w:p w:rsidR="00C47564" w:rsidRDefault="005F4BE8">
          <w:pPr>
            <w:pStyle w:val="TOC1"/>
            <w:tabs>
              <w:tab w:val="right" w:leader="dot" w:pos="9350"/>
            </w:tabs>
            <w:rPr>
              <w:noProof/>
            </w:rPr>
          </w:pPr>
          <w:hyperlink w:anchor="_Toc152448356" w:history="1">
            <w:r w:rsidR="00C47564" w:rsidRPr="00C927A4">
              <w:rPr>
                <w:rStyle w:val="Hyperlink"/>
                <w:rFonts w:ascii="Arial" w:hAnsi="Arial" w:cs="Arial"/>
                <w:noProof/>
              </w:rPr>
              <w:t>Analysis of Adopted Community Engagement Approaches</w:t>
            </w:r>
            <w:r w:rsidR="00C47564">
              <w:rPr>
                <w:noProof/>
                <w:webHidden/>
              </w:rPr>
              <w:tab/>
            </w:r>
            <w:r>
              <w:rPr>
                <w:noProof/>
                <w:webHidden/>
              </w:rPr>
              <w:fldChar w:fldCharType="begin"/>
            </w:r>
            <w:r w:rsidR="00C47564">
              <w:rPr>
                <w:noProof/>
                <w:webHidden/>
              </w:rPr>
              <w:instrText xml:space="preserve"> PAGEREF _Toc152448356 \h </w:instrText>
            </w:r>
            <w:r>
              <w:rPr>
                <w:noProof/>
                <w:webHidden/>
              </w:rPr>
            </w:r>
            <w:r>
              <w:rPr>
                <w:noProof/>
                <w:webHidden/>
              </w:rPr>
              <w:fldChar w:fldCharType="separate"/>
            </w:r>
            <w:r w:rsidR="00C47564">
              <w:rPr>
                <w:noProof/>
                <w:webHidden/>
              </w:rPr>
              <w:t>4</w:t>
            </w:r>
            <w:r>
              <w:rPr>
                <w:noProof/>
                <w:webHidden/>
              </w:rPr>
              <w:fldChar w:fldCharType="end"/>
            </w:r>
          </w:hyperlink>
        </w:p>
        <w:p w:rsidR="00C47564" w:rsidRDefault="005F4BE8">
          <w:pPr>
            <w:pStyle w:val="TOC1"/>
            <w:tabs>
              <w:tab w:val="right" w:leader="dot" w:pos="9350"/>
            </w:tabs>
            <w:rPr>
              <w:noProof/>
            </w:rPr>
          </w:pPr>
          <w:hyperlink w:anchor="_Toc152448357" w:history="1">
            <w:r w:rsidR="00C47564" w:rsidRPr="00C927A4">
              <w:rPr>
                <w:rStyle w:val="Hyperlink"/>
                <w:rFonts w:ascii="Arial" w:hAnsi="Arial" w:cs="Arial"/>
                <w:noProof/>
              </w:rPr>
              <w:t>Reflection on Alternatives and Impact</w:t>
            </w:r>
            <w:r w:rsidR="00C47564">
              <w:rPr>
                <w:noProof/>
                <w:webHidden/>
              </w:rPr>
              <w:tab/>
            </w:r>
            <w:r>
              <w:rPr>
                <w:noProof/>
                <w:webHidden/>
              </w:rPr>
              <w:fldChar w:fldCharType="begin"/>
            </w:r>
            <w:r w:rsidR="00C47564">
              <w:rPr>
                <w:noProof/>
                <w:webHidden/>
              </w:rPr>
              <w:instrText xml:space="preserve"> PAGEREF _Toc152448357 \h </w:instrText>
            </w:r>
            <w:r>
              <w:rPr>
                <w:noProof/>
                <w:webHidden/>
              </w:rPr>
            </w:r>
            <w:r>
              <w:rPr>
                <w:noProof/>
                <w:webHidden/>
              </w:rPr>
              <w:fldChar w:fldCharType="separate"/>
            </w:r>
            <w:r w:rsidR="00C47564">
              <w:rPr>
                <w:noProof/>
                <w:webHidden/>
              </w:rPr>
              <w:t>7</w:t>
            </w:r>
            <w:r>
              <w:rPr>
                <w:noProof/>
                <w:webHidden/>
              </w:rPr>
              <w:fldChar w:fldCharType="end"/>
            </w:r>
          </w:hyperlink>
        </w:p>
        <w:p w:rsidR="00C47564" w:rsidRDefault="005F4BE8">
          <w:pPr>
            <w:pStyle w:val="TOC1"/>
            <w:tabs>
              <w:tab w:val="right" w:leader="dot" w:pos="9350"/>
            </w:tabs>
            <w:rPr>
              <w:noProof/>
            </w:rPr>
          </w:pPr>
          <w:hyperlink w:anchor="_Toc152448358" w:history="1">
            <w:r w:rsidR="00C47564" w:rsidRPr="00C927A4">
              <w:rPr>
                <w:rStyle w:val="Hyperlink"/>
                <w:rFonts w:ascii="Arial" w:hAnsi="Arial" w:cs="Arial"/>
                <w:noProof/>
              </w:rPr>
              <w:t>Conclusion</w:t>
            </w:r>
            <w:r w:rsidR="00C47564">
              <w:rPr>
                <w:noProof/>
                <w:webHidden/>
              </w:rPr>
              <w:tab/>
            </w:r>
            <w:r>
              <w:rPr>
                <w:noProof/>
                <w:webHidden/>
              </w:rPr>
              <w:fldChar w:fldCharType="begin"/>
            </w:r>
            <w:r w:rsidR="00C47564">
              <w:rPr>
                <w:noProof/>
                <w:webHidden/>
              </w:rPr>
              <w:instrText xml:space="preserve"> PAGEREF _Toc152448358 \h </w:instrText>
            </w:r>
            <w:r>
              <w:rPr>
                <w:noProof/>
                <w:webHidden/>
              </w:rPr>
            </w:r>
            <w:r>
              <w:rPr>
                <w:noProof/>
                <w:webHidden/>
              </w:rPr>
              <w:fldChar w:fldCharType="separate"/>
            </w:r>
            <w:r w:rsidR="00C47564">
              <w:rPr>
                <w:noProof/>
                <w:webHidden/>
              </w:rPr>
              <w:t>10</w:t>
            </w:r>
            <w:r>
              <w:rPr>
                <w:noProof/>
                <w:webHidden/>
              </w:rPr>
              <w:fldChar w:fldCharType="end"/>
            </w:r>
          </w:hyperlink>
        </w:p>
        <w:p w:rsidR="00C47564" w:rsidRDefault="005F4BE8">
          <w:pPr>
            <w:pStyle w:val="TOC1"/>
            <w:tabs>
              <w:tab w:val="right" w:leader="dot" w:pos="9350"/>
            </w:tabs>
            <w:rPr>
              <w:noProof/>
            </w:rPr>
          </w:pPr>
          <w:hyperlink w:anchor="_Toc152448359" w:history="1">
            <w:r w:rsidR="00C47564" w:rsidRPr="00C927A4">
              <w:rPr>
                <w:rStyle w:val="Hyperlink"/>
                <w:rFonts w:ascii="Arial" w:hAnsi="Arial" w:cs="Arial"/>
                <w:noProof/>
              </w:rPr>
              <w:t>Reference</w:t>
            </w:r>
            <w:r w:rsidR="00C47564">
              <w:rPr>
                <w:noProof/>
                <w:webHidden/>
              </w:rPr>
              <w:tab/>
            </w:r>
            <w:r>
              <w:rPr>
                <w:noProof/>
                <w:webHidden/>
              </w:rPr>
              <w:fldChar w:fldCharType="begin"/>
            </w:r>
            <w:r w:rsidR="00C47564">
              <w:rPr>
                <w:noProof/>
                <w:webHidden/>
              </w:rPr>
              <w:instrText xml:space="preserve"> PAGEREF _Toc152448359 \h </w:instrText>
            </w:r>
            <w:r>
              <w:rPr>
                <w:noProof/>
                <w:webHidden/>
              </w:rPr>
            </w:r>
            <w:r>
              <w:rPr>
                <w:noProof/>
                <w:webHidden/>
              </w:rPr>
              <w:fldChar w:fldCharType="separate"/>
            </w:r>
            <w:r w:rsidR="00C47564">
              <w:rPr>
                <w:noProof/>
                <w:webHidden/>
              </w:rPr>
              <w:t>11</w:t>
            </w:r>
            <w:r>
              <w:rPr>
                <w:noProof/>
                <w:webHidden/>
              </w:rPr>
              <w:fldChar w:fldCharType="end"/>
            </w:r>
          </w:hyperlink>
        </w:p>
        <w:p w:rsidR="00C47564" w:rsidRDefault="005F4BE8">
          <w:r>
            <w:rPr>
              <w:b/>
              <w:bCs/>
            </w:rPr>
            <w:fldChar w:fldCharType="end"/>
          </w:r>
        </w:p>
      </w:sdtContent>
    </w:sdt>
    <w:p w:rsidR="00EE5CA2" w:rsidRPr="00224F69" w:rsidRDefault="00C47564" w:rsidP="009673DC">
      <w:pPr>
        <w:rPr>
          <w:rFonts w:ascii="Arial" w:eastAsiaTheme="majorEastAsia" w:hAnsi="Arial" w:cs="Arial"/>
          <w:color w:val="365F91" w:themeColor="accent1" w:themeShade="BF"/>
          <w:sz w:val="32"/>
          <w:szCs w:val="32"/>
          <w:lang w:eastAsia="en-GB"/>
        </w:rPr>
      </w:pPr>
      <w:r>
        <w:rPr>
          <w:rFonts w:ascii="Arial" w:hAnsi="Arial" w:cs="Arial"/>
        </w:rPr>
        <w:br w:type="page"/>
      </w:r>
      <w:bookmarkStart w:id="0" w:name="_Toc152448354"/>
      <w:r w:rsidR="00EE5CA2" w:rsidRPr="009673DC">
        <w:rPr>
          <w:rFonts w:ascii="Arial" w:hAnsi="Arial" w:cs="Arial"/>
          <w:b/>
          <w:sz w:val="32"/>
          <w:szCs w:val="32"/>
        </w:rPr>
        <w:lastRenderedPageBreak/>
        <w:t>Introduction</w:t>
      </w:r>
      <w:bookmarkEnd w:id="0"/>
    </w:p>
    <w:p w:rsidR="0095526A" w:rsidRPr="00C47564" w:rsidRDefault="0095526A" w:rsidP="00C47564">
      <w:pPr>
        <w:spacing w:line="360" w:lineRule="auto"/>
        <w:jc w:val="both"/>
        <w:rPr>
          <w:rFonts w:ascii="Arial" w:hAnsi="Arial" w:cs="Arial"/>
        </w:rPr>
      </w:pPr>
      <w:r w:rsidRPr="00C47564">
        <w:rPr>
          <w:rFonts w:ascii="Arial" w:hAnsi="Arial" w:cs="Arial"/>
        </w:rPr>
        <w:t xml:space="preserve">This reflective </w:t>
      </w:r>
      <w:r w:rsidR="00376B11" w:rsidRPr="00C47564">
        <w:rPr>
          <w:rFonts w:ascii="Arial" w:hAnsi="Arial" w:cs="Arial"/>
        </w:rPr>
        <w:t>evaluation</w:t>
      </w:r>
      <w:r w:rsidR="00376B11">
        <w:rPr>
          <w:rFonts w:ascii="Arial" w:hAnsi="Arial" w:cs="Arial"/>
        </w:rPr>
        <w:t xml:space="preserve"> will</w:t>
      </w:r>
      <w:r w:rsidR="006810E4">
        <w:rPr>
          <w:rFonts w:ascii="Arial" w:hAnsi="Arial" w:cs="Arial"/>
        </w:rPr>
        <w:t xml:space="preserve"> </w:t>
      </w:r>
      <w:r w:rsidR="00376B11" w:rsidRPr="00C47564">
        <w:rPr>
          <w:rFonts w:ascii="Arial" w:hAnsi="Arial" w:cs="Arial"/>
        </w:rPr>
        <w:t>explore</w:t>
      </w:r>
      <w:r w:rsidRPr="00C47564">
        <w:rPr>
          <w:rFonts w:ascii="Arial" w:hAnsi="Arial" w:cs="Arial"/>
        </w:rPr>
        <w:t xml:space="preserve"> the complexities of the Thames River Cleanup Initiative, by unravelling its journey in community engagement and environmental restoration. This report will navigate the choices made, evaluating the efficacy of adopted </w:t>
      </w:r>
      <w:r w:rsidR="00376B11" w:rsidRPr="00C47564">
        <w:rPr>
          <w:rFonts w:ascii="Arial" w:hAnsi="Arial" w:cs="Arial"/>
        </w:rPr>
        <w:t>strategies,</w:t>
      </w:r>
      <w:r w:rsidRPr="00C47564">
        <w:rPr>
          <w:rFonts w:ascii="Arial" w:hAnsi="Arial" w:cs="Arial"/>
        </w:rPr>
        <w:t xml:space="preserve"> and examining alternative paths. From active consultation methods to stakeholder participation, diversity and inclusion principles, and multi-agency collaborations, each factor will be analyzed. The report will also </w:t>
      </w:r>
      <w:r w:rsidR="00E74262" w:rsidRPr="00C47564">
        <w:rPr>
          <w:rFonts w:ascii="Arial" w:hAnsi="Arial" w:cs="Arial"/>
        </w:rPr>
        <w:t>examine</w:t>
      </w:r>
      <w:r w:rsidRPr="00C47564">
        <w:rPr>
          <w:rFonts w:ascii="Arial" w:hAnsi="Arial" w:cs="Arial"/>
        </w:rPr>
        <w:t xml:space="preserve"> the intersection of research methodologies, community mapping, and the </w:t>
      </w:r>
      <w:r w:rsidR="00E74262" w:rsidRPr="00C47564">
        <w:rPr>
          <w:rFonts w:ascii="Arial" w:hAnsi="Arial" w:cs="Arial"/>
        </w:rPr>
        <w:t>changing</w:t>
      </w:r>
      <w:r w:rsidRPr="00C47564">
        <w:rPr>
          <w:rFonts w:ascii="Arial" w:hAnsi="Arial" w:cs="Arial"/>
        </w:rPr>
        <w:t xml:space="preserve"> role of social media. </w:t>
      </w:r>
    </w:p>
    <w:p w:rsidR="00EE5CA2" w:rsidRPr="009673DC" w:rsidRDefault="00EE5CA2" w:rsidP="009673DC">
      <w:pPr>
        <w:rPr>
          <w:rFonts w:ascii="Arial" w:hAnsi="Arial" w:cs="Arial"/>
          <w:b/>
          <w:sz w:val="32"/>
          <w:szCs w:val="32"/>
        </w:rPr>
      </w:pPr>
      <w:bookmarkStart w:id="1" w:name="_Toc152448355"/>
      <w:r w:rsidRPr="009673DC">
        <w:rPr>
          <w:rFonts w:ascii="Arial" w:hAnsi="Arial" w:cs="Arial"/>
          <w:b/>
          <w:sz w:val="32"/>
          <w:szCs w:val="32"/>
        </w:rPr>
        <w:t>Project Description and Justification</w:t>
      </w:r>
      <w:bookmarkEnd w:id="1"/>
    </w:p>
    <w:p w:rsidR="00EE5CA2" w:rsidRPr="00C47564" w:rsidRDefault="00EE5CA2" w:rsidP="00C47564">
      <w:pPr>
        <w:spacing w:line="360" w:lineRule="auto"/>
        <w:jc w:val="both"/>
        <w:rPr>
          <w:rFonts w:ascii="Arial" w:hAnsi="Arial" w:cs="Arial"/>
        </w:rPr>
      </w:pPr>
      <w:r w:rsidRPr="00C47564">
        <w:rPr>
          <w:rFonts w:ascii="Arial" w:hAnsi="Arial" w:cs="Arial"/>
        </w:rPr>
        <w:t>The Thames River Cleanup Initiative directed to restore the health of the Thames River and promote a more engaged and environmentally conscious community</w:t>
      </w:r>
      <w:r w:rsidR="006810E4">
        <w:rPr>
          <w:rFonts w:ascii="Arial" w:hAnsi="Arial" w:cs="Arial"/>
        </w:rPr>
        <w:t xml:space="preserve"> </w:t>
      </w:r>
      <w:r w:rsidR="00E74262" w:rsidRPr="00C47564">
        <w:rPr>
          <w:rFonts w:ascii="Arial" w:hAnsi="Arial" w:cs="Arial"/>
          <w:color w:val="000000"/>
          <w:shd w:val="clear" w:color="auto" w:fill="FFFFFF"/>
        </w:rPr>
        <w:t>(Thamesrivercleanup.ca, 2023)</w:t>
      </w:r>
      <w:r w:rsidRPr="00C47564">
        <w:rPr>
          <w:rFonts w:ascii="Arial" w:hAnsi="Arial" w:cs="Arial"/>
        </w:rPr>
        <w:t>. The primary objectives of the initiative were rooted in environmental restoration, community empowerment, as well as the establishment of sustainable practices.</w:t>
      </w:r>
    </w:p>
    <w:p w:rsidR="00EE5CA2" w:rsidRPr="00C47564" w:rsidRDefault="00EE5CA2" w:rsidP="00C47564">
      <w:pPr>
        <w:spacing w:line="360" w:lineRule="auto"/>
        <w:jc w:val="both"/>
        <w:rPr>
          <w:rFonts w:ascii="Arial" w:hAnsi="Arial" w:cs="Arial"/>
          <w:b/>
          <w:bCs/>
        </w:rPr>
      </w:pPr>
      <w:r w:rsidRPr="00C47564">
        <w:rPr>
          <w:rFonts w:ascii="Arial" w:hAnsi="Arial" w:cs="Arial"/>
          <w:b/>
          <w:bCs/>
        </w:rPr>
        <w:t>Aims and Objectives:</w:t>
      </w:r>
    </w:p>
    <w:p w:rsidR="00EE5CA2" w:rsidRPr="00C47564" w:rsidRDefault="00EE5CA2" w:rsidP="00C47564">
      <w:pPr>
        <w:spacing w:line="360" w:lineRule="auto"/>
        <w:jc w:val="both"/>
        <w:rPr>
          <w:rFonts w:ascii="Arial" w:hAnsi="Arial" w:cs="Arial"/>
        </w:rPr>
      </w:pPr>
      <w:r w:rsidRPr="00C47564">
        <w:rPr>
          <w:rFonts w:ascii="Arial" w:hAnsi="Arial" w:cs="Arial"/>
        </w:rPr>
        <w:t xml:space="preserve">The </w:t>
      </w:r>
      <w:r w:rsidR="001B3329" w:rsidRPr="00C47564">
        <w:rPr>
          <w:rFonts w:ascii="Arial" w:hAnsi="Arial" w:cs="Arial"/>
        </w:rPr>
        <w:t>main</w:t>
      </w:r>
      <w:r w:rsidRPr="00C47564">
        <w:rPr>
          <w:rFonts w:ascii="Arial" w:hAnsi="Arial" w:cs="Arial"/>
        </w:rPr>
        <w:t xml:space="preserve"> aim was the comprehensive cleanup and restoration of the Thames River ecosystem. This involve</w:t>
      </w:r>
      <w:r w:rsidR="001B3329" w:rsidRPr="00C47564">
        <w:rPr>
          <w:rFonts w:ascii="Arial" w:hAnsi="Arial" w:cs="Arial"/>
        </w:rPr>
        <w:t>d reducing</w:t>
      </w:r>
      <w:r w:rsidRPr="00C47564">
        <w:rPr>
          <w:rFonts w:ascii="Arial" w:hAnsi="Arial" w:cs="Arial"/>
        </w:rPr>
        <w:t xml:space="preserve"> pollution, preserving biodiversity, and </w:t>
      </w:r>
      <w:r w:rsidR="001B3329" w:rsidRPr="00C47564">
        <w:rPr>
          <w:rFonts w:ascii="Arial" w:hAnsi="Arial" w:cs="Arial"/>
        </w:rPr>
        <w:t>increasing</w:t>
      </w:r>
      <w:r w:rsidRPr="00C47564">
        <w:rPr>
          <w:rFonts w:ascii="Arial" w:hAnsi="Arial" w:cs="Arial"/>
        </w:rPr>
        <w:t xml:space="preserve"> water quality</w:t>
      </w:r>
      <w:r w:rsidR="00E74262" w:rsidRPr="00C47564">
        <w:rPr>
          <w:rFonts w:ascii="Arial" w:hAnsi="Arial" w:cs="Arial"/>
          <w:color w:val="000000"/>
          <w:shd w:val="clear" w:color="auto" w:fill="FFFFFF"/>
        </w:rPr>
        <w:t xml:space="preserve"> (Thames21, 2017)</w:t>
      </w:r>
      <w:r w:rsidRPr="00C47564">
        <w:rPr>
          <w:rFonts w:ascii="Arial" w:hAnsi="Arial" w:cs="Arial"/>
        </w:rPr>
        <w:t>. Objectives included organizing community-wide cleanup events, implementing environmentally friendly practices, and collaborating with local stakeholders to create lasting positive impacts.</w:t>
      </w:r>
    </w:p>
    <w:p w:rsidR="00EE5CA2" w:rsidRPr="00C47564" w:rsidRDefault="00EE5CA2" w:rsidP="00C47564">
      <w:pPr>
        <w:spacing w:line="360" w:lineRule="auto"/>
        <w:jc w:val="both"/>
        <w:rPr>
          <w:rFonts w:ascii="Arial" w:hAnsi="Arial" w:cs="Arial"/>
          <w:b/>
          <w:bCs/>
        </w:rPr>
      </w:pPr>
      <w:r w:rsidRPr="00C47564">
        <w:rPr>
          <w:rFonts w:ascii="Arial" w:hAnsi="Arial" w:cs="Arial"/>
          <w:b/>
          <w:bCs/>
        </w:rPr>
        <w:t>Significance in Addressing Environmental Concerns:</w:t>
      </w:r>
    </w:p>
    <w:p w:rsidR="00EE5CA2" w:rsidRPr="00C47564" w:rsidRDefault="00EE5CA2" w:rsidP="00C47564">
      <w:pPr>
        <w:spacing w:line="360" w:lineRule="auto"/>
        <w:jc w:val="both"/>
        <w:rPr>
          <w:rFonts w:ascii="Arial" w:hAnsi="Arial" w:cs="Arial"/>
        </w:rPr>
      </w:pPr>
      <w:r w:rsidRPr="00C47564">
        <w:rPr>
          <w:rFonts w:ascii="Arial" w:hAnsi="Arial" w:cs="Arial"/>
        </w:rPr>
        <w:t xml:space="preserve">The Thames Riverfaced environmental challenges such as pollution and habitat degradation. The initiative's focus on these issues was </w:t>
      </w:r>
      <w:r w:rsidR="001B3329" w:rsidRPr="00C47564">
        <w:rPr>
          <w:rFonts w:ascii="Arial" w:hAnsi="Arial" w:cs="Arial"/>
        </w:rPr>
        <w:t>vital</w:t>
      </w:r>
      <w:r w:rsidR="006810E4">
        <w:rPr>
          <w:rFonts w:ascii="Arial" w:hAnsi="Arial" w:cs="Arial"/>
        </w:rPr>
        <w:t xml:space="preserve"> </w:t>
      </w:r>
      <w:r w:rsidR="00E74262" w:rsidRPr="00C47564">
        <w:rPr>
          <w:rFonts w:ascii="Arial" w:hAnsi="Arial" w:cs="Arial"/>
          <w:color w:val="000000"/>
          <w:shd w:val="clear" w:color="auto" w:fill="FFFFFF"/>
        </w:rPr>
        <w:t>(Thamesrivercleanup.ca, 2023)</w:t>
      </w:r>
      <w:r w:rsidRPr="00C47564">
        <w:rPr>
          <w:rFonts w:ascii="Arial" w:hAnsi="Arial" w:cs="Arial"/>
        </w:rPr>
        <w:t>. By actively addressing and</w:t>
      </w:r>
      <w:r w:rsidR="001B3329" w:rsidRPr="00C47564">
        <w:rPr>
          <w:rFonts w:ascii="Arial" w:hAnsi="Arial" w:cs="Arial"/>
        </w:rPr>
        <w:t xml:space="preserve"> reducing</w:t>
      </w:r>
      <w:r w:rsidRPr="00C47564">
        <w:rPr>
          <w:rFonts w:ascii="Arial" w:hAnsi="Arial" w:cs="Arial"/>
        </w:rPr>
        <w:t xml:space="preserve"> pollution sources, the project </w:t>
      </w:r>
      <w:r w:rsidR="001B3329" w:rsidRPr="00C47564">
        <w:rPr>
          <w:rFonts w:ascii="Arial" w:hAnsi="Arial" w:cs="Arial"/>
        </w:rPr>
        <w:t>tries</w:t>
      </w:r>
      <w:r w:rsidRPr="00C47564">
        <w:rPr>
          <w:rFonts w:ascii="Arial" w:hAnsi="Arial" w:cs="Arial"/>
        </w:rPr>
        <w:t xml:space="preserve"> to </w:t>
      </w:r>
      <w:r w:rsidR="001B3329" w:rsidRPr="00C47564">
        <w:rPr>
          <w:rFonts w:ascii="Arial" w:hAnsi="Arial" w:cs="Arial"/>
        </w:rPr>
        <w:t>increase</w:t>
      </w:r>
      <w:r w:rsidRPr="00C47564">
        <w:rPr>
          <w:rFonts w:ascii="Arial" w:hAnsi="Arial" w:cs="Arial"/>
        </w:rPr>
        <w:t xml:space="preserve"> the river's ecological balance, promoting the recovery of aquatic </w:t>
      </w:r>
      <w:r w:rsidR="001B3329" w:rsidRPr="00C47564">
        <w:rPr>
          <w:rFonts w:ascii="Arial" w:hAnsi="Arial" w:cs="Arial"/>
        </w:rPr>
        <w:t>life, as well as</w:t>
      </w:r>
      <w:r w:rsidRPr="00C47564">
        <w:rPr>
          <w:rFonts w:ascii="Arial" w:hAnsi="Arial" w:cs="Arial"/>
        </w:rPr>
        <w:t xml:space="preserve"> creating a healthier habitat.</w:t>
      </w:r>
    </w:p>
    <w:p w:rsidR="00EE5CA2" w:rsidRPr="00C47564" w:rsidRDefault="00EE5CA2" w:rsidP="00C47564">
      <w:pPr>
        <w:spacing w:line="360" w:lineRule="auto"/>
        <w:jc w:val="both"/>
        <w:rPr>
          <w:rFonts w:ascii="Arial" w:hAnsi="Arial" w:cs="Arial"/>
        </w:rPr>
      </w:pPr>
      <w:r w:rsidRPr="00C47564">
        <w:rPr>
          <w:rFonts w:ascii="Arial" w:hAnsi="Arial" w:cs="Arial"/>
        </w:rPr>
        <w:lastRenderedPageBreak/>
        <w:t xml:space="preserve">The </w:t>
      </w:r>
      <w:r w:rsidR="001B3329" w:rsidRPr="00C47564">
        <w:rPr>
          <w:rFonts w:ascii="Arial" w:hAnsi="Arial" w:cs="Arial"/>
        </w:rPr>
        <w:t>importance</w:t>
      </w:r>
      <w:r w:rsidRPr="00C47564">
        <w:rPr>
          <w:rFonts w:ascii="Arial" w:hAnsi="Arial" w:cs="Arial"/>
        </w:rPr>
        <w:t xml:space="preserve"> of the project extended beyond immediate environmental concerns. It </w:t>
      </w:r>
      <w:r w:rsidR="001B3329" w:rsidRPr="00C47564">
        <w:rPr>
          <w:rFonts w:ascii="Arial" w:hAnsi="Arial" w:cs="Arial"/>
        </w:rPr>
        <w:t>wanted</w:t>
      </w:r>
      <w:r w:rsidRPr="00C47564">
        <w:rPr>
          <w:rFonts w:ascii="Arial" w:hAnsi="Arial" w:cs="Arial"/>
        </w:rPr>
        <w:t xml:space="preserve"> to establish a long-term commitment to sustainable practices, responsible waste disposal, reducing carbon footprints, and </w:t>
      </w:r>
      <w:r w:rsidR="001B3329" w:rsidRPr="00C47564">
        <w:rPr>
          <w:rFonts w:ascii="Arial" w:hAnsi="Arial" w:cs="Arial"/>
        </w:rPr>
        <w:t>raising</w:t>
      </w:r>
      <w:r w:rsidRPr="00C47564">
        <w:rPr>
          <w:rFonts w:ascii="Arial" w:hAnsi="Arial" w:cs="Arial"/>
        </w:rPr>
        <w:t xml:space="preserve"> an eco-conscious community</w:t>
      </w:r>
      <w:r w:rsidR="00E74262" w:rsidRPr="00C47564">
        <w:rPr>
          <w:rFonts w:ascii="Arial" w:hAnsi="Arial" w:cs="Arial"/>
          <w:color w:val="000000"/>
          <w:shd w:val="clear" w:color="auto" w:fill="FFFFFF"/>
        </w:rPr>
        <w:t xml:space="preserve"> (Thames21, 2017)</w:t>
      </w:r>
      <w:r w:rsidRPr="00C47564">
        <w:rPr>
          <w:rFonts w:ascii="Arial" w:hAnsi="Arial" w:cs="Arial"/>
        </w:rPr>
        <w:t xml:space="preserve">. The project aimed to serve as a </w:t>
      </w:r>
      <w:r w:rsidR="001B3329" w:rsidRPr="00C47564">
        <w:rPr>
          <w:rFonts w:ascii="Arial" w:hAnsi="Arial" w:cs="Arial"/>
        </w:rPr>
        <w:t>method</w:t>
      </w:r>
      <w:r w:rsidRPr="00C47564">
        <w:rPr>
          <w:rFonts w:ascii="Arial" w:hAnsi="Arial" w:cs="Arial"/>
        </w:rPr>
        <w:t xml:space="preserve"> for broader environmental awareness,</w:t>
      </w:r>
      <w:r w:rsidR="001B3329" w:rsidRPr="00C47564">
        <w:rPr>
          <w:rFonts w:ascii="Arial" w:hAnsi="Arial" w:cs="Arial"/>
        </w:rPr>
        <w:t xml:space="preserve"> which</w:t>
      </w:r>
      <w:r w:rsidRPr="00C47564">
        <w:rPr>
          <w:rFonts w:ascii="Arial" w:hAnsi="Arial" w:cs="Arial"/>
        </w:rPr>
        <w:t xml:space="preserve"> encouraging a collective responsibility for the well-being of the river and its surroundings.</w:t>
      </w:r>
    </w:p>
    <w:p w:rsidR="00EE5CA2" w:rsidRPr="00C47564" w:rsidRDefault="00EE5CA2" w:rsidP="00C47564">
      <w:pPr>
        <w:spacing w:line="360" w:lineRule="auto"/>
        <w:jc w:val="both"/>
        <w:rPr>
          <w:rFonts w:ascii="Arial" w:hAnsi="Arial" w:cs="Arial"/>
          <w:b/>
          <w:bCs/>
        </w:rPr>
      </w:pPr>
      <w:r w:rsidRPr="00C47564">
        <w:rPr>
          <w:rFonts w:ascii="Arial" w:hAnsi="Arial" w:cs="Arial"/>
          <w:b/>
          <w:bCs/>
        </w:rPr>
        <w:t>Fostering Community Engagement:</w:t>
      </w:r>
    </w:p>
    <w:p w:rsidR="00EE5CA2" w:rsidRPr="00C47564" w:rsidRDefault="00EE5CA2" w:rsidP="00C47564">
      <w:pPr>
        <w:spacing w:line="360" w:lineRule="auto"/>
        <w:jc w:val="both"/>
        <w:rPr>
          <w:rFonts w:ascii="Arial" w:hAnsi="Arial" w:cs="Arial"/>
        </w:rPr>
      </w:pPr>
      <w:r w:rsidRPr="00C47564">
        <w:rPr>
          <w:rFonts w:ascii="Arial" w:hAnsi="Arial" w:cs="Arial"/>
        </w:rPr>
        <w:t xml:space="preserve">The initiative recognized that environmental restoration is </w:t>
      </w:r>
      <w:r w:rsidR="001B3329" w:rsidRPr="00C47564">
        <w:rPr>
          <w:rFonts w:ascii="Arial" w:hAnsi="Arial" w:cs="Arial"/>
        </w:rPr>
        <w:t>fundamentally</w:t>
      </w:r>
      <w:r w:rsidRPr="00C47564">
        <w:rPr>
          <w:rFonts w:ascii="Arial" w:hAnsi="Arial" w:cs="Arial"/>
        </w:rPr>
        <w:t xml:space="preserve"> linked to community involvement. Beyond the physical cleanup, the project aimed to engage residents actively in the decision-making processes affecting their local environment</w:t>
      </w:r>
      <w:r w:rsidR="00E74262" w:rsidRPr="00C47564">
        <w:rPr>
          <w:rFonts w:ascii="Arial" w:hAnsi="Arial" w:cs="Arial"/>
          <w:color w:val="000000"/>
          <w:shd w:val="clear" w:color="auto" w:fill="FFFFFF"/>
        </w:rPr>
        <w:t>(Thamesrivercleanup.ca, 2023)</w:t>
      </w:r>
      <w:r w:rsidRPr="00C47564">
        <w:rPr>
          <w:rFonts w:ascii="Arial" w:hAnsi="Arial" w:cs="Arial"/>
        </w:rPr>
        <w:t>. By organizing town hall meetings, workshops, and online surveys, the initiative ensured that community members had a voice in shaping the project's direction.</w:t>
      </w:r>
    </w:p>
    <w:p w:rsidR="00EE5CA2" w:rsidRPr="00C47564" w:rsidRDefault="001B3329" w:rsidP="00C47564">
      <w:pPr>
        <w:spacing w:line="360" w:lineRule="auto"/>
        <w:jc w:val="both"/>
        <w:rPr>
          <w:rFonts w:ascii="Arial" w:hAnsi="Arial" w:cs="Arial"/>
        </w:rPr>
      </w:pPr>
      <w:r w:rsidRPr="00C47564">
        <w:rPr>
          <w:rFonts w:ascii="Arial" w:hAnsi="Arial" w:cs="Arial"/>
        </w:rPr>
        <w:t>Moreover</w:t>
      </w:r>
      <w:r w:rsidR="00EE5CA2" w:rsidRPr="00C47564">
        <w:rPr>
          <w:rFonts w:ascii="Arial" w:hAnsi="Arial" w:cs="Arial"/>
        </w:rPr>
        <w:t>, the project strategically</w:t>
      </w:r>
      <w:r w:rsidRPr="00C47564">
        <w:rPr>
          <w:rFonts w:ascii="Arial" w:hAnsi="Arial" w:cs="Arial"/>
        </w:rPr>
        <w:t xml:space="preserve"> used</w:t>
      </w:r>
      <w:r w:rsidR="00EE5CA2" w:rsidRPr="00C47564">
        <w:rPr>
          <w:rFonts w:ascii="Arial" w:hAnsi="Arial" w:cs="Arial"/>
        </w:rPr>
        <w:t xml:space="preserve"> social media platforms to create a digital space for community engagement</w:t>
      </w:r>
      <w:r w:rsidRPr="00C47564">
        <w:rPr>
          <w:rFonts w:ascii="Arial" w:hAnsi="Arial" w:cs="Arial"/>
        </w:rPr>
        <w:t xml:space="preserve"> and t</w:t>
      </w:r>
      <w:r w:rsidR="00EE5CA2" w:rsidRPr="00C47564">
        <w:rPr>
          <w:rFonts w:ascii="Arial" w:hAnsi="Arial" w:cs="Arial"/>
        </w:rPr>
        <w:t xml:space="preserve">his not only </w:t>
      </w:r>
      <w:r w:rsidRPr="00C47564">
        <w:rPr>
          <w:rFonts w:ascii="Arial" w:hAnsi="Arial" w:cs="Arial"/>
        </w:rPr>
        <w:t>helped</w:t>
      </w:r>
      <w:r w:rsidR="00EE5CA2" w:rsidRPr="00C47564">
        <w:rPr>
          <w:rFonts w:ascii="Arial" w:hAnsi="Arial" w:cs="Arial"/>
        </w:rPr>
        <w:t xml:space="preserve"> information </w:t>
      </w:r>
      <w:r w:rsidRPr="00C47564">
        <w:rPr>
          <w:rFonts w:ascii="Arial" w:hAnsi="Arial" w:cs="Arial"/>
        </w:rPr>
        <w:t>spreading</w:t>
      </w:r>
      <w:r w:rsidR="00EE5CA2" w:rsidRPr="00C47564">
        <w:rPr>
          <w:rFonts w:ascii="Arial" w:hAnsi="Arial" w:cs="Arial"/>
        </w:rPr>
        <w:t xml:space="preserve"> but also encouraged active participation,</w:t>
      </w:r>
      <w:r w:rsidRPr="00C47564">
        <w:rPr>
          <w:rFonts w:ascii="Arial" w:hAnsi="Arial" w:cs="Arial"/>
        </w:rPr>
        <w:t xml:space="preserve"> which</w:t>
      </w:r>
      <w:r w:rsidR="00EE5CA2" w:rsidRPr="00C47564">
        <w:rPr>
          <w:rFonts w:ascii="Arial" w:hAnsi="Arial" w:cs="Arial"/>
        </w:rPr>
        <w:t xml:space="preserve"> turning the initiative into a shared community </w:t>
      </w:r>
      <w:r w:rsidR="00E74262" w:rsidRPr="00C47564">
        <w:rPr>
          <w:rFonts w:ascii="Arial" w:hAnsi="Arial" w:cs="Arial"/>
        </w:rPr>
        <w:t>effort (Murphy, 2012)</w:t>
      </w:r>
      <w:r w:rsidR="00EE5CA2" w:rsidRPr="00C47564">
        <w:rPr>
          <w:rFonts w:ascii="Arial" w:hAnsi="Arial" w:cs="Arial"/>
        </w:rPr>
        <w:t xml:space="preserve">. The significance of </w:t>
      </w:r>
      <w:r w:rsidRPr="00C47564">
        <w:rPr>
          <w:rFonts w:ascii="Arial" w:hAnsi="Arial" w:cs="Arial"/>
        </w:rPr>
        <w:t>promoting</w:t>
      </w:r>
      <w:r w:rsidR="00EE5CA2" w:rsidRPr="00C47564">
        <w:rPr>
          <w:rFonts w:ascii="Arial" w:hAnsi="Arial" w:cs="Arial"/>
        </w:rPr>
        <w:t xml:space="preserve"> community engagement lay in the creation of a sense of ownership and pride, essential for the sustained success and impact of the Thames River Cleanup Initiative.</w:t>
      </w:r>
    </w:p>
    <w:p w:rsidR="00E74262" w:rsidRPr="00224F69" w:rsidRDefault="00EE5CA2" w:rsidP="009673DC">
      <w:pPr>
        <w:rPr>
          <w:rFonts w:ascii="Arial" w:hAnsi="Arial" w:cs="Arial"/>
          <w:b/>
          <w:sz w:val="32"/>
          <w:szCs w:val="32"/>
        </w:rPr>
      </w:pPr>
      <w:bookmarkStart w:id="2" w:name="_Toc152448356"/>
      <w:r w:rsidRPr="00224F69">
        <w:rPr>
          <w:rFonts w:ascii="Arial" w:hAnsi="Arial" w:cs="Arial"/>
          <w:b/>
          <w:sz w:val="32"/>
          <w:szCs w:val="32"/>
        </w:rPr>
        <w:t>Analysis of Adopted Community Engagement Approaches</w:t>
      </w:r>
      <w:bookmarkEnd w:id="2"/>
    </w:p>
    <w:p w:rsidR="00007359" w:rsidRPr="00C47564" w:rsidRDefault="00007359" w:rsidP="00C47564">
      <w:pPr>
        <w:spacing w:line="360" w:lineRule="auto"/>
        <w:jc w:val="both"/>
        <w:rPr>
          <w:rFonts w:ascii="Arial" w:hAnsi="Arial" w:cs="Arial"/>
          <w:b/>
          <w:bCs/>
        </w:rPr>
      </w:pPr>
      <w:r w:rsidRPr="00C47564">
        <w:rPr>
          <w:rFonts w:ascii="Arial" w:hAnsi="Arial" w:cs="Arial"/>
          <w:b/>
          <w:bCs/>
        </w:rPr>
        <w:t>Active Consultation and Communication:</w:t>
      </w:r>
    </w:p>
    <w:p w:rsidR="00007359" w:rsidRPr="00C47564" w:rsidRDefault="00007359" w:rsidP="00C47564">
      <w:pPr>
        <w:spacing w:line="360" w:lineRule="auto"/>
        <w:jc w:val="both"/>
        <w:rPr>
          <w:rFonts w:ascii="Arial" w:hAnsi="Arial" w:cs="Arial"/>
        </w:rPr>
      </w:pPr>
      <w:r w:rsidRPr="00C47564">
        <w:rPr>
          <w:rFonts w:ascii="Arial" w:hAnsi="Arial" w:cs="Arial"/>
        </w:rPr>
        <w:t>The Thames River Cleanup Initiative involved active consultation through a multifaceted approach, primarily employing town hall meetings as well as workshops. These strategies played a vital role in promoting open dialogue and ensuring community members felt heard and valued</w:t>
      </w:r>
      <w:r w:rsidR="00E74262" w:rsidRPr="00C47564">
        <w:rPr>
          <w:rFonts w:ascii="Arial" w:hAnsi="Arial" w:cs="Arial"/>
        </w:rPr>
        <w:t xml:space="preserve"> (Watson, 2007)</w:t>
      </w:r>
      <w:r w:rsidRPr="00C47564">
        <w:rPr>
          <w:rFonts w:ascii="Arial" w:hAnsi="Arial" w:cs="Arial"/>
        </w:rPr>
        <w:t xml:space="preserve">. Town hall meetings, held at accessible community venues, provided a platform for residents to voice concerns, share information’s, and actively contribute to decision-making </w:t>
      </w:r>
      <w:r w:rsidR="00D32D95" w:rsidRPr="00C47564">
        <w:rPr>
          <w:rFonts w:ascii="Arial" w:hAnsi="Arial" w:cs="Arial"/>
        </w:rPr>
        <w:t>processes</w:t>
      </w:r>
      <w:r w:rsidR="00D32D95">
        <w:rPr>
          <w:rFonts w:ascii="Arial" w:hAnsi="Arial" w:cs="Arial"/>
        </w:rPr>
        <w:t xml:space="preserve"> and t</w:t>
      </w:r>
      <w:r w:rsidRPr="00C47564">
        <w:rPr>
          <w:rFonts w:ascii="Arial" w:hAnsi="Arial" w:cs="Arial"/>
        </w:rPr>
        <w:t xml:space="preserve">he </w:t>
      </w:r>
      <w:r w:rsidRPr="00C47564">
        <w:rPr>
          <w:rFonts w:ascii="Arial" w:hAnsi="Arial" w:cs="Arial"/>
        </w:rPr>
        <w:lastRenderedPageBreak/>
        <w:t>effectiveness of these meetings lay in their ability to transform the project from an external effort into a shared community attempt.</w:t>
      </w:r>
    </w:p>
    <w:p w:rsidR="00007359" w:rsidRPr="00C47564" w:rsidRDefault="00007359" w:rsidP="00C47564">
      <w:pPr>
        <w:spacing w:line="360" w:lineRule="auto"/>
        <w:jc w:val="both"/>
        <w:rPr>
          <w:rFonts w:ascii="Arial" w:hAnsi="Arial" w:cs="Arial"/>
        </w:rPr>
      </w:pPr>
      <w:r w:rsidRPr="00C47564">
        <w:rPr>
          <w:rFonts w:ascii="Arial" w:hAnsi="Arial" w:cs="Arial"/>
        </w:rPr>
        <w:t>Workshops further</w:t>
      </w:r>
      <w:r w:rsidR="00D32D95">
        <w:rPr>
          <w:rFonts w:ascii="Arial" w:hAnsi="Arial" w:cs="Arial"/>
        </w:rPr>
        <w:t xml:space="preserve"> increased</w:t>
      </w:r>
      <w:r w:rsidRPr="00C47564">
        <w:rPr>
          <w:rFonts w:ascii="Arial" w:hAnsi="Arial" w:cs="Arial"/>
        </w:rPr>
        <w:t xml:space="preserve"> active consultation by facilitating </w:t>
      </w:r>
      <w:r w:rsidR="002C4867" w:rsidRPr="00C47564">
        <w:rPr>
          <w:rFonts w:ascii="Arial" w:hAnsi="Arial" w:cs="Arial"/>
        </w:rPr>
        <w:t>practical</w:t>
      </w:r>
      <w:r w:rsidRPr="00C47564">
        <w:rPr>
          <w:rFonts w:ascii="Arial" w:hAnsi="Arial" w:cs="Arial"/>
        </w:rPr>
        <w:t xml:space="preserve"> engagement. By bringing together residents, environmental experts, as well as project organizers, these sessions encouraged collaborative problem-solving</w:t>
      </w:r>
      <w:r w:rsidR="002C4867">
        <w:rPr>
          <w:rFonts w:ascii="Arial" w:hAnsi="Arial" w:cs="Arial"/>
        </w:rPr>
        <w:t xml:space="preserve"> and t</w:t>
      </w:r>
      <w:r w:rsidRPr="00C47564">
        <w:rPr>
          <w:rFonts w:ascii="Arial" w:hAnsi="Arial" w:cs="Arial"/>
        </w:rPr>
        <w:t>he interactive nature of workshops not only empowered community members but also facilitated a deeper understanding of environmental issues and the proposed solutions</w:t>
      </w:r>
      <w:r w:rsidR="00E74262" w:rsidRPr="00C47564">
        <w:rPr>
          <w:rFonts w:ascii="Arial" w:hAnsi="Arial" w:cs="Arial"/>
        </w:rPr>
        <w:t xml:space="preserve"> (Murphy, 2012)</w:t>
      </w:r>
      <w:r w:rsidRPr="00C47564">
        <w:rPr>
          <w:rFonts w:ascii="Arial" w:hAnsi="Arial" w:cs="Arial"/>
        </w:rPr>
        <w:t>. The effectiveness of these active consultation strategies was clear in the enhanced community ownership and excitement observed throughout the project.</w:t>
      </w:r>
    </w:p>
    <w:p w:rsidR="00007359" w:rsidRPr="00C47564" w:rsidRDefault="00007359" w:rsidP="00C47564">
      <w:pPr>
        <w:spacing w:line="360" w:lineRule="auto"/>
        <w:jc w:val="both"/>
        <w:rPr>
          <w:rFonts w:ascii="Arial" w:hAnsi="Arial" w:cs="Arial"/>
        </w:rPr>
      </w:pPr>
      <w:r w:rsidRPr="00C47564">
        <w:rPr>
          <w:rFonts w:ascii="Arial" w:hAnsi="Arial" w:cs="Arial"/>
        </w:rPr>
        <w:t>Communication channels played a</w:t>
      </w:r>
      <w:r w:rsidR="002C4867">
        <w:rPr>
          <w:rFonts w:ascii="Arial" w:hAnsi="Arial" w:cs="Arial"/>
        </w:rPr>
        <w:t xml:space="preserve"> vital </w:t>
      </w:r>
      <w:r w:rsidRPr="00C47564">
        <w:rPr>
          <w:rFonts w:ascii="Arial" w:hAnsi="Arial" w:cs="Arial"/>
        </w:rPr>
        <w:t>role in extending the reach of engagement efforts. The use of traditional methods, such as community notice boards</w:t>
      </w:r>
      <w:r w:rsidR="002C4867">
        <w:rPr>
          <w:rFonts w:ascii="Arial" w:hAnsi="Arial" w:cs="Arial"/>
        </w:rPr>
        <w:t xml:space="preserve"> and</w:t>
      </w:r>
      <w:r w:rsidRPr="00C47564">
        <w:rPr>
          <w:rFonts w:ascii="Arial" w:hAnsi="Arial" w:cs="Arial"/>
        </w:rPr>
        <w:t xml:space="preserve"> leaflets, ensured inclusivity for those not digitally </w:t>
      </w:r>
      <w:r w:rsidR="00E74262" w:rsidRPr="00C47564">
        <w:rPr>
          <w:rFonts w:ascii="Arial" w:hAnsi="Arial" w:cs="Arial"/>
        </w:rPr>
        <w:t>connected (Watson, 2007)</w:t>
      </w:r>
      <w:r w:rsidRPr="00C47564">
        <w:rPr>
          <w:rFonts w:ascii="Arial" w:hAnsi="Arial" w:cs="Arial"/>
        </w:rPr>
        <w:t xml:space="preserve">. On the other hand, the strategic use of social media platforms </w:t>
      </w:r>
      <w:r w:rsidR="002C247D" w:rsidRPr="00C47564">
        <w:rPr>
          <w:rFonts w:ascii="Arial" w:hAnsi="Arial" w:cs="Arial"/>
        </w:rPr>
        <w:t>increased</w:t>
      </w:r>
      <w:r w:rsidRPr="00C47564">
        <w:rPr>
          <w:rFonts w:ascii="Arial" w:hAnsi="Arial" w:cs="Arial"/>
        </w:rPr>
        <w:t xml:space="preserve"> the initiative's visibility</w:t>
      </w:r>
      <w:r w:rsidR="002C247D" w:rsidRPr="00C47564">
        <w:rPr>
          <w:rFonts w:ascii="Arial" w:hAnsi="Arial" w:cs="Arial"/>
        </w:rPr>
        <w:t xml:space="preserve"> as well as</w:t>
      </w:r>
      <w:r w:rsidRPr="00C47564">
        <w:rPr>
          <w:rFonts w:ascii="Arial" w:hAnsi="Arial" w:cs="Arial"/>
        </w:rPr>
        <w:t xml:space="preserve"> engaged a broader demographic</w:t>
      </w:r>
      <w:r w:rsidR="002C4867">
        <w:rPr>
          <w:rFonts w:ascii="Arial" w:hAnsi="Arial" w:cs="Arial"/>
        </w:rPr>
        <w:t xml:space="preserve"> and t</w:t>
      </w:r>
      <w:r w:rsidRPr="00C47564">
        <w:rPr>
          <w:rFonts w:ascii="Arial" w:hAnsi="Arial" w:cs="Arial"/>
        </w:rPr>
        <w:t xml:space="preserve">his hybrid approach was effective in maximizing community engagement, as it recognized and </w:t>
      </w:r>
      <w:r w:rsidR="002C247D" w:rsidRPr="00C47564">
        <w:rPr>
          <w:rFonts w:ascii="Arial" w:hAnsi="Arial" w:cs="Arial"/>
        </w:rPr>
        <w:t>served</w:t>
      </w:r>
      <w:r w:rsidRPr="00C47564">
        <w:rPr>
          <w:rFonts w:ascii="Arial" w:hAnsi="Arial" w:cs="Arial"/>
        </w:rPr>
        <w:t xml:space="preserve"> to the diverse communication preferences within the community.</w:t>
      </w:r>
    </w:p>
    <w:p w:rsidR="00007359" w:rsidRPr="00C47564" w:rsidRDefault="00007359" w:rsidP="00C47564">
      <w:pPr>
        <w:spacing w:line="360" w:lineRule="auto"/>
        <w:jc w:val="both"/>
        <w:rPr>
          <w:rFonts w:ascii="Arial" w:hAnsi="Arial" w:cs="Arial"/>
          <w:b/>
          <w:bCs/>
        </w:rPr>
      </w:pPr>
      <w:r w:rsidRPr="00C47564">
        <w:rPr>
          <w:rFonts w:ascii="Arial" w:hAnsi="Arial" w:cs="Arial"/>
          <w:b/>
          <w:bCs/>
        </w:rPr>
        <w:t>Stakeholders' Participation:</w:t>
      </w:r>
    </w:p>
    <w:p w:rsidR="00007359" w:rsidRPr="00C47564" w:rsidRDefault="00007359" w:rsidP="00C47564">
      <w:pPr>
        <w:spacing w:line="360" w:lineRule="auto"/>
        <w:jc w:val="both"/>
        <w:rPr>
          <w:rFonts w:ascii="Arial" w:hAnsi="Arial" w:cs="Arial"/>
        </w:rPr>
      </w:pPr>
      <w:r w:rsidRPr="00C47564">
        <w:rPr>
          <w:rFonts w:ascii="Arial" w:hAnsi="Arial" w:cs="Arial"/>
        </w:rPr>
        <w:t>The success of the Thames River Cleanup Initiative was significantly influenced by the active participation of stakeholders</w:t>
      </w:r>
      <w:r w:rsidR="00D21305" w:rsidRPr="00C47564">
        <w:rPr>
          <w:rFonts w:ascii="Arial" w:hAnsi="Arial" w:cs="Arial"/>
        </w:rPr>
        <w:t xml:space="preserve"> (Ramachandra and Naha Abu Mansor, 2014)</w:t>
      </w:r>
      <w:r w:rsidRPr="00C47564">
        <w:rPr>
          <w:rFonts w:ascii="Arial" w:hAnsi="Arial" w:cs="Arial"/>
        </w:rPr>
        <w:t>. Stakeholders, ranging from local businesses to environmental organizations, played</w:t>
      </w:r>
      <w:r w:rsidR="002C247D" w:rsidRPr="00C47564">
        <w:rPr>
          <w:rFonts w:ascii="Arial" w:hAnsi="Arial" w:cs="Arial"/>
        </w:rPr>
        <w:t xml:space="preserve"> significant</w:t>
      </w:r>
      <w:r w:rsidRPr="00C47564">
        <w:rPr>
          <w:rFonts w:ascii="Arial" w:hAnsi="Arial" w:cs="Arial"/>
        </w:rPr>
        <w:t xml:space="preserve"> roles in shaping and implementing the project. Their involvement was not</w:t>
      </w:r>
      <w:r w:rsidR="002C247D" w:rsidRPr="00C47564">
        <w:rPr>
          <w:rFonts w:ascii="Arial" w:hAnsi="Arial" w:cs="Arial"/>
        </w:rPr>
        <w:t xml:space="preserve"> only</w:t>
      </w:r>
      <w:r w:rsidRPr="00C47564">
        <w:rPr>
          <w:rFonts w:ascii="Arial" w:hAnsi="Arial" w:cs="Arial"/>
        </w:rPr>
        <w:t xml:space="preserve"> transactional but rather a collaborative effort where their expertise and </w:t>
      </w:r>
      <w:r w:rsidR="002C247D" w:rsidRPr="00C47564">
        <w:rPr>
          <w:rFonts w:ascii="Arial" w:hAnsi="Arial" w:cs="Arial"/>
        </w:rPr>
        <w:t>information’s</w:t>
      </w:r>
      <w:r w:rsidRPr="00C47564">
        <w:rPr>
          <w:rFonts w:ascii="Arial" w:hAnsi="Arial" w:cs="Arial"/>
        </w:rPr>
        <w:t xml:space="preserve"> were valued.</w:t>
      </w:r>
    </w:p>
    <w:p w:rsidR="00007359" w:rsidRPr="00C47564" w:rsidRDefault="00007359" w:rsidP="00C47564">
      <w:pPr>
        <w:spacing w:line="360" w:lineRule="auto"/>
        <w:jc w:val="both"/>
        <w:rPr>
          <w:rFonts w:ascii="Arial" w:hAnsi="Arial" w:cs="Arial"/>
        </w:rPr>
      </w:pPr>
      <w:r w:rsidRPr="00C47564">
        <w:rPr>
          <w:rFonts w:ascii="Arial" w:hAnsi="Arial" w:cs="Arial"/>
        </w:rPr>
        <w:t>Strategies to encourage stakeholders' participation included targeted outreach, personalized invitations,</w:t>
      </w:r>
      <w:r w:rsidR="002C247D" w:rsidRPr="00C47564">
        <w:rPr>
          <w:rFonts w:ascii="Arial" w:hAnsi="Arial" w:cs="Arial"/>
        </w:rPr>
        <w:t xml:space="preserve"> as well ashighlighting</w:t>
      </w:r>
      <w:r w:rsidRPr="00C47564">
        <w:rPr>
          <w:rFonts w:ascii="Arial" w:hAnsi="Arial" w:cs="Arial"/>
        </w:rPr>
        <w:t xml:space="preserve"> the mutual benefits of collaboration</w:t>
      </w:r>
      <w:r w:rsidR="00E74262" w:rsidRPr="00C47564">
        <w:rPr>
          <w:rFonts w:ascii="Arial" w:hAnsi="Arial" w:cs="Arial"/>
        </w:rPr>
        <w:t xml:space="preserve"> (Watson, 2007)</w:t>
      </w:r>
      <w:r w:rsidRPr="00C47564">
        <w:rPr>
          <w:rFonts w:ascii="Arial" w:hAnsi="Arial" w:cs="Arial"/>
        </w:rPr>
        <w:t>. The project team recognized that engaging stakeholders as partners rather than bystanders contributed to a more comprehensive and impactful initiative</w:t>
      </w:r>
      <w:r w:rsidR="002C247D" w:rsidRPr="00C47564">
        <w:rPr>
          <w:rFonts w:ascii="Arial" w:hAnsi="Arial" w:cs="Arial"/>
        </w:rPr>
        <w:t xml:space="preserve"> and t</w:t>
      </w:r>
      <w:r w:rsidRPr="00C47564">
        <w:rPr>
          <w:rFonts w:ascii="Arial" w:hAnsi="Arial" w:cs="Arial"/>
        </w:rPr>
        <w:t>his approach led to a higher level of commitment, and support throughout the project lifecycle.</w:t>
      </w:r>
    </w:p>
    <w:p w:rsidR="00007359" w:rsidRPr="00C47564" w:rsidRDefault="00007359" w:rsidP="00C47564">
      <w:pPr>
        <w:spacing w:line="360" w:lineRule="auto"/>
        <w:jc w:val="both"/>
        <w:rPr>
          <w:rFonts w:ascii="Arial" w:hAnsi="Arial" w:cs="Arial"/>
        </w:rPr>
      </w:pPr>
      <w:r w:rsidRPr="00C47564">
        <w:rPr>
          <w:rFonts w:ascii="Arial" w:hAnsi="Arial" w:cs="Arial"/>
        </w:rPr>
        <w:lastRenderedPageBreak/>
        <w:t xml:space="preserve">The benefits of stakeholder participation were </w:t>
      </w:r>
      <w:r w:rsidR="002C247D" w:rsidRPr="00C47564">
        <w:rPr>
          <w:rFonts w:ascii="Arial" w:hAnsi="Arial" w:cs="Arial"/>
        </w:rPr>
        <w:t>multiple</w:t>
      </w:r>
      <w:r w:rsidRPr="00C47564">
        <w:rPr>
          <w:rFonts w:ascii="Arial" w:hAnsi="Arial" w:cs="Arial"/>
        </w:rPr>
        <w:t xml:space="preserve">. It </w:t>
      </w:r>
      <w:r w:rsidR="002C247D" w:rsidRPr="00C47564">
        <w:rPr>
          <w:rFonts w:ascii="Arial" w:hAnsi="Arial" w:cs="Arial"/>
        </w:rPr>
        <w:t>enhanced</w:t>
      </w:r>
      <w:r w:rsidRPr="00C47564">
        <w:rPr>
          <w:rFonts w:ascii="Arial" w:hAnsi="Arial" w:cs="Arial"/>
        </w:rPr>
        <w:t xml:space="preserve"> the project with diverse perspectives, ensured a more holistic understanding of environmental challenges, and created a network of support for ongoing initiatives</w:t>
      </w:r>
      <w:r w:rsidR="00D21305" w:rsidRPr="00C47564">
        <w:rPr>
          <w:rFonts w:ascii="Arial" w:hAnsi="Arial" w:cs="Arial"/>
        </w:rPr>
        <w:t xml:space="preserve"> (Ramachandra and Naha Abu Mansor, 2014)</w:t>
      </w:r>
      <w:r w:rsidRPr="00C47564">
        <w:rPr>
          <w:rFonts w:ascii="Arial" w:hAnsi="Arial" w:cs="Arial"/>
        </w:rPr>
        <w:t xml:space="preserve">. The success of stakeholder engagement lay in </w:t>
      </w:r>
      <w:r w:rsidR="002C247D" w:rsidRPr="00C47564">
        <w:rPr>
          <w:rFonts w:ascii="Arial" w:hAnsi="Arial" w:cs="Arial"/>
        </w:rPr>
        <w:t>raising</w:t>
      </w:r>
      <w:r w:rsidRPr="00C47564">
        <w:rPr>
          <w:rFonts w:ascii="Arial" w:hAnsi="Arial" w:cs="Arial"/>
        </w:rPr>
        <w:t xml:space="preserve"> a sense of shared responsibility, where the collective well-being of the community and its environment took </w:t>
      </w:r>
      <w:r w:rsidR="002C247D" w:rsidRPr="00C47564">
        <w:rPr>
          <w:rFonts w:ascii="Arial" w:hAnsi="Arial" w:cs="Arial"/>
        </w:rPr>
        <w:t>priority</w:t>
      </w:r>
      <w:r w:rsidRPr="00C47564">
        <w:rPr>
          <w:rFonts w:ascii="Arial" w:hAnsi="Arial" w:cs="Arial"/>
        </w:rPr>
        <w:t xml:space="preserve"> over individual interests.</w:t>
      </w:r>
    </w:p>
    <w:p w:rsidR="00007359" w:rsidRPr="00C47564" w:rsidRDefault="00007359" w:rsidP="00C47564">
      <w:pPr>
        <w:spacing w:line="360" w:lineRule="auto"/>
        <w:jc w:val="both"/>
        <w:rPr>
          <w:rFonts w:ascii="Arial" w:hAnsi="Arial" w:cs="Arial"/>
          <w:b/>
          <w:bCs/>
        </w:rPr>
      </w:pPr>
      <w:r w:rsidRPr="00C47564">
        <w:rPr>
          <w:rFonts w:ascii="Arial" w:hAnsi="Arial" w:cs="Arial"/>
          <w:b/>
          <w:bCs/>
        </w:rPr>
        <w:t>Diversity and Inclusion:</w:t>
      </w:r>
    </w:p>
    <w:p w:rsidR="00007359" w:rsidRPr="00C47564" w:rsidRDefault="00007359" w:rsidP="00C47564">
      <w:pPr>
        <w:spacing w:line="360" w:lineRule="auto"/>
        <w:jc w:val="both"/>
        <w:rPr>
          <w:rFonts w:ascii="Arial" w:hAnsi="Arial" w:cs="Arial"/>
        </w:rPr>
      </w:pPr>
      <w:r w:rsidRPr="00C47564">
        <w:rPr>
          <w:rFonts w:ascii="Arial" w:hAnsi="Arial" w:cs="Arial"/>
        </w:rPr>
        <w:t>The Thames River Cleanup Initiative prioritized diversity and inclusion as fundamental principles in its engagement strategy</w:t>
      </w:r>
      <w:r w:rsidR="00D21305" w:rsidRPr="00C47564">
        <w:rPr>
          <w:rFonts w:ascii="Arial" w:hAnsi="Arial" w:cs="Arial"/>
          <w:color w:val="000000"/>
          <w:shd w:val="clear" w:color="auto" w:fill="FFFFFF"/>
        </w:rPr>
        <w:t>(OceandivaLondon , 2023)</w:t>
      </w:r>
      <w:r w:rsidRPr="00C47564">
        <w:rPr>
          <w:rFonts w:ascii="Arial" w:hAnsi="Arial" w:cs="Arial"/>
        </w:rPr>
        <w:t xml:space="preserve">. Recognizing the diverse demographic </w:t>
      </w:r>
      <w:r w:rsidR="002C247D" w:rsidRPr="00C47564">
        <w:rPr>
          <w:rFonts w:ascii="Arial" w:hAnsi="Arial" w:cs="Arial"/>
        </w:rPr>
        <w:t>character</w:t>
      </w:r>
      <w:r w:rsidRPr="00C47564">
        <w:rPr>
          <w:rFonts w:ascii="Arial" w:hAnsi="Arial" w:cs="Arial"/>
        </w:rPr>
        <w:t xml:space="preserve"> of the community, the project aimed to create an inclusive space where all voices were not only heard but actively </w:t>
      </w:r>
      <w:r w:rsidR="002C247D" w:rsidRPr="00C47564">
        <w:rPr>
          <w:rFonts w:ascii="Arial" w:hAnsi="Arial" w:cs="Arial"/>
        </w:rPr>
        <w:t>taken</w:t>
      </w:r>
      <w:r w:rsidRPr="00C47564">
        <w:rPr>
          <w:rFonts w:ascii="Arial" w:hAnsi="Arial" w:cs="Arial"/>
        </w:rPr>
        <w:t>.</w:t>
      </w:r>
    </w:p>
    <w:p w:rsidR="00007359" w:rsidRPr="00C47564" w:rsidRDefault="002C247D" w:rsidP="00C47564">
      <w:pPr>
        <w:spacing w:line="360" w:lineRule="auto"/>
        <w:jc w:val="both"/>
        <w:rPr>
          <w:rFonts w:ascii="Arial" w:hAnsi="Arial" w:cs="Arial"/>
        </w:rPr>
      </w:pPr>
      <w:r w:rsidRPr="00C47564">
        <w:rPr>
          <w:rFonts w:ascii="Arial" w:hAnsi="Arial" w:cs="Arial"/>
        </w:rPr>
        <w:t>To make sure everyone understood, the project team translated their materials into different languages, so everyone in the community be a part of it. Community</w:t>
      </w:r>
      <w:r w:rsidR="00007359" w:rsidRPr="00C47564">
        <w:rPr>
          <w:rFonts w:ascii="Arial" w:hAnsi="Arial" w:cs="Arial"/>
        </w:rPr>
        <w:t xml:space="preserve"> events were strategically scheduled to consider cultural observances, and </w:t>
      </w:r>
      <w:r w:rsidR="001750E4" w:rsidRPr="00C47564">
        <w:rPr>
          <w:rFonts w:ascii="Arial" w:hAnsi="Arial" w:cs="Arial"/>
        </w:rPr>
        <w:t>efforts were</w:t>
      </w:r>
      <w:r w:rsidR="00007359" w:rsidRPr="00C47564">
        <w:rPr>
          <w:rFonts w:ascii="Arial" w:hAnsi="Arial" w:cs="Arial"/>
        </w:rPr>
        <w:t xml:space="preserve"> made to involve community members from different cultural backgrounds in leadership </w:t>
      </w:r>
      <w:r w:rsidR="001750E4" w:rsidRPr="00C47564">
        <w:rPr>
          <w:rFonts w:ascii="Arial" w:hAnsi="Arial" w:cs="Arial"/>
        </w:rPr>
        <w:t>roles and t</w:t>
      </w:r>
      <w:r w:rsidR="00007359" w:rsidRPr="00C47564">
        <w:rPr>
          <w:rFonts w:ascii="Arial" w:hAnsi="Arial" w:cs="Arial"/>
        </w:rPr>
        <w:t xml:space="preserve">his </w:t>
      </w:r>
      <w:r w:rsidR="001750E4" w:rsidRPr="00C47564">
        <w:rPr>
          <w:rFonts w:ascii="Arial" w:hAnsi="Arial" w:cs="Arial"/>
        </w:rPr>
        <w:t>thoughtful</w:t>
      </w:r>
      <w:r w:rsidR="00007359" w:rsidRPr="00C47564">
        <w:rPr>
          <w:rFonts w:ascii="Arial" w:hAnsi="Arial" w:cs="Arial"/>
        </w:rPr>
        <w:t xml:space="preserve"> inclusion contributed to a project environment where individuals felt seen, valued,</w:t>
      </w:r>
      <w:r w:rsidR="001750E4" w:rsidRPr="00C47564">
        <w:rPr>
          <w:rFonts w:ascii="Arial" w:hAnsi="Arial" w:cs="Arial"/>
        </w:rPr>
        <w:t xml:space="preserve"> as well as</w:t>
      </w:r>
      <w:r w:rsidR="00007359" w:rsidRPr="00C47564">
        <w:rPr>
          <w:rFonts w:ascii="Arial" w:hAnsi="Arial" w:cs="Arial"/>
        </w:rPr>
        <w:t xml:space="preserve"> included</w:t>
      </w:r>
      <w:r w:rsidR="00D21305" w:rsidRPr="00C47564">
        <w:rPr>
          <w:rFonts w:ascii="Arial" w:hAnsi="Arial" w:cs="Arial"/>
        </w:rPr>
        <w:t xml:space="preserve"> (Murphy, 2012)</w:t>
      </w:r>
      <w:r w:rsidR="00007359" w:rsidRPr="00C47564">
        <w:rPr>
          <w:rFonts w:ascii="Arial" w:hAnsi="Arial" w:cs="Arial"/>
        </w:rPr>
        <w:t>.</w:t>
      </w:r>
    </w:p>
    <w:p w:rsidR="00007359" w:rsidRPr="00C47564" w:rsidRDefault="00007359" w:rsidP="00C47564">
      <w:pPr>
        <w:spacing w:line="360" w:lineRule="auto"/>
        <w:jc w:val="both"/>
        <w:rPr>
          <w:rFonts w:ascii="Arial" w:hAnsi="Arial" w:cs="Arial"/>
        </w:rPr>
      </w:pPr>
      <w:r w:rsidRPr="00C47564">
        <w:rPr>
          <w:rFonts w:ascii="Arial" w:hAnsi="Arial" w:cs="Arial"/>
        </w:rPr>
        <w:t xml:space="preserve">The impact of these principles on community involvement was profound. It created a sense of belonging among residents, </w:t>
      </w:r>
      <w:r w:rsidR="001750E4" w:rsidRPr="00C47564">
        <w:rPr>
          <w:rFonts w:ascii="Arial" w:hAnsi="Arial" w:cs="Arial"/>
        </w:rPr>
        <w:t>raising</w:t>
      </w:r>
      <w:r w:rsidRPr="00C47564">
        <w:rPr>
          <w:rFonts w:ascii="Arial" w:hAnsi="Arial" w:cs="Arial"/>
        </w:rPr>
        <w:t xml:space="preserve"> trust and cooperation</w:t>
      </w:r>
      <w:r w:rsidR="004D1CC7" w:rsidRPr="00C47564">
        <w:rPr>
          <w:rFonts w:ascii="Arial" w:hAnsi="Arial" w:cs="Arial"/>
        </w:rPr>
        <w:t xml:space="preserve"> (Èzbilgin, 2009)</w:t>
      </w:r>
      <w:r w:rsidRPr="00C47564">
        <w:rPr>
          <w:rFonts w:ascii="Arial" w:hAnsi="Arial" w:cs="Arial"/>
        </w:rPr>
        <w:t>. The richness of perspectives brought about by diverse community members resulted in more comprehensive problem-solving</w:t>
      </w:r>
      <w:r w:rsidR="001750E4" w:rsidRPr="00C47564">
        <w:rPr>
          <w:rFonts w:ascii="Arial" w:hAnsi="Arial" w:cs="Arial"/>
        </w:rPr>
        <w:t xml:space="preserve"> as well as</w:t>
      </w:r>
      <w:r w:rsidRPr="00C47564">
        <w:rPr>
          <w:rFonts w:ascii="Arial" w:hAnsi="Arial" w:cs="Arial"/>
        </w:rPr>
        <w:t xml:space="preserve"> a deeper understanding of the community's needs and aspirations.</w:t>
      </w:r>
    </w:p>
    <w:p w:rsidR="00007359" w:rsidRPr="00C47564" w:rsidRDefault="00007359" w:rsidP="00C47564">
      <w:pPr>
        <w:spacing w:line="360" w:lineRule="auto"/>
        <w:jc w:val="both"/>
        <w:rPr>
          <w:rFonts w:ascii="Arial" w:hAnsi="Arial" w:cs="Arial"/>
          <w:b/>
          <w:bCs/>
        </w:rPr>
      </w:pPr>
      <w:r w:rsidRPr="00C47564">
        <w:rPr>
          <w:rFonts w:ascii="Arial" w:hAnsi="Arial" w:cs="Arial"/>
          <w:b/>
          <w:bCs/>
        </w:rPr>
        <w:t>Multi-Agency Collaborations:</w:t>
      </w:r>
    </w:p>
    <w:p w:rsidR="00007359" w:rsidRPr="00C47564" w:rsidRDefault="00007359" w:rsidP="00C47564">
      <w:pPr>
        <w:spacing w:line="360" w:lineRule="auto"/>
        <w:jc w:val="both"/>
        <w:rPr>
          <w:rFonts w:ascii="Arial" w:hAnsi="Arial" w:cs="Arial"/>
        </w:rPr>
      </w:pPr>
      <w:r w:rsidRPr="00C47564">
        <w:rPr>
          <w:rFonts w:ascii="Arial" w:hAnsi="Arial" w:cs="Arial"/>
        </w:rPr>
        <w:t xml:space="preserve">Collaborations with various agencies were </w:t>
      </w:r>
      <w:r w:rsidR="001750E4" w:rsidRPr="00C47564">
        <w:rPr>
          <w:rFonts w:ascii="Arial" w:hAnsi="Arial" w:cs="Arial"/>
        </w:rPr>
        <w:t>helpful</w:t>
      </w:r>
      <w:r w:rsidRPr="00C47564">
        <w:rPr>
          <w:rFonts w:ascii="Arial" w:hAnsi="Arial" w:cs="Arial"/>
        </w:rPr>
        <w:t xml:space="preserve"> in </w:t>
      </w:r>
      <w:r w:rsidR="001750E4" w:rsidRPr="00C47564">
        <w:rPr>
          <w:rFonts w:ascii="Arial" w:hAnsi="Arial" w:cs="Arial"/>
        </w:rPr>
        <w:t>increasing</w:t>
      </w:r>
      <w:r w:rsidRPr="00C47564">
        <w:rPr>
          <w:rFonts w:ascii="Arial" w:hAnsi="Arial" w:cs="Arial"/>
        </w:rPr>
        <w:t xml:space="preserve"> the effectiveness and reach of the Thames River Cleanup Initiative. Engaging governmental bodies, environmental organizations, and local businesses ensured a multi-faceted</w:t>
      </w:r>
      <w:r w:rsidR="001750E4" w:rsidRPr="00C47564">
        <w:rPr>
          <w:rFonts w:ascii="Arial" w:hAnsi="Arial" w:cs="Arial"/>
        </w:rPr>
        <w:t xml:space="preserve"> as well as</w:t>
      </w:r>
      <w:r w:rsidRPr="00C47564">
        <w:rPr>
          <w:rFonts w:ascii="Arial" w:hAnsi="Arial" w:cs="Arial"/>
        </w:rPr>
        <w:t xml:space="preserve"> comprehensive approach to environmental restoration</w:t>
      </w:r>
      <w:r w:rsidR="00E74262" w:rsidRPr="00C47564">
        <w:rPr>
          <w:rFonts w:ascii="Arial" w:hAnsi="Arial" w:cs="Arial"/>
        </w:rPr>
        <w:t xml:space="preserve"> (Murphy, 2012)</w:t>
      </w:r>
      <w:r w:rsidRPr="00C47564">
        <w:rPr>
          <w:rFonts w:ascii="Arial" w:hAnsi="Arial" w:cs="Arial"/>
        </w:rPr>
        <w:t>.</w:t>
      </w:r>
    </w:p>
    <w:p w:rsidR="00007359" w:rsidRPr="00C47564" w:rsidRDefault="00007359" w:rsidP="00C47564">
      <w:pPr>
        <w:spacing w:line="360" w:lineRule="auto"/>
        <w:jc w:val="both"/>
        <w:rPr>
          <w:rFonts w:ascii="Arial" w:hAnsi="Arial" w:cs="Arial"/>
        </w:rPr>
      </w:pPr>
      <w:r w:rsidRPr="00C47564">
        <w:rPr>
          <w:rFonts w:ascii="Arial" w:hAnsi="Arial" w:cs="Arial"/>
        </w:rPr>
        <w:lastRenderedPageBreak/>
        <w:t xml:space="preserve">Evaluating the effectiveness of multi-agency collaborations reveals both successes and challenges. Successes include the </w:t>
      </w:r>
      <w:r w:rsidR="001750E4" w:rsidRPr="00C47564">
        <w:rPr>
          <w:rFonts w:ascii="Arial" w:hAnsi="Arial" w:cs="Arial"/>
        </w:rPr>
        <w:t>combining</w:t>
      </w:r>
      <w:r w:rsidRPr="00C47564">
        <w:rPr>
          <w:rFonts w:ascii="Arial" w:hAnsi="Arial" w:cs="Arial"/>
        </w:rPr>
        <w:t xml:space="preserve"> of resources, expertise, and knowledge from diverse sectors</w:t>
      </w:r>
      <w:r w:rsidR="004D1CC7" w:rsidRPr="00C47564">
        <w:rPr>
          <w:rFonts w:ascii="Arial" w:hAnsi="Arial" w:cs="Arial"/>
        </w:rPr>
        <w:t xml:space="preserve"> (Èzbilgin, 2009)</w:t>
      </w:r>
      <w:r w:rsidRPr="00C47564">
        <w:rPr>
          <w:rFonts w:ascii="Arial" w:hAnsi="Arial" w:cs="Arial"/>
        </w:rPr>
        <w:t xml:space="preserve">. </w:t>
      </w:r>
      <w:r w:rsidR="001750E4" w:rsidRPr="00C47564">
        <w:rPr>
          <w:rFonts w:ascii="Arial" w:hAnsi="Arial" w:cs="Arial"/>
        </w:rPr>
        <w:t>For example, g</w:t>
      </w:r>
      <w:r w:rsidRPr="00C47564">
        <w:rPr>
          <w:rFonts w:ascii="Arial" w:hAnsi="Arial" w:cs="Arial"/>
        </w:rPr>
        <w:t>overnmental support</w:t>
      </w:r>
      <w:r w:rsidR="001750E4" w:rsidRPr="00C47564">
        <w:rPr>
          <w:rFonts w:ascii="Arial" w:hAnsi="Arial" w:cs="Arial"/>
        </w:rPr>
        <w:t xml:space="preserve"> f</w:t>
      </w:r>
      <w:r w:rsidRPr="00C47564">
        <w:rPr>
          <w:rFonts w:ascii="Arial" w:hAnsi="Arial" w:cs="Arial"/>
        </w:rPr>
        <w:t xml:space="preserve">acilitated the necessary permits and regulations, while environmental organizations brought specialized knowledge to the table. Collaborating with local businesses not only secured financial support but also </w:t>
      </w:r>
      <w:r w:rsidR="001750E4" w:rsidRPr="00C47564">
        <w:rPr>
          <w:rFonts w:ascii="Arial" w:hAnsi="Arial" w:cs="Arial"/>
        </w:rPr>
        <w:t>promoted</w:t>
      </w:r>
      <w:r w:rsidRPr="00C47564">
        <w:rPr>
          <w:rFonts w:ascii="Arial" w:hAnsi="Arial" w:cs="Arial"/>
        </w:rPr>
        <w:t xml:space="preserve"> a sense of corporate social responsibility within the community.</w:t>
      </w:r>
    </w:p>
    <w:p w:rsidR="00007359" w:rsidRPr="00C47564" w:rsidRDefault="001750E4" w:rsidP="00C47564">
      <w:pPr>
        <w:spacing w:line="360" w:lineRule="auto"/>
        <w:jc w:val="both"/>
        <w:rPr>
          <w:rFonts w:ascii="Arial" w:hAnsi="Arial" w:cs="Arial"/>
        </w:rPr>
      </w:pPr>
      <w:r w:rsidRPr="00C47564">
        <w:rPr>
          <w:rFonts w:ascii="Arial" w:hAnsi="Arial" w:cs="Arial"/>
        </w:rPr>
        <w:t>But</w:t>
      </w:r>
      <w:r w:rsidR="00007359" w:rsidRPr="00C47564">
        <w:rPr>
          <w:rFonts w:ascii="Arial" w:hAnsi="Arial" w:cs="Arial"/>
        </w:rPr>
        <w:t xml:space="preserve"> challenges in multi-agency engagement included </w:t>
      </w:r>
      <w:r w:rsidRPr="00C47564">
        <w:rPr>
          <w:rFonts w:ascii="Arial" w:hAnsi="Arial" w:cs="Arial"/>
        </w:rPr>
        <w:t xml:space="preserve">dealing with </w:t>
      </w:r>
      <w:r w:rsidR="00007359" w:rsidRPr="00C47564">
        <w:rPr>
          <w:rFonts w:ascii="Arial" w:hAnsi="Arial" w:cs="Arial"/>
        </w:rPr>
        <w:t xml:space="preserve">diverse organizational cultures, aligning goals and objectives, and managing communication channels effectively. Reflecting on these challenges is essential for future projects to refine strategies for </w:t>
      </w:r>
      <w:r w:rsidRPr="00C47564">
        <w:rPr>
          <w:rFonts w:ascii="Arial" w:hAnsi="Arial" w:cs="Arial"/>
        </w:rPr>
        <w:t xml:space="preserve">smooth </w:t>
      </w:r>
      <w:r w:rsidR="00007359" w:rsidRPr="00C47564">
        <w:rPr>
          <w:rFonts w:ascii="Arial" w:hAnsi="Arial" w:cs="Arial"/>
        </w:rPr>
        <w:t>collaboration.</w:t>
      </w:r>
    </w:p>
    <w:p w:rsidR="001B3329" w:rsidRPr="00C47564" w:rsidRDefault="001750E4" w:rsidP="00C47564">
      <w:pPr>
        <w:spacing w:line="360" w:lineRule="auto"/>
        <w:jc w:val="both"/>
        <w:rPr>
          <w:rFonts w:ascii="Arial" w:hAnsi="Arial" w:cs="Arial"/>
        </w:rPr>
      </w:pPr>
      <w:r w:rsidRPr="00C47564">
        <w:rPr>
          <w:rFonts w:ascii="Arial" w:hAnsi="Arial" w:cs="Arial"/>
        </w:rPr>
        <w:t>Overall</w:t>
      </w:r>
      <w:r w:rsidR="00007359" w:rsidRPr="00C47564">
        <w:rPr>
          <w:rFonts w:ascii="Arial" w:hAnsi="Arial" w:cs="Arial"/>
        </w:rPr>
        <w:t xml:space="preserve">, the adoption of community engagement approaches in the Thames River Cleanup Initiative was a dynamic and </w:t>
      </w:r>
      <w:r w:rsidRPr="00C47564">
        <w:rPr>
          <w:rFonts w:ascii="Arial" w:hAnsi="Arial" w:cs="Arial"/>
        </w:rPr>
        <w:t>developing</w:t>
      </w:r>
      <w:r w:rsidR="00007359" w:rsidRPr="00C47564">
        <w:rPr>
          <w:rFonts w:ascii="Arial" w:hAnsi="Arial" w:cs="Arial"/>
        </w:rPr>
        <w:t xml:space="preserve"> process. Active consultation strategies, stakeholder participation, diversity and inclusion principles, and multi-agency collaborations </w:t>
      </w:r>
      <w:r w:rsidRPr="00C47564">
        <w:rPr>
          <w:rFonts w:ascii="Arial" w:hAnsi="Arial" w:cs="Arial"/>
        </w:rPr>
        <w:t>jointly</w:t>
      </w:r>
      <w:r w:rsidR="00007359" w:rsidRPr="00C47564">
        <w:rPr>
          <w:rFonts w:ascii="Arial" w:hAnsi="Arial" w:cs="Arial"/>
        </w:rPr>
        <w:t xml:space="preserve"> contributed to the project's </w:t>
      </w:r>
      <w:r w:rsidR="00C47564" w:rsidRPr="00C47564">
        <w:rPr>
          <w:rFonts w:ascii="Arial" w:hAnsi="Arial" w:cs="Arial"/>
        </w:rPr>
        <w:t>success (</w:t>
      </w:r>
      <w:r w:rsidR="004D1CC7" w:rsidRPr="00C47564">
        <w:rPr>
          <w:rFonts w:ascii="Arial" w:hAnsi="Arial" w:cs="Arial"/>
        </w:rPr>
        <w:t>Èzbilgin, 2009)</w:t>
      </w:r>
      <w:r w:rsidR="00007359" w:rsidRPr="00C47564">
        <w:rPr>
          <w:rFonts w:ascii="Arial" w:hAnsi="Arial" w:cs="Arial"/>
        </w:rPr>
        <w:t>. The lessons learned from these experiences are invaluable,</w:t>
      </w:r>
      <w:r w:rsidRPr="00C47564">
        <w:rPr>
          <w:rFonts w:ascii="Arial" w:hAnsi="Arial" w:cs="Arial"/>
        </w:rPr>
        <w:t xml:space="preserve"> which</w:t>
      </w:r>
      <w:r w:rsidR="00007359" w:rsidRPr="00C47564">
        <w:rPr>
          <w:rFonts w:ascii="Arial" w:hAnsi="Arial" w:cs="Arial"/>
        </w:rPr>
        <w:t xml:space="preserve"> providing a blueprint for future community engagement practitioners to create impactful, inclusive,</w:t>
      </w:r>
      <w:r w:rsidRPr="00C47564">
        <w:rPr>
          <w:rFonts w:ascii="Arial" w:hAnsi="Arial" w:cs="Arial"/>
        </w:rPr>
        <w:t xml:space="preserve"> as well as</w:t>
      </w:r>
      <w:r w:rsidR="00007359" w:rsidRPr="00C47564">
        <w:rPr>
          <w:rFonts w:ascii="Arial" w:hAnsi="Arial" w:cs="Arial"/>
        </w:rPr>
        <w:t xml:space="preserve"> collaborative initiatives.</w:t>
      </w:r>
    </w:p>
    <w:p w:rsidR="00EE5CA2" w:rsidRPr="00224F69" w:rsidRDefault="00EE5CA2" w:rsidP="009673DC">
      <w:pPr>
        <w:rPr>
          <w:rFonts w:ascii="Arial" w:hAnsi="Arial" w:cs="Arial"/>
          <w:b/>
          <w:sz w:val="32"/>
          <w:szCs w:val="32"/>
        </w:rPr>
      </w:pPr>
      <w:bookmarkStart w:id="3" w:name="_Toc152448357"/>
      <w:r w:rsidRPr="00224F69">
        <w:rPr>
          <w:rFonts w:ascii="Arial" w:hAnsi="Arial" w:cs="Arial"/>
          <w:b/>
          <w:sz w:val="32"/>
          <w:szCs w:val="32"/>
        </w:rPr>
        <w:t>Reflection on Alternatives and Impact</w:t>
      </w:r>
      <w:bookmarkEnd w:id="3"/>
    </w:p>
    <w:p w:rsidR="001750E4" w:rsidRPr="00C47564" w:rsidRDefault="001750E4" w:rsidP="00C47564">
      <w:pPr>
        <w:spacing w:line="360" w:lineRule="auto"/>
        <w:jc w:val="both"/>
        <w:rPr>
          <w:rFonts w:ascii="Arial" w:hAnsi="Arial" w:cs="Arial"/>
          <w:b/>
          <w:bCs/>
        </w:rPr>
      </w:pPr>
      <w:r w:rsidRPr="00C47564">
        <w:rPr>
          <w:rFonts w:ascii="Arial" w:hAnsi="Arial" w:cs="Arial"/>
          <w:b/>
          <w:bCs/>
        </w:rPr>
        <w:t>Alternative Approaches:</w:t>
      </w:r>
    </w:p>
    <w:p w:rsidR="001750E4" w:rsidRPr="00C47564" w:rsidRDefault="001750E4" w:rsidP="00C47564">
      <w:pPr>
        <w:spacing w:line="360" w:lineRule="auto"/>
        <w:jc w:val="both"/>
        <w:rPr>
          <w:rFonts w:ascii="Arial" w:hAnsi="Arial" w:cs="Arial"/>
        </w:rPr>
      </w:pPr>
      <w:r w:rsidRPr="00C47564">
        <w:rPr>
          <w:rFonts w:ascii="Arial" w:hAnsi="Arial" w:cs="Arial"/>
        </w:rPr>
        <w:t>Reflecting on alternative community engagement approaches, the project team considered a range of methods beyond traditional town hall meetings and workshops</w:t>
      </w:r>
      <w:r w:rsidR="00C47564" w:rsidRPr="00C47564">
        <w:rPr>
          <w:rFonts w:ascii="Arial" w:hAnsi="Arial" w:cs="Arial"/>
        </w:rPr>
        <w:t xml:space="preserve"> (Aslin and Brown, 2004)</w:t>
      </w:r>
      <w:r w:rsidRPr="00C47564">
        <w:rPr>
          <w:rFonts w:ascii="Arial" w:hAnsi="Arial" w:cs="Arial"/>
        </w:rPr>
        <w:t>. One alternative could have been the use of virtual engagement platforms, such as webinars or online forums and these platforms would provide flexibility for community members with diverse schedules and those unable to attend physical gatherings. But the feasibility of virtual engagement would depend on factors like digital accessibility as well as community members' technological literacy.</w:t>
      </w:r>
    </w:p>
    <w:p w:rsidR="001750E4" w:rsidRPr="00C47564" w:rsidRDefault="001750E4" w:rsidP="00C47564">
      <w:pPr>
        <w:spacing w:line="360" w:lineRule="auto"/>
        <w:jc w:val="both"/>
        <w:rPr>
          <w:rFonts w:ascii="Arial" w:hAnsi="Arial" w:cs="Arial"/>
        </w:rPr>
      </w:pPr>
      <w:r w:rsidRPr="00C47564">
        <w:rPr>
          <w:rFonts w:ascii="Arial" w:hAnsi="Arial" w:cs="Arial"/>
        </w:rPr>
        <w:lastRenderedPageBreak/>
        <w:t xml:space="preserve">The choice to prioritize in-person town hall meetings and workshops was rooted in the project team's understanding of the community's preferences and existing </w:t>
      </w:r>
      <w:r w:rsidR="00C47564" w:rsidRPr="00C47564">
        <w:rPr>
          <w:rFonts w:ascii="Arial" w:hAnsi="Arial" w:cs="Arial"/>
        </w:rPr>
        <w:t>infrastructure (</w:t>
      </w:r>
      <w:r w:rsidR="004D1CC7" w:rsidRPr="00C47564">
        <w:rPr>
          <w:rFonts w:ascii="Arial" w:hAnsi="Arial" w:cs="Arial"/>
        </w:rPr>
        <w:t>Delanty, 2009</w:t>
      </w:r>
      <w:r w:rsidR="00C47564" w:rsidRPr="00C47564">
        <w:rPr>
          <w:rFonts w:ascii="Arial" w:hAnsi="Arial" w:cs="Arial"/>
        </w:rPr>
        <w:t>).</w:t>
      </w:r>
      <w:r w:rsidRPr="00C47564">
        <w:rPr>
          <w:rFonts w:ascii="Arial" w:hAnsi="Arial" w:cs="Arial"/>
        </w:rPr>
        <w:t xml:space="preserve"> Physical meetings facilitated a sense of immediate connection and allowed for more personal interactions, which raising a stronger sense of community ownership. While virtual platforms could improve accessibility, the team believed that the richness of face-to-face engagement balanced the potential benefits of virtual alternatives.</w:t>
      </w:r>
    </w:p>
    <w:p w:rsidR="001750E4" w:rsidRPr="00C47564" w:rsidRDefault="001750E4" w:rsidP="00C47564">
      <w:pPr>
        <w:spacing w:line="360" w:lineRule="auto"/>
        <w:jc w:val="both"/>
        <w:rPr>
          <w:rFonts w:ascii="Arial" w:hAnsi="Arial" w:cs="Arial"/>
        </w:rPr>
      </w:pPr>
      <w:r w:rsidRPr="00C47564">
        <w:rPr>
          <w:rFonts w:ascii="Arial" w:hAnsi="Arial" w:cs="Arial"/>
        </w:rPr>
        <w:t xml:space="preserve">Reflecting on these choices, it becomes </w:t>
      </w:r>
      <w:r w:rsidR="00D16A52" w:rsidRPr="00C47564">
        <w:rPr>
          <w:rFonts w:ascii="Arial" w:hAnsi="Arial" w:cs="Arial"/>
        </w:rPr>
        <w:t>visible</w:t>
      </w:r>
      <w:r w:rsidRPr="00C47564">
        <w:rPr>
          <w:rFonts w:ascii="Arial" w:hAnsi="Arial" w:cs="Arial"/>
        </w:rPr>
        <w:t xml:space="preserve"> that the feasibility of alternative approaches is closely tied to the unique characteristics and needs of the community. In this case, the emphasis on in-person engagement aligns with the community's desire for </w:t>
      </w:r>
      <w:r w:rsidR="00D16A52" w:rsidRPr="00C47564">
        <w:rPr>
          <w:rFonts w:ascii="Arial" w:hAnsi="Arial" w:cs="Arial"/>
        </w:rPr>
        <w:t xml:space="preserve">physical </w:t>
      </w:r>
      <w:r w:rsidRPr="00C47564">
        <w:rPr>
          <w:rFonts w:ascii="Arial" w:hAnsi="Arial" w:cs="Arial"/>
        </w:rPr>
        <w:t>connections and active participation.</w:t>
      </w:r>
    </w:p>
    <w:p w:rsidR="001750E4" w:rsidRPr="009673DC" w:rsidRDefault="001750E4" w:rsidP="00C47564">
      <w:pPr>
        <w:spacing w:line="360" w:lineRule="auto"/>
        <w:jc w:val="both"/>
        <w:rPr>
          <w:rFonts w:ascii="Arial" w:hAnsi="Arial" w:cs="Arial"/>
          <w:b/>
          <w:bCs/>
        </w:rPr>
      </w:pPr>
      <w:r w:rsidRPr="00C47564">
        <w:rPr>
          <w:rFonts w:ascii="Arial" w:hAnsi="Arial" w:cs="Arial"/>
          <w:b/>
          <w:bCs/>
        </w:rPr>
        <w:t>Research Methodology and Community Mapping</w:t>
      </w:r>
    </w:p>
    <w:p w:rsidR="001750E4" w:rsidRPr="00C47564" w:rsidRDefault="001750E4" w:rsidP="00C47564">
      <w:pPr>
        <w:spacing w:line="360" w:lineRule="auto"/>
        <w:jc w:val="both"/>
        <w:rPr>
          <w:rFonts w:ascii="Arial" w:hAnsi="Arial" w:cs="Arial"/>
        </w:rPr>
      </w:pPr>
      <w:r w:rsidRPr="00C47564">
        <w:rPr>
          <w:rFonts w:ascii="Arial" w:hAnsi="Arial" w:cs="Arial"/>
        </w:rPr>
        <w:t>The research methodology employed for the Thames River Cleanup Initiative involved a combination of surveys, interviews, and observational studies</w:t>
      </w:r>
      <w:r w:rsidR="00C47564" w:rsidRPr="00C47564">
        <w:rPr>
          <w:rFonts w:ascii="Arial" w:hAnsi="Arial" w:cs="Arial"/>
        </w:rPr>
        <w:t xml:space="preserve"> (Thamesrivercleanup.ca. 2023)</w:t>
      </w:r>
      <w:r w:rsidRPr="00C47564">
        <w:rPr>
          <w:rFonts w:ascii="Arial" w:hAnsi="Arial" w:cs="Arial"/>
        </w:rPr>
        <w:t>. Reflecting on these methods, it is evident that the diverse nature of data collection allowed for a comprehensive understanding of community dynamics, concerns,</w:t>
      </w:r>
      <w:r w:rsidR="00D16A52" w:rsidRPr="00C47564">
        <w:rPr>
          <w:rFonts w:ascii="Arial" w:hAnsi="Arial" w:cs="Arial"/>
        </w:rPr>
        <w:t xml:space="preserve"> as well as</w:t>
      </w:r>
      <w:r w:rsidRPr="00C47564">
        <w:rPr>
          <w:rFonts w:ascii="Arial" w:hAnsi="Arial" w:cs="Arial"/>
        </w:rPr>
        <w:t xml:space="preserve"> aspirations.</w:t>
      </w:r>
    </w:p>
    <w:p w:rsidR="001750E4" w:rsidRPr="00C47564" w:rsidRDefault="001750E4" w:rsidP="00C47564">
      <w:pPr>
        <w:spacing w:line="360" w:lineRule="auto"/>
        <w:jc w:val="both"/>
        <w:rPr>
          <w:rFonts w:ascii="Arial" w:hAnsi="Arial" w:cs="Arial"/>
        </w:rPr>
      </w:pPr>
      <w:r w:rsidRPr="00C47564">
        <w:rPr>
          <w:rFonts w:ascii="Arial" w:hAnsi="Arial" w:cs="Arial"/>
        </w:rPr>
        <w:t xml:space="preserve">The community mapping process, which involved identifying key community hubs and demographics, significantly influenced engagement strategies. By understanding where community members gathered and their unique characteristics, the project team </w:t>
      </w:r>
      <w:r w:rsidR="00D16A52" w:rsidRPr="00C47564">
        <w:rPr>
          <w:rFonts w:ascii="Arial" w:hAnsi="Arial" w:cs="Arial"/>
        </w:rPr>
        <w:t>adapted</w:t>
      </w:r>
      <w:r w:rsidRPr="00C47564">
        <w:rPr>
          <w:rFonts w:ascii="Arial" w:hAnsi="Arial" w:cs="Arial"/>
        </w:rPr>
        <w:t xml:space="preserve"> outreach efforts to align with these patterns</w:t>
      </w:r>
      <w:r w:rsidR="004D1CC7" w:rsidRPr="00C47564">
        <w:rPr>
          <w:rFonts w:ascii="Arial" w:hAnsi="Arial" w:cs="Arial"/>
        </w:rPr>
        <w:t xml:space="preserve"> (Delanty, 2009)</w:t>
      </w:r>
      <w:r w:rsidRPr="00C47564">
        <w:rPr>
          <w:rFonts w:ascii="Arial" w:hAnsi="Arial" w:cs="Arial"/>
        </w:rPr>
        <w:t>. For</w:t>
      </w:r>
      <w:r w:rsidR="00D16A52" w:rsidRPr="00C47564">
        <w:rPr>
          <w:rFonts w:ascii="Arial" w:hAnsi="Arial" w:cs="Arial"/>
        </w:rPr>
        <w:t xml:space="preserve"> example</w:t>
      </w:r>
      <w:r w:rsidRPr="00C47564">
        <w:rPr>
          <w:rFonts w:ascii="Arial" w:hAnsi="Arial" w:cs="Arial"/>
        </w:rPr>
        <w:t>, targeting local schools as hubs for educational outreach programs was a direct result of community mapping, recognizing the influential role of educational institutions.</w:t>
      </w:r>
    </w:p>
    <w:p w:rsidR="001750E4" w:rsidRPr="00C47564" w:rsidRDefault="001750E4" w:rsidP="00C47564">
      <w:pPr>
        <w:spacing w:line="360" w:lineRule="auto"/>
        <w:jc w:val="both"/>
        <w:rPr>
          <w:rFonts w:ascii="Arial" w:hAnsi="Arial" w:cs="Arial"/>
        </w:rPr>
      </w:pPr>
      <w:r w:rsidRPr="00C47564">
        <w:rPr>
          <w:rFonts w:ascii="Arial" w:hAnsi="Arial" w:cs="Arial"/>
        </w:rPr>
        <w:t>Reflecting on the research methodology, the combination of quantitative and qualitative approaches enabled a</w:t>
      </w:r>
      <w:r w:rsidR="00D16A52" w:rsidRPr="00C47564">
        <w:rPr>
          <w:rFonts w:ascii="Arial" w:hAnsi="Arial" w:cs="Arial"/>
        </w:rPr>
        <w:t xml:space="preserve"> perfect</w:t>
      </w:r>
      <w:r w:rsidRPr="00C47564">
        <w:rPr>
          <w:rFonts w:ascii="Arial" w:hAnsi="Arial" w:cs="Arial"/>
        </w:rPr>
        <w:t xml:space="preserve"> understanding of the community. </w:t>
      </w:r>
      <w:r w:rsidR="00D16A52" w:rsidRPr="00C47564">
        <w:rPr>
          <w:rFonts w:ascii="Arial" w:hAnsi="Arial" w:cs="Arial"/>
        </w:rPr>
        <w:t>But</w:t>
      </w:r>
      <w:r w:rsidRPr="00C47564">
        <w:rPr>
          <w:rFonts w:ascii="Arial" w:hAnsi="Arial" w:cs="Arial"/>
        </w:rPr>
        <w:t xml:space="preserve"> there is </w:t>
      </w:r>
      <w:r w:rsidR="00D16A52" w:rsidRPr="00C47564">
        <w:rPr>
          <w:rFonts w:ascii="Arial" w:hAnsi="Arial" w:cs="Arial"/>
        </w:rPr>
        <w:t>scope</w:t>
      </w:r>
      <w:r w:rsidRPr="00C47564">
        <w:rPr>
          <w:rFonts w:ascii="Arial" w:hAnsi="Arial" w:cs="Arial"/>
        </w:rPr>
        <w:t xml:space="preserve"> for improvement in </w:t>
      </w:r>
      <w:r w:rsidR="00D16A52" w:rsidRPr="00C47564">
        <w:rPr>
          <w:rFonts w:ascii="Arial" w:hAnsi="Arial" w:cs="Arial"/>
        </w:rPr>
        <w:t>using</w:t>
      </w:r>
      <w:r w:rsidRPr="00C47564">
        <w:rPr>
          <w:rFonts w:ascii="Arial" w:hAnsi="Arial" w:cs="Arial"/>
        </w:rPr>
        <w:t xml:space="preserve"> more advanced technologies, such as Geographic Information System (GIS) mapping, to </w:t>
      </w:r>
      <w:r w:rsidR="00D16A52" w:rsidRPr="00C47564">
        <w:rPr>
          <w:rFonts w:ascii="Arial" w:hAnsi="Arial" w:cs="Arial"/>
        </w:rPr>
        <w:t>improve</w:t>
      </w:r>
      <w:r w:rsidRPr="00C47564">
        <w:rPr>
          <w:rFonts w:ascii="Arial" w:hAnsi="Arial" w:cs="Arial"/>
        </w:rPr>
        <w:t xml:space="preserve"> analysis and further </w:t>
      </w:r>
      <w:r w:rsidR="00D16A52" w:rsidRPr="00C47564">
        <w:rPr>
          <w:rFonts w:ascii="Arial" w:hAnsi="Arial" w:cs="Arial"/>
        </w:rPr>
        <w:t>enhance</w:t>
      </w:r>
      <w:r w:rsidRPr="00C47564">
        <w:rPr>
          <w:rFonts w:ascii="Arial" w:hAnsi="Arial" w:cs="Arial"/>
        </w:rPr>
        <w:t xml:space="preserve"> engagement strategies based on geographic</w:t>
      </w:r>
      <w:r w:rsidR="00D16A52" w:rsidRPr="00C47564">
        <w:rPr>
          <w:rFonts w:ascii="Arial" w:hAnsi="Arial" w:cs="Arial"/>
        </w:rPr>
        <w:t xml:space="preserve"> information’s</w:t>
      </w:r>
      <w:r w:rsidR="006810E4">
        <w:rPr>
          <w:rFonts w:ascii="Arial" w:hAnsi="Arial" w:cs="Arial"/>
        </w:rPr>
        <w:t xml:space="preserve"> </w:t>
      </w:r>
      <w:r w:rsidR="00C47564" w:rsidRPr="00C47564">
        <w:rPr>
          <w:rFonts w:ascii="Arial" w:hAnsi="Arial" w:cs="Arial"/>
          <w:color w:val="000000"/>
          <w:shd w:val="clear" w:color="auto" w:fill="FFFFFF"/>
        </w:rPr>
        <w:t>(Nationalgeographic.org, 2023)</w:t>
      </w:r>
      <w:r w:rsidRPr="00C47564">
        <w:rPr>
          <w:rFonts w:ascii="Arial" w:hAnsi="Arial" w:cs="Arial"/>
        </w:rPr>
        <w:t>.</w:t>
      </w:r>
    </w:p>
    <w:p w:rsidR="001750E4" w:rsidRPr="00C47564" w:rsidRDefault="00D16A52" w:rsidP="00C47564">
      <w:pPr>
        <w:spacing w:line="360" w:lineRule="auto"/>
        <w:jc w:val="both"/>
        <w:rPr>
          <w:rFonts w:ascii="Arial" w:hAnsi="Arial" w:cs="Arial"/>
        </w:rPr>
      </w:pPr>
      <w:r w:rsidRPr="00C47564">
        <w:rPr>
          <w:rFonts w:ascii="Arial" w:hAnsi="Arial" w:cs="Arial"/>
        </w:rPr>
        <w:lastRenderedPageBreak/>
        <w:t>W</w:t>
      </w:r>
      <w:r w:rsidR="001750E4" w:rsidRPr="00C47564">
        <w:rPr>
          <w:rFonts w:ascii="Arial" w:hAnsi="Arial" w:cs="Arial"/>
        </w:rPr>
        <w:t xml:space="preserve">hile the research methodology was effective, there is an opportunity for future projects to integrate emerging technologies for more </w:t>
      </w:r>
      <w:r w:rsidRPr="00C47564">
        <w:rPr>
          <w:rFonts w:ascii="Arial" w:hAnsi="Arial" w:cs="Arial"/>
        </w:rPr>
        <w:t>accurate</w:t>
      </w:r>
      <w:r w:rsidR="001750E4" w:rsidRPr="00C47564">
        <w:rPr>
          <w:rFonts w:ascii="Arial" w:hAnsi="Arial" w:cs="Arial"/>
        </w:rPr>
        <w:t xml:space="preserve"> community mapping and engagement strategy development.</w:t>
      </w:r>
    </w:p>
    <w:p w:rsidR="001750E4" w:rsidRPr="00C47564" w:rsidRDefault="001750E4" w:rsidP="00C47564">
      <w:pPr>
        <w:spacing w:line="360" w:lineRule="auto"/>
        <w:jc w:val="both"/>
        <w:rPr>
          <w:rFonts w:ascii="Arial" w:hAnsi="Arial" w:cs="Arial"/>
          <w:b/>
          <w:bCs/>
        </w:rPr>
      </w:pPr>
      <w:r w:rsidRPr="00C47564">
        <w:rPr>
          <w:rFonts w:ascii="Arial" w:hAnsi="Arial" w:cs="Arial"/>
          <w:b/>
          <w:bCs/>
        </w:rPr>
        <w:t xml:space="preserve">Social </w:t>
      </w:r>
      <w:r w:rsidR="009673DC">
        <w:rPr>
          <w:rFonts w:ascii="Arial" w:hAnsi="Arial" w:cs="Arial"/>
          <w:b/>
          <w:bCs/>
        </w:rPr>
        <w:t>Engagement Through Social Media</w:t>
      </w:r>
    </w:p>
    <w:p w:rsidR="001750E4" w:rsidRPr="00C47564" w:rsidRDefault="001750E4" w:rsidP="00C47564">
      <w:pPr>
        <w:spacing w:line="360" w:lineRule="auto"/>
        <w:jc w:val="both"/>
        <w:rPr>
          <w:rFonts w:ascii="Arial" w:hAnsi="Arial" w:cs="Arial"/>
        </w:rPr>
      </w:pPr>
      <w:r w:rsidRPr="00C47564">
        <w:rPr>
          <w:rFonts w:ascii="Arial" w:hAnsi="Arial" w:cs="Arial"/>
        </w:rPr>
        <w:t>The role of social media platforms in community engagement was a key consideration for the Thames River Cleanup Initiative. Reflecting on this aspect, the project team recognized the potential of social media in reaching a broad audience</w:t>
      </w:r>
      <w:r w:rsidR="00D16A52" w:rsidRPr="00C47564">
        <w:rPr>
          <w:rFonts w:ascii="Arial" w:hAnsi="Arial" w:cs="Arial"/>
        </w:rPr>
        <w:t xml:space="preserve"> as well as</w:t>
      </w:r>
      <w:r w:rsidRPr="00C47564">
        <w:rPr>
          <w:rFonts w:ascii="Arial" w:hAnsi="Arial" w:cs="Arial"/>
        </w:rPr>
        <w:t xml:space="preserve"> fostering ongoing dialogue. The chosen platforms included Facebook, Twitter, and Instagram, which are widely used and accessible to diverse demographics.</w:t>
      </w:r>
    </w:p>
    <w:p w:rsidR="001750E4" w:rsidRPr="00C47564" w:rsidRDefault="001750E4" w:rsidP="00C47564">
      <w:pPr>
        <w:spacing w:line="360" w:lineRule="auto"/>
        <w:jc w:val="both"/>
        <w:rPr>
          <w:rFonts w:ascii="Arial" w:hAnsi="Arial" w:cs="Arial"/>
        </w:rPr>
      </w:pPr>
      <w:r w:rsidRPr="00C47564">
        <w:rPr>
          <w:rFonts w:ascii="Arial" w:hAnsi="Arial" w:cs="Arial"/>
        </w:rPr>
        <w:t xml:space="preserve">The impacts of social media outreach were significant. Regular updates, engaging content, and interactive posts not only </w:t>
      </w:r>
      <w:r w:rsidR="00D16A52" w:rsidRPr="00C47564">
        <w:rPr>
          <w:rFonts w:ascii="Arial" w:hAnsi="Arial" w:cs="Arial"/>
        </w:rPr>
        <w:t>distributed</w:t>
      </w:r>
      <w:r w:rsidRPr="00C47564">
        <w:rPr>
          <w:rFonts w:ascii="Arial" w:hAnsi="Arial" w:cs="Arial"/>
        </w:rPr>
        <w:t xml:space="preserve"> information but also encouraged community members to share their thoughts and experiences</w:t>
      </w:r>
      <w:r w:rsidR="004D1CC7" w:rsidRPr="00C47564">
        <w:rPr>
          <w:rFonts w:ascii="Arial" w:hAnsi="Arial" w:cs="Arial"/>
        </w:rPr>
        <w:t xml:space="preserve"> (Delanty, 2009)</w:t>
      </w:r>
      <w:r w:rsidRPr="00C47564">
        <w:rPr>
          <w:rFonts w:ascii="Arial" w:hAnsi="Arial" w:cs="Arial"/>
        </w:rPr>
        <w:t>. The digital space created by social media became an extension of the community engagement process, facilitating real-time interactions and expanding the initiative's reach.</w:t>
      </w:r>
    </w:p>
    <w:p w:rsidR="001750E4" w:rsidRPr="00C47564" w:rsidRDefault="001750E4" w:rsidP="00C47564">
      <w:pPr>
        <w:spacing w:line="360" w:lineRule="auto"/>
        <w:jc w:val="both"/>
        <w:rPr>
          <w:rFonts w:ascii="Arial" w:hAnsi="Arial" w:cs="Arial"/>
        </w:rPr>
      </w:pPr>
      <w:r w:rsidRPr="00C47564">
        <w:rPr>
          <w:rFonts w:ascii="Arial" w:hAnsi="Arial" w:cs="Arial"/>
        </w:rPr>
        <w:t xml:space="preserve">The justification for choosing social media platforms was </w:t>
      </w:r>
      <w:r w:rsidR="00D16A52" w:rsidRPr="00C47564">
        <w:rPr>
          <w:rFonts w:ascii="Arial" w:hAnsi="Arial" w:cs="Arial"/>
        </w:rPr>
        <w:t>connected with</w:t>
      </w:r>
      <w:r w:rsidRPr="00C47564">
        <w:rPr>
          <w:rFonts w:ascii="Arial" w:hAnsi="Arial" w:cs="Arial"/>
        </w:rPr>
        <w:t xml:space="preserve"> the community's digital habits and preferences. </w:t>
      </w:r>
      <w:r w:rsidR="00D16A52" w:rsidRPr="00C47564">
        <w:rPr>
          <w:rFonts w:ascii="Arial" w:hAnsi="Arial" w:cs="Arial"/>
        </w:rPr>
        <w:t>But</w:t>
      </w:r>
      <w:r w:rsidRPr="00C47564">
        <w:rPr>
          <w:rFonts w:ascii="Arial" w:hAnsi="Arial" w:cs="Arial"/>
        </w:rPr>
        <w:t xml:space="preserve"> reflecting on this choice, the project team could explore more strategies to further </w:t>
      </w:r>
      <w:r w:rsidR="00D16A52" w:rsidRPr="00C47564">
        <w:rPr>
          <w:rFonts w:ascii="Arial" w:hAnsi="Arial" w:cs="Arial"/>
        </w:rPr>
        <w:t>increase</w:t>
      </w:r>
      <w:r w:rsidRPr="00C47564">
        <w:rPr>
          <w:rFonts w:ascii="Arial" w:hAnsi="Arial" w:cs="Arial"/>
        </w:rPr>
        <w:t xml:space="preserve"> engagement</w:t>
      </w:r>
      <w:r w:rsidR="00C47564" w:rsidRPr="00C47564">
        <w:rPr>
          <w:rFonts w:ascii="Arial" w:hAnsi="Arial" w:cs="Arial"/>
        </w:rPr>
        <w:t xml:space="preserve"> (Aslin and Brown, 2004)</w:t>
      </w:r>
      <w:r w:rsidRPr="00C47564">
        <w:rPr>
          <w:rFonts w:ascii="Arial" w:hAnsi="Arial" w:cs="Arial"/>
        </w:rPr>
        <w:t xml:space="preserve">. </w:t>
      </w:r>
      <w:r w:rsidR="00D16A52" w:rsidRPr="00C47564">
        <w:rPr>
          <w:rFonts w:ascii="Arial" w:hAnsi="Arial" w:cs="Arial"/>
        </w:rPr>
        <w:t>Moreover</w:t>
      </w:r>
      <w:r w:rsidRPr="00C47564">
        <w:rPr>
          <w:rFonts w:ascii="Arial" w:hAnsi="Arial" w:cs="Arial"/>
        </w:rPr>
        <w:t>, the team should continuously evaluate emerging social media trends to adapt to changing community preferences.</w:t>
      </w:r>
    </w:p>
    <w:p w:rsidR="001750E4" w:rsidRDefault="00D16A52" w:rsidP="00C47564">
      <w:pPr>
        <w:spacing w:line="360" w:lineRule="auto"/>
        <w:jc w:val="both"/>
        <w:rPr>
          <w:rFonts w:ascii="Arial" w:hAnsi="Arial" w:cs="Arial"/>
        </w:rPr>
      </w:pPr>
      <w:r w:rsidRPr="00C47564">
        <w:rPr>
          <w:rFonts w:ascii="Arial" w:hAnsi="Arial" w:cs="Arial"/>
        </w:rPr>
        <w:t>Overall</w:t>
      </w:r>
      <w:r w:rsidR="001750E4" w:rsidRPr="00C47564">
        <w:rPr>
          <w:rFonts w:ascii="Arial" w:hAnsi="Arial" w:cs="Arial"/>
        </w:rPr>
        <w:t xml:space="preserve">, reflecting on alternative approaches, research methodology, and social media engagement provides valuable </w:t>
      </w:r>
      <w:r w:rsidRPr="00C47564">
        <w:rPr>
          <w:rFonts w:ascii="Arial" w:hAnsi="Arial" w:cs="Arial"/>
        </w:rPr>
        <w:t xml:space="preserve">information’s </w:t>
      </w:r>
      <w:r w:rsidR="001750E4" w:rsidRPr="00C47564">
        <w:rPr>
          <w:rFonts w:ascii="Arial" w:hAnsi="Arial" w:cs="Arial"/>
        </w:rPr>
        <w:t>for future projects</w:t>
      </w:r>
      <w:r w:rsidR="004D1CC7" w:rsidRPr="00C47564">
        <w:rPr>
          <w:rFonts w:ascii="Arial" w:hAnsi="Arial" w:cs="Arial"/>
        </w:rPr>
        <w:t xml:space="preserve"> (Delanty, 2009)</w:t>
      </w:r>
      <w:r w:rsidR="001750E4" w:rsidRPr="00C47564">
        <w:rPr>
          <w:rFonts w:ascii="Arial" w:hAnsi="Arial" w:cs="Arial"/>
        </w:rPr>
        <w:t xml:space="preserve">. The </w:t>
      </w:r>
      <w:r w:rsidRPr="00C47564">
        <w:rPr>
          <w:rFonts w:ascii="Arial" w:hAnsi="Arial" w:cs="Arial"/>
        </w:rPr>
        <w:t>possibility</w:t>
      </w:r>
      <w:r w:rsidR="001750E4" w:rsidRPr="00C47564">
        <w:rPr>
          <w:rFonts w:ascii="Arial" w:hAnsi="Arial" w:cs="Arial"/>
        </w:rPr>
        <w:t xml:space="preserve"> of alternatives should be assessed in alignment with community characteristics, and research methods can benefit from integrating advanced technologies for more precise mapping. The impacts of social media outreach </w:t>
      </w:r>
      <w:r w:rsidRPr="00C47564">
        <w:rPr>
          <w:rFonts w:ascii="Arial" w:hAnsi="Arial" w:cs="Arial"/>
        </w:rPr>
        <w:t>highlight</w:t>
      </w:r>
      <w:r w:rsidR="001750E4" w:rsidRPr="00C47564">
        <w:rPr>
          <w:rFonts w:ascii="Arial" w:hAnsi="Arial" w:cs="Arial"/>
        </w:rPr>
        <w:t xml:space="preserve"> the importance of dynamic content strategies to ensure continued relevance and resonance with the community.</w:t>
      </w:r>
    </w:p>
    <w:p w:rsidR="009673DC" w:rsidRPr="00C47564" w:rsidRDefault="009673DC" w:rsidP="00C47564">
      <w:pPr>
        <w:spacing w:line="360" w:lineRule="auto"/>
        <w:jc w:val="both"/>
        <w:rPr>
          <w:rFonts w:ascii="Arial" w:hAnsi="Arial" w:cs="Arial"/>
        </w:rPr>
      </w:pPr>
    </w:p>
    <w:p w:rsidR="00EE5CA2" w:rsidRPr="00224F69" w:rsidRDefault="00EE5CA2" w:rsidP="009673DC">
      <w:pPr>
        <w:rPr>
          <w:rFonts w:ascii="Arial" w:hAnsi="Arial" w:cs="Arial"/>
          <w:b/>
          <w:sz w:val="32"/>
          <w:szCs w:val="32"/>
        </w:rPr>
      </w:pPr>
      <w:bookmarkStart w:id="4" w:name="_Toc152448358"/>
      <w:r w:rsidRPr="00224F69">
        <w:rPr>
          <w:rFonts w:ascii="Arial" w:hAnsi="Arial" w:cs="Arial"/>
          <w:b/>
          <w:sz w:val="32"/>
          <w:szCs w:val="32"/>
        </w:rPr>
        <w:lastRenderedPageBreak/>
        <w:t>Conclusion</w:t>
      </w:r>
      <w:bookmarkEnd w:id="4"/>
    </w:p>
    <w:p w:rsidR="00E74262" w:rsidRPr="00C47564" w:rsidRDefault="0095526A" w:rsidP="00C47564">
      <w:pPr>
        <w:spacing w:line="360" w:lineRule="auto"/>
        <w:jc w:val="both"/>
        <w:rPr>
          <w:rFonts w:ascii="Arial" w:hAnsi="Arial" w:cs="Arial"/>
        </w:rPr>
      </w:pPr>
      <w:r w:rsidRPr="00C47564">
        <w:rPr>
          <w:rFonts w:ascii="Arial" w:hAnsi="Arial" w:cs="Arial"/>
        </w:rPr>
        <w:t>In conclusion, the Thames River Cleanup Initiative showed the transformative power of community engagement, rooted in inclusive practices as well as adaptability. Active consultation, stakeholder participation, diversity, and multi-agency collaborations were vital. Reflections on alternative approaches and research methodologies provide information’s for future projects. By promoting an eco-conscious community, the initiative not only restored the environment but also set a blueprint for impactful, inclusive, and collaborative community engagement initiatives, highlighting a shared responsibility for a sustainable future.</w:t>
      </w:r>
    </w:p>
    <w:p w:rsidR="00E74262" w:rsidRPr="00C47564" w:rsidRDefault="00E74262" w:rsidP="00C47564">
      <w:pPr>
        <w:spacing w:line="360" w:lineRule="auto"/>
        <w:jc w:val="both"/>
        <w:rPr>
          <w:rFonts w:ascii="Arial" w:hAnsi="Arial" w:cs="Arial"/>
        </w:rPr>
      </w:pPr>
      <w:r w:rsidRPr="00C47564">
        <w:rPr>
          <w:rFonts w:ascii="Arial" w:hAnsi="Arial" w:cs="Arial"/>
        </w:rPr>
        <w:br w:type="page"/>
      </w:r>
    </w:p>
    <w:p w:rsidR="0095526A" w:rsidRPr="009673DC" w:rsidRDefault="00E74262" w:rsidP="009673DC">
      <w:pPr>
        <w:rPr>
          <w:rFonts w:ascii="Arial" w:hAnsi="Arial" w:cs="Arial"/>
          <w:sz w:val="32"/>
          <w:szCs w:val="32"/>
        </w:rPr>
      </w:pPr>
      <w:bookmarkStart w:id="5" w:name="_Toc152448359"/>
      <w:r w:rsidRPr="009673DC">
        <w:rPr>
          <w:rFonts w:ascii="Arial" w:hAnsi="Arial" w:cs="Arial"/>
          <w:sz w:val="32"/>
          <w:szCs w:val="32"/>
        </w:rPr>
        <w:lastRenderedPageBreak/>
        <w:t>Reference</w:t>
      </w:r>
      <w:bookmarkEnd w:id="5"/>
    </w:p>
    <w:p w:rsidR="006810E4" w:rsidRPr="009673DC" w:rsidRDefault="006810E4" w:rsidP="009673DC">
      <w:pPr>
        <w:pStyle w:val="ListParagraph"/>
        <w:numPr>
          <w:ilvl w:val="0"/>
          <w:numId w:val="1"/>
        </w:numPr>
        <w:spacing w:line="360" w:lineRule="auto"/>
        <w:jc w:val="both"/>
        <w:rPr>
          <w:rFonts w:ascii="Arial" w:hAnsi="Arial" w:cs="Arial"/>
        </w:rPr>
      </w:pPr>
      <w:r w:rsidRPr="009673DC">
        <w:rPr>
          <w:rFonts w:ascii="Arial" w:hAnsi="Arial" w:cs="Arial"/>
        </w:rPr>
        <w:t>Aslin, H. and Brown, V., 2004. Towards whole of community engagement: A practical toolkit. Murray-Darling Basin Commission.</w:t>
      </w:r>
    </w:p>
    <w:p w:rsidR="006810E4" w:rsidRPr="009673DC" w:rsidRDefault="006810E4" w:rsidP="009673DC">
      <w:pPr>
        <w:pStyle w:val="ListParagraph"/>
        <w:numPr>
          <w:ilvl w:val="0"/>
          <w:numId w:val="1"/>
        </w:numPr>
        <w:spacing w:line="360" w:lineRule="auto"/>
        <w:jc w:val="both"/>
        <w:rPr>
          <w:rFonts w:ascii="Arial" w:hAnsi="Arial" w:cs="Arial"/>
        </w:rPr>
      </w:pPr>
      <w:r w:rsidRPr="009673DC">
        <w:rPr>
          <w:rFonts w:ascii="Arial" w:hAnsi="Arial" w:cs="Arial"/>
        </w:rPr>
        <w:t>‌Delanty, G., 2009. Community. Routledge.</w:t>
      </w:r>
    </w:p>
    <w:p w:rsidR="006810E4" w:rsidRPr="009673DC" w:rsidRDefault="006810E4" w:rsidP="009673DC">
      <w:pPr>
        <w:pStyle w:val="ListParagraph"/>
        <w:numPr>
          <w:ilvl w:val="0"/>
          <w:numId w:val="1"/>
        </w:numPr>
        <w:spacing w:line="360" w:lineRule="auto"/>
        <w:jc w:val="both"/>
        <w:rPr>
          <w:rFonts w:ascii="Arial" w:hAnsi="Arial" w:cs="Arial"/>
        </w:rPr>
      </w:pPr>
      <w:r w:rsidRPr="009673DC">
        <w:rPr>
          <w:rFonts w:ascii="Arial" w:hAnsi="Arial" w:cs="Arial"/>
        </w:rPr>
        <w:t>Èzbilgin, M. ed., 2009. Equality, diversity and inclusion at work: A research companion. Edward Elgar Publishing.</w:t>
      </w:r>
    </w:p>
    <w:p w:rsidR="006810E4" w:rsidRPr="009673DC" w:rsidRDefault="006810E4" w:rsidP="009673DC">
      <w:pPr>
        <w:pStyle w:val="ListParagraph"/>
        <w:numPr>
          <w:ilvl w:val="0"/>
          <w:numId w:val="1"/>
        </w:numPr>
        <w:spacing w:line="360" w:lineRule="auto"/>
        <w:jc w:val="both"/>
        <w:rPr>
          <w:rFonts w:ascii="Arial" w:hAnsi="Arial" w:cs="Arial"/>
        </w:rPr>
      </w:pPr>
      <w:r w:rsidRPr="009673DC">
        <w:rPr>
          <w:rFonts w:ascii="Arial" w:hAnsi="Arial" w:cs="Arial"/>
        </w:rPr>
        <w:t>Murphy, F.G. ed., 2012. Community engagement, organization, and development for public health practice. Springer Publishing Company.</w:t>
      </w:r>
    </w:p>
    <w:p w:rsidR="006810E4" w:rsidRPr="009673DC" w:rsidRDefault="006810E4" w:rsidP="009673DC">
      <w:pPr>
        <w:pStyle w:val="ListParagraph"/>
        <w:numPr>
          <w:ilvl w:val="0"/>
          <w:numId w:val="1"/>
        </w:numPr>
        <w:spacing w:line="360" w:lineRule="auto"/>
        <w:jc w:val="both"/>
        <w:rPr>
          <w:rFonts w:ascii="Arial" w:hAnsi="Arial" w:cs="Arial"/>
        </w:rPr>
      </w:pPr>
      <w:r w:rsidRPr="009673DC">
        <w:rPr>
          <w:rFonts w:ascii="Arial" w:hAnsi="Arial" w:cs="Arial"/>
        </w:rPr>
        <w:t>Nationalgeographic.org. (2023). GIS (Geographic Information System). Available at: https://education.nationalgeographic.org/resource/geog</w:t>
      </w:r>
      <w:r>
        <w:rPr>
          <w:rFonts w:ascii="Arial" w:hAnsi="Arial" w:cs="Arial"/>
        </w:rPr>
        <w:t>raphic-information-system-gis/ (Accessed 12.12.2023)</w:t>
      </w:r>
      <w:r w:rsidRPr="009673DC">
        <w:rPr>
          <w:rFonts w:ascii="Arial" w:hAnsi="Arial" w:cs="Arial"/>
        </w:rPr>
        <w:t>.</w:t>
      </w:r>
    </w:p>
    <w:p w:rsidR="006810E4" w:rsidRPr="009673DC" w:rsidRDefault="006810E4" w:rsidP="009673DC">
      <w:pPr>
        <w:pStyle w:val="ListParagraph"/>
        <w:numPr>
          <w:ilvl w:val="0"/>
          <w:numId w:val="1"/>
        </w:numPr>
        <w:spacing w:line="360" w:lineRule="auto"/>
        <w:jc w:val="both"/>
        <w:rPr>
          <w:rFonts w:ascii="Arial" w:hAnsi="Arial" w:cs="Arial"/>
        </w:rPr>
      </w:pPr>
      <w:r w:rsidRPr="009673DC">
        <w:rPr>
          <w:rFonts w:ascii="Arial" w:hAnsi="Arial" w:cs="Arial"/>
        </w:rPr>
        <w:t>‌Oceandiva London |. (2023). Oceandiva London X Thames 21: Cleaning Up The Thames. Available at: https://www.oceandivalondon.co.uk/2023/08/14/oceandiva-london-x-tha</w:t>
      </w:r>
      <w:r>
        <w:rPr>
          <w:rFonts w:ascii="Arial" w:hAnsi="Arial" w:cs="Arial"/>
        </w:rPr>
        <w:t>mes-21-cleaning-up-the-thames/ (Accessed 13.12.2023)</w:t>
      </w:r>
      <w:r w:rsidRPr="009673DC">
        <w:rPr>
          <w:rFonts w:ascii="Arial" w:hAnsi="Arial" w:cs="Arial"/>
        </w:rPr>
        <w:t>.</w:t>
      </w:r>
    </w:p>
    <w:p w:rsidR="006810E4" w:rsidRPr="009673DC" w:rsidRDefault="006810E4" w:rsidP="009673DC">
      <w:pPr>
        <w:pStyle w:val="ListParagraph"/>
        <w:numPr>
          <w:ilvl w:val="0"/>
          <w:numId w:val="1"/>
        </w:numPr>
        <w:spacing w:line="360" w:lineRule="auto"/>
        <w:jc w:val="both"/>
        <w:rPr>
          <w:rFonts w:ascii="Arial" w:hAnsi="Arial" w:cs="Arial"/>
        </w:rPr>
      </w:pPr>
      <w:r w:rsidRPr="009673DC">
        <w:rPr>
          <w:rFonts w:ascii="Arial" w:hAnsi="Arial" w:cs="Arial"/>
        </w:rPr>
        <w:t>Ramachandra, A. and Naha Abu Mansor, N., 2014. Sustainability of community engagement–in the hands of stakeholders?. Education+ Training, 56(7), pp.588-598.</w:t>
      </w:r>
    </w:p>
    <w:p w:rsidR="006810E4" w:rsidRPr="009673DC" w:rsidRDefault="006810E4" w:rsidP="009673DC">
      <w:pPr>
        <w:pStyle w:val="ListParagraph"/>
        <w:numPr>
          <w:ilvl w:val="0"/>
          <w:numId w:val="1"/>
        </w:numPr>
        <w:spacing w:line="360" w:lineRule="auto"/>
        <w:jc w:val="both"/>
        <w:rPr>
          <w:rFonts w:ascii="Arial" w:hAnsi="Arial" w:cs="Arial"/>
        </w:rPr>
      </w:pPr>
      <w:r w:rsidRPr="009673DC">
        <w:rPr>
          <w:rFonts w:ascii="Arial" w:hAnsi="Arial" w:cs="Arial"/>
        </w:rPr>
        <w:t>Thames21. (2017). Habitat Maintenance – Thames Road Wetland. Available at: https://www.thames21.org.uk/river-foreshore-clean-ups</w:t>
      </w:r>
      <w:r>
        <w:rPr>
          <w:rFonts w:ascii="Arial" w:hAnsi="Arial" w:cs="Arial"/>
        </w:rPr>
        <w:t>/ (Accessed 13.12.2023)</w:t>
      </w:r>
      <w:r w:rsidRPr="009673DC">
        <w:rPr>
          <w:rFonts w:ascii="Arial" w:hAnsi="Arial" w:cs="Arial"/>
        </w:rPr>
        <w:t>.</w:t>
      </w:r>
    </w:p>
    <w:p w:rsidR="006810E4" w:rsidRPr="009673DC" w:rsidRDefault="006810E4" w:rsidP="009673DC">
      <w:pPr>
        <w:pStyle w:val="ListParagraph"/>
        <w:numPr>
          <w:ilvl w:val="0"/>
          <w:numId w:val="1"/>
        </w:numPr>
        <w:spacing w:line="360" w:lineRule="auto"/>
        <w:jc w:val="both"/>
        <w:rPr>
          <w:rFonts w:ascii="Arial" w:hAnsi="Arial" w:cs="Arial"/>
        </w:rPr>
      </w:pPr>
      <w:r w:rsidRPr="009673DC">
        <w:rPr>
          <w:rFonts w:ascii="Arial" w:hAnsi="Arial" w:cs="Arial"/>
        </w:rPr>
        <w:t>Thamesrivercleanup.ca. (2023). Tha</w:t>
      </w:r>
      <w:r>
        <w:rPr>
          <w:rFonts w:ascii="Arial" w:hAnsi="Arial" w:cs="Arial"/>
        </w:rPr>
        <w:t xml:space="preserve">mes River Cleanup - Home Page. </w:t>
      </w:r>
      <w:r w:rsidRPr="009673DC">
        <w:rPr>
          <w:rFonts w:ascii="Arial" w:hAnsi="Arial" w:cs="Arial"/>
        </w:rPr>
        <w:t>Available at: https://www.thamesrivercl</w:t>
      </w:r>
      <w:r>
        <w:rPr>
          <w:rFonts w:ascii="Arial" w:hAnsi="Arial" w:cs="Arial"/>
        </w:rPr>
        <w:t>eanup.ca (Accessed 12.12.2023)</w:t>
      </w:r>
      <w:r w:rsidRPr="009673DC">
        <w:rPr>
          <w:rFonts w:ascii="Arial" w:hAnsi="Arial" w:cs="Arial"/>
        </w:rPr>
        <w:t>.</w:t>
      </w:r>
    </w:p>
    <w:p w:rsidR="006810E4" w:rsidRPr="009673DC" w:rsidRDefault="006810E4" w:rsidP="009673DC">
      <w:pPr>
        <w:pStyle w:val="ListParagraph"/>
        <w:numPr>
          <w:ilvl w:val="0"/>
          <w:numId w:val="1"/>
        </w:numPr>
        <w:spacing w:line="360" w:lineRule="auto"/>
        <w:jc w:val="both"/>
        <w:rPr>
          <w:rFonts w:ascii="Arial" w:hAnsi="Arial" w:cs="Arial"/>
        </w:rPr>
      </w:pPr>
      <w:r w:rsidRPr="009673DC">
        <w:rPr>
          <w:rFonts w:ascii="Arial" w:hAnsi="Arial" w:cs="Arial"/>
        </w:rPr>
        <w:t>Watson, D., 2007. EBOOK: Managing Civic and Community Engagement. McGraw-Hill Education (UK).</w:t>
      </w:r>
    </w:p>
    <w:p w:rsidR="00C47564" w:rsidRDefault="00C47564" w:rsidP="00C47564"/>
    <w:p w:rsidR="00C47564" w:rsidRDefault="00C47564" w:rsidP="00C47564">
      <w:r>
        <w:t>‌</w:t>
      </w:r>
    </w:p>
    <w:p w:rsidR="00EE5CA2" w:rsidRPr="00EE5CA2" w:rsidRDefault="00E74262" w:rsidP="00EE5CA2">
      <w:r>
        <w:t>‌</w:t>
      </w:r>
    </w:p>
    <w:sectPr w:rsidR="00EE5CA2" w:rsidRPr="00EE5CA2" w:rsidSect="006810E4">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4FFB" w:rsidRDefault="00024FFB" w:rsidP="00F016B6">
      <w:pPr>
        <w:spacing w:after="0" w:line="240" w:lineRule="auto"/>
      </w:pPr>
      <w:r>
        <w:separator/>
      </w:r>
    </w:p>
  </w:endnote>
  <w:endnote w:type="continuationSeparator" w:id="1">
    <w:p w:rsidR="00024FFB" w:rsidRDefault="00024FFB" w:rsidP="00F016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6833164"/>
      <w:docPartObj>
        <w:docPartGallery w:val="Page Numbers (Bottom of Page)"/>
        <w:docPartUnique/>
      </w:docPartObj>
    </w:sdtPr>
    <w:sdtContent>
      <w:p w:rsidR="006810E4" w:rsidRDefault="006810E4">
        <w:pPr>
          <w:pStyle w:val="Footer"/>
          <w:jc w:val="center"/>
        </w:pPr>
        <w:fldSimple w:instr=" PAGE   \* MERGEFORMAT ">
          <w:r w:rsidR="00224F69">
            <w:rPr>
              <w:noProof/>
            </w:rPr>
            <w:t>2</w:t>
          </w:r>
        </w:fldSimple>
      </w:p>
    </w:sdtContent>
  </w:sdt>
  <w:p w:rsidR="006810E4" w:rsidRDefault="006810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4FFB" w:rsidRDefault="00024FFB" w:rsidP="00F016B6">
      <w:pPr>
        <w:spacing w:after="0" w:line="240" w:lineRule="auto"/>
      </w:pPr>
      <w:r>
        <w:separator/>
      </w:r>
    </w:p>
  </w:footnote>
  <w:footnote w:type="continuationSeparator" w:id="1">
    <w:p w:rsidR="00024FFB" w:rsidRDefault="00024FFB" w:rsidP="00F016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E9263D"/>
    <w:multiLevelType w:val="hybridMultilevel"/>
    <w:tmpl w:val="2722A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drawingGridHorizontalSpacing w:val="120"/>
  <w:displayHorizontalDrawingGridEvery w:val="2"/>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TMwMDA3NDCzMDYwN7VQ0lEKTi0uzszPAykwrAUAI01PkiwAAAA="/>
  </w:docVars>
  <w:rsids>
    <w:rsidRoot w:val="00566606"/>
    <w:rsid w:val="00007359"/>
    <w:rsid w:val="00024FFB"/>
    <w:rsid w:val="00143F8A"/>
    <w:rsid w:val="001750E4"/>
    <w:rsid w:val="001A375F"/>
    <w:rsid w:val="001B3329"/>
    <w:rsid w:val="00224F69"/>
    <w:rsid w:val="00241291"/>
    <w:rsid w:val="002C247D"/>
    <w:rsid w:val="002C4867"/>
    <w:rsid w:val="002F03D4"/>
    <w:rsid w:val="00376B11"/>
    <w:rsid w:val="004A50C0"/>
    <w:rsid w:val="004D1CC7"/>
    <w:rsid w:val="00566606"/>
    <w:rsid w:val="005F4BC9"/>
    <w:rsid w:val="005F4BE8"/>
    <w:rsid w:val="006810E4"/>
    <w:rsid w:val="00764D5F"/>
    <w:rsid w:val="008A57C0"/>
    <w:rsid w:val="0094608C"/>
    <w:rsid w:val="0095526A"/>
    <w:rsid w:val="009673DC"/>
    <w:rsid w:val="00A8141F"/>
    <w:rsid w:val="00C47564"/>
    <w:rsid w:val="00D16A52"/>
    <w:rsid w:val="00D21305"/>
    <w:rsid w:val="00D32D95"/>
    <w:rsid w:val="00E74262"/>
    <w:rsid w:val="00EC02D8"/>
    <w:rsid w:val="00EE5CA2"/>
    <w:rsid w:val="00F016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75F"/>
    <w:rPr>
      <w:rFonts w:ascii="Times New Roman" w:hAnsi="Times New Roman"/>
      <w:sz w:val="24"/>
      <w:lang w:val="en-GB"/>
    </w:rPr>
  </w:style>
  <w:style w:type="paragraph" w:styleId="Heading1">
    <w:name w:val="heading 1"/>
    <w:basedOn w:val="Normal"/>
    <w:next w:val="Normal"/>
    <w:link w:val="Heading1Char"/>
    <w:uiPriority w:val="9"/>
    <w:qFormat/>
    <w:rsid w:val="008A57C0"/>
    <w:pPr>
      <w:keepNext/>
      <w:keepLines/>
      <w:spacing w:before="240" w:after="0" w:line="240" w:lineRule="auto"/>
      <w:outlineLvl w:val="0"/>
    </w:pPr>
    <w:rPr>
      <w:rFonts w:eastAsiaTheme="majorEastAsia" w:cstheme="majorBidi"/>
      <w:color w:val="365F91" w:themeColor="accent1" w:themeShade="BF"/>
      <w:sz w:val="32"/>
      <w:szCs w:val="32"/>
      <w:lang w:eastAsia="en-GB"/>
    </w:rPr>
  </w:style>
  <w:style w:type="paragraph" w:styleId="Heading2">
    <w:name w:val="heading 2"/>
    <w:basedOn w:val="Normal"/>
    <w:next w:val="Normal"/>
    <w:link w:val="Heading2Char"/>
    <w:uiPriority w:val="9"/>
    <w:unhideWhenUsed/>
    <w:qFormat/>
    <w:rsid w:val="005F4BC9"/>
    <w:pPr>
      <w:keepNext/>
      <w:keepLines/>
      <w:spacing w:before="40" w:after="0" w:line="240" w:lineRule="auto"/>
      <w:outlineLvl w:val="1"/>
    </w:pPr>
    <w:rPr>
      <w:rFonts w:eastAsiaTheme="majorEastAsia" w:cstheme="majorBidi"/>
      <w:color w:val="365F91" w:themeColor="accent1" w:themeShade="BF"/>
      <w:sz w:val="28"/>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7C0"/>
    <w:rPr>
      <w:rFonts w:ascii="Times New Roman" w:eastAsiaTheme="majorEastAsia" w:hAnsi="Times New Roman" w:cstheme="majorBidi"/>
      <w:color w:val="365F91" w:themeColor="accent1" w:themeShade="BF"/>
      <w:sz w:val="32"/>
      <w:szCs w:val="32"/>
      <w:lang w:eastAsia="en-GB"/>
    </w:rPr>
  </w:style>
  <w:style w:type="character" w:customStyle="1" w:styleId="Heading2Char">
    <w:name w:val="Heading 2 Char"/>
    <w:basedOn w:val="DefaultParagraphFont"/>
    <w:link w:val="Heading2"/>
    <w:uiPriority w:val="9"/>
    <w:rsid w:val="005F4BC9"/>
    <w:rPr>
      <w:rFonts w:ascii="Times New Roman" w:eastAsiaTheme="majorEastAsia" w:hAnsi="Times New Roman" w:cstheme="majorBidi"/>
      <w:color w:val="365F91" w:themeColor="accent1" w:themeShade="BF"/>
      <w:sz w:val="28"/>
      <w:szCs w:val="26"/>
      <w:lang w:eastAsia="en-GB"/>
    </w:rPr>
  </w:style>
  <w:style w:type="paragraph" w:styleId="TOCHeading">
    <w:name w:val="TOC Heading"/>
    <w:basedOn w:val="Heading1"/>
    <w:next w:val="Normal"/>
    <w:uiPriority w:val="39"/>
    <w:unhideWhenUsed/>
    <w:qFormat/>
    <w:rsid w:val="00C47564"/>
    <w:pPr>
      <w:spacing w:line="259" w:lineRule="auto"/>
      <w:outlineLvl w:val="9"/>
    </w:pPr>
    <w:rPr>
      <w:rFonts w:asciiTheme="majorHAnsi" w:hAnsiTheme="majorHAnsi"/>
      <w:kern w:val="0"/>
    </w:rPr>
  </w:style>
  <w:style w:type="paragraph" w:styleId="TOC1">
    <w:name w:val="toc 1"/>
    <w:basedOn w:val="Normal"/>
    <w:next w:val="Normal"/>
    <w:autoRedefine/>
    <w:uiPriority w:val="39"/>
    <w:unhideWhenUsed/>
    <w:rsid w:val="00C47564"/>
    <w:pPr>
      <w:spacing w:after="100"/>
    </w:pPr>
  </w:style>
  <w:style w:type="character" w:styleId="Hyperlink">
    <w:name w:val="Hyperlink"/>
    <w:basedOn w:val="DefaultParagraphFont"/>
    <w:uiPriority w:val="99"/>
    <w:unhideWhenUsed/>
    <w:rsid w:val="00C47564"/>
    <w:rPr>
      <w:color w:val="0000FF" w:themeColor="hyperlink"/>
      <w:u w:val="single"/>
    </w:rPr>
  </w:style>
  <w:style w:type="paragraph" w:styleId="Header">
    <w:name w:val="header"/>
    <w:basedOn w:val="Normal"/>
    <w:link w:val="HeaderChar"/>
    <w:uiPriority w:val="99"/>
    <w:unhideWhenUsed/>
    <w:rsid w:val="00F016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6B6"/>
    <w:rPr>
      <w:rFonts w:ascii="Times New Roman" w:hAnsi="Times New Roman"/>
      <w:sz w:val="24"/>
      <w:lang w:val="en-GB"/>
    </w:rPr>
  </w:style>
  <w:style w:type="paragraph" w:styleId="Footer">
    <w:name w:val="footer"/>
    <w:basedOn w:val="Normal"/>
    <w:link w:val="FooterChar"/>
    <w:uiPriority w:val="99"/>
    <w:unhideWhenUsed/>
    <w:rsid w:val="00F016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6B6"/>
    <w:rPr>
      <w:rFonts w:ascii="Times New Roman" w:hAnsi="Times New Roman"/>
      <w:sz w:val="24"/>
      <w:lang w:val="en-GB"/>
    </w:rPr>
  </w:style>
  <w:style w:type="paragraph" w:styleId="BalloonText">
    <w:name w:val="Balloon Text"/>
    <w:basedOn w:val="Normal"/>
    <w:link w:val="BalloonTextChar"/>
    <w:uiPriority w:val="99"/>
    <w:semiHidden/>
    <w:unhideWhenUsed/>
    <w:rsid w:val="009673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73DC"/>
    <w:rPr>
      <w:rFonts w:ascii="Tahoma" w:hAnsi="Tahoma" w:cs="Tahoma"/>
      <w:sz w:val="16"/>
      <w:szCs w:val="16"/>
      <w:lang w:val="en-GB"/>
    </w:rPr>
  </w:style>
  <w:style w:type="paragraph" w:styleId="ListParagraph">
    <w:name w:val="List Paragraph"/>
    <w:basedOn w:val="Normal"/>
    <w:uiPriority w:val="34"/>
    <w:qFormat/>
    <w:rsid w:val="009673DC"/>
    <w:pPr>
      <w:ind w:left="720"/>
      <w:contextualSpacing/>
    </w:pPr>
  </w:style>
  <w:style w:type="paragraph" w:styleId="NoSpacing">
    <w:name w:val="No Spacing"/>
    <w:uiPriority w:val="1"/>
    <w:qFormat/>
    <w:rsid w:val="00224F69"/>
    <w:pPr>
      <w:spacing w:after="0" w:line="240" w:lineRule="auto"/>
    </w:pPr>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divs>
    <w:div w:id="34139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4692E-AC8F-45ED-AEC7-FF562A041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2506</Words>
  <Characters>14287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16760</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2023-12-17T19:21:00Z</dcterms:created>
  <dcterms:modified xsi:type="dcterms:W3CDTF">2023-12-17T19:21:00Z</dcterms:modified>
</cp:coreProperties>
</file>